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E0B" w:rsidRDefault="00082E0B" w:rsidP="00387656">
      <w:pPr>
        <w:pStyle w:val="Title"/>
        <w:rPr>
          <w:sz w:val="72"/>
        </w:rPr>
      </w:pPr>
    </w:p>
    <w:p w:rsidR="00082E0B" w:rsidRDefault="00082E0B" w:rsidP="00387656">
      <w:pPr>
        <w:pStyle w:val="Title"/>
        <w:rPr>
          <w:sz w:val="72"/>
        </w:rPr>
      </w:pPr>
    </w:p>
    <w:p w:rsidR="00082E0B" w:rsidRDefault="00082E0B" w:rsidP="00387656">
      <w:pPr>
        <w:pStyle w:val="Title"/>
        <w:rPr>
          <w:sz w:val="72"/>
        </w:rPr>
      </w:pPr>
    </w:p>
    <w:p w:rsidR="00F77805" w:rsidRDefault="006119F8">
      <w:pPr>
        <w:pStyle w:val="Title"/>
        <w:jc w:val="center"/>
        <w:rPr>
          <w:rFonts w:ascii="Minion Pro" w:hAnsi="Minion Pro"/>
          <w:b w:val="0"/>
        </w:rPr>
      </w:pPr>
      <w:r w:rsidRPr="006119F8">
        <w:rPr>
          <w:rFonts w:ascii="Minion Pro" w:hAnsi="Minion Pro"/>
          <w:b w:val="0"/>
          <w:sz w:val="72"/>
        </w:rPr>
        <w:t>Conservation Planning in a Changing World</w:t>
      </w:r>
    </w:p>
    <w:p w:rsidR="00F77805" w:rsidRDefault="00F77805">
      <w:pPr>
        <w:pStyle w:val="Title"/>
        <w:jc w:val="center"/>
        <w:rPr>
          <w:b w:val="0"/>
        </w:rPr>
      </w:pPr>
    </w:p>
    <w:p w:rsidR="00F77805" w:rsidRDefault="00F77805">
      <w:pPr>
        <w:pStyle w:val="Title"/>
        <w:jc w:val="center"/>
        <w:rPr>
          <w:b w:val="0"/>
        </w:rPr>
      </w:pPr>
    </w:p>
    <w:p w:rsidR="00F77805" w:rsidRDefault="00F77805">
      <w:pPr>
        <w:pStyle w:val="Title"/>
        <w:jc w:val="center"/>
        <w:rPr>
          <w:b w:val="0"/>
        </w:rPr>
      </w:pPr>
    </w:p>
    <w:p w:rsidR="00F77805" w:rsidRDefault="00F77805">
      <w:pPr>
        <w:pStyle w:val="Title"/>
        <w:jc w:val="center"/>
        <w:rPr>
          <w:b w:val="0"/>
        </w:rPr>
      </w:pPr>
    </w:p>
    <w:p w:rsidR="00F77805" w:rsidRDefault="00F77805">
      <w:pPr>
        <w:pStyle w:val="Title"/>
        <w:jc w:val="center"/>
        <w:rPr>
          <w:b w:val="0"/>
        </w:rPr>
      </w:pPr>
    </w:p>
    <w:p w:rsidR="00F77805" w:rsidRDefault="006119F8">
      <w:pPr>
        <w:pStyle w:val="Title"/>
        <w:jc w:val="center"/>
        <w:rPr>
          <w:b w:val="0"/>
        </w:rPr>
      </w:pPr>
      <w:r w:rsidRPr="006119F8">
        <w:rPr>
          <w:b w:val="0"/>
        </w:rPr>
        <w:t>A Dissertation Presented for the</w:t>
      </w:r>
    </w:p>
    <w:p w:rsidR="00F77805" w:rsidRDefault="006119F8">
      <w:pPr>
        <w:pStyle w:val="Title"/>
        <w:jc w:val="center"/>
        <w:rPr>
          <w:b w:val="0"/>
        </w:rPr>
      </w:pPr>
      <w:r w:rsidRPr="006119F8">
        <w:rPr>
          <w:b w:val="0"/>
        </w:rPr>
        <w:t>Doctor of Philosophy</w:t>
      </w:r>
    </w:p>
    <w:p w:rsidR="00F77805" w:rsidRDefault="006119F8">
      <w:pPr>
        <w:pStyle w:val="Title"/>
        <w:jc w:val="center"/>
        <w:rPr>
          <w:b w:val="0"/>
        </w:rPr>
      </w:pPr>
      <w:r w:rsidRPr="006119F8">
        <w:rPr>
          <w:b w:val="0"/>
        </w:rPr>
        <w:t>Degree</w:t>
      </w:r>
    </w:p>
    <w:p w:rsidR="00F77805" w:rsidRDefault="006119F8">
      <w:pPr>
        <w:pStyle w:val="Title"/>
        <w:jc w:val="center"/>
        <w:rPr>
          <w:b w:val="0"/>
        </w:rPr>
      </w:pPr>
      <w:r w:rsidRPr="006119F8">
        <w:rPr>
          <w:b w:val="0"/>
        </w:rPr>
        <w:t>The University of Tennessee, Knoxville</w:t>
      </w:r>
    </w:p>
    <w:p w:rsidR="00F77805" w:rsidRDefault="00F77805">
      <w:pPr>
        <w:pStyle w:val="Title"/>
        <w:jc w:val="center"/>
        <w:rPr>
          <w:b w:val="0"/>
        </w:rPr>
      </w:pPr>
    </w:p>
    <w:p w:rsidR="00F77805" w:rsidRDefault="00F77805">
      <w:pPr>
        <w:pStyle w:val="Title"/>
        <w:jc w:val="center"/>
        <w:rPr>
          <w:b w:val="0"/>
        </w:rPr>
      </w:pPr>
    </w:p>
    <w:p w:rsidR="00F77805" w:rsidRDefault="00F77805">
      <w:pPr>
        <w:pStyle w:val="Title"/>
        <w:jc w:val="center"/>
        <w:rPr>
          <w:b w:val="0"/>
        </w:rPr>
      </w:pPr>
    </w:p>
    <w:p w:rsidR="00F77805" w:rsidRDefault="00F77805">
      <w:pPr>
        <w:pStyle w:val="Title"/>
        <w:jc w:val="center"/>
        <w:rPr>
          <w:b w:val="0"/>
        </w:rPr>
      </w:pPr>
    </w:p>
    <w:p w:rsidR="00F77805" w:rsidRDefault="006119F8">
      <w:pPr>
        <w:pStyle w:val="Title"/>
        <w:jc w:val="center"/>
        <w:rPr>
          <w:b w:val="0"/>
        </w:rPr>
      </w:pPr>
      <w:r w:rsidRPr="006119F8">
        <w:rPr>
          <w:b w:val="0"/>
        </w:rPr>
        <w:t>Austin Walker Milt</w:t>
      </w:r>
    </w:p>
    <w:p w:rsidR="00F77805" w:rsidRDefault="006119F8">
      <w:pPr>
        <w:pStyle w:val="Title"/>
        <w:jc w:val="center"/>
        <w:rPr>
          <w:b w:val="0"/>
        </w:rPr>
      </w:pPr>
      <w:r w:rsidRPr="006119F8">
        <w:rPr>
          <w:b w:val="0"/>
        </w:rPr>
        <w:t>August 2015</w:t>
      </w:r>
    </w:p>
    <w:p w:rsidR="00526151" w:rsidRDefault="00387656" w:rsidP="005E54E2">
      <w:r>
        <w:br w:type="page"/>
      </w:r>
    </w:p>
    <w:p w:rsidR="009B25FB" w:rsidRDefault="009B25FB" w:rsidP="005E54E2">
      <w:pPr>
        <w:sectPr w:rsidR="009B25FB" w:rsidSect="002115B4">
          <w:footerReference w:type="default" r:id="rId8"/>
          <w:footerReference w:type="first" r:id="rId9"/>
          <w:pgSz w:w="12240" w:h="15840" w:code="1"/>
          <w:pgMar w:top="1440" w:right="1800" w:bottom="1440" w:left="1800" w:header="720" w:footer="1440" w:gutter="0"/>
          <w:pgNumType w:fmt="lowerRoman" w:start="1"/>
          <w:cols w:space="720"/>
          <w:vAlign w:val="center"/>
          <w:noEndnote/>
          <w:titlePg/>
          <w:docGrid w:linePitch="326"/>
        </w:sectPr>
      </w:pPr>
    </w:p>
    <w:p w:rsidR="00236E6D" w:rsidRDefault="00207D83" w:rsidP="009B25FB">
      <w:pPr>
        <w:jc w:val="center"/>
      </w:pPr>
      <w:r>
        <w:lastRenderedPageBreak/>
        <w:t>Copyright © 2015</w:t>
      </w:r>
      <w:r w:rsidR="00236E6D">
        <w:t xml:space="preserve"> by </w:t>
      </w:r>
      <w:r>
        <w:t>Austin W</w:t>
      </w:r>
      <w:r w:rsidR="00B16B21">
        <w:t>alker</w:t>
      </w:r>
      <w:r>
        <w:t xml:space="preserve"> Milt</w:t>
      </w:r>
    </w:p>
    <w:p w:rsidR="00236E6D" w:rsidRDefault="00236E6D" w:rsidP="009B25FB">
      <w:pPr>
        <w:jc w:val="center"/>
      </w:pPr>
      <w:r>
        <w:t>All rights reserved.</w:t>
      </w:r>
    </w:p>
    <w:p w:rsidR="00BB2C13" w:rsidRDefault="00BB2C13" w:rsidP="002A50A1">
      <w:pPr>
        <w:jc w:val="center"/>
        <w:rPr>
          <w:i/>
        </w:rPr>
      </w:pPr>
    </w:p>
    <w:p w:rsidR="00BB2C13" w:rsidRDefault="00BB2C13" w:rsidP="002A50A1">
      <w:pPr>
        <w:jc w:val="center"/>
        <w:rPr>
          <w:i/>
        </w:rPr>
        <w:sectPr w:rsidR="00BB2C13" w:rsidSect="002115B4">
          <w:footerReference w:type="first" r:id="rId10"/>
          <w:type w:val="continuous"/>
          <w:pgSz w:w="12240" w:h="15840" w:code="1"/>
          <w:pgMar w:top="1440" w:right="1800" w:bottom="1440" w:left="1800" w:header="720" w:footer="1440" w:gutter="0"/>
          <w:pgNumType w:fmt="lowerRoman"/>
          <w:cols w:space="720"/>
          <w:vAlign w:val="center"/>
          <w:noEndnote/>
          <w:docGrid w:linePitch="360"/>
        </w:sectPr>
      </w:pPr>
    </w:p>
    <w:p w:rsidR="002A50A1" w:rsidRDefault="002A50A1" w:rsidP="002A50A1">
      <w:pPr>
        <w:jc w:val="center"/>
        <w:rPr>
          <w:rFonts w:ascii="Myriad Pro" w:hAnsi="Myriad Pro"/>
          <w:i/>
        </w:rPr>
      </w:pPr>
      <w:proofErr w:type="gramStart"/>
      <w:r w:rsidRPr="002A50A1">
        <w:rPr>
          <w:i/>
        </w:rPr>
        <w:lastRenderedPageBreak/>
        <w:t>f</w:t>
      </w:r>
      <w:r w:rsidRPr="002A50A1">
        <w:rPr>
          <w:rFonts w:ascii="Myriad Pro" w:hAnsi="Myriad Pro"/>
          <w:i/>
        </w:rPr>
        <w:t>o</w:t>
      </w:r>
      <w:r>
        <w:rPr>
          <w:rFonts w:ascii="Myriad Pro" w:hAnsi="Myriad Pro"/>
          <w:i/>
        </w:rPr>
        <w:t>r</w:t>
      </w:r>
      <w:proofErr w:type="gramEnd"/>
    </w:p>
    <w:p w:rsidR="002A50A1" w:rsidRDefault="002A50A1" w:rsidP="002A50A1">
      <w:pPr>
        <w:jc w:val="center"/>
        <w:rPr>
          <w:rFonts w:ascii="Myriad Pro" w:hAnsi="Myriad Pro"/>
          <w:i/>
        </w:rPr>
      </w:pPr>
    </w:p>
    <w:p w:rsidR="002A50A1" w:rsidRDefault="002A50A1" w:rsidP="002A50A1">
      <w:pPr>
        <w:jc w:val="center"/>
        <w:rPr>
          <w:rFonts w:ascii="Myriad Pro" w:hAnsi="Myriad Pro"/>
          <w:i/>
        </w:rPr>
      </w:pPr>
      <w:r>
        <w:rPr>
          <w:rFonts w:ascii="Myriad Pro" w:hAnsi="Myriad Pro"/>
          <w:i/>
        </w:rPr>
        <w:t>Clara Bean</w:t>
      </w:r>
    </w:p>
    <w:p w:rsidR="002A50A1" w:rsidRDefault="002A50A1" w:rsidP="002A50A1">
      <w:pPr>
        <w:jc w:val="center"/>
        <w:rPr>
          <w:rFonts w:ascii="Myriad Pro" w:hAnsi="Myriad Pro"/>
          <w:i/>
        </w:rPr>
      </w:pPr>
    </w:p>
    <w:p w:rsidR="002A50A1" w:rsidRDefault="0025561C" w:rsidP="002A50A1">
      <w:pPr>
        <w:jc w:val="center"/>
        <w:rPr>
          <w:rFonts w:ascii="Myriad Pro" w:hAnsi="Myriad Pro"/>
          <w:i/>
        </w:rPr>
      </w:pPr>
      <w:proofErr w:type="gramStart"/>
      <w:r>
        <w:rPr>
          <w:rFonts w:ascii="Myriad Pro" w:hAnsi="Myriad Pro"/>
          <w:i/>
        </w:rPr>
        <w:t>who</w:t>
      </w:r>
      <w:proofErr w:type="gramEnd"/>
      <w:r>
        <w:rPr>
          <w:rFonts w:ascii="Myriad Pro" w:hAnsi="Myriad Pro"/>
          <w:i/>
        </w:rPr>
        <w:t xml:space="preserve"> reminds me </w:t>
      </w:r>
      <w:r w:rsidR="002A50A1">
        <w:rPr>
          <w:rFonts w:ascii="Myriad Pro" w:hAnsi="Myriad Pro"/>
          <w:i/>
        </w:rPr>
        <w:t>that our children are worthy of the cause</w:t>
      </w:r>
    </w:p>
    <w:p w:rsidR="0024720A" w:rsidRDefault="0024720A" w:rsidP="002A50A1">
      <w:pPr>
        <w:pStyle w:val="Heading1"/>
        <w:numPr>
          <w:ilvl w:val="0"/>
          <w:numId w:val="0"/>
        </w:numPr>
        <w:sectPr w:rsidR="0024720A" w:rsidSect="002115B4">
          <w:pgSz w:w="12240" w:h="15840" w:code="1"/>
          <w:pgMar w:top="1440" w:right="1800" w:bottom="1440" w:left="1800" w:header="720" w:footer="1440" w:gutter="0"/>
          <w:pgNumType w:fmt="lowerRoman"/>
          <w:cols w:space="720"/>
          <w:vAlign w:val="center"/>
          <w:noEndnote/>
          <w:docGrid w:linePitch="360"/>
        </w:sectPr>
      </w:pPr>
    </w:p>
    <w:p w:rsidR="00F77805" w:rsidRDefault="002D021E">
      <w:pPr>
        <w:pStyle w:val="Title"/>
      </w:pPr>
      <w:r w:rsidRPr="00C07EFE">
        <w:lastRenderedPageBreak/>
        <w:t>Acknowledgements</w:t>
      </w:r>
    </w:p>
    <w:p w:rsidR="002D021E" w:rsidRDefault="002D021E" w:rsidP="002D021E"/>
    <w:p w:rsidR="002D021E" w:rsidRDefault="002D021E" w:rsidP="001F1C35">
      <w:r>
        <w:t>First and foremost thank you to my major adviser Paul Armsworth for being my closest collaborator, my ultimate source of academic wisdom and strategy and the source most of “my” good ideas, especially when I was stuck, uninspired, or otherwise fed up with academic life. Your reputation for being the most highly skilled, well prepared, lightening fast, constructively critical, and forward thinking academic is, as far as I can tell, completely accurate and is only marred by your willingness to listen and be unquestioningly kind when needed.</w:t>
      </w:r>
    </w:p>
    <w:p w:rsidR="002D021E" w:rsidRDefault="00746509" w:rsidP="001F1C35">
      <w:pPr>
        <w:ind w:firstLine="720"/>
      </w:pPr>
      <w:r>
        <w:t>I am grateful</w:t>
      </w:r>
      <w:r w:rsidR="002D021E">
        <w:t xml:space="preserve"> to my committee Drs. Chris Clark, Lou Gross, and Nate Sanders for constructive feedback and continual support. Your different perspectives have more than once given me the pause I need to be</w:t>
      </w:r>
      <w:r w:rsidR="00820F33">
        <w:t>come</w:t>
      </w:r>
      <w:r w:rsidR="002D021E">
        <w:t xml:space="preserve"> a better scientist.</w:t>
      </w:r>
    </w:p>
    <w:p w:rsidR="00746509" w:rsidRDefault="002D021E" w:rsidP="001F1C35">
      <w:pPr>
        <w:ind w:firstLine="720"/>
      </w:pPr>
      <w:r>
        <w:t xml:space="preserve">To my family and close friends, my thanks and love are immeasurable. </w:t>
      </w:r>
      <w:r w:rsidR="00746509">
        <w:t>Mom and Dad:</w:t>
      </w:r>
      <w:r>
        <w:t xml:space="preserve"> thank you for fostering in me a love of nature, creating </w:t>
      </w:r>
      <w:proofErr w:type="gramStart"/>
      <w:r w:rsidR="00746509">
        <w:t>an environment in which that love</w:t>
      </w:r>
      <w:proofErr w:type="gramEnd"/>
      <w:r>
        <w:t xml:space="preserve"> could grow, and providing the support necessary for me to make a difference in the world. Eric B</w:t>
      </w:r>
      <w:r w:rsidR="00746509">
        <w:t>ilodeau and Katelyn Brown-Gomez:</w:t>
      </w:r>
      <w:r>
        <w:t xml:space="preserve"> thank you for being family as close as blood, as role models for humor, humility, kindness, skill, endurance, and more. You’re in The Circle. R</w:t>
      </w:r>
      <w:r w:rsidR="00746509">
        <w:t>yan and Adam:</w:t>
      </w:r>
      <w:r>
        <w:t xml:space="preserve"> thank you for being inspirations in your own right, through testing the waters</w:t>
      </w:r>
      <w:r w:rsidR="00746509">
        <w:t xml:space="preserve"> so I didn’t always have to, and for taking complementary tracks in life. Dylan Magers and Giles Duncan: thank you for having been my two most dependable sources of entertainment, especially when I needed some down time.</w:t>
      </w:r>
    </w:p>
    <w:p w:rsidR="001F1C35" w:rsidRDefault="00746509" w:rsidP="001F1C35">
      <w:pPr>
        <w:ind w:firstLine="720"/>
      </w:pPr>
      <w:r>
        <w:t>Many thanks to the graduate students and postdocs I have had the pleasure to interact with. Thanks especially to the Armsworthians Alison Boyer, Stacie Armsworth, Christine Dumoulin, Rachel Fovargue, Sean Hoban, Gwen Iacona, Eric Larson, Diane Le Bouille, Nate Sutton, and Shelby Ward for listening to half-baked ideas and bad presentations and for reading incoherent babble and turning it all into mostly baked, mostly coherent products. You have been awesome colleagues and my closest friends and confidants here at UT.</w:t>
      </w:r>
    </w:p>
    <w:p w:rsidR="001F1C35" w:rsidRDefault="001F1C35" w:rsidP="001F1C35">
      <w:pPr>
        <w:ind w:firstLine="720"/>
      </w:pPr>
      <w:proofErr w:type="gramStart"/>
      <w:r>
        <w:t>My thanks to the SCALE-</w:t>
      </w:r>
      <w:proofErr w:type="spellStart"/>
      <w:r>
        <w:t>ITeers</w:t>
      </w:r>
      <w:proofErr w:type="spellEnd"/>
      <w:r>
        <w:t xml:space="preserve"> for social (and sometimes professional) stimulation outside of EEB.</w:t>
      </w:r>
      <w:proofErr w:type="gramEnd"/>
      <w:r>
        <w:t xml:space="preserve"> Thanks especially to Harry Richards for including me in SCALE-IT, for ensuring I got the best out of it, and for continuing to be an invaluable source of advice and mentorship long after my SCALE-IT days were </w:t>
      </w:r>
      <w:r w:rsidR="00794DD0">
        <w:t xml:space="preserve">officially </w:t>
      </w:r>
      <w:r>
        <w:t>done.</w:t>
      </w:r>
    </w:p>
    <w:p w:rsidR="001F1C35" w:rsidRDefault="001F1C35" w:rsidP="001F1C35">
      <w:pPr>
        <w:ind w:firstLine="720"/>
      </w:pPr>
      <w:r>
        <w:t xml:space="preserve">To colleagues at the Nature Conservancy, including Scott Bearer, Tamara Gagnolet, Nels Johnson and Thomas Minney: thank you for providing insight, direction, and grounding and for being largely responsible for the track I took in my dissertation. </w:t>
      </w:r>
      <w:r w:rsidR="008B32C6">
        <w:t>Thank you also to Sally Palmer</w:t>
      </w:r>
      <w:r w:rsidR="009B453E">
        <w:t xml:space="preserve">, Joey </w:t>
      </w:r>
      <w:proofErr w:type="spellStart"/>
      <w:r w:rsidR="009B453E">
        <w:t>Wisby</w:t>
      </w:r>
      <w:proofErr w:type="spellEnd"/>
      <w:r w:rsidR="009B453E">
        <w:t xml:space="preserve">, and Silas </w:t>
      </w:r>
      <w:proofErr w:type="spellStart"/>
      <w:r w:rsidR="009B453E">
        <w:t>Mathes</w:t>
      </w:r>
      <w:proofErr w:type="spellEnd"/>
      <w:r w:rsidR="008B32C6">
        <w:t xml:space="preserve"> and others at TNC TN for </w:t>
      </w:r>
      <w:r w:rsidR="008B32C6">
        <w:lastRenderedPageBreak/>
        <w:t xml:space="preserve">providing datasets and collaboration for my first chapter. </w:t>
      </w:r>
      <w:r>
        <w:t>Thank you especially to Tamara Gagnolet for being my (second) closest collaborator and growing friend over the past five years. Countless telephone conferences, webinars, document drafts, and meetings with you and the gas industry have done more for my professional growth than I can measure.</w:t>
      </w:r>
    </w:p>
    <w:p w:rsidR="00774F02" w:rsidRDefault="001F1C35" w:rsidP="00494191">
      <w:pPr>
        <w:ind w:firstLine="720"/>
      </w:pPr>
      <w:r>
        <w:t xml:space="preserve">Thank you to other colleagues and collaborators over the years, especially Eddy Grey and Steve Copeland at Triana Energy, LLC for feedback and priceless data, and to Daniel </w:t>
      </w:r>
      <w:proofErr w:type="spellStart"/>
      <w:r>
        <w:t>Mahr</w:t>
      </w:r>
      <w:proofErr w:type="spellEnd"/>
      <w:r>
        <w:t xml:space="preserve"> at Cadmus Group for </w:t>
      </w:r>
      <w:proofErr w:type="spellStart"/>
      <w:r>
        <w:t>nerding</w:t>
      </w:r>
      <w:proofErr w:type="spellEnd"/>
      <w:r>
        <w:t xml:space="preserve"> out over Python and doing the brunt of the work on EnSitu.</w:t>
      </w:r>
    </w:p>
    <w:p w:rsidR="00494191" w:rsidRDefault="00774F02" w:rsidP="00286C37">
      <w:pPr>
        <w:ind w:firstLine="720"/>
      </w:pPr>
      <w:r>
        <w:t xml:space="preserve">I have been fortunate to be well funded by diverse sources during my dissertation. From 2010-2012 </w:t>
      </w:r>
      <w:proofErr w:type="gramStart"/>
      <w:r>
        <w:t>I</w:t>
      </w:r>
      <w:proofErr w:type="gramEnd"/>
      <w:r>
        <w:t xml:space="preserve"> was fully funded by the NSF IGERT, SCALE-IT, and received partial funding 2012-2013. I received partial funding from EEB at UTK and the </w:t>
      </w:r>
      <w:proofErr w:type="spellStart"/>
      <w:r>
        <w:t>Colcom</w:t>
      </w:r>
      <w:proofErr w:type="spellEnd"/>
      <w:r>
        <w:t xml:space="preserve"> Foundation</w:t>
      </w:r>
      <w:r w:rsidR="009729FE">
        <w:t xml:space="preserve"> in 2012-2013. I was funded by both the Richard King Mellon Foundation and National Institute for Mathematical and Biological Synthesis between 2013 and 2015.</w:t>
      </w:r>
    </w:p>
    <w:p w:rsidR="00F77805" w:rsidRDefault="0085757D">
      <w:pPr>
        <w:pStyle w:val="Title"/>
      </w:pPr>
      <w:r w:rsidRPr="005E54E2">
        <w:br w:type="page"/>
      </w:r>
      <w:r w:rsidR="00C07EFE">
        <w:lastRenderedPageBreak/>
        <w:t>Abstract</w:t>
      </w:r>
    </w:p>
    <w:p w:rsidR="00A50F5A" w:rsidRDefault="00A50F5A" w:rsidP="00291E51">
      <w:pPr>
        <w:pStyle w:val="Title"/>
        <w:rPr>
          <w:sz w:val="24"/>
          <w:lang w:val="en-US"/>
        </w:rPr>
      </w:pPr>
    </w:p>
    <w:p w:rsidR="009663A3" w:rsidRDefault="00291E51">
      <w:r>
        <w:t xml:space="preserve">As a science and practice dedicated to preventing, stopping, and reversing negative effects on nature, conservation is constantly faced with new challenges. Combine this fact with the rise of large, freely available datasets and computational power, and </w:t>
      </w:r>
      <w:r w:rsidR="00E26BDA">
        <w:t xml:space="preserve">the result is a need to </w:t>
      </w:r>
      <w:r w:rsidR="000438E0">
        <w:t>advance</w:t>
      </w:r>
      <w:r w:rsidR="00E26BDA">
        <w:t xml:space="preserve"> the methods and conceptual approach to conservation planning. </w:t>
      </w:r>
      <w:r>
        <w:t xml:space="preserve">In my dissertation I </w:t>
      </w:r>
      <w:r w:rsidR="006C5378">
        <w:t xml:space="preserve">present novel methods and address research questions that aim to keep conservation science and practice relevant and effective in a changing world. </w:t>
      </w:r>
      <w:r w:rsidR="00E26BDA">
        <w:t>This picture of continual change is illustrated in</w:t>
      </w:r>
      <w:r w:rsidR="00CB4175">
        <w:t xml:space="preserve"> Chapter 1</w:t>
      </w:r>
      <w:r w:rsidR="00E26BDA">
        <w:t>, in which</w:t>
      </w:r>
      <w:r w:rsidR="00CB4175">
        <w:t xml:space="preserve"> I explore how the ongoing collection of observations of rare species changes spatial conservation priorities. I find that even after a century of data collection, new records do and will continue to significantly affect spatial priorities. </w:t>
      </w:r>
      <w:r w:rsidR="00E26BDA">
        <w:t>I then moved to consider a new threat: the environmental impacts from shale gas surface infrastructure. I focus on how those environmental impacts may be partially abated by changing the locations of infrastructure.</w:t>
      </w:r>
      <w:r w:rsidR="003B037F">
        <w:t xml:space="preserve"> </w:t>
      </w:r>
      <w:r w:rsidR="00CB4175">
        <w:t>In Chapter 2 I assess the relative performance of simple guidelines for placing well pads, access roads, and gathering pipelines for shale gas development. I find that while targeted guidelines can be effective, none are universally so. In Chapter 3</w:t>
      </w:r>
      <w:r w:rsidR="00C75C87">
        <w:t>,</w:t>
      </w:r>
      <w:r w:rsidR="00CB4175">
        <w:t xml:space="preserve"> I examine the site-level tradeoffs between reducing environmental impacts and increased construction costs for shale gas surface infrastructure. I find notable heterogeneity among sites in both the degree to which impacts can be reduced and the relative cost of doing so. Finally in Chapter 4</w:t>
      </w:r>
      <w:r w:rsidR="00C75C87">
        <w:t>,</w:t>
      </w:r>
      <w:r w:rsidR="00CB4175">
        <w:t xml:space="preserve"> I evaluate the cost effectiveness of different regulations for reducing aggregate impacts from surface infrastructure across sites and find large gains from trade when implementing a cap and trade system. Overall, my dissertation facilitates a transition of knowledge for conservation planning to be able to better adapt to and cope with the changing world. </w:t>
      </w:r>
    </w:p>
    <w:p w:rsidR="0085757D" w:rsidRDefault="0085757D" w:rsidP="00AB4142">
      <w:pPr>
        <w:pStyle w:val="Title"/>
      </w:pPr>
    </w:p>
    <w:p w:rsidR="0085757D" w:rsidRDefault="0085757D" w:rsidP="005E54E2"/>
    <w:p w:rsidR="0085757D" w:rsidRDefault="0085757D" w:rsidP="005E54E2"/>
    <w:p w:rsidR="00236E6D" w:rsidRPr="007C61E6" w:rsidRDefault="00236E6D" w:rsidP="00387656">
      <w:r w:rsidRPr="005E54E2">
        <w:br w:type="page"/>
      </w:r>
    </w:p>
    <w:p w:rsidR="00387656" w:rsidRPr="00152EC1" w:rsidRDefault="003E58FA" w:rsidP="00152EC1">
      <w:pPr>
        <w:pStyle w:val="Title"/>
      </w:pPr>
      <w:r w:rsidRPr="00152EC1">
        <w:lastRenderedPageBreak/>
        <w:t>Table of Contents</w:t>
      </w:r>
    </w:p>
    <w:p w:rsidR="00867AA7" w:rsidRDefault="00F01773">
      <w:pPr>
        <w:pStyle w:val="TOC1"/>
        <w:tabs>
          <w:tab w:val="right" w:leader="dot" w:pos="8630"/>
        </w:tabs>
        <w:rPr>
          <w:rFonts w:asciiTheme="minorHAnsi" w:eastAsiaTheme="minorEastAsia" w:hAnsiTheme="minorHAnsi" w:cstheme="minorBidi"/>
          <w:noProof/>
          <w:sz w:val="22"/>
          <w:szCs w:val="22"/>
        </w:rPr>
      </w:pPr>
      <w:r w:rsidRPr="00F01773">
        <w:fldChar w:fldCharType="begin"/>
      </w:r>
      <w:r w:rsidR="00CE4CA2">
        <w:instrText xml:space="preserve"> TOC \o "1-2" \h \z \u </w:instrText>
      </w:r>
      <w:r w:rsidRPr="00F01773">
        <w:fldChar w:fldCharType="separate"/>
      </w:r>
      <w:hyperlink w:anchor="_Toc421352860" w:history="1">
        <w:r w:rsidR="00867AA7" w:rsidRPr="00916721">
          <w:rPr>
            <w:rStyle w:val="Hyperlink"/>
            <w:noProof/>
          </w:rPr>
          <w:t>Introduction</w:t>
        </w:r>
        <w:r w:rsidR="00867AA7">
          <w:rPr>
            <w:noProof/>
            <w:webHidden/>
          </w:rPr>
          <w:tab/>
        </w:r>
        <w:r>
          <w:rPr>
            <w:noProof/>
            <w:webHidden/>
          </w:rPr>
          <w:fldChar w:fldCharType="begin"/>
        </w:r>
        <w:r w:rsidR="00867AA7">
          <w:rPr>
            <w:noProof/>
            <w:webHidden/>
          </w:rPr>
          <w:instrText xml:space="preserve"> PAGEREF _Toc421352860 \h </w:instrText>
        </w:r>
        <w:r>
          <w:rPr>
            <w:noProof/>
            <w:webHidden/>
          </w:rPr>
        </w:r>
        <w:r>
          <w:rPr>
            <w:noProof/>
            <w:webHidden/>
          </w:rPr>
          <w:fldChar w:fldCharType="separate"/>
        </w:r>
        <w:r w:rsidR="00867AA7">
          <w:rPr>
            <w:noProof/>
            <w:webHidden/>
          </w:rPr>
          <w:t>11</w:t>
        </w:r>
        <w:r>
          <w:rPr>
            <w:noProof/>
            <w:webHidden/>
          </w:rPr>
          <w:fldChar w:fldCharType="end"/>
        </w:r>
      </w:hyperlink>
    </w:p>
    <w:p w:rsidR="00867AA7" w:rsidRDefault="00F01773">
      <w:pPr>
        <w:pStyle w:val="TOC1"/>
        <w:tabs>
          <w:tab w:val="right" w:leader="dot" w:pos="8630"/>
        </w:tabs>
        <w:rPr>
          <w:rFonts w:asciiTheme="minorHAnsi" w:eastAsiaTheme="minorEastAsia" w:hAnsiTheme="minorHAnsi" w:cstheme="minorBidi"/>
          <w:noProof/>
          <w:sz w:val="22"/>
          <w:szCs w:val="22"/>
        </w:rPr>
      </w:pPr>
      <w:hyperlink w:anchor="_Toc421352861" w:history="1">
        <w:r w:rsidR="00867AA7" w:rsidRPr="00916721">
          <w:rPr>
            <w:rStyle w:val="Hyperlink"/>
            <w:noProof/>
          </w:rPr>
          <w:t>Chapter 1: Updating conservation priorities over 111 years of species observations</w:t>
        </w:r>
        <w:r w:rsidR="00867AA7">
          <w:rPr>
            <w:noProof/>
            <w:webHidden/>
          </w:rPr>
          <w:tab/>
        </w:r>
        <w:r>
          <w:rPr>
            <w:noProof/>
            <w:webHidden/>
          </w:rPr>
          <w:fldChar w:fldCharType="begin"/>
        </w:r>
        <w:r w:rsidR="00867AA7">
          <w:rPr>
            <w:noProof/>
            <w:webHidden/>
          </w:rPr>
          <w:instrText xml:space="preserve"> PAGEREF _Toc421352861 \h </w:instrText>
        </w:r>
        <w:r>
          <w:rPr>
            <w:noProof/>
            <w:webHidden/>
          </w:rPr>
        </w:r>
        <w:r>
          <w:rPr>
            <w:noProof/>
            <w:webHidden/>
          </w:rPr>
          <w:fldChar w:fldCharType="separate"/>
        </w:r>
        <w:r w:rsidR="00867AA7">
          <w:rPr>
            <w:noProof/>
            <w:webHidden/>
          </w:rPr>
          <w:t>17</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62" w:history="1">
        <w:r w:rsidR="00867AA7" w:rsidRPr="00916721">
          <w:rPr>
            <w:rStyle w:val="Hyperlink"/>
            <w:noProof/>
          </w:rPr>
          <w:t>1.1 Abstract</w:t>
        </w:r>
        <w:r w:rsidR="00867AA7">
          <w:rPr>
            <w:noProof/>
            <w:webHidden/>
          </w:rPr>
          <w:tab/>
        </w:r>
        <w:r>
          <w:rPr>
            <w:noProof/>
            <w:webHidden/>
          </w:rPr>
          <w:fldChar w:fldCharType="begin"/>
        </w:r>
        <w:r w:rsidR="00867AA7">
          <w:rPr>
            <w:noProof/>
            <w:webHidden/>
          </w:rPr>
          <w:instrText xml:space="preserve"> PAGEREF _Toc421352862 \h </w:instrText>
        </w:r>
        <w:r>
          <w:rPr>
            <w:noProof/>
            <w:webHidden/>
          </w:rPr>
        </w:r>
        <w:r>
          <w:rPr>
            <w:noProof/>
            <w:webHidden/>
          </w:rPr>
          <w:fldChar w:fldCharType="separate"/>
        </w:r>
        <w:r w:rsidR="00867AA7">
          <w:rPr>
            <w:noProof/>
            <w:webHidden/>
          </w:rPr>
          <w:t>18</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63" w:history="1">
        <w:r w:rsidR="00867AA7" w:rsidRPr="00916721">
          <w:rPr>
            <w:rStyle w:val="Hyperlink"/>
            <w:noProof/>
            <w:lang w:val="en-GB"/>
          </w:rPr>
          <w:t>1.2 Introduction</w:t>
        </w:r>
        <w:r w:rsidR="00867AA7">
          <w:rPr>
            <w:noProof/>
            <w:webHidden/>
          </w:rPr>
          <w:tab/>
        </w:r>
        <w:r>
          <w:rPr>
            <w:noProof/>
            <w:webHidden/>
          </w:rPr>
          <w:fldChar w:fldCharType="begin"/>
        </w:r>
        <w:r w:rsidR="00867AA7">
          <w:rPr>
            <w:noProof/>
            <w:webHidden/>
          </w:rPr>
          <w:instrText xml:space="preserve"> PAGEREF _Toc421352863 \h </w:instrText>
        </w:r>
        <w:r>
          <w:rPr>
            <w:noProof/>
            <w:webHidden/>
          </w:rPr>
        </w:r>
        <w:r>
          <w:rPr>
            <w:noProof/>
            <w:webHidden/>
          </w:rPr>
          <w:fldChar w:fldCharType="separate"/>
        </w:r>
        <w:r w:rsidR="00867AA7">
          <w:rPr>
            <w:noProof/>
            <w:webHidden/>
          </w:rPr>
          <w:t>19</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64" w:history="1">
        <w:r w:rsidR="00867AA7" w:rsidRPr="00916721">
          <w:rPr>
            <w:rStyle w:val="Hyperlink"/>
            <w:noProof/>
            <w:lang w:val="en-GB"/>
          </w:rPr>
          <w:t>1.3 Materials and Methods</w:t>
        </w:r>
        <w:r w:rsidR="00867AA7">
          <w:rPr>
            <w:noProof/>
            <w:webHidden/>
          </w:rPr>
          <w:tab/>
        </w:r>
        <w:r>
          <w:rPr>
            <w:noProof/>
            <w:webHidden/>
          </w:rPr>
          <w:fldChar w:fldCharType="begin"/>
        </w:r>
        <w:r w:rsidR="00867AA7">
          <w:rPr>
            <w:noProof/>
            <w:webHidden/>
          </w:rPr>
          <w:instrText xml:space="preserve"> PAGEREF _Toc421352864 \h </w:instrText>
        </w:r>
        <w:r>
          <w:rPr>
            <w:noProof/>
            <w:webHidden/>
          </w:rPr>
        </w:r>
        <w:r>
          <w:rPr>
            <w:noProof/>
            <w:webHidden/>
          </w:rPr>
          <w:fldChar w:fldCharType="separate"/>
        </w:r>
        <w:r w:rsidR="00867AA7">
          <w:rPr>
            <w:noProof/>
            <w:webHidden/>
          </w:rPr>
          <w:t>21</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65" w:history="1">
        <w:r w:rsidR="00867AA7" w:rsidRPr="00916721">
          <w:rPr>
            <w:rStyle w:val="Hyperlink"/>
            <w:noProof/>
            <w:lang w:val="en-GB"/>
          </w:rPr>
          <w:t>1.4 Results</w:t>
        </w:r>
        <w:r w:rsidR="00867AA7">
          <w:rPr>
            <w:noProof/>
            <w:webHidden/>
          </w:rPr>
          <w:tab/>
        </w:r>
        <w:r>
          <w:rPr>
            <w:noProof/>
            <w:webHidden/>
          </w:rPr>
          <w:fldChar w:fldCharType="begin"/>
        </w:r>
        <w:r w:rsidR="00867AA7">
          <w:rPr>
            <w:noProof/>
            <w:webHidden/>
          </w:rPr>
          <w:instrText xml:space="preserve"> PAGEREF _Toc421352865 \h </w:instrText>
        </w:r>
        <w:r>
          <w:rPr>
            <w:noProof/>
            <w:webHidden/>
          </w:rPr>
        </w:r>
        <w:r>
          <w:rPr>
            <w:noProof/>
            <w:webHidden/>
          </w:rPr>
          <w:fldChar w:fldCharType="separate"/>
        </w:r>
        <w:r w:rsidR="00867AA7">
          <w:rPr>
            <w:noProof/>
            <w:webHidden/>
          </w:rPr>
          <w:t>28</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66" w:history="1">
        <w:r w:rsidR="00867AA7" w:rsidRPr="00916721">
          <w:rPr>
            <w:rStyle w:val="Hyperlink"/>
            <w:noProof/>
            <w:lang w:val="en-GB"/>
          </w:rPr>
          <w:t>1.5 Discussion</w:t>
        </w:r>
        <w:r w:rsidR="00867AA7">
          <w:rPr>
            <w:noProof/>
            <w:webHidden/>
          </w:rPr>
          <w:tab/>
        </w:r>
        <w:r>
          <w:rPr>
            <w:noProof/>
            <w:webHidden/>
          </w:rPr>
          <w:fldChar w:fldCharType="begin"/>
        </w:r>
        <w:r w:rsidR="00867AA7">
          <w:rPr>
            <w:noProof/>
            <w:webHidden/>
          </w:rPr>
          <w:instrText xml:space="preserve"> PAGEREF _Toc421352866 \h </w:instrText>
        </w:r>
        <w:r>
          <w:rPr>
            <w:noProof/>
            <w:webHidden/>
          </w:rPr>
        </w:r>
        <w:r>
          <w:rPr>
            <w:noProof/>
            <w:webHidden/>
          </w:rPr>
          <w:fldChar w:fldCharType="separate"/>
        </w:r>
        <w:r w:rsidR="00867AA7">
          <w:rPr>
            <w:noProof/>
            <w:webHidden/>
          </w:rPr>
          <w:t>32</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67" w:history="1">
        <w:r w:rsidR="00867AA7" w:rsidRPr="00916721">
          <w:rPr>
            <w:rStyle w:val="Hyperlink"/>
            <w:noProof/>
            <w:lang w:val="en-GB"/>
          </w:rPr>
          <w:t>1.6 Appendix</w:t>
        </w:r>
        <w:r w:rsidR="00867AA7">
          <w:rPr>
            <w:noProof/>
            <w:webHidden/>
          </w:rPr>
          <w:tab/>
        </w:r>
        <w:r>
          <w:rPr>
            <w:noProof/>
            <w:webHidden/>
          </w:rPr>
          <w:fldChar w:fldCharType="begin"/>
        </w:r>
        <w:r w:rsidR="00867AA7">
          <w:rPr>
            <w:noProof/>
            <w:webHidden/>
          </w:rPr>
          <w:instrText xml:space="preserve"> PAGEREF _Toc421352867 \h </w:instrText>
        </w:r>
        <w:r>
          <w:rPr>
            <w:noProof/>
            <w:webHidden/>
          </w:rPr>
        </w:r>
        <w:r>
          <w:rPr>
            <w:noProof/>
            <w:webHidden/>
          </w:rPr>
          <w:fldChar w:fldCharType="separate"/>
        </w:r>
        <w:r w:rsidR="00867AA7">
          <w:rPr>
            <w:noProof/>
            <w:webHidden/>
          </w:rPr>
          <w:t>35</w:t>
        </w:r>
        <w:r>
          <w:rPr>
            <w:noProof/>
            <w:webHidden/>
          </w:rPr>
          <w:fldChar w:fldCharType="end"/>
        </w:r>
      </w:hyperlink>
    </w:p>
    <w:p w:rsidR="00867AA7" w:rsidRDefault="00F01773">
      <w:pPr>
        <w:pStyle w:val="TOC1"/>
        <w:tabs>
          <w:tab w:val="right" w:leader="dot" w:pos="8630"/>
        </w:tabs>
        <w:rPr>
          <w:rFonts w:asciiTheme="minorHAnsi" w:eastAsiaTheme="minorEastAsia" w:hAnsiTheme="minorHAnsi" w:cstheme="minorBidi"/>
          <w:noProof/>
          <w:sz w:val="22"/>
          <w:szCs w:val="22"/>
        </w:rPr>
      </w:pPr>
      <w:hyperlink w:anchor="_Toc421352868" w:history="1">
        <w:r w:rsidR="00867AA7" w:rsidRPr="00916721">
          <w:rPr>
            <w:rStyle w:val="Hyperlink"/>
            <w:noProof/>
          </w:rPr>
          <w:t>Chapter 2: Synergies and tradeoffs among environmental impacts under conservation planning of shale gas surface infrastructure</w:t>
        </w:r>
        <w:r w:rsidR="00867AA7">
          <w:rPr>
            <w:noProof/>
            <w:webHidden/>
          </w:rPr>
          <w:tab/>
        </w:r>
        <w:r>
          <w:rPr>
            <w:noProof/>
            <w:webHidden/>
          </w:rPr>
          <w:fldChar w:fldCharType="begin"/>
        </w:r>
        <w:r w:rsidR="00867AA7">
          <w:rPr>
            <w:noProof/>
            <w:webHidden/>
          </w:rPr>
          <w:instrText xml:space="preserve"> PAGEREF _Toc421352868 \h </w:instrText>
        </w:r>
        <w:r>
          <w:rPr>
            <w:noProof/>
            <w:webHidden/>
          </w:rPr>
        </w:r>
        <w:r>
          <w:rPr>
            <w:noProof/>
            <w:webHidden/>
          </w:rPr>
          <w:fldChar w:fldCharType="separate"/>
        </w:r>
        <w:r w:rsidR="00867AA7">
          <w:rPr>
            <w:noProof/>
            <w:webHidden/>
          </w:rPr>
          <w:t>47</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69" w:history="1">
        <w:r w:rsidR="00867AA7" w:rsidRPr="00916721">
          <w:rPr>
            <w:rStyle w:val="Hyperlink"/>
            <w:noProof/>
          </w:rPr>
          <w:t>2.1 Abstract</w:t>
        </w:r>
        <w:r w:rsidR="00867AA7">
          <w:rPr>
            <w:noProof/>
            <w:webHidden/>
          </w:rPr>
          <w:tab/>
        </w:r>
        <w:r>
          <w:rPr>
            <w:noProof/>
            <w:webHidden/>
          </w:rPr>
          <w:fldChar w:fldCharType="begin"/>
        </w:r>
        <w:r w:rsidR="00867AA7">
          <w:rPr>
            <w:noProof/>
            <w:webHidden/>
          </w:rPr>
          <w:instrText xml:space="preserve"> PAGEREF _Toc421352869 \h </w:instrText>
        </w:r>
        <w:r>
          <w:rPr>
            <w:noProof/>
            <w:webHidden/>
          </w:rPr>
        </w:r>
        <w:r>
          <w:rPr>
            <w:noProof/>
            <w:webHidden/>
          </w:rPr>
          <w:fldChar w:fldCharType="separate"/>
        </w:r>
        <w:r w:rsidR="00867AA7">
          <w:rPr>
            <w:noProof/>
            <w:webHidden/>
          </w:rPr>
          <w:t>48</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70" w:history="1">
        <w:r w:rsidR="00867AA7" w:rsidRPr="00916721">
          <w:rPr>
            <w:rStyle w:val="Hyperlink"/>
            <w:noProof/>
          </w:rPr>
          <w:t>2.2 Introduction</w:t>
        </w:r>
        <w:r w:rsidR="00867AA7">
          <w:rPr>
            <w:noProof/>
            <w:webHidden/>
          </w:rPr>
          <w:tab/>
        </w:r>
        <w:r>
          <w:rPr>
            <w:noProof/>
            <w:webHidden/>
          </w:rPr>
          <w:fldChar w:fldCharType="begin"/>
        </w:r>
        <w:r w:rsidR="00867AA7">
          <w:rPr>
            <w:noProof/>
            <w:webHidden/>
          </w:rPr>
          <w:instrText xml:space="preserve"> PAGEREF _Toc421352870 \h </w:instrText>
        </w:r>
        <w:r>
          <w:rPr>
            <w:noProof/>
            <w:webHidden/>
          </w:rPr>
        </w:r>
        <w:r>
          <w:rPr>
            <w:noProof/>
            <w:webHidden/>
          </w:rPr>
          <w:fldChar w:fldCharType="separate"/>
        </w:r>
        <w:r w:rsidR="00867AA7">
          <w:rPr>
            <w:noProof/>
            <w:webHidden/>
          </w:rPr>
          <w:t>48</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71" w:history="1">
        <w:r w:rsidR="00867AA7" w:rsidRPr="00916721">
          <w:rPr>
            <w:rStyle w:val="Hyperlink"/>
            <w:noProof/>
          </w:rPr>
          <w:t>2.3 Methods and Materials</w:t>
        </w:r>
        <w:r w:rsidR="00867AA7">
          <w:rPr>
            <w:noProof/>
            <w:webHidden/>
          </w:rPr>
          <w:tab/>
        </w:r>
        <w:r>
          <w:rPr>
            <w:noProof/>
            <w:webHidden/>
          </w:rPr>
          <w:fldChar w:fldCharType="begin"/>
        </w:r>
        <w:r w:rsidR="00867AA7">
          <w:rPr>
            <w:noProof/>
            <w:webHidden/>
          </w:rPr>
          <w:instrText xml:space="preserve"> PAGEREF _Toc421352871 \h </w:instrText>
        </w:r>
        <w:r>
          <w:rPr>
            <w:noProof/>
            <w:webHidden/>
          </w:rPr>
        </w:r>
        <w:r>
          <w:rPr>
            <w:noProof/>
            <w:webHidden/>
          </w:rPr>
          <w:fldChar w:fldCharType="separate"/>
        </w:r>
        <w:r w:rsidR="00867AA7">
          <w:rPr>
            <w:noProof/>
            <w:webHidden/>
          </w:rPr>
          <w:t>52</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72" w:history="1">
        <w:r w:rsidR="00867AA7" w:rsidRPr="00916721">
          <w:rPr>
            <w:rStyle w:val="Hyperlink"/>
            <w:noProof/>
          </w:rPr>
          <w:t>2.4 Results</w:t>
        </w:r>
        <w:r w:rsidR="00867AA7">
          <w:rPr>
            <w:noProof/>
            <w:webHidden/>
          </w:rPr>
          <w:tab/>
        </w:r>
        <w:r>
          <w:rPr>
            <w:noProof/>
            <w:webHidden/>
          </w:rPr>
          <w:fldChar w:fldCharType="begin"/>
        </w:r>
        <w:r w:rsidR="00867AA7">
          <w:rPr>
            <w:noProof/>
            <w:webHidden/>
          </w:rPr>
          <w:instrText xml:space="preserve"> PAGEREF _Toc421352872 \h </w:instrText>
        </w:r>
        <w:r>
          <w:rPr>
            <w:noProof/>
            <w:webHidden/>
          </w:rPr>
        </w:r>
        <w:r>
          <w:rPr>
            <w:noProof/>
            <w:webHidden/>
          </w:rPr>
          <w:fldChar w:fldCharType="separate"/>
        </w:r>
        <w:r w:rsidR="00867AA7">
          <w:rPr>
            <w:noProof/>
            <w:webHidden/>
          </w:rPr>
          <w:t>57</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73" w:history="1">
        <w:r w:rsidR="00867AA7" w:rsidRPr="00916721">
          <w:rPr>
            <w:rStyle w:val="Hyperlink"/>
            <w:noProof/>
          </w:rPr>
          <w:t>2.5 Discussion</w:t>
        </w:r>
        <w:r w:rsidR="00867AA7">
          <w:rPr>
            <w:noProof/>
            <w:webHidden/>
          </w:rPr>
          <w:tab/>
        </w:r>
        <w:r>
          <w:rPr>
            <w:noProof/>
            <w:webHidden/>
          </w:rPr>
          <w:fldChar w:fldCharType="begin"/>
        </w:r>
        <w:r w:rsidR="00867AA7">
          <w:rPr>
            <w:noProof/>
            <w:webHidden/>
          </w:rPr>
          <w:instrText xml:space="preserve"> PAGEREF _Toc421352873 \h </w:instrText>
        </w:r>
        <w:r>
          <w:rPr>
            <w:noProof/>
            <w:webHidden/>
          </w:rPr>
        </w:r>
        <w:r>
          <w:rPr>
            <w:noProof/>
            <w:webHidden/>
          </w:rPr>
          <w:fldChar w:fldCharType="separate"/>
        </w:r>
        <w:r w:rsidR="00867AA7">
          <w:rPr>
            <w:noProof/>
            <w:webHidden/>
          </w:rPr>
          <w:t>61</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74" w:history="1">
        <w:r w:rsidR="00867AA7" w:rsidRPr="00916721">
          <w:rPr>
            <w:rStyle w:val="Hyperlink"/>
            <w:noProof/>
          </w:rPr>
          <w:t>2.6 Appendix</w:t>
        </w:r>
        <w:r w:rsidR="00867AA7">
          <w:rPr>
            <w:noProof/>
            <w:webHidden/>
          </w:rPr>
          <w:tab/>
        </w:r>
        <w:r>
          <w:rPr>
            <w:noProof/>
            <w:webHidden/>
          </w:rPr>
          <w:fldChar w:fldCharType="begin"/>
        </w:r>
        <w:r w:rsidR="00867AA7">
          <w:rPr>
            <w:noProof/>
            <w:webHidden/>
          </w:rPr>
          <w:instrText xml:space="preserve"> PAGEREF _Toc421352874 \h </w:instrText>
        </w:r>
        <w:r>
          <w:rPr>
            <w:noProof/>
            <w:webHidden/>
          </w:rPr>
        </w:r>
        <w:r>
          <w:rPr>
            <w:noProof/>
            <w:webHidden/>
          </w:rPr>
          <w:fldChar w:fldCharType="separate"/>
        </w:r>
        <w:r w:rsidR="00867AA7">
          <w:rPr>
            <w:noProof/>
            <w:webHidden/>
          </w:rPr>
          <w:t>63</w:t>
        </w:r>
        <w:r>
          <w:rPr>
            <w:noProof/>
            <w:webHidden/>
          </w:rPr>
          <w:fldChar w:fldCharType="end"/>
        </w:r>
      </w:hyperlink>
    </w:p>
    <w:p w:rsidR="00867AA7" w:rsidRDefault="00F01773">
      <w:pPr>
        <w:pStyle w:val="TOC1"/>
        <w:tabs>
          <w:tab w:val="right" w:leader="dot" w:pos="8630"/>
        </w:tabs>
        <w:rPr>
          <w:rFonts w:asciiTheme="minorHAnsi" w:eastAsiaTheme="minorEastAsia" w:hAnsiTheme="minorHAnsi" w:cstheme="minorBidi"/>
          <w:noProof/>
          <w:sz w:val="22"/>
          <w:szCs w:val="22"/>
        </w:rPr>
      </w:pPr>
      <w:hyperlink w:anchor="_Toc421352875" w:history="1">
        <w:r w:rsidR="00867AA7" w:rsidRPr="00916721">
          <w:rPr>
            <w:rStyle w:val="Hyperlink"/>
            <w:noProof/>
          </w:rPr>
          <w:t>Chapter 3: The cost of avoiding environmental impacts from shale gas surface infrastructure at the lease-hold level</w:t>
        </w:r>
        <w:r w:rsidR="00867AA7">
          <w:rPr>
            <w:noProof/>
            <w:webHidden/>
          </w:rPr>
          <w:tab/>
        </w:r>
        <w:r>
          <w:rPr>
            <w:noProof/>
            <w:webHidden/>
          </w:rPr>
          <w:fldChar w:fldCharType="begin"/>
        </w:r>
        <w:r w:rsidR="00867AA7">
          <w:rPr>
            <w:noProof/>
            <w:webHidden/>
          </w:rPr>
          <w:instrText xml:space="preserve"> PAGEREF _Toc421352875 \h </w:instrText>
        </w:r>
        <w:r>
          <w:rPr>
            <w:noProof/>
            <w:webHidden/>
          </w:rPr>
        </w:r>
        <w:r>
          <w:rPr>
            <w:noProof/>
            <w:webHidden/>
          </w:rPr>
          <w:fldChar w:fldCharType="separate"/>
        </w:r>
        <w:r w:rsidR="00867AA7">
          <w:rPr>
            <w:noProof/>
            <w:webHidden/>
          </w:rPr>
          <w:t>81</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76" w:history="1">
        <w:r w:rsidR="00867AA7" w:rsidRPr="00916721">
          <w:rPr>
            <w:rStyle w:val="Hyperlink"/>
            <w:noProof/>
          </w:rPr>
          <w:t>3.1 Abstract</w:t>
        </w:r>
        <w:r w:rsidR="00867AA7">
          <w:rPr>
            <w:noProof/>
            <w:webHidden/>
          </w:rPr>
          <w:tab/>
        </w:r>
        <w:r>
          <w:rPr>
            <w:noProof/>
            <w:webHidden/>
          </w:rPr>
          <w:fldChar w:fldCharType="begin"/>
        </w:r>
        <w:r w:rsidR="00867AA7">
          <w:rPr>
            <w:noProof/>
            <w:webHidden/>
          </w:rPr>
          <w:instrText xml:space="preserve"> PAGEREF _Toc421352876 \h </w:instrText>
        </w:r>
        <w:r>
          <w:rPr>
            <w:noProof/>
            <w:webHidden/>
          </w:rPr>
        </w:r>
        <w:r>
          <w:rPr>
            <w:noProof/>
            <w:webHidden/>
          </w:rPr>
          <w:fldChar w:fldCharType="separate"/>
        </w:r>
        <w:r w:rsidR="00867AA7">
          <w:rPr>
            <w:noProof/>
            <w:webHidden/>
          </w:rPr>
          <w:t>82</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77" w:history="1">
        <w:r w:rsidR="00867AA7" w:rsidRPr="00916721">
          <w:rPr>
            <w:rStyle w:val="Hyperlink"/>
            <w:noProof/>
          </w:rPr>
          <w:t>3.2 Introduction</w:t>
        </w:r>
        <w:r w:rsidR="00867AA7">
          <w:rPr>
            <w:noProof/>
            <w:webHidden/>
          </w:rPr>
          <w:tab/>
        </w:r>
        <w:r>
          <w:rPr>
            <w:noProof/>
            <w:webHidden/>
          </w:rPr>
          <w:fldChar w:fldCharType="begin"/>
        </w:r>
        <w:r w:rsidR="00867AA7">
          <w:rPr>
            <w:noProof/>
            <w:webHidden/>
          </w:rPr>
          <w:instrText xml:space="preserve"> PAGEREF _Toc421352877 \h </w:instrText>
        </w:r>
        <w:r>
          <w:rPr>
            <w:noProof/>
            <w:webHidden/>
          </w:rPr>
        </w:r>
        <w:r>
          <w:rPr>
            <w:noProof/>
            <w:webHidden/>
          </w:rPr>
          <w:fldChar w:fldCharType="separate"/>
        </w:r>
        <w:r w:rsidR="00867AA7">
          <w:rPr>
            <w:noProof/>
            <w:webHidden/>
          </w:rPr>
          <w:t>82</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78" w:history="1">
        <w:r w:rsidR="00867AA7" w:rsidRPr="00916721">
          <w:rPr>
            <w:rStyle w:val="Hyperlink"/>
            <w:noProof/>
          </w:rPr>
          <w:t>3.3 Methods</w:t>
        </w:r>
        <w:r w:rsidR="00867AA7">
          <w:rPr>
            <w:noProof/>
            <w:webHidden/>
          </w:rPr>
          <w:tab/>
        </w:r>
        <w:r>
          <w:rPr>
            <w:noProof/>
            <w:webHidden/>
          </w:rPr>
          <w:fldChar w:fldCharType="begin"/>
        </w:r>
        <w:r w:rsidR="00867AA7">
          <w:rPr>
            <w:noProof/>
            <w:webHidden/>
          </w:rPr>
          <w:instrText xml:space="preserve"> PAGEREF _Toc421352878 \h </w:instrText>
        </w:r>
        <w:r>
          <w:rPr>
            <w:noProof/>
            <w:webHidden/>
          </w:rPr>
        </w:r>
        <w:r>
          <w:rPr>
            <w:noProof/>
            <w:webHidden/>
          </w:rPr>
          <w:fldChar w:fldCharType="separate"/>
        </w:r>
        <w:r w:rsidR="00867AA7">
          <w:rPr>
            <w:noProof/>
            <w:webHidden/>
          </w:rPr>
          <w:t>87</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79" w:history="1">
        <w:r w:rsidR="00867AA7" w:rsidRPr="00916721">
          <w:rPr>
            <w:rStyle w:val="Hyperlink"/>
            <w:noProof/>
          </w:rPr>
          <w:t>3.4 Results</w:t>
        </w:r>
        <w:r w:rsidR="00867AA7">
          <w:rPr>
            <w:noProof/>
            <w:webHidden/>
          </w:rPr>
          <w:tab/>
        </w:r>
        <w:r>
          <w:rPr>
            <w:noProof/>
            <w:webHidden/>
          </w:rPr>
          <w:fldChar w:fldCharType="begin"/>
        </w:r>
        <w:r w:rsidR="00867AA7">
          <w:rPr>
            <w:noProof/>
            <w:webHidden/>
          </w:rPr>
          <w:instrText xml:space="preserve"> PAGEREF _Toc421352879 \h </w:instrText>
        </w:r>
        <w:r>
          <w:rPr>
            <w:noProof/>
            <w:webHidden/>
          </w:rPr>
        </w:r>
        <w:r>
          <w:rPr>
            <w:noProof/>
            <w:webHidden/>
          </w:rPr>
          <w:fldChar w:fldCharType="separate"/>
        </w:r>
        <w:r w:rsidR="00867AA7">
          <w:rPr>
            <w:noProof/>
            <w:webHidden/>
          </w:rPr>
          <w:t>91</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80" w:history="1">
        <w:r w:rsidR="00867AA7" w:rsidRPr="00916721">
          <w:rPr>
            <w:rStyle w:val="Hyperlink"/>
            <w:noProof/>
          </w:rPr>
          <w:t>3.5 Discussion</w:t>
        </w:r>
        <w:r w:rsidR="00867AA7">
          <w:rPr>
            <w:noProof/>
            <w:webHidden/>
          </w:rPr>
          <w:tab/>
        </w:r>
        <w:r>
          <w:rPr>
            <w:noProof/>
            <w:webHidden/>
          </w:rPr>
          <w:fldChar w:fldCharType="begin"/>
        </w:r>
        <w:r w:rsidR="00867AA7">
          <w:rPr>
            <w:noProof/>
            <w:webHidden/>
          </w:rPr>
          <w:instrText xml:space="preserve"> PAGEREF _Toc421352880 \h </w:instrText>
        </w:r>
        <w:r>
          <w:rPr>
            <w:noProof/>
            <w:webHidden/>
          </w:rPr>
        </w:r>
        <w:r>
          <w:rPr>
            <w:noProof/>
            <w:webHidden/>
          </w:rPr>
          <w:fldChar w:fldCharType="separate"/>
        </w:r>
        <w:r w:rsidR="00867AA7">
          <w:rPr>
            <w:noProof/>
            <w:webHidden/>
          </w:rPr>
          <w:t>96</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81" w:history="1">
        <w:r w:rsidR="00867AA7" w:rsidRPr="00916721">
          <w:rPr>
            <w:rStyle w:val="Hyperlink"/>
            <w:noProof/>
          </w:rPr>
          <w:t>3.6 Conclusion</w:t>
        </w:r>
        <w:r w:rsidR="00867AA7">
          <w:rPr>
            <w:noProof/>
            <w:webHidden/>
          </w:rPr>
          <w:tab/>
        </w:r>
        <w:r>
          <w:rPr>
            <w:noProof/>
            <w:webHidden/>
          </w:rPr>
          <w:fldChar w:fldCharType="begin"/>
        </w:r>
        <w:r w:rsidR="00867AA7">
          <w:rPr>
            <w:noProof/>
            <w:webHidden/>
          </w:rPr>
          <w:instrText xml:space="preserve"> PAGEREF _Toc421352881 \h </w:instrText>
        </w:r>
        <w:r>
          <w:rPr>
            <w:noProof/>
            <w:webHidden/>
          </w:rPr>
        </w:r>
        <w:r>
          <w:rPr>
            <w:noProof/>
            <w:webHidden/>
          </w:rPr>
          <w:fldChar w:fldCharType="separate"/>
        </w:r>
        <w:r w:rsidR="00867AA7">
          <w:rPr>
            <w:noProof/>
            <w:webHidden/>
          </w:rPr>
          <w:t>100</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82" w:history="1">
        <w:r w:rsidR="00867AA7" w:rsidRPr="00916721">
          <w:rPr>
            <w:rStyle w:val="Hyperlink"/>
            <w:noProof/>
          </w:rPr>
          <w:t>3.7 Appendix</w:t>
        </w:r>
        <w:r w:rsidR="00867AA7">
          <w:rPr>
            <w:noProof/>
            <w:webHidden/>
          </w:rPr>
          <w:tab/>
        </w:r>
        <w:r>
          <w:rPr>
            <w:noProof/>
            <w:webHidden/>
          </w:rPr>
          <w:fldChar w:fldCharType="begin"/>
        </w:r>
        <w:r w:rsidR="00867AA7">
          <w:rPr>
            <w:noProof/>
            <w:webHidden/>
          </w:rPr>
          <w:instrText xml:space="preserve"> PAGEREF _Toc421352882 \h </w:instrText>
        </w:r>
        <w:r>
          <w:rPr>
            <w:noProof/>
            <w:webHidden/>
          </w:rPr>
        </w:r>
        <w:r>
          <w:rPr>
            <w:noProof/>
            <w:webHidden/>
          </w:rPr>
          <w:fldChar w:fldCharType="separate"/>
        </w:r>
        <w:r w:rsidR="00867AA7">
          <w:rPr>
            <w:noProof/>
            <w:webHidden/>
          </w:rPr>
          <w:t>100</w:t>
        </w:r>
        <w:r>
          <w:rPr>
            <w:noProof/>
            <w:webHidden/>
          </w:rPr>
          <w:fldChar w:fldCharType="end"/>
        </w:r>
      </w:hyperlink>
    </w:p>
    <w:p w:rsidR="00867AA7" w:rsidRDefault="00F01773">
      <w:pPr>
        <w:pStyle w:val="TOC1"/>
        <w:tabs>
          <w:tab w:val="right" w:leader="dot" w:pos="8630"/>
        </w:tabs>
        <w:rPr>
          <w:rFonts w:asciiTheme="minorHAnsi" w:eastAsiaTheme="minorEastAsia" w:hAnsiTheme="minorHAnsi" w:cstheme="minorBidi"/>
          <w:noProof/>
          <w:sz w:val="22"/>
          <w:szCs w:val="22"/>
        </w:rPr>
      </w:pPr>
      <w:hyperlink w:anchor="_Toc421352883" w:history="1">
        <w:r w:rsidR="00867AA7" w:rsidRPr="00916721">
          <w:rPr>
            <w:rStyle w:val="Hyperlink"/>
            <w:noProof/>
          </w:rPr>
          <w:t>Chapter 4: Comparing policies for the reduction of potential environmental impacts from shale gas surface infrastructure</w:t>
        </w:r>
        <w:r w:rsidR="00867AA7">
          <w:rPr>
            <w:noProof/>
            <w:webHidden/>
          </w:rPr>
          <w:tab/>
        </w:r>
        <w:r>
          <w:rPr>
            <w:noProof/>
            <w:webHidden/>
          </w:rPr>
          <w:fldChar w:fldCharType="begin"/>
        </w:r>
        <w:r w:rsidR="00867AA7">
          <w:rPr>
            <w:noProof/>
            <w:webHidden/>
          </w:rPr>
          <w:instrText xml:space="preserve"> PAGEREF _Toc421352883 \h </w:instrText>
        </w:r>
        <w:r>
          <w:rPr>
            <w:noProof/>
            <w:webHidden/>
          </w:rPr>
        </w:r>
        <w:r>
          <w:rPr>
            <w:noProof/>
            <w:webHidden/>
          </w:rPr>
          <w:fldChar w:fldCharType="separate"/>
        </w:r>
        <w:r w:rsidR="00867AA7">
          <w:rPr>
            <w:noProof/>
            <w:webHidden/>
          </w:rPr>
          <w:t>124</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84" w:history="1">
        <w:r w:rsidR="00867AA7" w:rsidRPr="00916721">
          <w:rPr>
            <w:rStyle w:val="Hyperlink"/>
            <w:noProof/>
          </w:rPr>
          <w:t>4.1 Abstract</w:t>
        </w:r>
        <w:r w:rsidR="00867AA7">
          <w:rPr>
            <w:noProof/>
            <w:webHidden/>
          </w:rPr>
          <w:tab/>
        </w:r>
        <w:r>
          <w:rPr>
            <w:noProof/>
            <w:webHidden/>
          </w:rPr>
          <w:fldChar w:fldCharType="begin"/>
        </w:r>
        <w:r w:rsidR="00867AA7">
          <w:rPr>
            <w:noProof/>
            <w:webHidden/>
          </w:rPr>
          <w:instrText xml:space="preserve"> PAGEREF _Toc421352884 \h </w:instrText>
        </w:r>
        <w:r>
          <w:rPr>
            <w:noProof/>
            <w:webHidden/>
          </w:rPr>
        </w:r>
        <w:r>
          <w:rPr>
            <w:noProof/>
            <w:webHidden/>
          </w:rPr>
          <w:fldChar w:fldCharType="separate"/>
        </w:r>
        <w:r w:rsidR="00867AA7">
          <w:rPr>
            <w:noProof/>
            <w:webHidden/>
          </w:rPr>
          <w:t>125</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85" w:history="1">
        <w:r w:rsidR="00867AA7" w:rsidRPr="00916721">
          <w:rPr>
            <w:rStyle w:val="Hyperlink"/>
            <w:noProof/>
          </w:rPr>
          <w:t>4.2 Introduction</w:t>
        </w:r>
        <w:r w:rsidR="00867AA7">
          <w:rPr>
            <w:noProof/>
            <w:webHidden/>
          </w:rPr>
          <w:tab/>
        </w:r>
        <w:r>
          <w:rPr>
            <w:noProof/>
            <w:webHidden/>
          </w:rPr>
          <w:fldChar w:fldCharType="begin"/>
        </w:r>
        <w:r w:rsidR="00867AA7">
          <w:rPr>
            <w:noProof/>
            <w:webHidden/>
          </w:rPr>
          <w:instrText xml:space="preserve"> PAGEREF _Toc421352885 \h </w:instrText>
        </w:r>
        <w:r>
          <w:rPr>
            <w:noProof/>
            <w:webHidden/>
          </w:rPr>
        </w:r>
        <w:r>
          <w:rPr>
            <w:noProof/>
            <w:webHidden/>
          </w:rPr>
          <w:fldChar w:fldCharType="separate"/>
        </w:r>
        <w:r w:rsidR="00867AA7">
          <w:rPr>
            <w:noProof/>
            <w:webHidden/>
          </w:rPr>
          <w:t>125</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86" w:history="1">
        <w:r w:rsidR="00867AA7" w:rsidRPr="00916721">
          <w:rPr>
            <w:rStyle w:val="Hyperlink"/>
            <w:noProof/>
          </w:rPr>
          <w:t>4.3 Methods and Materials</w:t>
        </w:r>
        <w:r w:rsidR="00867AA7">
          <w:rPr>
            <w:noProof/>
            <w:webHidden/>
          </w:rPr>
          <w:tab/>
        </w:r>
        <w:r>
          <w:rPr>
            <w:noProof/>
            <w:webHidden/>
          </w:rPr>
          <w:fldChar w:fldCharType="begin"/>
        </w:r>
        <w:r w:rsidR="00867AA7">
          <w:rPr>
            <w:noProof/>
            <w:webHidden/>
          </w:rPr>
          <w:instrText xml:space="preserve"> PAGEREF _Toc421352886 \h </w:instrText>
        </w:r>
        <w:r>
          <w:rPr>
            <w:noProof/>
            <w:webHidden/>
          </w:rPr>
        </w:r>
        <w:r>
          <w:rPr>
            <w:noProof/>
            <w:webHidden/>
          </w:rPr>
          <w:fldChar w:fldCharType="separate"/>
        </w:r>
        <w:r w:rsidR="00867AA7">
          <w:rPr>
            <w:noProof/>
            <w:webHidden/>
          </w:rPr>
          <w:t>130</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87" w:history="1">
        <w:r w:rsidR="00867AA7" w:rsidRPr="00916721">
          <w:rPr>
            <w:rStyle w:val="Hyperlink"/>
            <w:noProof/>
          </w:rPr>
          <w:t>4.4 Results</w:t>
        </w:r>
        <w:r w:rsidR="00867AA7">
          <w:rPr>
            <w:noProof/>
            <w:webHidden/>
          </w:rPr>
          <w:tab/>
        </w:r>
        <w:r>
          <w:rPr>
            <w:noProof/>
            <w:webHidden/>
          </w:rPr>
          <w:fldChar w:fldCharType="begin"/>
        </w:r>
        <w:r w:rsidR="00867AA7">
          <w:rPr>
            <w:noProof/>
            <w:webHidden/>
          </w:rPr>
          <w:instrText xml:space="preserve"> PAGEREF _Toc421352887 \h </w:instrText>
        </w:r>
        <w:r>
          <w:rPr>
            <w:noProof/>
            <w:webHidden/>
          </w:rPr>
        </w:r>
        <w:r>
          <w:rPr>
            <w:noProof/>
            <w:webHidden/>
          </w:rPr>
          <w:fldChar w:fldCharType="separate"/>
        </w:r>
        <w:r w:rsidR="00867AA7">
          <w:rPr>
            <w:noProof/>
            <w:webHidden/>
          </w:rPr>
          <w:t>137</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88" w:history="1">
        <w:r w:rsidR="00867AA7" w:rsidRPr="00916721">
          <w:rPr>
            <w:rStyle w:val="Hyperlink"/>
            <w:noProof/>
          </w:rPr>
          <w:t>4.5 Discussion</w:t>
        </w:r>
        <w:r w:rsidR="00867AA7">
          <w:rPr>
            <w:noProof/>
            <w:webHidden/>
          </w:rPr>
          <w:tab/>
        </w:r>
        <w:r>
          <w:rPr>
            <w:noProof/>
            <w:webHidden/>
          </w:rPr>
          <w:fldChar w:fldCharType="begin"/>
        </w:r>
        <w:r w:rsidR="00867AA7">
          <w:rPr>
            <w:noProof/>
            <w:webHidden/>
          </w:rPr>
          <w:instrText xml:space="preserve"> PAGEREF _Toc421352888 \h </w:instrText>
        </w:r>
        <w:r>
          <w:rPr>
            <w:noProof/>
            <w:webHidden/>
          </w:rPr>
        </w:r>
        <w:r>
          <w:rPr>
            <w:noProof/>
            <w:webHidden/>
          </w:rPr>
          <w:fldChar w:fldCharType="separate"/>
        </w:r>
        <w:r w:rsidR="00867AA7">
          <w:rPr>
            <w:noProof/>
            <w:webHidden/>
          </w:rPr>
          <w:t>145</w:t>
        </w:r>
        <w:r>
          <w:rPr>
            <w:noProof/>
            <w:webHidden/>
          </w:rPr>
          <w:fldChar w:fldCharType="end"/>
        </w:r>
      </w:hyperlink>
    </w:p>
    <w:p w:rsidR="00867AA7" w:rsidRDefault="00F01773">
      <w:pPr>
        <w:pStyle w:val="TOC2"/>
        <w:tabs>
          <w:tab w:val="right" w:leader="dot" w:pos="8630"/>
        </w:tabs>
        <w:rPr>
          <w:rFonts w:asciiTheme="minorHAnsi" w:eastAsiaTheme="minorEastAsia" w:hAnsiTheme="minorHAnsi" w:cstheme="minorBidi"/>
          <w:noProof/>
          <w:sz w:val="22"/>
          <w:szCs w:val="22"/>
        </w:rPr>
      </w:pPr>
      <w:hyperlink w:anchor="_Toc421352889" w:history="1">
        <w:r w:rsidR="00867AA7" w:rsidRPr="00916721">
          <w:rPr>
            <w:rStyle w:val="Hyperlink"/>
            <w:noProof/>
          </w:rPr>
          <w:t>4.6 Appendix</w:t>
        </w:r>
        <w:r w:rsidR="00867AA7">
          <w:rPr>
            <w:noProof/>
            <w:webHidden/>
          </w:rPr>
          <w:tab/>
        </w:r>
        <w:r>
          <w:rPr>
            <w:noProof/>
            <w:webHidden/>
          </w:rPr>
          <w:fldChar w:fldCharType="begin"/>
        </w:r>
        <w:r w:rsidR="00867AA7">
          <w:rPr>
            <w:noProof/>
            <w:webHidden/>
          </w:rPr>
          <w:instrText xml:space="preserve"> PAGEREF _Toc421352889 \h </w:instrText>
        </w:r>
        <w:r>
          <w:rPr>
            <w:noProof/>
            <w:webHidden/>
          </w:rPr>
        </w:r>
        <w:r>
          <w:rPr>
            <w:noProof/>
            <w:webHidden/>
          </w:rPr>
          <w:fldChar w:fldCharType="separate"/>
        </w:r>
        <w:r w:rsidR="00867AA7">
          <w:rPr>
            <w:noProof/>
            <w:webHidden/>
          </w:rPr>
          <w:t>148</w:t>
        </w:r>
        <w:r>
          <w:rPr>
            <w:noProof/>
            <w:webHidden/>
          </w:rPr>
          <w:fldChar w:fldCharType="end"/>
        </w:r>
      </w:hyperlink>
    </w:p>
    <w:p w:rsidR="00867AA7" w:rsidRDefault="00F01773">
      <w:pPr>
        <w:pStyle w:val="TOC1"/>
        <w:tabs>
          <w:tab w:val="right" w:leader="dot" w:pos="8630"/>
        </w:tabs>
        <w:rPr>
          <w:rFonts w:asciiTheme="minorHAnsi" w:eastAsiaTheme="minorEastAsia" w:hAnsiTheme="minorHAnsi" w:cstheme="minorBidi"/>
          <w:noProof/>
          <w:sz w:val="22"/>
          <w:szCs w:val="22"/>
        </w:rPr>
      </w:pPr>
      <w:hyperlink w:anchor="_Toc421352890" w:history="1">
        <w:r w:rsidR="00867AA7" w:rsidRPr="00916721">
          <w:rPr>
            <w:rStyle w:val="Hyperlink"/>
            <w:noProof/>
          </w:rPr>
          <w:t>Conclusion</w:t>
        </w:r>
        <w:r w:rsidR="00867AA7">
          <w:rPr>
            <w:noProof/>
            <w:webHidden/>
          </w:rPr>
          <w:tab/>
        </w:r>
        <w:r>
          <w:rPr>
            <w:noProof/>
            <w:webHidden/>
          </w:rPr>
          <w:fldChar w:fldCharType="begin"/>
        </w:r>
        <w:r w:rsidR="00867AA7">
          <w:rPr>
            <w:noProof/>
            <w:webHidden/>
          </w:rPr>
          <w:instrText xml:space="preserve"> PAGEREF _Toc421352890 \h </w:instrText>
        </w:r>
        <w:r>
          <w:rPr>
            <w:noProof/>
            <w:webHidden/>
          </w:rPr>
        </w:r>
        <w:r>
          <w:rPr>
            <w:noProof/>
            <w:webHidden/>
          </w:rPr>
          <w:fldChar w:fldCharType="separate"/>
        </w:r>
        <w:r w:rsidR="00867AA7">
          <w:rPr>
            <w:noProof/>
            <w:webHidden/>
          </w:rPr>
          <w:t>153</w:t>
        </w:r>
        <w:r>
          <w:rPr>
            <w:noProof/>
            <w:webHidden/>
          </w:rPr>
          <w:fldChar w:fldCharType="end"/>
        </w:r>
      </w:hyperlink>
    </w:p>
    <w:p w:rsidR="00867AA7" w:rsidRDefault="00F01773">
      <w:pPr>
        <w:pStyle w:val="TOC1"/>
        <w:tabs>
          <w:tab w:val="right" w:leader="dot" w:pos="8630"/>
        </w:tabs>
        <w:rPr>
          <w:rFonts w:asciiTheme="minorHAnsi" w:eastAsiaTheme="minorEastAsia" w:hAnsiTheme="minorHAnsi" w:cstheme="minorBidi"/>
          <w:noProof/>
          <w:sz w:val="22"/>
          <w:szCs w:val="22"/>
        </w:rPr>
      </w:pPr>
      <w:hyperlink w:anchor="_Toc421352891" w:history="1">
        <w:r w:rsidR="00867AA7" w:rsidRPr="00916721">
          <w:rPr>
            <w:rStyle w:val="Hyperlink"/>
            <w:noProof/>
          </w:rPr>
          <w:t>Bibliography</w:t>
        </w:r>
        <w:r w:rsidR="00867AA7">
          <w:rPr>
            <w:noProof/>
            <w:webHidden/>
          </w:rPr>
          <w:tab/>
        </w:r>
        <w:r>
          <w:rPr>
            <w:noProof/>
            <w:webHidden/>
          </w:rPr>
          <w:fldChar w:fldCharType="begin"/>
        </w:r>
        <w:r w:rsidR="00867AA7">
          <w:rPr>
            <w:noProof/>
            <w:webHidden/>
          </w:rPr>
          <w:instrText xml:space="preserve"> PAGEREF _Toc421352891 \h </w:instrText>
        </w:r>
        <w:r>
          <w:rPr>
            <w:noProof/>
            <w:webHidden/>
          </w:rPr>
        </w:r>
        <w:r>
          <w:rPr>
            <w:noProof/>
            <w:webHidden/>
          </w:rPr>
          <w:fldChar w:fldCharType="separate"/>
        </w:r>
        <w:r w:rsidR="00867AA7">
          <w:rPr>
            <w:noProof/>
            <w:webHidden/>
          </w:rPr>
          <w:t>159</w:t>
        </w:r>
        <w:r>
          <w:rPr>
            <w:noProof/>
            <w:webHidden/>
          </w:rPr>
          <w:fldChar w:fldCharType="end"/>
        </w:r>
      </w:hyperlink>
    </w:p>
    <w:p w:rsidR="00867AA7" w:rsidRDefault="00F01773">
      <w:pPr>
        <w:pStyle w:val="TOC1"/>
        <w:tabs>
          <w:tab w:val="right" w:leader="dot" w:pos="8630"/>
        </w:tabs>
        <w:rPr>
          <w:rFonts w:asciiTheme="minorHAnsi" w:eastAsiaTheme="minorEastAsia" w:hAnsiTheme="minorHAnsi" w:cstheme="minorBidi"/>
          <w:noProof/>
          <w:sz w:val="22"/>
          <w:szCs w:val="22"/>
        </w:rPr>
      </w:pPr>
      <w:hyperlink w:anchor="_Toc421352892" w:history="1">
        <w:r w:rsidR="00867AA7" w:rsidRPr="00916721">
          <w:rPr>
            <w:rStyle w:val="Hyperlink"/>
            <w:noProof/>
          </w:rPr>
          <w:t>Vita</w:t>
        </w:r>
        <w:r w:rsidR="00867AA7">
          <w:rPr>
            <w:noProof/>
            <w:webHidden/>
          </w:rPr>
          <w:tab/>
        </w:r>
        <w:r>
          <w:rPr>
            <w:noProof/>
            <w:webHidden/>
          </w:rPr>
          <w:fldChar w:fldCharType="begin"/>
        </w:r>
        <w:r w:rsidR="00867AA7">
          <w:rPr>
            <w:noProof/>
            <w:webHidden/>
          </w:rPr>
          <w:instrText xml:space="preserve"> PAGEREF _Toc421352892 \h </w:instrText>
        </w:r>
        <w:r>
          <w:rPr>
            <w:noProof/>
            <w:webHidden/>
          </w:rPr>
        </w:r>
        <w:r>
          <w:rPr>
            <w:noProof/>
            <w:webHidden/>
          </w:rPr>
          <w:fldChar w:fldCharType="separate"/>
        </w:r>
        <w:r w:rsidR="00867AA7">
          <w:rPr>
            <w:noProof/>
            <w:webHidden/>
          </w:rPr>
          <w:t>175</w:t>
        </w:r>
        <w:r>
          <w:rPr>
            <w:noProof/>
            <w:webHidden/>
          </w:rPr>
          <w:fldChar w:fldCharType="end"/>
        </w:r>
      </w:hyperlink>
    </w:p>
    <w:p w:rsidR="00F40135" w:rsidRDefault="00F01773" w:rsidP="00344CDB">
      <w:pPr>
        <w:pStyle w:val="Title"/>
      </w:pPr>
      <w:r>
        <w:fldChar w:fldCharType="end"/>
      </w:r>
    </w:p>
    <w:p w:rsidR="00F40135" w:rsidRDefault="00F40135">
      <w:pPr>
        <w:rPr>
          <w:sz w:val="36"/>
          <w:lang w:val="en-CA"/>
        </w:rPr>
      </w:pPr>
      <w:r>
        <w:br w:type="page"/>
      </w:r>
    </w:p>
    <w:p w:rsidR="00387656" w:rsidRDefault="000074ED" w:rsidP="00344CDB">
      <w:pPr>
        <w:pStyle w:val="Title"/>
      </w:pPr>
      <w:r>
        <w:lastRenderedPageBreak/>
        <w:t>List of</w:t>
      </w:r>
      <w:r w:rsidR="00A56050">
        <w:t xml:space="preserve"> Tables</w:t>
      </w:r>
    </w:p>
    <w:p w:rsidR="00F77805" w:rsidRDefault="00A56050">
      <w:pPr>
        <w:pStyle w:val="Subtitle"/>
      </w:pPr>
      <w:r>
        <w:t xml:space="preserve">Main </w:t>
      </w:r>
      <w:r w:rsidRPr="00A56050">
        <w:t>Tab</w:t>
      </w:r>
      <w:r w:rsidR="006119F8" w:rsidRPr="006119F8">
        <w:t>les</w:t>
      </w:r>
    </w:p>
    <w:p w:rsidR="00867AA7" w:rsidRDefault="00F01773">
      <w:pPr>
        <w:pStyle w:val="TableofFigures"/>
        <w:tabs>
          <w:tab w:val="right" w:leader="dot" w:pos="8630"/>
        </w:tabs>
        <w:rPr>
          <w:rFonts w:asciiTheme="minorHAnsi" w:eastAsiaTheme="minorEastAsia" w:hAnsiTheme="minorHAnsi" w:cstheme="minorBidi"/>
          <w:noProof/>
          <w:sz w:val="22"/>
          <w:szCs w:val="22"/>
        </w:rPr>
      </w:pPr>
      <w:r w:rsidRPr="00F01773">
        <w:fldChar w:fldCharType="begin"/>
      </w:r>
      <w:r w:rsidR="000074ED">
        <w:instrText xml:space="preserve"> TOC \h \z \c "Table" </w:instrText>
      </w:r>
      <w:r w:rsidRPr="00F01773">
        <w:fldChar w:fldCharType="separate"/>
      </w:r>
      <w:hyperlink w:anchor="_Toc421352893" w:history="1">
        <w:r w:rsidR="00867AA7" w:rsidRPr="00CF4FC9">
          <w:rPr>
            <w:rStyle w:val="Hyperlink"/>
            <w:noProof/>
          </w:rPr>
          <w:t xml:space="preserve">Table 1.1. </w:t>
        </w:r>
        <w:r w:rsidR="00867AA7" w:rsidRPr="00CF4FC9">
          <w:rPr>
            <w:rStyle w:val="Hyperlink"/>
            <w:noProof/>
            <w:lang w:val="en-GB"/>
          </w:rPr>
          <w:t>Effect of additional data on priorities overall and when regressed against time</w:t>
        </w:r>
        <w:r w:rsidR="00867AA7">
          <w:rPr>
            <w:noProof/>
            <w:webHidden/>
          </w:rPr>
          <w:tab/>
        </w:r>
        <w:r>
          <w:rPr>
            <w:noProof/>
            <w:webHidden/>
          </w:rPr>
          <w:fldChar w:fldCharType="begin"/>
        </w:r>
        <w:r w:rsidR="00867AA7">
          <w:rPr>
            <w:noProof/>
            <w:webHidden/>
          </w:rPr>
          <w:instrText xml:space="preserve"> PAGEREF _Toc421352893 \h </w:instrText>
        </w:r>
        <w:r>
          <w:rPr>
            <w:noProof/>
            <w:webHidden/>
          </w:rPr>
        </w:r>
        <w:r>
          <w:rPr>
            <w:noProof/>
            <w:webHidden/>
          </w:rPr>
          <w:fldChar w:fldCharType="separate"/>
        </w:r>
        <w:r w:rsidR="00867AA7">
          <w:rPr>
            <w:noProof/>
            <w:webHidden/>
          </w:rPr>
          <w:t>31</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11" w:anchor="_Toc421352894" w:history="1">
        <w:r w:rsidR="00867AA7" w:rsidRPr="00CF4FC9">
          <w:rPr>
            <w:rStyle w:val="Hyperlink"/>
            <w:noProof/>
          </w:rPr>
          <w:t>Table 4.1. Developer optimization problems for policy scenarios</w:t>
        </w:r>
        <w:r w:rsidR="00867AA7">
          <w:rPr>
            <w:noProof/>
            <w:webHidden/>
          </w:rPr>
          <w:tab/>
        </w:r>
        <w:r>
          <w:rPr>
            <w:noProof/>
            <w:webHidden/>
          </w:rPr>
          <w:fldChar w:fldCharType="begin"/>
        </w:r>
        <w:r w:rsidR="00867AA7">
          <w:rPr>
            <w:noProof/>
            <w:webHidden/>
          </w:rPr>
          <w:instrText xml:space="preserve"> PAGEREF _Toc421352894 \h </w:instrText>
        </w:r>
        <w:r>
          <w:rPr>
            <w:noProof/>
            <w:webHidden/>
          </w:rPr>
        </w:r>
        <w:r>
          <w:rPr>
            <w:noProof/>
            <w:webHidden/>
          </w:rPr>
          <w:fldChar w:fldCharType="separate"/>
        </w:r>
        <w:r w:rsidR="00867AA7">
          <w:rPr>
            <w:noProof/>
            <w:webHidden/>
          </w:rPr>
          <w:t>132</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12" w:anchor="_Toc421352895" w:history="1">
        <w:r w:rsidR="00867AA7" w:rsidRPr="00CF4FC9">
          <w:rPr>
            <w:rStyle w:val="Hyperlink"/>
            <w:noProof/>
          </w:rPr>
          <w:t>Table 4.2. Analysis parameters</w:t>
        </w:r>
        <w:r w:rsidR="00867AA7">
          <w:rPr>
            <w:noProof/>
            <w:webHidden/>
          </w:rPr>
          <w:tab/>
        </w:r>
        <w:r>
          <w:rPr>
            <w:noProof/>
            <w:webHidden/>
          </w:rPr>
          <w:fldChar w:fldCharType="begin"/>
        </w:r>
        <w:r w:rsidR="00867AA7">
          <w:rPr>
            <w:noProof/>
            <w:webHidden/>
          </w:rPr>
          <w:instrText xml:space="preserve"> PAGEREF _Toc421352895 \h </w:instrText>
        </w:r>
        <w:r>
          <w:rPr>
            <w:noProof/>
            <w:webHidden/>
          </w:rPr>
        </w:r>
        <w:r>
          <w:rPr>
            <w:noProof/>
            <w:webHidden/>
          </w:rPr>
          <w:fldChar w:fldCharType="separate"/>
        </w:r>
        <w:r w:rsidR="00867AA7">
          <w:rPr>
            <w:noProof/>
            <w:webHidden/>
          </w:rPr>
          <w:t>137</w:t>
        </w:r>
        <w:r>
          <w:rPr>
            <w:noProof/>
            <w:webHidden/>
          </w:rPr>
          <w:fldChar w:fldCharType="end"/>
        </w:r>
      </w:hyperlink>
    </w:p>
    <w:p w:rsidR="00F77805" w:rsidRDefault="00F01773">
      <w:pPr>
        <w:pStyle w:val="Subtitle"/>
      </w:pPr>
      <w:r>
        <w:fldChar w:fldCharType="end"/>
      </w:r>
      <w:r w:rsidR="00A56050">
        <w:t xml:space="preserve">Appendix </w:t>
      </w:r>
      <w:r w:rsidR="00A56050" w:rsidRPr="00A56050">
        <w:t>Tab</w:t>
      </w:r>
      <w:r w:rsidR="006119F8" w:rsidRPr="006119F8">
        <w:t>les</w:t>
      </w:r>
    </w:p>
    <w:p w:rsidR="00867AA7" w:rsidRDefault="00F01773">
      <w:pPr>
        <w:pStyle w:val="TableofFigures"/>
        <w:tabs>
          <w:tab w:val="right" w:leader="dot" w:pos="8630"/>
        </w:tabs>
        <w:rPr>
          <w:rFonts w:asciiTheme="minorHAnsi" w:eastAsiaTheme="minorEastAsia" w:hAnsiTheme="minorHAnsi" w:cstheme="minorBidi"/>
          <w:noProof/>
          <w:sz w:val="22"/>
          <w:szCs w:val="22"/>
        </w:rPr>
      </w:pPr>
      <w:r>
        <w:fldChar w:fldCharType="begin"/>
      </w:r>
      <w:r w:rsidR="005E7C16">
        <w:instrText xml:space="preserve"> TOC \h \z \c "Table S" </w:instrText>
      </w:r>
      <w:r>
        <w:fldChar w:fldCharType="separate"/>
      </w:r>
      <w:hyperlink r:id="rId13" w:anchor="_Toc421352896" w:history="1">
        <w:r w:rsidR="00867AA7" w:rsidRPr="00BF1C5B">
          <w:rPr>
            <w:rStyle w:val="Hyperlink"/>
            <w:noProof/>
          </w:rPr>
          <w:t xml:space="preserve">Table S 1.1. Detailed list of sensitivity tests performed for the (1) </w:t>
        </w:r>
        <w:r w:rsidR="00867AA7" w:rsidRPr="00BF1C5B">
          <w:rPr>
            <w:rStyle w:val="Hyperlink"/>
            <w:i/>
            <w:noProof/>
          </w:rPr>
          <w:t xml:space="preserve">Local Richness </w:t>
        </w:r>
        <w:r w:rsidR="00867AA7" w:rsidRPr="00BF1C5B">
          <w:rPr>
            <w:rStyle w:val="Hyperlink"/>
            <w:noProof/>
          </w:rPr>
          <w:t>ranking method, in which watersheds were ranked by their unique species richness</w:t>
        </w:r>
        <w:r w:rsidR="00867AA7">
          <w:rPr>
            <w:noProof/>
            <w:webHidden/>
          </w:rPr>
          <w:tab/>
        </w:r>
        <w:r>
          <w:rPr>
            <w:noProof/>
            <w:webHidden/>
          </w:rPr>
          <w:fldChar w:fldCharType="begin"/>
        </w:r>
        <w:r w:rsidR="00867AA7">
          <w:rPr>
            <w:noProof/>
            <w:webHidden/>
          </w:rPr>
          <w:instrText xml:space="preserve"> PAGEREF _Toc421352896 \h </w:instrText>
        </w:r>
        <w:r>
          <w:rPr>
            <w:noProof/>
            <w:webHidden/>
          </w:rPr>
        </w:r>
        <w:r>
          <w:rPr>
            <w:noProof/>
            <w:webHidden/>
          </w:rPr>
          <w:fldChar w:fldCharType="separate"/>
        </w:r>
        <w:r w:rsidR="00867AA7">
          <w:rPr>
            <w:noProof/>
            <w:webHidden/>
          </w:rPr>
          <w:t>36</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14" w:anchor="_Toc421352897" w:history="1">
        <w:r w:rsidR="00867AA7" w:rsidRPr="00BF1C5B">
          <w:rPr>
            <w:rStyle w:val="Hyperlink"/>
            <w:noProof/>
          </w:rPr>
          <w:t xml:space="preserve">Table S 1.2. Effect of additional data on priorities and when regressed against time for (1) </w:t>
        </w:r>
        <w:r w:rsidR="00867AA7" w:rsidRPr="00BF1C5B">
          <w:rPr>
            <w:rStyle w:val="Hyperlink"/>
            <w:i/>
            <w:noProof/>
          </w:rPr>
          <w:t xml:space="preserve">Local Richness </w:t>
        </w:r>
        <w:r w:rsidR="00867AA7" w:rsidRPr="00BF1C5B">
          <w:rPr>
            <w:rStyle w:val="Hyperlink"/>
            <w:noProof/>
          </w:rPr>
          <w:t>sensitivity tests</w:t>
        </w:r>
        <w:r w:rsidR="00867AA7">
          <w:rPr>
            <w:noProof/>
            <w:webHidden/>
          </w:rPr>
          <w:tab/>
        </w:r>
        <w:r>
          <w:rPr>
            <w:noProof/>
            <w:webHidden/>
          </w:rPr>
          <w:fldChar w:fldCharType="begin"/>
        </w:r>
        <w:r w:rsidR="00867AA7">
          <w:rPr>
            <w:noProof/>
            <w:webHidden/>
          </w:rPr>
          <w:instrText xml:space="preserve"> PAGEREF _Toc421352897 \h </w:instrText>
        </w:r>
        <w:r>
          <w:rPr>
            <w:noProof/>
            <w:webHidden/>
          </w:rPr>
        </w:r>
        <w:r>
          <w:rPr>
            <w:noProof/>
            <w:webHidden/>
          </w:rPr>
          <w:fldChar w:fldCharType="separate"/>
        </w:r>
        <w:r w:rsidR="00867AA7">
          <w:rPr>
            <w:noProof/>
            <w:webHidden/>
          </w:rPr>
          <w:t>38</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w:anchor="_Toc421352898" w:history="1">
        <w:r w:rsidR="00867AA7" w:rsidRPr="00BF1C5B">
          <w:rPr>
            <w:rStyle w:val="Hyperlink"/>
            <w:noProof/>
          </w:rPr>
          <w:t>Table S 1.3. Overall effect of additional data on priorities and when regressed against log</w:t>
        </w:r>
        <w:r w:rsidR="00867AA7" w:rsidRPr="00BF1C5B">
          <w:rPr>
            <w:rStyle w:val="Hyperlink"/>
            <w:noProof/>
            <w:vertAlign w:val="subscript"/>
          </w:rPr>
          <w:t>10</w:t>
        </w:r>
        <w:r w:rsidR="00867AA7" w:rsidRPr="00BF1C5B">
          <w:rPr>
            <w:rStyle w:val="Hyperlink"/>
            <w:noProof/>
          </w:rPr>
          <w:t>(size of dataset)</w:t>
        </w:r>
        <w:r w:rsidR="00867AA7">
          <w:rPr>
            <w:noProof/>
            <w:webHidden/>
          </w:rPr>
          <w:tab/>
        </w:r>
        <w:r>
          <w:rPr>
            <w:noProof/>
            <w:webHidden/>
          </w:rPr>
          <w:fldChar w:fldCharType="begin"/>
        </w:r>
        <w:r w:rsidR="00867AA7">
          <w:rPr>
            <w:noProof/>
            <w:webHidden/>
          </w:rPr>
          <w:instrText xml:space="preserve"> PAGEREF _Toc421352898 \h </w:instrText>
        </w:r>
        <w:r>
          <w:rPr>
            <w:noProof/>
            <w:webHidden/>
          </w:rPr>
        </w:r>
        <w:r>
          <w:rPr>
            <w:noProof/>
            <w:webHidden/>
          </w:rPr>
          <w:fldChar w:fldCharType="separate"/>
        </w:r>
        <w:r w:rsidR="00867AA7">
          <w:rPr>
            <w:noProof/>
            <w:webHidden/>
          </w:rPr>
          <w:t>46</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w:anchor="_Toc421352899" w:history="1">
        <w:r w:rsidR="00867AA7" w:rsidRPr="00BF1C5B">
          <w:rPr>
            <w:rStyle w:val="Hyperlink"/>
            <w:noProof/>
          </w:rPr>
          <w:t>Table S 2.1. Datasets used to place infrastructure and calculate impact metrics</w:t>
        </w:r>
        <w:r w:rsidR="00867AA7">
          <w:rPr>
            <w:noProof/>
            <w:webHidden/>
          </w:rPr>
          <w:tab/>
        </w:r>
        <w:r>
          <w:rPr>
            <w:noProof/>
            <w:webHidden/>
          </w:rPr>
          <w:fldChar w:fldCharType="begin"/>
        </w:r>
        <w:r w:rsidR="00867AA7">
          <w:rPr>
            <w:noProof/>
            <w:webHidden/>
          </w:rPr>
          <w:instrText xml:space="preserve"> PAGEREF _Toc421352899 \h </w:instrText>
        </w:r>
        <w:r>
          <w:rPr>
            <w:noProof/>
            <w:webHidden/>
          </w:rPr>
        </w:r>
        <w:r>
          <w:rPr>
            <w:noProof/>
            <w:webHidden/>
          </w:rPr>
          <w:fldChar w:fldCharType="separate"/>
        </w:r>
        <w:r w:rsidR="00867AA7">
          <w:rPr>
            <w:noProof/>
            <w:webHidden/>
          </w:rPr>
          <w:t>68</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w:anchor="_Toc421352900" w:history="1">
        <w:r w:rsidR="00867AA7" w:rsidRPr="00BF1C5B">
          <w:rPr>
            <w:rStyle w:val="Hyperlink"/>
            <w:noProof/>
          </w:rPr>
          <w:t>Table S 2.2. Impact metric values for each of the layouts shown above and including the “no-development” scenario</w:t>
        </w:r>
        <w:r w:rsidR="00867AA7">
          <w:rPr>
            <w:noProof/>
            <w:webHidden/>
          </w:rPr>
          <w:tab/>
        </w:r>
        <w:r>
          <w:rPr>
            <w:noProof/>
            <w:webHidden/>
          </w:rPr>
          <w:fldChar w:fldCharType="begin"/>
        </w:r>
        <w:r w:rsidR="00867AA7">
          <w:rPr>
            <w:noProof/>
            <w:webHidden/>
          </w:rPr>
          <w:instrText xml:space="preserve"> PAGEREF _Toc421352900 \h </w:instrText>
        </w:r>
        <w:r>
          <w:rPr>
            <w:noProof/>
            <w:webHidden/>
          </w:rPr>
        </w:r>
        <w:r>
          <w:rPr>
            <w:noProof/>
            <w:webHidden/>
          </w:rPr>
          <w:fldChar w:fldCharType="separate"/>
        </w:r>
        <w:r w:rsidR="00867AA7">
          <w:rPr>
            <w:noProof/>
            <w:webHidden/>
          </w:rPr>
          <w:t>72</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w:anchor="_Toc421352901" w:history="1">
        <w:r w:rsidR="00867AA7" w:rsidRPr="00BF1C5B">
          <w:rPr>
            <w:rStyle w:val="Hyperlink"/>
            <w:noProof/>
          </w:rPr>
          <w:t>Table S 2.3. Results of repeated measures ANOVAs and Tukey HSD tests for practices within impacts</w:t>
        </w:r>
        <w:r w:rsidR="00867AA7">
          <w:rPr>
            <w:noProof/>
            <w:webHidden/>
          </w:rPr>
          <w:tab/>
        </w:r>
        <w:r>
          <w:rPr>
            <w:noProof/>
            <w:webHidden/>
          </w:rPr>
          <w:fldChar w:fldCharType="begin"/>
        </w:r>
        <w:r w:rsidR="00867AA7">
          <w:rPr>
            <w:noProof/>
            <w:webHidden/>
          </w:rPr>
          <w:instrText xml:space="preserve"> PAGEREF _Toc421352901 \h </w:instrText>
        </w:r>
        <w:r>
          <w:rPr>
            <w:noProof/>
            <w:webHidden/>
          </w:rPr>
        </w:r>
        <w:r>
          <w:rPr>
            <w:noProof/>
            <w:webHidden/>
          </w:rPr>
          <w:fldChar w:fldCharType="separate"/>
        </w:r>
        <w:r w:rsidR="00867AA7">
          <w:rPr>
            <w:noProof/>
            <w:webHidden/>
          </w:rPr>
          <w:t>78</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w:anchor="_Toc421352902" w:history="1">
        <w:r w:rsidR="00867AA7" w:rsidRPr="00BF1C5B">
          <w:rPr>
            <w:rStyle w:val="Hyperlink"/>
            <w:noProof/>
          </w:rPr>
          <w:t>Table S 3.1. Simple ordinary least-squares regressions of attributes of the least-impacting layout relative to the least-cost layout against site attributes</w:t>
        </w:r>
        <w:r w:rsidR="00867AA7">
          <w:rPr>
            <w:noProof/>
            <w:webHidden/>
          </w:rPr>
          <w:tab/>
        </w:r>
        <w:r>
          <w:rPr>
            <w:noProof/>
            <w:webHidden/>
          </w:rPr>
          <w:fldChar w:fldCharType="begin"/>
        </w:r>
        <w:r w:rsidR="00867AA7">
          <w:rPr>
            <w:noProof/>
            <w:webHidden/>
          </w:rPr>
          <w:instrText xml:space="preserve"> PAGEREF _Toc421352902 \h </w:instrText>
        </w:r>
        <w:r>
          <w:rPr>
            <w:noProof/>
            <w:webHidden/>
          </w:rPr>
        </w:r>
        <w:r>
          <w:rPr>
            <w:noProof/>
            <w:webHidden/>
          </w:rPr>
          <w:fldChar w:fldCharType="separate"/>
        </w:r>
        <w:r w:rsidR="00867AA7">
          <w:rPr>
            <w:noProof/>
            <w:webHidden/>
          </w:rPr>
          <w:t>103</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w:anchor="_Toc421352903" w:history="1">
        <w:r w:rsidR="00867AA7" w:rsidRPr="00BF1C5B">
          <w:rPr>
            <w:rStyle w:val="Hyperlink"/>
            <w:noProof/>
          </w:rPr>
          <w:t>Table S 3.2. Description of datasets used in the analysis</w:t>
        </w:r>
        <w:r w:rsidR="00867AA7">
          <w:rPr>
            <w:noProof/>
            <w:webHidden/>
          </w:rPr>
          <w:tab/>
        </w:r>
        <w:r>
          <w:rPr>
            <w:noProof/>
            <w:webHidden/>
          </w:rPr>
          <w:fldChar w:fldCharType="begin"/>
        </w:r>
        <w:r w:rsidR="00867AA7">
          <w:rPr>
            <w:noProof/>
            <w:webHidden/>
          </w:rPr>
          <w:instrText xml:space="preserve"> PAGEREF _Toc421352903 \h </w:instrText>
        </w:r>
        <w:r>
          <w:rPr>
            <w:noProof/>
            <w:webHidden/>
          </w:rPr>
        </w:r>
        <w:r>
          <w:rPr>
            <w:noProof/>
            <w:webHidden/>
          </w:rPr>
          <w:fldChar w:fldCharType="separate"/>
        </w:r>
        <w:r w:rsidR="00867AA7">
          <w:rPr>
            <w:noProof/>
            <w:webHidden/>
          </w:rPr>
          <w:t>113</w:t>
        </w:r>
        <w:r>
          <w:rPr>
            <w:noProof/>
            <w:webHidden/>
          </w:rPr>
          <w:fldChar w:fldCharType="end"/>
        </w:r>
      </w:hyperlink>
    </w:p>
    <w:p w:rsidR="00236E6D" w:rsidRDefault="00F01773" w:rsidP="005E54E2">
      <w:r>
        <w:fldChar w:fldCharType="end"/>
      </w:r>
    </w:p>
    <w:p w:rsidR="00236E6D" w:rsidRDefault="00236E6D" w:rsidP="005E54E2"/>
    <w:p w:rsidR="00236E6D" w:rsidRPr="00334400" w:rsidRDefault="00236E6D" w:rsidP="00904969"/>
    <w:p w:rsidR="0085757D" w:rsidRPr="00334400" w:rsidRDefault="0085757D" w:rsidP="00904969"/>
    <w:p w:rsidR="0085757D" w:rsidRPr="00334400" w:rsidRDefault="0085757D" w:rsidP="00904969"/>
    <w:p w:rsidR="0085757D" w:rsidRPr="00334400" w:rsidRDefault="0085757D" w:rsidP="00904969"/>
    <w:p w:rsidR="0085757D" w:rsidRPr="00334400" w:rsidRDefault="0085757D" w:rsidP="00904969"/>
    <w:p w:rsidR="0085757D" w:rsidRPr="00334400" w:rsidRDefault="0085757D" w:rsidP="00904969"/>
    <w:p w:rsidR="00EB64EC" w:rsidRDefault="00236E6D" w:rsidP="00904969">
      <w:pPr>
        <w:pStyle w:val="Title"/>
      </w:pPr>
      <w:r>
        <w:br w:type="page"/>
      </w:r>
    </w:p>
    <w:p w:rsidR="00904969" w:rsidRDefault="00D46EA9" w:rsidP="00904969">
      <w:pPr>
        <w:pStyle w:val="Title"/>
      </w:pPr>
      <w:r w:rsidRPr="002622D4">
        <w:lastRenderedPageBreak/>
        <w:t xml:space="preserve">List of </w:t>
      </w:r>
      <w:r w:rsidR="00FA5496">
        <w:t>Figures</w:t>
      </w:r>
    </w:p>
    <w:p w:rsidR="00F77805" w:rsidRDefault="00FA5496">
      <w:pPr>
        <w:pStyle w:val="Subtitle"/>
      </w:pPr>
      <w:r>
        <w:t>Main Figures</w:t>
      </w:r>
    </w:p>
    <w:p w:rsidR="00867AA7" w:rsidRDefault="00F01773">
      <w:pPr>
        <w:pStyle w:val="TableofFigures"/>
        <w:tabs>
          <w:tab w:val="right" w:leader="dot" w:pos="8630"/>
        </w:tabs>
        <w:rPr>
          <w:rFonts w:asciiTheme="minorHAnsi" w:eastAsiaTheme="minorEastAsia" w:hAnsiTheme="minorHAnsi" w:cstheme="minorBidi"/>
          <w:noProof/>
          <w:sz w:val="22"/>
          <w:szCs w:val="22"/>
        </w:rPr>
      </w:pPr>
      <w:r w:rsidRPr="00F01773">
        <w:fldChar w:fldCharType="begin"/>
      </w:r>
      <w:r w:rsidR="00ED1197">
        <w:instrText xml:space="preserve"> TOC \h \z \c "Fig." </w:instrText>
      </w:r>
      <w:r w:rsidRPr="00F01773">
        <w:fldChar w:fldCharType="separate"/>
      </w:r>
      <w:hyperlink r:id="rId15" w:anchor="_Toc421352904" w:history="1">
        <w:r w:rsidR="00867AA7" w:rsidRPr="0048246A">
          <w:rPr>
            <w:rStyle w:val="Hyperlink"/>
            <w:noProof/>
          </w:rPr>
          <w:t>Fig. 1.1. Distribution of element occurrences (EOs) across watersheds and species over the 111 year peri</w:t>
        </w:r>
        <w:r w:rsidR="00867AA7" w:rsidRPr="0048246A">
          <w:rPr>
            <w:rStyle w:val="Hyperlink"/>
            <w:noProof/>
          </w:rPr>
          <w:t>o</w:t>
        </w:r>
        <w:r w:rsidR="00867AA7" w:rsidRPr="0048246A">
          <w:rPr>
            <w:rStyle w:val="Hyperlink"/>
            <w:noProof/>
          </w:rPr>
          <w:t>d; x-axis is year.</w:t>
        </w:r>
        <w:r w:rsidR="00867AA7">
          <w:rPr>
            <w:noProof/>
            <w:webHidden/>
          </w:rPr>
          <w:tab/>
        </w:r>
        <w:r>
          <w:rPr>
            <w:noProof/>
            <w:webHidden/>
          </w:rPr>
          <w:fldChar w:fldCharType="begin"/>
        </w:r>
        <w:r w:rsidR="00867AA7">
          <w:rPr>
            <w:noProof/>
            <w:webHidden/>
          </w:rPr>
          <w:instrText xml:space="preserve"> PAGEREF _Toc421352904 \h </w:instrText>
        </w:r>
        <w:r>
          <w:rPr>
            <w:noProof/>
            <w:webHidden/>
          </w:rPr>
        </w:r>
        <w:r>
          <w:rPr>
            <w:noProof/>
            <w:webHidden/>
          </w:rPr>
          <w:fldChar w:fldCharType="separate"/>
        </w:r>
        <w:r w:rsidR="00867AA7">
          <w:rPr>
            <w:noProof/>
            <w:webHidden/>
          </w:rPr>
          <w:t>23</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16" w:anchor="_Toc421352905" w:history="1">
        <w:r w:rsidR="00867AA7" w:rsidRPr="0048246A">
          <w:rPr>
            <w:rStyle w:val="Hyperlink"/>
            <w:noProof/>
          </w:rPr>
          <w:t>Fig. 1.2. Number of EOs, including repeats, accumulated in each watershed since 1900 at six snapshots in time.</w:t>
        </w:r>
        <w:r w:rsidR="00867AA7">
          <w:rPr>
            <w:noProof/>
            <w:webHidden/>
          </w:rPr>
          <w:tab/>
        </w:r>
        <w:r>
          <w:rPr>
            <w:noProof/>
            <w:webHidden/>
          </w:rPr>
          <w:fldChar w:fldCharType="begin"/>
        </w:r>
        <w:r w:rsidR="00867AA7">
          <w:rPr>
            <w:noProof/>
            <w:webHidden/>
          </w:rPr>
          <w:instrText xml:space="preserve"> PAGEREF _Toc421352905 \h </w:instrText>
        </w:r>
        <w:r>
          <w:rPr>
            <w:noProof/>
            <w:webHidden/>
          </w:rPr>
        </w:r>
        <w:r>
          <w:rPr>
            <w:noProof/>
            <w:webHidden/>
          </w:rPr>
          <w:fldChar w:fldCharType="separate"/>
        </w:r>
        <w:r w:rsidR="00867AA7">
          <w:rPr>
            <w:noProof/>
            <w:webHidden/>
          </w:rPr>
          <w:t>25</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17" w:anchor="_Toc421352906" w:history="1">
        <w:r w:rsidR="00867AA7" w:rsidRPr="0048246A">
          <w:rPr>
            <w:rStyle w:val="Hyperlink"/>
            <w:noProof/>
          </w:rPr>
          <w:t>Fig. 1.3. Representative results of ranking watersheds by their frequency in near-optimal solutions to the Maximal Coverage Problem</w:t>
        </w:r>
        <w:r w:rsidR="00867AA7">
          <w:rPr>
            <w:noProof/>
            <w:webHidden/>
          </w:rPr>
          <w:tab/>
        </w:r>
        <w:r>
          <w:rPr>
            <w:noProof/>
            <w:webHidden/>
          </w:rPr>
          <w:fldChar w:fldCharType="begin"/>
        </w:r>
        <w:r w:rsidR="00867AA7">
          <w:rPr>
            <w:noProof/>
            <w:webHidden/>
          </w:rPr>
          <w:instrText xml:space="preserve"> PAGEREF _Toc421352906 \h </w:instrText>
        </w:r>
        <w:r>
          <w:rPr>
            <w:noProof/>
            <w:webHidden/>
          </w:rPr>
        </w:r>
        <w:r>
          <w:rPr>
            <w:noProof/>
            <w:webHidden/>
          </w:rPr>
          <w:fldChar w:fldCharType="separate"/>
        </w:r>
        <w:r w:rsidR="00867AA7">
          <w:rPr>
            <w:noProof/>
            <w:webHidden/>
          </w:rPr>
          <w:t>29</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18" w:anchor="_Toc421352907" w:history="1">
        <w:r w:rsidR="00867AA7" w:rsidRPr="0048246A">
          <w:rPr>
            <w:rStyle w:val="Hyperlink"/>
            <w:noProof/>
          </w:rPr>
          <w:t>Fig. 2.1. Well pads (rectangular clearings), access roads (linear clearings in bottom-right), and gathering pipelines (other linear clearings)</w:t>
        </w:r>
        <w:r w:rsidR="00867AA7">
          <w:rPr>
            <w:noProof/>
            <w:webHidden/>
          </w:rPr>
          <w:tab/>
        </w:r>
        <w:r>
          <w:rPr>
            <w:noProof/>
            <w:webHidden/>
          </w:rPr>
          <w:fldChar w:fldCharType="begin"/>
        </w:r>
        <w:r w:rsidR="00867AA7">
          <w:rPr>
            <w:noProof/>
            <w:webHidden/>
          </w:rPr>
          <w:instrText xml:space="preserve"> PAGEREF _Toc421352907 \h </w:instrText>
        </w:r>
        <w:r>
          <w:rPr>
            <w:noProof/>
            <w:webHidden/>
          </w:rPr>
        </w:r>
        <w:r>
          <w:rPr>
            <w:noProof/>
            <w:webHidden/>
          </w:rPr>
          <w:fldChar w:fldCharType="separate"/>
        </w:r>
        <w:r w:rsidR="00867AA7">
          <w:rPr>
            <w:noProof/>
            <w:webHidden/>
          </w:rPr>
          <w:t>49</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19" w:anchor="_Toc421352908" w:history="1">
        <w:r w:rsidR="00867AA7" w:rsidRPr="0048246A">
          <w:rPr>
            <w:rStyle w:val="Hyperlink"/>
            <w:noProof/>
          </w:rPr>
          <w:t>Fig. 2.2. (large map) Pennsylvania State Forests, State Parks, and State Game Lands (green or darker gray) within the Marcellus gas formation (beige or lighter gray) serve as candidate lease areas</w:t>
        </w:r>
        <w:r w:rsidR="00867AA7">
          <w:rPr>
            <w:noProof/>
            <w:webHidden/>
          </w:rPr>
          <w:tab/>
        </w:r>
        <w:r>
          <w:rPr>
            <w:noProof/>
            <w:webHidden/>
          </w:rPr>
          <w:fldChar w:fldCharType="begin"/>
        </w:r>
        <w:r w:rsidR="00867AA7">
          <w:rPr>
            <w:noProof/>
            <w:webHidden/>
          </w:rPr>
          <w:instrText xml:space="preserve"> PAGEREF _Toc421352908 \h </w:instrText>
        </w:r>
        <w:r>
          <w:rPr>
            <w:noProof/>
            <w:webHidden/>
          </w:rPr>
        </w:r>
        <w:r>
          <w:rPr>
            <w:noProof/>
            <w:webHidden/>
          </w:rPr>
          <w:fldChar w:fldCharType="separate"/>
        </w:r>
        <w:r w:rsidR="00867AA7">
          <w:rPr>
            <w:noProof/>
            <w:webHidden/>
          </w:rPr>
          <w:t>53</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20" w:anchor="_Toc421352909" w:history="1">
        <w:r w:rsidR="00867AA7" w:rsidRPr="0048246A">
          <w:rPr>
            <w:rStyle w:val="Hyperlink"/>
            <w:noProof/>
          </w:rPr>
          <w:t>Fig. 2.3. Four layouts of well pads (</w:t>
        </w:r>
        <w:r w:rsidR="00867AA7" w:rsidRPr="0048246A">
          <w:rPr>
            <w:rStyle w:val="Hyperlink"/>
            <w:rFonts w:ascii="Times New Roman" w:hAnsi="Times New Roman" w:cs="Times New Roman"/>
            <w:noProof/>
          </w:rPr>
          <w:t>■</w:t>
        </w:r>
        <w:r w:rsidR="00867AA7" w:rsidRPr="0048246A">
          <w:rPr>
            <w:rStyle w:val="Hyperlink"/>
            <w:rFonts w:cs="Bookman"/>
            <w:noProof/>
          </w:rPr>
          <w:t>), roads (</w:t>
        </w:r>
        <w:r w:rsidR="00867AA7" w:rsidRPr="0048246A">
          <w:rPr>
            <w:rStyle w:val="Hyperlink"/>
            <w:rFonts w:ascii="Times New Roman" w:hAnsi="Times New Roman" w:cs="Times New Roman"/>
            <w:noProof/>
          </w:rPr>
          <w:t>−</w:t>
        </w:r>
        <w:r w:rsidR="00867AA7" w:rsidRPr="0048246A">
          <w:rPr>
            <w:rStyle w:val="Hyperlink"/>
            <w:rFonts w:cs="Bookman"/>
            <w:noProof/>
          </w:rPr>
          <w:t>), and pipelines (--) at one of our twenty sites (medium gray --).</w:t>
        </w:r>
        <w:r w:rsidR="00867AA7">
          <w:rPr>
            <w:noProof/>
            <w:webHidden/>
          </w:rPr>
          <w:tab/>
        </w:r>
        <w:r>
          <w:rPr>
            <w:noProof/>
            <w:webHidden/>
          </w:rPr>
          <w:fldChar w:fldCharType="begin"/>
        </w:r>
        <w:r w:rsidR="00867AA7">
          <w:rPr>
            <w:noProof/>
            <w:webHidden/>
          </w:rPr>
          <w:instrText xml:space="preserve"> PAGEREF _Toc421352909 \h </w:instrText>
        </w:r>
        <w:r>
          <w:rPr>
            <w:noProof/>
            <w:webHidden/>
          </w:rPr>
        </w:r>
        <w:r>
          <w:rPr>
            <w:noProof/>
            <w:webHidden/>
          </w:rPr>
          <w:fldChar w:fldCharType="separate"/>
        </w:r>
        <w:r w:rsidR="00867AA7">
          <w:rPr>
            <w:noProof/>
            <w:webHidden/>
          </w:rPr>
          <w:t>58</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21" w:anchor="_Toc421352910" w:history="1">
        <w:r w:rsidR="00867AA7" w:rsidRPr="0048246A">
          <w:rPr>
            <w:rStyle w:val="Hyperlink"/>
            <w:noProof/>
          </w:rPr>
          <w:t>Fig. 2.4. Synergies and tradeoffs among impacts and practices.</w:t>
        </w:r>
        <w:r w:rsidR="00867AA7">
          <w:rPr>
            <w:noProof/>
            <w:webHidden/>
          </w:rPr>
          <w:tab/>
        </w:r>
        <w:r>
          <w:rPr>
            <w:noProof/>
            <w:webHidden/>
          </w:rPr>
          <w:fldChar w:fldCharType="begin"/>
        </w:r>
        <w:r w:rsidR="00867AA7">
          <w:rPr>
            <w:noProof/>
            <w:webHidden/>
          </w:rPr>
          <w:instrText xml:space="preserve"> PAGEREF _Toc421352910 \h </w:instrText>
        </w:r>
        <w:r>
          <w:rPr>
            <w:noProof/>
            <w:webHidden/>
          </w:rPr>
        </w:r>
        <w:r>
          <w:rPr>
            <w:noProof/>
            <w:webHidden/>
          </w:rPr>
          <w:fldChar w:fldCharType="separate"/>
        </w:r>
        <w:r w:rsidR="00867AA7">
          <w:rPr>
            <w:noProof/>
            <w:webHidden/>
          </w:rPr>
          <w:t>60</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22" w:anchor="_Toc421352911" w:history="1">
        <w:r w:rsidR="00867AA7" w:rsidRPr="0048246A">
          <w:rPr>
            <w:rStyle w:val="Hyperlink"/>
            <w:noProof/>
          </w:rPr>
          <w:t>Fig. 3.1. Well pads (rectangular clearings), access roads (linear clearings in bottom-right), and gathering pipelines</w:t>
        </w:r>
        <w:r w:rsidR="00867AA7">
          <w:rPr>
            <w:noProof/>
            <w:webHidden/>
          </w:rPr>
          <w:tab/>
        </w:r>
        <w:r>
          <w:rPr>
            <w:noProof/>
            <w:webHidden/>
          </w:rPr>
          <w:fldChar w:fldCharType="begin"/>
        </w:r>
        <w:r w:rsidR="00867AA7">
          <w:rPr>
            <w:noProof/>
            <w:webHidden/>
          </w:rPr>
          <w:instrText xml:space="preserve"> PAGEREF _Toc421352911 \h </w:instrText>
        </w:r>
        <w:r>
          <w:rPr>
            <w:noProof/>
            <w:webHidden/>
          </w:rPr>
        </w:r>
        <w:r>
          <w:rPr>
            <w:noProof/>
            <w:webHidden/>
          </w:rPr>
          <w:fldChar w:fldCharType="separate"/>
        </w:r>
        <w:r w:rsidR="00867AA7">
          <w:rPr>
            <w:noProof/>
            <w:webHidden/>
          </w:rPr>
          <w:t>84</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23" w:anchor="_Toc421352912" w:history="1">
        <w:r w:rsidR="00867AA7" w:rsidRPr="0048246A">
          <w:rPr>
            <w:rStyle w:val="Hyperlink"/>
            <w:noProof/>
          </w:rPr>
          <w:t>Fig. 3.2. Development sites (green polygons), with grouped well permits (gray) and the Marcellus shale play (beige)</w:t>
        </w:r>
        <w:r w:rsidR="00867AA7">
          <w:rPr>
            <w:noProof/>
            <w:webHidden/>
          </w:rPr>
          <w:tab/>
        </w:r>
        <w:r>
          <w:rPr>
            <w:noProof/>
            <w:webHidden/>
          </w:rPr>
          <w:fldChar w:fldCharType="begin"/>
        </w:r>
        <w:r w:rsidR="00867AA7">
          <w:rPr>
            <w:noProof/>
            <w:webHidden/>
          </w:rPr>
          <w:instrText xml:space="preserve"> PAGEREF _Toc421352912 \h </w:instrText>
        </w:r>
        <w:r>
          <w:rPr>
            <w:noProof/>
            <w:webHidden/>
          </w:rPr>
        </w:r>
        <w:r>
          <w:rPr>
            <w:noProof/>
            <w:webHidden/>
          </w:rPr>
          <w:fldChar w:fldCharType="separate"/>
        </w:r>
        <w:r w:rsidR="00867AA7">
          <w:rPr>
            <w:noProof/>
            <w:webHidden/>
          </w:rPr>
          <w:t>86</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24" w:anchor="_Toc421352913" w:history="1">
        <w:r w:rsidR="00867AA7" w:rsidRPr="0048246A">
          <w:rPr>
            <w:rStyle w:val="Hyperlink"/>
            <w:noProof/>
          </w:rPr>
          <w:t>Fig. 3.3. Example layouts and their estimated impacts produced by our infrastructure planning software</w:t>
        </w:r>
        <w:r w:rsidR="00867AA7">
          <w:rPr>
            <w:noProof/>
            <w:webHidden/>
          </w:rPr>
          <w:tab/>
        </w:r>
        <w:r>
          <w:rPr>
            <w:noProof/>
            <w:webHidden/>
          </w:rPr>
          <w:fldChar w:fldCharType="begin"/>
        </w:r>
        <w:r w:rsidR="00867AA7">
          <w:rPr>
            <w:noProof/>
            <w:webHidden/>
          </w:rPr>
          <w:instrText xml:space="preserve"> PAGEREF _Toc421352913 \h </w:instrText>
        </w:r>
        <w:r>
          <w:rPr>
            <w:noProof/>
            <w:webHidden/>
          </w:rPr>
        </w:r>
        <w:r>
          <w:rPr>
            <w:noProof/>
            <w:webHidden/>
          </w:rPr>
          <w:fldChar w:fldCharType="separate"/>
        </w:r>
        <w:r w:rsidR="00867AA7">
          <w:rPr>
            <w:noProof/>
            <w:webHidden/>
          </w:rPr>
          <w:t>89</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25" w:anchor="_Toc421352914" w:history="1">
        <w:r w:rsidR="00867AA7" w:rsidRPr="0048246A">
          <w:rPr>
            <w:rStyle w:val="Hyperlink"/>
            <w:noProof/>
          </w:rPr>
          <w:t>Fig. 3.4. Cost of reducing impacts at the development-area scale as the commitment to reducing impact increases</w:t>
        </w:r>
        <w:r w:rsidR="00867AA7">
          <w:rPr>
            <w:noProof/>
            <w:webHidden/>
          </w:rPr>
          <w:tab/>
        </w:r>
        <w:r>
          <w:rPr>
            <w:noProof/>
            <w:webHidden/>
          </w:rPr>
          <w:fldChar w:fldCharType="begin"/>
        </w:r>
        <w:r w:rsidR="00867AA7">
          <w:rPr>
            <w:noProof/>
            <w:webHidden/>
          </w:rPr>
          <w:instrText xml:space="preserve"> PAGEREF _Toc421352914 \h </w:instrText>
        </w:r>
        <w:r>
          <w:rPr>
            <w:noProof/>
            <w:webHidden/>
          </w:rPr>
        </w:r>
        <w:r>
          <w:rPr>
            <w:noProof/>
            <w:webHidden/>
          </w:rPr>
          <w:fldChar w:fldCharType="separate"/>
        </w:r>
        <w:r w:rsidR="00867AA7">
          <w:rPr>
            <w:noProof/>
            <w:webHidden/>
          </w:rPr>
          <w:t>92</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26" w:anchor="_Toc421352915" w:history="1">
        <w:r w:rsidR="00867AA7" w:rsidRPr="0048246A">
          <w:rPr>
            <w:rStyle w:val="Hyperlink"/>
            <w:noProof/>
          </w:rPr>
          <w:t>Fig. 4.1. Stylized illustration of the two-part process we use to estimate the final market price (</w:t>
        </w:r>
        <m:oMath>
          <m:r>
            <w:rPr>
              <w:rStyle w:val="Hyperlink"/>
              <w:rFonts w:ascii="Cambria Math" w:hAnsi="Cambria Math"/>
              <w:noProof/>
            </w:rPr>
            <m:t>P*</m:t>
          </m:r>
        </m:oMath>
        <w:r w:rsidR="00867AA7" w:rsidRPr="0048246A">
          <w:rPr>
            <w:rStyle w:val="Hyperlink"/>
            <w:noProof/>
          </w:rPr>
          <w:t xml:space="preserve">) of impact permits in </w:t>
        </w:r>
        <w:r w:rsidR="00867AA7" w:rsidRPr="0048246A">
          <w:rPr>
            <w:rStyle w:val="Hyperlink"/>
            <w:i/>
            <w:noProof/>
          </w:rPr>
          <w:t>Cap and Trade</w:t>
        </w:r>
        <w:r w:rsidR="00867AA7">
          <w:rPr>
            <w:noProof/>
            <w:webHidden/>
          </w:rPr>
          <w:tab/>
        </w:r>
        <w:r>
          <w:rPr>
            <w:noProof/>
            <w:webHidden/>
          </w:rPr>
          <w:fldChar w:fldCharType="begin"/>
        </w:r>
        <w:r w:rsidR="00867AA7">
          <w:rPr>
            <w:noProof/>
            <w:webHidden/>
          </w:rPr>
          <w:instrText xml:space="preserve"> PAGEREF _Toc421352915 \h </w:instrText>
        </w:r>
        <w:r>
          <w:rPr>
            <w:noProof/>
            <w:webHidden/>
          </w:rPr>
        </w:r>
        <w:r>
          <w:rPr>
            <w:noProof/>
            <w:webHidden/>
          </w:rPr>
          <w:fldChar w:fldCharType="separate"/>
        </w:r>
        <w:r w:rsidR="00867AA7">
          <w:rPr>
            <w:noProof/>
            <w:webHidden/>
          </w:rPr>
          <w:t>134</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27" w:anchor="_Toc421352916" w:history="1">
        <w:r w:rsidR="00867AA7" w:rsidRPr="0048246A">
          <w:rPr>
            <w:rStyle w:val="Hyperlink"/>
            <w:noProof/>
          </w:rPr>
          <w:t>Fig. 4.2. Outcomes of implementing various policies as regulator’s commitment to reducing impacts increases</w:t>
        </w:r>
        <w:r w:rsidR="00867AA7">
          <w:rPr>
            <w:noProof/>
            <w:webHidden/>
          </w:rPr>
          <w:tab/>
        </w:r>
        <w:r>
          <w:rPr>
            <w:noProof/>
            <w:webHidden/>
          </w:rPr>
          <w:fldChar w:fldCharType="begin"/>
        </w:r>
        <w:r w:rsidR="00867AA7">
          <w:rPr>
            <w:noProof/>
            <w:webHidden/>
          </w:rPr>
          <w:instrText xml:space="preserve"> PAGEREF _Toc421352916 \h </w:instrText>
        </w:r>
        <w:r>
          <w:rPr>
            <w:noProof/>
            <w:webHidden/>
          </w:rPr>
        </w:r>
        <w:r>
          <w:rPr>
            <w:noProof/>
            <w:webHidden/>
          </w:rPr>
          <w:fldChar w:fldCharType="separate"/>
        </w:r>
        <w:r w:rsidR="00867AA7">
          <w:rPr>
            <w:noProof/>
            <w:webHidden/>
          </w:rPr>
          <w:t>138</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28" w:anchor="_Toc421352917" w:history="1">
        <w:r w:rsidR="00867AA7" w:rsidRPr="0048246A">
          <w:rPr>
            <w:rStyle w:val="Hyperlink"/>
            <w:noProof/>
          </w:rPr>
          <w:t>Fig. 4.3. Effect of error in regulator’s estimate of impacts in the absence of additional regulation</w:t>
        </w:r>
        <w:r w:rsidR="00867AA7">
          <w:rPr>
            <w:noProof/>
            <w:webHidden/>
          </w:rPr>
          <w:tab/>
        </w:r>
        <w:r>
          <w:rPr>
            <w:noProof/>
            <w:webHidden/>
          </w:rPr>
          <w:fldChar w:fldCharType="begin"/>
        </w:r>
        <w:r w:rsidR="00867AA7">
          <w:rPr>
            <w:noProof/>
            <w:webHidden/>
          </w:rPr>
          <w:instrText xml:space="preserve"> PAGEREF _Toc421352917 \h </w:instrText>
        </w:r>
        <w:r>
          <w:rPr>
            <w:noProof/>
            <w:webHidden/>
          </w:rPr>
        </w:r>
        <w:r>
          <w:rPr>
            <w:noProof/>
            <w:webHidden/>
          </w:rPr>
          <w:fldChar w:fldCharType="separate"/>
        </w:r>
        <w:r w:rsidR="00867AA7">
          <w:rPr>
            <w:noProof/>
            <w:webHidden/>
          </w:rPr>
          <w:t>141</w:t>
        </w:r>
        <w:r>
          <w:rPr>
            <w:noProof/>
            <w:webHidden/>
          </w:rPr>
          <w:fldChar w:fldCharType="end"/>
        </w:r>
      </w:hyperlink>
    </w:p>
    <w:p w:rsidR="00F77805" w:rsidRDefault="00F01773">
      <w:pPr>
        <w:pStyle w:val="Subtitle"/>
      </w:pPr>
      <w:r>
        <w:rPr>
          <w:rFonts w:ascii="Myriad Pro" w:hAnsi="Myriad Pro"/>
        </w:rPr>
        <w:fldChar w:fldCharType="end"/>
      </w:r>
      <w:r w:rsidR="00FA5496">
        <w:t>Appendix Figures</w:t>
      </w:r>
    </w:p>
    <w:p w:rsidR="00867AA7" w:rsidRDefault="00F01773">
      <w:pPr>
        <w:pStyle w:val="TableofFigures"/>
        <w:tabs>
          <w:tab w:val="right" w:leader="dot" w:pos="8630"/>
        </w:tabs>
        <w:rPr>
          <w:rFonts w:asciiTheme="minorHAnsi" w:eastAsiaTheme="minorEastAsia" w:hAnsiTheme="minorHAnsi" w:cstheme="minorBidi"/>
          <w:noProof/>
          <w:sz w:val="22"/>
          <w:szCs w:val="22"/>
        </w:rPr>
      </w:pPr>
      <w:r w:rsidRPr="00F01773">
        <w:fldChar w:fldCharType="begin"/>
      </w:r>
      <w:r w:rsidR="003D0E62">
        <w:instrText xml:space="preserve"> TOC \h \z \c "Fig. S" </w:instrText>
      </w:r>
      <w:r w:rsidRPr="00F01773">
        <w:fldChar w:fldCharType="separate"/>
      </w:r>
      <w:hyperlink w:anchor="_Toc421352918" w:history="1">
        <w:r w:rsidR="00867AA7" w:rsidRPr="00C30833">
          <w:rPr>
            <w:rStyle w:val="Hyperlink"/>
            <w:noProof/>
          </w:rPr>
          <w:t>Fig. S 1.1. Figures showing V plotted against time for all sensitivity tests</w:t>
        </w:r>
        <w:r w:rsidR="00867AA7">
          <w:rPr>
            <w:noProof/>
            <w:webHidden/>
          </w:rPr>
          <w:tab/>
        </w:r>
        <w:r>
          <w:rPr>
            <w:noProof/>
            <w:webHidden/>
          </w:rPr>
          <w:fldChar w:fldCharType="begin"/>
        </w:r>
        <w:r w:rsidR="00867AA7">
          <w:rPr>
            <w:noProof/>
            <w:webHidden/>
          </w:rPr>
          <w:instrText xml:space="preserve"> PAGEREF _Toc421352918 \h </w:instrText>
        </w:r>
        <w:r>
          <w:rPr>
            <w:noProof/>
            <w:webHidden/>
          </w:rPr>
        </w:r>
        <w:r>
          <w:rPr>
            <w:noProof/>
            <w:webHidden/>
          </w:rPr>
          <w:fldChar w:fldCharType="separate"/>
        </w:r>
        <w:r w:rsidR="00867AA7">
          <w:rPr>
            <w:noProof/>
            <w:webHidden/>
          </w:rPr>
          <w:t>40</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w:anchor="_Toc421352919" w:history="1">
        <w:r w:rsidR="00867AA7" w:rsidRPr="00C30833">
          <w:rPr>
            <w:rStyle w:val="Hyperlink"/>
            <w:noProof/>
          </w:rPr>
          <w:t>Fig. S 1.2. Changes in priorities over time when budgeting 70 watersheds for complementarity as the length of delay between priority updates changes</w:t>
        </w:r>
        <w:r w:rsidR="00867AA7">
          <w:rPr>
            <w:noProof/>
            <w:webHidden/>
          </w:rPr>
          <w:tab/>
        </w:r>
        <w:r>
          <w:rPr>
            <w:noProof/>
            <w:webHidden/>
          </w:rPr>
          <w:fldChar w:fldCharType="begin"/>
        </w:r>
        <w:r w:rsidR="00867AA7">
          <w:rPr>
            <w:noProof/>
            <w:webHidden/>
          </w:rPr>
          <w:instrText xml:space="preserve"> PAGEREF _Toc421352919 \h </w:instrText>
        </w:r>
        <w:r>
          <w:rPr>
            <w:noProof/>
            <w:webHidden/>
          </w:rPr>
        </w:r>
        <w:r>
          <w:rPr>
            <w:noProof/>
            <w:webHidden/>
          </w:rPr>
          <w:fldChar w:fldCharType="separate"/>
        </w:r>
        <w:r w:rsidR="00867AA7">
          <w:rPr>
            <w:noProof/>
            <w:webHidden/>
          </w:rPr>
          <w:t>43</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w:anchor="_Toc421352920" w:history="1">
        <w:r w:rsidR="00867AA7" w:rsidRPr="00C30833">
          <w:rPr>
            <w:rStyle w:val="Hyperlink"/>
            <w:noProof/>
          </w:rPr>
          <w:t>Fig. S 1.3. Performance of conservation prioritizations as element occurrences (EOs) accumulate over time</w:t>
        </w:r>
        <w:r w:rsidR="00867AA7">
          <w:rPr>
            <w:noProof/>
            <w:webHidden/>
          </w:rPr>
          <w:tab/>
        </w:r>
        <w:r>
          <w:rPr>
            <w:noProof/>
            <w:webHidden/>
          </w:rPr>
          <w:fldChar w:fldCharType="begin"/>
        </w:r>
        <w:r w:rsidR="00867AA7">
          <w:rPr>
            <w:noProof/>
            <w:webHidden/>
          </w:rPr>
          <w:instrText xml:space="preserve"> PAGEREF _Toc421352920 \h </w:instrText>
        </w:r>
        <w:r>
          <w:rPr>
            <w:noProof/>
            <w:webHidden/>
          </w:rPr>
        </w:r>
        <w:r>
          <w:rPr>
            <w:noProof/>
            <w:webHidden/>
          </w:rPr>
          <w:fldChar w:fldCharType="separate"/>
        </w:r>
        <w:r w:rsidR="00867AA7">
          <w:rPr>
            <w:noProof/>
            <w:webHidden/>
          </w:rPr>
          <w:t>44</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w:anchor="_Toc421352921" w:history="1">
        <w:r w:rsidR="00867AA7" w:rsidRPr="00C30833">
          <w:rPr>
            <w:rStyle w:val="Hyperlink"/>
            <w:noProof/>
          </w:rPr>
          <w:t xml:space="preserve">Fig. S 1.4. Spatial distribution of watershed </w:t>
        </w:r>
        <w:r w:rsidR="00867AA7" w:rsidRPr="00C30833">
          <w:rPr>
            <w:rStyle w:val="Hyperlink"/>
            <w:i/>
            <w:noProof/>
          </w:rPr>
          <w:t>(top)</w:t>
        </w:r>
        <w:r w:rsidR="00867AA7" w:rsidRPr="00C30833">
          <w:rPr>
            <w:rStyle w:val="Hyperlink"/>
            <w:noProof/>
          </w:rPr>
          <w:t xml:space="preserve"> irreplaceabilities and </w:t>
        </w:r>
        <w:r w:rsidR="00867AA7" w:rsidRPr="00C30833">
          <w:rPr>
            <w:rStyle w:val="Hyperlink"/>
            <w:i/>
            <w:noProof/>
          </w:rPr>
          <w:t>(bottom)</w:t>
        </w:r>
        <w:r w:rsidR="00867AA7" w:rsidRPr="00C30833">
          <w:rPr>
            <w:rStyle w:val="Hyperlink"/>
            <w:noProof/>
          </w:rPr>
          <w:t xml:space="preserve"> richnesses at six snapshots in time</w:t>
        </w:r>
        <w:r w:rsidR="00867AA7">
          <w:rPr>
            <w:noProof/>
            <w:webHidden/>
          </w:rPr>
          <w:tab/>
        </w:r>
        <w:r>
          <w:rPr>
            <w:noProof/>
            <w:webHidden/>
          </w:rPr>
          <w:fldChar w:fldCharType="begin"/>
        </w:r>
        <w:r w:rsidR="00867AA7">
          <w:rPr>
            <w:noProof/>
            <w:webHidden/>
          </w:rPr>
          <w:instrText xml:space="preserve"> PAGEREF _Toc421352921 \h </w:instrText>
        </w:r>
        <w:r>
          <w:rPr>
            <w:noProof/>
            <w:webHidden/>
          </w:rPr>
        </w:r>
        <w:r>
          <w:rPr>
            <w:noProof/>
            <w:webHidden/>
          </w:rPr>
          <w:fldChar w:fldCharType="separate"/>
        </w:r>
        <w:r w:rsidR="00867AA7">
          <w:rPr>
            <w:noProof/>
            <w:webHidden/>
          </w:rPr>
          <w:t>45</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29" w:anchor="_Toc421352922" w:history="1">
        <w:r w:rsidR="00867AA7" w:rsidRPr="00C30833">
          <w:rPr>
            <w:rStyle w:val="Hyperlink"/>
            <w:noProof/>
          </w:rPr>
          <w:t>Fig. S 2.1. Illustration of production units (pink rectangles), pad envelopes</w:t>
        </w:r>
        <w:r w:rsidR="00867AA7">
          <w:rPr>
            <w:noProof/>
            <w:webHidden/>
          </w:rPr>
          <w:tab/>
        </w:r>
        <w:r>
          <w:rPr>
            <w:noProof/>
            <w:webHidden/>
          </w:rPr>
          <w:fldChar w:fldCharType="begin"/>
        </w:r>
        <w:r w:rsidR="00867AA7">
          <w:rPr>
            <w:noProof/>
            <w:webHidden/>
          </w:rPr>
          <w:instrText xml:space="preserve"> PAGEREF _Toc421352922 \h </w:instrText>
        </w:r>
        <w:r>
          <w:rPr>
            <w:noProof/>
            <w:webHidden/>
          </w:rPr>
        </w:r>
        <w:r>
          <w:rPr>
            <w:noProof/>
            <w:webHidden/>
          </w:rPr>
          <w:fldChar w:fldCharType="separate"/>
        </w:r>
        <w:r w:rsidR="00867AA7">
          <w:rPr>
            <w:noProof/>
            <w:webHidden/>
          </w:rPr>
          <w:t>65</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w:anchor="_Toc421352923" w:history="1">
        <w:r w:rsidR="00867AA7" w:rsidRPr="00C30833">
          <w:rPr>
            <w:rStyle w:val="Hyperlink"/>
            <w:noProof/>
          </w:rPr>
          <w:t>Fig. S 2.2. Results of comparison of impact correlations before and after development</w:t>
        </w:r>
        <w:r w:rsidR="00867AA7">
          <w:rPr>
            <w:noProof/>
            <w:webHidden/>
          </w:rPr>
          <w:tab/>
        </w:r>
        <w:r>
          <w:rPr>
            <w:noProof/>
            <w:webHidden/>
          </w:rPr>
          <w:fldChar w:fldCharType="begin"/>
        </w:r>
        <w:r w:rsidR="00867AA7">
          <w:rPr>
            <w:noProof/>
            <w:webHidden/>
          </w:rPr>
          <w:instrText xml:space="preserve"> PAGEREF _Toc421352923 \h </w:instrText>
        </w:r>
        <w:r>
          <w:rPr>
            <w:noProof/>
            <w:webHidden/>
          </w:rPr>
        </w:r>
        <w:r>
          <w:rPr>
            <w:noProof/>
            <w:webHidden/>
          </w:rPr>
          <w:fldChar w:fldCharType="separate"/>
        </w:r>
        <w:r w:rsidR="00867AA7">
          <w:rPr>
            <w:noProof/>
            <w:webHidden/>
          </w:rPr>
          <w:t>67</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w:anchor="_Toc421352924" w:history="1">
        <w:r w:rsidR="00867AA7" w:rsidRPr="00C30833">
          <w:rPr>
            <w:rStyle w:val="Hyperlink"/>
            <w:noProof/>
          </w:rPr>
          <w:t>Fig. S 2.3. In this series of figures we show the infrastructure configurations created for 3 representative development sites</w:t>
        </w:r>
        <w:r w:rsidR="00867AA7">
          <w:rPr>
            <w:noProof/>
            <w:webHidden/>
          </w:rPr>
          <w:tab/>
        </w:r>
        <w:r>
          <w:rPr>
            <w:noProof/>
            <w:webHidden/>
          </w:rPr>
          <w:fldChar w:fldCharType="begin"/>
        </w:r>
        <w:r w:rsidR="00867AA7">
          <w:rPr>
            <w:noProof/>
            <w:webHidden/>
          </w:rPr>
          <w:instrText xml:space="preserve"> PAGEREF _Toc421352924 \h </w:instrText>
        </w:r>
        <w:r>
          <w:rPr>
            <w:noProof/>
            <w:webHidden/>
          </w:rPr>
        </w:r>
        <w:r>
          <w:rPr>
            <w:noProof/>
            <w:webHidden/>
          </w:rPr>
          <w:fldChar w:fldCharType="separate"/>
        </w:r>
        <w:r w:rsidR="00867AA7">
          <w:rPr>
            <w:noProof/>
            <w:webHidden/>
          </w:rPr>
          <w:t>69</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w:anchor="_Toc421352925" w:history="1">
        <w:r w:rsidR="00867AA7" w:rsidRPr="00C30833">
          <w:rPr>
            <w:rStyle w:val="Hyperlink"/>
            <w:noProof/>
          </w:rPr>
          <w:t>Fig. S 2.4. (above diagonal) Pearson’s correlations between impacts within practices</w:t>
        </w:r>
        <w:r w:rsidR="00867AA7">
          <w:rPr>
            <w:noProof/>
            <w:webHidden/>
          </w:rPr>
          <w:tab/>
        </w:r>
        <w:r>
          <w:rPr>
            <w:noProof/>
            <w:webHidden/>
          </w:rPr>
          <w:fldChar w:fldCharType="begin"/>
        </w:r>
        <w:r w:rsidR="00867AA7">
          <w:rPr>
            <w:noProof/>
            <w:webHidden/>
          </w:rPr>
          <w:instrText xml:space="preserve"> PAGEREF _Toc421352925 \h </w:instrText>
        </w:r>
        <w:r>
          <w:rPr>
            <w:noProof/>
            <w:webHidden/>
          </w:rPr>
        </w:r>
        <w:r>
          <w:rPr>
            <w:noProof/>
            <w:webHidden/>
          </w:rPr>
          <w:fldChar w:fldCharType="separate"/>
        </w:r>
        <w:r w:rsidR="00867AA7">
          <w:rPr>
            <w:noProof/>
            <w:webHidden/>
          </w:rPr>
          <w:t>77</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30" w:anchor="_Toc421352926" w:history="1">
        <w:r w:rsidR="00867AA7" w:rsidRPr="00C30833">
          <w:rPr>
            <w:rStyle w:val="Hyperlink"/>
            <w:noProof/>
          </w:rPr>
          <w:t>Fig. S 3.1. Example showing how response variables for regressions were derived</w:t>
        </w:r>
        <w:r w:rsidR="00867AA7">
          <w:rPr>
            <w:noProof/>
            <w:webHidden/>
          </w:rPr>
          <w:tab/>
        </w:r>
        <w:r>
          <w:rPr>
            <w:noProof/>
            <w:webHidden/>
          </w:rPr>
          <w:fldChar w:fldCharType="begin"/>
        </w:r>
        <w:r w:rsidR="00867AA7">
          <w:rPr>
            <w:noProof/>
            <w:webHidden/>
          </w:rPr>
          <w:instrText xml:space="preserve"> PAGEREF _Toc421352926 \h </w:instrText>
        </w:r>
        <w:r>
          <w:rPr>
            <w:noProof/>
            <w:webHidden/>
          </w:rPr>
        </w:r>
        <w:r>
          <w:rPr>
            <w:noProof/>
            <w:webHidden/>
          </w:rPr>
          <w:fldChar w:fldCharType="separate"/>
        </w:r>
        <w:r w:rsidR="00867AA7">
          <w:rPr>
            <w:noProof/>
            <w:webHidden/>
          </w:rPr>
          <w:t>101</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31" w:anchor="_Toc421352927" w:history="1">
        <w:r w:rsidR="00867AA7" w:rsidRPr="00C30833">
          <w:rPr>
            <w:rStyle w:val="Hyperlink"/>
            <w:noProof/>
          </w:rPr>
          <w:t>Fig. S 3.2. Illustrating uneven sampling present in regressions of the variation in the additive impact surface</w:t>
        </w:r>
        <w:r w:rsidR="00867AA7">
          <w:rPr>
            <w:noProof/>
            <w:webHidden/>
          </w:rPr>
          <w:tab/>
        </w:r>
        <w:r>
          <w:rPr>
            <w:noProof/>
            <w:webHidden/>
          </w:rPr>
          <w:fldChar w:fldCharType="begin"/>
        </w:r>
        <w:r w:rsidR="00867AA7">
          <w:rPr>
            <w:noProof/>
            <w:webHidden/>
          </w:rPr>
          <w:instrText xml:space="preserve"> PAGEREF _Toc421352927 \h </w:instrText>
        </w:r>
        <w:r>
          <w:rPr>
            <w:noProof/>
            <w:webHidden/>
          </w:rPr>
        </w:r>
        <w:r>
          <w:rPr>
            <w:noProof/>
            <w:webHidden/>
          </w:rPr>
          <w:fldChar w:fldCharType="separate"/>
        </w:r>
        <w:r w:rsidR="00867AA7">
          <w:rPr>
            <w:noProof/>
            <w:webHidden/>
          </w:rPr>
          <w:t>105</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32" w:anchor="_Toc421352928" w:history="1">
        <w:r w:rsidR="00867AA7" w:rsidRPr="00C30833">
          <w:rPr>
            <w:rStyle w:val="Hyperlink"/>
            <w:noProof/>
          </w:rPr>
          <w:t>Fig. S 3.3. Contributions of individual impact metrics to reductions in the Impact Score relative to the least-cost layout</w:t>
        </w:r>
        <w:r w:rsidR="00867AA7">
          <w:rPr>
            <w:noProof/>
            <w:webHidden/>
          </w:rPr>
          <w:tab/>
        </w:r>
        <w:r>
          <w:rPr>
            <w:noProof/>
            <w:webHidden/>
          </w:rPr>
          <w:fldChar w:fldCharType="begin"/>
        </w:r>
        <w:r w:rsidR="00867AA7">
          <w:rPr>
            <w:noProof/>
            <w:webHidden/>
          </w:rPr>
          <w:instrText xml:space="preserve"> PAGEREF _Toc421352928 \h </w:instrText>
        </w:r>
        <w:r>
          <w:rPr>
            <w:noProof/>
            <w:webHidden/>
          </w:rPr>
        </w:r>
        <w:r>
          <w:rPr>
            <w:noProof/>
            <w:webHidden/>
          </w:rPr>
          <w:fldChar w:fldCharType="separate"/>
        </w:r>
        <w:r w:rsidR="00867AA7">
          <w:rPr>
            <w:noProof/>
            <w:webHidden/>
          </w:rPr>
          <w:t>107</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33" w:anchor="_Toc421352929" w:history="1">
        <w:r w:rsidR="00867AA7" w:rsidRPr="00C30833">
          <w:rPr>
            <w:rStyle w:val="Hyperlink"/>
            <w:noProof/>
          </w:rPr>
          <w:t>Fig. S 4.1. (a) results from our previous study, where Impact Scores are calculated using site-specific normalization constants</w:t>
        </w:r>
        <w:r w:rsidR="00867AA7">
          <w:rPr>
            <w:noProof/>
            <w:webHidden/>
          </w:rPr>
          <w:tab/>
        </w:r>
        <w:r>
          <w:rPr>
            <w:noProof/>
            <w:webHidden/>
          </w:rPr>
          <w:fldChar w:fldCharType="begin"/>
        </w:r>
        <w:r w:rsidR="00867AA7">
          <w:rPr>
            <w:noProof/>
            <w:webHidden/>
          </w:rPr>
          <w:instrText xml:space="preserve"> PAGEREF _Toc421352929 \h </w:instrText>
        </w:r>
        <w:r>
          <w:rPr>
            <w:noProof/>
            <w:webHidden/>
          </w:rPr>
        </w:r>
        <w:r>
          <w:rPr>
            <w:noProof/>
            <w:webHidden/>
          </w:rPr>
          <w:fldChar w:fldCharType="separate"/>
        </w:r>
        <w:r w:rsidR="00867AA7">
          <w:rPr>
            <w:noProof/>
            <w:webHidden/>
          </w:rPr>
          <w:t>149</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34" w:anchor="_Toc421352930" w:history="1">
        <w:r w:rsidR="00867AA7" w:rsidRPr="00C30833">
          <w:rPr>
            <w:rStyle w:val="Hyperlink"/>
            <w:noProof/>
          </w:rPr>
          <w:t>Fig. S 4.2. Development sites with grouped well permits (gray) and the Marcellus shale play</w:t>
        </w:r>
        <w:r w:rsidR="00867AA7">
          <w:rPr>
            <w:noProof/>
            <w:webHidden/>
          </w:rPr>
          <w:tab/>
        </w:r>
        <w:r>
          <w:rPr>
            <w:noProof/>
            <w:webHidden/>
          </w:rPr>
          <w:fldChar w:fldCharType="begin"/>
        </w:r>
        <w:r w:rsidR="00867AA7">
          <w:rPr>
            <w:noProof/>
            <w:webHidden/>
          </w:rPr>
          <w:instrText xml:space="preserve"> PAGEREF _Toc421352930 \h </w:instrText>
        </w:r>
        <w:r>
          <w:rPr>
            <w:noProof/>
            <w:webHidden/>
          </w:rPr>
        </w:r>
        <w:r>
          <w:rPr>
            <w:noProof/>
            <w:webHidden/>
          </w:rPr>
          <w:fldChar w:fldCharType="separate"/>
        </w:r>
        <w:r w:rsidR="00867AA7">
          <w:rPr>
            <w:noProof/>
            <w:webHidden/>
          </w:rPr>
          <w:t>150</w:t>
        </w:r>
        <w:r>
          <w:rPr>
            <w:noProof/>
            <w:webHidden/>
          </w:rPr>
          <w:fldChar w:fldCharType="end"/>
        </w:r>
      </w:hyperlink>
    </w:p>
    <w:p w:rsidR="00867AA7" w:rsidRDefault="00F01773">
      <w:pPr>
        <w:pStyle w:val="TableofFigures"/>
        <w:tabs>
          <w:tab w:val="right" w:leader="dot" w:pos="8630"/>
        </w:tabs>
        <w:rPr>
          <w:rFonts w:asciiTheme="minorHAnsi" w:eastAsiaTheme="minorEastAsia" w:hAnsiTheme="minorHAnsi" w:cstheme="minorBidi"/>
          <w:noProof/>
          <w:sz w:val="22"/>
          <w:szCs w:val="22"/>
        </w:rPr>
      </w:pPr>
      <w:hyperlink r:id="rId35" w:anchor="_Toc421352931" w:history="1">
        <w:r w:rsidR="00867AA7" w:rsidRPr="00C30833">
          <w:rPr>
            <w:rStyle w:val="Hyperlink"/>
            <w:noProof/>
          </w:rPr>
          <w:t>Fig. S 4.3. Distribution of gas values across our 56 study sites</w:t>
        </w:r>
        <w:r w:rsidR="00867AA7">
          <w:rPr>
            <w:noProof/>
            <w:webHidden/>
          </w:rPr>
          <w:tab/>
        </w:r>
        <w:r>
          <w:rPr>
            <w:noProof/>
            <w:webHidden/>
          </w:rPr>
          <w:fldChar w:fldCharType="begin"/>
        </w:r>
        <w:r w:rsidR="00867AA7">
          <w:rPr>
            <w:noProof/>
            <w:webHidden/>
          </w:rPr>
          <w:instrText xml:space="preserve"> PAGEREF _Toc421352931 \h </w:instrText>
        </w:r>
        <w:r>
          <w:rPr>
            <w:noProof/>
            <w:webHidden/>
          </w:rPr>
        </w:r>
        <w:r>
          <w:rPr>
            <w:noProof/>
            <w:webHidden/>
          </w:rPr>
          <w:fldChar w:fldCharType="separate"/>
        </w:r>
        <w:r w:rsidR="00867AA7">
          <w:rPr>
            <w:noProof/>
            <w:webHidden/>
          </w:rPr>
          <w:t>152</w:t>
        </w:r>
        <w:r>
          <w:rPr>
            <w:noProof/>
            <w:webHidden/>
          </w:rPr>
          <w:fldChar w:fldCharType="end"/>
        </w:r>
      </w:hyperlink>
    </w:p>
    <w:p w:rsidR="009A26E4" w:rsidRDefault="00F01773" w:rsidP="00D37CBE">
      <w:pPr>
        <w:pStyle w:val="Title"/>
        <w:sectPr w:rsidR="009A26E4" w:rsidSect="002115B4">
          <w:pgSz w:w="12240" w:h="15840" w:code="1"/>
          <w:pgMar w:top="1440" w:right="1800" w:bottom="1440" w:left="1800" w:header="720" w:footer="1440" w:gutter="0"/>
          <w:pgNumType w:fmt="lowerRoman"/>
          <w:cols w:space="720"/>
          <w:noEndnote/>
          <w:docGrid w:linePitch="360"/>
        </w:sectPr>
      </w:pPr>
      <w:r>
        <w:fldChar w:fldCharType="end"/>
      </w:r>
    </w:p>
    <w:p w:rsidR="004C2071" w:rsidRDefault="00EE6F3B" w:rsidP="00D37CBE">
      <w:pPr>
        <w:pStyle w:val="Heading1"/>
        <w:numPr>
          <w:ilvl w:val="0"/>
          <w:numId w:val="0"/>
        </w:numPr>
      </w:pPr>
      <w:bookmarkStart w:id="0" w:name="_Toc417815114"/>
      <w:bookmarkStart w:id="1" w:name="_Toc421352860"/>
      <w:r w:rsidRPr="00EE6F3B">
        <w:lastRenderedPageBreak/>
        <w:t>Introduction</w:t>
      </w:r>
      <w:bookmarkEnd w:id="0"/>
      <w:bookmarkEnd w:id="1"/>
    </w:p>
    <w:p w:rsidR="009663A3" w:rsidRPr="00026C0B" w:rsidRDefault="00FD4607" w:rsidP="00026C0B">
      <w:pPr>
        <w:pStyle w:val="Subtitle"/>
      </w:pPr>
      <w:r w:rsidRPr="00026C0B">
        <w:t>Background and Motivation</w:t>
      </w:r>
    </w:p>
    <w:p w:rsidR="002C1A18" w:rsidRDefault="00AB59A0" w:rsidP="000C6844">
      <w:r>
        <w:t>The world is changing. Change is not new, but the nature of this change is. Some aspects of this change include new threats to conservation priorities, an increasingly global scope for problems and decisions</w:t>
      </w:r>
      <w:r w:rsidR="008534C9">
        <w:t>,</w:t>
      </w:r>
      <w:r>
        <w:t xml:space="preserve"> </w:t>
      </w:r>
      <w:r w:rsidR="008534C9">
        <w:t xml:space="preserve">the integration of conservation practice and human development </w:t>
      </w:r>
      <w:r w:rsidR="00F01773">
        <w:fldChar w:fldCharType="begin" w:fldLock="1"/>
      </w:r>
      <w:r w:rsidR="00837198">
        <w:instrText>ADDIN CSL_CITATION { "citationItems" : [ { "id" : "ITEM-1", "itemData" : { "DOI" : "10.1111/j.1523-1739.2009.01212.x", "ISSN" : "1523-1739", "abstract" : "Abstract: We identified 100 scientific questions that, if answered, would have the greatest impact on conservation practice and policy. Representatives from 21 international organizations, regional sections and working groups of the Society for Conservation Biology, and 12 academics, from all continents except Antarctica, compiled 2291 questions of relevance to conservation of biological diversity worldwide. The questions were gathered from 761 individuals through workshops, email requests, and discussions. Voting by email to short-list questions, followed by a 2-day workshop, was used to derive the final list of 100 questions. Most of the final questions were derived through a process of modification and combination as the workshop progressed. The questions are divided into 12 sections: ecosystem functions and services, climate change, technological change, protected areas, ecosystem management and restoration, terrestrial ecosystems, marine ecosystems, freshwater ecosystems, species management, organizational systems and processes, societal context and change, and impacts of conservation interventions. We anticipate that these questions will help identify new directions for researchers and assist funders in directing funds.", "author" : [ { "dropping-particle" : "", "family" : "Sutherland", "given" : "W. J.", "non-dropping-particle" : "", "parse-names" : false, "suffix" : "" }, { "dropping-particle" : "", "family" : "Adams", "given" : "W. M.", "non-dropping-particle" : "", "parse-names" : false, "suffix" : "" }, { "dropping-particle" : "", "family" : "Aronson", "given" : "R. B.", "non-dropping-particle" : "", "parse-names" : false, "suffix" : "" }, { "dropping-particle" : "", "family" : "Aveling", "given" : "R.", "non-dropping-particle" : "", "parse-names" : false, "suffix" : "" }, { "dropping-particle" : "", "family" : "Blackburn", "given" : "T. M.", "non-dropping-particle" : "", "parse-names" : false, "suffix" : "" }, { "dropping-particle" : "", "family" : "Broad", "given" : "S.", "non-dropping-particle" : "", "parse-names" : false, "suffix" : "" }, { "dropping-particle" : "", "family" : "Ceballos", "given" : "G.", "non-dropping-particle" : "", "parse-names" : false, "suffix" : "" }, { "dropping-particle" : "", "family" : "C\u00f4t\u00e9", "given" : "I. M.", "non-dropping-particle" : "", "parse-names" : false, "suffix" : "" }, { "dropping-particle" : "", "family" : "Cowling", "given" : "R. M.", "non-dropping-particle" : "", "parse-names" : false, "suffix" : "" }, { "dropping-particle" : "", "family" : "Fonseca", "given" : "G. A. B.", "non-dropping-particle" : "Da", "parse-names" : false, "suffix" : "" }, { "dropping-particle" : "", "family" : "Dinerstein", "given" : "E.", "non-dropping-particle" : "", "parse-names" : false, "suffix" : "" }, { "dropping-particle" : "", "family" : "Ferraro", "given" : "P. J.", "non-dropping-particle" : "", "parse-names" : false, "suffix" : "" }, { "dropping-particle" : "", "family" : "Fleishman", "given" : "E.", "non-dropping-particle" : "", "parse-names" : false, "suffix" : "" }, { "dropping-particle" : "", "family" : "Gascon", "given" : "C.", "non-dropping-particle" : "", "parse-names" : false, "suffix" : "" }, { "dropping-particle" : "", "family" : "Hunter Jr.", "given" : "M.", "non-dropping-particle" : "", "parse-names" : false, "suffix" : "" }, { "dropping-particle" : "", "family" : "Hutton", "given" : "J.", "non-dropping-particle" : "", "parse-names" : false, "suffix" : "" }, { "dropping-particle" : "", "family" : "Kereiva", "given" : "P.", "non-dropping-particle" : "", "parse-names" : false, "suffix" : "" }, { "dropping-particle" : "", "family" : "Kuria", "given" : "A.", "non-dropping-particle" : "", "parse-names" : false, "suffix" : "" }, { "dropping-particle" : "", "family" : "MacDonald", "given" : "D. W.", "non-dropping-particle" : "", "parse-names" : false, "suffix" : "" }, { "dropping-particle" : "", "family" : "Mackinnon", "given" : "K.", "non-dropping-particle" : "", "parse-names" : false, "suffix" : "" }, { "dropping-particle" : "", "family" : "Madgwick", "given" : "F. J.", "non-dropping-particle" : "", "parse-names" : false, "suffix" : "" }, { "dropping-particle" : "", "family" : "Mascia", "given" : "M. B.", "non-dropping-particle" : "", "parse-names" : false, "suffix" : "" }, { "dropping-particle" : "", "family" : "McNeely", "given" : "J.", "non-dropping-particle" : "", "parse-names" : false, "suffix" : "" }, { "dropping-particle" : "", "family" : "Milner-Gulland", "given" : "E. J.", "non-dropping-particle" : "", "parse-names" : false, "suffix" : "" }, { "dropping-particle" : "", "family" : "Moon", "given" : "S.", "non-dropping-particle" : "", "parse-names" : false, "suffix" : "" }, { "dropping-particle" : "", "family" : "Morley", "given" : "C. G.", "non-dropping-particle" : "", "parse-names" : false, "suffix" : "" }, { "dropping-particle" : "", "family" : "Nelson", "given" : "S.", "non-dropping-particle" : "", "parse-names" : false, "suffix" : "" }, { "dropping-particle" : "", "family" : "Osborn", "given" : "D.", "non-dropping-particle" : "", "parse-names" : false, "suffix" : "" }, { "dropping-particle" : "", "family" : "Pai", "given" : "M.", "non-dropping-particle" : "", "parse-names" : false, "suffix" : "" }, { "dropping-particle" : "", "family" : "Parsons", "given" : "E. C. M.", "non-dropping-particle" : "", "parse-names" : false, "suffix" : "" }, { "dropping-particle" : "", "family" : "Peck", "given" : "L. S.", "non-dropping-particle" : "", "parse-names" : false, "suffix" : "" }, { "dropping-particle" : "", "family" : "Possingham", "given" : "H.", "non-dropping-particle" : "", "parse-names" : false, "suffix" : "" }, { "dropping-particle" : "V.", "family" : "Prior", "given" : "S.", "non-dropping-particle" : "", "parse-names" : false, "suffix" : "" }, { "dropping-particle" : "", "family" : "Pullin", "given" : "A. S.", "non-dropping-particle" : "", "parse-names" : false, "suffix" : "" }, { "dropping-particle" : "", "family" : "Rands", "given" : "M. R. W.", "non-dropping-particle" : "", "parse-names" : false, "suffix" : "" }, { "dropping-particle" : "", "family" : "Ranganthan", "given" : "J.", "non-dropping-particle" : "", "parse-names" : false, "suffix" : "" }, { "dropping-particle" : "", "family" : "Redford", "given" : "K. H.", "non-dropping-particle" : "", "parse-names" : false, "suffix" : "" }, { "dropping-particle" : "", "family" : "Rodriguez", "given" : "J. P.", "non-dropping-particle" : "", "parse-names" : false, "suffix" : "" }, { "dropping-particle" : "", "family" : "Seymour", "given" : "F.", "non-dropping-particle" : "", "parse-names" : false, "suffix" : "" }, { "dropping-particle" : "", "family" : "Sobel", "given" : "J.", "non-dropping-particle" : "", "parse-names" : false, "suffix" : "" }, { "dropping-particle" : "", "family" : "Sodhi", "given" : "N. S.", "non-dropping-particle" : "", "parse-names" : false, "suffix" : "" }, { "dropping-particle" : "", "family" : "Stott", "given" : "A.", "non-dropping-particle" : "", "parse-names" : false, "suffix" : "" }, { "dropping-particle" : "", "family" : "Vance-Borland", "given" : "K.", "non-dropping-particle" : "", "parse-names" : false, "suffix" : "" }, { "dropping-particle" : "", "family" : "Watkinson", "given" : "A. R.", "non-dropping-particle" : "", "parse-names" : false, "suffix" : "" } ], "container-title" : "Conservation Biology", "id" : "ITEM-1", "issue" : "3", "issued" : { "date-parts" : [ [ "2009" ] ] }, "page" : "557-567", "publisher" : "Blackwell Publishing Inc", "title" : "One Hundred Questions of Importance to the Conservation of Global Biological Diversity", "type" : "article-journal", "volume" : "23" }, "uris" : [ "http://www.mendeley.com/documents/?uuid=5845cf86-67b2-42ec-86e6-ea7efaf6db80" ] }, { "id" : "ITEM-2", "itemData" : { "DOI" : "10.1126/science.1189138", "abstract" : "The continued growth of human populations and of per capita consumption have resulted in unsustainable exploitation of Earth\u2019s biological diversity, exacerbated by climate change, ocean acidification, and other anthropogenic environmental impacts. We argue that effective conservation of biodiversity is essential for human survival and the maintenance of ecosystem processes. Despite some conservation successes (especially at local scales) and increasing public and government interest in living sustainably, biodiversity continues to decline. Moving beyond 2010, successful conservation approaches need to be reinforced and adequately financed. In addition, however, more radical changes are required that recognize biodiversity as a global public good, that integrate biodiversity conservation into policies and decision frameworks for resource production and consumption, and that focus on wider institutional and societal changes to enable more effective implementation of policy. ", "author" : [ { "dropping-particle" : "", "family" : "Rands", "given" : "Michael R W", "non-dropping-particle" : "", "parse-names" : false, "suffix" : "" }, { "dropping-particle" : "", "family" : "Adams", "given" : "William M", "non-dropping-particle" : "", "parse-names" : false, "suffix" : "" }, { "dropping-particle" : "", "family" : "Bennun", "given" : "Leon", "non-dropping-particle" : "", "parse-names" : false, "suffix" : "" }, { "dropping-particle" : "", "family" : "Butchart", "given" : "Stuart H M", "non-dropping-particle" : "", "parse-names" : false, "suffix" : "" }, { "dropping-particle" : "", "family" : "Clements", "given" : "Andrew", "non-dropping-particle" : "", "parse-names" : false, "suffix" : "" }, { "dropping-particle" : "", "family" : "Coomes", "given" : "David", "non-dropping-particle" : "", "parse-names" : false, "suffix" : "" }, { "dropping-particle" : "", "family" : "Entwistle", "given" : "Abigail", "non-dropping-particle" : "", "parse-names" : false, "suffix" : "" }, { "dropping-particle" : "", "family" : "Hodge", "given" : "Ian", "non-dropping-particle" : "", "parse-names" : false, "suffix" : "" }, { "dropping-particle" : "", "family" : "Kapos", "given" : "Valerie", "non-dropping-particle" : "", "parse-names" : false, "suffix" : "" }, { "dropping-particle" : "", "family" : "Scharlemann", "given" : "J\u00f6rn P W", "non-dropping-particle" : "", "parse-names" : false, "suffix" : "" }, { "dropping-particle" : "", "family" : "Sutherland", "given" : "William J", "non-dropping-particle" : "", "parse-names" : false, "suffix" : "" }, { "dropping-particle" : "", "family" : "Vira", "given" : "Bhaskar", "non-dropping-particle" : "", "parse-names" : false, "suffix" : "" } ], "container-title" : "Science ", "id" : "ITEM-2", "issue" : "5997 ", "issued" : { "date-parts" : [ [ "2010", "9", "10" ] ] }, "note" : "10.1126/science.1189138", "page" : "1298-1303", "title" : "Biodiversity Conservation: Challenges Beyond 2010", "type" : "article-journal", "volume" : "329 " }, "uris" : [ "http://www.mendeley.com/documents/?uuid=8e91347f-7cc7-4601-9631-583c900d8f48" ] } ], "mendeley" : { "formattedCitation" : "(Sutherland &lt;i&gt;et al.&lt;/i&gt; 2009; Rands &lt;i&gt;et al.&lt;/i&gt; 2010)", "plainTextFormattedCitation" : "(Sutherland et al. 2009; Rands et al. 2010)", "previouslyFormattedCitation" : "(Sutherland &lt;i&gt;et al.&lt;/i&gt; 2009; Rands &lt;i&gt;et al.&lt;/i&gt; 2010)" }, "properties" : { "noteIndex" : 0 }, "schema" : "https://github.com/citation-style-language/schema/raw/master/csl-citation.json" }</w:instrText>
      </w:r>
      <w:r w:rsidR="00F01773">
        <w:fldChar w:fldCharType="separate"/>
      </w:r>
      <w:r w:rsidR="008534C9" w:rsidRPr="008534C9">
        <w:rPr>
          <w:noProof/>
        </w:rPr>
        <w:t xml:space="preserve">(Sutherland </w:t>
      </w:r>
      <w:r w:rsidR="008534C9" w:rsidRPr="008534C9">
        <w:rPr>
          <w:i/>
          <w:noProof/>
        </w:rPr>
        <w:t>et al.</w:t>
      </w:r>
      <w:r w:rsidR="008534C9" w:rsidRPr="008534C9">
        <w:rPr>
          <w:noProof/>
        </w:rPr>
        <w:t xml:space="preserve"> 2009; Rands </w:t>
      </w:r>
      <w:r w:rsidR="008534C9" w:rsidRPr="008534C9">
        <w:rPr>
          <w:i/>
          <w:noProof/>
        </w:rPr>
        <w:t>et al.</w:t>
      </w:r>
      <w:r w:rsidR="008534C9" w:rsidRPr="008534C9">
        <w:rPr>
          <w:noProof/>
        </w:rPr>
        <w:t xml:space="preserve"> 2010)</w:t>
      </w:r>
      <w:r w:rsidR="00F01773">
        <w:fldChar w:fldCharType="end"/>
      </w:r>
      <w:r w:rsidR="008534C9">
        <w:t>,</w:t>
      </w:r>
      <w:r w:rsidR="008534C9" w:rsidDel="008534C9">
        <w:t xml:space="preserve"> </w:t>
      </w:r>
      <w:r>
        <w:t xml:space="preserve">the increasing availability of large datasets </w:t>
      </w:r>
      <w:r w:rsidR="00F01773">
        <w:fldChar w:fldCharType="begin" w:fldLock="1"/>
      </w:r>
      <w:r w:rsidR="008534C9">
        <w:instrText>ADDIN CSL_CITATION { "citationItems" : [ { "id" : "ITEM-1", "itemData" : { "DOI" : "10.1890/120103", "ISSN" : "1540-9295", "abstract" : "The need for sound ecological science has escalated alongside the rise of the information age and ?big data? across all sectors of society. Big data generally refer to massive volumes of data not readily handled by the usual data tools and practices and present unprecedented opportunities for advancing science and informing resource management through data-intensive approaches. The era of big data need not be propelled only by ?big science? ? the term used to describe large-scale efforts that have had mixed success in the individual-driven culture of ecology. Collectively, ecologists already have big data to bolster the scientific effort ? a large volume of distributed, high-value information ? but many simply fail to contribute. We encourage ecologists to join the larger scientific community in global initiatives to address major scientific and societal problems by bringing their distributed data to the table and harnessing its collective power. The scientists who contribute such information will be at the forefront of socially relevant science ? but will they be ecologists?", "author" : [ { "dropping-particle" : "", "family" : "Hampton", "given" : "Stephanie E", "non-dropping-particle" : "", "parse-names" : false, "suffix" : "" }, { "dropping-particle" : "", "family" : "Strasser", "given" : "Carly A", "non-dropping-particle" : "", "parse-names" : false, "suffix" : "" }, { "dropping-particle" : "", "family" : "Tewksbury", "given" : "Joshua J", "non-dropping-particle" : "", "parse-names" : false, "suffix" : "" }, { "dropping-particle" : "", "family" : "Gram", "given" : "Wendy K", "non-dropping-particle" : "", "parse-names" : false, "suffix" : "" }, { "dropping-particle" : "", "family" : "Budden", "given" : "Amber E", "non-dropping-particle" : "", "parse-names" : false, "suffix" : "" }, { "dropping-particle" : "", "family" : "Batcheller", "given" : "Archer L", "non-dropping-particle" : "", "parse-names" : false, "suffix" : "" }, { "dropping-particle" : "", "family" : "Duke", "given" : "Clifford S", "non-dropping-particle" : "", "parse-names" : false, "suffix" : "" }, { "dropping-particle" : "", "family" : "Porter", "given" : "John H", "non-dropping-particle" : "", "parse-names" : false, "suffix" : "" } ], "container-title" : "Frontiers in Ecology and the Environment", "id" : "ITEM-1", "issue" : "3", "issued" : { "date-parts" : [ [ "2013", "3", "12" ] ] }, "note" : "doi: 10.1890/120103", "page" : "156-162", "publisher" : "Ecological Society of America", "title" : "Big data and the future of ecology", "type" : "article-journal", "volume" : "11" }, "uris" : [ "http://www.mendeley.com/documents/?uuid=c610cc24-8dc0-49f4-aecc-941958545ddc" ] } ], "mendeley" : { "formattedCitation" : "(Hampton &lt;i&gt;et al.&lt;/i&gt; 2013)", "plainTextFormattedCitation" : "(Hampton et al. 2013)", "previouslyFormattedCitation" : "(Hampton &lt;i&gt;et al.&lt;/i&gt; 2013)" }, "properties" : { "noteIndex" : 0 }, "schema" : "https://github.com/citation-style-language/schema/raw/master/csl-citation.json" }</w:instrText>
      </w:r>
      <w:r w:rsidR="00F01773">
        <w:fldChar w:fldCharType="separate"/>
      </w:r>
      <w:r w:rsidR="008534C9" w:rsidRPr="008534C9">
        <w:rPr>
          <w:noProof/>
        </w:rPr>
        <w:t xml:space="preserve">(Hampton </w:t>
      </w:r>
      <w:r w:rsidR="008534C9" w:rsidRPr="008534C9">
        <w:rPr>
          <w:i/>
          <w:noProof/>
        </w:rPr>
        <w:t>et al.</w:t>
      </w:r>
      <w:r w:rsidR="008534C9" w:rsidRPr="008534C9">
        <w:rPr>
          <w:noProof/>
        </w:rPr>
        <w:t xml:space="preserve"> 2013)</w:t>
      </w:r>
      <w:r w:rsidR="00F01773">
        <w:fldChar w:fldCharType="end"/>
      </w:r>
      <w:r>
        <w:t xml:space="preserve">, </w:t>
      </w:r>
      <w:r w:rsidR="008534C9">
        <w:t xml:space="preserve">and </w:t>
      </w:r>
      <w:r>
        <w:t xml:space="preserve">increasing computational power. </w:t>
      </w:r>
      <w:r w:rsidR="00751A97">
        <w:t xml:space="preserve">These changes point to a need for conservation planning as a science and practice to keep pace by updating. </w:t>
      </w:r>
    </w:p>
    <w:p w:rsidR="002C1A18" w:rsidRDefault="002C1A18" w:rsidP="000C6844">
      <w:r>
        <w:tab/>
        <w:t xml:space="preserve">Conservation resources are limited </w:t>
      </w:r>
      <w:r w:rsidR="008534C9">
        <w:t xml:space="preserve">relative to biodiversity needs </w:t>
      </w:r>
      <w:r w:rsidR="00F01773">
        <w:fldChar w:fldCharType="begin" w:fldLock="1"/>
      </w:r>
      <w:r w:rsidR="00837198">
        <w:instrText>ADDIN CSL_CITATION { "citationItems" : [ { "id" : "ITEM-1", "itemData" : { "DOI" : "10.1073/pnas.1221370110", "abstract" : "Inadequate funding levels are a major impediment to effective global biodiversity conservation and are likely associated with recent failures to meet United Nations biodiversity targets. Some countries are more severely underfunded than others and therefore represent urgent financial priorities. However, attempts to identify these highly underfunded countries have been hampered for decades by poor and incomplete data on actual spending, coupled with uncertainty and lack of consensus over the relative size of spending gaps. Here, we assemble a global database of annual conservation spending. We then develop a statistical model that explains 86% of variation in conservation expenditures, and use this to identify countries where funding is robustly below expected levels. The 40 most severely underfunded countries contain 32% of all threatened mammalian diversity and include neighbors in some of the world\u2019s most biodiversity-rich areas (Sundaland, Wallacea, and Near Oceania). However, very modest increases in international assistance would achieve a large improvement in the relative adequacy of global conservation finance. Our results could therefore be quickly applied to limit immediate biodiversity losses at relatively little cost. ", "author" : [ { "dropping-particle" : "", "family" : "Waldron", "given" : "Anthony", "non-dropping-particle" : "", "parse-names" : false, "suffix" : "" }, { "dropping-particle" : "", "family" : "Mooers", "given" : "Arne O", "non-dropping-particle" : "", "parse-names" : false, "suffix" : "" }, { "dropping-particle" : "", "family" : "Miller", "given" : "Daniel C", "non-dropping-particle" : "", "parse-names" : false, "suffix" : "" }, { "dropping-particle" : "", "family" : "Nibbelink", "given" : "Nate", "non-dropping-particle" : "", "parse-names" : false, "suffix" : "" }, { "dropping-particle" : "", "family" : "Redding", "given" : "David", "non-dropping-particle" : "", "parse-names" : false, "suffix" : "" }, { "dropping-particle" : "", "family" : "Kuhn", "given" : "Tyler S", "non-dropping-particle" : "", "parse-names" : false, "suffix" : "" }, { "dropping-particle" : "", "family" : "Roberts", "given" : "J Timmons", "non-dropping-particle" : "", "parse-names" : false, "suffix" : "" }, { "dropping-particle" : "", "family" : "Gittleman", "given" : "John L", "non-dropping-particle" : "", "parse-names" : false, "suffix" : "" } ], "container-title" : "Proceedings of the National Academy of Sciences ", "id" : "ITEM-1", "issue" : "29 ", "issued" : { "date-parts" : [ [ "2013", "7", "16" ] ] }, "note" : "10.1073/pnas.1221370110", "page" : "12144-12148", "title" : "Targeting global conservation funding to limit immediate biodiversity declines", "type" : "article-journal", "volume" : "110 " }, "uris" : [ "http://www.mendeley.com/documents/?uuid=92bff4a8-17e1-456d-ba16-02509e68723e" ] } ], "mendeley" : { "formattedCitation" : "(Waldron &lt;i&gt;et al.&lt;/i&gt; 2013)", "plainTextFormattedCitation" : "(Waldron et al. 2013)", "previouslyFormattedCitation" : "(Waldron &lt;i&gt;et al.&lt;/i&gt; 2013)" }, "properties" : { "noteIndex" : 0 }, "schema" : "https://github.com/citation-style-language/schema/raw/master/csl-citation.json" }</w:instrText>
      </w:r>
      <w:r w:rsidR="00F01773">
        <w:fldChar w:fldCharType="separate"/>
      </w:r>
      <w:r w:rsidR="008534C9" w:rsidRPr="008534C9">
        <w:rPr>
          <w:noProof/>
        </w:rPr>
        <w:t xml:space="preserve">(Waldron </w:t>
      </w:r>
      <w:r w:rsidR="008534C9" w:rsidRPr="008534C9">
        <w:rPr>
          <w:i/>
          <w:noProof/>
        </w:rPr>
        <w:t>et al.</w:t>
      </w:r>
      <w:r w:rsidR="008534C9" w:rsidRPr="008534C9">
        <w:rPr>
          <w:noProof/>
        </w:rPr>
        <w:t xml:space="preserve"> 2013)</w:t>
      </w:r>
      <w:r w:rsidR="00F01773">
        <w:fldChar w:fldCharType="end"/>
      </w:r>
      <w:r w:rsidR="008534C9">
        <w:t>, which</w:t>
      </w:r>
      <w:r>
        <w:t xml:space="preserve"> increase</w:t>
      </w:r>
      <w:r w:rsidR="008534C9">
        <w:t>s</w:t>
      </w:r>
      <w:r>
        <w:t xml:space="preserve"> the need for new science to inform conservation practice now, not in decades when it may be too late. </w:t>
      </w:r>
      <w:r w:rsidR="006A6CA7" w:rsidRPr="006A6CA7">
        <w:rPr>
          <w:noProof/>
        </w:rPr>
        <w:t xml:space="preserve">Sunderland </w:t>
      </w:r>
      <w:r w:rsidR="006A6CA7" w:rsidRPr="006A6CA7">
        <w:rPr>
          <w:i/>
          <w:noProof/>
        </w:rPr>
        <w:t>et al.</w:t>
      </w:r>
      <w:r w:rsidR="006A6CA7">
        <w:t xml:space="preserve"> </w:t>
      </w:r>
      <w:r w:rsidR="00F01773">
        <w:fldChar w:fldCharType="begin" w:fldLock="1"/>
      </w:r>
      <w:r w:rsidR="005C4C00">
        <w:instrText>ADDIN CSL_CITATION { "citationItems" : [ { "id" : "ITEM-1", "itemData" : { "DOI" : "10.1111/j.1744-7429.2009.00557.x", "ISSN" : "1744-7429", "abstract" : "It is widely accepted that there is a considerable gap between the science of conservation biology and the design and execution of biodiversity conservation projects in the field and science is failing to inform the practice of conservation. There are many reasons why this implementation gap exists. A high proportion of papers published in scientific journals by conservation biologists are seldom read outside of the academic world and there are few incentives for academics to convert their science into practice. In turn, field practitioners rarely document their field experiences and experiments in a manner that can meaningfully inform conservation scientists. Issues related to access to scientific literature, scientific relevance in multidisciplinary environments, donor expectations and a lack of critical analysis at all levels of conservation theory and practice are factors that exacerbate the divide. The contexts in which conservation biologists and field practitioners operate are also often highly dissimilar, and each has differing professional responsibilities and expectations that compromise the ability to learn from each other's expertise. Building on recent debate in the literature, and using case studies to illustrate the issues that characterize the divide, this paper draws on the authors' experiences of project management as well as academic research. We identify five key issues related to information exchange: access to scientific literature, levels of scientific literacy, lack of interdisciplinarity, questions of relevance and lack of sharing of conservation-related experiences and suggest new ways of working that could assist in bridging the gap between conservation scientists and field practitioners.", "author" : [ { "dropping-particle" : "", "family" : "Sunderland", "given" : "Terry", "non-dropping-particle" : "", "parse-names" : false, "suffix" : "" }, { "dropping-particle" : "", "family" : "Sunderland-Groves", "given" : "Jacqueline", "non-dropping-particle" : "", "parse-names" : false, "suffix" : "" }, { "dropping-particle" : "", "family" : "Shanley", "given" : "Patricia", "non-dropping-particle" : "", "parse-names" : false, "suffix" : "" }, { "dropping-particle" : "", "family" : "Campbell", "given" : "Bruce", "non-dropping-particle" : "", "parse-names" : false, "suffix" : "" } ], "container-title" : "Biotropica", "id" : "ITEM-1", "issue" : "5", "issued" : { "date-parts" : [ [ "2009" ] ] }, "page" : "549-554", "publisher" : "Blackwell Publishing Inc", "title" : "Bridging the Gap: How Can Information Access and Exchange Between Conservation Biologists and Field Practitioners be Improved for Better Conservation Outcomes?", "type" : "article-journal", "volume" : "41" }, "suppress-author" : 1, "uris" : [ "http://www.mendeley.com/documents/?uuid=f7eeac95-6919-4525-b09a-5d25d50c9e60" ] } ], "mendeley" : { "formattedCitation" : "(2009)", "plainTextFormattedCitation" : "(2009)", "previouslyFormattedCitation" : "(2009)" }, "properties" : { "noteIndex" : 0 }, "schema" : "https://github.com/citation-style-language/schema/raw/master/csl-citation.json" }</w:instrText>
      </w:r>
      <w:r w:rsidR="00F01773">
        <w:fldChar w:fldCharType="separate"/>
      </w:r>
      <w:r w:rsidR="006A6CA7" w:rsidRPr="006A6CA7">
        <w:rPr>
          <w:noProof/>
        </w:rPr>
        <w:t>(2009)</w:t>
      </w:r>
      <w:r w:rsidR="00F01773">
        <w:fldChar w:fldCharType="end"/>
      </w:r>
      <w:r w:rsidR="006A6CA7">
        <w:t xml:space="preserve"> argue that the well-accepted gap between conservation science and practice can be partially ameliorated by increasing the accessibility and relevance of science to practitioners. </w:t>
      </w:r>
      <w:r w:rsidR="007E7CB5">
        <w:t>One way this has been done in the past decades has been to incorporate limit</w:t>
      </w:r>
      <w:r w:rsidR="00307772">
        <w:t>ed</w:t>
      </w:r>
      <w:r w:rsidR="007E7CB5">
        <w:t xml:space="preserve"> budgets into conservation planning</w:t>
      </w:r>
      <w:r w:rsidR="001955B2">
        <w:t xml:space="preserve"> </w:t>
      </w:r>
      <w:r w:rsidR="00F01773">
        <w:fldChar w:fldCharType="begin" w:fldLock="1"/>
      </w:r>
      <w:r w:rsidR="00C6690C">
        <w:instrText>ADDIN CSL_CITATION { "citationItems" : [ { "id" : "ITEM-1", "itemData" : { "DOI" : "10.1111/cobi.12434", "ISSN" : "1523-1739", "abstract" : "Protected area networks are designed to restrict anthropogenic pressures in areas of high biodiversity. Resource users respond by seeking to replace some or all of the lost resources from locations elsewhere in the landscape. Protected area networks thereby perturb the pattern of human pressures by displacing extractive effort from within protected areas into the broader landscape, a process known as leakage. The negative effects of leakage on conservation outcomes have been empirically documented and modeled using homogeneous descriptions of conservation landscapes. Human resource use and biodiversity vary greatly in space, however, and a theory of leakage must describe how this heterogeneity affects the magnitude, pattern, and biodiversity impacts of leakage. We combined models of household utility, adaptive human foraging, and biodiversity conservation to provide a bioeconomic model of leakage that accounts for spatial heterogeneity. Leakage had strong and divergent impacts on the performance of protected area networks, undermining biodiversity benefits but mitigating the negative impacts on local resource users. When leakage was present, our model showed that poorly designed protected area networks resulted in a substantial net loss of biodiversity. However, the effects of leakage can be mitigated if they are incorporated ex-ante into the conservation planning process. If protected areas are coupled with nonreserve policy instruments such as market subsidies, our model shows that the trade-offs between biodiversity and human well-being can be further and more directly reduced.", "author" : [ { "dropping-particle" : "", "family" : "Bode", "given" : "Michael", "non-dropping-particle" : "", "parse-names" : false, "suffix" : "" }, { "dropping-particle" : "", "family" : "Tulloch", "given" : "Ayesha I T", "non-dropping-particle" : "", "parse-names" : false, "suffix" : "" }, { "dropping-particle" : "", "family" : "Mills", "given" : "Morena", "non-dropping-particle" : "", "parse-names" : false, "suffix" : "" }, { "dropping-particle" : "", "family" : "Venter", "given" : "Oscar", "non-dropping-particle" : "", "parse-names" : false, "suffix" : "" }, { "dropping-particle" : "", "family" : "W. Ando", "given" : "Amy", "non-dropping-particle" : "", "parse-names" : false, "suffix" : "" } ], "container-title" : "Conservation Biology", "id" : "ITEM-1", "issue" : "3", "issued" : { "date-parts" : [ [ "2015" ] ] }, "page" : "765-774", "title" : "A conservation planning approach to mitigate the impacts of leakage from protected area networks", "type" : "article-journal", "volume" : "29" }, "prefix" : "e.g a few from the past year:", "uris" : [ "http://www.mendeley.com/documents/?uuid=a74956dd-48a7-4159-9d48-3c7d586e01bd" ] }, { "id" : "ITEM-2", "itemData" : { "DOI" : "10.1111/ecog.01252", "ISSN" : "1600-0587", "abstract" : "Pressure to conserve biodiversity with limited resources has led to increasing use of species distribution models (SDMs) for spatial conservation prioritization. Published spatial prioritization exercises often focus on well-studied groups, with data compiled from on-line databases of ad-hoc collections. Conservation plans generally aim to protect all components of biodiversity, and it is implied that the species used in prioritization act as surrogates. Here, we assess the sensitivity of spatial priorities to model and surrogate choice using a case study from a fragmented agricultural area of south eastern Australia that is poorly represented in the national reserve system. We model the distributions of 30 species of bird, microbat and bee using two types of SDM; generalised linear models based on systematic surveys that yield presence and absence observations, and MaxEnt models based on biodiversity database records. Eight prioritization scenarios were tested using Zonation software, and were based on either the presence\u2013background or presence\u2013absence SDMs and combinations of surrogacy among the three taxa. We found low correlations between SDMs generated for the same species using different modelling frameworks (\u03bc = 0.18, n = 26). Area under the receiver operating characteristic curve (AUC) estimates generated by MaxEnt were optimistic; on average 1.36 times higher than when tested against the systematic survey data. Conservation priorities were sensitive to the choice of surrogate and type of data used to fit SDMs, and though bats and birds formed moderately good surrogates for each other, there was less compelling evidence of surrogacy for bees. Because valid surrogacy is unlikely with most existing data sets, investment in high quality data for less-surveyed groups prior to planning should still be a priority. If this is not possible, then it is advisable to analyse the sensitivity of conservation plans to the assumed surrogacy and quality of data available.", "author" : [ { "dropping-particle" : "", "family" : "Lentini", "given" : "Pia E", "non-dropping-particle" : "", "parse-names" : false, "suffix" : "" }, { "dropping-particle" : "", "family" : "Wintle", "given" : "Brendan A", "non-dropping-particle" : "", "parse-names" : false, "suffix" : "" } ], "container-title" : "Ecography", "id" : "ITEM-2", "issued" : { "date-parts" : [ [ "2015" ] ] }, "publisher" : "Blackwell Publishing Ltd", "title" : "Spatial conservation priorities are highly sensitive to choice of biodiversity surrogates and species distribution model type", "type" : "article-journal", "volume" : "In Press" }, "uris" : [ "http://www.mendeley.com/documents/?uuid=a7b85874-26ea-4250-946d-35b97b0be871" ] }, { "id" : "ITEM-3", "itemData" : { "DOI" : "10.1093/reep/reu014", "abstract" : "Land and natural resource conservation programs are increasingly being evaluated on the basis of their return on investment (ROI). Conservation ROI analysis quantitatively measures the costs, benefits, and risks of investments, which allows conservation organizations to rank or prioritize them. This article surveys the literature in this area. We organize our discussion around the way studies treat the core elements of ROI, which include the definition and measurement of the conservation objective, identification of relevant baselines, the types of conservation investments considered, and investment costs. We discuss the state of the art of ROI analysis, highlight some unresolved issues, and make suggestions for improvements. We also describe options for extending ROI analysis beyond biodiversity conservation, which is the typical objective. The literature indicates that conservation planning that uses ROI analysis can considerably alter the location and targets of conservation, lead to more protection and higher quality conservation outcomes, and result in significant savings. The measurement and prediction of baseline ecological conditions and threats remains a central challenge for conservation ROI analysis, as does accounting for landowner and developer responses to conservation investments. Another key priority for future research is the identification of ways to more comprehensively incorporate ecosystem services and multiple environmental objectives into the assessment framework. (JEL: Q20, Q30, Q51, Q57) ", "author" : [ { "dropping-particle" : "", "family" : "Boyd", "given" : "James", "non-dropping-particle" : "", "parse-names" : false, "suffix" : "" }, { "dropping-particle" : "", "family" : "Epanchin-Niell", "given" : "Rebecca", "non-dropping-particle" : "", "parse-names" : false, "suffix" : "" }, { "dropping-particle" : "", "family" : "Siikam\u00e4ki", "given" : "Juha", "non-dropping-particle" : "", "parse-names" : false, "suffix" : "" } ], "container-title" : "Review of Environmental Economics and Policy ", "id" : "ITEM-3", "issued" : { "date-parts" : [ [ "2015", "1", "23" ] ] }, "note" : "10.1093/reep/reu014", "title" : "Conservation Planning: A Review of Return on Investment Analysis", "type" : "article-journal" }, "uris" : [ "http://www.mendeley.com/documents/?uuid=309d2717-843b-4160-941d-adf2ff808a74" ] } ], "mendeley" : { "formattedCitation" : "(e.g a few from the past year: Bode &lt;i&gt;et al.&lt;/i&gt; 2015; Lentini &amp; Wintle 2015; Boyd, Epanchin-Niell &amp; Siikam\u00e4ki 2015)", "plainTextFormattedCitation" : "(e.g a few from the past year: Bode et al. 2015; Lentini &amp; Wintle 2015; Boyd, Epanchin-Niell &amp; Siikam\u00e4ki 2015)", "previouslyFormattedCitation" : "(e.g a few from the past year: Bode &lt;i&gt;et al.&lt;/i&gt; 2015; Lentini &amp; Wintle 2015; Boyd, Epanchin-Niell &amp; Siikam\u00e4ki 2015)" }, "properties" : { "noteIndex" : 0 }, "schema" : "https://github.com/citation-style-language/schema/raw/master/csl-citation.json" }</w:instrText>
      </w:r>
      <w:r w:rsidR="00F01773">
        <w:fldChar w:fldCharType="separate"/>
      </w:r>
      <w:r w:rsidR="0043378A" w:rsidRPr="0043378A">
        <w:rPr>
          <w:noProof/>
        </w:rPr>
        <w:t xml:space="preserve">(e.g a few from the past year: Bode </w:t>
      </w:r>
      <w:r w:rsidR="0043378A" w:rsidRPr="0043378A">
        <w:rPr>
          <w:i/>
          <w:noProof/>
        </w:rPr>
        <w:t>et al.</w:t>
      </w:r>
      <w:r w:rsidR="0043378A" w:rsidRPr="0043378A">
        <w:rPr>
          <w:noProof/>
        </w:rPr>
        <w:t xml:space="preserve"> 2015; Lentini &amp; Wintle 2015; Boyd, Epanchin-Niell &amp; Siikamäki 2015)</w:t>
      </w:r>
      <w:r w:rsidR="00F01773">
        <w:fldChar w:fldCharType="end"/>
      </w:r>
      <w:r w:rsidR="00FC2B01">
        <w:t>.</w:t>
      </w:r>
      <w:r w:rsidR="001955B2">
        <w:t xml:space="preserve"> However, conservation can only benefit by</w:t>
      </w:r>
      <w:r w:rsidR="002213AC">
        <w:t xml:space="preserve"> further</w:t>
      </w:r>
      <w:r w:rsidR="001955B2">
        <w:t xml:space="preserve"> increasing our commitment to immediately applicable science. </w:t>
      </w:r>
      <w:r>
        <w:t xml:space="preserve">Further, it is increasingly recognized that in order to be relevant, science needs to reflect the realities of conservation practice </w:t>
      </w:r>
      <w:r w:rsidR="00F01773">
        <w:fldChar w:fldCharType="begin" w:fldLock="1"/>
      </w:r>
      <w:r w:rsidR="006A6CA7">
        <w:instrText>ADDIN CSL_CITATION { "citationItems" : [ { "id" : "ITEM-1", "itemData" : { "DOI" : "10.1046/j.1523-1739.2002.01232.x", "ISSN" : "1523-1739", "abstract" : "Abstract: Effective conservation requires addressing three fundamental questions whose answers can only be sought in conservation practice: (1) What should our goals be and how do we measure progress in reaching them? (2) How can we most effectively take action to achieve conservation? and (3) How can we learn to do conservation better? This essay provides a conceptual framework and research agenda for a conservation science that uses the principles of adaptive management to answer these questions. The framework is based on a general model of a conservation project. The conservation target involves defining the specific area or population the project is trying to influence. This target is affected by direct and indirect threats and opportunities; we provide a table of potential direct threats. Conservation actions that are taken to counter these threats can be divided into approaches, strategies, and specific tools; we present a comprehensive table of potential approaches. Finally, the practicioners that take these actions include individuals, organizations, project alliances, and networks; we define the specific functional roles necessary to achieve effective adaptive management. We then use this framework to outline a research agenda for conservation science that involves defining clear and practical measures of conservation success, determining sound guiding principles for using conservation strategies and tools, and developing the knowledge and skills in individuals and organizations for good adaptive management and thus for making conservation more effective.", "author" : [ { "dropping-particle" : "", "family" : "Salafsky", "given" : "Nick", "non-dropping-particle" : "", "parse-names" : false, "suffix" : "" }, { "dropping-particle" : "", "family" : "Margoluis", "given" : "Richard", "non-dropping-particle" : "", "parse-names" : false, "suffix" : "" }, { "dropping-particle" : "", "family" : "Redford", "given" : "Kent H", "non-dropping-particle" : "", "parse-names" : false, "suffix" : "" }, { "dropping-particle" : "", "family" : "Robinson", "given" : "John G", "non-dropping-particle" : "", "parse-names" : false, "suffix" : "" } ], "container-title" : "Conservation Biology", "id" : "ITEM-1", "issue" : "6", "issued" : { "date-parts" : [ [ "2002" ] ] }, "page" : "1469-1479", "publisher" : "Blackwell Science Inc", "title" : "Improving the Practice of Conservation: a Conceptual Framework and Research Agenda for Conservation Science", "type" : "article-journal", "volume" : "16" }, "uris" : [ "http://www.mendeley.com/documents/?uuid=448b640c-821b-4e5f-a3f4-8cfef7bd41e4" ] } ], "mendeley" : { "formattedCitation" : "(Salafsky &lt;i&gt;et al.&lt;/i&gt; 2002)", "plainTextFormattedCitation" : "(Salafsky et al. 2002)", "previouslyFormattedCitation" : "(Salafsky &lt;i&gt;et al.&lt;/i&gt; 2002)" }, "properties" : { "noteIndex" : 0 }, "schema" : "https://github.com/citation-style-language/schema/raw/master/csl-citation.json" }</w:instrText>
      </w:r>
      <w:r w:rsidR="00F01773">
        <w:fldChar w:fldCharType="separate"/>
      </w:r>
      <w:r w:rsidR="00FC2B01" w:rsidRPr="00FC2B01">
        <w:rPr>
          <w:noProof/>
        </w:rPr>
        <w:t xml:space="preserve">(Salafsky </w:t>
      </w:r>
      <w:r w:rsidR="00FC2B01" w:rsidRPr="00FC2B01">
        <w:rPr>
          <w:i/>
          <w:noProof/>
        </w:rPr>
        <w:t>et al.</w:t>
      </w:r>
      <w:r w:rsidR="00FC2B01" w:rsidRPr="00FC2B01">
        <w:rPr>
          <w:noProof/>
        </w:rPr>
        <w:t xml:space="preserve"> 2002)</w:t>
      </w:r>
      <w:r w:rsidR="00F01773">
        <w:fldChar w:fldCharType="end"/>
      </w:r>
      <w:r w:rsidR="00FC2B01">
        <w:t>.</w:t>
      </w:r>
      <w:r>
        <w:t xml:space="preserve"> This means designing science that matches the scales, process, data, and assumptions of conservation practitioners, sometimes at a cost of </w:t>
      </w:r>
      <w:r w:rsidR="002213AC">
        <w:t xml:space="preserve">theoretically </w:t>
      </w:r>
      <w:r>
        <w:t>optimal outcomes.</w:t>
      </w:r>
    </w:p>
    <w:p w:rsidR="002C1A18" w:rsidRDefault="002C1A18" w:rsidP="000C6844">
      <w:r>
        <w:tab/>
        <w:t xml:space="preserve">Increasingly common are the availability and use of large datasets for science and practice </w:t>
      </w:r>
      <w:r w:rsidR="00F01773">
        <w:fldChar w:fldCharType="begin" w:fldLock="1"/>
      </w:r>
      <w:r w:rsidR="002C43B7">
        <w:instrText>ADDIN CSL_CITATION { "citationItems" : [ { "id" : "ITEM-1", "itemData" : { "DOI" : "10.1890/120103", "ISSN" : "1540-9295", "abstract" : "The need for sound ecological science has escalated alongside the rise of the information age and ?big data? across all sectors of society. Big data generally refer to massive volumes of data not readily handled by the usual data tools and practices and present unprecedented opportunities for advancing science and informing resource management through data-intensive approaches. The era of big data need not be propelled only by ?big science? ? the term used to describe large-scale efforts that have had mixed success in the individual-driven culture of ecology. Collectively, ecologists already have big data to bolster the scientific effort ? a large volume of distributed, high-value information ? but many simply fail to contribute. We encourage ecologists to join the larger scientific community in global initiatives to address major scientific and societal problems by bringing their distributed data to the table and harnessing its collective power. The scientists who contribute such information will be at the forefront of socially relevant science ? but will they be ecologists?", "author" : [ { "dropping-particle" : "", "family" : "Hampton", "given" : "Stephanie E", "non-dropping-particle" : "", "parse-names" : false, "suffix" : "" }, { "dropping-particle" : "", "family" : "Strasser", "given" : "Carly A", "non-dropping-particle" : "", "parse-names" : false, "suffix" : "" }, { "dropping-particle" : "", "family" : "Tewksbury", "given" : "Joshua J", "non-dropping-particle" : "", "parse-names" : false, "suffix" : "" }, { "dropping-particle" : "", "family" : "Gram", "given" : "Wendy K", "non-dropping-particle" : "", "parse-names" : false, "suffix" : "" }, { "dropping-particle" : "", "family" : "Budden", "given" : "Amber E", "non-dropping-particle" : "", "parse-names" : false, "suffix" : "" }, { "dropping-particle" : "", "family" : "Batcheller", "given" : "Archer L", "non-dropping-particle" : "", "parse-names" : false, "suffix" : "" }, { "dropping-particle" : "", "family" : "Duke", "given" : "Clifford S", "non-dropping-particle" : "", "parse-names" : false, "suffix" : "" }, { "dropping-particle" : "", "family" : "Porter", "given" : "John H", "non-dropping-particle" : "", "parse-names" : false, "suffix" : "" } ], "container-title" : "Frontiers in Ecology and the Environment", "id" : "ITEM-1", "issue" : "3", "issued" : { "date-parts" : [ [ "2013", "3", "12" ] ] }, "note" : "doi: 10.1890/120103", "page" : "156-162", "publisher" : "Ecological Society of America", "title" : "Big data and the future of ecology", "type" : "article-journal", "volume" : "11" }, "uris" : [ "http://www.mendeley.com/documents/?uuid=c610cc24-8dc0-49f4-aecc-941958545ddc" ] } ], "mendeley" : { "formattedCitation" : "(Hampton &lt;i&gt;et al.&lt;/i&gt; 2013)", "plainTextFormattedCitation" : "(Hampton et al. 2013)", "previouslyFormattedCitation" : "(Hampton &lt;i&gt;et al.&lt;/i&gt; 2013)" }, "properties" : { "noteIndex" : 0 }, "schema" : "https://github.com/citation-style-language/schema/raw/master/csl-citation.json" }</w:instrText>
      </w:r>
      <w:r w:rsidR="00F01773">
        <w:fldChar w:fldCharType="separate"/>
      </w:r>
      <w:r w:rsidR="005C4C00" w:rsidRPr="005C4C00">
        <w:rPr>
          <w:noProof/>
        </w:rPr>
        <w:t xml:space="preserve">(Hampton </w:t>
      </w:r>
      <w:r w:rsidR="005C4C00" w:rsidRPr="005C4C00">
        <w:rPr>
          <w:i/>
          <w:noProof/>
        </w:rPr>
        <w:t>et al.</w:t>
      </w:r>
      <w:r w:rsidR="005C4C00" w:rsidRPr="005C4C00">
        <w:rPr>
          <w:noProof/>
        </w:rPr>
        <w:t xml:space="preserve"> 2013)</w:t>
      </w:r>
      <w:r w:rsidR="00F01773">
        <w:fldChar w:fldCharType="end"/>
      </w:r>
      <w:r>
        <w:t xml:space="preserve">, the format and methods of use of which are important. For instance, the use of range maps or species distribution models may lead to different planning decisions from the direct use of presence only point occurrence data </w:t>
      </w:r>
      <w:r w:rsidR="00F01773">
        <w:fldChar w:fldCharType="begin" w:fldLock="1"/>
      </w:r>
      <w:r w:rsidR="0055766C">
        <w:instrText>ADDIN CSL_CITATION { "citationItems" : [ { "id" : "ITEM-1", "itemData" : { "DOI" : "10.1016/j.biocon.2004.07.004", "ISSN" : "00063207", "abstract" : "The main role of conservation planning is to design reserve networks to protect biodiversity in situ. Research within the field of conservation planning has focused on the development of theories and tools to design reserve networks that protect biodiversity in an efficient and representative manner. Whilst much progress has been made in this regard, there has been limited assessment of the sensitivity of conservation planning outcomes to uncertainty associated with the datasets used for conservation planning. Predicted species distribution data are commonly used for conservation planning because the alternatives (e.g. survey data) are incomplete or biased spatially. However, there may be considerable uncertainty associated with the use of predicted species distribution data, particularly given the variety of approaches available to generate a dataset from such predictions for use in conservation planning. These approaches range from using the probabilistic data directly to using a threshold identified a priori or a posteriori to convert the probabilistic data to presence/absence data. We assess the sensitivity of conservation planning outcomes to different uses of predicted species distribution data. The resulting reserve networks differed, and had different expected species representation. The choice of approach will depend on how much risk a conservation planner is willing to tolerate and how much efficiency can be sacrificed.", "author" : [ { "dropping-particle" : "", "family" : "Wilson", "given" : "Kerrie A.", "non-dropping-particle" : "", "parse-names" : false, "suffix" : "" }, { "dropping-particle" : "", "family" : "Westphal", "given" : "Michael I.", "non-dropping-particle" : "", "parse-names" : false, "suffix" : "" }, { "dropping-particle" : "", "family" : "Possingham", "given" : "Hugh P.", "non-dropping-particle" : "", "parse-names" : false, "suffix" : "" }, { "dropping-particle" : "", "family" : "Elith", "given" : "Jane", "non-dropping-particle" : "", "parse-names" : false, "suffix" : "" } ], "container-title" : "Biological Conservation", "id" : "ITEM-1", "issue" : "1", "issued" : { "date-parts" : [ [ "2005", "3" ] ] }, "page" : "99-112", "title" : "Sensitivity of conservation planning to different approaches to using predicted species distribution data", "type" : "article-journal", "volume" : "122" }, "uris" : [ "http://www.mendeley.com/documents/?uuid=6a3b8114-0dda-4dd4-92d7-9efb2295b46a" ] }, { "id" : "ITEM-2", "itemData" : { "DOI" : "10.1111/j.1461-0248.2006.00970.x", "ISSN" : "1461-0248", "PMID" : "16972877", "abstract" : "Data on the occurrence of species are widely used to inform the design of reserve networks. These data contain commission errors (when a species is mistakenly thought to be present) and omission errors (when a species is mistakenly thought to be absent), and the rates of the two types of error are inversely related. Point locality data can minimize commission errors, but those obtained from museum collections are generally sparse, suffer from substantial spatial bias and contain large omission errors. Geographic ranges generate large commission errors because they assume homogenous species distributions. Predicted distribution data make explicit inferences on species occurrence and their commission and omission errors depend on model structure, on the omission of variables that determine species distribution and on data resolution. Omission errors lead to identifying networks of areas for conservation action that are smaller than required and centred on known species occurrences, thus affecting the comprehensiveness, representativeness and efficiency of selected areas. Commission errors lead to selecting areas not relevant to conservation, thus affecting the representativeness and adequacy of reserve networks. Conservation plans should include an estimation of commission and omission errors in underlying species data and explicitly use this information to influence conservation planning outcomes.", "author" : [ { "dropping-particle" : "", "family" : "Rondinini", "given" : "Carlo", "non-dropping-particle" : "", "parse-names" : false, "suffix" : "" }, { "dropping-particle" : "", "family" : "Wilson", "given" : "Kerrie A", "non-dropping-particle" : "", "parse-names" : false, "suffix" : "" }, { "dropping-particle" : "", "family" : "Boitani", "given" : "Luigi", "non-dropping-particle" : "", "parse-names" : false, "suffix" : "" }, { "dropping-particle" : "", "family" : "Grantham", "given" : "Hedley", "non-dropping-particle" : "", "parse-names" : false, "suffix" : "" }, { "dropping-particle" : "", "family" : "Possingham", "given" : "Hugh P", "non-dropping-particle" : "", "parse-names" : false, "suffix" : "" } ], "container-title" : "Ecology letters", "id" : "ITEM-2", "issue" : "10", "issued" : { "date-parts" : [ [ "2006", "10" ] ] }, "page" : "1136-45", "title" : "Tradeoffs of different types of species occurrence data for use in systematic conservation planning.", "type" : "article-journal", "volume" : "9" }, "uris" : [ "http://www.mendeley.com/documents/?uuid=ae1efcb1-d27d-45ac-879b-057a0c0c41b6" ] } ], "mendeley" : { "formattedCitation" : "(Wilson &lt;i&gt;et al.&lt;/i&gt; 2005; Rondinini &lt;i&gt;et al.&lt;/i&gt; 2006)", "plainTextFormattedCitation" : "(Wilson et al. 2005; Rondinini et al. 2006)", "previouslyFormattedCitation" : "(Wilson &lt;i&gt;et al.&lt;/i&gt; 2005; Rondinini &lt;i&gt;et al.&lt;/i&gt; 2006)" }, "properties" : { "noteIndex" : 0 }, "schema" : "https://github.com/citation-style-language/schema/raw/master/csl-citation.json" }</w:instrText>
      </w:r>
      <w:r w:rsidR="00F01773">
        <w:fldChar w:fldCharType="separate"/>
      </w:r>
      <w:r w:rsidR="0055766C" w:rsidRPr="0055766C">
        <w:rPr>
          <w:noProof/>
        </w:rPr>
        <w:t xml:space="preserve">(Wilson </w:t>
      </w:r>
      <w:r w:rsidR="0055766C" w:rsidRPr="0055766C">
        <w:rPr>
          <w:i/>
          <w:noProof/>
        </w:rPr>
        <w:t>et al.</w:t>
      </w:r>
      <w:r w:rsidR="0055766C" w:rsidRPr="0055766C">
        <w:rPr>
          <w:noProof/>
        </w:rPr>
        <w:t xml:space="preserve"> 2005; Rondinini </w:t>
      </w:r>
      <w:r w:rsidR="0055766C" w:rsidRPr="0055766C">
        <w:rPr>
          <w:i/>
          <w:noProof/>
        </w:rPr>
        <w:t>et al.</w:t>
      </w:r>
      <w:r w:rsidR="0055766C" w:rsidRPr="0055766C">
        <w:rPr>
          <w:noProof/>
        </w:rPr>
        <w:t xml:space="preserve"> 2006)</w:t>
      </w:r>
      <w:r w:rsidR="00F01773">
        <w:fldChar w:fldCharType="end"/>
      </w:r>
      <w:r>
        <w:t xml:space="preserve">. In conservation practice it is common to use point occurrences in isolation or with modeled distributions. Similarly, </w:t>
      </w:r>
      <w:r w:rsidR="00A6504A">
        <w:t>the choice of planning method may significantly affect decisions</w:t>
      </w:r>
      <w:r w:rsidR="0055766C">
        <w:t xml:space="preserve"> </w:t>
      </w:r>
      <w:r w:rsidR="00F01773">
        <w:fldChar w:fldCharType="begin" w:fldLock="1"/>
      </w:r>
      <w:r w:rsidR="0043378A">
        <w:instrText>ADDIN CSL_CITATION { "citationItems" : [ { "id" : "ITEM-1", "itemData" : { "DOI" : "10.1111/j.1461-0248.2006.00970.x", "ISSN" : "1461-0248", "PMID" : "16972877", "abstract" : "Data on the occurrence of species are widely used to inform the design of reserve networks. These data contain commission errors (when a species is mistakenly thought to be present) and omission errors (when a species is mistakenly thought to be absent), and the rates of the two types of error are inversely related. Point locality data can minimize commission errors, but those obtained from museum collections are generally sparse, suffer from substantial spatial bias and contain large omission errors. Geographic ranges generate large commission errors because they assume homogenous species distributions. Predicted distribution data make explicit inferences on species occurrence and their commission and omission errors depend on model structure, on the omission of variables that determine species distribution and on data resolution. Omission errors lead to identifying networks of areas for conservation action that are smaller than required and centred on known species occurrences, thus affecting the comprehensiveness, representativeness and efficiency of selected areas. Commission errors lead to selecting areas not relevant to conservation, thus affecting the representativeness and adequacy of reserve networks. Conservation plans should include an estimation of commission and omission errors in underlying species data and explicitly use this information to influence conservation planning outcomes.", "author" : [ { "dropping-particle" : "", "family" : "Rondinini", "given" : "Carlo", "non-dropping-particle" : "", "parse-names" : false, "suffix" : "" }, { "dropping-particle" : "", "family" : "Wilson", "given" : "Kerrie A", "non-dropping-particle" : "", "parse-names" : false, "suffix" : "" }, { "dropping-particle" : "", "family" : "Boitani", "given" : "Luigi", "non-dropping-particle" : "", "parse-names" : false, "suffix" : "" }, { "dropping-particle" : "", "family" : "Grantham", "given" : "Hedley", "non-dropping-particle" : "", "parse-names" : false, "suffix" : "" }, { "dropping-particle" : "", "family" : "Possingham", "given" : "Hugh P", "non-dropping-particle" : "", "parse-names" : false, "suffix" : "" } ], "container-title" : "Ecology letters", "id" : "ITEM-1", "issue" : "10", "issued" : { "date-parts" : [ [ "2006", "10" ] ] }, "page" : "1136-45", "title" : "Tradeoffs of different types of species occurrence data for use in systematic conservation planning.", "type" : "article-journal", "volume" : "9" }, "uris" : [ "http://www.mendeley.com/documents/?uuid=ae1efcb1-d27d-45ac-879b-057a0c0c41b6" ] }, { "id" : "ITEM-2", "itemData" : { "DOI" : "10.1111/ecog.01252", "ISSN" : "1600-0587", "abstract" : "Pressure to conserve biodiversity with limited resources has led to increasing use of species distribution models (SDMs) for spatial conservation prioritization. Published spatial prioritization exercises often focus on well-studied groups, with data compiled from on-line databases of ad-hoc collections. Conservation plans generally aim to protect all components of biodiversity, and it is implied that the species used in prioritization act as surrogates. Here, we assess the sensitivity of spatial priorities to model and surrogate choice using a case study from a fragmented agricultural area of south eastern Australia that is poorly represented in the national reserve system. We model the distributions of 30 species of bird, microbat and bee using two types of SDM; generalised linear models based on systematic surveys that yield presence and absence observations, and MaxEnt models based on biodiversity database records. Eight prioritization scenarios were tested using Zonation software, and were based on either the presence\u2013background or presence\u2013absence SDMs and combinations of surrogacy among the three taxa. We found low correlations between SDMs generated for the same species using different modelling frameworks (\u03bc = 0.18, n = 26). Area under the receiver operating characteristic curve (AUC) estimates generated by MaxEnt were optimistic; on average 1.36 times higher than when tested against the systematic survey data. Conservation priorities were sensitive to the choice of surrogate and type of data used to fit SDMs, and though bats and birds formed moderately good surrogates for each other, there was less compelling evidence of surrogacy for bees. Because valid surrogacy is unlikely with most existing data sets, investment in high quality data for less-surveyed groups prior to planning should still be a priority. If this is not possible, then it is advisable to analyse the sensitivity of conservation plans to the assumed surrogacy and quality of data available.", "author" : [ { "dropping-particle" : "", "family" : "Lentini", "given" : "Pia E", "non-dropping-particle" : "", "parse-names" : false, "suffix" : "" }, { "dropping-particle" : "", "family" : "Wintle", "given" : "Brendan A", "non-dropping-particle" : "", "parse-names" : false, "suffix" : "" } ], "container-title" : "Ecography", "id" : "ITEM-2", "issued" : { "date-parts" : [ [ "2015" ] ] }, "publisher" : "Blackwell Publishing Ltd", "title" : "Spatial conservation priorities are highly sensitive to choice of biodiversity surrogates and species distribution model type", "type" : "article-journal", "volume" : "In Press" }, "uris" : [ "http://www.mendeley.com/documents/?uuid=a7b85874-26ea-4250-946d-35b97b0be871" ] } ], "mendeley" : { "formattedCitation" : "(Rondinini &lt;i&gt;et al.&lt;/i&gt; 2006; Lentini &amp; Wintle 2015)", "plainTextFormattedCitation" : "(Rondinini et al. 2006; Lentini &amp; Wintle 2015)", "previouslyFormattedCitation" : "(Rondinini &lt;i&gt;et al.&lt;/i&gt; 2006; Lentini &amp; Wintle 2015)" }, "properties" : { "noteIndex" : 0 }, "schema" : "https://github.com/citation-style-language/schema/raw/master/csl-citation.json" }</w:instrText>
      </w:r>
      <w:r w:rsidR="00F01773">
        <w:fldChar w:fldCharType="separate"/>
      </w:r>
      <w:r w:rsidR="00A6504A" w:rsidRPr="00A6504A">
        <w:rPr>
          <w:noProof/>
        </w:rPr>
        <w:t xml:space="preserve">(Rondinini </w:t>
      </w:r>
      <w:r w:rsidR="00A6504A" w:rsidRPr="00A6504A">
        <w:rPr>
          <w:i/>
          <w:noProof/>
        </w:rPr>
        <w:t>et al.</w:t>
      </w:r>
      <w:r w:rsidR="00A6504A" w:rsidRPr="00A6504A">
        <w:rPr>
          <w:noProof/>
        </w:rPr>
        <w:t xml:space="preserve"> 2006; Lentini &amp; Wintle 2015)</w:t>
      </w:r>
      <w:r w:rsidR="00F01773">
        <w:fldChar w:fldCharType="end"/>
      </w:r>
      <w:r w:rsidR="0055766C">
        <w:t>.</w:t>
      </w:r>
    </w:p>
    <w:p w:rsidR="000A2A10" w:rsidRDefault="000A2A10" w:rsidP="000C6844">
      <w:r>
        <w:tab/>
        <w:t>We have an increasing need and ability to make decisions at larger spatial and temporal scales</w:t>
      </w:r>
      <w:r w:rsidR="005C4C00">
        <w:t xml:space="preserve">. </w:t>
      </w:r>
      <w:r>
        <w:t xml:space="preserve">However, larger scale </w:t>
      </w:r>
      <w:r w:rsidR="005C4C00">
        <w:t xml:space="preserve">conservation </w:t>
      </w:r>
      <w:r w:rsidR="000438E0">
        <w:t>planning does</w:t>
      </w:r>
      <w:r>
        <w:t xml:space="preserve"> not obviate the need to think about smaller scales at high resolutions. The focus of studies at different scales should be proportional to the needs of decision makers operating at those scales.</w:t>
      </w:r>
    </w:p>
    <w:p w:rsidR="000A2A10" w:rsidRDefault="000A2A10" w:rsidP="000C6844">
      <w:pPr>
        <w:rPr>
          <w:lang w:val="en-GB"/>
        </w:rPr>
      </w:pPr>
      <w:r>
        <w:lastRenderedPageBreak/>
        <w:tab/>
      </w:r>
      <w:r w:rsidR="00157ABE">
        <w:t xml:space="preserve">One aspect of the changing world to be addressed is how the ongoing collection of biodiversity data is influencing spatial conservation priorities. </w:t>
      </w:r>
      <w:r>
        <w:t xml:space="preserve"> </w:t>
      </w:r>
      <w:r w:rsidR="00E941E8" w:rsidRPr="00A22A3B">
        <w:rPr>
          <w:lang w:val="en-GB"/>
        </w:rPr>
        <w:t xml:space="preserve">Spatial prioritization is prominent in the science </w:t>
      </w:r>
      <w:r w:rsidR="00F01773" w:rsidRPr="00A22A3B">
        <w:rPr>
          <w:lang w:val="en-GB"/>
        </w:rPr>
        <w:fldChar w:fldCharType="begin" w:fldLock="1"/>
      </w:r>
      <w:r w:rsidR="00E941E8">
        <w:rPr>
          <w:lang w:val="en-GB"/>
        </w:rPr>
        <w:instrText>ADDIN CSL_CITATION { "citationItems" : [ { "id" : "ITEM-1", "itemData" : { "DOI" : "10.1126/science.1127609", "ISSN" : "1095-9203", "PMID" : "16825561", "abstract" : "The location of and threats to biodiversity are distributed unevenly, so prioritization is essential to minimize biodiversity loss. To address this need, biodiversity conservation organizations have proposed nine templates of global priorities over the past decade. Here, we review the concepts, methods, results, impacts, and challenges of these prioritizations of conservation practice within the theoretical irreplaceability/vulnerability framework of systematic conservation planning. Most of the templates prioritize highly irreplaceable regions; some are reactive (prioritizing high vulnerability), and others are proactive (prioritizing low vulnerability). We hope this synthesis improves understanding of these prioritization approaches and that it results in more efficient allocation of geographically flexible conservation funding.", "author" : [ { "dropping-particle" : "", "family" : "Brooks", "given" : "T M", "non-dropping-particle" : "", "parse-names" : false, "suffix" : "" }, { "dropping-particle" : "", "family" : "Mittermeier", "given" : "R A", "non-dropping-particle" : "", "parse-names" : false, "suffix" : "" }, { "dropping-particle" : "", "family" : "Fonseca", "given" : "G A B", "non-dropping-particle" : "da", "parse-names" : false, "suffix" : "" }, { "dropping-particle" : "", "family" : "Gerlach", "given" : "J", "non-dropping-particle" : "", "parse-names" : false, "suffix" : "" }, { "dropping-particle" : "", "family" : "Hoffmann", "given" : "M", "non-dropping-particle" : "", "parse-names" : false, "suffix" : "" }, { "dropping-particle" : "", "family" : "Lamoreux", "given" : "J F", "non-dropping-particle" : "", "parse-names" : false, "suffix" : "" }, { "dropping-particle" : "", "family" : "Mittermeier", "given" : "C G", "non-dropping-particle" : "", "parse-names" : false, "suffix" : "" }, { "dropping-particle" : "", "family" : "Pilgrim", "given" : "J D", "non-dropping-particle" : "", "parse-names" : false, "suffix" : "" }, { "dropping-particle" : "", "family" : "Rodrigues", "given" : "A S L", "non-dropping-particle" : "", "parse-names" : false, "suffix" : "" } ], "container-title" : "Science", "id" : "ITEM-1", "issue" : "5783", "issued" : { "date-parts" : [ [ "2006", "7", "7" ] ] }, "note" : "global prioritization", "page" : "58-61", "title" : "Global biodiversity conservation priorities.", "type" : "article-journal", "volume" : "313" }, "uris" : [ "http://www.mendeley.com/documents/?uuid=3e63e9f8-e1f8-4dd8-bf05-964aa47cec50" ] }, { "id" : "ITEM-2", "itemData" : { "DOI" : "10.1016/j.tree.2007.10.001", "ISSN" : "0169-5347", "PMID" : "17981360", "abstract" : "Conservation planning is the process of locating, configuring, implementing and maintaining areas that are managed to promote the persistence of biodiversity and other natural values. Conservation planning is inherently spatial. The science behind it has solved important spatial problems and increasingly influenced practice. To be effective, however, conservation planning must deal better with two types of change. First, biodiversity is not static in time or space but generated and maintained by natural processes. Second, humans are altering the planet in diverse ways at ever faster rates.", "author" : [ { "dropping-particle" : "", "family" : "Pressey", "given" : "Robert L", "non-dropping-particle" : "", "parse-names" : false, "suffix" : "" }, { "dropping-particle" : "", "family" : "Cabeza", "given" : "Mar", "non-dropping-particle" : "", "parse-names" : false, "suffix" : "" }, { "dropping-particle" : "", "family" : "Watts", "given" : "Matthew E", "non-dropping-particle" : "", "parse-names" : false, "suffix" : "" }, { "dropping-particle" : "", "family" : "Cowling", "given" : "Richard M", "non-dropping-particle" : "", "parse-names" : false, "suffix" : "" }, { "dropping-particle" : "", "family" : "Wilson", "given" : "Kerrie A", "non-dropping-particle" : "", "parse-names" : false, "suffix" : "" } ], "container-title" : "Trends in ecology &amp; evolution", "id" : "ITEM-2", "issue" : "11", "issued" : { "date-parts" : [ [ "2007", "11" ] ] }, "note" : "same title as my dissertation", "page" : "583-92", "title" : "Conservation planning in a changing world.", "type" : "article-journal", "volume" : "22" }, "uris" : [ "http://www.mendeley.com/documents/?uuid=96998794-af98-4cba-8fe4-7f3555e69ca5" ] }, { "id" : "ITEM-3", "itemData" : { "ISBN" : "9781444335033", "author" : [ { "dropping-particle" : "", "family" : "Watson", "given" : "James E M", "non-dropping-particle" : "", "parse-names" : false, "suffix" : "" }, { "dropping-particle" : "", "family" : "Grantham", "given" : "Hedley S", "non-dropping-particle" : "", "parse-names" : false, "suffix" : "" }, { "dropping-particle" : "", "family" : "Wilson", "given" : "Kerrie A", "non-dropping-particle" : "", "parse-names" : false, "suffix" : "" }, { "dropping-particle" : "", "family" : "Possingham", "given" : "Hugh P", "non-dropping-particle" : "", "parse-names" : false, "suffix" : "" } ], "chapter-number" : "6", "container-title" : "Conservation Biogeography", "editor" : [ { "dropping-particle" : "", "family" : "Ladle", "given" : "R J", "non-dropping-particle" : "", "parse-names" : false, "suffix" : "" }, { "dropping-particle" : "", "family" : "Whittaker", "given" : "R J", "non-dropping-particle" : "", "parse-names" : false, "suffix" : "" } ], "id" : "ITEM-3", "issued" : { "date-parts" : [ [ "2011" ] ] }, "page" : "136-160", "publisher" : "John Wiley &amp; Sons, Ltd.", "publisher-place" : "Chichester, UK", "title" : "Systematic Conservation Planning: Past , Present and Future", "type" : "chapter" }, "uris" : [ "http://www.mendeley.com/documents/?uuid=de19d51c-d4ff-4523-b75b-2cc0cac1747a" ] }, { "id" : "ITEM-4", "itemData" : { "DOI" : "10.1111/j.1466-8238.2011.00697.x", "ISSN" : "1466822X", "author" : [ { "dropping-particle" : "", "family" : "Coll", "given" : "Marta", "non-dropping-particle" : "", "parse-names" : false, "suffix" : "" }, { "dropping-particle" : "", "family" : "Piroddi", "given" : "Chiara", "non-dropping-particle" : "", "parse-names" : false, "suffix" : "" }, { "dropping-particle" : "", "family" : "Albouy", "given" : "Camille", "non-dropping-particle" : "", "parse-names" : false, "suffix" : "" }, { "dropping-particle" : "", "family" : "Rais Lasram", "given" : "Frida", "non-dropping-particle" : "Ben", "parse-names" : false, "suffix" : "" }, { "dropping-particle" : "", "family" : "Cheung", "given" : "William W. L.", "non-dropping-particle" : "", "parse-names" : false, "suffix" : "" }, { "dropping-particle" : "", "family" : "Christensen", "given" : "Villy", "non-dropping-particle" : "", "parse-names" : false, "suffix" : "" }, { "dropping-particle" : "", "family" : "Karpouzi", "given" : "Vasiliki S.", "non-dropping-particle" : "", "parse-names" : false, "suffix" : "" }, { "dropping-particle" : "", "family" : "Guilhaumon", "given" : "Fran\u00e7ois", "non-dropping-particle" : "", "parse-names" : false, "suffix" : "" }, { "dropping-particle" : "", "family" : "Mouillot", "given" : "David", "non-dropping-particle" : "", "parse-names" : false, "suffix" : "" }, { "dropping-particle" : "", "family" : "Paleczny", "given" : "Michelle", "non-dropping-particle" : "", "parse-names" : false, "suffix" : "" }, { "dropping-particle" : "", "family" : "Palomares", "given" : "Maria Lourdes", "non-dropping-particle" : "", "parse-names" : false, "suffix" : "" }, { "dropping-particle" : "", "family" : "Steenbeek", "given" : "Jeroen", "non-dropping-particle" : "", "parse-names" : false, "suffix" : "" }, { "dropping-particle" : "", "family" : "Trujillo", "given" : "Pablo", "non-dropping-particle" : "", "parse-names" : false, "suffix" : "" }, { "dropping-particle" : "", "family" : "Watson", "given" : "Reg", "non-dropping-particle" : "", "parse-names" : false, "suffix" : "" }, { "dropping-particle" : "", "family" : "Pauly", "given" : "Daniel", "non-dropping-particle" : "", "parse-names" : false, "suffix" : "" } ], "container-title" : "Global Ecology and Biogeography", "id" : "ITEM-4", "issue" : "4", "issued" : { "date-parts" : [ [ "2012", "4", "20" ] ] }, "note" : "example of occurrence records being used in prioritization", "page" : "465-480", "title" : "The Mediterranean Sea under siege: spatial overlap between marine biodiversity, cumulative threats and marine reserves", "type" : "article-journal", "volume" : "21" }, "uris" : [ "http://www.mendeley.com/documents/?uuid=3b82f57d-ea9e-44ff-a58e-37046ced8299" ] }, { "id" : "ITEM-5", "itemData" : { "DOI" : "10.1111/acv.12013", "ISSN" : "13679430", "author" : [ { "dropping-particle" : "", "family" : "Rainho", "given" : "A.", "non-dropping-particle" : "", "parse-names" : false, "suffix" : "" }, { "dropping-particle" : "", "family" : "Palmeirim", "given" : "J. M.", "non-dropping-particle" : "", "parse-names" : false, "suffix" : "" } ], "container-title" : "Animal Conservation", "id" : "ITEM-5", "issue" : "4", "issued" : { "date-parts" : [ [ "2013", "2", "11" ] ] }, "note" : "reference swap as example of spatial prioritization in conservation", "page" : "438-448", "title" : "Prioritizing conservation areas around multispecies bat colonies using spatial modeling", "type" : "article-journal", "volume" : "16" }, "uris" : [ "http://www.mendeley.com/documents/?uuid=680a72cf-db99-4012-8723-c35ad15001eb" ] } ], "mendeley" : { "formattedCitation" : "(Brooks &lt;i&gt;et al.&lt;/i&gt; 2006; Pressey &lt;i&gt;et al.&lt;/i&gt; 2007; Watson &lt;i&gt;et al.&lt;/i&gt; 2011; Coll &lt;i&gt;et al.&lt;/i&gt; 2012; Rainho &amp; Palmeirim 2013)", "plainTextFormattedCitation" : "(Brooks et al. 2006; Pressey et al. 2007; Watson et al. 2011; Coll et al. 2012; Rainho &amp; Palmeirim 2013)", "previouslyFormattedCitation" : "(Brooks &lt;i&gt;et al.&lt;/i&gt; 2006; Pressey &lt;i&gt;et al.&lt;/i&gt; 2007; Watson &lt;i&gt;et al.&lt;/i&gt; 2011; Coll &lt;i&gt;et al.&lt;/i&gt; 2012; Rainho &amp; Palmeirim 2013)" }, "properties" : { "noteIndex" : 0 }, "schema" : "https://github.com/citation-style-language/schema/raw/master/csl-citation.json" }</w:instrText>
      </w:r>
      <w:r w:rsidR="00F01773" w:rsidRPr="00A22A3B">
        <w:rPr>
          <w:lang w:val="en-GB"/>
        </w:rPr>
        <w:fldChar w:fldCharType="separate"/>
      </w:r>
      <w:r w:rsidR="00E941E8" w:rsidRPr="00A22A3B">
        <w:rPr>
          <w:noProof/>
          <w:lang w:val="en-GB"/>
        </w:rPr>
        <w:t xml:space="preserve">(Brooks </w:t>
      </w:r>
      <w:r w:rsidR="00E941E8" w:rsidRPr="00A22A3B">
        <w:rPr>
          <w:i/>
          <w:noProof/>
          <w:lang w:val="en-GB"/>
        </w:rPr>
        <w:t>et al.</w:t>
      </w:r>
      <w:r w:rsidR="00E941E8" w:rsidRPr="00A22A3B">
        <w:rPr>
          <w:noProof/>
          <w:lang w:val="en-GB"/>
        </w:rPr>
        <w:t xml:space="preserve"> 2006; Pressey </w:t>
      </w:r>
      <w:r w:rsidR="00E941E8" w:rsidRPr="00A22A3B">
        <w:rPr>
          <w:i/>
          <w:noProof/>
          <w:lang w:val="en-GB"/>
        </w:rPr>
        <w:t>et al.</w:t>
      </w:r>
      <w:r w:rsidR="00E941E8" w:rsidRPr="00A22A3B">
        <w:rPr>
          <w:noProof/>
          <w:lang w:val="en-GB"/>
        </w:rPr>
        <w:t xml:space="preserve"> 2007; Watson </w:t>
      </w:r>
      <w:r w:rsidR="00E941E8" w:rsidRPr="00A22A3B">
        <w:rPr>
          <w:i/>
          <w:noProof/>
          <w:lang w:val="en-GB"/>
        </w:rPr>
        <w:t>et al.</w:t>
      </w:r>
      <w:r w:rsidR="00E941E8" w:rsidRPr="00A22A3B">
        <w:rPr>
          <w:noProof/>
          <w:lang w:val="en-GB"/>
        </w:rPr>
        <w:t xml:space="preserve"> 2011; Coll </w:t>
      </w:r>
      <w:r w:rsidR="00E941E8" w:rsidRPr="00A22A3B">
        <w:rPr>
          <w:i/>
          <w:noProof/>
          <w:lang w:val="en-GB"/>
        </w:rPr>
        <w:t>et al.</w:t>
      </w:r>
      <w:r w:rsidR="00E941E8" w:rsidRPr="00A22A3B">
        <w:rPr>
          <w:noProof/>
          <w:lang w:val="en-GB"/>
        </w:rPr>
        <w:t xml:space="preserve"> 2012; Rainho &amp; Palmeirim 2013)</w:t>
      </w:r>
      <w:r w:rsidR="00F01773" w:rsidRPr="00A22A3B">
        <w:rPr>
          <w:lang w:val="en-GB"/>
        </w:rPr>
        <w:fldChar w:fldCharType="end"/>
      </w:r>
      <w:r w:rsidR="00E941E8" w:rsidRPr="00A22A3B">
        <w:rPr>
          <w:lang w:val="en-GB"/>
        </w:rPr>
        <w:t xml:space="preserve"> and practice </w:t>
      </w:r>
      <w:r w:rsidR="00F01773" w:rsidRPr="00A22A3B">
        <w:rPr>
          <w:lang w:val="en-GB"/>
        </w:rPr>
        <w:fldChar w:fldCharType="begin" w:fldLock="1"/>
      </w:r>
      <w:r w:rsidR="00E941E8">
        <w:rPr>
          <w:lang w:val="en-GB"/>
        </w:rPr>
        <w:instrText>ADDIN CSL_CITATION { "citationItems" : [ { "id" : "ITEM-1", "itemData" : { "DOI" : "10.1007/s10531-012-0269-3", "ISSN" : "0960-3115", "abstract" : "The principles of systematic conservation planning are now widely used by governments and non-government organizations alike to develop biodiversity conservation plans for countries, states, regions, and ecoregions. Many of the species and ecosystems these plans were designed to conserve are now being affected by climate change, and there is a critical need to incorporate new and complementary approaches into these plans that will aid species and ecosystems in adjusting to potential climate change impacts. We propose five approaches to climate change adaptation that can be integrated into existing or new biodiversity conservation plans: (1) conserving the geophysical stage, (2) protecting climatic refugia, (3) enhancing regional connectivity, (4) sustaining ecosystem process and function, and (5) capitalizing on opportunities emerging in response to climate change. We discuss both key assumptions behind each approach and the trade-offs involved in using the approach for conservation planning. We also summarize additional data beyond those typically used in systematic conservation plans required to implement these approaches. A major strength of these approaches is that they are largely robust to the uncertainty in how climate impacts may manifest in any given region.", "author" : [ { "dropping-particle" : "", "family" : "Groves", "given" : "Craig R.", "non-dropping-particle" : "", "parse-names" : false, "suffix" : "" }, { "dropping-particle" : "", "family" : "Game", "given" : "Edward T.", "non-dropping-particle" : "", "parse-names" : false, "suffix" : "" }, { "dropping-particle" : "", "family" : "Anderson", "given" : "Mark G.", "non-dropping-particle" : "", "parse-names" : false, "suffix" : "" }, { "dropping-particle" : "", "family" : "Cross", "given" : "Molly", "non-dropping-particle" : "", "parse-names" : false, "suffix" : "" }, { "dropping-particle" : "", "family" : "Enquist", "given" : "Carolyn", "non-dropping-particle" : "", "parse-names" : false, "suffix" : "" }, { "dropping-particle" : "", "family" : "Ferda\u00f1a", "given" : "Zach", "non-dropping-particle" : "", "parse-names" : false, "suffix" : "" }, { "dropping-particle" : "", "family" : "Girvetz", "given" : "Evan", "non-dropping-particle" : "", "parse-names" : false, "suffix" : "" }, { "dropping-particle" : "", "family" : "Gondor", "given" : "Anne", "non-dropping-particle" : "", "parse-names" : false, "suffix" : "" }, { "dropping-particle" : "", "family" : "Hall", "given" : "Kimberly R.", "non-dropping-particle" : "", "parse-names" : false, "suffix" : "" }, { "dropping-particle" : "", "family" : "Higgins", "given" : "Jonathan", "non-dropping-particle" : "", "parse-names" : false, "suffix" : "" }, { "dropping-particle" : "", "family" : "Marshall", "given" : "Rob", "non-dropping-particle" : "", "parse-names" : false, "suffix" : "" }, { "dropping-particle" : "", "family" : "Popper", "given" : "Ken", "non-dropping-particle" : "", "parse-names" : false, "suffix" : "" }, { "dropping-particle" : "", "family" : "Schill", "given" : "Steve", "non-dropping-particle" : "", "parse-names" : false, "suffix" : "" }, { "dropping-particle" : "", "family" : "Shafer", "given" : "Sarah L.", "non-dropping-particle" : "", "parse-names" : false, "suffix" : "" } ], "container-title" : "Biodiversity and Conservation", "id" : "ITEM-1", "issue" : "7", "issued" : { "date-parts" : [ [ "2012", "3", "17" ] ] }, "note" : "cited in SWAP as example of spatial prioritization in conservation practice", "page" : "1651-1671", "title" : "Incorporating climate change into systematic conservation planning", "type" : "article-journal", "volume" : "21" }, "uris" : [ "http://www.mendeley.com/documents/?uuid=afc9045f-417c-44a6-8103-043125e026fc" ] }, { "id" : "ITEM-2", "itemData" : { "DOI" : "10.1046/j.1523-1739.2003.01467.x", "ISSN" : "0888-8892", "abstract" : "Before widespread, informed collaboration can take place in conservation there must be a process of understanding the different approaches employed by different conservation organizations to conserve biodiversity. To begin this process and to help build understanding and collaboration, we provide a concep- tual map of 21 approaches currently being implemented by 13 conservation organizations. We examined each of these approaches according to (1) the nature of the conservation target\u2014the object(s) of the conserva- tion action; (2) whether the question addressed is where conservation should be done or how conservation should be done; (3) the scale (both grain and extent) of the approach; and (4) the principles that underlie the approach. These questions provide a good way of distinguishing between most of the approaches and re- veal that there is less competition between them than is assumed. We conclude that only with explicit under- standing can the conservation community and its supporters critically compare approaches and come to a consensus about a set of metrics for measuring and achieving global conservation.", "author" : [ { "dropping-particle" : "", "family" : "Redford", "given" : "Kent H.", "non-dropping-particle" : "", "parse-names" : false, "suffix" : "" }, { "dropping-particle" : "", "family" : "Coppolillo", "given" : "Peter", "non-dropping-particle" : "", "parse-names" : false, "suffix" : "" }, { "dropping-particle" : "", "family" : "Sanderson", "given" : "Eric W.", "non-dropping-particle" : "", "parse-names" : false, "suffix" : "" }, { "dropping-particle" : "", "family" : "Fonseca", "given" : "Gustavo A.B.", "non-dropping-particle" : "Da", "parse-names" : false, "suffix" : "" }, { "dropping-particle" : "", "family" : "Dinerstein", "given" : "Eric", "non-dropping-particle" : "", "parse-names" : false, "suffix" : "" }, { "dropping-particle" : "", "family" : "Groves", "given" : "Craig", "non-dropping-particle" : "", "parse-names" : false, "suffix" : "" }, { "dropping-particle" : "", "family" : "Mace", "given" : "Georgina", "non-dropping-particle" : "", "parse-names" : false, "suffix" : "" }, { "dropping-particle" : "", "family" : "Maginnis", "given" : "Stewart", "non-dropping-particle" : "", "parse-names" : false, "suffix" : "" }, { "dropping-particle" : "", "family" : "Mittermeier", "given" : "Russell A.", "non-dropping-particle" : "", "parse-names" : false, "suffix" : "" }, { "dropping-particle" : "", "family" : "Noss", "given" : "Reed", "non-dropping-particle" : "", "parse-names" : false, "suffix" : "" }, { "dropping-particle" : "", "family" : "Olson", "given" : "David", "non-dropping-particle" : "", "parse-names" : false, "suffix" : "" }, { "dropping-particle" : "", "family" : "Robinson", "given" : "John G.", "non-dropping-particle" : "", "parse-names" : false, "suffix" : "" }, { "dropping-particle" : "", "family" : "Vedder", "given" : "Amy", "non-dropping-particle" : "", "parse-names" : false, "suffix" : "" }, { "dropping-particle" : "", "family" : "Wright", "given" : "Michael", "non-dropping-particle" : "", "parse-names" : false, "suffix" : "" } ], "container-title" : "Conservation Biology", "id" : "ITEM-2", "issue" : "1", "issued" : { "date-parts" : [ [ "2003", "2" ] ] }, "page" : "116-131", "title" : "Mapping the conservation landscape", "type" : "article-journal", "volume" : "17" }, "uris" : [ "http://www.mendeley.com/documents/?uuid=6fdfe9dd-6ba1-4073-93bd-d86f23674d1a" ] }, { "id" : "ITEM-3", "itemData" : { "DOI" : "10.1017/S0030605309000945", "ISSN" : "0030-6053", "abstract" : "The Landscape Species Approach is a framework developed by the Wildlife Conservation Society for planning landscape-scale conservation based on a suite of focal species. The approach has so far been implemented at 12 terrestrial and two marine sites. We demonstrate the approach using two sites, the Adirondack Park, USA, and San Guillermo-Laguna Brava Landscape, Argentina. We describe the spatially explicit components, including steps to map the attainable (Biological Landscape), current, and future distribution of Landscape Species, human activities (Human Landscapes) and their impacts on Landscape Species, the possible impacts of conservation actions (Conservation Landscapes), and a procedure to set spatial conservation priorities. We discuss advantages and innovations of the approach, including how it incorporates both vulnerability of biodiversity and possible recovery. Finally, we discuss improvements that can be made to the approach, costs, and implications for conservation at the two sites.", "author" : [ { "dropping-particle" : "", "family" : "Didier", "given" : "Karl A.", "non-dropping-particle" : "", "parse-names" : false, "suffix" : "" }, { "dropping-particle" : "", "family" : "Glennon", "given" : "Michale J.", "non-dropping-particle" : "", "parse-names" : false, "suffix" : "" }, { "dropping-particle" : "", "family" : "Novaro", "given" : "Andr\u00e9s", "non-dropping-particle" : "", "parse-names" : false, "suffix" : "" }, { "dropping-particle" : "", "family" : "Sanderson", "given" : "Eric W.", "non-dropping-particle" : "", "parse-names" : false, "suffix" : "" }, { "dropping-particle" : "", "family" : "Strindberg", "given" : "Samantha", "non-dropping-particle" : "", "parse-names" : false, "suffix" : "" }, { "dropping-particle" : "", "family" : "Walker", "given" : "Susan", "non-dropping-particle" : "", "parse-names" : false, "suffix" : "" }, { "dropping-particle" : "", "family" : "Martino", "given" : "Seb\u00e1stian", "non-dropping-particle" : "Di", "parse-names" : false, "suffix" : "" } ], "container-title" : "Oryx", "id" : "ITEM-3", "issue" : "04", "issued" : { "date-parts" : [ [ "2009", "8", "3" ] ] }, "language" : "English", "note" : "cited in SWAP as example of spatial prioritization in conservation practice", "page" : "476-487", "publisher" : "Cambridge University Press", "title" : "The Landscape Species Approach: spatially-explicit conservation planning applied in the Adirondacks, USA, and San Guillermo-Laguna Brava, Argentina, landscapes", "type" : "article-journal", "volume" : "43" }, "uris" : [ "http://www.mendeley.com/documents/?uuid=d643205f-a561-4f83-a368-376f08a51907" ] }, { "id" : "ITEM-4", "itemData" : { "DOI" : "10.1017/S0030605309990536", "ISSN" : "0030-6053", "abstract" : "The African Wildlife Foundation (AWF) has developed and applied a landscape-scale conservation planning methodology in eight priority conservation landscapes in Africa, areas we call African Heartlands. The foundation of the African Heartland Program is a landscape-scale planning process that has been developed and applied as part of the overall Heartland Conservation Process. This process helps AWF and its partners develop intervention strategies that address critical threats to the ecological viability of these landscapes, and to specific biodiversity conservation targets, whilst also working to improve the livelihoods of local people. In applying this participatory planning process to eight conservation landscapes in Africa we have begun to document and learn about the benefits and limitations of planning and implementation at the landscape-scale with stakeholders. We draw out lessons on the challenges and successes from our experience. Central to this are the merits of balancing a systematic science-based and pragmatic approach to landscape-scale conservation planning while addressing the needs and aspirations of local people. This approach could be particularly useful for other large-scale conservation planning efforts in developing countries where conservation objectives and human livelihoods are inextricably linked.", "author" : [ { "dropping-particle" : "", "family" : "Henson", "given" : "Adam", "non-dropping-particle" : "", "parse-names" : false, "suffix" : "" }, { "dropping-particle" : "", "family" : "Williams", "given" : "David", "non-dropping-particle" : "", "parse-names" : false, "suffix" : "" }, { "dropping-particle" : "", "family" : "Dupain", "given" : "Jef", "non-dropping-particle" : "", "parse-names" : false, "suffix" : "" }, { "dropping-particle" : "", "family" : "Gichohi", "given" : "Helen", "non-dropping-particle" : "", "parse-names" : false, "suffix" : "" }, { "dropping-particle" : "", "family" : "Muruthi", "given" : "Philip", "non-dropping-particle" : "", "parse-names" : false, "suffix" : "" } ], "container-title" : "Oryx", "id" : "ITEM-4", "issue" : "04", "issued" : { "date-parts" : [ [ "2009", "9", "25" ] ] }, "language" : "English", "note" : "cited in SWAP as example of spatial prioritization in conservation practice", "page" : "508-519", "publisher" : "Cambridge University Press", "title" : "The Heartland Conservation Process: enhancing biodiversity conservation and livelihoods through landscape-scale conservation planning in Africa", "type" : "article-journal", "volume" : "43" }, "uris" : [ "http://www.mendeley.com/documents/?uuid=939e09a4-6398-4b52-9f18-dd2cbd97b17a" ] } ], "mendeley" : { "formattedCitation" : "(Redford &lt;i&gt;et al.&lt;/i&gt; 2003; Didier &lt;i&gt;et al.&lt;/i&gt; 2009; Henson &lt;i&gt;et al.&lt;/i&gt; 2009; Groves &lt;i&gt;et al.&lt;/i&gt; 2012)", "plainTextFormattedCitation" : "(Redford et al. 2003; Didier et al. 2009; Henson et al. 2009; Groves et al. 2012)", "previouslyFormattedCitation" : "(Redford &lt;i&gt;et al.&lt;/i&gt; 2003; Didier &lt;i&gt;et al.&lt;/i&gt; 2009; Henson &lt;i&gt;et al.&lt;/i&gt; 2009; Groves &lt;i&gt;et al.&lt;/i&gt; 2012)" }, "properties" : { "noteIndex" : 0 }, "schema" : "https://github.com/citation-style-language/schema/raw/master/csl-citation.json" }</w:instrText>
      </w:r>
      <w:r w:rsidR="00F01773" w:rsidRPr="00A22A3B">
        <w:rPr>
          <w:lang w:val="en-GB"/>
        </w:rPr>
        <w:fldChar w:fldCharType="separate"/>
      </w:r>
      <w:r w:rsidR="00E941E8" w:rsidRPr="00A22A3B">
        <w:rPr>
          <w:noProof/>
          <w:lang w:val="en-GB"/>
        </w:rPr>
        <w:t xml:space="preserve">(Redford </w:t>
      </w:r>
      <w:r w:rsidR="00E941E8" w:rsidRPr="00A22A3B">
        <w:rPr>
          <w:i/>
          <w:noProof/>
          <w:lang w:val="en-GB"/>
        </w:rPr>
        <w:t>et al.</w:t>
      </w:r>
      <w:r w:rsidR="00E941E8" w:rsidRPr="00A22A3B">
        <w:rPr>
          <w:noProof/>
          <w:lang w:val="en-GB"/>
        </w:rPr>
        <w:t xml:space="preserve"> 2003; Didier </w:t>
      </w:r>
      <w:r w:rsidR="00E941E8" w:rsidRPr="00A22A3B">
        <w:rPr>
          <w:i/>
          <w:noProof/>
          <w:lang w:val="en-GB"/>
        </w:rPr>
        <w:t>et al.</w:t>
      </w:r>
      <w:r w:rsidR="00E941E8" w:rsidRPr="00A22A3B">
        <w:rPr>
          <w:noProof/>
          <w:lang w:val="en-GB"/>
        </w:rPr>
        <w:t xml:space="preserve"> 2009; Henson </w:t>
      </w:r>
      <w:r w:rsidR="00E941E8" w:rsidRPr="00A22A3B">
        <w:rPr>
          <w:i/>
          <w:noProof/>
          <w:lang w:val="en-GB"/>
        </w:rPr>
        <w:t>et al.</w:t>
      </w:r>
      <w:r w:rsidR="00E941E8" w:rsidRPr="00A22A3B">
        <w:rPr>
          <w:noProof/>
          <w:lang w:val="en-GB"/>
        </w:rPr>
        <w:t xml:space="preserve"> 2009; Groves </w:t>
      </w:r>
      <w:r w:rsidR="00E941E8" w:rsidRPr="00A22A3B">
        <w:rPr>
          <w:i/>
          <w:noProof/>
          <w:lang w:val="en-GB"/>
        </w:rPr>
        <w:t>et al.</w:t>
      </w:r>
      <w:r w:rsidR="00E941E8" w:rsidRPr="00A22A3B">
        <w:rPr>
          <w:noProof/>
          <w:lang w:val="en-GB"/>
        </w:rPr>
        <w:t xml:space="preserve"> 2012)</w:t>
      </w:r>
      <w:r w:rsidR="00F01773" w:rsidRPr="00A22A3B">
        <w:rPr>
          <w:lang w:val="en-GB"/>
        </w:rPr>
        <w:fldChar w:fldCharType="end"/>
      </w:r>
      <w:r w:rsidR="00E941E8" w:rsidRPr="00A22A3B">
        <w:rPr>
          <w:lang w:val="en-GB"/>
        </w:rPr>
        <w:t xml:space="preserve"> of conservation. This is due to the long history of spatial conservation planning methods </w:t>
      </w:r>
      <w:r w:rsidR="00F01773" w:rsidRPr="00A22A3B">
        <w:rPr>
          <w:lang w:val="en-GB"/>
        </w:rPr>
        <w:fldChar w:fldCharType="begin" w:fldLock="1"/>
      </w:r>
      <w:r w:rsidR="00E941E8">
        <w:rPr>
          <w:lang w:val="en-GB"/>
        </w:rPr>
        <w:instrText>ADDIN CSL_CITATION { "citationItems" : [ { "id" : "ITEM-1", "itemData" : { "abstract" : "A system of natural reserves, each surrounded by altered habitat, resembles a system of islands from the point of view of species restricted to natural habitats. Recent advances in island biogeography may provide a detailed basis for understanding what to expect of such a system of reserves. The main conclusions are as follows: The number of species that a reserve can hold at equilibrium is a function of its area and its isolation. Larger reserves, and reserves located close to other reserves, can hold more species. If most of the area of a habitat is destroyed, and a fraction of the area is saved as a reserve, the reserve will initially contain more species than it can hold at equilibrium. The excess will gradually go extinct. The smaller the reserve, the higher will be the extinction rates. Estimates of these extinction rates for bird and mammal species have recently become available in a few cases. Different species require different minimum areas to have a reasonable chance of survival. Some geometric design principles are suggested in order to optimise the function of reserves in saving species.", "author" : [ { "dropping-particle" : "", "family" : "Diamond", "given" : "Jared M.", "non-dropping-particle" : "", "parse-names" : false, "suffix" : "" } ], "container-title" : "Biological Conservation", "id" : "ITEM-1", "issue" : "2", "issued" : { "date-parts" : [ [ "1975" ] ] }, "page" : "129-146", "title" : "The island dilemma: Lessons of modern biogeographic studies for the design of natural reserves", "type" : "article-journal", "volume" : "7" }, "uris" : [ "http://www.mendeley.com/documents/?uuid=12875468-2676-46cd-864d-076cc86e15f4" ] }, { "id" : "ITEM-2", "itemData" : { "DOI" : "10.1038/35012251", "ISSN" : "0028-0836", "PMID" : "10821285", "abstract" : "The realization of conservation goals requires strategies for managing whole landscapes including areas allocated to both production and protection. Reserves alone are not adequate for nature conservation but they are the cornerstone on which regional strategies are built. Reserves have two main roles. They should sample or represent the biodiversity of each region and they should separate this biodiversity from processes that threaten its persistence. Existing reserve systems throughout the world contain a biased sample of biodiversity, usually that of remote places and other areas that are unsuitable for commercial activities. A more systematic approach to locating and designing reserves has been evolving and this approach will need to be implemented if a large proportion of today's biodiversity is to exist in a future of increasing numbers of people and their demands on natural resources.", "author" : [ { "dropping-particle" : "", "family" : "Margules", "given" : "C R", "non-dropping-particle" : "", "parse-names" : false, "suffix" : "" }, { "dropping-particle" : "", "family" : "Pressey", "given" : "R L", "non-dropping-particle" : "", "parse-names" : false, "suffix" : "" } ], "container-title" : "Nature", "id" : "ITEM-2", "issue" : "6783", "issued" : { "date-parts" : [ [ "2000", "5", "11" ] ] }, "page" : "243-53", "publisher" : "Macmillan Magazines Ltd.", "title" : "Systematic conservation planning.", "title-short" : "Nature", "type" : "article-journal", "volume" : "405" }, "uris" : [ "http://www.mendeley.com/documents/?uuid=d7156c22-6c19-4c21-b598-5bd802ee93a8" ] }, { "id" : "ITEM-3", "itemData" : { "ISBN" : "9781444335033", "author" : [ { "dropping-particle" : "", "family" : "Watson", "given" : "James E M", "non-dropping-particle" : "", "parse-names" : false, "suffix" : "" }, { "dropping-particle" : "", "family" : "Grantham", "given" : "Hedley S", "non-dropping-particle" : "", "parse-names" : false, "suffix" : "" }, { "dropping-particle" : "", "family" : "Wilson", "given" : "Kerrie A", "non-dropping-particle" : "", "parse-names" : false, "suffix" : "" }, { "dropping-particle" : "", "family" : "Possingham", "given" : "Hugh P", "non-dropping-particle" : "", "parse-names" : false, "suffix" : "" } ], "chapter-number" : "6", "container-title" : "Conservation Biogeography", "editor" : [ { "dropping-particle" : "", "family" : "Ladle", "given" : "R J", "non-dropping-particle" : "", "parse-names" : false, "suffix" : "" }, { "dropping-particle" : "", "family" : "Whittaker", "given" : "R J", "non-dropping-particle" : "", "parse-names" : false, "suffix" : "" } ], "id" : "ITEM-3", "issued" : { "date-parts" : [ [ "2011" ] ] }, "page" : "136-160", "publisher" : "John Wiley &amp; Sons, Ltd.", "publisher-place" : "Chichester, UK", "title" : "Systematic Conservation Planning: Past , Present and Future", "type" : "chapter" }, "uris" : [ "http://www.mendeley.com/documents/?uuid=de19d51c-d4ff-4523-b75b-2cc0cac1747a" ] } ], "mendeley" : { "formattedCitation" : "(Diamond 1975; Margules &amp; Pressey 2000; Watson &lt;i&gt;et al.&lt;/i&gt; 2011)", "plainTextFormattedCitation" : "(Diamond 1975; Margules &amp; Pressey 2000; Watson et al. 2011)", "previouslyFormattedCitation" : "(Diamond 1975; Margules &amp; Pressey 2000; Watson &lt;i&gt;et al.&lt;/i&gt; 2011)" }, "properties" : { "noteIndex" : 0 }, "schema" : "https://github.com/citation-style-language/schema/raw/master/csl-citation.json" }</w:instrText>
      </w:r>
      <w:r w:rsidR="00F01773" w:rsidRPr="00A22A3B">
        <w:rPr>
          <w:lang w:val="en-GB"/>
        </w:rPr>
        <w:fldChar w:fldCharType="separate"/>
      </w:r>
      <w:r w:rsidR="00E941E8" w:rsidRPr="00A22A3B">
        <w:rPr>
          <w:noProof/>
          <w:lang w:val="en-GB"/>
        </w:rPr>
        <w:t xml:space="preserve">(Diamond 1975; Margules &amp; Pressey 2000; Watson </w:t>
      </w:r>
      <w:r w:rsidR="00E941E8" w:rsidRPr="00A22A3B">
        <w:rPr>
          <w:i/>
          <w:noProof/>
          <w:lang w:val="en-GB"/>
        </w:rPr>
        <w:t>et al.</w:t>
      </w:r>
      <w:r w:rsidR="00E941E8" w:rsidRPr="00A22A3B">
        <w:rPr>
          <w:noProof/>
          <w:lang w:val="en-GB"/>
        </w:rPr>
        <w:t xml:space="preserve"> 2011)</w:t>
      </w:r>
      <w:r w:rsidR="00F01773" w:rsidRPr="00A22A3B">
        <w:rPr>
          <w:lang w:val="en-GB"/>
        </w:rPr>
        <w:fldChar w:fldCharType="end"/>
      </w:r>
      <w:r w:rsidR="00E941E8" w:rsidRPr="00A22A3B">
        <w:rPr>
          <w:lang w:val="en-GB"/>
        </w:rPr>
        <w:t xml:space="preserve">, to the recognition that conservation funding is limited </w:t>
      </w:r>
      <w:r w:rsidR="00F01773" w:rsidRPr="00A22A3B">
        <w:rPr>
          <w:lang w:val="en-GB"/>
        </w:rPr>
        <w:fldChar w:fldCharType="begin" w:fldLock="1"/>
      </w:r>
      <w:r w:rsidR="00E941E8">
        <w:rPr>
          <w:lang w:val="en-GB"/>
        </w:rPr>
        <w:instrText>ADDIN CSL_CITATION { "citationItems" : [ { "id" : "ITEM-1", "itemData" : { "DOI" : "10.1126/science.279.5359.2126", "ISSN" : "00368075", "abstract" : "Efforts at species conservation in the United States have tended to be opportunistic and uncoordinated. Recently, however, ecologists and economists have begun to develop more systematic approaches. Here, the problem of efficiently allocating scarce conservation resources in the selection of sites for biological reserves is addressed. With the use of county-level data on land prices and the incidence of endangered species, it is shown that accounting for heterogeneity in land prices results in a substantial increase in efficiency in terms of either the cost of achieving a fixed coverage of species or the coverage attained from a fixed budget.", "author" : [ { "dropping-particle" : "", "family" : "Ando", "given" : "A.", "non-dropping-particle" : "", "parse-names" : false, "suffix" : "" } ], "container-title" : "Science", "id" : "ITEM-1", "issue" : "5359", "issued" : { "date-parts" : [ [ "1998", "3", "27" ] ] }, "note" : "reference in Ch 3 as an example of where to protect in reserve selection", "page" : "2126-2128", "title" : "Species Distributions, Land Values, and Efficient Conservation", "type" : "article-journal", "volume" : "279" }, "uris" : [ "http://www.mendeley.com/documents/?uuid=59c3bd96-44ee-46d2-a128-703a3d8dd172" ] }, { "id" : "ITEM-2", "itemData" : { "ISSN" : "0028-0836", "author" : [ { "dropping-particle" : "", "family" : "Myers", "given" : "Norman", "non-dropping-particle" : "", "parse-names" : false, "suffix" : "" }, { "dropping-particle" : "", "family" : "Mittermeier", "given" : "Russell A", "non-dropping-particle" : "", "parse-names" : false, "suffix" : "" }, { "dropping-particle" : "", "family" : "Mittermeier", "given" : "Cristina G", "non-dropping-particle" : "", "parse-names" : false, "suffix" : "" }, { "dropping-particle" : "", "family" : "Fonseca", "given" : "Gustavo A B", "non-dropping-particle" : "da", "parse-names" : false, "suffix" : "" }, { "dropping-particle" : "", "family" : "Kent", "given" : "Jennifer", "non-dropping-particle" : "", "parse-names" : false, "suffix" : "" } ], "container-title" : "Nature", "id" : "ITEM-2", "issue" : "6772", "issued" : { "date-parts" : [ [ "2000", "2", "24" ] ] }, "note" : "10.1038/35002501", "page" : "853-858", "title" : "Biodiversity hotspots for conservation priorities", "type" : "article-journal", "volume" : "403" }, "uris" : [ "http://www.mendeley.com/documents/?uuid=957a238f-2349-4299-90dd-7c62d36521f0" ] }, { "id" : "ITEM-3", "itemData" : { "DOI" : "10.1016/j.tree.2008.07.007", "ISSN" : "0169-5347", "PMID" : "18848367", "abstract" : "Conservation efforts and emergency medicine face comparable problems: how to use scarce resources wisely to conserve valuable assets. In both fields, the process of prioritising actions is known as triage. Although often used implicitly by conservation managers, scientists and policymakers, triage has been misinterpreted as the process of simply deciding which assets (e.g. species, habitats) will not receive investment. As a consequence, triage is sometimes associated with a defeatist conservation ethic. However, triage is no more than the efficient allocation of conservation resources and we risk wasting scarce resources if we do not follow its basic principles.", "author" : [ { "dropping-particle" : "", "family" : "Bottrill", "given" : "Madeleine C", "non-dropping-particle" : "", "parse-names" : false, "suffix" : "" }, { "dropping-particle" : "", "family" : "Joseph", "given" : "Liana N", "non-dropping-particle" : "", "parse-names" : false, "suffix" : "" }, { "dropping-particle" : "", "family" : "Carwardine", "given" : "Josie", "non-dropping-particle" : "", "parse-names" : false, "suffix" : "" }, { "dropping-particle" : "", "family" : "Bode", "given" : "Michael", "non-dropping-particle" : "", "parse-names" : false, "suffix" : "" }, { "dropping-particle" : "", "family" : "Cook", "given" : "Carly", "non-dropping-particle" : "", "parse-names" : false, "suffix" : "" }, { "dropping-particle" : "", "family" : "Game", "given" : "Edward T", "non-dropping-particle" : "", "parse-names" : false, "suffix" : "" }, { "dropping-particle" : "", "family" : "Grantham", "given" : "Hedley", "non-dropping-particle" : "", "parse-names" : false, "suffix" : "" }, { "dropping-particle" : "", "family" : "Kark", "given" : "Salit", "non-dropping-particle" : "", "parse-names" : false, "suffix" : "" }, { "dropping-particle" : "", "family" : "Linke", "given" : "Simon", "non-dropping-particle" : "", "parse-names" : false, "suffix" : "" }, { "dropping-particle" : "", "family" : "McDonald-Madden", "given" : "Eve", "non-dropping-particle" : "", "parse-names" : false, "suffix" : "" }, { "dropping-particle" : "", "family" : "Pressey", "given" : "Robert L", "non-dropping-particle" : "", "parse-names" : false, "suffix" : "" }, { "dropping-particle" : "", "family" : "Walker", "given" : "Susan", "non-dropping-particle" : "", "parse-names" : false, "suffix" : "" }, { "dropping-particle" : "", "family" : "Wilson", "given" : "Kerrie A", "non-dropping-particle" : "", "parse-names" : false, "suffix" : "" }, { "dropping-particle" : "", "family" : "Possingham", "given" : "Hugh P", "non-dropping-particle" : "", "parse-names" : false, "suffix" : "" } ], "container-title" : "Trends in ecology &amp; evolution", "id" : "ITEM-3", "issue" : "12", "issued" : { "date-parts" : [ [ "2008", "12" ] ] }, "page" : "649-54", "title" : "Is conservation triage just smart decision making?", "type" : "article-journal", "volume" : "23" }, "uris" : [ "http://www.mendeley.com/documents/?uuid=9f3b050f-3f70-4ff2-bb97-3787ce0757bc" ] } ], "mendeley" : { "formattedCitation" : "(Ando 1998; Myers &lt;i&gt;et al.&lt;/i&gt; 2000; Bottrill &lt;i&gt;et al.&lt;/i&gt; 2008)", "plainTextFormattedCitation" : "(Ando 1998; Myers et al. 2000; Bottrill et al. 2008)", "previouslyFormattedCitation" : "(Ando 1998; Myers &lt;i&gt;et al.&lt;/i&gt; 2000; Bottrill &lt;i&gt;et al.&lt;/i&gt; 2008)" }, "properties" : { "noteIndex" : 0 }, "schema" : "https://github.com/citation-style-language/schema/raw/master/csl-citation.json" }</w:instrText>
      </w:r>
      <w:r w:rsidR="00F01773" w:rsidRPr="00A22A3B">
        <w:rPr>
          <w:lang w:val="en-GB"/>
        </w:rPr>
        <w:fldChar w:fldCharType="separate"/>
      </w:r>
      <w:r w:rsidR="00E941E8" w:rsidRPr="00A22A3B">
        <w:rPr>
          <w:noProof/>
          <w:lang w:val="en-GB"/>
        </w:rPr>
        <w:t xml:space="preserve">(Ando 1998; Myers </w:t>
      </w:r>
      <w:r w:rsidR="00E941E8" w:rsidRPr="00A22A3B">
        <w:rPr>
          <w:i/>
          <w:noProof/>
          <w:lang w:val="en-GB"/>
        </w:rPr>
        <w:t>et al.</w:t>
      </w:r>
      <w:r w:rsidR="00E941E8" w:rsidRPr="00A22A3B">
        <w:rPr>
          <w:noProof/>
          <w:lang w:val="en-GB"/>
        </w:rPr>
        <w:t xml:space="preserve"> 2000; Bottrill </w:t>
      </w:r>
      <w:r w:rsidR="00E941E8" w:rsidRPr="00A22A3B">
        <w:rPr>
          <w:i/>
          <w:noProof/>
          <w:lang w:val="en-GB"/>
        </w:rPr>
        <w:t>et al.</w:t>
      </w:r>
      <w:r w:rsidR="00E941E8" w:rsidRPr="00A22A3B">
        <w:rPr>
          <w:noProof/>
          <w:lang w:val="en-GB"/>
        </w:rPr>
        <w:t xml:space="preserve"> 2008)</w:t>
      </w:r>
      <w:r w:rsidR="00F01773" w:rsidRPr="00A22A3B">
        <w:rPr>
          <w:lang w:val="en-GB"/>
        </w:rPr>
        <w:fldChar w:fldCharType="end"/>
      </w:r>
      <w:r w:rsidR="00E941E8" w:rsidRPr="00A22A3B">
        <w:rPr>
          <w:lang w:val="en-GB"/>
        </w:rPr>
        <w:t xml:space="preserve"> and to the spatial nature of many conservation decisions </w:t>
      </w:r>
      <w:r w:rsidR="00F01773" w:rsidRPr="00A22A3B">
        <w:rPr>
          <w:lang w:val="en-GB"/>
        </w:rPr>
        <w:fldChar w:fldCharType="begin" w:fldLock="1"/>
      </w:r>
      <w:r w:rsidR="00E941E8">
        <w:rPr>
          <w:lang w:val="en-GB"/>
        </w:rPr>
        <w:instrText>ADDIN CSL_CITATION { "citationItems" : [ { "id" : "ITEM-1", "itemData" : { "DOI" : "10.1016/j.tree.2007.10.001", "ISSN" : "0169-5347", "PMID" : "17981360", "abstract" : "Conservation planning is the process of locating, configuring, implementing and maintaining areas that are managed to promote the persistence of biodiversity and other natural values. Conservation planning is inherently spatial. The science behind it has solved important spatial problems and increasingly influenced practice. To be effective, however, conservation planning must deal better with two types of change. First, biodiversity is not static in time or space but generated and maintained by natural processes. Second, humans are altering the planet in diverse ways at ever faster rates.", "author" : [ { "dropping-particle" : "", "family" : "Pressey", "given" : "Robert L", "non-dropping-particle" : "", "parse-names" : false, "suffix" : "" }, { "dropping-particle" : "", "family" : "Cabeza", "given" : "Mar", "non-dropping-particle" : "", "parse-names" : false, "suffix" : "" }, { "dropping-particle" : "", "family" : "Watts", "given" : "Matthew E", "non-dropping-particle" : "", "parse-names" : false, "suffix" : "" }, { "dropping-particle" : "", "family" : "Cowling", "given" : "Richard M", "non-dropping-particle" : "", "parse-names" : false, "suffix" : "" }, { "dropping-particle" : "", "family" : "Wilson", "given" : "Kerrie A", "non-dropping-particle" : "", "parse-names" : false, "suffix" : "" } ], "container-title" : "Trends in ecology &amp; evolution", "id" : "ITEM-1", "issue" : "11", "issued" : { "date-parts" : [ [ "2007", "11" ] ] }, "note" : "same title as my dissertation", "page" : "583-92", "title" : "Conservation planning in a changing world.", "type" : "article-journal", "volume" : "22" }, "uris" : [ "http://www.mendeley.com/documents/?uuid=96998794-af98-4cba-8fe4-7f3555e69ca5" ] } ], "mendeley" : { "formattedCitation" : "(Pressey &lt;i&gt;et al.&lt;/i&gt; 2007)", "plainTextFormattedCitation" : "(Pressey et al. 2007)", "previouslyFormattedCitation" : "(Pressey &lt;i&gt;et al.&lt;/i&gt; 2007)" }, "properties" : { "noteIndex" : 0 }, "schema" : "https://github.com/citation-style-language/schema/raw/master/csl-citation.json" }</w:instrText>
      </w:r>
      <w:r w:rsidR="00F01773" w:rsidRPr="00A22A3B">
        <w:rPr>
          <w:lang w:val="en-GB"/>
        </w:rPr>
        <w:fldChar w:fldCharType="separate"/>
      </w:r>
      <w:r w:rsidR="00E941E8" w:rsidRPr="00A22A3B">
        <w:rPr>
          <w:noProof/>
          <w:lang w:val="en-GB"/>
        </w:rPr>
        <w:t xml:space="preserve">(Pressey </w:t>
      </w:r>
      <w:r w:rsidR="00E941E8" w:rsidRPr="00A22A3B">
        <w:rPr>
          <w:i/>
          <w:noProof/>
          <w:lang w:val="en-GB"/>
        </w:rPr>
        <w:t>et al.</w:t>
      </w:r>
      <w:r w:rsidR="00E941E8" w:rsidRPr="00A22A3B">
        <w:rPr>
          <w:noProof/>
          <w:lang w:val="en-GB"/>
        </w:rPr>
        <w:t xml:space="preserve"> 2007)</w:t>
      </w:r>
      <w:r w:rsidR="00F01773" w:rsidRPr="00A22A3B">
        <w:rPr>
          <w:lang w:val="en-GB"/>
        </w:rPr>
        <w:fldChar w:fldCharType="end"/>
      </w:r>
      <w:r w:rsidR="00E941E8" w:rsidRPr="00A22A3B">
        <w:rPr>
          <w:lang w:val="en-GB"/>
        </w:rPr>
        <w:t>.</w:t>
      </w:r>
      <w:r w:rsidR="00E941E8">
        <w:rPr>
          <w:lang w:val="en-GB"/>
        </w:rPr>
        <w:t xml:space="preserve"> </w:t>
      </w:r>
      <w:r w:rsidR="0055766C">
        <w:t xml:space="preserve">Although several studies exist that look at the influence of data characteristics on spatial conservation priorities </w:t>
      </w:r>
      <w:r w:rsidR="00F01773" w:rsidRPr="00141359">
        <w:rPr>
          <w:lang w:val="en-GB"/>
        </w:rPr>
        <w:fldChar w:fldCharType="begin" w:fldLock="1"/>
      </w:r>
      <w:r w:rsidR="0055766C">
        <w:rPr>
          <w:lang w:val="en-GB"/>
        </w:rPr>
        <w:instrText>ADDIN CSL_CITATION { "citationItems" : [ { "id" : "ITEM-1", "itemData" : { "author" : [ { "dropping-particle" : "", "family" : "Freitag", "given" : "Stefanie", "non-dropping-particle" : "", "parse-names" : false, "suffix" : "" }, { "dropping-particle" : "", "family" : "Jaarsveld", "given" : "Albert S", "non-dropping-particle" : "van", "parse-names" : false, "suffix" : "" } ], "container-title" : "Proceedings of the Royal Society of London B.", "id" : "ITEM-1", "issued" : { "date-parts" : [ [ "1998" ] ] }, "page" : "1475-1482", "title" : "Sensitivity of selection procedures for priority conservation areas to survey extent, survey intensity and taxonomic knowledge", "type" : "article-journal", "volume" : "265" }, "uris" : [ "http://www.mendeley.com/documents/?uuid=ad514389-a139-40fa-8199-e6c5159a9d23" ] }, { "id" : "ITEM-2", "itemData" : { "abstract" : "The reserve site selection problem is to select sites for the establishment of biological reserves with the goal to maximize the number of species contained in the reserves.When species distributions are known, this corresponds to the maximal coverage problem. In practice, knowledge of species distributions may be incomplete and only incidence probabilities are available. In this case, the goal is to maximize the expected number of species contained in the reserves. This is called the maximal expected coverage problem. This paper describes and illustrates a formal approach to assess the value of information, such as site surveys or species surveys, in this problem.", "author" : [ { "dropping-particle" : "", "family" : "Polasky", "given" : "Stephen", "non-dropping-particle" : "", "parse-names" : false, "suffix" : "" }, { "dropping-particle" : "", "family" : "Solow", "given" : "Andrew R", "non-dropping-particle" : "", "parse-names" : false, "suffix" : "" } ], "container-title" : "Biodiversity and Conservation", "id" : "ITEM-2", "issued" : { "date-parts" : [ [ "2001" ] ] }, "note" : "Look at how the value of information about the presence/absence of species in sites changes as the proportion of sites selected, the detectability of species changes, and the actual probability of species presence changes. They look at the maximal expected coverage problem, where you are attempting to maximize the expected number of species covered by the sites you select. They use few (5) species and 1 or 2 species to illustrate.", "page" : "1051-1058", "title" : "The value of information in reserve site selection", "type" : "article-journal", "volume" : "10" }, "uris" : [ "http://www.mendeley.com/documents/?uuid=da2ed81a-18d7-4ce7-89dd-b4b4661e03d1" ] }, { "id" : "ITEM-3", "itemData" : { "DOI" : "10.1023/A:1023637917029", "ISSN" : "1572-9710", "author" : [ { "dropping-particle" : "", "family" : "Gladstone", "given" : "William", "non-dropping-particle" : "", "parse-names" : false, "suffix" : "" }, { "dropping-particle" : "", "family" : "Davis", "given" : "Jennifer", "non-dropping-particle" : "", "parse-names" : false, "suffix" : "" } ], "container-title" : "Biodiversity &amp; Conservation", "id" : "ITEM-3", "issue" : "7", "issued" : { "date-parts" : [ [ "2003" ] ] }, "language" : "en", "note" : "referenced in swap for how changing data affect priorities", "page" : "1525-1536", "title" : "Reduced survey intensity and its consequences for marine reserve selection", "type" : "article-journal", "volume" : "12" }, "uris" : [ "http://www.mendeley.com/documents/?uuid=cf918c1a-3a69-4e81-8045-06368da5ca7f" ] }, { "id" : "ITEM-4", "itemData" : { "DOI" : "10.1046/j.1523-1739.2003.01268.x", "ISSN" : "0888-8892", "author" : [ { "dropping-particle" : "", "family" : "Gaston", "given" : "Kevin J.", "non-dropping-particle" : "", "parse-names" : false, "suffix" : "" }, { "dropping-particle" : "", "family" : "Rodrigues", "given" : "Ana S. L.", "non-dropping-particle" : "", "parse-names" : false, "suffix" : "" } ], "container-title" : "Conservation Biology", "id" : "ITEM-4", "issue" : "1", "issued" : { "date-parts" : [ [ "2003", "2" ] ] }, "note" : "look at the maximal coverage problem using a dataset with abundance data. They compare outcomes of the MCP when using the original dataset, the dataset turned to presence/absence, and the dataset turned to low sampling effort (similar to my rarefaction analysis in SWAP, but with much lower sampling (2 bouts per site)). They compare their work to Freitag and van Jaarsveld (1998). They find that presence-absence data are best at covering many species, while abudance data are better at covering many individuals. They actually find that a very low sampling effort is better than presence/absence at covering individuals, indicating it is better to spread a little effort over the landscape collecting abundance if that is your goal.", "page" : "188-195", "title" : "Reserve selection in regions with poor biological data", "type" : "article-journal", "volume" : "17" }, "uris" : [ "http://www.mendeley.com/documents/?uuid=e3cd9d79-434a-4292-a8af-6042b4971213" ] }, { "id" : "ITEM-5", "itemData" : { "DOI" : "10.1111/j.1755-263X.2008.00029.x", "ISSN" : "1755263X", "author" : [ { "dropping-particle" : "", "family" : "Grantham", "given" : "Hedley S.", "non-dropping-particle" : "", "parse-names" : false, "suffix" : "" }, { "dropping-particle" : "", "family" : "Moilanen", "given" : "Atte", "non-dropping-particle" : "", "parse-names" : false, "suffix" : "" }, { "dropping-particle" : "", "family" : "Wilson", "given" : "Kerrie A.", "non-dropping-particle" : "", "parse-names" : false, "suffix" : "" }, { "dropping-particle" : "", "family" : "Pressey", "given" : "Robert L.", "non-dropping-particle" : "", "parse-names" : false, "suffix" : "" }, { "dropping-particle" : "", "family" : "Rebelo", "given" : "Tony G.", "non-dropping-particle" : "", "parse-names" : false, "suffix" : "" }, { "dropping-particle" : "", "family" : "Possingham", "given" : "Hugh P.", "non-dropping-particle" : "", "parse-names" : false, "suffix" : "" } ], "container-title" : "Conservation Letters", "id" : "ITEM-5", "issue" : "4", "issued" : { "date-parts" : [ [ "2008", "9", "11" ] ] }, "note" : "Look at how different levels of investment in initial biodiversity surveying affects effectiveness of reserves. They take a full dataset, 1) subset the dataset by some number of records, 2) use the smaller dataset to predict species ranges, 3) use the predicted ranges to conserve the most species in a dynamic conservation/land change model over 10 years, 4) measure the effectiveness of the reserve system at the end of the model. Their site selection algorithm chooses the site(s) that add the most species to the current system. They find that collecting a little data is a huge help, while collecting a lot is not much different than collecting a little more (i.e. diminishing returns). They also find that using land cover classifications as a proxy do not work very well compared to a little surveying.", "page" : "190-198", "title" : "Diminishing return on investment for biodiversity data in conservation planning", "type" : "article-journal", "volume" : "1" }, "uris" : [ "http://www.mendeley.com/documents/?uuid=0e34dd9d-a10e-493d-a30e-66dd8686d04a" ] }, { "id" : "ITEM-6", "itemData" : { "DOI" : "10.1016/j.biocon.2011.04.018", "ISSN" : "00063207", "author" : [ { "dropping-particle" : "", "family" : "Ornellas", "given" : "Paul", "non-dropping-particle" : "De", "parse-names" : false, "suffix" : "" }, { "dropping-particle" : "", "family" : "Milner-Gulland", "given" : "E.J.", "non-dropping-particle" : "", "parse-names" : false, "suffix" : "" }, { "dropping-particle" : "", "family" : "Nicholson", "given" : "Emily", "non-dropping-particle" : "", "parse-names" : false, "suffix" : "" } ], "container-title" : "Biological Conservation", "id" : "ITEM-6", "issue" : "7", "issued" : { "date-parts" : [ [ "2011", "7" ] ] }, "page" : "1980-1988", "publisher" : "Elsevier Ltd", "title" : "The impact of data realities on conservation planning", "type" : "article-journal", "volume" : "144" }, "uris" : [ "http://www.mendeley.com/documents/?uuid=bb403314-8445-4035-80c4-b63e3e695c08" ] } ], "mendeley" : { "formattedCitation" : "(Freitag &amp; van Jaarsveld 1998; Polasky &amp; Solow 2001; Gladstone &amp; Davis 2003; Gaston &amp; Rodrigues 2003; Grantham &lt;i&gt;et al.&lt;/i&gt; 2008; De Ornellas, Milner-Gulland &amp; Nicholson 2011)", "plainTextFormattedCitation" : "(Freitag &amp; van Jaarsveld 1998; Polasky &amp; Solow 2001; Gladstone &amp; Davis 2003; Gaston &amp; Rodrigues 2003; Grantham et al. 2008; De Ornellas, Milner-Gulland &amp; Nicholson 2011)", "previouslyFormattedCitation" : "(Freitag &amp; van Jaarsveld 1998; Polasky &amp; Solow 2001; Gladstone &amp; Davis 2003; Gaston &amp; Rodrigues 2003; Grantham &lt;i&gt;et al.&lt;/i&gt; 2008; De Ornellas, Milner-Gulland &amp; Nicholson 2011)" }, "properties" : { "noteIndex" : 0 }, "schema" : "https://github.com/citation-style-language/schema/raw/master/csl-citation.json" }</w:instrText>
      </w:r>
      <w:r w:rsidR="00F01773" w:rsidRPr="00141359">
        <w:rPr>
          <w:lang w:val="en-GB"/>
        </w:rPr>
        <w:fldChar w:fldCharType="separate"/>
      </w:r>
      <w:r w:rsidR="0055766C" w:rsidRPr="00B42A6C">
        <w:rPr>
          <w:noProof/>
          <w:lang w:val="en-GB"/>
        </w:rPr>
        <w:t xml:space="preserve">(Freitag &amp; van Jaarsveld 1998; Polasky &amp; Solow 2001; Gladstone &amp; Davis 2003; Gaston &amp; Rodrigues 2003; Grantham </w:t>
      </w:r>
      <w:r w:rsidR="0055766C" w:rsidRPr="00B42A6C">
        <w:rPr>
          <w:i/>
          <w:noProof/>
          <w:lang w:val="en-GB"/>
        </w:rPr>
        <w:t>et al.</w:t>
      </w:r>
      <w:r w:rsidR="0055766C" w:rsidRPr="00B42A6C">
        <w:rPr>
          <w:noProof/>
          <w:lang w:val="en-GB"/>
        </w:rPr>
        <w:t xml:space="preserve"> 2008; De Ornellas, Milner-Gulland &amp; Nicholson 2011)</w:t>
      </w:r>
      <w:r w:rsidR="00F01773" w:rsidRPr="00141359">
        <w:rPr>
          <w:lang w:val="en-GB"/>
        </w:rPr>
        <w:fldChar w:fldCharType="end"/>
      </w:r>
      <w:r w:rsidR="0055766C">
        <w:t xml:space="preserve">, they tend to use snapshots in time or focus on data weaknesses rather than on the actual use of those datasets over long time periods. </w:t>
      </w:r>
      <w:r w:rsidR="0055766C" w:rsidRPr="00141359">
        <w:rPr>
          <w:lang w:val="en-GB"/>
        </w:rPr>
        <w:t>Doing this allows authors to cover a range of data collection scenarios in order to generalize across many situations that might be encountered.</w:t>
      </w:r>
      <w:r w:rsidR="0055766C">
        <w:rPr>
          <w:lang w:val="en-GB"/>
        </w:rPr>
        <w:t xml:space="preserve"> </w:t>
      </w:r>
      <w:r w:rsidR="00717332">
        <w:rPr>
          <w:lang w:val="en-GB"/>
        </w:rPr>
        <w:t>Equally, h</w:t>
      </w:r>
      <w:r w:rsidR="0055766C">
        <w:rPr>
          <w:lang w:val="en-GB"/>
        </w:rPr>
        <w:t xml:space="preserve">owever, </w:t>
      </w:r>
      <w:r w:rsidR="009A0399">
        <w:rPr>
          <w:lang w:val="en-GB"/>
        </w:rPr>
        <w:t>an argument can be made for the analysis of longer-term datasets that maintain the autocorrelated structure of the data over time and reflect how datasets would be used in practice.</w:t>
      </w:r>
    </w:p>
    <w:p w:rsidR="00354615" w:rsidRDefault="00354615" w:rsidP="000C6844">
      <w:pPr>
        <w:rPr>
          <w:lang w:val="en-GB"/>
        </w:rPr>
      </w:pPr>
      <w:r>
        <w:rPr>
          <w:lang w:val="en-GB"/>
        </w:rPr>
        <w:tab/>
        <w:t xml:space="preserve">Another aspect of the changing world is the integration of conservation and development. This change to both activities has </w:t>
      </w:r>
      <w:r w:rsidR="00307772">
        <w:rPr>
          <w:lang w:val="en-GB"/>
        </w:rPr>
        <w:t>some</w:t>
      </w:r>
      <w:r>
        <w:rPr>
          <w:lang w:val="en-GB"/>
        </w:rPr>
        <w:t xml:space="preserve"> advantages. Development will continue in places of high conservation value, so it is in the interest of conservation stakeholders to work with developers. Also, since conservation is partially anthropocentric, it makes sense to integrate land use decisions to incorporate multiple competing objectives, since only by simultaneous planning can tradeoffs be minimized</w:t>
      </w:r>
      <w:r w:rsidR="002C43B7">
        <w:rPr>
          <w:lang w:val="en-GB"/>
        </w:rPr>
        <w:t xml:space="preserve"> </w:t>
      </w:r>
      <w:r w:rsidR="00F01773">
        <w:rPr>
          <w:lang w:val="en-GB"/>
        </w:rPr>
        <w:fldChar w:fldCharType="begin" w:fldLock="1"/>
      </w:r>
      <w:r w:rsidR="00837198">
        <w:rPr>
          <w:lang w:val="en-GB"/>
        </w:rPr>
        <w:instrText>ADDIN CSL_CITATION { "citationItems" : [ { "id" : "ITEM-1", "itemData" : { "DOI" : "10.1073/pnas.0707823105", "abstract" : "Global efforts to conserve biodiversity have the potential to deliver economic benefits to people (i.e., \u201cecosystem services\u201d). However, regions for which conservation benefits both biodiversity and ecosystem services cannot be identified unless ecosystem services can be quantified and valued and their areas of production mapped. Here we review the theory, data, and analyses needed to produce such maps and find that data availability allows us to quantify imperfect global proxies for only four ecosystem services. Using this incomplete set as an illustration, we compare ecosystem service maps with the global distributions of conventional targets for biodiversity conservation. Our preliminary results show that regions selected to maximize biodiversity provide no more ecosystem services than regions chosen randomly. Furthermore, spatial concordance among different services, and between ecosystem services and established conservation priorities, varies widely. Despite this lack of general concordance, \u201cwin\u2013win\u201d areas\u2014regions important for both ecosystem services and biodiversity\u2014can be usefully identified, both among ecoregions and at finer scales within them. An ambitious interdisciplinary research effort is needed to move beyond these preliminary and illustrative analyses to fully assess synergies and trade-offs in conserving biodiversity and ecosystem services. ", "author" : [ { "dropping-particle" : "", "family" : "Naidoo", "given" : "R", "non-dropping-particle" : "", "parse-names" : false, "suffix" : "" }, { "dropping-particle" : "", "family" : "Balmford", "given" : "A", "non-dropping-particle" : "", "parse-names" : false, "suffix" : "" }, { "dropping-particle" : "", "family" : "Costanza", "given" : "R", "non-dropping-particle" : "", "parse-names" : false, "suffix" : "" }, { "dropping-particle" : "", "family" : "Fisher", "given" : "B", "non-dropping-particle" : "", "parse-names" : false, "suffix" : "" }, { "dropping-particle" : "", "family" : "Green", "given" : "R E", "non-dropping-particle" : "", "parse-names" : false, "suffix" : "" }, { "dropping-particle" : "", "family" : "Lehner", "given" : "B", "non-dropping-particle" : "", "parse-names" : false, "suffix" : "" }, { "dropping-particle" : "", "family" : "Malcolm", "given" : "T R", "non-dropping-particle" : "", "parse-names" : false, "suffix" : "" }, { "dropping-particle" : "", "family" : "Ricketts", "given" : "T H", "non-dropping-particle" : "", "parse-names" : false, "suffix" : "" } ], "container-title" : "Proceedings of the National Academy of Sciences ", "id" : "ITEM-1", "issue" : "28 ", "issued" : { "date-parts" : [ [ "2008", "7", "15" ] ] }, "note" : "10.1073/pnas.0707823105", "page" : "9495-9500", "title" : "Global mapping of ecosystem services and conservation priorities", "type" : "article-journal", "volume" : "105 " }, "uris" : [ "http://www.mendeley.com/documents/?uuid=6d09f606-5719-44c8-add6-8466c922c14d" ] } ], "mendeley" : { "formattedCitation" : "(Naidoo &lt;i&gt;et al.&lt;/i&gt; 2008)", "plainTextFormattedCitation" : "(Naidoo et al. 2008)", "previouslyFormattedCitation" : "(Naidoo &lt;i&gt;et al.&lt;/i&gt; 2008)" }, "properties" : { "noteIndex" : 0 }, "schema" : "https://github.com/citation-style-language/schema/raw/master/csl-citation.json" }</w:instrText>
      </w:r>
      <w:r w:rsidR="00F01773">
        <w:rPr>
          <w:lang w:val="en-GB"/>
        </w:rPr>
        <w:fldChar w:fldCharType="separate"/>
      </w:r>
      <w:r w:rsidR="002C43B7" w:rsidRPr="002C43B7">
        <w:rPr>
          <w:noProof/>
          <w:lang w:val="en-GB"/>
        </w:rPr>
        <w:t xml:space="preserve">(Naidoo </w:t>
      </w:r>
      <w:r w:rsidR="002C43B7" w:rsidRPr="002C43B7">
        <w:rPr>
          <w:i/>
          <w:noProof/>
          <w:lang w:val="en-GB"/>
        </w:rPr>
        <w:t>et al.</w:t>
      </w:r>
      <w:r w:rsidR="002C43B7" w:rsidRPr="002C43B7">
        <w:rPr>
          <w:noProof/>
          <w:lang w:val="en-GB"/>
        </w:rPr>
        <w:t xml:space="preserve"> 2008)</w:t>
      </w:r>
      <w:r w:rsidR="00F01773">
        <w:rPr>
          <w:lang w:val="en-GB"/>
        </w:rPr>
        <w:fldChar w:fldCharType="end"/>
      </w:r>
      <w:r>
        <w:rPr>
          <w:lang w:val="en-GB"/>
        </w:rPr>
        <w:t>.</w:t>
      </w:r>
    </w:p>
    <w:p w:rsidR="00354615" w:rsidRDefault="00354615" w:rsidP="000C6844">
      <w:r>
        <w:rPr>
          <w:lang w:val="en-GB"/>
        </w:rPr>
        <w:tab/>
        <w:t xml:space="preserve">One especially noteworthy example of </w:t>
      </w:r>
      <w:r w:rsidR="00D04B38">
        <w:rPr>
          <w:lang w:val="en-GB"/>
        </w:rPr>
        <w:t xml:space="preserve">a context that can benefit from </w:t>
      </w:r>
      <w:r>
        <w:rPr>
          <w:lang w:val="en-GB"/>
        </w:rPr>
        <w:t xml:space="preserve">the integration of conservation and development </w:t>
      </w:r>
      <w:r w:rsidR="00D04B38">
        <w:rPr>
          <w:lang w:val="en-GB"/>
        </w:rPr>
        <w:t>is shale gas in Appalachia.</w:t>
      </w:r>
      <w:r>
        <w:rPr>
          <w:lang w:val="en-GB"/>
        </w:rPr>
        <w:t xml:space="preserve"> </w:t>
      </w:r>
      <w:r w:rsidR="00FD307A">
        <w:rPr>
          <w:lang w:val="en-GB"/>
        </w:rPr>
        <w:t>Shale gas development has been an increasing source of environmental and human health concerns in recent years.</w:t>
      </w:r>
      <w:r w:rsidR="00FD307A" w:rsidRPr="00FD307A">
        <w:t xml:space="preserve"> </w:t>
      </w:r>
      <w:r w:rsidR="00FD307A">
        <w:t xml:space="preserve">In the United States, shale gas production has increased steadily over the past decades and now makes up ~40% of </w:t>
      </w:r>
      <w:r w:rsidR="0042099D">
        <w:t>gas</w:t>
      </w:r>
      <w:r w:rsidR="00FD307A">
        <w:t xml:space="preserve"> production </w:t>
      </w:r>
      <w:r w:rsidR="00F01773">
        <w:fldChar w:fldCharType="begin" w:fldLock="1"/>
      </w:r>
      <w:r w:rsidR="00FD307A">
        <w:instrText>ADDIN CSL_CITATION { "citationItems" : [ { "id" : "ITEM-1", "itemData" : { "id" : "ITEM-1", "issued" : { "date-parts" : [ [ "2014" ] ] }, "publisher-place" : "Washington, DC", "title" : "Annual Energy Outlook 2014", "type" : "report" }, "uris" : [ "http://www.mendeley.com/documents/?uuid=1e2a2d78-613d-43f4-ab66-d8f892b2a40c" ] } ], "mendeley" : { "formattedCitation" : "(&lt;i&gt;Annual Energy Outlook 2014&lt;/i&gt; 2014)", "plainTextFormattedCitation" : "(Annual Energy Outlook 2014 2014)", "previouslyFormattedCitation" : "(&lt;i&gt;Annual Energy Outlook 2014&lt;/i&gt; 2014)" }, "properties" : { "noteIndex" : 0 }, "schema" : "https://github.com/citation-style-language/schema/raw/master/csl-citation.json" }</w:instrText>
      </w:r>
      <w:r w:rsidR="00F01773">
        <w:fldChar w:fldCharType="separate"/>
      </w:r>
      <w:r w:rsidR="00FD307A" w:rsidRPr="00B32474">
        <w:rPr>
          <w:noProof/>
        </w:rPr>
        <w:t>(</w:t>
      </w:r>
      <w:r w:rsidR="00FD307A" w:rsidRPr="00B32474">
        <w:rPr>
          <w:i/>
          <w:noProof/>
        </w:rPr>
        <w:t>Annual Energy Outlook 2014</w:t>
      </w:r>
      <w:r w:rsidR="00FD307A" w:rsidRPr="00B32474">
        <w:rPr>
          <w:noProof/>
        </w:rPr>
        <w:t xml:space="preserve"> 2014)</w:t>
      </w:r>
      <w:r w:rsidR="00F01773">
        <w:fldChar w:fldCharType="end"/>
      </w:r>
      <w:r w:rsidR="00FD307A">
        <w:t xml:space="preserve">. Concerns have been raised about the environmental </w:t>
      </w:r>
      <w:r w:rsidR="00F01773">
        <w:fldChar w:fldCharType="begin" w:fldLock="1"/>
      </w:r>
      <w:r w:rsidR="00FD307A">
        <w:instrText>ADDIN CSL_CITATION { "citationItems" : [ { "id" : "ITEM-1", "itemData" : { "DOI" : "10.1002/ece3.884", "ISSN" : "2045-7758", "abstract" : "Habitat degradation through anthropogenic development is a key driver of biodiversity loss. One way to compensate losses is \u201cbiodiversity offsetting\u201d (wherein biodiversity impacted is \u201creplaced\u201d through restoration elsewhere). A challenge in implementing offsets, which has received scant attention in the literature, is the accurate determination of residual biodiversity losses. We explore this challenge for offsetting gas extraction in the Ustyurt Plateau, Uzbekistan. Our goal was to determine the landscape extent of habitat impacts, particularly how the footprint of \u201clinear\u201d infrastructure (i.e. roads, pipelines), often disregarded in compensation calculations, compares with \u201chub\u201d infrastructure (i.e. extraction facilities). We measured vegetation cover and plant species richness using the line-intercept method, along transects running from infrastructure/control sites outward for 500\u00a0m, accounting for wind direction to identify dust deposition impacts. Findings from 24 transects were extrapolated to the broader plateau by mapping total landscape infrastructure network using GPS data and satellite imagery. Vegetation cover and species richness were significantly lower at development sites than controls. These differences disappeared within 25\u00a0m of the edge of the area physically occupied by infrastructure. The current habitat footprint of gas infrastructure is 220\u00a0\u00b1\u00a019\u00a0km2 across the Ustyurt (total ~ 100,000\u00a0km2), 37\u00a0\u00b1\u00a06% of which is linear infrastructure. Vegetation impacts diminish rapidly with increasing distance from infrastructure, and localized dust deposition does not conspicuously extend the disturbance footprint. Habitat losses from gas extraction infrastructure cover 0.2% of the study area, but this reflects directly eliminated vegetation only. Impacts upon fauna pose a more difficult determination, as these require accounting for behavioral and demographic responses to disturbance by elusive mammals, including threatened species. This study demonstrates that impacts of linear infrastructure in regions such as the Ustyurt should be accounted for not just with respect to development sites but also associated transportation and delivery routes.", "author" : [ { "dropping-particle" : "", "family" : "Jones", "given" : "Isabel L", "non-dropping-particle" : "", "parse-names" : false, "suffix" : "" }, { "dropping-particle" : "", "family" : "Bull", "given" : "Joseph W", "non-dropping-particle" : "", "parse-names" : false, "suffix" : "" }, { "dropping-particle" : "", "family" : "Milner-Gulland", "given" : "Eleanor J", "non-dropping-particle" : "", "parse-names" : false, "suffix" : "" }, { "dropping-particle" : "V", "family" : "Esipov", "given" : "Alexander", "non-dropping-particle" : "", "parse-names" : false, "suffix" : "" }, { "dropping-particle" : "", "family" : "Suttle", "given" : "Kenwyn B", "non-dropping-particle" : "", "parse-names" : false, "suffix" : "" } ], "container-title" : "Ecology and Evolution", "id" : "ITEM-1", "issue" : "1", "issued" : { "date-parts" : [ [ "2014" ] ] }, "page" : "79-90", "title" : "Quantifying habitat impacts of natural gas infrastructure to facilitate biodiversity offsetting", "type" : "article-journal", "volume" : "4" }, "uris" : [ "http://www.mendeley.com/documents/?uuid=6f3376e7-5f03-4bb8-9b46-2daad2474849" ] }, { "id" : "ITEM-2", "itemData" : { "DOI" : "10.1111/nyas.12146", "ISSN" : "1749-6632", "abstract" : "High-volume horizontal hydraulic fracturing (HVHHF) for mining natural gas from the Marcellus and Utica shales is widespread in Pennsylvania and potentially throughout approximately 280,000 km2 of the Appalachian Basin. Physical and chemical impacts of HVHHF include pollution by toxic synthetic chemicals, salt, and radionuclides, landscape fragmentation by wellpads, pipelines, and roads, alteration of stream and wetland hydrology, and increased truck traffic. Despite concerns about human health, there has been little study of the impacts on habitats and biota. Taxa and guilds potentially sensitive to HVHHF impacts include freshwater organisms (e.g., brook trout, freshwater mussels), fragmentation-sensitive biota (e.g., forest-interior breeding birds, forest orchids), and species with restricted geographic ranges (e.g., Wehrle's salamander, tongue-tied minnow). Impacts are potentially serious due to the rapid development of HVHHF over a large region.", "author" : [ { "dropping-particle" : "", "family" : "Kiviat", "given" : "Erik", "non-dropping-particle" : "", "parse-names" : false, "suffix" : "" } ], "container-title" : "Annals of the New York Academy of Sciences", "id" : "ITEM-2", "issue" : "1", "issued" : { "date-parts" : [ [ "2013" ] ] }, "page" : "1-14", "title" : "Risks to biodiversity from hydraulic fracturing for natural gas in the Marcellus and Utica shales", "type" : "article-journal", "volume" : "1286" }, "uris" : [ "http://www.mendeley.com/documents/?uuid=de072248-90b3-4eb0-950e-36ff3daf88dc" ] }, { "id" : "ITEM-3", "itemData" : { "ISBN" : "1466046612000", "ISSN" : "1466-0474", "author" : [ { "dropping-particle" : "", "family" : "Gillen", "given" : "Jennifer L.", "non-dropping-particle" : "", "parse-names" : false, "suffix" : "" }, { "dropping-particle" : "", "family" : "Kiviat", "given" : "Erik", "non-dropping-particle" : "", "parse-names" : false, "suffix" : "" } ], "container-title" : "Environmental Practice", "id" : "ITEM-3", "issue" : "04", "issued" : { "date-parts" : [ [ "2012" ] ] }, "language" : "English", "note" : "From Duplicate 2 ( ENVIRONMENTAL REVIEWS AND CASE STUDIES: Hydraulic Fracturing Threats to Species with Restricted Geographic Ranges in the Eastern United States - Gillen, Jennifer L.; Kiviat, Erik )", "page" : "320-331", "title" : "Hydraulic Fracturing Threats to Species with Restricted Geographic Ranges in the Eastern United States", "type" : "article-journal", "volume" : "14" }, "uris" : [ "http://www.mendeley.com/documents/?uuid=874a42d1-98bc-4ac3-a0a9-fab25e078d12" ] }, { "id" : "ITEM-4", "itemData" : { "DOI" : "10.1073/pnas.1213871110", "ISSN" : "1091-6490", "PMID" : "23479604", "abstract" : "Concern has been raised in the scientific literature about the environmental implications of extracting natural gas from deep shale formations, and published studies suggest that shale gas development may affect local groundwater quality. The potential for surface water quality degradation has been discussed in prior work, although no empirical analysis of this issue has been published. The potential for large-scale surface water quality degradation has affected regulatory approaches to shale gas development in some US states, despite the dearth of evidence. This paper conducts a large-scale examination of the extent to which shale gas development activities affect surface water quality. Focusing on the Marcellus Shale in Pennsylvania, we estimate the effect of shale gas wells and the release of treated shale gas waste by permitted treatment facilities on observed downstream concentrations of chloride (Cl-) and total suspended solids (TSS), controlling for other factors. Results suggest that (i) the treatment of shale gas waste by treatment plants in a watershed raises downstream Cl- concentrations but not TSS concentrations, and (ii) the presence of shale gas wells in a watershed raises downstream TSS concentrations but not Cl- concentrations. These results can inform future voluntary measures taken by shale gas operators and policy approaches taken by regulators to protect surface water quality as the scale of this economically important activity increases.", "author" : [ { "dropping-particle" : "", "family" : "Olmstead", "given" : "Sheila M", "non-dropping-particle" : "", "parse-names" : false, "suffix" : "" }, { "dropping-particle" : "", "family" : "Muehlenbachs", "given" : "Lucija A", "non-dropping-particle" : "", "parse-names" : false, "suffix" : "" }, { "dropping-particle" : "", "family" : "Shih", "given" : "Jhih-Shyang", "non-dropping-particle" : "", "parse-names" : false, "suffix" : "" }, { "dropping-particle" : "", "family" : "Chu", "given" : "Ziyan", "non-dropping-particle" : "", "parse-names" : false, "suffix" : "" }, { "dropping-particle" : "", "family" : "Krupnick", "given" : "Alan J", "non-dropping-particle" : "", "parse-names" : false, "suffix" : "" } ], "container-title" : "Proceedings of the National Academy of Sciences of the United States of America", "id" : "ITEM-4", "issue" : "13", "issued" : { "date-parts" : [ [ "2013", "3", "11" ] ] }, "note" : "changes in surface water quality indicators downstream from natural gas effluent processing plants", "page" : "4962-4967", "title" : "Shale gas development impacts on surface water quality in Pennsylvania.", "type" : "article-journal", "volume" : "110" }, "uris" : [ "http://www.mendeley.com/documents/?uuid=0c80d11c-a4bb-4381-b8da-a8af8c809bd2" ] } ], "mendeley" : { "formattedCitation" : "(Gillen &amp; Kiviat 2012; Kiviat 2013; Olmstead &lt;i&gt;et al.&lt;/i&gt; 2013; Jones &lt;i&gt;et al.&lt;/i&gt; 2014)", "plainTextFormattedCitation" : "(Gillen &amp; Kiviat 2012; Kiviat 2013; Olmstead et al. 2013; Jones et al. 2014)", "previouslyFormattedCitation" : "(Gillen &amp; Kiviat 2012; Kiviat 2013; Olmstead &lt;i&gt;et al.&lt;/i&gt; 2013; Jones &lt;i&gt;et al.&lt;/i&gt; 2014)" }, "properties" : { "noteIndex" : 0 }, "schema" : "https://github.com/citation-style-language/schema/raw/master/csl-citation.json" }</w:instrText>
      </w:r>
      <w:r w:rsidR="00F01773">
        <w:fldChar w:fldCharType="separate"/>
      </w:r>
      <w:r w:rsidR="00FD307A" w:rsidRPr="00B32474">
        <w:rPr>
          <w:noProof/>
        </w:rPr>
        <w:t xml:space="preserve">(Gillen &amp; Kiviat 2012; Kiviat 2013; Olmstead </w:t>
      </w:r>
      <w:r w:rsidR="00FD307A" w:rsidRPr="00B32474">
        <w:rPr>
          <w:i/>
          <w:noProof/>
        </w:rPr>
        <w:t>et al.</w:t>
      </w:r>
      <w:r w:rsidR="00FD307A" w:rsidRPr="00B32474">
        <w:rPr>
          <w:noProof/>
        </w:rPr>
        <w:t xml:space="preserve"> 2013; Jones </w:t>
      </w:r>
      <w:r w:rsidR="00FD307A" w:rsidRPr="00B32474">
        <w:rPr>
          <w:i/>
          <w:noProof/>
        </w:rPr>
        <w:t>et al.</w:t>
      </w:r>
      <w:r w:rsidR="00FD307A" w:rsidRPr="00B32474">
        <w:rPr>
          <w:noProof/>
        </w:rPr>
        <w:t xml:space="preserve"> 2014)</w:t>
      </w:r>
      <w:r w:rsidR="00F01773">
        <w:fldChar w:fldCharType="end"/>
      </w:r>
      <w:r w:rsidR="00FD307A">
        <w:t xml:space="preserve"> and human health </w:t>
      </w:r>
      <w:r w:rsidR="00F01773">
        <w:fldChar w:fldCharType="begin" w:fldLock="1"/>
      </w:r>
      <w:r w:rsidR="00FD307A">
        <w:instrText>ADDIN CSL_CITATION { "citationItems" : [ { "id" : "ITEM-1", "itemData" : { "ISBN" : "1466046612000", "author" : [ { "dropping-particle" : "", "family" : "Perry", "given" : "Simona L", "non-dropping-particle" : "", "parse-names" : false, "suffix" : "" } ], "container-title" : "Environmental Practice", "id" : "ITEM-1", "issue" : "4", "issued" : { "date-parts" : [ [ "2012" ] ] }, "page" : "352-365", "title" : "Addressing the Societal Costs of Unconventional Oil and Gas Exploration and Production : Cumulative Risks and Uncertainties of Hydrofracking", "type" : "article-journal", "volume" : "14" }, "uris" : [ "http://www.mendeley.com/documents/?uuid=dcae5b96-5be5-4ede-afed-8ac6d2995568" ] } ], "mendeley" : { "formattedCitation" : "(Perry 2012)", "plainTextFormattedCitation" : "(Perry 2012)", "previouslyFormattedCitation" : "(Perry 2012)" }, "properties" : { "noteIndex" : 0 }, "schema" : "https://github.com/citation-style-language/schema/raw/master/csl-citation.json" }</w:instrText>
      </w:r>
      <w:r w:rsidR="00F01773">
        <w:fldChar w:fldCharType="separate"/>
      </w:r>
      <w:r w:rsidR="00FD307A" w:rsidRPr="00B32474">
        <w:rPr>
          <w:noProof/>
        </w:rPr>
        <w:t>(Perry 2012)</w:t>
      </w:r>
      <w:r w:rsidR="00F01773">
        <w:fldChar w:fldCharType="end"/>
      </w:r>
      <w:r w:rsidR="00FD307A">
        <w:t xml:space="preserve"> effects of shale energy production, leading to careful consideration of how to protect society and nature from those effects </w:t>
      </w:r>
      <w:r w:rsidR="00F01773">
        <w:fldChar w:fldCharType="begin" w:fldLock="1"/>
      </w:r>
      <w:r w:rsidR="00FD307A">
        <w:instrText>ADDIN CSL_CITATION { "citationItems" : [ { "id" : "ITEM-1", "itemData" : { "DOI" : "10.1038/477271a", "author" : [ { "dropping-particle" : "", "family" : "Howarth", "given" : "Robert W.", "non-dropping-particle" : "", "parse-names" : false, "suffix" : "" }, { "dropping-particle" : "", "family" : "Ingraffea", "given" : "Anthony", "non-dropping-particle" : "", "parse-names" : false, "suffix" : "" }, { "dropping-particle" : "", "family" : "Engelder", "given" : "Terry", "non-dropping-particle" : "", "parse-names" : false, "suffix" : "" } ], "container-title" : "Nature", "id" : "ITEM-1", "issue" : "7364", "issued" : { "date-parts" : [ [ "2011" ] ] }, "page" : "271-275", "title" : "Natural gas: Should fracking stop?", "type" : "article-journal", "volume" : "477" }, "uris" : [ "http://www.mendeley.com/documents/?uuid=f4d23f62-f79f-4b0a-b78d-09153c51f6ad" ] }, { "id" : "ITEM-2", "itemData" : { "DOI" : "10.1016/j.scitotenv.2015.01.004", "ISSN" : "1879-1026", "PMID" : "25613768", "abstract" : "The United States shale gas boom has precipitated global interest in the development of unconventional oil and gas resources. Recently, government ministers in the United Kingdom started granting licenses that will enable companies to begin initial exploration for shale gas. Meanwhile, concern is increasing among the scientific community about the potential impacts of shale gas and other types of unconventional natural gas development (UGD) on human health and the environment. Although significant data gaps remain, there has been a surge in the number of articles appearing in the scientific literature, nearly three-quarters of which has been published since the beginning of 2013. Important lessons can be drawn from the UGD experience in the United States. Here we explore these considerations and argue that shale gas development policies in the UK and elsewhere should be informed by empirical evidence generated on environmental, public health, and social risks. Additionally, policy decisions should take into account the measured effectiveness of harm reduction strategies as opposed to hypothetical scenarios and purported best practices that lack empirical support.", "author" : [ { "dropping-particle" : "", "family" : "Hays", "given" : "Jake", "non-dropping-particle" : "", "parse-names" : false, "suffix" : "" }, { "dropping-particle" : "", "family" : "Finkel", "given" : "Madelon L", "non-dropping-particle" : "", "parse-names" : false, "suffix" : "" }, { "dropping-particle" : "", "family" : "Depledge", "given" : "Michael", "non-dropping-particle" : "", "parse-names" : false, "suffix" : "" }, { "dropping-particle" : "", "family" : "Law", "given" : "Adam", "non-dropping-particle" : "", "parse-names" : false, "suffix" : "" }, { "dropping-particle" : "", "family" : "Shonkoff", "given" : "Seth B C", "non-dropping-particle" : "", "parse-names" : false, "suffix" : "" } ], "container-title" : "The Science of the total environment", "id" : "ITEM-2", "issued" : { "date-parts" : [ [ "2015", "1", "19" ] ] }, "note" : "review of environmental, social, human health, and economic issues from shale gas development, mostly in the US, but with implications for the U.K.", "page" : "36-42", "title" : "Considerations for the development of shale gas in the United Kingdom.", "type" : "article-journal", "volume" : "512-513C" }, "uris" : [ "http://www.mendeley.com/documents/?uuid=ed5d6cb7-9251-4e18-8bea-8711de4eb4b0" ] } ], "mendeley" : { "formattedCitation" : "(Howarth, Ingraffea &amp; Engelder 2011; Hays &lt;i&gt;et al.&lt;/i&gt; 2015)", "plainTextFormattedCitation" : "(Howarth, Ingraffea &amp; Engelder 2011; Hays et al. 2015)", "previouslyFormattedCitation" : "(Howarth, Ingraffea &amp; Engelder 2011; Hays &lt;i&gt;et al.&lt;/i&gt; 2015)" }, "properties" : { "noteIndex" : 0 }, "schema" : "https://github.com/citation-style-language/schema/raw/master/csl-citation.json" }</w:instrText>
      </w:r>
      <w:r w:rsidR="00F01773">
        <w:fldChar w:fldCharType="separate"/>
      </w:r>
      <w:r w:rsidR="00FD307A" w:rsidRPr="00B32474">
        <w:rPr>
          <w:noProof/>
        </w:rPr>
        <w:t xml:space="preserve">(Howarth, Ingraffea &amp; Engelder 2011; Hays </w:t>
      </w:r>
      <w:r w:rsidR="00FD307A" w:rsidRPr="00B32474">
        <w:rPr>
          <w:i/>
          <w:noProof/>
        </w:rPr>
        <w:t>et al.</w:t>
      </w:r>
      <w:r w:rsidR="00FD307A" w:rsidRPr="00B32474">
        <w:rPr>
          <w:noProof/>
        </w:rPr>
        <w:t xml:space="preserve"> 2015)</w:t>
      </w:r>
      <w:r w:rsidR="00F01773">
        <w:fldChar w:fldCharType="end"/>
      </w:r>
      <w:r w:rsidR="00FD307A">
        <w:t xml:space="preserve"> and at times outright bans on development.</w:t>
      </w:r>
    </w:p>
    <w:p w:rsidR="009663A3" w:rsidRDefault="00FD307A">
      <w:r>
        <w:tab/>
        <w:t xml:space="preserve">Terrestrial impacts resulting from the spatial locations of gas surface infrastructure are an understudied and important issue. Impacts </w:t>
      </w:r>
      <w:r>
        <w:lastRenderedPageBreak/>
        <w:t xml:space="preserve">occur at all stages of the development process, from pre-production through post-production </w:t>
      </w:r>
      <w:r w:rsidR="00F01773">
        <w:fldChar w:fldCharType="begin" w:fldLock="1"/>
      </w:r>
      <w:r>
        <w:instrText>ADDIN CSL_CITATION { "citationItems" : [ { "id" : "ITEM-1", "itemData" : { "DOI" : "10.1002/etc.2619", "ISSN" : "1552-8618", "abstract" : "\nUse of high-volume hydraulic fracturing (HVHF) in unconventional reservoirs to recover previously inaccessible oil and natural gas is rapidly expanding in North America and elsewhere. Although hydraulic fracturing has been practiced for decades, the advent of more technologically advanced horizontal drilling coupled with improved slickwater chemical formulations has allowed extensive natural gas and oil deposits to be recovered from shale formations. Millions of liters of local groundwaters are utilized to generate extensive fracture networks within these low-permeability reservoirs, allowing extraction of the trapped hydrocarbons. Although the technology is relatively standardized, the geographies and related policies and regulations guiding these operations vary markedly. Some ecosystems are more at risk from these operations than others because of either their sensitivities or the manner in which the HVHF operations are conducted. Generally, the closer geographical proximity of the susceptible ecosystem to a drilling site or a location of related industrial processes, the higher the risk of that ecosystem being impacted by the operation. The associated construction of roads, power grids, pipelines, well pads, and water-extraction systems along with increased truck traffic are common to virtually all HVHF operations. These operations may result in increased erosion and sedimentation, increased risk to aquatic ecosystems from chemical spills or runoff, habitat fragmentation, loss of stream riparian zones, altered biogeochemical cycling, and reduction of available surface and hyporheic water volumes because of withdrawal-induced lowering of local groundwater levels. The potential risks to surface waters from HVHF operations are similar in many ways to those resulting from agriculture, silviculture, mining, and urban development. Indeed, groundwater extraction associated with agriculture is perhaps a larger concern in the long term in some regions. Understanding the ecological impacts of these anthropogenic activities provides useful information for evaluations of potential HVHF hazards. Geographic information system\u2013based modeling combined with strategic site monitoring has provided insights into the relative importance of these and other ecoregion and land-use factors in discerning potential HVHF impacts. Recent findings suggest that proper siting and operational controls along with strategic monitoring can reduce the potential for risks to aquatic ec\u2026", "author" : [ { "dropping-particle" : "", "family" : "Burton", "given" : "G Allen", "non-dropping-particle" : "", "parse-names" : false, "suffix" : "" }, { "dropping-particle" : "", "family" : "Basu", "given" : "Niladri", "non-dropping-particle" : "", "parse-names" : false, "suffix" : "" }, { "dropping-particle" : "", "family" : "Ellis", "given" : "Brian R", "non-dropping-particle" : "", "parse-names" : false, "suffix" : "" }, { "dropping-particle" : "", "family" : "Kapo", "given" : "Katherine E", "non-dropping-particle" : "", "parse-names" : false, "suffix" : "" }, { "dropping-particle" : "", "family" : "Entrekin", "given" : "Sally", "non-dropping-particle" : "", "parse-names" : false, "suffix" : "" }, { "dropping-particle" : "", "family" : "Nadelhoffer", "given" : "Knute", "non-dropping-particle" : "", "parse-names" : false, "suffix" : "" } ], "container-title" : "Environmental Toxicology and Chemistry", "id" : "ITEM-1", "issue" : "8", "issued" : { "date-parts" : [ [ "2014" ] ] }, "page" : "1679-1689", "title" : "Hydraulic \u201cFracking\u201d: Are surface water impacts an ecological concern?", "type" : "article-journal", "volume" : "33" }, "uris" : [ "http://www.mendeley.com/documents/?uuid=809314bc-0bc3-4a06-a204-f2b9b60a2c0c" ] } ], "mendeley" : { "formattedCitation" : "(Burton &lt;i&gt;et al.&lt;/i&gt; 2014)", "plainTextFormattedCitation" : "(Burton et al. 2014)", "previouslyFormattedCitation" : "(Burton &lt;i&gt;et al.&lt;/i&gt; 2014)" }, "properties" : { "noteIndex" : 0 }, "schema" : "https://github.com/citation-style-language/schema/raw/master/csl-citation.json" }</w:instrText>
      </w:r>
      <w:r w:rsidR="00F01773">
        <w:fldChar w:fldCharType="separate"/>
      </w:r>
      <w:r w:rsidRPr="00B32474">
        <w:rPr>
          <w:noProof/>
        </w:rPr>
        <w:t xml:space="preserve">(Burton </w:t>
      </w:r>
      <w:r w:rsidRPr="00B32474">
        <w:rPr>
          <w:i/>
          <w:noProof/>
        </w:rPr>
        <w:t>et al.</w:t>
      </w:r>
      <w:r w:rsidRPr="00B32474">
        <w:rPr>
          <w:noProof/>
        </w:rPr>
        <w:t xml:space="preserve"> 2014)</w:t>
      </w:r>
      <w:r w:rsidR="00F01773">
        <w:fldChar w:fldCharType="end"/>
      </w:r>
      <w:r>
        <w:t>. Here I focus exclusively on pre-production activities and specifically the construction of well pads, access roads, and gathering pipelines, the impacts of which may play out at different rates and spatial extents. The magnitudes and types of impacts change from stage to stage, but it is clear that site construction incurs the most direct and thus quantifiable land use changes. Below, I describe some of the impacts resulting from shale gas surface infrastructure.</w:t>
      </w:r>
    </w:p>
    <w:p w:rsidR="00731E17" w:rsidRDefault="00731E17">
      <w:r>
        <w:tab/>
      </w:r>
      <w:r w:rsidR="00D432A5">
        <w:t>In much of the dissertation, I examine how development for shale gas, a new kind of threat to species and habitats, can be reconfigured to reduce its potential environmental impacts</w:t>
      </w:r>
      <w:r w:rsidR="00C6690C">
        <w:t xml:space="preserve"> while still allowing development to proceed. In doing so</w:t>
      </w:r>
      <w:r w:rsidR="00D432A5">
        <w:t xml:space="preserve">, my research builds on a </w:t>
      </w:r>
      <w:r w:rsidR="00C6690C">
        <w:t>rich</w:t>
      </w:r>
      <w:r w:rsidR="00D432A5">
        <w:t xml:space="preserve"> history of conservation b</w:t>
      </w:r>
      <w:r w:rsidR="00B0673B">
        <w:t>i</w:t>
      </w:r>
      <w:r w:rsidR="00D432A5">
        <w:t xml:space="preserve">ology that focuses on mitigating and moderating threats from particular industries. </w:t>
      </w:r>
      <w:r w:rsidR="00C6690C">
        <w:t xml:space="preserve">For example, my research is thematically similar to past work on bycatch reduction measures in fisheries </w:t>
      </w:r>
      <w:r w:rsidR="00F01773">
        <w:fldChar w:fldCharType="begin" w:fldLock="1"/>
      </w:r>
      <w:r w:rsidR="00C6690C">
        <w:instrText>ADDIN CSL_CITATION { "citationItems" : [ { "id" : "ITEM-1", "itemData" : { "DOI" : "10.1577/1548-8446(1998)023&lt;0008:FBIFM&gt;2.0.CO;2", "ISSN" : "0363-2415", "abstract" : "Abstract A broad-based public consensus has emerged that bycatch should be minimized to levels approaching insignificance. This view, as reflected in U.S. and worldwide legislation and agreements, demonstrates the widely held belief that discarded portions of fishery catches (including economic resources, protected species, and unobserved mortalities of animals not caught) represent an unacceptable waste of natural resources. Bycatches in their various forms can have significant consequences for populations, food webs, and ecosystems. The economic effects of bycatches can influence not only the levels of yields to individual fisheries, but also may have major effects on allocations among competing fisheries. The lack of comprehensive monitoring programs in most areas to assess bycatches and integrate them into population and multispecies models seriously impedes a full understanding of bycatch consequences and the efficacy of measures for their amelioration. Nevertheless, where evidence for significant bycatches exists, a risk-averse and perhaps adaptive management philosophy is clearly warranted. Establishing the benefits and costs associated with bycatch management is a priority as managers attempt to define the practicality of bycatches approaching zero given the institutional, scientific, and industry resources necessary to accomplish the job.", "author" : [ { "dropping-particle" : "", "family" : "Crowder", "given" : "Larry B", "non-dropping-particle" : "", "parse-names" : false, "suffix" : "" }, { "dropping-particle" : "", "family" : "Murawski", "given" : "Steven A", "non-dropping-particle" : "", "parse-names" : false, "suffix" : "" } ], "container-title" : "Fisheries", "id" : "ITEM-1", "issue" : "6", "issued" : { "date-parts" : [ [ "1998", "6", "1" ] ] }, "page" : "8-17", "publisher" : "Taylor &amp; Francis", "title" : "Fisheries Bycatch: Implications for Management", "type" : "article-journal", "volume" : "23" }, "uris" : [ "http://www.mendeley.com/documents/?uuid=80078eb9-3a05-4eac-a8a1-b64529b620c4" ] } ], "mendeley" : { "formattedCitation" : "(Crowder &amp; Murawski 1998)", "plainTextFormattedCitation" : "(Crowder &amp; Murawski 1998)", "previouslyFormattedCitation" : "(Crowder &amp; Murawski 1998)" }, "properties" : { "noteIndex" : 0 }, "schema" : "https://github.com/citation-style-language/schema/raw/master/csl-citation.json" }</w:instrText>
      </w:r>
      <w:r w:rsidR="00F01773">
        <w:fldChar w:fldCharType="separate"/>
      </w:r>
      <w:r w:rsidR="00C6690C" w:rsidRPr="00C6690C">
        <w:rPr>
          <w:noProof/>
        </w:rPr>
        <w:t>(Crowder &amp; Murawski 1998)</w:t>
      </w:r>
      <w:r w:rsidR="00F01773">
        <w:fldChar w:fldCharType="end"/>
      </w:r>
      <w:r w:rsidR="00C6690C">
        <w:t xml:space="preserve">, especially with regards to the protection of loggerhead sea turtle populations </w:t>
      </w:r>
      <w:r w:rsidR="00F01773">
        <w:fldChar w:fldCharType="begin" w:fldLock="1"/>
      </w:r>
      <w:r w:rsidR="00C6690C">
        <w:instrText>ADDIN CSL_CITATION { "citationItems" : [ { "id" : "ITEM-1", "itemData" : { "DOI" : "10.2307/1939225", "ISSN" : "0012-9658", "abstract" : "Management of many species is currently based on an inadequate understanding of their population dynamics. Lack of age?specific demographic information, particularly for long?lived iteroparous species, has impeded development of useful models. We use Lefkovitch stage class matrix model, based on preliminary life table developed by Frazer (1983), to point to interim management measures and to identify those data most critical to refining our knowledge about the population dynamics of threatened loggerhead sea turtles (Caretta caretta). Population projections are used to examine the sensitivity of Frazer's life table to variations in parameter estimates as well as the likely response of the population to various management alternatives. Current management practices appear to be focused on the least responsive life stage, eggs on nesting?beaches. Alternative protection efforts for juvenile loggerheads,such as using turtle excluder devices (TEDs), may be far more effective. See full-text article at JSTOR", "author" : [ { "dropping-particle" : "", "family" : "Crouse", "given" : "Deborah T", "non-dropping-particle" : "", "parse-names" : false, "suffix" : "" }, { "dropping-particle" : "", "family" : "Crowder", "given" : "Larry B", "non-dropping-particle" : "", "parse-names" : false, "suffix" : "" }, { "dropping-particle" : "", "family" : "Caswell", "given" : "Hal", "non-dropping-particle" : "", "parse-names" : false, "suffix" : "" } ], "container-title" : "Ecology", "id" : "ITEM-1", "issue" : "5", "issued" : { "date-parts" : [ [ "1987", "10", "1" ] ] }, "note" : "doi: 10.2307/1939225", "page" : "1412-1423", "publisher" : "Ecological Society of America", "title" : "A Stage-Based Population Model for Loggerhead Sea Turtles and Implications for Conservation", "type" : "article-journal", "volume" : "68" }, "uris" : [ "http://www.mendeley.com/documents/?uuid=a384bef7-4c04-43c9-8554-bb036946949d" ] }, { "id" : "ITEM-2", "itemData" : { "DOI" : "10.2307/1941948", "ISSN" : "1051-0761", "abstract" : "In this paper, we modified and updated a stage?based population model for loggerhead sea turtles (Caretta caretta) and used the model to project potential population?level effects of the use of turtle excluder devices (TEDs) in trawl fisheries of the southeastern US. We reduced the seven?stage model of Crouse et al. (1987) to a five?stage model and performed sensitivity analyses on the matrix. The most sensitive matrix parameters were those dealing with survival while remaining in a stage, rather than growth from one stage to the next or reproductive output. Population growth rate was most sensitive to survival in the large juvenile stage, followed by small juvenile survival. Large juveniles are the most common size class among stranded dead turtles found on beaches; 70?80% of strandings are thought to be related to trawl fisheries. Simulations of our loggerhead model based on estimated effects of TED regulations on stage?specific survivorship suggested that southeastern US loggerhead populations should increase, but rather slowly. If TEDs were required during the shrimping season in offshore areas only (as they were from 1990 to 1992), 70 yr or more would be required for the simulated population to increase by an order of magnitude. Recent estimates of TED effects from South Carolina strandings data suggest a similar recovery rate. Good compliance with regulations requiring TEDs year?round in all waters could allow the population to increase nearly twice as fast as that expected under the \"seasonal offshore\" regulations. We also used a Leslie matrix version of the model to illustrate the expected transient response in the numbers of females expected on nesting beaches (due to shifting age?size structures with TED use). Rather than a monotonic increase, we expect an initial increase in the number of nesting females, followed by a leveling off or slight decline (perhaps 10?15 yr from now), followed by another increase. The magnitude of the projected population increase will depend upon the actual increases in stage?specific survivorship due to TED regulations. New, or compensatory, sources of mortality could slow or reverse this projected recovery. See full-text article at JSTOR", "author" : [ { "dropping-particle" : "", "family" : "Crowder", "given" : "Larry B", "non-dropping-particle" : "", "parse-names" : false, "suffix" : "" }, { "dropping-particle" : "", "family" : "Crouse", "given" : "Deborah T", "non-dropping-particle" : "", "parse-names" : false, "suffix" : "" }, { "dropping-particle" : "", "family" : "Heppell", "given" : "Selina S", "non-dropping-particle" : "", "parse-names" : false, "suffix" : "" }, { "dropping-particle" : "", "family" : "Martin", "given" : "Thomas H", "non-dropping-particle" : "", "parse-names" : false, "suffix" : "" } ], "container-title" : "Ecological Applications", "id" : "ITEM-2", "issue" : "3", "issued" : { "date-parts" : [ [ "1994", "8", "1" ] ] }, "note" : "doi: 10.2307/1941948", "page" : "437-445", "publisher" : "Ecological Society of America", "title" : "Predicting the Impact of Turtle Excluder Devices on Loggerhead Sea Turtle Populations", "type" : "article-journal", "volume" : "4" }, "uris" : [ "http://www.mendeley.com/documents/?uuid=b25e4133-7127-4d2f-95fb-176ed3589c21" ] }, { "id" : "ITEM-3", "itemData" : { "DOI" : "10.1111/j.1461-0248.2004.00573.x", "ISSN" : "1461-0248", "abstract" : "The depletion of fish stocks from global fisheries has been a long-standing concern. More recently, incidental catch of non-target (termed bycatch) vertebrates also has been proposed as a serious conservation issue. Here we present a bycatch assessment for loggerhead and leatherback sea turtles that are incidentally caught by global pelagic longlines. We integrate catch data from over 40 nations and bycatch data from 13 international observer programmes. Despite infrequent rates of encounter, our analyses show that more than 200\u00a0000 loggerheads and 50\u00a0000 leatherbacks were likely taken as pelagic longline bycatch in 2000. Our analyses suggest that thousands of these turtles die each year from longline gear in the Pacific Ocean alone. Given 80\u201395% declines for Pacific loggerhead and leatherback populations over the last 20\u00a0years, this bycatch level is not sustainable. Adopting a large-scale, synthetic approach is critical to accurately characterize the influence of global fisheries bycatch on globally distributed and imperilled pelagic vertebrates.", "author" : [ { "dropping-particle" : "", "family" : "Lewison", "given" : "Rebecca L", "non-dropping-particle" : "", "parse-names" : false, "suffix" : "" }, { "dropping-particle" : "", "family" : "Freeman", "given" : "Sloan A", "non-dropping-particle" : "", "parse-names" : false, "suffix" : "" }, { "dropping-particle" : "", "family" : "Crowder", "given" : "Larry B", "non-dropping-particle" : "", "parse-names" : false, "suffix" : "" } ], "container-title" : "Ecology Letters", "id" : "ITEM-3", "issue" : "3", "issued" : { "date-parts" : [ [ "2004" ] ] }, "page" : "221-231", "publisher" : "Blackwell Publishing Ltd", "title" : "Quantifying the effects of fisheries on threatened species: the impact of pelagic longlines on loggerhead and leatherback sea turtles", "type" : "article-journal", "volume" : "7" }, "uris" : [ "http://www.mendeley.com/documents/?uuid=63196583-fd1a-4807-ac71-7e3222ee98be" ] } ], "mendeley" : { "formattedCitation" : "(Crouse, Crowder &amp; Caswell 1987; Crowder &lt;i&gt;et al.&lt;/i&gt; 1994; Lewison, Freeman &amp; Crowder 2004)", "plainTextFormattedCitation" : "(Crouse, Crowder &amp; Caswell 1987; Crowder et al. 1994; Lewison, Freeman &amp; Crowder 2004)", "previouslyFormattedCitation" : "(Crouse, Crowder &amp; Caswell 1987; Crowder &lt;i&gt;et al.&lt;/i&gt; 1994; Lewison, Freeman &amp; Crowder 2004)" }, "properties" : { "noteIndex" : 0 }, "schema" : "https://github.com/citation-style-language/schema/raw/master/csl-citation.json" }</w:instrText>
      </w:r>
      <w:r w:rsidR="00F01773">
        <w:fldChar w:fldCharType="separate"/>
      </w:r>
      <w:r w:rsidR="00C6690C" w:rsidRPr="00C6690C">
        <w:rPr>
          <w:noProof/>
        </w:rPr>
        <w:t xml:space="preserve">(Crouse, Crowder &amp; Caswell 1987; Crowder </w:t>
      </w:r>
      <w:r w:rsidR="00C6690C" w:rsidRPr="00C6690C">
        <w:rPr>
          <w:i/>
          <w:noProof/>
        </w:rPr>
        <w:t>et al.</w:t>
      </w:r>
      <w:r w:rsidR="00C6690C" w:rsidRPr="00C6690C">
        <w:rPr>
          <w:noProof/>
        </w:rPr>
        <w:t xml:space="preserve"> 1994; Lewison, Freeman &amp; Crowder 2004)</w:t>
      </w:r>
      <w:r w:rsidR="00F01773">
        <w:fldChar w:fldCharType="end"/>
      </w:r>
      <w:r w:rsidR="00C6690C">
        <w:t xml:space="preserve">, sea birds, and marine mammals </w:t>
      </w:r>
      <w:r w:rsidR="00F01773">
        <w:fldChar w:fldCharType="begin" w:fldLock="1"/>
      </w:r>
      <w:r w:rsidR="00535D05">
        <w:instrText>ADDIN CSL_CITATION { "citationItems" : [ { "id" : "ITEM-1", "itemData" : { "DOI" : "10.1111/j.1523-1739.2007.00772.x", "ISSN" : "1523-1739", "abstract" : "Abstract: Fishers, scientists, and resource managers have made substantial progress in reducing bycatch of sea turtles, seabirds, and marine mammals through physical modifications to fishing gear. Many bycatch-avoidance measures have been developed and tested successfully in controlled experiments, which have led to regulated implementation of modified or new fishing gear. Nevertheless, successful bycatch experiments may not translate to effective mitigation in commercial fisheries because experimental conditions are relaxed in commercial fishing operations. Such a difference between experimental results and real-world results with fishing fleets may have serious consequences for management and conservation of protected species taken as bycatch. We evaluated preimplementation experimental measures and postimplementation efficacy from primary and gray literature for three case studies: acoustic pingers that warn marine mammals of the presence of gill nets, turtle excluder devices that reduce bycatch of turtles in trawls, and various measures to reduce seabird bycatch in longlines. Three common themes to successful implementation of bycatch reduction measures are long-standing collaborations among the fishing industry, scientists, and resource managers; pre- and postimplementation monitoring; and compliance via enforcement and incentives.", "author" : [ { "dropping-particle" : "", "family" : "Cox", "given" : "T M", "non-dropping-particle" : "", "parse-names" : false, "suffix" : "" }, { "dropping-particle" : "", "family" : "Lewison", "given" : "R L", "non-dropping-particle" : "", "parse-names" : false, "suffix" : "" }, { "dropping-particle" : "", "family" : "Zydelis", "given" : "R", "non-dropping-particle" : "", "parse-names" : false, "suffix" : "" }, { "dropping-particle" : "", "family" : "Crowder", "given" : "L B", "non-dropping-particle" : "", "parse-names" : false, "suffix" : "" }, { "dropping-particle" : "", "family" : "Safina", "given" : "C", "non-dropping-particle" : "", "parse-names" : false, "suffix" : "" }, { "dropping-particle" : "", "family" : "Read", "given" : "A J", "non-dropping-particle" : "", "parse-names" : false, "suffix" : "" } ], "container-title" : "Conservation Biology", "id" : "ITEM-1", "issue" : "5", "issued" : { "date-parts" : [ [ "2007" ] ] }, "page" : "1155-1164", "publisher" : "Blackwell Publishing Inc", "title" : "Comparing Effectiveness of Experimental and Implemented Bycatch Reduction Measures: the Ideal and the Real", "type" : "article-journal", "volume" : "21" }, "uris" : [ "http://www.mendeley.com/documents/?uuid=e2bfff19-edfd-45ab-a526-3511d17749e6" ] } ], "mendeley" : { "formattedCitation" : "(Cox &lt;i&gt;et al.&lt;/i&gt; 2007)", "plainTextFormattedCitation" : "(Cox et al. 2007)", "previouslyFormattedCitation" : "(Cox &lt;i&gt;et al.&lt;/i&gt; 2007)" }, "properties" : { "noteIndex" : 0 }, "schema" : "https://github.com/citation-style-language/schema/raw/master/csl-citation.json" }</w:instrText>
      </w:r>
      <w:r w:rsidR="00F01773">
        <w:fldChar w:fldCharType="separate"/>
      </w:r>
      <w:r w:rsidR="00C6690C" w:rsidRPr="00C6690C">
        <w:rPr>
          <w:noProof/>
        </w:rPr>
        <w:t xml:space="preserve">(Cox </w:t>
      </w:r>
      <w:r w:rsidR="00C6690C" w:rsidRPr="00C6690C">
        <w:rPr>
          <w:i/>
          <w:noProof/>
        </w:rPr>
        <w:t>et al.</w:t>
      </w:r>
      <w:r w:rsidR="00C6690C" w:rsidRPr="00C6690C">
        <w:rPr>
          <w:noProof/>
        </w:rPr>
        <w:t xml:space="preserve"> 2007)</w:t>
      </w:r>
      <w:r w:rsidR="00F01773">
        <w:fldChar w:fldCharType="end"/>
      </w:r>
      <w:r w:rsidR="00C6690C">
        <w:t>.</w:t>
      </w:r>
      <w:r w:rsidR="00837198">
        <w:t xml:space="preserve"> </w:t>
      </w:r>
      <w:r w:rsidR="008B6121">
        <w:t xml:space="preserve">Another prominent theme in the fisheries literature comes from </w:t>
      </w:r>
      <w:r w:rsidR="00837198">
        <w:t xml:space="preserve">observations of the destruction of seafloors by trawling gear </w:t>
      </w:r>
      <w:r w:rsidR="00090516">
        <w:t xml:space="preserve">spurred further studies </w:t>
      </w:r>
      <w:r w:rsidR="00F01773">
        <w:fldChar w:fldCharType="begin" w:fldLock="1"/>
      </w:r>
      <w:r w:rsidR="00837198">
        <w:instrText>ADDIN CSL_CITATION { "citationItems" : [ { "id" : "ITEM-1", "itemData" : { "abstract" : "Biomass, species composition, diversity, and community structure of demersal fishes were studied during the spring of 1978 in the sponge-coral habitat of the South Atlantic Bight. These results were compared with sampling at an open-shelf site. Otter trawl catch rates were an order of magnitude higher in the sponge-coral habitat than at the open-shelf site. Density and biomass estimates in the sponge-coral habitat averaged 384 individuals/ha and 31.0 kg/ha, respectively, whereas at the open-shelf site they averaged 57 individuals/ha and 3.2 kg/ha. In sponge-coral habitat samples, 101 species of demersal teleosts were taken. The Sparidae accounted for the greatest number of species (9), as well as 59% of the total number and 48% of the weight of demersal teleosts. Species diversity was highest in night-trawl tows in the sponge-coral habitat. Species associations, described by numerical classification, showed major differences in faunal assemblages between reef and open-shelf sites and between day and night samples.", "author" : [ { "dropping-particle" : "", "family" : "Wenner", "given" : "Charles A.", "non-dropping-particle" : "", "parse-names" : false, "suffix" : "" } ], "container-title" : "Fishery Bulletin", "id" : "ITEM-1", "issue" : "3", "issued" : { "date-parts" : [ [ "1983" ] ] }, "note" : "research on ecological effects of fishing gear", "page" : "537-552", "title" : "Species associations and day-night variability of trawl-caught fishes from the inshore sponge-coral habitat, South Atlantic bight", "type" : "article-journal", "volume" : "81" }, "uris" : [ "http://www.mendeley.com/documents/?uuid=3df9ea6d-6088-4321-9322-8719dd309f8c" ] }, { "id" : "ITEM-2", "itemData" : { "DOI" : "10.1080/00288330.1992.9516500", "ISSN" : "0028-8330", "abstract" : "Abstract Fishers have been complaining about the effects of bottom trawl gear on the marine environment since at least the 14th century. Trawl gear affects the environment in both direct and indirect ways. Direct effects include scraping and ploughing of the substrate, sediment resuspension, destruction of benthos, and dumping of processing waste. Indirect effects include post?fishing mortality and long?term trawl?induced changes to the benthos. There are few conclusive studies linking trawling to observed environmental changes since it is difficult to isolate the cause. However, permanent faunal changes brought about by trawling have been recorded. Research has established that the degree of environmental perturbation from bottom trawling activities is related to the weight of the gear on the seabed, the towing speed, the nature of the bottom sediments, and the strength of the tides and currents. The greater the frequency of gear impact on an area, the greater the likelihood of permanent change. In deeper water where the fauna is less adapted to changes in sediment regimes and disturbance from storm events, the effects of gear take longer to disappear. Studies indicate that in deep water (&gt;1000 m), the recovery time is probably measured in decades.", "author" : [ { "dropping-particle" : "", "family" : "Jones", "given" : "J B", "non-dropping-particle" : "", "parse-names" : false, "suffix" : "" } ], "container-title" : "New Zealand Journal of Marine and Freshwater Research", "id" : "ITEM-2", "issue" : "1", "issued" : { "date-parts" : [ [ "1992", "3", "1" ] ] }, "note" : "doi: 10.1080/00288330.1992.9516500", "page" : "59-67", "publisher" : "Taylor &amp; Francis", "title" : "Environmental impact of trawling on the seabed: A review", "type" : "article-journal", "volume" : "26" }, "uris" : [ "http://www.mendeley.com/documents/?uuid=32d4a2c7-3f31-4f45-8ea3-9665b7d63af1" ] }, { "id" : "ITEM-3", "itemData" : { "author" : [ { "dropping-particle" : "", "family" : "Graham", "given" : "Michael", "non-dropping-particle" : "", "parse-names" : false, "suffix" : "" } ], "container-title" : "Deep Sea Res", "id" : "ITEM-3", "issued" : { "date-parts" : [ [ "1955" ] ] }, "note" : "early research on biological effects of fishing gear", "page" : "1-6", "title" : "Effect of trawling on animals of the sea bed", "type" : "article-journal", "volume" : "3" }, "uris" : [ "http://www.mendeley.com/documents/?uuid=098b0dd3-580e-44b8-ad92-43659a9b1101" ] }, { "id" : "ITEM-4", "itemData" : { "DOI" : "10.1139/f73-032", "ISSN" : "0015-296X", "author" : [ { "dropping-particle" : "", "family" : "Caddy", "given" : "J F", "non-dropping-particle" : "", "parse-names" : false, "suffix" : "" } ], "container-title" : "Journal of the Fisheries Research Board of Canada", "id" : "ITEM-4", "issue" : "2", "issued" : { "date-parts" : [ [ "1973", "2", "1" ] ] }, "page" : "173-180", "publisher" : "NRC Research Press", "title" : "Underwater Observations on Tracks of Dredges and Trawls and Some Effects of Dredging on a Scallop Ground", "type" : "article-journal", "volume" : "30" }, "uris" : [ "http://www.mendeley.com/documents/?uuid=2ede8222-b6ea-4cb5-bb67-2fa0137370f4" ] } ], "mendeley" : { "formattedCitation" : "(Graham 1955; Caddy 1973; Wenner 1983; Jones 1992)", "plainTextFormattedCitation" : "(Graham 1955; Caddy 1973; Wenner 1983; Jones 1992)", "previouslyFormattedCitation" : "(Graham 1955; Caddy 1973; Wenner 1983; Jones 1992)" }, "properties" : { "noteIndex" : 0 }, "schema" : "https://github.com/citation-style-language/schema/raw/master/csl-citation.json" }</w:instrText>
      </w:r>
      <w:r w:rsidR="00F01773">
        <w:fldChar w:fldCharType="separate"/>
      </w:r>
      <w:r w:rsidR="00837198" w:rsidRPr="00837198">
        <w:rPr>
          <w:noProof/>
        </w:rPr>
        <w:t>(Graham 1955; Caddy 1973; Wenner 1983; Jones 1992)</w:t>
      </w:r>
      <w:r w:rsidR="00F01773">
        <w:fldChar w:fldCharType="end"/>
      </w:r>
      <w:r w:rsidR="00837198">
        <w:t>.</w:t>
      </w:r>
      <w:r w:rsidR="00090516">
        <w:t xml:space="preserve"> </w:t>
      </w:r>
      <w:r w:rsidR="007E29DD">
        <w:t xml:space="preserve">Examples exist from other sectors as well. In agriculture, for instance, past studies have focused on understanding the effects of different practices on bird diversity </w:t>
      </w:r>
      <w:r w:rsidR="00D62081">
        <w:t xml:space="preserve">with an eye on how to improve diversity around cropland </w:t>
      </w:r>
      <w:r w:rsidR="00F01773">
        <w:fldChar w:fldCharType="begin" w:fldLock="1"/>
      </w:r>
      <w:r w:rsidR="00F6240F">
        <w:instrText>ADDIN CSL_CITATION { "citationItems" : [ { "id" : "ITEM-1", "itemData" : { "DOI" : "10.1139/z73-104", "ISSN" : "0008-4301", "author" : [ { "dropping-particle" : "", "family" : "Owens", "given" : "R A", "non-dropping-particle" : "", "parse-names" : false, "suffix" : "" }, { "dropping-particle" : "", "family" : "Myres", "given" : "M T", "non-dropping-particle" : "", "parse-names" : false, "suffix" : "" } ], "container-title" : "Canadian Journal of Zoology", "id" : "ITEM-1", "issue" : "7", "issued" : { "date-parts" : [ [ "1973", "7", "1" ] ] }, "page" : "697-713", "publisher" : "NRC Research Press", "title" : "Effects of agriculture upon populations of native passerine birds of an Alberta fescue grassland", "type" : "article-journal", "volume" : "51" }, "uris" : [ "http://www.mendeley.com/documents/?uuid=75e6366f-8b1b-4cee-9fe7-6b9f99aa278c" ] }, { "id" : "ITEM-2", "itemData" : { "DOI" : "10.2307/3781669", "ISSN" : "00917648", "author" : [ { "dropping-particle" : "", "family" : "Best", "given" : "Louis B", "non-dropping-particle" : "", "parse-names" : false, "suffix" : "" } ], "container-title" : "Wildlife Society Bulletin (1973-2006)", "id" : "ITEM-2", "issue" : "4", "issued" : { "date-parts" : [ [ "1983", "12", "1" ] ] }, "note" : "bird diversity in farmland/cropland/agriculture when fencerows are used versus without. Implications of human land use decisions for biodiversity", "page" : "343-347 CR  - Copyright &amp;#169; 1983 Wiley", "publisher" : "Wiley on behalf of the Wildlife Society", "title" : "Bird Use of Fencerows: Implications of Contemporary Fencerow Management Practices", "type" : "article-journal", "volume" : "11" }, "uris" : [ "http://www.mendeley.com/documents/?uuid=09f2aaea-8f47-40a5-8777-c97e8f1b256c" ] } ], "mendeley" : { "formattedCitation" : "(Owens &amp; Myres 1973; Best 1983)", "plainTextFormattedCitation" : "(Owens &amp; Myres 1973; Best 1983)", "previouslyFormattedCitation" : "(Owens &amp; Myres 1973; Best 1983)" }, "properties" : { "noteIndex" : 0 }, "schema" : "https://github.com/citation-style-language/schema/raw/master/csl-citation.json" }</w:instrText>
      </w:r>
      <w:r w:rsidR="00F01773">
        <w:fldChar w:fldCharType="separate"/>
      </w:r>
      <w:r w:rsidR="007E29DD" w:rsidRPr="007E29DD">
        <w:rPr>
          <w:noProof/>
        </w:rPr>
        <w:t>(Owens &amp; Myres 1973; Best 1983)</w:t>
      </w:r>
      <w:r w:rsidR="00F01773">
        <w:fldChar w:fldCharType="end"/>
      </w:r>
      <w:r w:rsidR="00D62081">
        <w:t>.</w:t>
      </w:r>
      <w:r w:rsidR="00F6240F">
        <w:t xml:space="preserve"> </w:t>
      </w:r>
      <w:r w:rsidR="00535D05">
        <w:t xml:space="preserve">In forestry, some research has been concerned with how to best measure the biodiversity outcomes of different forest management practices </w:t>
      </w:r>
      <w:r w:rsidR="00F01773">
        <w:fldChar w:fldCharType="begin" w:fldLock="1"/>
      </w:r>
      <w:r w:rsidR="00535D05">
        <w:instrText>ADDIN CSL_CITATION { "citationItems" : [ { "id" : "ITEM-1", "itemData" : { "DOI" : "10.1046/j.1523-1739.2000.98533.x", "ISSN" : "1523-1739", "abstract" : "Abstract: The conservation of biological diversity has become one of the important goals of managing forests in an ecologically sustainable way. Ecologists and forest resource managers need measures to judge the success or failure of management regimes designed to sustain biological diversity. The relationships between potential indicator species and total biodiversity are not well established. Carefully designed studies are required to test relationships between the presence and abundance of potential indicator species and other taxa and the maintenance of critical ecosystem processes in forests. Other indicators of biological diversity in forests, in addition or as alternatives to indicator species, include what we call structure-based indicators. These are stand-level and landscape-level (spatial) features of forests such as stand structural complexity and plant species composition, connectivity, and heterogeneity. Although the adoption of practices to sustain (or recreate) key characteristics of forest ecosystems appear intuitively sensible and broadly consistent with current knowledge, information is lacking to determine whether such stand- and landscape-level features of forests will serve as successful indices of (and help conserve) biodiversity. Given our limited knowledge of both indicator species and structure-based indicators, we advocate the following four approaches to enhance biodiversity conservation in forests: (1) establish biodiversity priority areas (e.g., reserves) managed primarily for the conservation of biological diversity; (2) within production forests, apply structure-based indicators including structural complexity, connectivity, and heterogeneity; (3) using multiple conservation strategies at multiple spatial scales, spread out risk in wood production forests; and (4) adopt an adaptive management approach to test the validity of structure-based indices of biological diversity by treating management practices as experiments. These approaches would aim to provide new knowledge to managers and improve the effectiveness of current management strategies.", "author" : [ { "dropping-particle" : "", "family" : "Lindenmayer", "given" : "David B", "non-dropping-particle" : "", "parse-names" : false, "suffix" : "" }, { "dropping-particle" : "", "family" : "Margules", "given" : "Chris R", "non-dropping-particle" : "", "parse-names" : false, "suffix" : "" }, { "dropping-particle" : "", "family" : "Botkin", "given" : "Daniel B", "non-dropping-particle" : "", "parse-names" : false, "suffix" : "" } ], "container-title" : "Conservation Biology", "id" : "ITEM-1", "issue" : "4", "issued" : { "date-parts" : [ [ "2000" ] ] }, "note" : "coming up with indicators for production forests to check if they are conserving/protecting biodiversity", "page" : "941-950", "publisher" : "Blackwell Science Inc", "title" : "Indicators of Biodiversity for Ecologically Sustainable Forest Management", "type" : "article-journal", "volume" : "14" }, "uris" : [ "http://www.mendeley.com/documents/?uuid=0da8ad76-c003-45b8-b6bb-cf8357f0ab25" ] }, { "id" : "ITEM-2", "itemData" : { "DOI" : "http://dx.doi.org/10.1016/j.biocon.2006.02.019", "ISSN" : "0006-3207", "abstract" : "Many indicators and criteria have been proposed to assess the sustainable management of forests but their scientific validity remains uncertain. Because the effects of forest disturbances (such as logging) are often specific to particular species, sites, landscapes, regions and forest types, management \u201cshortcuts\u201d such as indicator species, focal species and threshold levels of vegetation cover may be of limited generic value. We propose an alternative approach based on a set of five guiding principles for biodiversity conservation that are broadly applicable to any forested area: (1) the maintenance of connectivity; (2) the maintenance of landscape heterogeneity; (3) the maintenance of stand structural complexity; and (4) the maintenance of aquatic ecosystem integrity; (5) the use of natural disturbance regimes to guide human disturbance regimes.  We present a checklist of measures for forest biodiversity conservation that reflects the multi-scaled nature of conservation approaches on forested land. At the regional scale, management should ensure the establishment of large ecological reserves. At the landscape scale, off-reserve conservation measures should include: (1) protected areas within production forests; (2) buffers for aquatic ecosystems; (3) appropriately designed and located road networks; (4) the careful spatial and temporal arrangement of harvest units; and (5) appropriate fire management practices. At the stand level, off-reserve conservation measures should include: (1) the retention of key elements of stand structural complexity (e.g., large living and dead trees with hollows, understorey thickets, and large fallen logs); (2) long rotation times (coupled with structural retention at harvest); (3) silvicultural systems alternative to traditional high impact ones (e.g., clearcutting in some forest types); and (4) appropriate fire management practices and practices for the management of other kinds of disturbances.  Although the general ecological principles and associated checklist are intuitive, data to evaluate the effectiveness of many specific on-the-ground management actions are limited. Considerable effort is needed to adopt adaptive management \u201cnatural experiments\u201d and monitoring to: (1) better identify the impacts of logging operations and other kinds of management activities on biodiversity, and; (2) quantify the effectiveness of impact mitigation strategies; and (3) identify ways to improve management practices.", "author" : [ { "dropping-particle" : "", "family" : "Lindenmayer", "given" : "D B", "non-dropping-particle" : "", "parse-names" : false, "suffix" : "" }, { "dropping-particle" : "", "family" : "Franklin", "given" : "J F", "non-dropping-particle" : "", "parse-names" : false, "suffix" : "" }, { "dropping-particle" : "", "family" : "Fischer", "given" : "J", "non-dropping-particle" : "", "parse-names" : false, "suffix" : "" } ], "container-title" : "Biological Conservation", "id" : "ITEM-2", "issue" : "3", "issued" : { "date-parts" : [ [ "2006", "8" ] ] }, "note" : "coming up with indicators for production forests to check if they are conserving/protecting biodiversity", "page" : "433-445", "title" : "General management principles and a checklist of strategies to guide forest biodiversity conservation", "type" : "article-journal", "volume" : "131" }, "uris" : [ "http://www.mendeley.com/documents/?uuid=e0b8ee37-008d-41ad-a8a6-391dc70d1610" ] } ], "mendeley" : { "formattedCitation" : "(Lindenmayer, Margules &amp; Botkin 2000; Lindenmayer, Franklin &amp; Fischer 2006)", "plainTextFormattedCitation" : "(Lindenmayer, Margules &amp; Botkin 2000; Lindenmayer, Franklin &amp; Fischer 2006)", "previouslyFormattedCitation" : "(Lindenmayer, Margules &amp; Botkin 2000; Lindenmayer, Franklin &amp; Fischer 2006)" }, "properties" : { "noteIndex" : 0 }, "schema" : "https://github.com/citation-style-language/schema/raw/master/csl-citation.json" }</w:instrText>
      </w:r>
      <w:r w:rsidR="00F01773">
        <w:fldChar w:fldCharType="separate"/>
      </w:r>
      <w:r w:rsidR="00535D05" w:rsidRPr="00535D05">
        <w:rPr>
          <w:noProof/>
        </w:rPr>
        <w:t>(Lindenmayer, Margules &amp; Botkin 2000; Lindenmayer, Franklin &amp; Fischer 2006)</w:t>
      </w:r>
      <w:r w:rsidR="00F01773">
        <w:fldChar w:fldCharType="end"/>
      </w:r>
      <w:r w:rsidR="00535D05">
        <w:t xml:space="preserve">, whether altered or managed forests can provide sufficient biodiversity benefits </w:t>
      </w:r>
      <w:r w:rsidR="00F01773">
        <w:fldChar w:fldCharType="begin" w:fldLock="1"/>
      </w:r>
      <w:r w:rsidR="00535D05">
        <w:instrText>ADDIN CSL_CITATION { "citationItems" : [ { "id" : "ITEM-1", "itemData" : { "DOI" : "10.2307/1311745", "ISSN" : "00063568", "author" : [ { "dropping-particle" : "", "family" : "Hansen", "given" : "A J", "non-dropping-particle" : "", "parse-names" : false, "suffix" : "" }, { "dropping-particle" : "", "family" : "Spies", "given" : "T A", "non-dropping-particle" : "", "parse-names" : false, "suffix" : "" }, { "dropping-particle" : "", "family" : "Swanson", "given" : "F J", "non-dropping-particle" : "", "parse-names" : false, "suffix" : "" }, { "dropping-particle" : "", "family" : "Ohmann", "given" : "J L", "non-dropping-particle" : "", "parse-names" : false, "suffix" : "" } ], "container-title" : "BioScience", "id" : "ITEM-1", "issue" : "6", "issued" : { "date-parts" : [ [ "1991", "6", "1" ] ] }, "page" : "382-392", "publisher" : "Oxford University Press on behalf of the American Institute of Biological Sciences", "title" : "Conserving Biodiversity in Managed Forests", "type" : "article-journal", "volume" : "41" }, "uris" : [ "http://www.mendeley.com/documents/?uuid=357c86ad-f51d-4983-b67f-594bc806443c" ] } ], "mendeley" : { "formattedCitation" : "(Hansen &lt;i&gt;et al.&lt;/i&gt; 1991)", "plainTextFormattedCitation" : "(Hansen et al. 1991)", "previouslyFormattedCitation" : "(Hansen &lt;i&gt;et al.&lt;/i&gt; 1991)" }, "properties" : { "noteIndex" : 0 }, "schema" : "https://github.com/citation-style-language/schema/raw/master/csl-citation.json" }</w:instrText>
      </w:r>
      <w:r w:rsidR="00F01773">
        <w:fldChar w:fldCharType="separate"/>
      </w:r>
      <w:r w:rsidR="00535D05" w:rsidRPr="00535D05">
        <w:rPr>
          <w:noProof/>
        </w:rPr>
        <w:t xml:space="preserve">(Hansen </w:t>
      </w:r>
      <w:r w:rsidR="00535D05" w:rsidRPr="00535D05">
        <w:rPr>
          <w:i/>
          <w:noProof/>
        </w:rPr>
        <w:t>et al.</w:t>
      </w:r>
      <w:r w:rsidR="00535D05" w:rsidRPr="00535D05">
        <w:rPr>
          <w:noProof/>
        </w:rPr>
        <w:t xml:space="preserve"> 1991)</w:t>
      </w:r>
      <w:r w:rsidR="00F01773">
        <w:fldChar w:fldCharType="end"/>
      </w:r>
      <w:r w:rsidR="00535D05">
        <w:t xml:space="preserve">, and the ecological effects of different harvesting patterns </w:t>
      </w:r>
      <w:r w:rsidR="00F01773">
        <w:fldChar w:fldCharType="begin" w:fldLock="1"/>
      </w:r>
      <w:r w:rsidR="000855C4">
        <w:instrText>ADDIN CSL_CITATION { "citationItems" : [ { "id" : "ITEM-1", "itemData" : { "DOI" : "10.1007/BF02275261", "ISSN" : "0921-2973", "author" : [ { "dropping-particle" : "", "family" : "Franklin", "given" : "JerryF.", "non-dropping-particle" : "", "parse-names" : false, "suffix" : "" }, { "dropping-particle" : "", "family" : "Forman", "given" : "RichardT.T.", "non-dropping-particle" : "", "parse-names" : false, "suffix" : "" } ], "container-title" : "Landscape Ecology", "id" : "ITEM-1", "issue" : "1", "issued" : { "date-parts" : [ [ "1987" ] ] }, "language" : "English", "page" : "5-18", "publisher" : "Kluwer Academic Publishers", "title" : "Creating landscape patterns by forest cutting: Ecological consequences and principles", "type" : "article-journal", "volume" : "1" }, "uris" : [ "http://www.mendeley.com/documents/?uuid=d3bb3220-74bb-4dab-9548-6e3ccedd57a4" ] } ], "mendeley" : { "formattedCitation" : "(Franklin &amp; Forman 1987)", "plainTextFormattedCitation" : "(Franklin &amp; Forman 1987)", "previouslyFormattedCitation" : "(Franklin &amp; Forman 1987)" }, "properties" : { "noteIndex" : 0 }, "schema" : "https://github.com/citation-style-language/schema/raw/master/csl-citation.json" }</w:instrText>
      </w:r>
      <w:r w:rsidR="00F01773">
        <w:fldChar w:fldCharType="separate"/>
      </w:r>
      <w:r w:rsidR="00535D05" w:rsidRPr="00535D05">
        <w:rPr>
          <w:noProof/>
        </w:rPr>
        <w:t>(Franklin &amp; Forman 1987)</w:t>
      </w:r>
      <w:r w:rsidR="00F01773">
        <w:fldChar w:fldCharType="end"/>
      </w:r>
      <w:r w:rsidR="00535D05">
        <w:t>.</w:t>
      </w:r>
    </w:p>
    <w:p w:rsidR="009663A3" w:rsidRDefault="00FD307A">
      <w:pPr>
        <w:ind w:firstLine="720"/>
      </w:pPr>
      <w:r w:rsidRPr="00080DAE">
        <w:t xml:space="preserve">The Appalachian mountains are highly </w:t>
      </w:r>
      <w:r>
        <w:t xml:space="preserve">diverse in </w:t>
      </w:r>
      <w:r w:rsidRPr="00080DAE">
        <w:t xml:space="preserve">species </w:t>
      </w:r>
      <w:r w:rsidR="00F01773">
        <w:fldChar w:fldCharType="begin" w:fldLock="1"/>
      </w:r>
      <w:r>
        <w:instrText>ADDIN CSL_CITATION { "citationItems" : [ { "id" : "ITEM-1", "itemData" : { "ISBN" : "0-19-512519-3", "editor" : [ { "dropping-particle" : "", "family" : "Stein", "given" : "Bruce A.", "non-dropping-particle" : "", "parse-names" : false, "suffix" : "" }, { "dropping-particle" : "", "family" : "Kutner", "given" : "Lynn S.", "non-dropping-particle" : "", "parse-names" : false, "suffix" : "" }, { "dropping-particle" : "", "family" : "Adams", "given" : "Jonathan S.", "non-dropping-particle" : "", "parse-names" : false, "suffix" : "" } ], "id" : "ITEM-1", "issued" : { "date-parts" : [ [ "2000" ] ] }, "number-of-pages" : "i-xxv, 1-399", "publisher" : "Oxford University Press", "publisher-place" : "New York", "title" : "Precious heritage: the status of biodiversity in the United States.", "type" : "book" }, "uris" : [ "http://www.mendeley.com/documents/?uuid=5a87302e-24bc-4dcf-8574-dd4ac69e6c6e" ] } ], "mendeley" : { "formattedCitation" : "(Stein, Kutner &amp; Adams 2000)", "plainTextFormattedCitation" : "(Stein, Kutner &amp; Adams 2000)", "previouslyFormattedCitation" : "(Stein, Kutner &amp; Adams 2000)" }, "properties" : { "noteIndex" : 0 }, "schema" : "https://github.com/citation-style-language/schema/raw/master/csl-citation.json" }</w:instrText>
      </w:r>
      <w:r w:rsidR="00F01773">
        <w:fldChar w:fldCharType="separate"/>
      </w:r>
      <w:r w:rsidRPr="00B32474">
        <w:rPr>
          <w:noProof/>
        </w:rPr>
        <w:t>(Stein, Kutner &amp; Adams 2000)</w:t>
      </w:r>
      <w:r w:rsidR="00F01773">
        <w:fldChar w:fldCharType="end"/>
      </w:r>
      <w:r>
        <w:t xml:space="preserve">, </w:t>
      </w:r>
      <w:r w:rsidRPr="00080DAE">
        <w:t xml:space="preserve">many of which are endemic to the region </w:t>
      </w:r>
      <w:r>
        <w:t>and/</w:t>
      </w:r>
      <w:r w:rsidRPr="00080DAE">
        <w:t>or sensitive to changes in the environment</w:t>
      </w:r>
      <w:r>
        <w:t xml:space="preserve">. </w:t>
      </w:r>
      <w:r w:rsidRPr="00080DAE">
        <w:t xml:space="preserve">As such, the negative environmental effects of gas infrastructure development are likely to impact many species and their habitats. Perhaps the most immediate and clear expected impact from gas development is the displacement of rare and vulnerable species. Gas development is occurring in fairly pristine forests </w:t>
      </w:r>
      <w:r w:rsidR="00F01773" w:rsidRPr="00080DAE">
        <w:fldChar w:fldCharType="begin" w:fldLock="1"/>
      </w:r>
      <w:r>
        <w:instrText>ADDIN CSL_CITATION { "citationItems" : [ { "id" : "ITEM-1", "itemData" : { "DOI" : "10.1007/s00267-012-9841-6", "ISBN" : "0026701298416", "ISSN" : "1432-1009", "PMID" : "22447181", "abstract" : "Worldwide shale-gas development has the potential to cause substantial landscape disturbance. The northeastern U.S., specifically the Allegheny Plateau in Pennsylvania, West Virginia, Ohio, and Kentucky, is experiencing rapid exploration. Using Pennsylvania as a proxy for regional development across the Plateau, we examine land cover change due to shale-gas exploration, with emphasis on forest fragmentation. Pennsylvania's shale-gas development is greatest on private land, and is dominated by pads with 1-2 wells; less than 10 % of pads have five wells or more. Approximately 45-62 % of pads occur on agricultural land and 38-54 % in forest land (many in core forest on private land). Development of permits granted as of June 3, 2011, would convert at least 644-1072 ha of agricultural land and 536-894 ha of forest land. Agricultural land conversion suggests that drilling is somewhat competing with food production. Accounting for existing pads and development of all permits would result in at least 649 km of new road, which, along with pipelines, would fragment forest cover. The Susquehanna River basin (feeding the Chesapeake Bay), is most developed, with 885 pads (26 % in core forest); permit data suggests the basin will experience continued heavy development. The intensity of core forest disturbance, where many headwater streams occur, suggests that such streams should become a focus of aquatic monitoring. Given the intense development on private lands, we believe a regional strategy is needed to help guide infrastructure development, so that habitat loss, farmland conversion, and the risk to waterways are better managed.", "author" : [ { "dropping-particle" : "", "family" : "Drohan", "given" : "P J", "non-dropping-particle" : "", "parse-names" : false, "suffix" : "" }, { "dropping-particle" : "", "family" : "Brittingham", "given" : "M", "non-dropping-particle" : "", "parse-names" : false, "suffix" : "" }, { "dropping-particle" : "", "family" : "Bishop", "given" : "J", "non-dropping-particle" : "", "parse-names" : false, "suffix" : "" }, { "dropping-particle" : "", "family" : "Yoder", "given" : "K", "non-dropping-particle" : "", "parse-names" : false, "suffix" : "" } ], "container-title" : "Environmental Management", "id" : "ITEM-1", "issue" : "5", "issued" : { "date-parts" : [ [ "2012", "5" ] ] }, "page" : "1-15", "title" : "Early trends in landcover change and forest fragmentation due to shale-gas development in Pennsylvania: a potential outcome for the Northcentral Appalachians.", "type" : "article-journal", "volume" : "49" }, "uris" : [ "http://www.mendeley.com/documents/?uuid=fcd66b0e-9517-4a98-89ca-751959c60125" ] } ], "mendeley" : { "formattedCitation" : "(Drohan &lt;i&gt;et al.&lt;/i&gt; 2012)", "plainTextFormattedCitation" : "(Drohan et al. 2012)", "previouslyFormattedCitation" : "(Drohan &lt;i&gt;et al.&lt;/i&gt; 2012)" }, "properties" : { "noteIndex" : 0 }, "schema" : "https://github.com/citation-style-language/schema/raw/master/csl-citation.json" }</w:instrText>
      </w:r>
      <w:r w:rsidR="00F01773" w:rsidRPr="00080DAE">
        <w:fldChar w:fldCharType="separate"/>
      </w:r>
      <w:r w:rsidRPr="00B32474">
        <w:rPr>
          <w:noProof/>
        </w:rPr>
        <w:t xml:space="preserve">(Drohan </w:t>
      </w:r>
      <w:r w:rsidRPr="00B32474">
        <w:rPr>
          <w:i/>
          <w:noProof/>
        </w:rPr>
        <w:t>et al.</w:t>
      </w:r>
      <w:r w:rsidRPr="00B32474">
        <w:rPr>
          <w:noProof/>
        </w:rPr>
        <w:t xml:space="preserve"> 2012)</w:t>
      </w:r>
      <w:r w:rsidR="00F01773" w:rsidRPr="00080DAE">
        <w:fldChar w:fldCharType="end"/>
      </w:r>
      <w:r w:rsidRPr="00080DAE">
        <w:t xml:space="preserve"> and other important habitats, meaning that there is a high chance that infrastructure will destroy the sensitive habitats or individuals directly in its path.</w:t>
      </w:r>
    </w:p>
    <w:p w:rsidR="009663A3" w:rsidRDefault="00FD307A">
      <w:pPr>
        <w:ind w:firstLine="720"/>
        <w:rPr>
          <w:rFonts w:ascii="Myriad Pro" w:hAnsi="Myriad Pro"/>
          <w:i/>
        </w:rPr>
      </w:pPr>
      <w:r w:rsidRPr="00080DAE">
        <w:lastRenderedPageBreak/>
        <w:t xml:space="preserve">At the landscape scale, gas infrastructure disrupts forests, wetlands, and other habitats. </w:t>
      </w:r>
      <w:r>
        <w:t>Habitat fragmentation</w:t>
      </w:r>
      <w:r w:rsidRPr="00080DAE">
        <w:t xml:space="preserve"> is well studied in ecology and conservation </w:t>
      </w:r>
      <w:r w:rsidR="00F01773">
        <w:fldChar w:fldCharType="begin" w:fldLock="1"/>
      </w:r>
      <w:r>
        <w:instrText>ADDIN CSL_CITATION { "citationItems" : [ { "id" : "ITEM-1", "itemData" : { "DOI" : "10.1146/annurev.ecolsys.34.011802.132419", "ISSN" : "1543-592X", "abstract" : " \u25aa Abstract\u2002The literature on effects of habitat fragmentation on biodiversity is huge. It is also very diverse, with different authors measuring fragmentation in different ways and, as a consequence, drawing different conclusions regarding both the magnitude and direction of its effects. Habitat fragmentation is usually defined as a landscape-scale process involving both habitat loss and the breaking apart of habitat. Results of empirical studies of habitat fragmentation are often difficult to interpret because (a) many researchers measure fragmentation at the patch scale, not the landscape scale and (b) most researchers measure fragmentation in ways that do not distinguish between habitat loss and habitat fragmentation per se, i.e., the breaking apart of habitat after controlling for habitat loss. Empirical studies to date suggest that habitat loss has large, consistently negative effects on biodiversity. Habitat fragmentation per se has much weaker effects on biodiversity that are at least as likely to be positive as negative. Therefore, to correctly interpret the influence of habitat fragmentation on biodiversity, the effects of these two components of fragmentation must be measured independently. More studies of the independent effects of habitat loss and fragmentation per se are needed to determine the factors that lead to positive versus negative effects of fragmentation per se. I suggest that the term \u201cfragmentation\u201d should be reserved for the breaking apart of habitat, independent of habitat loss. ", "author" : [ { "dropping-particle" : "", "family" : "Fahrig", "given" : "Lenore", "non-dropping-particle" : "", "parse-names" : false, "suffix" : "" } ], "container-title" : "Annual Review of Ecology, Evolution, and Systematics", "id" : "ITEM-1", "issue" : "1", "issued" : { "date-parts" : [ [ "2003", "11" ] ] }, "page" : "487-515", "title" : "Effects of Habitat Fragmentation on Biodiversity", "type" : "article-journal", "volume" : "34" }, "uris" : [ "http://www.mendeley.com/documents/?uuid=532ba447-e9ce-4b36-8292-47962f10679c" ] }, { "id" : "ITEM-2", "itemData" : { "abstract" : "Anthropogenic fragmentation of landscapes is known as a major reason for the loss of species in industrialized countries. Landscape fragmentation caused by roads, railway lines, extension of settlement areas, etc.,further enhances the dispersion of pollutants and acoustic emissions and affects local climatic conditions, water balance, scenery, and land use. In this study, three new measures of fragmentation are introduced: degree of landscape division (D), splitting index (S), and effective mesh size (m). They characterize the anthropogenic penetration of landscapes from a geometric point of view and are calculated from the distribution function of the remaining patch sizes. First, D, S,and m are defined, their mathematical properties are discussed, and their reactions to the six frag- mentation phases of perforation, incision, dissection, dissipation, shrinkage, and attrition are analysed. Then they are compared with five other known fragmentation indices with respect to nine suitability criteria such as intuitive interpretation, low sensivity to very small patches, monotonous reaction to different fragmentation phases, and detection of structural differences. Their ability to distinguish spatial patterns is illustrated by means of two series of model patterns. In particular, the effective mesh size (m), representing an intensive and area-proportionately additive measure, proves to be well suited for comparing the fragmentation of regions with differing total size.", "author" : [ { "dropping-particle" : "", "family" : "Jaeger", "given" : "Jochen A.G.", "non-dropping-particle" : "", "parse-names" : false, "suffix" : "" } ], "container-title" : "Landscape Ecology", "id" : "ITEM-2", "issued" : { "date-parts" : [ [ "2000" ] ] }, "page" : "115-130", "title" : "Landscape division, splitting index, and effective mesh size : new measures of landscape fragmentation", "type" : "article-journal", "volume" : "15" }, "uris" : [ "http://www.mendeley.com/documents/?uuid=ea6f479b-537a-48ee-8862-c9cc4b95f619" ] }, { "id" : "ITEM-3", "itemData" : { "DOI" : "10.1023/A:1008885813543", "ISSN" : "1572-9710", "author" : [ { "dropping-particle" : "", "family" : "Ranta", "given" : "Pertti", "non-dropping-particle" : "", "parse-names" : false, "suffix" : "" }, { "dropping-particle" : "", "family" : "Blom", "given" : "Tom", "non-dropping-particle" : "", "parse-names" : false, "suffix" : "" }, { "dropping-particle" : "", "family" : "Niemela", "given" : "Jari", "non-dropping-particle" : "", "parse-names" : false, "suffix" : "" }, { "dropping-particle" : "", "family" : "Joensuu", "given" : "Elina", "non-dropping-particle" : "", "parse-names" : false, "suffix" : "" }, { "dropping-particle" : "", "family" : "Siitonen", "given" : "Mikko", "non-dropping-particle" : "", "parse-names" : false, "suffix" : "" } ], "container-title" : "Biodiversity &amp; Conservation", "id" : "ITEM-3", "issue" : "3", "issued" : { "date-parts" : [ [ "1998" ] ] }, "language" : "en", "note" : "fragmentation well studied (proposal)", "page" : "385-403", "title" : "The fragmented Atlantic rain forest of Brazil: size, shape and distribution of forest fragments", "type" : "article-journal", "volume" : "7" }, "uris" : [ "http://www.mendeley.com/documents/?uuid=8f9b2eca-7df8-47d2-ba04-c266ec6c9f32" ] }, { "id" : "ITEM-4", "itemData" : { "author" : [ { "dropping-particle" : "", "family" : "Margules", "given" : "C. R.", "non-dropping-particle" : "", "parse-names" : false, "suffix" : "" }, { "dropping-particle" : "", "family" : "Milkovits", "given" : "G. A.", "non-dropping-particle" : "", "parse-names" : false, "suffix" : "" }, { "dropping-particle" : "", "family" : "Smith", "given" : "G. T.", "non-dropping-particle" : "", "parse-names" : false, "suffix" : "" } ], "container-title" : "Ecology", "id" : "ITEM-4", "issue" : "7", "issued" : { "date-parts" : [ [ "1994" ] ] }, "page" : "2033-2042", "title" : "Constrasting Effects of Habitat Fragmentation on the Scorpion Cercophonius Squama and an Amphipod", "type" : "article-journal", "volume" : "75" }, "uris" : [ "http://www.mendeley.com/documents/?uuid=e240adf3-658e-4c11-85b4-7733339aaa89" ] }, { "id" : "ITEM-5", "itemData" : { "DOI" : "10.1890/0012-9615(1998)068[0295:BSRTTF]2.0.CO;2", "ISSN" : "0012-9615", "abstract" : "The effects of forest fragmentation on beetle species composition were investigated in an experimentally fragmented tropical forest landscape in Central Amazonia. Leaf-litter beetles were sampled at seven distances from the forest edge (0\u2013420 m) along forest edge-to-interior transects in two 100-ha forest fragments and two continuous forest edges, and at an identical series of distances along two deep continuous forest transects. Additional samples were taken at the centers of two 10-ha forest fragments and two 1-ha fragments. This sampling regime allowed discrimination between edge and fragment area effects. Beetle species composition changed significantly and independently with both decreasing distance from forest edge and decreasing fragment area. Edge effects on species composition were mediated by six important environmental variables: air temperature, canopy height, percent ground cover of twigs, litter biomass, litter moisture content, and an air temperature \u00d7 distance from edge interaction effect,...", "author" : [ { "dropping-particle" : "", "family" : "Didham", "given" : "Raphael K.", "non-dropping-particle" : "", "parse-names" : false, "suffix" : "" }, { "dropping-particle" : "", "family" : "Hammond", "given" : "Peter M.", "non-dropping-particle" : "", "parse-names" : false, "suffix" : "" }, { "dropping-particle" : "", "family" : "Lawton", "given" : "John H.", "non-dropping-particle" : "", "parse-names" : false, "suffix" : "" }, { "dropping-particle" : "", "family" : "Eggleton", "given" : "Paul", "non-dropping-particle" : "", "parse-names" : false, "suffix" : "" }, { "dropping-particle" : "", "family" : "Stork", "given" : "Nigel E.", "non-dropping-particle" : "", "parse-names" : false, "suffix" : "" } ], "container-title" : "Ecological Monographs", "id" : "ITEM-5", "issue" : "3", "issued" : { "date-parts" : [ [ "1998", "8", "12" ] ] }, "language" : "EN", "note" : "species responses to forest fragmentation", "page" : "295-323", "title" : "Beetle species responses to tropical forest fragmentation", "type" : "article-journal", "volume" : "68" }, "uris" : [ "http://www.mendeley.com/documents/?uuid=baf53fc8-fc38-4168-b731-9ca0a1f122c8" ] }, { "id" : "ITEM-6", "itemData" : { "author" : [ { "dropping-particle" : "", "family" : "Davies", "given" : "Kendi F", "non-dropping-particle" : "", "parse-names" : false, "suffix" : "" }, { "dropping-particle" : "", "family" : "Margules", "given" : "Chris R", "non-dropping-particle" : "", "parse-names" : false, "suffix" : "" }, { "dropping-particle" : "", "family" : "Lawrence", "given" : "John F", "non-dropping-particle" : "", "parse-names" : false, "suffix" : "" } ], "container-title" : "Ecology", "id" : "ITEM-6", "issue" : "5", "issued" : { "date-parts" : [ [ "2000" ] ] }, "page" : "1450-1461", "title" : "Which traits of species predict population declines in experiment forest fragments?", "type" : "article-journal", "volume" : "81" }, "uris" : [ "http://www.mendeley.com/documents/?uuid=e69d77aa-d20d-4402-ba40-44ded0bec351" ] } ], "mendeley" : { "formattedCitation" : "(Margules, Milkovits &amp; Smith 1994; Ranta &lt;i&gt;et al.&lt;/i&gt; 1998; Didham &lt;i&gt;et al.&lt;/i&gt; 1998; Davies, Margules &amp; Lawrence 2000; Jaeger 2000; Fahrig 2003)", "plainTextFormattedCitation" : "(Margules, Milkovits &amp; Smith 1994; Ranta et al. 1998; Didham et al. 1998; Davies, Margules &amp; Lawrence 2000; Jaeger 2000; Fahrig 2003)", "previouslyFormattedCitation" : "(Margules, Milkovits &amp; Smith 1994; Ranta &lt;i&gt;et al.&lt;/i&gt; 1998; Didham &lt;i&gt;et al.&lt;/i&gt; 1998; Davies, Margules &amp; Lawrence 2000; Jaeger 2000; Fahrig 2003)" }, "properties" : { "noteIndex" : 0 }, "schema" : "https://github.com/citation-style-language/schema/raw/master/csl-citation.json" }</w:instrText>
      </w:r>
      <w:r w:rsidR="00F01773">
        <w:fldChar w:fldCharType="separate"/>
      </w:r>
      <w:r w:rsidRPr="00B32474">
        <w:rPr>
          <w:noProof/>
        </w:rPr>
        <w:t xml:space="preserve">(Margules, Milkovits &amp; Smith 1994; Ranta </w:t>
      </w:r>
      <w:r w:rsidRPr="00B32474">
        <w:rPr>
          <w:i/>
          <w:noProof/>
        </w:rPr>
        <w:t>et al.</w:t>
      </w:r>
      <w:r w:rsidRPr="00B32474">
        <w:rPr>
          <w:noProof/>
        </w:rPr>
        <w:t xml:space="preserve"> 1998; Didham </w:t>
      </w:r>
      <w:r w:rsidRPr="00B32474">
        <w:rPr>
          <w:i/>
          <w:noProof/>
        </w:rPr>
        <w:t>et al.</w:t>
      </w:r>
      <w:r w:rsidRPr="00B32474">
        <w:rPr>
          <w:noProof/>
        </w:rPr>
        <w:t xml:space="preserve"> 1998; Davies, Margules &amp; Lawrence 2000; Jaeger 2000; Fahrig 2003)</w:t>
      </w:r>
      <w:r w:rsidR="00F01773">
        <w:fldChar w:fldCharType="end"/>
      </w:r>
      <w:r w:rsidRPr="00080DAE">
        <w:t xml:space="preserve">. The major </w:t>
      </w:r>
      <w:r>
        <w:t>fragmenting</w:t>
      </w:r>
      <w:r w:rsidRPr="00080DAE">
        <w:t xml:space="preserve"> effects of </w:t>
      </w:r>
      <w:r>
        <w:t xml:space="preserve">gas infrastructure </w:t>
      </w:r>
      <w:r w:rsidRPr="00080DAE">
        <w:t>act through</w:t>
      </w:r>
      <w:r>
        <w:t xml:space="preserve"> reduction of core habitat,</w:t>
      </w:r>
      <w:r w:rsidRPr="00080DAE">
        <w:t xml:space="preserve"> creation of edges</w:t>
      </w:r>
      <w:r>
        <w:t>,</w:t>
      </w:r>
      <w:r w:rsidRPr="00080DAE">
        <w:t xml:space="preserve"> and reduction of connectivity. Well pads and their associated infrastructure are regularly spaced on the landscape, but with lit</w:t>
      </w:r>
      <w:r>
        <w:t>tle distance between them</w:t>
      </w:r>
      <w:r w:rsidRPr="00080DAE">
        <w:t xml:space="preserve">. This spatial pattern maximally fragments the landscape by creating many long edges in core forests and other core habitats </w:t>
      </w:r>
      <w:r w:rsidR="00F01773" w:rsidRPr="00080DAE">
        <w:fldChar w:fldCharType="begin" w:fldLock="1"/>
      </w:r>
      <w:r>
        <w:instrText>ADDIN CSL_CITATION { "citationItems" : [ { "id" : "ITEM-1", "itemData" : { "DOI" : "10.1007/s00267-012-9841-6", "ISBN" : "0026701298416", "ISSN" : "1432-1009", "PMID" : "22447181", "abstract" : "Worldwide shale-gas development has the potential to cause substantial landscape disturbance. The northeastern U.S., specifically the Allegheny Plateau in Pennsylvania, West Virginia, Ohio, and Kentucky, is experiencing rapid exploration. Using Pennsylvania as a proxy for regional development across the Plateau, we examine land cover change due to shale-gas exploration, with emphasis on forest fragmentation. Pennsylvania's shale-gas development is greatest on private land, and is dominated by pads with 1-2 wells; less than 10 % of pads have five wells or more. Approximately 45-62 % of pads occur on agricultural land and 38-54 % in forest land (many in core forest on private land). Development of permits granted as of June 3, 2011, would convert at least 644-1072 ha of agricultural land and 536-894 ha of forest land. Agricultural land conversion suggests that drilling is somewhat competing with food production. Accounting for existing pads and development of all permits would result in at least 649 km of new road, which, along with pipelines, would fragment forest cover. The Susquehanna River basin (feeding the Chesapeake Bay), is most developed, with 885 pads (26 % in core forest); permit data suggests the basin will experience continued heavy development. The intensity of core forest disturbance, where many headwater streams occur, suggests that such streams should become a focus of aquatic monitoring. Given the intense development on private lands, we believe a regional strategy is needed to help guide infrastructure development, so that habitat loss, farmland conversion, and the risk to waterways are better managed.", "author" : [ { "dropping-particle" : "", "family" : "Drohan", "given" : "P J", "non-dropping-particle" : "", "parse-names" : false, "suffix" : "" }, { "dropping-particle" : "", "family" : "Brittingham", "given" : "M", "non-dropping-particle" : "", "parse-names" : false, "suffix" : "" }, { "dropping-particle" : "", "family" : "Bishop", "given" : "J", "non-dropping-particle" : "", "parse-names" : false, "suffix" : "" }, { "dropping-particle" : "", "family" : "Yoder", "given" : "K", "non-dropping-particle" : "", "parse-names" : false, "suffix" : "" } ], "container-title" : "Environmental Management", "id" : "ITEM-1", "issue" : "5", "issued" : { "date-parts" : [ [ "2012", "5" ] ] }, "page" : "1-15", "title" : "Early trends in landcover change and forest fragmentation due to shale-gas development in Pennsylvania: a potential outcome for the Northcentral Appalachians.", "type" : "article-journal", "volume" : "49" }, "uris" : [ "http://www.mendeley.com/documents/?uuid=fcd66b0e-9517-4a98-89ca-751959c60125" ] } ], "mendeley" : { "formattedCitation" : "(Drohan &lt;i&gt;et al.&lt;/i&gt; 2012)", "plainTextFormattedCitation" : "(Drohan et al. 2012)", "previouslyFormattedCitation" : "(Drohan &lt;i&gt;et al.&lt;/i&gt; 2012)" }, "properties" : { "noteIndex" : 0 }, "schema" : "https://github.com/citation-style-language/schema/raw/master/csl-citation.json" }</w:instrText>
      </w:r>
      <w:r w:rsidR="00F01773" w:rsidRPr="00080DAE">
        <w:fldChar w:fldCharType="separate"/>
      </w:r>
      <w:r w:rsidRPr="00E35E51">
        <w:rPr>
          <w:noProof/>
        </w:rPr>
        <w:t xml:space="preserve">(Drohan </w:t>
      </w:r>
      <w:r w:rsidRPr="00E35E51">
        <w:rPr>
          <w:i/>
          <w:noProof/>
        </w:rPr>
        <w:t>et al.</w:t>
      </w:r>
      <w:r w:rsidRPr="00E35E51">
        <w:rPr>
          <w:noProof/>
        </w:rPr>
        <w:t xml:space="preserve"> 2012)</w:t>
      </w:r>
      <w:r w:rsidR="00F01773" w:rsidRPr="00080DAE">
        <w:fldChar w:fldCharType="end"/>
      </w:r>
      <w:r w:rsidRPr="00080DAE">
        <w:t xml:space="preserve">. </w:t>
      </w:r>
    </w:p>
    <w:p w:rsidR="00FD307A" w:rsidRDefault="00FD307A" w:rsidP="00FD307A">
      <w:pPr>
        <w:ind w:firstLine="720"/>
      </w:pPr>
      <w:r w:rsidRPr="00080DAE">
        <w:t xml:space="preserve">Edges change the light, humidity, </w:t>
      </w:r>
      <w:r>
        <w:t xml:space="preserve">wind, </w:t>
      </w:r>
      <w:r w:rsidRPr="00080DAE">
        <w:t xml:space="preserve">sound, temperature, and other factors at the edge of forests and into their interiors </w:t>
      </w:r>
      <w:r w:rsidR="00F01773">
        <w:fldChar w:fldCharType="begin" w:fldLock="1"/>
      </w:r>
      <w:r>
        <w:instrText>ADDIN CSL_CITATION { "citationItems" : [ { "id" : "ITEM-1", "itemData" : { "abstract" : "Research on fragmented ecosystems has focused mostly on the biogeograpbic consequences of the creation of habitat \u201cislands\u201d of different sizes and has provided little of practical value to managers. However, ecosystem fragmentation causes large changes in the physical environment as well as biogeograpbic changes. Fragmentation generally results in a landscape that consists of remnant areas of native vegetation surrounded by a matrix of agricultural or other developed land. As a result fluxes of radiation, momentum (La, wind), water, and nutrients across the landscape are altered significantly. These in turn can have important influences on biota within remnant areas, especially at or near the edge between the remnant and the surrounding matrix. The isolation of remnant areas by clearing also has important consequences for the biota. These consequences vary with the time since isolation distance from other remnants, and degree of connectivity with other remnants. The influences of physical and biogeographic changes are modified by the size, shape, and position in the landscape of individual remnant, with larger remnants being less adversely affected by the fragmentation process. The Dynamics of remnant areas are predominantly driven by factors arising in the surrounding landscape. Management of, and research on, fragmented ecosystems should be directed at understanding and controlling these external influences as much as at the biota of the remnants themselves. There is a strong need to develop an integrated approach to landscape management that places conservation reserves in the context of the overall landscape", "author" : [ { "dropping-particle" : "", "family" : "Saunders", "given" : "Denis A", "non-dropping-particle" : "", "parse-names" : false, "suffix" : "" }, { "dropping-particle" : "", "family" : "Hobbs", "given" : "Richard J", "non-dropping-particle" : "", "parse-names" : false, "suffix" : "" }, { "dropping-particle" : "", "family" : "Margules", "given" : "Chris R", "non-dropping-particle" : "", "parse-names" : false, "suffix" : "" } ], "container-title" : "Conservation Biology", "id" : "ITEM-1", "issue" : "1", "issued" : { "date-parts" : [ [ "1991" ] ] }, "note" : "discuss the physical ecological consequences of fragmentation and the biological implications from that. A great resource to look at how fragmentation affects every aspect of remaining habitats. Covers radiation fluxes, wind, water, isolation, time since isolation, distance from other remnants, connectivity, changes in the matrix, remnant size, shape, position in the landscape. Talk about lessons for management and research.", "page" : "18-32", "title" : "Biological Consequences of Ecosystem A Review Fragmentation", "type" : "article-journal", "volume" : "5" }, "uris" : [ "http://www.mendeley.com/documents/?uuid=0f95f77e-618b-4632-8687-576a9b8a0786" ] }, { "id" : "ITEM-2", "itemData" : { "author" : [ { "dropping-particle" : "", "family" : "Forman", "given" : "Richard T T", "non-dropping-particle" : "", "parse-names" : false, "suffix" : "" }, { "dropping-particle" : "", "family" : "Alexander", "given" : "Lauren E", "non-dropping-particle" : "", "parse-names" : false, "suffix" : "" } ], "container-title" : "Annual Review of Ecology and Systematics", "id" : "ITEM-2", "issue" : "1998", "issued" : { "date-parts" : [ [ "1998" ] ] }, "page" : "207-231", "title" : "Roads and their major ecological effects", "type" : "article-journal", "volume" : "29" }, "uris" : [ "http://www.mendeley.com/documents/?uuid=e7840227-68d5-4086-8212-6a676782f613" ] }, { "id" : "ITEM-3", "itemData" : { "DOI" : "10.1046/j.1523-1739.2000.99232.x", "ISSN" : "08888892", "author" : [ { "dropping-particle" : "", "family" : "Haskell", "given" : "David G.", "non-dropping-particle" : "", "parse-names" : false, "suffix" : "" } ], "container-title" : "Conservation Biology", "id" : "ITEM-3", "issue" : "1", "issued" : { "date-parts" : [ [ "2000", "2" ] ] }, "page" : "57-63", "title" : "Effects of Forest Roads on Macroinvertebrate Soil Fauna of the Southern Appalachian Mountains", "type" : "article-journal", "volume" : "14" }, "uris" : [ "http://www.mendeley.com/documents/?uuid=ddf7d876-73ec-4a86-9e04-d3911b0ddb8c" ] }, { "id" : "ITEM-4", "itemData" : { "DOI" : "10.1016/0006-3207(93)90004-K", "ISSN" : "00063207", "abstract" : "Width of the edge zone is critical to the existence of interior habitat in forest fragments. To determine how edge zone width varies among stands, microenvironmental gradients were described at ten edge sites in southeastern Pennsylvania and northern Delaware, USA. Sites were selected to allow comparisons of edge orientation and successional development. Significant edge effects were detected in light, temperature, litter moisture, vapor pressure deficit, humidity, and shrub cover, in some cases affecting the forest microenvironment up to 50 m from the edge. Variables which were dependent on direct beam radiation (vapor pressure deficit, temperature, and litter moisture) showed strong edge-oriented gradients at edges facing east, west, and south, but none at north-facing sites. Exclusion of light by closure of the side canopy curtailed edge effects in these variables. By contrast, edge-oriented gradients of shrub cover and humidity occurred independently of edge aspect and beyond the limits of direct beam radiation. Edge zone microenvironment remained distinguishable from that of continuous forest even after closure of the side canopy. These findings suggest that a large proportion of forest in small- and medium-sized fragments is climatically altered by edge proximity. Such effects recede over successional time, but are not entirely eliminated.", "author" : [ { "dropping-particle" : "", "family" : "Matlack", "given" : "Glenn R.", "non-dropping-particle" : "", "parse-names" : false, "suffix" : "" } ], "container-title" : "Biological Conservation", "id" : "ITEM-4", "issue" : "3", "issued" : { "date-parts" : [ [ "1993", "1" ] ] }, "page" : "185-194", "title" : "Microenvironment variation within and among forest edge sites in the eastern United States", "type" : "article-journal", "volume" : "66" }, "uris" : [ "http://www.mendeley.com/documents/?uuid=d8b9b741-4625-4132-bba1-48f63defca57" ] } ], "mendeley" : { "formattedCitation" : "(Saunders, Hobbs &amp; Margules 1991; Matlack 1993; Forman &amp; Alexander 1998; Haskell 2000)", "plainTextFormattedCitation" : "(Saunders, Hobbs &amp; Margules 1991; Matlack 1993; Forman &amp; Alexander 1998; Haskell 2000)", "previouslyFormattedCitation" : "(Saunders, Hobbs &amp; Margules 1991; Matlack 1993; Forman &amp; Alexander 1998; Haskell 2000)" }, "properties" : { "noteIndex" : 0 }, "schema" : "https://github.com/citation-style-language/schema/raw/master/csl-citation.json" }</w:instrText>
      </w:r>
      <w:r w:rsidR="00F01773">
        <w:fldChar w:fldCharType="separate"/>
      </w:r>
      <w:r w:rsidRPr="00B32474">
        <w:rPr>
          <w:noProof/>
        </w:rPr>
        <w:t>(Saunders, Hobbs &amp; Margules 1991; Matlack 1993; Forman &amp; Alexander 1998; Haskell 2000)</w:t>
      </w:r>
      <w:r w:rsidR="00F01773">
        <w:fldChar w:fldCharType="end"/>
      </w:r>
      <w:r w:rsidRPr="00080DAE">
        <w:t xml:space="preserve">. These edge effects may increase stress on organisms at the habitat edge </w:t>
      </w:r>
      <w:r w:rsidR="00F01773">
        <w:fldChar w:fldCharType="begin" w:fldLock="1"/>
      </w:r>
      <w:r>
        <w:instrText>ADDIN CSL_CITATION { "citationItems" : [ { "id" : "ITEM-1", "itemData" : { "author" : [ { "dropping-particle" : "", "family" : "Burke", "given" : "Dawn M", "non-dropping-particle" : "", "parse-names" : false, "suffix" : "" }, { "dropping-particle" : "", "family" : "Nol", "given" : "Erica", "non-dropping-particle" : "", "parse-names" : false, "suffix" : "" } ], "id" : "ITEM-1", "issue" : "1", "issued" : { "date-parts" : [ [ "1998" ] ] }, "note" : "example of how particular species responds to fragmentation. Increases stress?", "page" : "96-104", "title" : "Influence of Food Abundance, Nest-Site Habitat, and Forest Fragmentation on Breeding Ovenbirds", "type" : "article-journal", "volume" : "115" }, "uris" : [ "http://www.mendeley.com/documents/?uuid=a8a51c74-d23a-43c2-86a2-a0b3ce13bd4f" ] }, { "id" : "ITEM-2", "itemData" : { "author" : [ { "dropping-particle" : "", "family" : "Gibbs", "given" : "James P", "non-dropping-particle" : "", "parse-names" : false, "suffix" : "" } ], "container-title" : "Landscape Ecology", "id" : "ITEM-2", "issued" : { "date-parts" : [ [ "1998" ] ] }, "note" : "fragmentation effects on amphibians. increases stress", "page" : "263-268", "title" : "Distribution of woodland amphibians along a forest fragmentation gradient", "type" : "article-journal", "volume" : "13" }, "uris" : [ "http://www.mendeley.com/documents/?uuid=010201e6-f94f-49c6-8500-37145e9b251c" ] }, { "id" : "ITEM-3", "itemData" : { "DOI" : "10.1007/BF03161728", "ISSN" : "0277-5212", "author" : [ { "dropping-particle" : "", "family" : "Lehtinen", "given" : "Richard M.", "non-dropping-particle" : "", "parse-names" : false, "suffix" : "" }, { "dropping-particle" : "", "family" : "Galatowitsch", "given" : "Susan M.", "non-dropping-particle" : "", "parse-names" : false, "suffix" : "" }, { "dropping-particle" : "", "family" : "Tester", "given" : "John R.", "non-dropping-particle" : "", "parse-names" : false, "suffix" : "" } ], "container-title" : "Wetlands", "id" : "ITEM-3", "issue" : "1", "issued" : { "date-parts" : [ [ "1999", "3" ] ] }, "note" : "roads increase stress on amphibians", "page" : "1-12", "title" : "Consequences of habitat loss and fragmentation for wetland amphibian assemblages", "type" : "article-journal", "volume" : "19" }, "uris" : [ "http://www.mendeley.com/documents/?uuid=c58eb9cf-6f3e-499e-aa88-15b08f7943f9" ] } ], "mendeley" : { "formattedCitation" : "(Burke &amp; Nol 1998; Gibbs 1998; Lehtinen, Galatowitsch &amp; Tester 1999)", "plainTextFormattedCitation" : "(Burke &amp; Nol 1998; Gibbs 1998; Lehtinen, Galatowitsch &amp; Tester 1999)", "previouslyFormattedCitation" : "(Burke &amp; Nol 1998; Gibbs 1998; Lehtinen, Galatowitsch &amp; Tester 1999)" }, "properties" : { "noteIndex" : 0 }, "schema" : "https://github.com/citation-style-language/schema/raw/master/csl-citation.json" }</w:instrText>
      </w:r>
      <w:r w:rsidR="00F01773">
        <w:fldChar w:fldCharType="separate"/>
      </w:r>
      <w:r w:rsidRPr="00B32474">
        <w:rPr>
          <w:noProof/>
        </w:rPr>
        <w:t>(Burke &amp; Nol 1998; Gibbs 1998; Lehtinen, Galatowitsch &amp; Tester 1999)</w:t>
      </w:r>
      <w:r w:rsidR="00F01773">
        <w:fldChar w:fldCharType="end"/>
      </w:r>
      <w:r w:rsidRPr="00080DAE">
        <w:t xml:space="preserve">, may facilitate invaders </w:t>
      </w:r>
      <w:r w:rsidR="00F01773">
        <w:fldChar w:fldCharType="begin" w:fldLock="1"/>
      </w:r>
      <w:r>
        <w:instrText>ADDIN CSL_CITATION { "citationItems" : [ { "id" : "ITEM-1", "itemData" : { "DOI" : "10.1046/j.1523-1739.2003.01285.x", "ISSN" : "0888-8892", "author" : [ { "dropping-particle" : "", "family" : "Watkins", "given" : "Radley Z.", "non-dropping-particle" : "", "parse-names" : false, "suffix" : "" }, { "dropping-particle" : "", "family" : "Chen", "given" : "Jiquan", "non-dropping-particle" : "", "parse-names" : false, "suffix" : "" }, { "dropping-particle" : "", "family" : "Pickens", "given" : "Jim", "non-dropping-particle" : "", "parse-names" : false, "suffix" : "" }, { "dropping-particle" : "", "family" : "Brosofske", "given" : "Kimberley D.", "non-dropping-particle" : "", "parse-names" : false, "suffix" : "" } ], "container-title" : "Conservation Biology", "id" : "ITEM-1", "issue" : "2", "issued" : { "date-parts" : [ [ "2003", "4" ] ] }, "page" : "411-419", "title" : "Effects of Forest Roads on Understory Plants in a Managed Hardwood Landscape", "type" : "article-journal", "volume" : "17" }, "uris" : [ "http://www.mendeley.com/documents/?uuid=42dba58a-e9f1-4def-ad3e-8b4b2288770a" ] }, { "id" : "ITEM-2", "itemData" : { "DOI" : "10.1111/j.1523-1739.2001.99309.x", "ISSN" : "08888892", "author" : [ { "dropping-particle" : "", "family" : "Cadenasso", "given" : "M. L.", "non-dropping-particle" : "", "parse-names" : false, "suffix" : "" }, { "dropping-particle" : "", "family" : "Pickett", "given" : "S. T. A.", "non-dropping-particle" : "", "parse-names" : false, "suffix" : "" } ], "container-title" : "Conservation Biology", "id" : "ITEM-2", "issue" : "1", "issued" : { "date-parts" : [ [ "2001", "2" ] ] }, "note" : "edges facilitate invaders", "page" : "91-97", "title" : "Effect of Edge Structure on the Flux of Species into Forest Interiors", "type" : "article-journal", "volume" : "15" }, "uris" : [ "http://www.mendeley.com/documents/?uuid=2a0a5aa1-72b1-418d-9e9f-1807bbfdec80" ] }, { "id" : "ITEM-3", "itemData" : { "DOI" : "10.1016/j.foreco.2005.11.020", "ISSN" : "03781127", "abstract" : "Forest edges have been long recognized as the first landscape elements to be invaded by alien plant species in forest ecosystems. However, little is known about the role of forest edge type in invasive species patterns. In the Northern Rocky Mountains of the United States, disturbance-caused forest edges are a common feature in the landscape with anthropogenic (e.g. roadside, clearcut) and natural (e.g. burned, windthrown) edge types. In this paper we examine patterns of alien species invasion and native community structure across three forest edge types in Pinus contorta forests including contrasts between undeveloped landscapes in Yellowstone National Park (YNP), and developed (roaded and logged) portions of the adjacent Gallatin National Forest (GNF). Six sets of transects were located in each of five study sites, including clearcut, burn and highway edge types. When burn and highways edges were compared between GNF and YNP, landscape matrix did not have a significant effect on either alien species richness or cover. In both landscapes, highway edges had higher alien species richness and cover than burn edges. For burn and highway edges, alien species richness and cover were significantly related to edge type, distance from edge and the interaction between both variables. In Gallatin NF, alien species were concentrated along highway edges, while burn and clearcut edges are significantly less invaded. Overall, alien species richness was negatively correlated with native species richness in plots with at least one alien species (R2\u00a0=\u00a00.30, p\u00a0&lt;\u00a00.001). We were able to explain from 23 to 68% of the variation in alien species richness from simple measures of vegetation structure within each of the edge types. Our study suggests that at least for high elevation conifer ecosystems such as West Yellowstone, alien plant invasion into interior forest is significantly enhanced by disturbance edges only along roadsides. Further studies are needed to determine causal mechanisms that explain the high degree of invisibility of roadside edges. Our results highlight the need for careful planning and management of roads, as they may become a primary conduit of alien plant invasions.", "author" : [ { "dropping-particle" : "", "family" : "Pauchard", "given" : "An\u00edbal", "non-dropping-particle" : "", "parse-names" : false, "suffix" : "" }, { "dropping-particle" : "", "family" : "Alaback", "given" : "Paul B.", "non-dropping-particle" : "", "parse-names" : false, "suffix" : "" } ], "container-title" : "Forest Ecology and Management", "id" : "ITEM-3", "issue" : "1-3", "issued" : { "date-parts" : [ [ "2006", "3" ] ] }, "note" : "edges promote invaders", "page" : "327-335", "title" : "Edge type defines alien plant species invasions along Pinus contorta burned, highway and clearcut forest edges", "type" : "article-journal", "volume" : "223" }, "uris" : [ "http://www.mendeley.com/documents/?uuid=bbe0e25c-49f1-4998-a231-d88cc2748d99" ] } ], "mendeley" : { "formattedCitation" : "(Cadenasso &amp; Pickett 2001; Watkins &lt;i&gt;et al.&lt;/i&gt; 2003; Pauchard &amp; Alaback 2006)", "plainTextFormattedCitation" : "(Cadenasso &amp; Pickett 2001; Watkins et al. 2003; Pauchard &amp; Alaback 2006)", "previouslyFormattedCitation" : "(Cadenasso &amp; Pickett 2001; Watkins &lt;i&gt;et al.&lt;/i&gt; 2003; Pauchard &amp; Alaback 2006)" }, "properties" : { "noteIndex" : 0 }, "schema" : "https://github.com/citation-style-language/schema/raw/master/csl-citation.json" }</w:instrText>
      </w:r>
      <w:r w:rsidR="00F01773">
        <w:fldChar w:fldCharType="separate"/>
      </w:r>
      <w:r w:rsidRPr="00E35E51">
        <w:rPr>
          <w:noProof/>
        </w:rPr>
        <w:t xml:space="preserve">(Cadenasso &amp; Pickett 2001; Watkins </w:t>
      </w:r>
      <w:r w:rsidRPr="00E35E51">
        <w:rPr>
          <w:i/>
          <w:noProof/>
        </w:rPr>
        <w:t>et al.</w:t>
      </w:r>
      <w:r w:rsidRPr="00E35E51">
        <w:rPr>
          <w:noProof/>
        </w:rPr>
        <w:t xml:space="preserve"> 2003; Pauchard &amp; Alaback 2006)</w:t>
      </w:r>
      <w:r w:rsidR="00F01773">
        <w:fldChar w:fldCharType="end"/>
      </w:r>
      <w:r w:rsidRPr="00080DAE">
        <w:t xml:space="preserve">, and will alter the future species composition of communities at the edge and in the interior </w:t>
      </w:r>
      <w:r w:rsidR="00F01773" w:rsidRPr="00080DAE">
        <w:fldChar w:fldCharType="begin" w:fldLock="1"/>
      </w:r>
      <w:r>
        <w:instrText>ADDIN CSL_CITATION { "citationItems" : [ { "id" : "ITEM-1", "itemData" : { "DOI" : "10.1016/j.biocon.2013.02.017", "ISSN" : "00063207", "author" : [ { "dropping-particle" : "", "family" : "Garc\u00eda-Tejero", "given" : "Sergio", "non-dropping-particle" : "", "parse-names" : false, "suffix" : "" }, { "dropping-particle" : "", "family" : "Taboada", "given" : "\u00c1ngela", "non-dropping-particle" : "", "parse-names" : false, "suffix" : "" }, { "dropping-particle" : "", "family" : "T\u00e1rrega", "given" : "Reyes", "non-dropping-particle" : "", "parse-names" : false, "suffix" : "" }, { "dropping-particle" : "", "family" : "Salgado", "given" : "Jos\u00e9 M.", "non-dropping-particle" : "", "parse-names" : false, "suffix" : "" } ], "container-title" : "Biological Conservation", "id" : "ITEM-1", "issue" : "null", "issued" : { "date-parts" : [ [ "2013", "5" ] ] }, "page" : "58-66", "title" : "Land use changes and ground dwelling beetle conservation in extensive grazing dehesa systems of north-west Spain", "type" : "article-journal", "volume" : "161" }, "uris" : [ "http://www.mendeley.com/documents/?uuid=68d0354d-be95-4c53-97de-2b354819672c" ] } ], "mendeley" : { "formattedCitation" : "(Garc\u00eda-Tejero &lt;i&gt;et al.&lt;/i&gt; 2013)", "plainTextFormattedCitation" : "(Garc\u00eda-Tejero et al. 2013)", "previouslyFormattedCitation" : "(Garc\u00eda-Tejero &lt;i&gt;et al.&lt;/i&gt; 2013)" }, "properties" : { "noteIndex" : 0 }, "schema" : "https://github.com/citation-style-language/schema/raw/master/csl-citation.json" }</w:instrText>
      </w:r>
      <w:r w:rsidR="00F01773" w:rsidRPr="00080DAE">
        <w:fldChar w:fldCharType="separate"/>
      </w:r>
      <w:r w:rsidRPr="00E35E51">
        <w:rPr>
          <w:noProof/>
        </w:rPr>
        <w:t xml:space="preserve">(García-Tejero </w:t>
      </w:r>
      <w:r w:rsidRPr="00E35E51">
        <w:rPr>
          <w:i/>
          <w:noProof/>
        </w:rPr>
        <w:t>et al.</w:t>
      </w:r>
      <w:r w:rsidRPr="00E35E51">
        <w:rPr>
          <w:noProof/>
        </w:rPr>
        <w:t xml:space="preserve"> 2013)</w:t>
      </w:r>
      <w:r w:rsidR="00F01773" w:rsidRPr="00080DAE">
        <w:fldChar w:fldCharType="end"/>
      </w:r>
      <w:r w:rsidRPr="00080DAE">
        <w:t xml:space="preserve">. </w:t>
      </w:r>
    </w:p>
    <w:p w:rsidR="009663A3" w:rsidRDefault="00FD307A">
      <w:pPr>
        <w:ind w:firstLine="720"/>
        <w:rPr>
          <w:rFonts w:ascii="Myriad Pro" w:hAnsi="Myriad Pro"/>
          <w:i/>
        </w:rPr>
      </w:pPr>
      <w:r w:rsidRPr="00080DAE">
        <w:t xml:space="preserve">In addition to creating edges, gas infrastructure disturbances reduce habitat connectivity by creating barriers to dispersal and movement. </w:t>
      </w:r>
      <w:r>
        <w:t>Some</w:t>
      </w:r>
      <w:r w:rsidRPr="00080DAE">
        <w:t xml:space="preserve"> species </w:t>
      </w:r>
      <w:r>
        <w:t xml:space="preserve">avoid crossing roads </w:t>
      </w:r>
      <w:r w:rsidR="00F01773">
        <w:fldChar w:fldCharType="begin" w:fldLock="1"/>
      </w:r>
      <w:r>
        <w:instrText>ADDIN CSL_CITATION { "citationItems" : [ { "id" : "ITEM-1", "itemData" : { "DOI" : "10.1111/j.1469-1795.2008.00183.x", "ISSN" : "13679430", "author" : [ { "dropping-particle" : "", "family" : "Shepard", "given" : "D. B.", "non-dropping-particle" : "", "parse-names" : false, "suffix" : "" }, { "dropping-particle" : "", "family" : "Kuhns", "given" : "A. R.", "non-dropping-particle" : "", "parse-names" : false, "suffix" : "" }, { "dropping-particle" : "", "family" : "Dreslik", "given" : "M. J.", "non-dropping-particle" : "", "parse-names" : false, "suffix" : "" }, { "dropping-particle" : "", "family" : "Phillips", "given" : "C. A.", "non-dropping-particle" : "", "parse-names" : false, "suffix" : "" } ], "container-title" : "Animal Conservation", "id" : "ITEM-1", "issue" : "4", "issued" : { "date-parts" : [ [ "2008", "8" ] ] }, "note" : "roads prevent species from crossing", "page" : "288-296", "title" : "Roads as barriers to animal movement in fragmented landscapes", "type" : "article-journal", "volume" : "11" }, "uris" : [ "http://www.mendeley.com/documents/?uuid=b20cc57e-d7c8-40fd-998a-0c61cf04d0f1" ] }, { "id" : "ITEM-2", "itemData" : { "abstract" : "Roads and highways represent one of the most important anthropogenic impacts on natural areas and contribute to habitat fragmentation, because they are linear features that can inhibit animal movement, thereby causing barrier effects by subdividing the populations adjacent to the roads. The study presented here aims to determine, to which extent roads act as a barrier, subdividing populations of three species of small forest mammals: bank vole, yellow-necked mouse and common shrew, and what is the relative importance of road width and traffic intensity on the barrier effect. The study was carried out at four 25 m long segments of roads, close to the city of \u010desk\u00e9 Bud\u011bjovice. All segments crossed a forest. The capture-recapture method was applied to determine the crossing rates of animals. The traps were checked three times each day during four consecutive nights, in summer and in autumn. We found that: ( ) roads strongly prevent crossing movements in all three studied species, (2) there are interspecific differences in road crossing rates, (3) species cross more often narrow than wide roads, (4) traffic intensity does not affect the crossing rates.", "author" : [ { "dropping-particle" : "", "family" : "Rico", "given" : "Adriana", "non-dropping-particle" : "", "parse-names" : false, "suffix" : "" }, { "dropping-particle" : "", "family" : "Kindlmann", "given" : "Pavel", "non-dropping-particle" : "", "parse-names" : false, "suffix" : "" }, { "dropping-particle" : "", "family" : "Sedl\u00e1\u010dek", "given" : "Franti\u0161ek", "non-dropping-particle" : "", "parse-names" : false, "suffix" : "" } ], "container-title" : "Folia Zoologica", "id" : "ITEM-2", "issue" : "1", "issued" : { "date-parts" : [ [ "2007" ] ] }, "note" : "roads prevent species from crossing", "page" : "1-12", "title" : "Barrier effects of roads on movements of small mammals", "type" : "article-journal", "volume" : "56" }, "uris" : [ "http://www.mendeley.com/documents/?uuid=c1450b85-2ffe-4e86-830c-70e98019b392" ] } ], "mendeley" : { "formattedCitation" : "(Rico, Kindlmann &amp; Sedl\u00e1\u010dek 2007; Shepard &lt;i&gt;et al.&lt;/i&gt; 2008)", "plainTextFormattedCitation" : "(Rico, Kindlmann &amp; Sedl\u00e1\u010dek 2007; Shepard et al. 2008)", "previouslyFormattedCitation" : "(Rico, Kindlmann &amp; Sedl\u00e1\u010dek 2007; Shepard &lt;i&gt;et al.&lt;/i&gt; 2008)" }, "properties" : { "noteIndex" : 0 }, "schema" : "https://github.com/citation-style-language/schema/raw/master/csl-citation.json" }</w:instrText>
      </w:r>
      <w:r w:rsidR="00F01773">
        <w:fldChar w:fldCharType="separate"/>
      </w:r>
      <w:r w:rsidRPr="00B32474">
        <w:rPr>
          <w:noProof/>
        </w:rPr>
        <w:t>(Rico, Kindlmann &amp; Sedlá</w:t>
      </w:r>
      <w:r w:rsidRPr="00B32474">
        <w:rPr>
          <w:rFonts w:ascii="Times New Roman" w:hAnsi="Times New Roman" w:cs="Times New Roman"/>
          <w:noProof/>
        </w:rPr>
        <w:t>č</w:t>
      </w:r>
      <w:r w:rsidRPr="00B32474">
        <w:rPr>
          <w:rFonts w:cs="Bookman"/>
          <w:noProof/>
        </w:rPr>
        <w:t xml:space="preserve">ek 2007; Shepard </w:t>
      </w:r>
      <w:r w:rsidRPr="00B32474">
        <w:rPr>
          <w:i/>
          <w:noProof/>
        </w:rPr>
        <w:t>et al.</w:t>
      </w:r>
      <w:r w:rsidRPr="00B32474">
        <w:rPr>
          <w:noProof/>
        </w:rPr>
        <w:t xml:space="preserve"> 2008)</w:t>
      </w:r>
      <w:r w:rsidR="00F01773">
        <w:fldChar w:fldCharType="end"/>
      </w:r>
      <w:r>
        <w:t xml:space="preserve">, and we might expect similar responses for well pads and gathering pipelines. </w:t>
      </w:r>
      <w:r w:rsidRPr="00080DAE">
        <w:t>When roads o</w:t>
      </w:r>
      <w:r>
        <w:t xml:space="preserve">r pipelines cross streams, they </w:t>
      </w:r>
      <w:r w:rsidRPr="00080DAE">
        <w:t>change stream flows and may prevent movement up- or down-</w:t>
      </w:r>
      <w:r>
        <w:t xml:space="preserve">stream </w:t>
      </w:r>
      <w:r w:rsidR="00F01773">
        <w:fldChar w:fldCharType="begin" w:fldLock="1"/>
      </w:r>
      <w:r>
        <w:instrText>ADDIN CSL_CITATION { "citationItems" : [ { "id" : "ITEM-1", "itemData" : { "DOI" : "10.1111/j.1365-2664.2012.02108.x", "ISSN" : "00218901", "author" : [ { "dropping-particle" : "", "family" : "P\u00e9pino", "given" : "Marc", "non-dropping-particle" : "", "parse-names" : false, "suffix" : "" }, { "dropping-particle" : "", "family" : "Rodr\u00edguez", "given" : "Marco A.", "non-dropping-particle" : "", "parse-names" : false, "suffix" : "" }, { "dropping-particle" : "", "family" : "Magnan", "given" : "Pierre", "non-dropping-particle" : "", "parse-names" : false, "suffix" : "" } ], "container-title" : "Journal of Applied Ecology", "id" : "ITEM-1", "issue" : "2", "issued" : { "date-parts" : [ [ "2012", "4", "17" ] ] }, "note" : "road crossing affect stream connectivity", "page" : "395-403", "title" : "Impacts of highway crossings on density of brook charr in streams", "type" : "article-journal", "volume" : "49" }, "uris" : [ "http://www.mendeley.com/documents/?uuid=9afad4d8-b6d0-4faf-ad8f-f99d2e3d7a6f" ] } ], "mendeley" : { "formattedCitation" : "(P\u00e9pino, Rodr\u00edguez &amp; Magnan 2012)", "plainTextFormattedCitation" : "(P\u00e9pino, Rodr\u00edguez &amp; Magnan 2012)", "previouslyFormattedCitation" : "(P\u00e9pino, Rodr\u00edguez &amp; Magnan 2012)" }, "properties" : { "noteIndex" : 0 }, "schema" : "https://github.com/citation-style-language/schema/raw/master/csl-citation.json" }</w:instrText>
      </w:r>
      <w:r w:rsidR="00F01773">
        <w:fldChar w:fldCharType="separate"/>
      </w:r>
      <w:r w:rsidRPr="00B32474">
        <w:rPr>
          <w:noProof/>
        </w:rPr>
        <w:t>(Pépino, Rodríguez &amp; Magnan 2012)</w:t>
      </w:r>
      <w:r w:rsidR="00F01773">
        <w:fldChar w:fldCharType="end"/>
      </w:r>
      <w:r w:rsidRPr="00080DAE">
        <w:t>.</w:t>
      </w:r>
      <w:r w:rsidR="0034117E">
        <w:t xml:space="preserve"> These connectivity issues are especially important for Appalachian species when considered in the context of climate change, since this region is projected to be very important for species migrating to track changing conditions </w:t>
      </w:r>
      <w:r w:rsidR="00F01773">
        <w:fldChar w:fldCharType="begin" w:fldLock="1"/>
      </w:r>
      <w:r w:rsidR="000E3253">
        <w:instrText>ADDIN CSL_CITATION { "citationItems" : [ { "id" : "ITEM-1", "itemData" : { "DOI" : "10.1111/ele.12132", "ISSN" : "1461-0248", "abstract" : "Historically, many species moved great distances as climates changed. However, modern movements will be limited by the patterns of human-dominated landscapes. Here, we use a combination of projected climate-driven shifts in the distributions of 2903 vertebrate species, estimated current human impacts on the landscape, and movement models, to determine through which areas in the western hemisphere species will likely need to move to track suitable climates. Our results reveal areas with projected high densities of climate-driven movements \u2013 including, the Amazon Basin, the southeastern United States and southeastern Brazil. Some of these regions, such as southern Bolivia and northern Paraguay, contain relatively intact landscapes, whereas others such as the southeastern United States and Brazil are heavily impacted by human activities. Thus, these results highlight both critical areas for protecting lands that will foster movement, and barriers where human land-use activities will likely impede climate-driven shifts in species distributions.", "author" : [ { "dropping-particle" : "", "family" : "Lawler", "given" : "J J", "non-dropping-particle" : "", "parse-names" : false, "suffix" : "" }, { "dropping-particle" : "", "family" : "Ruesch", "given" : "A S", "non-dropping-particle" : "", "parse-names" : false, "suffix" : "" }, { "dropping-particle" : "", "family" : "Olden", "given" : "J D", "non-dropping-particle" : "", "parse-names" : false, "suffix" : "" }, { "dropping-particle" : "", "family" : "McRae", "given" : "B H", "non-dropping-particle" : "", "parse-names" : false, "suffix" : "" } ], "container-title" : "Ecology Letters", "id" : "ITEM-1", "issue" : "8", "issued" : { "date-parts" : [ [ "2013" ] ] }, "page" : "1014-1022", "title" : "Projected climate-driven faunal movement routes", "type" : "article-journal", "volume" : "16" }, "uris" : [ "http://www.mendeley.com/documents/?uuid=5ad45199-6baa-420f-9435-8cd0004880c2" ] } ], "mendeley" : { "formattedCitation" : "(Lawler &lt;i&gt;et al.&lt;/i&gt; 2013)", "plainTextFormattedCitation" : "(Lawler et al. 2013)", "previouslyFormattedCitation" : "(Lawler &lt;i&gt;et al.&lt;/i&gt; 2013)" }, "properties" : { "noteIndex" : 0 }, "schema" : "https://github.com/citation-style-language/schema/raw/master/csl-citation.json" }</w:instrText>
      </w:r>
      <w:r w:rsidR="00F01773">
        <w:fldChar w:fldCharType="separate"/>
      </w:r>
      <w:r w:rsidR="0034117E" w:rsidRPr="0034117E">
        <w:rPr>
          <w:noProof/>
        </w:rPr>
        <w:t xml:space="preserve">(Lawler </w:t>
      </w:r>
      <w:r w:rsidR="0034117E" w:rsidRPr="0034117E">
        <w:rPr>
          <w:i/>
          <w:noProof/>
        </w:rPr>
        <w:t>et al.</w:t>
      </w:r>
      <w:r w:rsidR="0034117E" w:rsidRPr="0034117E">
        <w:rPr>
          <w:noProof/>
        </w:rPr>
        <w:t xml:space="preserve"> 2013)</w:t>
      </w:r>
      <w:r w:rsidR="00F01773">
        <w:fldChar w:fldCharType="end"/>
      </w:r>
      <w:r w:rsidR="0034117E">
        <w:t>.</w:t>
      </w:r>
    </w:p>
    <w:p w:rsidR="009663A3" w:rsidRDefault="00FD307A">
      <w:pPr>
        <w:ind w:firstLine="720"/>
      </w:pPr>
      <w:r w:rsidRPr="00080DAE">
        <w:t>Infrastructure construction increases soil erosion, which has negative ecological consequences. Erosion may increase sediment loads in streams and consequen</w:t>
      </w:r>
      <w:r>
        <w:t xml:space="preserve">tly affect the turbidity, light </w:t>
      </w:r>
      <w:r w:rsidRPr="00080DAE">
        <w:t>absorption,</w:t>
      </w:r>
      <w:r>
        <w:t xml:space="preserve"> chemistry</w:t>
      </w:r>
      <w:r w:rsidRPr="00080DAE">
        <w:t xml:space="preserve"> and temp</w:t>
      </w:r>
      <w:r>
        <w:t xml:space="preserve">erature of the water column </w:t>
      </w:r>
      <w:r w:rsidR="00F01773">
        <w:fldChar w:fldCharType="begin" w:fldLock="1"/>
      </w:r>
      <w:r>
        <w:instrText>ADDIN CSL_CITATION { "citationItems" : [ { "id" : "ITEM-1", "itemData" : { "DOI" : "10.1029/WR020i011p01753", "ISSN" : "00431397", "author" : [ { "dropping-particle" : "", "family" : "Reid", "given" : "Leslie M.", "non-dropping-particle" : "", "parse-names" : false, "suffix" : "" }, { "dropping-particle" : "", "family" : "Dunne", "given" : "Thomas", "non-dropping-particle" : "", "parse-names" : false, "suffix" : "" } ], "container-title" : "Water Resources Research", "id" : "ITEM-1", "issue" : "11", "issued" : { "date-parts" : [ [ "1984", "11", "9" ] ] }, "note" : "forest gravel roads produce a lot of sediment load in streams", "page" : "1753-1761", "title" : "Sediment production from forest road surfaces", "type" : "article-journal", "volume" : "20" }, "uris" : [ "http://www.mendeley.com/documents/?uuid=d9e2f26d-d90c-4af1-8295-e75d06d3e2de" ] }, { "id" : "ITEM-2", "itemData" : { "DOI" : "10.1002/hyp.1050", "ISSN" : "0885-6087", "author" : [ { "dropping-particle" : "", "family" : "Lane", "given" : "Patrick N. J.", "non-dropping-particle" : "", "parse-names" : false, "suffix" : "" }, { "dropping-particle" : "", "family" : "Sheridan", "given" : "Gary J.", "non-dropping-particle" : "", "parse-names" : false, "suffix" : "" } ], "container-title" : "Hydrological Processes", "id" : "ITEM-2", "issue" : "13", "issued" : { "date-parts" : [ [ "2002", "9" ] ] }, "note" : "road runoff change water turbidity and sediment load", "page" : "2599-2612", "title" : "Impact of an unsealed forest road stream crossing: water quality and sediment sources", "type" : "article-journal", "volume" : "16" }, "uris" : [ "http://www.mendeley.com/documents/?uuid=54980bd5-6719-4f87-b86e-d061b690a324" ] } ], "mendeley" : { "formattedCitation" : "(Reid &amp; Dunne 1984; Lane &amp; Sheridan 2002)", "plainTextFormattedCitation" : "(Reid &amp; Dunne 1984; Lane &amp; Sheridan 2002)", "previouslyFormattedCitation" : "(Reid &amp; Dunne 1984; Lane &amp; Sheridan 2002)" }, "properties" : { "noteIndex" : 0 }, "schema" : "https://github.com/citation-style-language/schema/raw/master/csl-citation.json" }</w:instrText>
      </w:r>
      <w:r w:rsidR="00F01773">
        <w:fldChar w:fldCharType="separate"/>
      </w:r>
      <w:r w:rsidRPr="00DC58AE">
        <w:rPr>
          <w:noProof/>
        </w:rPr>
        <w:t>(Reid &amp; Dunne 1984; Lane &amp; Sheridan 2002)</w:t>
      </w:r>
      <w:r w:rsidR="00F01773">
        <w:fldChar w:fldCharType="end"/>
      </w:r>
      <w:r w:rsidRPr="00080DAE">
        <w:t xml:space="preserve">. When sediment settles, it can </w:t>
      </w:r>
      <w:r>
        <w:t xml:space="preserve">alter the stream substrate </w:t>
      </w:r>
      <w:r w:rsidR="00F01773">
        <w:fldChar w:fldCharType="begin" w:fldLock="1"/>
      </w:r>
      <w:r>
        <w:instrText>ADDIN CSL_CITATION { "citationItems" : [ { "id" : "ITEM-1", "itemData" : { "DOI" : "10.1016/0043-1354(95)00029-K", "ISSN" : "00431354", "abstract" : "The extraction, fractionation and characterization of sediment contaminated with road runoff is described. Wet sediment was successfully extracted with dichloromethane and the extract was separated into three increasingly polar fractions using alumina-silica column chromatography. Each fraction was characterized by GC &lt;img border=\"0\" alt=\"single bond\" src=\"http://origin-cdn.els-cdn.com/sd/entities/sbnd\" class=\"glyphImg\"&gt; MS, GC/MS/i.r. and i.r. spectrophotometry. The first fraction (FA) contained aliphatic hydrocarbons, the second fraction (FB) contained 2\u20135-ring polycyclic aromatic hydrocarbons (PAHs) and the third fraction (FC) contained substituted phenols and 4- and 5-ring PAHs. The toxicity of each fraction to Photobacterium phosphoreum and Gammarus pulex was assessed. The FA fraction was the most toxic to P. phosphoreum and the FC fraction was the least toxic. In contrast the FB fraction was the most toxic to G. pulex and the other two fractions were not toxic at the concentrations tested.", "author" : [ { "dropping-particle" : "", "family" : "Boxall", "given" : "Alistair B.A.", "non-dropping-particle" : "", "parse-names" : false, "suffix" : "" }, { "dropping-particle" : "", "family" : "Maltby", "given" : "Lorraine", "non-dropping-particle" : "", "parse-names" : false, "suffix" : "" } ], "container-title" : "Water Research", "id" : "ITEM-1", "issue" : "9", "issued" : { "date-parts" : [ [ "1995", "9" ] ] }, "note" : "road runoff changes chemical composition of stream bed", "page" : "2043-2050", "title" : "The characterization and toxicity of sediment contaminated with road runoff", "type" : "article-journal", "volume" : "29" }, "uris" : [ "http://www.mendeley.com/documents/?uuid=fdc783b6-6074-4c3b-a03b-22ddc12ae07f" ] } ], "mendeley" : { "formattedCitation" : "(Boxall &amp; Maltby 1995)", "plainTextFormattedCitation" : "(Boxall &amp; Maltby 1995)", "previouslyFormattedCitation" : "(Boxall &amp; Maltby 1995)" }, "properties" : { "noteIndex" : 0 }, "schema" : "https://github.com/citation-style-language/schema/raw/master/csl-citation.json" }</w:instrText>
      </w:r>
      <w:r w:rsidR="00F01773">
        <w:fldChar w:fldCharType="separate"/>
      </w:r>
      <w:r w:rsidRPr="00DC58AE">
        <w:rPr>
          <w:noProof/>
        </w:rPr>
        <w:t>(Boxall &amp; Maltby 1995)</w:t>
      </w:r>
      <w:r w:rsidR="00F01773">
        <w:fldChar w:fldCharType="end"/>
      </w:r>
      <w:r w:rsidRPr="00080DAE">
        <w:t xml:space="preserve">. Many species are sensitive to small changes in water and </w:t>
      </w:r>
      <w:r>
        <w:t xml:space="preserve">substrate quality </w:t>
      </w:r>
      <w:r w:rsidR="00F01773">
        <w:fldChar w:fldCharType="begin" w:fldLock="1"/>
      </w:r>
      <w:r>
        <w:instrText>ADDIN CSL_CITATION { "citationItems" : [ { "id" : "ITEM-1", "itemData" : { "DOI" : "10.1899/07-032.1", "ISSN" : "0887-3593", "abstract" : "The absence of quantified relationships among sediment supply, stream channel conditions, and biological responses limits our ability to predict the cumulative watershed effects of management activities in forested mountainous watersheds. We addressed this uncertainty by testing whether increased sediment supply resulted in elevated levels of streambed fine sediment stored in pools and riffles and whether fine bed material was correlated with spawning-gravel quality and altered benthic macroinvertebrate assemblages in 6 streams of the Klamath Mountains, northern California. Sediment supply was estimated using 2 models: 1) an empirical model of landslide volumes based on terrain types present in a basin, and 2) a surface erosion model using a locally calibrated version of the universal soil loss equation. Riffle-surface fine sediment and the fractional volume of pools filled with fine sediment (V*) were both positively correlated with estimated sediment supply, whereas subsurface spawning-gravel permeability was inversely correlated with estimated sediment supply. Fine sediment levels were relatively low compared to published values. Reach-average values of riffle-surface fine sediment ranged from 4 to 16% and V* values ranged from 0.05 to 0.20. Based on established relationships between subsurface flow rates and salmonid egg survival, median predicted egg survival was quite low and ranged from 15 to 38%. Riffle-surface fine sediment and common benthic macroinvertebrate biological metrics were not correlated, but several taxa showed responses to riffle-surface fine sediment. Taxa that showed negative responses to fine sediment are hypothesized to be more available as prey for salmonids than taxa that showed positive responses. This relationship suggests that fine sediments might cause an overall reduction in prey availability for salmonids. Monitoring the effects of increased sediment supply in steep, forested streams should focus on fine sediment in pools and riffles, salmonid spawning-gravel quality, and specific macroinvertebrate taxa that are especially responsive to fine sediment. The linkages described in our paper can be used to make quantitative predictions of the cumulative watershed effects of management activities on stream conditions, salmonid habitat, and benthic macroinvertebrates.", "author" : [ { "dropping-particle" : "", "family" : "Cover", "given" : "Matthew R.", "non-dropping-particle" : "", "parse-names" : false, "suffix" : "" }, { "dropping-particle" : "", "family" : "May", "given" : "Christine L.", "non-dropping-particle" : "", "parse-names" : false, "suffix" : "" }, { "dropping-particle" : "", "family" : "Dietrich", "given" : "William E.", "non-dropping-particle" : "", "parse-names" : false, "suffix" : "" }, { "dropping-particle" : "", "family" : "Resh", "given" : "Vincent H.", "non-dropping-particle" : "", "parse-names" : false, "suffix" : "" } ], "container-title" : "Journal of the North American Benthological Society", "id" : "ITEM-1", "issue" : "1", "issued" : { "date-parts" : [ [ "2008", "3" ] ] }, "page" : "135-149", "publisher" : "The Society for Freshwater Science", "title" : "Quantitative linkages among sediment supply, streambed fine sediment, and benthic macroinvertebrates in northern California streams", "type" : "article-journal", "volume" : "27" }, "uris" : [ "http://www.mendeley.com/documents/?uuid=a6ec59e4-9bfb-4ff7-85a3-b5f16f6bcbf5" ] }, { "id" : "ITEM-2", "itemData" : { "abstract" : "Abstract The spawning sites, incubation success, and density of young-of-the-year (YOY) brook trout (Salvelinus fontinalis) were examined in stream populations experiencing varying levels of sediment stress. Our objective was to determine effects on embryos and YOY and examine cumulative effects on the populations. Early development was unaffected (88% survival). Mortality occurred at late, encapsulated embryo stages likely as a function of oxygen deprivation within redds. Survival to emergence from the substrate was significantly reduced (\u223c50%) in redds in which fine sediments accumulated. Groundwater reduced sediment accumulation in redds and enhanced survival. Sediment may have affected dispersal of YOY trout. All populations appeared successful in term of total density (average = 72/100 m2). Our findings emphasize the importance of targeting multiple life-history stages and understanding local adaptations when searching for true population-level effects in any stressed ecosystem.", "author" : [ { "dropping-particle" : "", "family" : "Curry", "given" : "R. Allen", "non-dropping-particle" : "", "parse-names" : false, "suffix" : "" }, { "dropping-particle" : "", "family" : "MacNeill", "given" : "W. Scott", "non-dropping-particle" : "", "parse-names" : false, "suffix" : "" } ], "container-title" : "Journal of the North American Benthological Society", "id" : "ITEM-2", "issue" : "1", "issued" : { "date-parts" : [ [ "2004", "10", "1" ] ] }, "language" : "EN", "note" : "freshwater species sensitive to changes in water quality", "page" : "140-150", "title" : "Population-level responses to sediment during early life inbrook trout", "type" : "article-journal", "volume" : "23" }, "uris" : [ "http://www.mendeley.com/documents/?uuid=f3c57a1a-f232-4a5f-8b68-c6199e2cb964" ] } ], "mendeley" : { "formattedCitation" : "(Curry &amp; MacNeill 2004; Cover &lt;i&gt;et al.&lt;/i&gt; 2008)", "plainTextFormattedCitation" : "(Curry &amp; MacNeill 2004; Cover et al. 2008)", "previouslyFormattedCitation" : "(Curry &amp; MacNeill 2004; Cover &lt;i&gt;et al.&lt;/i&gt; 2008)" }, "properties" : { "noteIndex" : 0 }, "schema" : "https://github.com/citation-style-language/schema/raw/master/csl-citation.json" }</w:instrText>
      </w:r>
      <w:r w:rsidR="00F01773">
        <w:fldChar w:fldCharType="separate"/>
      </w:r>
      <w:r w:rsidRPr="00E35E51">
        <w:rPr>
          <w:noProof/>
        </w:rPr>
        <w:t xml:space="preserve">(Curry &amp; MacNeill 2004; Cover </w:t>
      </w:r>
      <w:r w:rsidRPr="00E35E51">
        <w:rPr>
          <w:i/>
          <w:noProof/>
        </w:rPr>
        <w:t>et al.</w:t>
      </w:r>
      <w:r w:rsidRPr="00E35E51">
        <w:rPr>
          <w:noProof/>
        </w:rPr>
        <w:t xml:space="preserve"> 2008)</w:t>
      </w:r>
      <w:r w:rsidR="00F01773">
        <w:fldChar w:fldCharType="end"/>
      </w:r>
      <w:r w:rsidRPr="00080DAE">
        <w:t>. Gas development tends to be concentrated in time and space, e.g. many well pads, roads, and pipelines are constructed simultaneously (</w:t>
      </w:r>
      <w:r w:rsidRPr="00080DAE">
        <w:rPr>
          <w:i/>
        </w:rPr>
        <w:t>pers. observation</w:t>
      </w:r>
      <w:r w:rsidRPr="00080DAE">
        <w:t>), which will enhance short-term erosion impacts and could lead to long-term changes in stream biodiversity. Nearer to infrastructure, erosi</w:t>
      </w:r>
      <w:r>
        <w:t xml:space="preserve">on changes soil qualities </w:t>
      </w:r>
      <w:r w:rsidR="00F01773">
        <w:fldChar w:fldCharType="begin" w:fldLock="1"/>
      </w:r>
      <w:r>
        <w:instrText>ADDIN CSL_CITATION { "citationItems" : [ { "id" : "ITEM-1", "itemData" : { "DOI" : "10.4141/cjss90-046", "ISSN" : "0008-4271", "abstract" : "This study examines the cumulative effect of erosion on soil properties that are important to productivity, and estimates the effect of erosion on grain yields. Experiments were located in central Saskatchewan on Dark Brown soils of the Weyburn Association. The relationship between yields and relative distance down eroded hillslopes was described best by a third-order polynominal equation. Grain yields were lowest on the upper slopes and increased steadily through mid-slopes to maximum values that were often double the upper slope yield on the lower or foot slope, then decreased again in the more level parts of the fields away from the slope. The impact of varying degrees of erosion on productivity was estimated by adding back incremental depths of topsoil to eroded knolls. Grain yields were increased by 45\u201358% by adding 50 mm of topsoil, with additional topsoil (100 or 150 mm) generally increasing yields slightly, but at a decreasing rate. Changes in soil quality with increasing erosion were measured on ...", "author" : [ { "dropping-particle" : "", "family" : "Verity", "given" : "G. E.", "non-dropping-particle" : "", "parse-names" : false, "suffix" : "" }, { "dropping-particle" : "", "family" : "Anderson", "given" : "D. W.", "non-dropping-particle" : "", "parse-names" : false, "suffix" : "" } ], "container-title" : "Canadian Journal of Soil Science", "id" : "ITEM-1", "issue" : "3", "issued" : { "date-parts" : [ [ "1990", "8", "19" ] ] }, "language" : "en", "note" : "erosion changes soil qualities and affects the yield of grains in an experimental system", "page" : "471-484", "publisher" : "NRC Research Press Ottawa, Canada", "title" : "Soil erosion effects on soil quality and yield", "type" : "article-journal", "volume" : "70" }, "uris" : [ "http://www.mendeley.com/documents/?uuid=eb9c9274-1c90-424c-9b0b-bdd621b5dbde" ] }, { "id" : "ITEM-2", "itemData" : { "DOI" : "10.1111/j.1365-2389.2007.00921.x", "ISSN" : "1351-0754", "author" : [ { "dropping-particle" : "", "family" : "Ni", "given" : "S. J.", "non-dropping-particle" : "", "parse-names" : false, "suffix" : "" }, { "dropping-particle" : "", "family" : "Zhang", "given" : "J. H.", "non-dropping-particle" : "", "parse-names" : false, "suffix" : "" } ], "container-title" : "European Journal of Soil Science", "id" : "ITEM-2", "issue" : "6", "issued" : { "date-parts" : [ [ "2007", "12" ] ] }, "note" : "soil quality affected by erosion", "page" : "1285-1292", "title" : "Variation of chemical properties as affected by soil erosion on hillslopes and terraces", "type" : "article-journal", "volume" : "58" }, "uris" : [ "http://www.mendeley.com/documents/?uuid=4e0675b1-4de5-4002-8c0a-5d0b7fc6d0f7" ] } ], "mendeley" : { "formattedCitation" : "(Verity &amp; Anderson 1990; Ni &amp; Zhang 2007)", "plainTextFormattedCitation" : "(Verity &amp; Anderson 1990; Ni &amp; Zhang 2007)", "previouslyFormattedCitation" : "(Verity &amp; Anderson 1990; Ni &amp; Zhang 2007)" }, "properties" : { "noteIndex" : 0 }, "schema" : "https://github.com/citation-style-language/schema/raw/master/csl-citation.json" }</w:instrText>
      </w:r>
      <w:r w:rsidR="00F01773">
        <w:fldChar w:fldCharType="separate"/>
      </w:r>
      <w:r w:rsidRPr="00346BE8">
        <w:rPr>
          <w:noProof/>
        </w:rPr>
        <w:t>(Verity &amp; Anderson 1990; Ni &amp; Zhang 2007)</w:t>
      </w:r>
      <w:r w:rsidR="00F01773">
        <w:fldChar w:fldCharType="end"/>
      </w:r>
      <w:r w:rsidRPr="00080DAE">
        <w:t xml:space="preserve"> and may affect which species move in to the disturbed area after</w:t>
      </w:r>
      <w:r>
        <w:t xml:space="preserve"> construction is complete</w:t>
      </w:r>
      <w:r w:rsidRPr="00080DAE">
        <w:t xml:space="preserve">. </w:t>
      </w:r>
    </w:p>
    <w:p w:rsidR="009663A3" w:rsidRDefault="00FD307A">
      <w:pPr>
        <w:ind w:firstLine="720"/>
      </w:pPr>
      <w:r w:rsidRPr="00080DAE">
        <w:lastRenderedPageBreak/>
        <w:t>The combination of drilling technology, energy demand, and desire for energy independence means tha</w:t>
      </w:r>
      <w:r>
        <w:t>t domestic gas development will continue in the Appalachian region and more broadly for some time</w:t>
      </w:r>
      <w:r w:rsidRPr="00080DAE">
        <w:t xml:space="preserve">. Since we cannot prevent all gas development, our best chance to avoid some of the discussed ecological impacts is to alter future development through improved siting practices. </w:t>
      </w:r>
    </w:p>
    <w:p w:rsidR="009663A3" w:rsidRDefault="00FD4607" w:rsidP="00026C0B">
      <w:pPr>
        <w:pStyle w:val="Subtitle"/>
      </w:pPr>
      <w:r w:rsidRPr="00FD4607">
        <w:t>Chapter Summary</w:t>
      </w:r>
    </w:p>
    <w:p w:rsidR="0071689F" w:rsidRPr="0071689F" w:rsidRDefault="0071689F" w:rsidP="0071689F">
      <w:r>
        <w:t>My dissertation is composed of four chapters which aim to advance the science and practice of conservation planning by providing new solutions to real world conservation problems as well as concrete recommendations for how to use my results. The chapters of my dissertation are motivated by four questions:</w:t>
      </w:r>
    </w:p>
    <w:p w:rsidR="00EE6F3B" w:rsidRPr="0095574C" w:rsidRDefault="00EE6F3B" w:rsidP="005A5698">
      <w:pPr>
        <w:pStyle w:val="Heading3"/>
        <w:numPr>
          <w:ilvl w:val="0"/>
          <w:numId w:val="0"/>
        </w:numPr>
      </w:pPr>
      <w:r w:rsidRPr="00693276">
        <w:t>Chapter 1: How do new surveys of rare species change our conservation priorities?</w:t>
      </w:r>
    </w:p>
    <w:p w:rsidR="009663A3" w:rsidRDefault="00297FC8">
      <w:pPr>
        <w:rPr>
          <w:rFonts w:ascii="Helvetica" w:hAnsi="Helvetica"/>
          <w:sz w:val="32"/>
        </w:rPr>
      </w:pPr>
      <w:r>
        <w:t>In Chapter 1, I use a</w:t>
      </w:r>
      <w:r w:rsidR="00EE6F3B" w:rsidRPr="0095574C">
        <w:t xml:space="preserve"> long-duration time series of rare-species surveys to see how a growing dataset changes rankings of watersheds in Tennessee. The chapter provides some insight into how data used by conservation practitioners may affect their decisions in data poor, data rich, and near-future contexts. </w:t>
      </w:r>
    </w:p>
    <w:p w:rsidR="00EE6F3B" w:rsidRPr="004238D2" w:rsidRDefault="00EE6F3B" w:rsidP="004238D2">
      <w:pPr>
        <w:pStyle w:val="Heading3"/>
        <w:numPr>
          <w:ilvl w:val="0"/>
          <w:numId w:val="0"/>
        </w:numPr>
      </w:pPr>
      <w:r w:rsidRPr="00080DAE">
        <w:t>Chapter 2: What are the environmental impact tradeoffs between four easy-to-implement natural gas surface infrastructure siting guidelines?</w:t>
      </w:r>
    </w:p>
    <w:p w:rsidR="00EE6F3B" w:rsidRPr="00080DAE" w:rsidRDefault="00EE6F3B" w:rsidP="00EE6F3B">
      <w:pPr>
        <w:rPr>
          <w:rFonts w:cs="Times New Roman"/>
        </w:rPr>
      </w:pPr>
      <w:r w:rsidRPr="00080DAE">
        <w:rPr>
          <w:rFonts w:cs="Times New Roman"/>
        </w:rPr>
        <w:t>In Chapter 2, I compare negative effects of realistic gas infrastructure layouts that I create using four siting practices and examine tradeoffs between impacts with</w:t>
      </w:r>
      <w:r w:rsidR="000B2182">
        <w:rPr>
          <w:rFonts w:cs="Times New Roman"/>
        </w:rPr>
        <w:t xml:space="preserve">in and across siting practices. The results </w:t>
      </w:r>
      <w:r w:rsidR="00EE4383">
        <w:rPr>
          <w:rFonts w:cs="Times New Roman"/>
        </w:rPr>
        <w:t>inform</w:t>
      </w:r>
      <w:r w:rsidRPr="00080DAE">
        <w:rPr>
          <w:rFonts w:cs="Times New Roman"/>
        </w:rPr>
        <w:t xml:space="preserve"> how one strategy used by conservation practitioners – rules of thumb – to affect gas developer behavior may introduce tradeoffs in future negative impacts. </w:t>
      </w:r>
      <w:r w:rsidR="000B2182">
        <w:rPr>
          <w:rFonts w:cs="Times New Roman"/>
        </w:rPr>
        <w:t>The results also point to a need to explore how more advanced conservation planning tools may improve the performance of surface infrastructure by simultaneously optimizing infrastructure locations to reduce potential impacts.</w:t>
      </w:r>
    </w:p>
    <w:p w:rsidR="00EE6F3B" w:rsidRPr="003573D2" w:rsidRDefault="00EE6F3B" w:rsidP="003573D2">
      <w:pPr>
        <w:pStyle w:val="Heading3"/>
        <w:numPr>
          <w:ilvl w:val="0"/>
          <w:numId w:val="0"/>
        </w:numPr>
      </w:pPr>
      <w:r w:rsidRPr="00080DAE">
        <w:t xml:space="preserve">Chapter 3: </w:t>
      </w:r>
      <w:r w:rsidR="0018536A">
        <w:t>What is the cost of reducing environmental impacts from surface infrastructure at the lease-hold scale?</w:t>
      </w:r>
    </w:p>
    <w:p w:rsidR="00EE6F3B" w:rsidRPr="00080DAE" w:rsidRDefault="00EE6F3B" w:rsidP="00EE6F3B">
      <w:pPr>
        <w:rPr>
          <w:rFonts w:cs="Times New Roman"/>
        </w:rPr>
      </w:pPr>
      <w:r w:rsidRPr="00080DAE">
        <w:rPr>
          <w:rFonts w:cs="Times New Roman"/>
        </w:rPr>
        <w:t xml:space="preserve">In Chapter 3, I assess the magnitudes of avoidable impacts from surface infrastructure in Pennsylvania by </w:t>
      </w:r>
      <w:r w:rsidR="004C3A24">
        <w:rPr>
          <w:rFonts w:cs="Times New Roman"/>
        </w:rPr>
        <w:t xml:space="preserve">using advanced spatial planning software I created for this task to plan well pad, access road, and </w:t>
      </w:r>
      <w:r w:rsidR="004C3A24">
        <w:rPr>
          <w:rFonts w:cs="Times New Roman"/>
        </w:rPr>
        <w:lastRenderedPageBreak/>
        <w:t>gathering pipeline locations with environmental object</w:t>
      </w:r>
      <w:r w:rsidR="005A5B59">
        <w:rPr>
          <w:rFonts w:cs="Times New Roman"/>
        </w:rPr>
        <w:t>ives</w:t>
      </w:r>
      <w:r w:rsidR="004C3A24">
        <w:rPr>
          <w:rFonts w:cs="Times New Roman"/>
        </w:rPr>
        <w:t xml:space="preserve"> and monetary constraints. </w:t>
      </w:r>
      <w:r w:rsidR="009A138B">
        <w:rPr>
          <w:rFonts w:cs="Times New Roman"/>
        </w:rPr>
        <w:t>I find that the cost of reducing impacts varies considerably across sites, and while impacts at a median site can be reduced upwards of 40% before costs become prohibitive, a uniform policy applied to this contex</w:t>
      </w:r>
      <w:r w:rsidR="002A669F">
        <w:rPr>
          <w:rFonts w:cs="Times New Roman"/>
        </w:rPr>
        <w:t xml:space="preserve">t may not produce desirable outcomes. The results of this chapter indicate that larger scale actions to reduce environmental impacts from shale gas surface infrastructure will perform best when accounting for heterogeneity across sites. </w:t>
      </w:r>
    </w:p>
    <w:p w:rsidR="00EE6F3B" w:rsidRPr="00387EA3" w:rsidRDefault="00EE6F3B" w:rsidP="00387EA3">
      <w:pPr>
        <w:pStyle w:val="Heading3"/>
        <w:numPr>
          <w:ilvl w:val="0"/>
          <w:numId w:val="0"/>
        </w:numPr>
      </w:pPr>
      <w:r w:rsidRPr="00080DAE">
        <w:t xml:space="preserve">Chapter 4: </w:t>
      </w:r>
      <w:r w:rsidR="001F38DE">
        <w:t>How cost-effective are different regulations for reducing environmental impacts from surface infrastructure?</w:t>
      </w:r>
    </w:p>
    <w:p w:rsidR="00B32474" w:rsidRDefault="00EE6F3B" w:rsidP="00B32474">
      <w:r w:rsidRPr="00080DAE">
        <w:rPr>
          <w:rFonts w:cs="Times New Roman"/>
        </w:rPr>
        <w:t xml:space="preserve">In my final chapter, I </w:t>
      </w:r>
      <w:r w:rsidR="00215A10">
        <w:rPr>
          <w:rFonts w:cs="Times New Roman"/>
        </w:rPr>
        <w:t xml:space="preserve">assess the cost effectiveness of multiple </w:t>
      </w:r>
      <w:r w:rsidR="0034117E">
        <w:rPr>
          <w:rFonts w:cs="Times New Roman"/>
        </w:rPr>
        <w:t xml:space="preserve">policy options </w:t>
      </w:r>
      <w:r w:rsidR="00215A10">
        <w:rPr>
          <w:rFonts w:cs="Times New Roman"/>
        </w:rPr>
        <w:t>for reducing aggregate impacts across the same set of sites explored in Ch</w:t>
      </w:r>
      <w:r w:rsidR="004E17B8">
        <w:rPr>
          <w:rFonts w:cs="Times New Roman"/>
        </w:rPr>
        <w:t xml:space="preserve">apter 3. I find that a typical uniform, inflexible approach similar to the median site approach mentioned above would lead to much higher system-wide costs for a given level of impact avoidance as compared to a market based, tradable permits approach. </w:t>
      </w:r>
      <w:r w:rsidR="00551D71">
        <w:rPr>
          <w:rFonts w:cs="Times New Roman"/>
        </w:rPr>
        <w:t>These results provide inside for several decision makers, but especially policy makers who are tasked with formulating and implementing conservation-oriented regulations for shale gas development.</w:t>
      </w:r>
      <w:bookmarkStart w:id="2" w:name="_Toc289175825"/>
    </w:p>
    <w:p w:rsidR="00AE7F45" w:rsidRPr="00EE6F3B" w:rsidRDefault="00AE7F45">
      <w:pPr>
        <w:rPr>
          <w:b/>
          <w:bCs/>
          <w:caps/>
          <w:sz w:val="28"/>
          <w:highlight w:val="lightGray"/>
        </w:rPr>
      </w:pPr>
      <w:r w:rsidRPr="00EE6F3B">
        <w:rPr>
          <w:highlight w:val="lightGray"/>
        </w:rPr>
        <w:br w:type="page"/>
      </w:r>
    </w:p>
    <w:p w:rsidR="00003F6A" w:rsidRPr="00334400" w:rsidRDefault="008778E5" w:rsidP="0084009E">
      <w:pPr>
        <w:pStyle w:val="Heading1"/>
      </w:pPr>
      <w:bookmarkStart w:id="3" w:name="_Toc417646746"/>
      <w:bookmarkStart w:id="4" w:name="_Toc417815115"/>
      <w:bookmarkStart w:id="5" w:name="_Toc421352861"/>
      <w:bookmarkEnd w:id="2"/>
      <w:bookmarkEnd w:id="3"/>
      <w:r w:rsidRPr="008778E5">
        <w:lastRenderedPageBreak/>
        <w:t>Updating conservation priorities over 111 years of species observations</w:t>
      </w:r>
      <w:bookmarkEnd w:id="4"/>
      <w:bookmarkEnd w:id="5"/>
    </w:p>
    <w:p w:rsidR="00AE7F45" w:rsidRDefault="00FA75A5" w:rsidP="005E54E2">
      <w:r w:rsidRPr="005E54E2">
        <w:tab/>
      </w:r>
    </w:p>
    <w:p w:rsidR="00AE7F45" w:rsidRDefault="00AE7F45">
      <w:r>
        <w:br w:type="page"/>
      </w:r>
    </w:p>
    <w:p w:rsidR="00FA75A5" w:rsidRPr="005E54E2" w:rsidRDefault="00FA75A5" w:rsidP="005E54E2">
      <w:r w:rsidRPr="005E54E2">
        <w:lastRenderedPageBreak/>
        <w:t xml:space="preserve">A version of this chapter was originally published by </w:t>
      </w:r>
      <w:r w:rsidR="0072414D">
        <w:t>Austin W. Milt, Sally R. Palmer, and Paul R. Armsworth</w:t>
      </w:r>
      <w:r w:rsidRPr="005E54E2">
        <w:t>:</w:t>
      </w:r>
    </w:p>
    <w:p w:rsidR="00FA75A5" w:rsidRPr="0072414D" w:rsidRDefault="00FA75A5" w:rsidP="0072414D">
      <w:pPr>
        <w:autoSpaceDE w:val="0"/>
        <w:autoSpaceDN w:val="0"/>
        <w:adjustRightInd w:val="0"/>
        <w:rPr>
          <w:lang w:val="en-GB"/>
        </w:rPr>
      </w:pPr>
      <w:r w:rsidRPr="005E54E2">
        <w:tab/>
      </w:r>
      <w:r w:rsidR="0072414D">
        <w:t>Austin W. Milt, Sally R. Palmer, and Paul R. Armsworth. “</w:t>
      </w:r>
      <w:r w:rsidR="0072414D" w:rsidRPr="00141359">
        <w:rPr>
          <w:lang w:val="en-GB"/>
        </w:rPr>
        <w:t>Updating conservation priorities over 111 years of species observations</w:t>
      </w:r>
      <w:r w:rsidR="0072414D">
        <w:rPr>
          <w:lang w:val="en-GB"/>
        </w:rPr>
        <w:t xml:space="preserve">.” </w:t>
      </w:r>
      <w:r w:rsidR="0072414D">
        <w:rPr>
          <w:i/>
          <w:lang w:val="en-GB"/>
        </w:rPr>
        <w:t>Journal of Applied Ecology</w:t>
      </w:r>
      <w:r w:rsidR="0072414D">
        <w:rPr>
          <w:lang w:val="en-GB"/>
        </w:rPr>
        <w:t xml:space="preserve"> 51</w:t>
      </w:r>
      <w:r w:rsidR="00FE0FBE">
        <w:rPr>
          <w:lang w:val="en-GB"/>
        </w:rPr>
        <w:t xml:space="preserve"> (2014): 1515-1524.</w:t>
      </w:r>
    </w:p>
    <w:p w:rsidR="00387656" w:rsidRPr="005E54E2" w:rsidRDefault="00387656" w:rsidP="005E54E2"/>
    <w:p w:rsidR="00FA75A5" w:rsidRPr="00695AB5" w:rsidRDefault="00695AB5" w:rsidP="00A22A3B">
      <w:r w:rsidRPr="00695AB5">
        <w:t xml:space="preserve">Austin Milt performed the secondary data collection, data processing, analysis, interpretation, and writing for this article. Sally Palmer and Paul Armsworth contributed intellectually to the design, interpretation, and revision of the article. </w:t>
      </w:r>
    </w:p>
    <w:p w:rsidR="00FF1665" w:rsidRPr="005E54E2" w:rsidRDefault="00FA75A5" w:rsidP="00FE0FBE">
      <w:pPr>
        <w:pStyle w:val="Heading2"/>
      </w:pPr>
      <w:bookmarkStart w:id="6" w:name="_Toc289175826"/>
      <w:bookmarkStart w:id="7" w:name="_Toc417646747"/>
      <w:bookmarkStart w:id="8" w:name="_Toc421352862"/>
      <w:r>
        <w:t>A</w:t>
      </w:r>
      <w:r w:rsidR="00FF1665">
        <w:t>bstract</w:t>
      </w:r>
      <w:bookmarkEnd w:id="6"/>
      <w:bookmarkEnd w:id="7"/>
      <w:bookmarkEnd w:id="8"/>
      <w:r w:rsidR="003C7FC5">
        <w:tab/>
      </w:r>
    </w:p>
    <w:p w:rsidR="00FE0FBE" w:rsidRPr="00FE0FBE" w:rsidRDefault="00FE0FBE" w:rsidP="00D968DA">
      <w:pPr>
        <w:rPr>
          <w:lang w:val="en-GB"/>
        </w:rPr>
      </w:pPr>
      <w:bookmarkStart w:id="9" w:name="_Toc289175827"/>
      <w:r w:rsidRPr="00FE0FBE">
        <w:rPr>
          <w:lang w:val="en-GB"/>
        </w:rPr>
        <w:t xml:space="preserve">Observations of species occurrences are often used to inform spatial prioritizations for the effective use of limited conservation resources. Additional species observations have the potential to change where a conservation group plans to invest. But by how much? How different would conservation priorities be if planners updated current observations with the information they will have next year? We sought to address these questions using a 111 year dataset that reflects commonly used collection and prioritization practices. We quantify changes in the ranking of Tennessee watersheds brought on by annual additions of species observations made between 1900 and 2010. We ranked watersheds by their complementary contribution to overall species richness. We examine the sensitivity of our results to the number of watersheds prioritized. We expected the effect of new observations to diminish as the dataset grew, and we found this to be the case. Importantly, however, additional observations may continue to significantly change conservation priorities in the future if current data collection trends continue. We found that, overall, additional observations can greatly affect priorities and that this result is sensitive to the number of watersheds ranked. Thus the extent of planning activities moderates the effect of including additional data. </w:t>
      </w:r>
      <w:r w:rsidR="00A52A39">
        <w:rPr>
          <w:i/>
          <w:iCs/>
          <w:lang w:val="en-GB"/>
        </w:rPr>
        <w:t>Synthesis and applications:</w:t>
      </w:r>
      <w:r w:rsidRPr="00FE0FBE">
        <w:rPr>
          <w:i/>
          <w:iCs/>
          <w:lang w:val="en-GB"/>
        </w:rPr>
        <w:t xml:space="preserve"> </w:t>
      </w:r>
      <w:r w:rsidRPr="00FE0FBE">
        <w:rPr>
          <w:iCs/>
          <w:lang w:val="en-GB"/>
        </w:rPr>
        <w:t xml:space="preserve">Long-term, opportunistically collected data of species locations are commonly used in conservation planning. We find that when using such data </w:t>
      </w:r>
      <w:r w:rsidRPr="00FE0FBE">
        <w:rPr>
          <w:lang w:val="en-GB"/>
        </w:rPr>
        <w:t>additional species observations significantly affect subsequent priorities. This effect is most pronounced when data are sparse. As such, data collection should be a focus of very early conservation actions in new areas. Even in well-studied areas, however, additional observations may continue to change spatial priorities into the future, and so while data collection can decrease in well studied areas, it should continue at a lower intensity. Our methods could also be used to determine the balance of data collection and conservation action in a new location.</w:t>
      </w:r>
    </w:p>
    <w:p w:rsidR="00A22A3B" w:rsidRDefault="00BC0AA6" w:rsidP="00BC0AA6">
      <w:pPr>
        <w:pStyle w:val="Heading2"/>
        <w:rPr>
          <w:lang w:val="en-GB"/>
        </w:rPr>
      </w:pPr>
      <w:bookmarkStart w:id="10" w:name="_Toc417646748"/>
      <w:bookmarkStart w:id="11" w:name="_Toc421352863"/>
      <w:bookmarkEnd w:id="9"/>
      <w:r w:rsidRPr="00A22A3B">
        <w:rPr>
          <w:lang w:val="en-GB"/>
        </w:rPr>
        <w:lastRenderedPageBreak/>
        <w:t>Introduction</w:t>
      </w:r>
      <w:bookmarkEnd w:id="10"/>
      <w:bookmarkEnd w:id="11"/>
    </w:p>
    <w:p w:rsidR="00BC0AA6" w:rsidRPr="00A22A3B" w:rsidRDefault="00BC0AA6" w:rsidP="00A22A3B">
      <w:pPr>
        <w:rPr>
          <w:lang w:val="en-GB"/>
        </w:rPr>
      </w:pPr>
      <w:r w:rsidRPr="00A22A3B">
        <w:rPr>
          <w:lang w:val="en-GB"/>
        </w:rPr>
        <w:t xml:space="preserve">Spatial prioritization is prominent in the science </w:t>
      </w:r>
      <w:r w:rsidR="00F01773" w:rsidRPr="00A22A3B">
        <w:rPr>
          <w:lang w:val="en-GB"/>
        </w:rPr>
        <w:fldChar w:fldCharType="begin" w:fldLock="1"/>
      </w:r>
      <w:r w:rsidR="00B32474">
        <w:rPr>
          <w:lang w:val="en-GB"/>
        </w:rPr>
        <w:instrText>ADDIN CSL_CITATION { "citationItems" : [ { "id" : "ITEM-1", "itemData" : { "DOI" : "10.1126/science.1127609", "ISSN" : "1095-9203", "PMID" : "16825561", "abstract" : "The location of and threats to biodiversity are distributed unevenly, so prioritization is essential to minimize biodiversity loss. To address this need, biodiversity conservation organizations have proposed nine templates of global priorities over the past decade. Here, we review the concepts, methods, results, impacts, and challenges of these prioritizations of conservation practice within the theoretical irreplaceability/vulnerability framework of systematic conservation planning. Most of the templates prioritize highly irreplaceable regions; some are reactive (prioritizing high vulnerability), and others are proactive (prioritizing low vulnerability). We hope this synthesis improves understanding of these prioritization approaches and that it results in more efficient allocation of geographically flexible conservation funding.", "author" : [ { "dropping-particle" : "", "family" : "Brooks", "given" : "T M", "non-dropping-particle" : "", "parse-names" : false, "suffix" : "" }, { "dropping-particle" : "", "family" : "Mittermeier", "given" : "R A", "non-dropping-particle" : "", "parse-names" : false, "suffix" : "" }, { "dropping-particle" : "", "family" : "Fonseca", "given" : "G A B", "non-dropping-particle" : "da", "parse-names" : false, "suffix" : "" }, { "dropping-particle" : "", "family" : "Gerlach", "given" : "J", "non-dropping-particle" : "", "parse-names" : false, "suffix" : "" }, { "dropping-particle" : "", "family" : "Hoffmann", "given" : "M", "non-dropping-particle" : "", "parse-names" : false, "suffix" : "" }, { "dropping-particle" : "", "family" : "Lamoreux", "given" : "J F", "non-dropping-particle" : "", "parse-names" : false, "suffix" : "" }, { "dropping-particle" : "", "family" : "Mittermeier", "given" : "C G", "non-dropping-particle" : "", "parse-names" : false, "suffix" : "" }, { "dropping-particle" : "", "family" : "Pilgrim", "given" : "J D", "non-dropping-particle" : "", "parse-names" : false, "suffix" : "" }, { "dropping-particle" : "", "family" : "Rodrigues", "given" : "A S L", "non-dropping-particle" : "", "parse-names" : false, "suffix" : "" } ], "container-title" : "Science", "id" : "ITEM-1", "issue" : "5783", "issued" : { "date-parts" : [ [ "2006", "7", "7" ] ] }, "note" : "global prioritization", "page" : "58-61", "title" : "Global biodiversity conservation priorities.", "type" : "article-journal", "volume" : "313" }, "uris" : [ "http://www.mendeley.com/documents/?uuid=3e63e9f8-e1f8-4dd8-bf05-964aa47cec50" ] }, { "id" : "ITEM-2", "itemData" : { "DOI" : "10.1016/j.tree.2007.10.001", "ISSN" : "0169-5347", "PMID" : "17981360", "abstract" : "Conservation planning is the process of locating, configuring, implementing and maintaining areas that are managed to promote the persistence of biodiversity and other natural values. Conservation planning is inherently spatial. The science behind it has solved important spatial problems and increasingly influenced practice. To be effective, however, conservation planning must deal better with two types of change. First, biodiversity is not static in time or space but generated and maintained by natural processes. Second, humans are altering the planet in diverse ways at ever faster rates.", "author" : [ { "dropping-particle" : "", "family" : "Pressey", "given" : "Robert L", "non-dropping-particle" : "", "parse-names" : false, "suffix" : "" }, { "dropping-particle" : "", "family" : "Cabeza", "given" : "Mar", "non-dropping-particle" : "", "parse-names" : false, "suffix" : "" }, { "dropping-particle" : "", "family" : "Watts", "given" : "Matthew E", "non-dropping-particle" : "", "parse-names" : false, "suffix" : "" }, { "dropping-particle" : "", "family" : "Cowling", "given" : "Richard M", "non-dropping-particle" : "", "parse-names" : false, "suffix" : "" }, { "dropping-particle" : "", "family" : "Wilson", "given" : "Kerrie A", "non-dropping-particle" : "", "parse-names" : false, "suffix" : "" } ], "container-title" : "Trends in ecology &amp; evolution", "id" : "ITEM-2", "issue" : "11", "issued" : { "date-parts" : [ [ "2007", "11" ] ] }, "note" : "same title as my dissertation", "page" : "583-92", "title" : "Conservation planning in a changing world.", "type" : "article-journal", "volume" : "22" }, "uris" : [ "http://www.mendeley.com/documents/?uuid=96998794-af98-4cba-8fe4-7f3555e69ca5" ] }, { "id" : "ITEM-3", "itemData" : { "ISBN" : "9781444335033", "author" : [ { "dropping-particle" : "", "family" : "Watson", "given" : "James E M", "non-dropping-particle" : "", "parse-names" : false, "suffix" : "" }, { "dropping-particle" : "", "family" : "Grantham", "given" : "Hedley S", "non-dropping-particle" : "", "parse-names" : false, "suffix" : "" }, { "dropping-particle" : "", "family" : "Wilson", "given" : "Kerrie A", "non-dropping-particle" : "", "parse-names" : false, "suffix" : "" }, { "dropping-particle" : "", "family" : "Possingham", "given" : "Hugh P", "non-dropping-particle" : "", "parse-names" : false, "suffix" : "" } ], "chapter-number" : "6", "container-title" : "Conservation Biogeography", "editor" : [ { "dropping-particle" : "", "family" : "Ladle", "given" : "R J", "non-dropping-particle" : "", "parse-names" : false, "suffix" : "" }, { "dropping-particle" : "", "family" : "Whittaker", "given" : "R J", "non-dropping-particle" : "", "parse-names" : false, "suffix" : "" } ], "id" : "ITEM-3", "issued" : { "date-parts" : [ [ "2011" ] ] }, "page" : "136-160", "publisher" : "John Wiley &amp; Sons, Ltd.", "publisher-place" : "Chichester, UK", "title" : "Systematic Conservation Planning: Past , Present and Future", "type" : "chapter" }, "uris" : [ "http://www.mendeley.com/documents/?uuid=de19d51c-d4ff-4523-b75b-2cc0cac1747a" ] }, { "id" : "ITEM-4", "itemData" : { "DOI" : "10.1111/j.1466-8238.2011.00697.x", "ISSN" : "1466822X", "author" : [ { "dropping-particle" : "", "family" : "Coll", "given" : "Marta", "non-dropping-particle" : "", "parse-names" : false, "suffix" : "" }, { "dropping-particle" : "", "family" : "Piroddi", "given" : "Chiara", "non-dropping-particle" : "", "parse-names" : false, "suffix" : "" }, { "dropping-particle" : "", "family" : "Albouy", "given" : "Camille", "non-dropping-particle" : "", "parse-names" : false, "suffix" : "" }, { "dropping-particle" : "", "family" : "Rais Lasram", "given" : "Frida", "non-dropping-particle" : "Ben", "parse-names" : false, "suffix" : "" }, { "dropping-particle" : "", "family" : "Cheung", "given" : "William W. L.", "non-dropping-particle" : "", "parse-names" : false, "suffix" : "" }, { "dropping-particle" : "", "family" : "Christensen", "given" : "Villy", "non-dropping-particle" : "", "parse-names" : false, "suffix" : "" }, { "dropping-particle" : "", "family" : "Karpouzi", "given" : "Vasiliki S.", "non-dropping-particle" : "", "parse-names" : false, "suffix" : "" }, { "dropping-particle" : "", "family" : "Guilhaumon", "given" : "Fran\u00e7ois", "non-dropping-particle" : "", "parse-names" : false, "suffix" : "" }, { "dropping-particle" : "", "family" : "Mouillot", "given" : "David", "non-dropping-particle" : "", "parse-names" : false, "suffix" : "" }, { "dropping-particle" : "", "family" : "Paleczny", "given" : "Michelle", "non-dropping-particle" : "", "parse-names" : false, "suffix" : "" }, { "dropping-particle" : "", "family" : "Palomares", "given" : "Maria Lourdes", "non-dropping-particle" : "", "parse-names" : false, "suffix" : "" }, { "dropping-particle" : "", "family" : "Steenbeek", "given" : "Jeroen", "non-dropping-particle" : "", "parse-names" : false, "suffix" : "" }, { "dropping-particle" : "", "family" : "Trujillo", "given" : "Pablo", "non-dropping-particle" : "", "parse-names" : false, "suffix" : "" }, { "dropping-particle" : "", "family" : "Watson", "given" : "Reg", "non-dropping-particle" : "", "parse-names" : false, "suffix" : "" }, { "dropping-particle" : "", "family" : "Pauly", "given" : "Daniel", "non-dropping-particle" : "", "parse-names" : false, "suffix" : "" } ], "container-title" : "Global Ecology and Biogeography", "id" : "ITEM-4", "issue" : "4", "issued" : { "date-parts" : [ [ "2012", "4", "20" ] ] }, "note" : "example of occurrence records being used in prioritization", "page" : "465-480", "title" : "The Mediterranean Sea under siege: spatial overlap between marine biodiversity, cumulative threats and marine reserves", "type" : "article-journal", "volume" : "21" }, "uris" : [ "http://www.mendeley.com/documents/?uuid=3b82f57d-ea9e-44ff-a58e-37046ced8299" ] }, { "id" : "ITEM-5", "itemData" : { "DOI" : "10.1111/acv.12013", "ISSN" : "13679430", "author" : [ { "dropping-particle" : "", "family" : "Rainho", "given" : "A.", "non-dropping-particle" : "", "parse-names" : false, "suffix" : "" }, { "dropping-particle" : "", "family" : "Palmeirim", "given" : "J. M.", "non-dropping-particle" : "", "parse-names" : false, "suffix" : "" } ], "container-title" : "Animal Conservation", "id" : "ITEM-5", "issue" : "4", "issued" : { "date-parts" : [ [ "2013", "2", "11" ] ] }, "note" : "reference swap as example of spatial prioritization in conservation", "page" : "438-448", "title" : "Prioritizing conservation areas around multispecies bat colonies using spatial modeling", "type" : "article-journal", "volume" : "16" }, "uris" : [ "http://www.mendeley.com/documents/?uuid=680a72cf-db99-4012-8723-c35ad15001eb" ] } ], "mendeley" : { "formattedCitation" : "(Brooks &lt;i&gt;et al.&lt;/i&gt; 2006; Pressey &lt;i&gt;et al.&lt;/i&gt; 2007; Watson &lt;i&gt;et al.&lt;/i&gt; 2011; Coll &lt;i&gt;et al.&lt;/i&gt; 2012; Rainho &amp; Palmeirim 2013)", "plainTextFormattedCitation" : "(Brooks et al. 2006; Pressey et al. 2007; Watson et al. 2011; Coll et al. 2012; Rainho &amp; Palmeirim 2013)", "previouslyFormattedCitation" : "(Brooks &lt;i&gt;et al.&lt;/i&gt; 2006; Pressey &lt;i&gt;et al.&lt;/i&gt; 2007; Watson &lt;i&gt;et al.&lt;/i&gt; 2011; Coll &lt;i&gt;et al.&lt;/i&gt; 2012; Rainho &amp; Palmeirim 2013)" }, "properties" : { "noteIndex" : 0 }, "schema" : "https://github.com/citation-style-language/schema/raw/master/csl-citation.json" }</w:instrText>
      </w:r>
      <w:r w:rsidR="00F01773" w:rsidRPr="00A22A3B">
        <w:rPr>
          <w:lang w:val="en-GB"/>
        </w:rPr>
        <w:fldChar w:fldCharType="separate"/>
      </w:r>
      <w:r w:rsidRPr="00A22A3B">
        <w:rPr>
          <w:noProof/>
          <w:lang w:val="en-GB"/>
        </w:rPr>
        <w:t xml:space="preserve">(Brooks </w:t>
      </w:r>
      <w:r w:rsidRPr="00A22A3B">
        <w:rPr>
          <w:i/>
          <w:noProof/>
          <w:lang w:val="en-GB"/>
        </w:rPr>
        <w:t>et al.</w:t>
      </w:r>
      <w:r w:rsidRPr="00A22A3B">
        <w:rPr>
          <w:noProof/>
          <w:lang w:val="en-GB"/>
        </w:rPr>
        <w:t xml:space="preserve"> 2006; Pressey </w:t>
      </w:r>
      <w:r w:rsidRPr="00A22A3B">
        <w:rPr>
          <w:i/>
          <w:noProof/>
          <w:lang w:val="en-GB"/>
        </w:rPr>
        <w:t>et al.</w:t>
      </w:r>
      <w:r w:rsidRPr="00A22A3B">
        <w:rPr>
          <w:noProof/>
          <w:lang w:val="en-GB"/>
        </w:rPr>
        <w:t xml:space="preserve"> 2007; Watson </w:t>
      </w:r>
      <w:r w:rsidRPr="00A22A3B">
        <w:rPr>
          <w:i/>
          <w:noProof/>
          <w:lang w:val="en-GB"/>
        </w:rPr>
        <w:t>et al.</w:t>
      </w:r>
      <w:r w:rsidRPr="00A22A3B">
        <w:rPr>
          <w:noProof/>
          <w:lang w:val="en-GB"/>
        </w:rPr>
        <w:t xml:space="preserve"> 2011; Coll </w:t>
      </w:r>
      <w:r w:rsidRPr="00A22A3B">
        <w:rPr>
          <w:i/>
          <w:noProof/>
          <w:lang w:val="en-GB"/>
        </w:rPr>
        <w:t>et al.</w:t>
      </w:r>
      <w:r w:rsidRPr="00A22A3B">
        <w:rPr>
          <w:noProof/>
          <w:lang w:val="en-GB"/>
        </w:rPr>
        <w:t xml:space="preserve"> 2012; Rainho &amp; Palmeirim 2013)</w:t>
      </w:r>
      <w:r w:rsidR="00F01773" w:rsidRPr="00A22A3B">
        <w:rPr>
          <w:lang w:val="en-GB"/>
        </w:rPr>
        <w:fldChar w:fldCharType="end"/>
      </w:r>
      <w:r w:rsidRPr="00A22A3B">
        <w:rPr>
          <w:lang w:val="en-GB"/>
        </w:rPr>
        <w:t xml:space="preserve"> and practice </w:t>
      </w:r>
      <w:r w:rsidR="00F01773" w:rsidRPr="00A22A3B">
        <w:rPr>
          <w:lang w:val="en-GB"/>
        </w:rPr>
        <w:fldChar w:fldCharType="begin" w:fldLock="1"/>
      </w:r>
      <w:r w:rsidR="00B32474">
        <w:rPr>
          <w:lang w:val="en-GB"/>
        </w:rPr>
        <w:instrText>ADDIN CSL_CITATION { "citationItems" : [ { "id" : "ITEM-1", "itemData" : { "DOI" : "10.1007/s10531-012-0269-3", "ISSN" : "0960-3115", "abstract" : "The principles of systematic conservation planning are now widely used by governments and non-government organizations alike to develop biodiversity conservation plans for countries, states, regions, and ecoregions. Many of the species and ecosystems these plans were designed to conserve are now being affected by climate change, and there is a critical need to incorporate new and complementary approaches into these plans that will aid species and ecosystems in adjusting to potential climate change impacts. We propose five approaches to climate change adaptation that can be integrated into existing or new biodiversity conservation plans: (1) conserving the geophysical stage, (2) protecting climatic refugia, (3) enhancing regional connectivity, (4) sustaining ecosystem process and function, and (5) capitalizing on opportunities emerging in response to climate change. We discuss both key assumptions behind each approach and the trade-offs involved in using the approach for conservation planning. We also summarize additional data beyond those typically used in systematic conservation plans required to implement these approaches. A major strength of these approaches is that they are largely robust to the uncertainty in how climate impacts may manifest in any given region.", "author" : [ { "dropping-particle" : "", "family" : "Groves", "given" : "Craig R.", "non-dropping-particle" : "", "parse-names" : false, "suffix" : "" }, { "dropping-particle" : "", "family" : "Game", "given" : "Edward T.", "non-dropping-particle" : "", "parse-names" : false, "suffix" : "" }, { "dropping-particle" : "", "family" : "Anderson", "given" : "Mark G.", "non-dropping-particle" : "", "parse-names" : false, "suffix" : "" }, { "dropping-particle" : "", "family" : "Cross", "given" : "Molly", "non-dropping-particle" : "", "parse-names" : false, "suffix" : "" }, { "dropping-particle" : "", "family" : "Enquist", "given" : "Carolyn", "non-dropping-particle" : "", "parse-names" : false, "suffix" : "" }, { "dropping-particle" : "", "family" : "Ferda\u00f1a", "given" : "Zach", "non-dropping-particle" : "", "parse-names" : false, "suffix" : "" }, { "dropping-particle" : "", "family" : "Girvetz", "given" : "Evan", "non-dropping-particle" : "", "parse-names" : false, "suffix" : "" }, { "dropping-particle" : "", "family" : "Gondor", "given" : "Anne", "non-dropping-particle" : "", "parse-names" : false, "suffix" : "" }, { "dropping-particle" : "", "family" : "Hall", "given" : "Kimberly R.", "non-dropping-particle" : "", "parse-names" : false, "suffix" : "" }, { "dropping-particle" : "", "family" : "Higgins", "given" : "Jonathan", "non-dropping-particle" : "", "parse-names" : false, "suffix" : "" }, { "dropping-particle" : "", "family" : "Marshall", "given" : "Rob", "non-dropping-particle" : "", "parse-names" : false, "suffix" : "" }, { "dropping-particle" : "", "family" : "Popper", "given" : "Ken", "non-dropping-particle" : "", "parse-names" : false, "suffix" : "" }, { "dropping-particle" : "", "family" : "Schill", "given" : "Steve", "non-dropping-particle" : "", "parse-names" : false, "suffix" : "" }, { "dropping-particle" : "", "family" : "Shafer", "given" : "Sarah L.", "non-dropping-particle" : "", "parse-names" : false, "suffix" : "" } ], "container-title" : "Biodiversity and Conservation", "id" : "ITEM-1", "issue" : "7", "issued" : { "date-parts" : [ [ "2012", "3", "17" ] ] }, "note" : "cited in SWAP as example of spatial prioritization in conservation practice", "page" : "1651-1671", "title" : "Incorporating climate change into systematic conservation planning", "type" : "article-journal", "volume" : "21" }, "uris" : [ "http://www.mendeley.com/documents/?uuid=afc9045f-417c-44a6-8103-043125e026fc" ] }, { "id" : "ITEM-2", "itemData" : { "DOI" : "10.1046/j.1523-1739.2003.01467.x", "ISSN" : "0888-8892", "abstract" : "Before widespread, informed collaboration can take place in conservation there must be a process of understanding the different approaches employed by different conservation organizations to conserve biodiversity. To begin this process and to help build understanding and collaboration, we provide a concep- tual map of 21 approaches currently being implemented by 13 conservation organizations. We examined each of these approaches according to (1) the nature of the conservation target\u2014the object(s) of the conserva- tion action; (2) whether the question addressed is where conservation should be done or how conservation should be done; (3) the scale (both grain and extent) of the approach; and (4) the principles that underlie the approach. These questions provide a good way of distinguishing between most of the approaches and re- veal that there is less competition between them than is assumed. We conclude that only with explicit under- standing can the conservation community and its supporters critically compare approaches and come to a consensus about a set of metrics for measuring and achieving global conservation.", "author" : [ { "dropping-particle" : "", "family" : "Redford", "given" : "Kent H.", "non-dropping-particle" : "", "parse-names" : false, "suffix" : "" }, { "dropping-particle" : "", "family" : "Coppolillo", "given" : "Peter", "non-dropping-particle" : "", "parse-names" : false, "suffix" : "" }, { "dropping-particle" : "", "family" : "Sanderson", "given" : "Eric W.", "non-dropping-particle" : "", "parse-names" : false, "suffix" : "" }, { "dropping-particle" : "", "family" : "Fonseca", "given" : "Gustavo A.B.", "non-dropping-particle" : "Da", "parse-names" : false, "suffix" : "" }, { "dropping-particle" : "", "family" : "Dinerstein", "given" : "Eric", "non-dropping-particle" : "", "parse-names" : false, "suffix" : "" }, { "dropping-particle" : "", "family" : "Groves", "given" : "Craig", "non-dropping-particle" : "", "parse-names" : false, "suffix" : "" }, { "dropping-particle" : "", "family" : "Mace", "given" : "Georgina", "non-dropping-particle" : "", "parse-names" : false, "suffix" : "" }, { "dropping-particle" : "", "family" : "Maginnis", "given" : "Stewart", "non-dropping-particle" : "", "parse-names" : false, "suffix" : "" }, { "dropping-particle" : "", "family" : "Mittermeier", "given" : "Russell A.", "non-dropping-particle" : "", "parse-names" : false, "suffix" : "" }, { "dropping-particle" : "", "family" : "Noss", "given" : "Reed", "non-dropping-particle" : "", "parse-names" : false, "suffix" : "" }, { "dropping-particle" : "", "family" : "Olson", "given" : "David", "non-dropping-particle" : "", "parse-names" : false, "suffix" : "" }, { "dropping-particle" : "", "family" : "Robinson", "given" : "John G.", "non-dropping-particle" : "", "parse-names" : false, "suffix" : "" }, { "dropping-particle" : "", "family" : "Vedder", "given" : "Amy", "non-dropping-particle" : "", "parse-names" : false, "suffix" : "" }, { "dropping-particle" : "", "family" : "Wright", "given" : "Michael", "non-dropping-particle" : "", "parse-names" : false, "suffix" : "" } ], "container-title" : "Conservation Biology", "id" : "ITEM-2", "issue" : "1", "issued" : { "date-parts" : [ [ "2003", "2" ] ] }, "page" : "116-131", "title" : "Mapping the conservation landscape", "type" : "article-journal", "volume" : "17" }, "uris" : [ "http://www.mendeley.com/documents/?uuid=6fdfe9dd-6ba1-4073-93bd-d86f23674d1a" ] }, { "id" : "ITEM-3", "itemData" : { "DOI" : "10.1017/S0030605309000945", "ISSN" : "0030-6053", "abstract" : "The Landscape Species Approach is a framework developed by the Wildlife Conservation Society for planning landscape-scale conservation based on a suite of focal species. The approach has so far been implemented at 12 terrestrial and two marine sites. We demonstrate the approach using two sites, the Adirondack Park, USA, and San Guillermo-Laguna Brava Landscape, Argentina. We describe the spatially explicit components, including steps to map the attainable (Biological Landscape), current, and future distribution of Landscape Species, human activities (Human Landscapes) and their impacts on Landscape Species, the possible impacts of conservation actions (Conservation Landscapes), and a procedure to set spatial conservation priorities. We discuss advantages and innovations of the approach, including how it incorporates both vulnerability of biodiversity and possible recovery. Finally, we discuss improvements that can be made to the approach, costs, and implications for conservation at the two sites.", "author" : [ { "dropping-particle" : "", "family" : "Didier", "given" : "Karl A.", "non-dropping-particle" : "", "parse-names" : false, "suffix" : "" }, { "dropping-particle" : "", "family" : "Glennon", "given" : "Michale J.", "non-dropping-particle" : "", "parse-names" : false, "suffix" : "" }, { "dropping-particle" : "", "family" : "Novaro", "given" : "Andr\u00e9s", "non-dropping-particle" : "", "parse-names" : false, "suffix" : "" }, { "dropping-particle" : "", "family" : "Sanderson", "given" : "Eric W.", "non-dropping-particle" : "", "parse-names" : false, "suffix" : "" }, { "dropping-particle" : "", "family" : "Strindberg", "given" : "Samantha", "non-dropping-particle" : "", "parse-names" : false, "suffix" : "" }, { "dropping-particle" : "", "family" : "Walker", "given" : "Susan", "non-dropping-particle" : "", "parse-names" : false, "suffix" : "" }, { "dropping-particle" : "", "family" : "Martino", "given" : "Seb\u00e1stian", "non-dropping-particle" : "Di", "parse-names" : false, "suffix" : "" } ], "container-title" : "Oryx", "id" : "ITEM-3", "issue" : "04", "issued" : { "date-parts" : [ [ "2009", "8", "3" ] ] }, "language" : "English", "note" : "cited in SWAP as example of spatial prioritization in conservation practice", "page" : "476-487", "publisher" : "Cambridge University Press", "title" : "The Landscape Species Approach: spatially-explicit conservation planning applied in the Adirondacks, USA, and San Guillermo-Laguna Brava, Argentina, landscapes", "type" : "article-journal", "volume" : "43" }, "uris" : [ "http://www.mendeley.com/documents/?uuid=d643205f-a561-4f83-a368-376f08a51907" ] }, { "id" : "ITEM-4", "itemData" : { "DOI" : "10.1017/S0030605309990536", "ISSN" : "0030-6053", "abstract" : "The African Wildlife Foundation (AWF) has developed and applied a landscape-scale conservation planning methodology in eight priority conservation landscapes in Africa, areas we call African Heartlands. The foundation of the African Heartland Program is a landscape-scale planning process that has been developed and applied as part of the overall Heartland Conservation Process. This process helps AWF and its partners develop intervention strategies that address critical threats to the ecological viability of these landscapes, and to specific biodiversity conservation targets, whilst also working to improve the livelihoods of local people. In applying this participatory planning process to eight conservation landscapes in Africa we have begun to document and learn about the benefits and limitations of planning and implementation at the landscape-scale with stakeholders. We draw out lessons on the challenges and successes from our experience. Central to this are the merits of balancing a systematic science-based and pragmatic approach to landscape-scale conservation planning while addressing the needs and aspirations of local people. This approach could be particularly useful for other large-scale conservation planning efforts in developing countries where conservation objectives and human livelihoods are inextricably linked.", "author" : [ { "dropping-particle" : "", "family" : "Henson", "given" : "Adam", "non-dropping-particle" : "", "parse-names" : false, "suffix" : "" }, { "dropping-particle" : "", "family" : "Williams", "given" : "David", "non-dropping-particle" : "", "parse-names" : false, "suffix" : "" }, { "dropping-particle" : "", "family" : "Dupain", "given" : "Jef", "non-dropping-particle" : "", "parse-names" : false, "suffix" : "" }, { "dropping-particle" : "", "family" : "Gichohi", "given" : "Helen", "non-dropping-particle" : "", "parse-names" : false, "suffix" : "" }, { "dropping-particle" : "", "family" : "Muruthi", "given" : "Philip", "non-dropping-particle" : "", "parse-names" : false, "suffix" : "" } ], "container-title" : "Oryx", "id" : "ITEM-4", "issue" : "04", "issued" : { "date-parts" : [ [ "2009", "9", "25" ] ] }, "language" : "English", "note" : "cited in SWAP as example of spatial prioritization in conservation practice", "page" : "508-519", "publisher" : "Cambridge University Press", "title" : "The Heartland Conservation Process: enhancing biodiversity conservation and livelihoods through landscape-scale conservation planning in Africa", "type" : "article-journal", "volume" : "43" }, "uris" : [ "http://www.mendeley.com/documents/?uuid=939e09a4-6398-4b52-9f18-dd2cbd97b17a" ] } ], "mendeley" : { "formattedCitation" : "(Redford &lt;i&gt;et al.&lt;/i&gt; 2003; Didier &lt;i&gt;et al.&lt;/i&gt; 2009; Henson &lt;i&gt;et al.&lt;/i&gt; 2009; Groves &lt;i&gt;et al.&lt;/i&gt; 2012)", "plainTextFormattedCitation" : "(Redford et al. 2003; Didier et al. 2009; Henson et al. 2009; Groves et al. 2012)", "previouslyFormattedCitation" : "(Redford &lt;i&gt;et al.&lt;/i&gt; 2003; Didier &lt;i&gt;et al.&lt;/i&gt; 2009; Henson &lt;i&gt;et al.&lt;/i&gt; 2009; Groves &lt;i&gt;et al.&lt;/i&gt; 2012)" }, "properties" : { "noteIndex" : 0 }, "schema" : "https://github.com/citation-style-language/schema/raw/master/csl-citation.json" }</w:instrText>
      </w:r>
      <w:r w:rsidR="00F01773" w:rsidRPr="00A22A3B">
        <w:rPr>
          <w:lang w:val="en-GB"/>
        </w:rPr>
        <w:fldChar w:fldCharType="separate"/>
      </w:r>
      <w:r w:rsidRPr="00A22A3B">
        <w:rPr>
          <w:noProof/>
          <w:lang w:val="en-GB"/>
        </w:rPr>
        <w:t xml:space="preserve">(Redford </w:t>
      </w:r>
      <w:r w:rsidRPr="00A22A3B">
        <w:rPr>
          <w:i/>
          <w:noProof/>
          <w:lang w:val="en-GB"/>
        </w:rPr>
        <w:t>et al.</w:t>
      </w:r>
      <w:r w:rsidRPr="00A22A3B">
        <w:rPr>
          <w:noProof/>
          <w:lang w:val="en-GB"/>
        </w:rPr>
        <w:t xml:space="preserve"> 2003; Didier </w:t>
      </w:r>
      <w:r w:rsidRPr="00A22A3B">
        <w:rPr>
          <w:i/>
          <w:noProof/>
          <w:lang w:val="en-GB"/>
        </w:rPr>
        <w:t>et al.</w:t>
      </w:r>
      <w:r w:rsidRPr="00A22A3B">
        <w:rPr>
          <w:noProof/>
          <w:lang w:val="en-GB"/>
        </w:rPr>
        <w:t xml:space="preserve"> 2009; Henson </w:t>
      </w:r>
      <w:r w:rsidRPr="00A22A3B">
        <w:rPr>
          <w:i/>
          <w:noProof/>
          <w:lang w:val="en-GB"/>
        </w:rPr>
        <w:t>et al.</w:t>
      </w:r>
      <w:r w:rsidRPr="00A22A3B">
        <w:rPr>
          <w:noProof/>
          <w:lang w:val="en-GB"/>
        </w:rPr>
        <w:t xml:space="preserve"> 2009; Groves </w:t>
      </w:r>
      <w:r w:rsidRPr="00A22A3B">
        <w:rPr>
          <w:i/>
          <w:noProof/>
          <w:lang w:val="en-GB"/>
        </w:rPr>
        <w:t>et al.</w:t>
      </w:r>
      <w:r w:rsidRPr="00A22A3B">
        <w:rPr>
          <w:noProof/>
          <w:lang w:val="en-GB"/>
        </w:rPr>
        <w:t xml:space="preserve"> 2012)</w:t>
      </w:r>
      <w:r w:rsidR="00F01773" w:rsidRPr="00A22A3B">
        <w:rPr>
          <w:lang w:val="en-GB"/>
        </w:rPr>
        <w:fldChar w:fldCharType="end"/>
      </w:r>
      <w:r w:rsidRPr="00A22A3B">
        <w:rPr>
          <w:lang w:val="en-GB"/>
        </w:rPr>
        <w:t xml:space="preserve"> of conservation. This is due to the long history of spatial conservation planning methods </w:t>
      </w:r>
      <w:r w:rsidR="00F01773" w:rsidRPr="00A22A3B">
        <w:rPr>
          <w:lang w:val="en-GB"/>
        </w:rPr>
        <w:fldChar w:fldCharType="begin" w:fldLock="1"/>
      </w:r>
      <w:r w:rsidR="00B32474">
        <w:rPr>
          <w:lang w:val="en-GB"/>
        </w:rPr>
        <w:instrText>ADDIN CSL_CITATION { "citationItems" : [ { "id" : "ITEM-1", "itemData" : { "abstract" : "A system of natural reserves, each surrounded by altered habitat, resembles a system of islands from the point of view of species restricted to natural habitats. Recent advances in island biogeography may provide a detailed basis for understanding what to expect of such a system of reserves. The main conclusions are as follows: The number of species that a reserve can hold at equilibrium is a function of its area and its isolation. Larger reserves, and reserves located close to other reserves, can hold more species. If most of the area of a habitat is destroyed, and a fraction of the area is saved as a reserve, the reserve will initially contain more species than it can hold at equilibrium. The excess will gradually go extinct. The smaller the reserve, the higher will be the extinction rates. Estimates of these extinction rates for bird and mammal species have recently become available in a few cases. Different species require different minimum areas to have a reasonable chance of survival. Some geometric design principles are suggested in order to optimise the function of reserves in saving species.", "author" : [ { "dropping-particle" : "", "family" : "Diamond", "given" : "Jared M.", "non-dropping-particle" : "", "parse-names" : false, "suffix" : "" } ], "container-title" : "Biological Conservation", "id" : "ITEM-1", "issue" : "2", "issued" : { "date-parts" : [ [ "1975" ] ] }, "page" : "129-146", "title" : "The island dilemma: Lessons of modern biogeographic studies for the design of natural reserves", "type" : "article-journal", "volume" : "7" }, "uris" : [ "http://www.mendeley.com/documents/?uuid=12875468-2676-46cd-864d-076cc86e15f4" ] }, { "id" : "ITEM-2", "itemData" : { "DOI" : "10.1038/35012251", "ISSN" : "0028-0836", "PMID" : "10821285", "abstract" : "The realization of conservation goals requires strategies for managing whole landscapes including areas allocated to both production and protection. Reserves alone are not adequate for nature conservation but they are the cornerstone on which regional strategies are built. Reserves have two main roles. They should sample or represent the biodiversity of each region and they should separate this biodiversity from processes that threaten its persistence. Existing reserve systems throughout the world contain a biased sample of biodiversity, usually that of remote places and other areas that are unsuitable for commercial activities. A more systematic approach to locating and designing reserves has been evolving and this approach will need to be implemented if a large proportion of today's biodiversity is to exist in a future of increasing numbers of people and their demands on natural resources.", "author" : [ { "dropping-particle" : "", "family" : "Margules", "given" : "C R", "non-dropping-particle" : "", "parse-names" : false, "suffix" : "" }, { "dropping-particle" : "", "family" : "Pressey", "given" : "R L", "non-dropping-particle" : "", "parse-names" : false, "suffix" : "" } ], "container-title" : "Nature", "id" : "ITEM-2", "issue" : "6783", "issued" : { "date-parts" : [ [ "2000", "5", "11" ] ] }, "page" : "243-53", "publisher" : "Macmillan Magazines Ltd.", "title" : "Systematic conservation planning.", "title-short" : "Nature", "type" : "article-journal", "volume" : "405" }, "uris" : [ "http://www.mendeley.com/documents/?uuid=d7156c22-6c19-4c21-b598-5bd802ee93a8" ] }, { "id" : "ITEM-3", "itemData" : { "ISBN" : "9781444335033", "author" : [ { "dropping-particle" : "", "family" : "Watson", "given" : "James E M", "non-dropping-particle" : "", "parse-names" : false, "suffix" : "" }, { "dropping-particle" : "", "family" : "Grantham", "given" : "Hedley S", "non-dropping-particle" : "", "parse-names" : false, "suffix" : "" }, { "dropping-particle" : "", "family" : "Wilson", "given" : "Kerrie A", "non-dropping-particle" : "", "parse-names" : false, "suffix" : "" }, { "dropping-particle" : "", "family" : "Possingham", "given" : "Hugh P", "non-dropping-particle" : "", "parse-names" : false, "suffix" : "" } ], "chapter-number" : "6", "container-title" : "Conservation Biogeography", "editor" : [ { "dropping-particle" : "", "family" : "Ladle", "given" : "R J", "non-dropping-particle" : "", "parse-names" : false, "suffix" : "" }, { "dropping-particle" : "", "family" : "Whittaker", "given" : "R J", "non-dropping-particle" : "", "parse-names" : false, "suffix" : "" } ], "id" : "ITEM-3", "issued" : { "date-parts" : [ [ "2011" ] ] }, "page" : "136-160", "publisher" : "John Wiley &amp; Sons, Ltd.", "publisher-place" : "Chichester, UK", "title" : "Systematic Conservation Planning: Past , Present and Future", "type" : "chapter" }, "uris" : [ "http://www.mendeley.com/documents/?uuid=de19d51c-d4ff-4523-b75b-2cc0cac1747a" ] } ], "mendeley" : { "formattedCitation" : "(Diamond 1975; Margules &amp; Pressey 2000; Watson &lt;i&gt;et al.&lt;/i&gt; 2011)", "plainTextFormattedCitation" : "(Diamond 1975; Margules &amp; Pressey 2000; Watson et al. 2011)", "previouslyFormattedCitation" : "(Diamond 1975; Margules &amp; Pressey 2000; Watson &lt;i&gt;et al.&lt;/i&gt; 2011)" }, "properties" : { "noteIndex" : 0 }, "schema" : "https://github.com/citation-style-language/schema/raw/master/csl-citation.json" }</w:instrText>
      </w:r>
      <w:r w:rsidR="00F01773" w:rsidRPr="00A22A3B">
        <w:rPr>
          <w:lang w:val="en-GB"/>
        </w:rPr>
        <w:fldChar w:fldCharType="separate"/>
      </w:r>
      <w:r w:rsidRPr="00A22A3B">
        <w:rPr>
          <w:noProof/>
          <w:lang w:val="en-GB"/>
        </w:rPr>
        <w:t xml:space="preserve">(Diamond 1975; Margules &amp; Pressey 2000; Watson </w:t>
      </w:r>
      <w:r w:rsidRPr="00A22A3B">
        <w:rPr>
          <w:i/>
          <w:noProof/>
          <w:lang w:val="en-GB"/>
        </w:rPr>
        <w:t>et al.</w:t>
      </w:r>
      <w:r w:rsidRPr="00A22A3B">
        <w:rPr>
          <w:noProof/>
          <w:lang w:val="en-GB"/>
        </w:rPr>
        <w:t xml:space="preserve"> 2011)</w:t>
      </w:r>
      <w:r w:rsidR="00F01773" w:rsidRPr="00A22A3B">
        <w:rPr>
          <w:lang w:val="en-GB"/>
        </w:rPr>
        <w:fldChar w:fldCharType="end"/>
      </w:r>
      <w:r w:rsidRPr="00A22A3B">
        <w:rPr>
          <w:lang w:val="en-GB"/>
        </w:rPr>
        <w:t xml:space="preserve">, to the recognition that conservation funding is limited </w:t>
      </w:r>
      <w:r w:rsidR="00F01773" w:rsidRPr="00A22A3B">
        <w:rPr>
          <w:lang w:val="en-GB"/>
        </w:rPr>
        <w:fldChar w:fldCharType="begin" w:fldLock="1"/>
      </w:r>
      <w:r w:rsidR="00B32474">
        <w:rPr>
          <w:lang w:val="en-GB"/>
        </w:rPr>
        <w:instrText>ADDIN CSL_CITATION { "citationItems" : [ { "id" : "ITEM-1", "itemData" : { "DOI" : "10.1126/science.279.5359.2126", "ISSN" : "00368075", "abstract" : "Efforts at species conservation in the United States have tended to be opportunistic and uncoordinated. Recently, however, ecologists and economists have begun to develop more systematic approaches. Here, the problem of efficiently allocating scarce conservation resources in the selection of sites for biological reserves is addressed. With the use of county-level data on land prices and the incidence of endangered species, it is shown that accounting for heterogeneity in land prices results in a substantial increase in efficiency in terms of either the cost of achieving a fixed coverage of species or the coverage attained from a fixed budget.", "author" : [ { "dropping-particle" : "", "family" : "Ando", "given" : "A.", "non-dropping-particle" : "", "parse-names" : false, "suffix" : "" } ], "container-title" : "Science", "id" : "ITEM-1", "issue" : "5359", "issued" : { "date-parts" : [ [ "1998", "3", "27" ] ] }, "note" : "reference in Ch 3 as an example of where to protect in reserve selection", "page" : "2126-2128", "title" : "Species Distributions, Land Values, and Efficient Conservation", "type" : "article-journal", "volume" : "279" }, "uris" : [ "http://www.mendeley.com/documents/?uuid=59c3bd96-44ee-46d2-a128-703a3d8dd172" ] }, { "id" : "ITEM-2", "itemData" : { "ISSN" : "0028-0836", "author" : [ { "dropping-particle" : "", "family" : "Myers", "given" : "Norman", "non-dropping-particle" : "", "parse-names" : false, "suffix" : "" }, { "dropping-particle" : "", "family" : "Mittermeier", "given" : "Russell A", "non-dropping-particle" : "", "parse-names" : false, "suffix" : "" }, { "dropping-particle" : "", "family" : "Mittermeier", "given" : "Cristina G", "non-dropping-particle" : "", "parse-names" : false, "suffix" : "" }, { "dropping-particle" : "", "family" : "Fonseca", "given" : "Gustavo A B", "non-dropping-particle" : "da", "parse-names" : false, "suffix" : "" }, { "dropping-particle" : "", "family" : "Kent", "given" : "Jennifer", "non-dropping-particle" : "", "parse-names" : false, "suffix" : "" } ], "container-title" : "Nature", "id" : "ITEM-2", "issue" : "6772", "issued" : { "date-parts" : [ [ "2000", "2", "24" ] ] }, "note" : "10.1038/35002501", "page" : "853-858", "title" : "Biodiversity hotspots for conservation priorities", "type" : "article-journal", "volume" : "403" }, "uris" : [ "http://www.mendeley.com/documents/?uuid=957a238f-2349-4299-90dd-7c62d36521f0" ] }, { "id" : "ITEM-3", "itemData" : { "DOI" : "10.1016/j.tree.2008.07.007", "ISSN" : "0169-5347", "PMID" : "18848367", "abstract" : "Conservation efforts and emergency medicine face comparable problems: how to use scarce resources wisely to conserve valuable assets. In both fields, the process of prioritising actions is known as triage. Although often used implicitly by conservation managers, scientists and policymakers, triage has been misinterpreted as the process of simply deciding which assets (e.g. species, habitats) will not receive investment. As a consequence, triage is sometimes associated with a defeatist conservation ethic. However, triage is no more than the efficient allocation of conservation resources and we risk wasting scarce resources if we do not follow its basic principles.", "author" : [ { "dropping-particle" : "", "family" : "Bottrill", "given" : "Madeleine C", "non-dropping-particle" : "", "parse-names" : false, "suffix" : "" }, { "dropping-particle" : "", "family" : "Joseph", "given" : "Liana N", "non-dropping-particle" : "", "parse-names" : false, "suffix" : "" }, { "dropping-particle" : "", "family" : "Carwardine", "given" : "Josie", "non-dropping-particle" : "", "parse-names" : false, "suffix" : "" }, { "dropping-particle" : "", "family" : "Bode", "given" : "Michael", "non-dropping-particle" : "", "parse-names" : false, "suffix" : "" }, { "dropping-particle" : "", "family" : "Cook", "given" : "Carly", "non-dropping-particle" : "", "parse-names" : false, "suffix" : "" }, { "dropping-particle" : "", "family" : "Game", "given" : "Edward T", "non-dropping-particle" : "", "parse-names" : false, "suffix" : "" }, { "dropping-particle" : "", "family" : "Grantham", "given" : "Hedley", "non-dropping-particle" : "", "parse-names" : false, "suffix" : "" }, { "dropping-particle" : "", "family" : "Kark", "given" : "Salit", "non-dropping-particle" : "", "parse-names" : false, "suffix" : "" }, { "dropping-particle" : "", "family" : "Linke", "given" : "Simon", "non-dropping-particle" : "", "parse-names" : false, "suffix" : "" }, { "dropping-particle" : "", "family" : "McDonald-Madden", "given" : "Eve", "non-dropping-particle" : "", "parse-names" : false, "suffix" : "" }, { "dropping-particle" : "", "family" : "Pressey", "given" : "Robert L", "non-dropping-particle" : "", "parse-names" : false, "suffix" : "" }, { "dropping-particle" : "", "family" : "Walker", "given" : "Susan", "non-dropping-particle" : "", "parse-names" : false, "suffix" : "" }, { "dropping-particle" : "", "family" : "Wilson", "given" : "Kerrie A", "non-dropping-particle" : "", "parse-names" : false, "suffix" : "" }, { "dropping-particle" : "", "family" : "Possingham", "given" : "Hugh P", "non-dropping-particle" : "", "parse-names" : false, "suffix" : "" } ], "container-title" : "Trends in ecology &amp; evolution", "id" : "ITEM-3", "issue" : "12", "issued" : { "date-parts" : [ [ "2008", "12" ] ] }, "page" : "649-54", "title" : "Is conservation triage just smart decision making?", "type" : "article-journal", "volume" : "23" }, "uris" : [ "http://www.mendeley.com/documents/?uuid=9f3b050f-3f70-4ff2-bb97-3787ce0757bc" ] } ], "mendeley" : { "formattedCitation" : "(Ando 1998; Myers &lt;i&gt;et al.&lt;/i&gt; 2000; Bottrill &lt;i&gt;et al.&lt;/i&gt; 2008)", "plainTextFormattedCitation" : "(Ando 1998; Myers et al. 2000; Bottrill et al. 2008)", "previouslyFormattedCitation" : "(Ando 1998; Myers &lt;i&gt;et al.&lt;/i&gt; 2000; Bottrill &lt;i&gt;et al.&lt;/i&gt; 2008)" }, "properties" : { "noteIndex" : 0 }, "schema" : "https://github.com/citation-style-language/schema/raw/master/csl-citation.json" }</w:instrText>
      </w:r>
      <w:r w:rsidR="00F01773" w:rsidRPr="00A22A3B">
        <w:rPr>
          <w:lang w:val="en-GB"/>
        </w:rPr>
        <w:fldChar w:fldCharType="separate"/>
      </w:r>
      <w:r w:rsidRPr="00A22A3B">
        <w:rPr>
          <w:noProof/>
          <w:lang w:val="en-GB"/>
        </w:rPr>
        <w:t xml:space="preserve">(Ando 1998; Myers </w:t>
      </w:r>
      <w:r w:rsidRPr="00A22A3B">
        <w:rPr>
          <w:i/>
          <w:noProof/>
          <w:lang w:val="en-GB"/>
        </w:rPr>
        <w:t>et al.</w:t>
      </w:r>
      <w:r w:rsidRPr="00A22A3B">
        <w:rPr>
          <w:noProof/>
          <w:lang w:val="en-GB"/>
        </w:rPr>
        <w:t xml:space="preserve"> 2000; Bottrill </w:t>
      </w:r>
      <w:r w:rsidRPr="00A22A3B">
        <w:rPr>
          <w:i/>
          <w:noProof/>
          <w:lang w:val="en-GB"/>
        </w:rPr>
        <w:t>et al.</w:t>
      </w:r>
      <w:r w:rsidRPr="00A22A3B">
        <w:rPr>
          <w:noProof/>
          <w:lang w:val="en-GB"/>
        </w:rPr>
        <w:t xml:space="preserve"> 2008)</w:t>
      </w:r>
      <w:r w:rsidR="00F01773" w:rsidRPr="00A22A3B">
        <w:rPr>
          <w:lang w:val="en-GB"/>
        </w:rPr>
        <w:fldChar w:fldCharType="end"/>
      </w:r>
      <w:r w:rsidRPr="00A22A3B">
        <w:rPr>
          <w:lang w:val="en-GB"/>
        </w:rPr>
        <w:t xml:space="preserve"> and to the spatial nature of many conservation decisions </w:t>
      </w:r>
      <w:r w:rsidR="00F01773" w:rsidRPr="00A22A3B">
        <w:rPr>
          <w:lang w:val="en-GB"/>
        </w:rPr>
        <w:fldChar w:fldCharType="begin" w:fldLock="1"/>
      </w:r>
      <w:r w:rsidR="00B32474">
        <w:rPr>
          <w:lang w:val="en-GB"/>
        </w:rPr>
        <w:instrText>ADDIN CSL_CITATION { "citationItems" : [ { "id" : "ITEM-1", "itemData" : { "DOI" : "10.1016/j.tree.2007.10.001", "ISSN" : "0169-5347", "PMID" : "17981360", "abstract" : "Conservation planning is the process of locating, configuring, implementing and maintaining areas that are managed to promote the persistence of biodiversity and other natural values. Conservation planning is inherently spatial. The science behind it has solved important spatial problems and increasingly influenced practice. To be effective, however, conservation planning must deal better with two types of change. First, biodiversity is not static in time or space but generated and maintained by natural processes. Second, humans are altering the planet in diverse ways at ever faster rates.", "author" : [ { "dropping-particle" : "", "family" : "Pressey", "given" : "Robert L", "non-dropping-particle" : "", "parse-names" : false, "suffix" : "" }, { "dropping-particle" : "", "family" : "Cabeza", "given" : "Mar", "non-dropping-particle" : "", "parse-names" : false, "suffix" : "" }, { "dropping-particle" : "", "family" : "Watts", "given" : "Matthew E", "non-dropping-particle" : "", "parse-names" : false, "suffix" : "" }, { "dropping-particle" : "", "family" : "Cowling", "given" : "Richard M", "non-dropping-particle" : "", "parse-names" : false, "suffix" : "" }, { "dropping-particle" : "", "family" : "Wilson", "given" : "Kerrie A", "non-dropping-particle" : "", "parse-names" : false, "suffix" : "" } ], "container-title" : "Trends in ecology &amp; evolution", "id" : "ITEM-1", "issue" : "11", "issued" : { "date-parts" : [ [ "2007", "11" ] ] }, "note" : "same title as my dissertation", "page" : "583-92", "title" : "Conservation planning in a changing world.", "type" : "article-journal", "volume" : "22" }, "uris" : [ "http://www.mendeley.com/documents/?uuid=96998794-af98-4cba-8fe4-7f3555e69ca5" ] } ], "mendeley" : { "formattedCitation" : "(Pressey &lt;i&gt;et al.&lt;/i&gt; 2007)", "plainTextFormattedCitation" : "(Pressey et al. 2007)", "previouslyFormattedCitation" : "(Pressey &lt;i&gt;et al.&lt;/i&gt; 2007)" }, "properties" : { "noteIndex" : 0 }, "schema" : "https://github.com/citation-style-language/schema/raw/master/csl-citation.json" }</w:instrText>
      </w:r>
      <w:r w:rsidR="00F01773" w:rsidRPr="00A22A3B">
        <w:rPr>
          <w:lang w:val="en-GB"/>
        </w:rPr>
        <w:fldChar w:fldCharType="separate"/>
      </w:r>
      <w:r w:rsidRPr="00A22A3B">
        <w:rPr>
          <w:noProof/>
          <w:lang w:val="en-GB"/>
        </w:rPr>
        <w:t xml:space="preserve">(Pressey </w:t>
      </w:r>
      <w:r w:rsidRPr="00A22A3B">
        <w:rPr>
          <w:i/>
          <w:noProof/>
          <w:lang w:val="en-GB"/>
        </w:rPr>
        <w:t>et al.</w:t>
      </w:r>
      <w:r w:rsidRPr="00A22A3B">
        <w:rPr>
          <w:noProof/>
          <w:lang w:val="en-GB"/>
        </w:rPr>
        <w:t xml:space="preserve"> 2007)</w:t>
      </w:r>
      <w:r w:rsidR="00F01773" w:rsidRPr="00A22A3B">
        <w:rPr>
          <w:lang w:val="en-GB"/>
        </w:rPr>
        <w:fldChar w:fldCharType="end"/>
      </w:r>
      <w:r w:rsidRPr="00A22A3B">
        <w:rPr>
          <w:lang w:val="en-GB"/>
        </w:rPr>
        <w:t xml:space="preserve">. Prioritization methods vary depending on the conservation goals, expertise and data available to planners. Priorities may be determined by local species richness or biodiversity uniqueness </w:t>
      </w:r>
      <w:r w:rsidR="00F01773" w:rsidRPr="00A22A3B">
        <w:rPr>
          <w:lang w:val="en-GB"/>
        </w:rPr>
        <w:fldChar w:fldCharType="begin" w:fldLock="1"/>
      </w:r>
      <w:r w:rsidR="00B32474">
        <w:rPr>
          <w:lang w:val="en-GB"/>
        </w:rPr>
        <w:instrText>ADDIN CSL_CITATION { "citationItems" : [ { "id" : "ITEM-1", "itemData" : { "DOI" : "10.1016/S0006-3207(96)00068-7", "ISSN" : "00063207", "abstract" : "We compare the number of species represented and the spatial pattern of reserve networks derived using five types of reserve selection algorithms on a set of vertebrate distribution data for the State of Oregon (USA). The algorithms compared are: richness-based heuristic algorithms (four variations), weighted rarity-based heuristic algorithms (two variations), progressive rarity-based heuristic algorithms (11 variations), simulated annealing, and a linear programming-based branch-and-bound algorithm. The linear programming algorithm provided optimal solutions to the reserve selection problem, finding either the maximum number of species for a given number of sites or the minimum number of sites needed to represent all species. Where practical, we recommend the use of linear programming algorithms for reserve network selection. However, several simple heuristic algorithms provided near-optimal solutions for these data. The near-optimality, speed and simplicity of heuristic algorithms suggests that they are acceptable alternatives for many reserve selection problems, especially when dealing with large data sets or complicated analyses.", "author" : [ { "dropping-particle" : "", "family" : "Csuti", "given" : "Blair", "non-dropping-particle" : "", "parse-names" : false, "suffix" : "" }, { "dropping-particle" : "", "family" : "Polasky", "given" : "Stephen", "non-dropping-particle" : "", "parse-names" : false, "suffix" : "" }, { "dropping-particle" : "", "family" : "Williams", "given" : "Paul H.", "non-dropping-particle" : "", "parse-names" : false, "suffix" : "" }, { "dropping-particle" : "", "family" : "Pressey", "given" : "Robert L.", "non-dropping-particle" : "", "parse-names" : false, "suffix" : "" }, { "dropping-particle" : "", "family" : "Camm", "given" : "Jeffrey D.", "non-dropping-particle" : "", "parse-names" : false, "suffix" : "" }, { "dropping-particle" : "", "family" : "Kershaw", "given" : "Melanie", "non-dropping-particle" : "", "parse-names" : false, "suffix" : "" }, { "dropping-particle" : "", "family" : "Kiester", "given" : "A.Ross", "non-dropping-particle" : "", "parse-names" : false, "suffix" : "" }, { "dropping-particle" : "", "family" : "Downs", "given" : "Brian", "non-dropping-particle" : "", "parse-names" : false, "suffix" : "" }, { "dropping-particle" : "", "family" : "Hamilton", "given" : "Richard", "non-dropping-particle" : "", "parse-names" : false, "suffix" : "" }, { "dropping-particle" : "", "family" : "Huso", "given" : "Manuela", "non-dropping-particle" : "", "parse-names" : false, "suffix" : "" }, { "dropping-particle" : "", "family" : "Sahr", "given" : "Kevin", "non-dropping-particle" : "", "parse-names" : false, "suffix" : "" } ], "container-title" : "Biological Conservation", "id" : "ITEM-1", "issue" : "1", "issued" : { "date-parts" : [ [ "1997", "4" ] ] }, "note" : "site selection based on various complementarity approaches. Although they claim to prioritize by (non-complementary) richness, they actually do so in a complementary fashion. They look at 19 different algorithms for reserve creation in Oregon, using expert based probabilities of occurrence for 426 species. They use a binary integer programming problem and solve it with greedy algorithms, simulated annealing, and branch and bound. There arent huge differences between heuristic and exact solution methods, though in some cases you get 10-12 species not covered by using a heuristic.", "page" : "83-97", "title" : "A comparison of reserve selection algorithms using data on terrestrial vertebrates in Oregon", "type" : "article-journal", "volume" : "80" }, "uris" : [ "http://www.mendeley.com/documents/?uuid=b01dff64-58e3-4d8c-8214-288fc3834dde" ] }, { "id" : "ITEM-2", "itemData" : { "ISSN" : "0028-0836", "author" : [ { "dropping-particle" : "", "family" : "Myers", "given" : "Norman", "non-dropping-particle" : "", "parse-names" : false, "suffix" : "" }, { "dropping-particle" : "", "family" : "Mittermeier", "given" : "Russell A", "non-dropping-particle" : "", "parse-names" : false, "suffix" : "" }, { "dropping-particle" : "", "family" : "Mittermeier", "given" : "Cristina G", "non-dropping-particle" : "", "parse-names" : false, "suffix" : "" }, { "dropping-particle" : "", "family" : "Fonseca", "given" : "Gustavo A B", "non-dropping-particle" : "da", "parse-names" : false, "suffix" : "" }, { "dropping-particle" : "", "family" : "Kent", "given" : "Jennifer", "non-dropping-particle" : "", "parse-names" : false, "suffix" : "" } ], "container-title" : "Nature", "id" : "ITEM-2", "issue" : "6772", "issued" : { "date-parts" : [ [ "2000", "2", "24" ] ] }, "note" : "10.1038/35002501", "page" : "853-858", "title" : "Biodiversity hotspots for conservation priorities", "type" : "article-journal", "volume" : "403" }, "uris" : [ "http://www.mendeley.com/documents/?uuid=957a238f-2349-4299-90dd-7c62d36521f0" ] } ], "mendeley" : { "formattedCitation" : "(Csuti &lt;i&gt;et al.&lt;/i&gt; 1997; Myers &lt;i&gt;et al.&lt;/i&gt; 2000)", "plainTextFormattedCitation" : "(Csuti et al. 1997; Myers et al. 2000)", "previouslyFormattedCitation" : "(Csuti &lt;i&gt;et al.&lt;/i&gt; 1997; Myers &lt;i&gt;et al.&lt;/i&gt; 2000)" }, "properties" : { "noteIndex" : 0 }, "schema" : "https://github.com/citation-style-language/schema/raw/master/csl-citation.json" }</w:instrText>
      </w:r>
      <w:r w:rsidR="00F01773" w:rsidRPr="00A22A3B">
        <w:rPr>
          <w:lang w:val="en-GB"/>
        </w:rPr>
        <w:fldChar w:fldCharType="separate"/>
      </w:r>
      <w:r w:rsidRPr="00A22A3B">
        <w:rPr>
          <w:noProof/>
          <w:lang w:val="en-GB"/>
        </w:rPr>
        <w:t xml:space="preserve">(Csuti </w:t>
      </w:r>
      <w:r w:rsidRPr="00A22A3B">
        <w:rPr>
          <w:i/>
          <w:noProof/>
          <w:lang w:val="en-GB"/>
        </w:rPr>
        <w:t>et al.</w:t>
      </w:r>
      <w:r w:rsidRPr="00A22A3B">
        <w:rPr>
          <w:noProof/>
          <w:lang w:val="en-GB"/>
        </w:rPr>
        <w:t xml:space="preserve"> 1997; Myers </w:t>
      </w:r>
      <w:r w:rsidRPr="00A22A3B">
        <w:rPr>
          <w:i/>
          <w:noProof/>
          <w:lang w:val="en-GB"/>
        </w:rPr>
        <w:t>et al.</w:t>
      </w:r>
      <w:r w:rsidRPr="00A22A3B">
        <w:rPr>
          <w:noProof/>
          <w:lang w:val="en-GB"/>
        </w:rPr>
        <w:t xml:space="preserve"> 2000)</w:t>
      </w:r>
      <w:r w:rsidR="00F01773" w:rsidRPr="00A22A3B">
        <w:rPr>
          <w:lang w:val="en-GB"/>
        </w:rPr>
        <w:fldChar w:fldCharType="end"/>
      </w:r>
      <w:r w:rsidRPr="00A22A3B">
        <w:rPr>
          <w:lang w:val="en-GB"/>
        </w:rPr>
        <w:t xml:space="preserve">, by metrics of threat </w:t>
      </w:r>
      <w:r w:rsidR="00F01773" w:rsidRPr="00A22A3B">
        <w:rPr>
          <w:lang w:val="en-GB"/>
        </w:rPr>
        <w:fldChar w:fldCharType="begin" w:fldLock="1"/>
      </w:r>
      <w:r w:rsidR="00B32474">
        <w:rPr>
          <w:lang w:val="en-GB"/>
        </w:rPr>
        <w:instrText>ADDIN CSL_CITATION { "citationItems" : [ { "id" : "ITEM-1", "itemData" : { "DOI" : "10.1016/j.tree.2007.10.001", "ISSN" : "0169-5347", "PMID" : "17981360", "abstract" : "Conservation planning is the process of locating, configuring, implementing and maintaining areas that are managed to promote the persistence of biodiversity and other natural values. Conservation planning is inherently spatial. The science behind it has solved important spatial problems and increasingly influenced practice. To be effective, however, conservation planning must deal better with two types of change. First, biodiversity is not static in time or space but generated and maintained by natural processes. Second, humans are altering the planet in diverse ways at ever faster rates.", "author" : [ { "dropping-particle" : "", "family" : "Pressey", "given" : "Robert L", "non-dropping-particle" : "", "parse-names" : false, "suffix" : "" }, { "dropping-particle" : "", "family" : "Cabeza", "given" : "Mar", "non-dropping-particle" : "", "parse-names" : false, "suffix" : "" }, { "dropping-particle" : "", "family" : "Watts", "given" : "Matthew E", "non-dropping-particle" : "", "parse-names" : false, "suffix" : "" }, { "dropping-particle" : "", "family" : "Cowling", "given" : "Richard M", "non-dropping-particle" : "", "parse-names" : false, "suffix" : "" }, { "dropping-particle" : "", "family" : "Wilson", "given" : "Kerrie A", "non-dropping-particle" : "", "parse-names" : false, "suffix" : "" } ], "container-title" : "Trends in ecology &amp; evolution", "id" : "ITEM-1", "issue" : "11", "issued" : { "date-parts" : [ [ "2007", "11" ] ] }, "note" : "same title as my dissertation", "page" : "583-92", "title" : "Conservation planning in a changing world.", "type" : "article-journal", "volume" : "22" }, "uris" : [ "http://www.mendeley.com/documents/?uuid=96998794-af98-4cba-8fe4-7f3555e69ca5" ] }, { "id" : "ITEM-2", "itemData" : { "DOI" : "10.1111/j.1523-1739.2008.01124.x", "ISSN" : "1523-1739", "PMID" : "19183202", "abstract" : "Conservation funds are grossly inadequate to address the plight of threatened species. Government and conservation organizations faced with the task of conserving threatened species desperately need simple strategies for allocating limited resources. The academic literature dedicated to systematic priority setting usually recommends ranking species on several criteria, including level of endangerment and metrics of species value such as evolutionary distinctiveness, ecological importance, and social significance. These approaches ignore 2 crucial factors: the cost of management and the likelihood that the management will succeed. These oversights will result in misallocation of scarce conservation resources and possibly unnecessary losses. We devised a project prioritization protocol (PPP) to optimize resource allocation among New Zealand's threatened-species projects, where costs, benefits (including species values), and the likelihood of management success were considered simultaneously. We compared the number of species managed and the expected benefits gained with 5 prioritization criteria: PPP with weightings based on species value; PPP with species weighted equally; management costs; species value; and threat status. We found that the rational use of cost and success information substantially increased the number of species managed, and prioritizing management projects according to species value or threat status in isolation was inefficient and resulted in fewer species managed. In addition, we found a clear trade-off between funding management of a greater number of the most cost-efficient and least risky projects and funding fewer projects to manage the species of higher value. Specifically, 11 of 32 species projects could be funded if projects were weighted by species value compared with 16 projects if projects were not weighted. This highlights the value of a transparent decision-making process, which enables a careful consideration of trade-offs. The use of PPP can substantially improve conservation outcomes for threatened species by increasing efficiency and ensuring transparency of management decisions.", "author" : [ { "dropping-particle" : "", "family" : "Joseph", "given" : "Liana N", "non-dropping-particle" : "", "parse-names" : false, "suffix" : "" }, { "dropping-particle" : "", "family" : "Maloney", "given" : "Richard F", "non-dropping-particle" : "", "parse-names" : false, "suffix" : "" }, { "dropping-particle" : "", "family" : "Possingham", "given" : "Hugh P", "non-dropping-particle" : "", "parse-names" : false, "suffix" : "" } ], "container-title" : "Conservation Biology", "id" : "ITEM-2", "issue" : "2", "issued" : { "date-parts" : [ [ "2009", "4" ] ] }, "page" : "328-338", "title" : "Optimal allocation of resources among threatened species: a project prioritization protocol.", "type" : "article-journal", "volume" : "23" }, "uris" : [ "http://www.mendeley.com/documents/?uuid=1e7a1736-d7a0-414d-82bc-49f9264b4b14" ] }, { "id" : "ITEM-3", "itemData" : { "DOI" : "10.1111/j.1755-263X.2012.00228.x", "ISSN" : "1755263X", "author" : [ { "dropping-particle" : "", "family" : "Carwardine", "given" : "Josie", "non-dropping-particle" : "", "parse-names" : false, "suffix" : "" }, { "dropping-particle" : "", "family" : "O\u2019Connor", "given" : "Trudy", "non-dropping-particle" : "", "parse-names" : false, "suffix" : "" }, { "dropping-particle" : "", "family" : "Legge", "given" : "Sarah", "non-dropping-particle" : "", "parse-names" : false, "suffix" : "" }, { "dropping-particle" : "", "family" : "Mackey", "given" : "Brendan", "non-dropping-particle" : "", "parse-names" : false, "suffix" : "" }, { "dropping-particle" : "", "family" : "Possingham", "given" : "Hugh P.", "non-dropping-particle" : "", "parse-names" : false, "suffix" : "" }, { "dropping-particle" : "", "family" : "Martin", "given" : "Tara G.", "non-dropping-particle" : "", "parse-names" : false, "suffix" : "" } ], "container-title" : "Conservation Letters", "id" : "ITEM-3", "issue" : "3", "issued" : { "date-parts" : [ [ "2012", "6", "8" ] ] }, "note" : "swap threat prioritization", "page" : "196-204", "title" : "Prioritizing threat management for biodiversity conservation", "type" : "article-journal", "volume" : "5" }, "uris" : [ "http://www.mendeley.com/documents/?uuid=6e71b8e3-82ac-418b-86b6-338e518f919c" ] } ], "mendeley" : { "formattedCitation" : "(Pressey &lt;i&gt;et al.&lt;/i&gt; 2007; Joseph, Maloney &amp; Possingham 2009; Carwardine &lt;i&gt;et al.&lt;/i&gt; 2012)", "plainTextFormattedCitation" : "(Pressey et al. 2007; Joseph, Maloney &amp; Possingham 2009; Carwardine et al. 2012)", "previouslyFormattedCitation" : "(Pressey &lt;i&gt;et al.&lt;/i&gt; 2007; Joseph, Maloney &amp; Possingham 2009; Carwardine &lt;i&gt;et al.&lt;/i&gt; 2012)" }, "properties" : { "noteIndex" : 0 }, "schema" : "https://github.com/citation-style-language/schema/raw/master/csl-citation.json" }</w:instrText>
      </w:r>
      <w:r w:rsidR="00F01773" w:rsidRPr="00A22A3B">
        <w:rPr>
          <w:lang w:val="en-GB"/>
        </w:rPr>
        <w:fldChar w:fldCharType="separate"/>
      </w:r>
      <w:r w:rsidRPr="00A22A3B">
        <w:rPr>
          <w:noProof/>
          <w:lang w:val="en-GB"/>
        </w:rPr>
        <w:t xml:space="preserve">(Pressey </w:t>
      </w:r>
      <w:r w:rsidRPr="00A22A3B">
        <w:rPr>
          <w:i/>
          <w:noProof/>
          <w:lang w:val="en-GB"/>
        </w:rPr>
        <w:t>et al.</w:t>
      </w:r>
      <w:r w:rsidRPr="00A22A3B">
        <w:rPr>
          <w:noProof/>
          <w:lang w:val="en-GB"/>
        </w:rPr>
        <w:t xml:space="preserve"> 2007; Joseph, Maloney &amp; Possingham 2009; Carwardine </w:t>
      </w:r>
      <w:r w:rsidRPr="00A22A3B">
        <w:rPr>
          <w:i/>
          <w:noProof/>
          <w:lang w:val="en-GB"/>
        </w:rPr>
        <w:t>et al.</w:t>
      </w:r>
      <w:r w:rsidRPr="00A22A3B">
        <w:rPr>
          <w:noProof/>
          <w:lang w:val="en-GB"/>
        </w:rPr>
        <w:t xml:space="preserve"> 2012)</w:t>
      </w:r>
      <w:r w:rsidR="00F01773" w:rsidRPr="00A22A3B">
        <w:rPr>
          <w:lang w:val="en-GB"/>
        </w:rPr>
        <w:fldChar w:fldCharType="end"/>
      </w:r>
      <w:r w:rsidRPr="00A22A3B">
        <w:rPr>
          <w:lang w:val="en-GB"/>
        </w:rPr>
        <w:t xml:space="preserve"> or many other factors. This variation in method, along with variation in the data used in a particular evaluation, can lead to very different decisions about where, when and how to take action </w:t>
      </w:r>
      <w:r w:rsidR="00F01773" w:rsidRPr="00A22A3B">
        <w:rPr>
          <w:lang w:val="en-GB"/>
        </w:rPr>
        <w:fldChar w:fldCharType="begin" w:fldLock="1"/>
      </w:r>
      <w:r w:rsidR="00B32474">
        <w:rPr>
          <w:lang w:val="en-GB"/>
        </w:rPr>
        <w:instrText>ADDIN CSL_CITATION { "citationItems" : [ { "id" : "ITEM-1", "itemData" : { "DOI" : "10.1016/j.biocon.2004.07.004", "ISSN" : "00063207", "abstract" : "The main role of conservation planning is to design reserve networks to protect biodiversity in situ. Research within the field of conservation planning has focused on the development of theories and tools to design reserve networks that protect biodiversity in an efficient and representative manner. Whilst much progress has been made in this regard, there has been limited assessment of the sensitivity of conservation planning outcomes to uncertainty associated with the datasets used for conservation planning. Predicted species distribution data are commonly used for conservation planning because the alternatives (e.g. survey data) are incomplete or biased spatially. However, there may be considerable uncertainty associated with the use of predicted species distribution data, particularly given the variety of approaches available to generate a dataset from such predictions for use in conservation planning. These approaches range from using the probabilistic data directly to using a threshold identified a priori or a posteriori to convert the probabilistic data to presence/absence data. We assess the sensitivity of conservation planning outcomes to different uses of predicted species distribution data. The resulting reserve networks differed, and had different expected species representation. The choice of approach will depend on how much risk a conservation planner is willing to tolerate and how much efficiency can be sacrificed.", "author" : [ { "dropping-particle" : "", "family" : "Wilson", "given" : "Kerrie A.", "non-dropping-particle" : "", "parse-names" : false, "suffix" : "" }, { "dropping-particle" : "", "family" : "Westphal", "given" : "Michael I.", "non-dropping-particle" : "", "parse-names" : false, "suffix" : "" }, { "dropping-particle" : "", "family" : "Possingham", "given" : "Hugh P.", "non-dropping-particle" : "", "parse-names" : false, "suffix" : "" }, { "dropping-particle" : "", "family" : "Elith", "given" : "Jane", "non-dropping-particle" : "", "parse-names" : false, "suffix" : "" } ], "container-title" : "Biological Conservation", "id" : "ITEM-1", "issue" : "1", "issued" : { "date-parts" : [ [ "2005", "3" ] ] }, "page" : "99-112", "title" : "Sensitivity of conservation planning to different approaches to using predicted species distribution data", "type" : "article-journal", "volume" : "122" }, "uris" : [ "http://www.mendeley.com/documents/?uuid=6a3b8114-0dda-4dd4-92d7-9efb2295b46a" ] }, { "id" : "ITEM-2", "itemData" : { "DOI" : "10.1111/j.1461-0248.2006.00970.x", "ISSN" : "1461-0248", "PMID" : "16972877", "abstract" : "Data on the occurrence of species are widely used to inform the design of reserve networks. These data contain commission errors (when a species is mistakenly thought to be present) and omission errors (when a species is mistakenly thought to be absent), and the rates of the two types of error are inversely related. Point locality data can minimize commission errors, but those obtained from museum collections are generally sparse, suffer from substantial spatial bias and contain large omission errors. Geographic ranges generate large commission errors because they assume homogenous species distributions. Predicted distribution data make explicit inferences on species occurrence and their commission and omission errors depend on model structure, on the omission of variables that determine species distribution and on data resolution. Omission errors lead to identifying networks of areas for conservation action that are smaller than required and centred on known species occurrences, thus affecting the comprehensiveness, representativeness and efficiency of selected areas. Commission errors lead to selecting areas not relevant to conservation, thus affecting the representativeness and adequacy of reserve networks. Conservation plans should include an estimation of commission and omission errors in underlying species data and explicitly use this information to influence conservation planning outcomes.", "author" : [ { "dropping-particle" : "", "family" : "Rondinini", "given" : "Carlo", "non-dropping-particle" : "", "parse-names" : false, "suffix" : "" }, { "dropping-particle" : "", "family" : "Wilson", "given" : "Kerrie A", "non-dropping-particle" : "", "parse-names" : false, "suffix" : "" }, { "dropping-particle" : "", "family" : "Boitani", "given" : "Luigi", "non-dropping-particle" : "", "parse-names" : false, "suffix" : "" }, { "dropping-particle" : "", "family" : "Grantham", "given" : "Hedley", "non-dropping-particle" : "", "parse-names" : false, "suffix" : "" }, { "dropping-particle" : "", "family" : "Possingham", "given" : "Hugh P", "non-dropping-particle" : "", "parse-names" : false, "suffix" : "" } ], "container-title" : "Ecology letters", "id" : "ITEM-2", "issue" : "10", "issued" : { "date-parts" : [ [ "2006", "10" ] ] }, "page" : "1136-45", "title" : "Tradeoffs of different types of species occurrence data for use in systematic conservation planning.", "type" : "article-journal", "volume" : "9" }, "uris" : [ "http://www.mendeley.com/documents/?uuid=ae1efcb1-d27d-45ac-879b-057a0c0c41b6" ] } ], "mendeley" : { "formattedCitation" : "(Wilson &lt;i&gt;et al.&lt;/i&gt; 2005; Rondinini &lt;i&gt;et al.&lt;/i&gt; 2006)", "plainTextFormattedCitation" : "(Wilson et al. 2005; Rondinini et al. 2006)", "previouslyFormattedCitation" : "(Wilson &lt;i&gt;et al.&lt;/i&gt; 2005; Rondinini &lt;i&gt;et al.&lt;/i&gt; 2006)" }, "properties" : { "noteIndex" : 0 }, "schema" : "https://github.com/citation-style-language/schema/raw/master/csl-citation.json" }</w:instrText>
      </w:r>
      <w:r w:rsidR="00F01773" w:rsidRPr="00A22A3B">
        <w:rPr>
          <w:lang w:val="en-GB"/>
        </w:rPr>
        <w:fldChar w:fldCharType="separate"/>
      </w:r>
      <w:r w:rsidRPr="00A22A3B">
        <w:rPr>
          <w:noProof/>
          <w:lang w:val="en-GB"/>
        </w:rPr>
        <w:t xml:space="preserve">(Wilson </w:t>
      </w:r>
      <w:r w:rsidRPr="00A22A3B">
        <w:rPr>
          <w:i/>
          <w:noProof/>
          <w:lang w:val="en-GB"/>
        </w:rPr>
        <w:t>et al.</w:t>
      </w:r>
      <w:r w:rsidRPr="00A22A3B">
        <w:rPr>
          <w:noProof/>
          <w:lang w:val="en-GB"/>
        </w:rPr>
        <w:t xml:space="preserve"> 2005; Rondinini </w:t>
      </w:r>
      <w:r w:rsidRPr="00A22A3B">
        <w:rPr>
          <w:i/>
          <w:noProof/>
          <w:lang w:val="en-GB"/>
        </w:rPr>
        <w:t>et al.</w:t>
      </w:r>
      <w:r w:rsidRPr="00A22A3B">
        <w:rPr>
          <w:noProof/>
          <w:lang w:val="en-GB"/>
        </w:rPr>
        <w:t xml:space="preserve"> 2006)</w:t>
      </w:r>
      <w:r w:rsidR="00F01773" w:rsidRPr="00A22A3B">
        <w:rPr>
          <w:lang w:val="en-GB"/>
        </w:rPr>
        <w:fldChar w:fldCharType="end"/>
      </w:r>
      <w:r w:rsidRPr="00A22A3B">
        <w:rPr>
          <w:lang w:val="en-GB"/>
        </w:rPr>
        <w:t>.</w:t>
      </w:r>
    </w:p>
    <w:p w:rsidR="00BC0AA6" w:rsidRPr="00141359" w:rsidRDefault="00BC0AA6" w:rsidP="00BC0AA6">
      <w:pPr>
        <w:ind w:firstLine="720"/>
        <w:rPr>
          <w:lang w:val="en-GB"/>
        </w:rPr>
      </w:pPr>
      <w:r w:rsidRPr="00141359">
        <w:rPr>
          <w:lang w:val="en-GB"/>
        </w:rPr>
        <w:t xml:space="preserve">Data on species occurrences are commonly used in conservation prioritization </w:t>
      </w:r>
      <w:r w:rsidR="00F01773" w:rsidRPr="00141359">
        <w:rPr>
          <w:lang w:val="en-GB"/>
        </w:rPr>
        <w:fldChar w:fldCharType="begin" w:fldLock="1"/>
      </w:r>
      <w:r w:rsidR="00B32474">
        <w:rPr>
          <w:lang w:val="en-GB"/>
        </w:rPr>
        <w:instrText>ADDIN CSL_CITATION { "citationItems" : [ { "id" : "ITEM-1", "itemData" : { "DOI" : "10.1016/j.biocon.2009.12.022", "ISSN" : "00063207", "abstract" : "Although the conversion of natural vegetation to agriculture threatens biodiversity, post-agricultural lands may provide an opportunity to preserve biodiversity if they are allowed to regenerate. We develop a framework for incorporating abandoned agricultural fields into the design of a Biosphere Reserve using former cocoa plantations on Bioko, Equatorial Guinea, as a case study. First, we used BIOCLIM to model the potential distribution of 62 ferns, 327 monocotyledons, 749 dicotyledons, seven primates, and 104 birds on Bioko. Next, we quantitatively assessed the representation of these distributions in conservation areas proposed by the Equatoguinean administration (hereafter \u201cEPAs\u201d). In addition, we used an area prioritization algorithm implemented in the ResNet software package to select an initial set of sites to serve as the Biosphere Reserve\u2019s core areas, that is, intact forest in Bioko\u2019s montane regions. Then, to augment the beta-diversity of the Reserve, we used the area prioritization algorithm to prioritize buffer zones in lowland sites including rainforest remnants and abandoned plantations that have partially regenerated to forest. We also compared the representation of biodiversity in the EPAs to its representation in Biosphere Reserves designed with ResNet. The representation of vegetation types and species in Reserves selected by ResNet that occupy 25% of the land on Bioko is equivalent to the representation achieved by the EPAs, which would cover 42% of Bioko. To conclude, we propose a conservation plan for Bioko.", "author" : [ { "dropping-particle" : "", "family" : "Zafra-Calvo", "given" : "Noelia", "non-dropping-particle" : "", "parse-names" : false, "suffix" : "" }, { "dropping-particle" : "", "family" : "Cerro", "given" : "Rowena", "non-dropping-particle" : "", "parse-names" : false, "suffix" : "" }, { "dropping-particle" : "", "family" : "Fuller", "given" : "Trevon", "non-dropping-particle" : "", "parse-names" : false, "suffix" : "" }, { "dropping-particle" : "", "family" : "Lobo", "given" : "Jorge M.", "non-dropping-particle" : "", "parse-names" : false, "suffix" : "" }, { "dropping-particle" : "", "family" : "Rodr\u00edguez", "given" : "Miguel \u00c1.", "non-dropping-particle" : "", "parse-names" : false, "suffix" : "" }, { "dropping-particle" : "", "family" : "Sarkar", "given" : "Sahotra", "non-dropping-particle" : "", "parse-names" : false, "suffix" : "" } ], "container-title" : "Biological Conservation", "id" : "ITEM-1", "issue" : "3", "issued" : { "date-parts" : [ [ "2010", "3" ] ] }, "note" : "example of species occurrences being used in conservation prioritization", "page" : "787-794", "title" : "Prioritizing areas for conservation and vegetation restoration in post-agricultural landscapes: a Biosphere Reserve plan for Bioko, Equatorial Guinea", "type" : "article-journal", "volume" : "143" }, "prefix" : "e.g.", "uris" : [ "http://www.mendeley.com/documents/?uuid=0622cb04-61df-4204-a37e-2b1e488b9496" ] }, { "id" : "ITEM-2", "itemData" : { "DOI" : "10.1016/j.biocon.2012.08.039", "ISSN" : "00063207", "abstract" : "Indicators on the state of global biodiversity illustrate continued decline, while pressure on biodiversity keeps rising. This necessitates revisiting site prioritization and species protection for conservation. Patterns of richness and threat of four well-studied aquatic taxa, the fishes, crabs, molluscs and dragonflies largely coincide at the continental scale, at least in Africa. For this study, we focus on dragonflies, for which there is a point locality database, as a surrogate taxon, modeling the species at the fine-scale, using species distribution modeling. With this approach, we built a protected areas network using spatial planning software. Priority areas for dragonfly conservation largely coincided with analyses of global biodiversity hotspots. The Zambian swamps and woodlands, as well as the rainforests of the Lower Guinea and Congo Basin are emphasized as hotspots of dragonfly diversity. Among globally threatened species, 72% were recorded at least once in a protected area. Although the current reserve network covers 10.7% of the landscape, the proportional representation of species geographic distributions in reserves is only 1.2%. The reserve network is therefore inefficient concerning freshwater species, and many areas of conservation priority that are not formally protected remain. The advantage of operating at the fine scale, while covering a large geographic area is that it shifts the focus from the large-scale hotspots to smaller priority areas within and beyond hotspots. Also, by operating at the fine-scale for a large geographical area, the potential exists for local conservation managers to consider campaigning for the inclusion of the priority areas that are not formally protected, while adjacent to the existing reserve networks. Where this is not possible, we recommend monitoring these areas to detect future threats to the habitats that these might face.", "author" : [ { "dropping-particle" : "", "family" : "Simaika", "given" : "John P.", "non-dropping-particle" : "", "parse-names" : false, "suffix" : "" }, { "dropping-particle" : "", "family" : "Samways", "given" : "Michael J.", "non-dropping-particle" : "", "parse-names" : false, "suffix" : "" }, { "dropping-particle" : "", "family" : "Kipping", "given" : "Jens", "non-dropping-particle" : "", "parse-names" : false, "suffix" : "" }, { "dropping-particle" : "", "family" : "Suhling", "given" : "Frank", "non-dropping-particle" : "", "parse-names" : false, "suffix" : "" }, { "dropping-particle" : "", "family" : "Dijkstra", "given" : "Klaas Douwe B.", "non-dropping-particle" : "", "parse-names" : false, "suffix" : "" }, { "dropping-particle" : "", "family" : "Clausnitzer", "given" : "Viola", "non-dropping-particle" : "", "parse-names" : false, "suffix" : "" }, { "dropping-particle" : "", "family" : "Boudot", "given" : "Jean Pierre", "non-dropping-particle" : "", "parse-names" : false, "suffix" : "" }, { "dropping-particle" : "", "family" : "Domisch", "given" : "Sami", "non-dropping-particle" : "", "parse-names" : false, "suffix" : "" } ], "container-title" : "Biological Conservation", "id" : "ITEM-2", "issued" : { "date-parts" : [ [ "2013", "1" ] ] }, "note" : "example in SWAP of occurrence records being used for conservation prioritization", "page" : "245-254", "title" : "Continental-scale conservation prioritization of African dragonflies", "type" : "article-journal", "volume" : "157" }, "uris" : [ "http://www.mendeley.com/documents/?uuid=c9abf726-fa76-40d1-b17a-bc7e1daf0d98" ] }, { "id" : "ITEM-3", "itemData" : { "DOI" : "10.1016/j.biocon.2013.01.014", "ISSN" : "00063207", "abstract" : "Knowledge about spatial biodiversity patterns is a basic criterion for reserve network design. Although herbarium collections hold large quantities of information, the data are often scattered and cannot supply complete spatial coverage. Alternatively, herbarium data can be used to fit species distribution models and their predictions can be used to provide complete spatial coverage and derive species richness maps. Here, we build on previous effort to propose an improved compositionalist framework for using species distribution models to better inform conservation management. We illustrate the approach with models fitted with six different methods and combined using an ensemble approach for 408 plant species in a tropical and megadiverse country (Ecuador). As a complementary view to the traditional richness hotspots methodology, consisting of a simple stacking of species distribution maps, the compositionalist modelling approach used here combines separate predictions for different pools of species to identify areas of alternative suitability for conservation. Our results show that the compositionalist approach better captures the established protected areas than the traditional richness hotspots strategies and allows the identification of areas in Ecuador that would optimally complement the current protection network. Further studies should aim at refining the approach with more groups and additional species information.", "author" : [ { "dropping-particle" : "", "family" : "Mateo", "given" : "Rub\u00e9n G.", "non-dropping-particle" : "", "parse-names" : false, "suffix" : "" }, { "dropping-particle" : "", "family" : "la Estrella", "given" : "Manuel", "non-dropping-particle" : "de", "parse-names" : false, "suffix" : "" }, { "dropping-particle" : "", "family" : "Felic\u00edsimo", "given" : "\u00c1ngel M.", "non-dropping-particle" : "", "parse-names" : false, "suffix" : "" }, { "dropping-particle" : "", "family" : "Mu\u00f1oz", "given" : "Jes\u00fas", "non-dropping-particle" : "", "parse-names" : false, "suffix" : "" }, { "dropping-particle" : "", "family" : "Guisan", "given" : "Antoine", "non-dropping-particle" : "", "parse-names" : false, "suffix" : "" } ], "container-title" : "Biological Conservation", "id" : "ITEM-3", "issued" : { "date-parts" : [ [ "2013", "4" ] ] }, "note" : "example of species occurrences being used to inform prioritization", "page" : "150-161", "title" : "A new spin on a compositionalist predictive modelling framework for conservation planning: a tropical case study in Ecuador", "type" : "article-journal", "volume" : "160" }, "uris" : [ "http://www.mendeley.com/documents/?uuid=bc79219d-e381-4f4a-85e4-4950080d8c42" ] } ], "mendeley" : { "formattedCitation" : "(e.g. Zafra-Calvo &lt;i&gt;et al.&lt;/i&gt; 2010; Simaika &lt;i&gt;et al.&lt;/i&gt; 2013; Mateo &lt;i&gt;et al.&lt;/i&gt; 2013)", "plainTextFormattedCitation" : "(e.g. Zafra-Calvo et al. 2010; Simaika et al. 2013; Mateo et al. 2013)", "previouslyFormattedCitation" : "(e.g. Zafra-Calvo &lt;i&gt;et al.&lt;/i&gt; 2010; Simaika &lt;i&gt;et al.&lt;/i&gt; 2013; Mateo &lt;i&gt;et al.&lt;/i&gt; 2013)"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(e.g. Zafra-Calvo </w:t>
      </w:r>
      <w:r w:rsidRPr="00B42A6C">
        <w:rPr>
          <w:i/>
          <w:noProof/>
          <w:lang w:val="en-GB"/>
        </w:rPr>
        <w:t>et al.</w:t>
      </w:r>
      <w:r w:rsidRPr="00B42A6C">
        <w:rPr>
          <w:noProof/>
          <w:lang w:val="en-GB"/>
        </w:rPr>
        <w:t xml:space="preserve"> 2010; Simaika </w:t>
      </w:r>
      <w:r w:rsidRPr="00B42A6C">
        <w:rPr>
          <w:i/>
          <w:noProof/>
          <w:lang w:val="en-GB"/>
        </w:rPr>
        <w:t>et al.</w:t>
      </w:r>
      <w:r w:rsidRPr="00B42A6C">
        <w:rPr>
          <w:noProof/>
          <w:lang w:val="en-GB"/>
        </w:rPr>
        <w:t xml:space="preserve"> 2013; Mateo </w:t>
      </w:r>
      <w:r w:rsidRPr="00B42A6C">
        <w:rPr>
          <w:i/>
          <w:noProof/>
          <w:lang w:val="en-GB"/>
        </w:rPr>
        <w:t>et al.</w:t>
      </w:r>
      <w:r w:rsidRPr="00B42A6C">
        <w:rPr>
          <w:noProof/>
          <w:lang w:val="en-GB"/>
        </w:rPr>
        <w:t xml:space="preserve"> 2013)</w:t>
      </w:r>
      <w:r w:rsidR="00F01773" w:rsidRPr="00141359">
        <w:rPr>
          <w:lang w:val="en-GB"/>
        </w:rPr>
        <w:fldChar w:fldCharType="end"/>
      </w:r>
      <w:r w:rsidRPr="00141359">
        <w:rPr>
          <w:lang w:val="en-GB"/>
        </w:rPr>
        <w:t xml:space="preserve">. Often, such datasets change in extent, resolution, accuracy, and coverage as more observations are added </w:t>
      </w:r>
      <w:r w:rsidR="00F01773" w:rsidRPr="00141359">
        <w:rPr>
          <w:lang w:val="en-GB"/>
        </w:rPr>
        <w:fldChar w:fldCharType="begin" w:fldLock="1"/>
      </w:r>
      <w:r w:rsidR="00B32474">
        <w:rPr>
          <w:lang w:val="en-GB"/>
        </w:rPr>
        <w:instrText>ADDIN CSL_CITATION { "citationItems" : [ { "id" : "ITEM-1", "itemData" : { "DOI" : "10.1016/j.tree.2010.06.016", "ISSN" : "0169-5347", "PMID" : "20656371", "abstract" : "The growing need for baseline data against which efforts to reduce the rate of biodiversity loss can be judged highlights the importance of long-term datasets, some of which are as old as ecology itself. We review methods of evaluating change in biodiversity at the community level using these datasets, and contrast whole-community approaches with those that combine information from different species and habitats. As all communities experience temporal turnover, one of the biggest challenges is distinguishing change that can be attributed to external factors, such as anthropogenic activities, from underlying natural change. We also discuss methodological issues, such as false alerts and modifications in design, of which users of these data sets need to be aware.", "author" : [ { "dropping-particle" : "", "family" : "Magurran", "given" : "Anne E", "non-dropping-particle" : "", "parse-names" : false, "suffix" : "" }, { "dropping-particle" : "", "family" : "Baillie", "given" : "Stephen R", "non-dropping-particle" : "", "parse-names" : false, "suffix" : "" }, { "dropping-particle" : "", "family" : "Buckland", "given" : "Stephen T", "non-dropping-particle" : "", "parse-names" : false, "suffix" : "" }, { "dropping-particle" : "", "family" : "Dick", "given" : "Jan McP", "non-dropping-particle" : "", "parse-names" : false, "suffix" : "" }, { "dropping-particle" : "", "family" : "Elston", "given" : "David A", "non-dropping-particle" : "", "parse-names" : false, "suffix" : "" }, { "dropping-particle" : "", "family" : "Scott", "given" : "E Marian", "non-dropping-particle" : "", "parse-names" : false, "suffix" : "" }, { "dropping-particle" : "", "family" : "Smith", "given" : "Rognvald I", "non-dropping-particle" : "", "parse-names" : false, "suffix" : "" }, { "dropping-particle" : "", "family" : "Somerfield", "given" : "Paul J", "non-dropping-particle" : "", "parse-names" : false, "suffix" : "" }, { "dropping-particle" : "", "family" : "Watt", "given" : "Allan D", "non-dropping-particle" : "", "parse-names" : false, "suffix" : "" } ], "container-title" : "Trends in Ecology &amp; Evolution&amp; evolution", "id" : "ITEM-1", "issue" : "10", "issued" : { "date-parts" : [ [ "2010", "10" ] ] }, "note" : "changing characteristics of biodiversity species distribution data", "page" : "574-582", "title" : "Long-term datasets in biodiversity research and monitoring: assessing change in ecological communities through time.", "type" : "article-journal", "volume" : "25" }, "prefix" : "e.g.", "uris" : [ "http://www.mendeley.com/documents/?uuid=3a261d54-2555-4edb-9c6b-93f371f8b2c2" ] }, { "id" : "ITEM-2", "itemData" : { "DOI" : "10.1016/j.biocon.2010.08.008", "ISSN" : "00063207", "abstract" : "Over the last few decades, resources for descriptive taxonomy and biodiversity inventories have substantially declined, and they are also globally unequally distributed. This could result in an overall decline in the quality of biodiversity data as well as geographic biases, reducing the utility and reliability of inventories. We tested this hypothesis with tropical tree records (n = 24,024) collected from the Eastern Arc Mountains, Tanzania, between 1980 and 2007 by 13 botanists, whose collections represent 80% of the total plant records for this region. Our results show that botanists with practical training in tropical plant identification record both more species and more species of conservation concern (20 more species, two more endemic and one more threatened species per 250 specimens) than untrained botanists. Training and the number of person-days in the field explained 96% of the variation in the numbers of species found, and training was the most important predictor for explaining recorded numbers of threatened and endemic species. Data quality was related to available facilities, with good herbarium access significantly reducing the proportions of misidentifications and misspellings. Our analysis suggests that it may be necessary to account for recorder training when comparing diversity across sites, particularly when assessing numbers of rare and endemic species, and for global data portals to provide such information. We also suggest that greater investment in the training of botanists and in the provisioning of good facilities would substantially increase recording efficiency and data reliability, thereby improving conservation planning and implementation on the ground.", "author" : [ { "dropping-particle" : "", "family" : "Ahrends", "given" : "Antje", "non-dropping-particle" : "", "parse-names" : false, "suffix" : "" }, { "dropping-particle" : "", "family" : "Rahbek", "given" : "Carsten", "non-dropping-particle" : "", "parse-names" : false, "suffix" : "" }, { "dropping-particle" : "", "family" : "Bulling", "given" : "Mark T.", "non-dropping-particle" : "", "parse-names" : false, "suffix" : "" }, { "dropping-particle" : "", "family" : "Burgess", "given" : "Neil D.", "non-dropping-particle" : "", "parse-names" : false, "suffix" : "" }, { "dropping-particle" : "", "family" : "Platts", "given" : "Philip J.", "non-dropping-particle" : "", "parse-names" : false, "suffix" : "" }, { "dropping-particle" : "", "family" : "Lovett", "given" : "Jon C.", "non-dropping-particle" : "", "parse-names" : false, "suffix" : "" }, { "dropping-particle" : "", "family" : "Kindemba", "given" : "Victoria Wilkins", "non-dropping-particle" : "", "parse-names" : false, "suffix" : "" }, { "dropping-particle" : "", "family" : "Owen", "given" : "Nisha", "non-dropping-particle" : "", "parse-names" : false, "suffix" : "" }, { "dropping-particle" : "", "family" : "Sallu", "given" : "Albert Ntemi", "non-dropping-particle" : "", "parse-names" : false, "suffix" : "" }, { "dropping-particle" : "", "family" : "Marshall", "given" : "Andrew R.", "non-dropping-particle" : "", "parse-names" : false, "suffix" : "" }, { "dropping-particle" : "", "family" : "Boniface", "given" : "E. Mhoro", "non-dropping-particle" : "", "parse-names" : false, "suffix" : "" }, { "dropping-particle" : "", "family" : "Fanning", "given" : "Eibleis", "non-dropping-particle" : "", "parse-names" : false, "suffix" : "" }, { "dropping-particle" : "", "family" : "Marchant", "given" : "Rob", "non-dropping-particle" : "", "parse-names" : false, "suffix" : "" } ], "container-title" : "Biological Conservation", "id" : "ITEM-2", "issue" : "1", "issued" : { "date-parts" : [ [ "2011", "1" ] ] }, "page" : "131-140", "title" : "Conservation and the botanist effect", "type" : "article-journal", "volume" : "144" }, "uris" : [ "http://www.mendeley.com/documents/?uuid=22eada9e-fe65-453f-9a6d-1e6084154421" ] }, { "id" : "ITEM-3", "itemData" : { "DOI" : "10.1007/s10531-011-0015-2", "ISSN" : "0960-3115", "author" : [ { "dropping-particle" : "", "family" : "Felinks", "given" : "Birgit", "non-dropping-particle" : "", "parse-names" : false, "suffix" : "" }, { "dropping-particle" : "", "family" : "Pardini", "given" : "Renata", "non-dropping-particle" : "", "parse-names" : false, "suffix" : "" }, { "dropping-particle" : "", "family" : "Dixo", "given" : "Marianna", "non-dropping-particle" : "", "parse-names" : false, "suffix" : "" }, { "dropping-particle" : "", "family" : "Follner", "given" : "Klaus", "non-dropping-particle" : "", "parse-names" : false, "suffix" : "" }, { "dropping-particle" : "", "family" : "Metzger", "given" : "Jean P.", "non-dropping-particle" : "", "parse-names" : false, "suffix" : "" }, { "dropping-particle" : "", "family" : "Henle", "given" : "Klaus", "non-dropping-particle" : "", "parse-names" : false, "suffix" : "" } ], "container-title" : "Biodiversity and Conservation", "id" : "ITEM-3", "issue" : "5", "issued" : { "date-parts" : [ [ "2011", "2", "26" ] ] }, "note" : "In a second important precursor to our work, Felinks et al. (2011) explicitly incorporate temporal effects when they compare the results of spatial prioritizations across two years of data collection. They acknowledge that changes in prioritizations they observe are due to both apparent and actual turnover between years, and use both apparent richness \u2013 the number of species directly observed in a site \u2013 and estimated richness to perform prioritizations. Like many conservation planning papers, Felinks et al. (2011) use intensive, multispecies, structured field surveys that, while better suited for estimating the actual relative richness of sites, is not representative of the data conservation practitioners are currently using to make decisions. Spatial prioritizations in conservation more commonly rely on more idiosyncratically collected observations of policy-relevant, rare species, as we do here. When focusing just on rare species, very different turnover and site occupancy patterns will be involved, meaning the implications of temporally accumulating data for spatial prioritizations will likely be quite different. In contrast to Felinks et al. (2011) two year study, our dataset of occurrence records spans more than a century, allowing us to better understand long-term trends in priorities that are influenced by data collection.", "page" : "1057-1072", "title" : "Effects of species turnover on reserve site selection in a fragmented landscape", "type" : "article-journal", "volume" : "20" }, "uris" : [ "http://www.mendeley.com/documents/?uuid=ab217cf1-723b-4215-9d88-3d5c1c908049" ] }, { "id" : "ITEM-4", "itemData" : { "DOI" : "10.1890/110154", "ISSN" : "1540-9295", "abstract" : "Although the geographical context of ecological observations shapes ecological theory, the global distribution of ecological studies has never been analyzed. Here, we document the global distribution and context (protected status, biome, anthrome, and net primary productivity) of 2573 terrestrial study sites reported in recent publi- cations (20042009) of 10 highly cited ecology journals. We find evidence of several geographical biases, includ- ing overrepresentation of protected areas, temperate deciduous woodlands, and wealthy countries. Even within densely settled or agricultural regions, ecologists tend to study natural fragments. Such biases in trendsetting journals may limit the scalability of ecological theory and hinder conservation efforts in the 75% of the terres- trial world where humans live and work.", "author" : [ { "dropping-particle" : "", "family" : "Martin", "given" : "Laura J", "non-dropping-particle" : "", "parse-names" : false, "suffix" : "" }, { "dropping-particle" : "", "family" : "Blossey", "given" : "Bernd", "non-dropping-particle" : "", "parse-names" : false, "suffix" : "" }, { "dropping-particle" : "", "family" : "Ellis", "given" : "Erle", "non-dropping-particle" : "", "parse-names" : false, "suffix" : "" } ], "container-title" : "Frontiers in Ecology and the Environment", "id" : "ITEM-4", "issue" : "4", "issued" : { "date-parts" : [ [ "2012", "5" ] ] }, "page" : "195-201", "title" : "Mapping where ecologists work: biases in the global distribution of terrestrial ecological observations", "type" : "article-journal", "volume" : "10" }, "uris" : [ "http://www.mendeley.com/documents/?uuid=b8818897-b83d-427b-abf4-0b9b36edc31a" ] } ], "mendeley" : { "formattedCitation" : "(e.g. Magurran &lt;i&gt;et al.&lt;/i&gt; 2010; Ahrends &lt;i&gt;et al.&lt;/i&gt; 2011; Felinks &lt;i&gt;et al.&lt;/i&gt; 2011; Martin, Blossey &amp; Ellis 2012)", "plainTextFormattedCitation" : "(e.g. Magurran et al. 2010; Ahrends et al. 2011; Felinks et al. 2011; Martin, Blossey &amp; Ellis 2012)", "previouslyFormattedCitation" : "(e.g. Magurran &lt;i&gt;et al.&lt;/i&gt; 2010; Ahrends &lt;i&gt;et al.&lt;/i&gt; 2011; Felinks &lt;i&gt;et al.&lt;/i&gt; 2011; Martin, Blossey &amp; Ellis 2012)"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(e.g. Magurran </w:t>
      </w:r>
      <w:r w:rsidRPr="00B42A6C">
        <w:rPr>
          <w:i/>
          <w:noProof/>
          <w:lang w:val="en-GB"/>
        </w:rPr>
        <w:t>et al.</w:t>
      </w:r>
      <w:r w:rsidRPr="00B42A6C">
        <w:rPr>
          <w:noProof/>
          <w:lang w:val="en-GB"/>
        </w:rPr>
        <w:t xml:space="preserve"> 2010; Ahrends </w:t>
      </w:r>
      <w:r w:rsidRPr="00B42A6C">
        <w:rPr>
          <w:i/>
          <w:noProof/>
          <w:lang w:val="en-GB"/>
        </w:rPr>
        <w:t>et al.</w:t>
      </w:r>
      <w:r w:rsidRPr="00B42A6C">
        <w:rPr>
          <w:noProof/>
          <w:lang w:val="en-GB"/>
        </w:rPr>
        <w:t xml:space="preserve"> 2011; Felinks </w:t>
      </w:r>
      <w:r w:rsidRPr="00B42A6C">
        <w:rPr>
          <w:i/>
          <w:noProof/>
          <w:lang w:val="en-GB"/>
        </w:rPr>
        <w:t>et al.</w:t>
      </w:r>
      <w:r w:rsidRPr="00B42A6C">
        <w:rPr>
          <w:noProof/>
          <w:lang w:val="en-GB"/>
        </w:rPr>
        <w:t xml:space="preserve"> 2011; Martin, Blossey &amp; Ellis 2012)</w:t>
      </w:r>
      <w:r w:rsidR="00F01773" w:rsidRPr="00141359">
        <w:rPr>
          <w:lang w:val="en-GB"/>
        </w:rPr>
        <w:fldChar w:fldCharType="end"/>
      </w:r>
      <w:r w:rsidRPr="00141359">
        <w:rPr>
          <w:lang w:val="en-GB"/>
        </w:rPr>
        <w:t xml:space="preserve">. Spatial priorities will be affected by data characteristics, such as spatial resolution </w:t>
      </w:r>
      <w:r w:rsidR="00F01773" w:rsidRPr="00141359">
        <w:rPr>
          <w:lang w:val="en-GB"/>
        </w:rPr>
        <w:fldChar w:fldCharType="begin" w:fldLock="1"/>
      </w:r>
      <w:r w:rsidR="00B32474">
        <w:rPr>
          <w:lang w:val="en-GB"/>
        </w:rPr>
        <w:instrText>ADDIN CSL_CITATION { "citationItems" : [ { "id" : "ITEM-1", "itemData" : { "DOI" : "10.1111/j.1466-822X.2004.00128.x", "ISSN" : "1466-822X", "author" : [ { "dropping-particle" : "", "family" : "Araujo", "given" : "Miguel B.", "non-dropping-particle" : "", "parse-names" : false, "suffix" : "" }, { "dropping-particle" : "", "family" : "Thuiller", "given" : "Wilfried", "non-dropping-particle" : "", "parse-names" : false, "suffix" : "" }, { "dropping-particle" : "", "family" : "Williams", "given" : "Paul H.", "non-dropping-particle" : "", "parse-names" : false, "suffix" : "" }, { "dropping-particle" : "", "family" : "Reginster", "given" : "Isabelle", "non-dropping-particle" : "", "parse-names" : false, "suffix" : "" } ], "container-title" : "Global Ecology and Biogeography", "id" : "ITEM-1", "issue" : "1", "issued" : { "date-parts" : [ [ "2005", "1" ] ] }, "note" : "reference SWAP for how resolution of data affects prioritization outcomes", "page" : "17-30", "title" : "Downscaling European species atlas distributions to a finer resolution: implications for conservation planning", "type" : "article-journal", "volume" : "14" }, "uris" : [ "http://www.mendeley.com/documents/?uuid=494b2ce5-f41c-407d-9365-594e7d8c3723" ] }, { "id" : "ITEM-2", "itemData" : { "DOI" : "10.1111/j.1523-1739.2011.01814.x", "ISSN" : "1523-1739", "PMID" : "22268786", "abstract" : "The outcome of analyses that prioritize locations for conservation on the basis of distributions of species, land cover, or other elements is influenced by the spatial resolution of data used in the analyses. We explored the influence of data resolution on prioritization of Finnish forests with Zonation, a software program that ranks the priority of cells in a landscape for conservation. We used data on the distribution of different forest types that were aggregated to nine different resolutions ranging from 0.1 \u00d7 0.1 km to 25.6 \u00d7 25.6 km. We analyzed data at each resolution with two variants of Zonation that had different criteria for prioritization, with and without accounting for connectivity and with and without adjustment for the effect on the analysis of edges between areas at the project boundary and adjacent areas for which data do not exist. Spatial overlap of the 10% of cells ranked most highly when data were analyzed at different resolutions varied approximately from 15% to 60% and was greatest among analyses with similar resolutions. Inclusion of connectivity or edge adjustment changed the location of areas that were prioritized for conservation. Even though different locations received high priority for conservation in analyses with and without accounting for connectivity, accounting for connectivity did not reduce the representation of different forest types. Inclusion of connectivity influenced most the outcome of fine-resolution analyses because the connectivity extents that we based on dispersal distances of typical forest species were small. When we kept the area set aside for conservation constant, representation of the forest types increased as resolution increased. We do not think it is necessary to avoid use of high-resolution data in spatial conservation prioritization. Our results show that large extent, fine-resolution analyses are computationally feasible, and we suggest they can give more flexibility to implementation of well-connected reserve networks.", "author" : [ { "dropping-particle" : "", "family" : "Arponen", "given" : "Anni", "non-dropping-particle" : "", "parse-names" : false, "suffix" : "" }, { "dropping-particle" : "", "family" : "Lehtom\u00e4ki", "given" : "Joona", "non-dropping-particle" : "", "parse-names" : false, "suffix" : "" }, { "dropping-particle" : "", "family" : "Lepp\u00e4nen", "given" : "Jarno", "non-dropping-particle" : "", "parse-names" : false, "suffix" : "" }, { "dropping-particle" : "", "family" : "Tomppo", "given" : "Erkki", "non-dropping-particle" : "", "parse-names" : false, "suffix" : "" }, { "dropping-particle" : "", "family" : "Moilanen", "given" : "Atte", "non-dropping-particle" : "", "parse-names" : false, "suffix" : "" } ], "container-title" : "Conservation Biology", "id" : "ITEM-2", "issue" : "2", "issued" : { "date-parts" : [ [ "2012", "4" ] ] }, "page" : "294-304", "title" : "Effects of connectivity and spatial resolution of analyses on conservation prioritization across large extents.", "type" : "article-journal", "volume" : "26" }, "uris" : [ "http://www.mendeley.com/documents/?uuid=b01e1eed-b71e-419c-a2ea-d4cfb2b7685e" ] } ], "mendeley" : { "formattedCitation" : "(Araujo &lt;i&gt;et al.&lt;/i&gt; 2005; Arponen &lt;i&gt;et al.&lt;/i&gt; 2012)", "plainTextFormattedCitation" : "(Araujo et al. 2005; Arponen et al. 2012)", "previouslyFormattedCitation" : "(Araujo &lt;i&gt;et al.&lt;/i&gt; 2005; Arponen &lt;i&gt;et al.&lt;/i&gt; 2012)"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(Araujo </w:t>
      </w:r>
      <w:r w:rsidRPr="00B42A6C">
        <w:rPr>
          <w:i/>
          <w:noProof/>
          <w:lang w:val="en-GB"/>
        </w:rPr>
        <w:t>et al.</w:t>
      </w:r>
      <w:r w:rsidRPr="00B42A6C">
        <w:rPr>
          <w:noProof/>
          <w:lang w:val="en-GB"/>
        </w:rPr>
        <w:t xml:space="preserve"> 2005; Arponen </w:t>
      </w:r>
      <w:r w:rsidRPr="00B42A6C">
        <w:rPr>
          <w:i/>
          <w:noProof/>
          <w:lang w:val="en-GB"/>
        </w:rPr>
        <w:t>et al.</w:t>
      </w:r>
      <w:r w:rsidRPr="00B42A6C">
        <w:rPr>
          <w:noProof/>
          <w:lang w:val="en-GB"/>
        </w:rPr>
        <w:t xml:space="preserve"> 2012)</w:t>
      </w:r>
      <w:r w:rsidR="00F01773" w:rsidRPr="00141359">
        <w:rPr>
          <w:lang w:val="en-GB"/>
        </w:rPr>
        <w:fldChar w:fldCharType="end"/>
      </w:r>
      <w:r w:rsidRPr="00141359">
        <w:rPr>
          <w:lang w:val="en-GB"/>
        </w:rPr>
        <w:t xml:space="preserve">, type </w:t>
      </w:r>
      <w:r w:rsidR="00F01773" w:rsidRPr="00141359">
        <w:rPr>
          <w:lang w:val="en-GB"/>
        </w:rPr>
        <w:fldChar w:fldCharType="begin" w:fldLock="1"/>
      </w:r>
      <w:r w:rsidR="00B32474">
        <w:rPr>
          <w:lang w:val="en-GB"/>
        </w:rPr>
        <w:instrText>ADDIN CSL_CITATION { "citationItems" : [ { "id" : "ITEM-1", "itemData" : { "DOI" : "10.1046/j.1523-1739.2003.01268.x", "ISSN" : "0888-8892", "author" : [ { "dropping-particle" : "", "family" : "Gaston", "given" : "Kevin J.", "non-dropping-particle" : "", "parse-names" : false, "suffix" : "" }, { "dropping-particle" : "", "family" : "Rodrigues", "given" : "Ana S. L.", "non-dropping-particle" : "", "parse-names" : false, "suffix" : "" } ], "container-title" : "Conservation Biology", "id" : "ITEM-1", "issue" : "1", "issued" : { "date-parts" : [ [ "2003", "2" ] ] }, "note" : "look at the maximal coverage problem using a dataset with abundance data. They compare outcomes of the MCP when using the original dataset, the dataset turned to presence/absence, and the dataset turned to low sampling effort (similar to my rarefaction analysis in SWAP, but with much lower sampling (2 bouts per site)). They compare their work to Freitag and van Jaarsveld (1998). They find that presence-absence data are best at covering many species, while abudance data are better at covering many individuals. They actually find that a very low sampling effort is better than presence/absence at covering individuals, indicating it is better to spread a little effort over the landscape collecting abundance if that is your goal.", "page" : "188-195", "title" : "Reserve selection in regions with poor biological data", "type" : "article-journal", "volume" : "17" }, "prefix" : "e.g. presence-absence data vs. abundance data;", "uris" : [ "http://www.mendeley.com/documents/?uuid=e3cd9d79-434a-4292-a8af-6042b4971213" ] } ], "mendeley" : { "formattedCitation" : "(e.g. presence-absence data vs. abundance data; Gaston &amp; Rodrigues 2003)", "manualFormatting" : "(e.g. presence/absence data vs. abundance data; Gaston &amp; Rodrigues 2003)", "plainTextFormattedCitation" : "(e.g. presence-absence data vs. abundance data; Gaston &amp; Rodrigues 2003)", "previouslyFormattedCitation" : "(e.g. presence-absence data vs. abundance data; Gaston &amp; Rodrigues 2003)" }, "properties" : { "noteIndex" : 0 }, "schema" : "https://github.com/citation-style-language/schema/raw/master/csl-citation.json" }</w:instrText>
      </w:r>
      <w:r w:rsidR="00F01773" w:rsidRPr="00141359">
        <w:rPr>
          <w:lang w:val="en-GB"/>
        </w:rPr>
        <w:fldChar w:fldCharType="separate"/>
      </w:r>
      <w:r w:rsidRPr="00141359">
        <w:rPr>
          <w:noProof/>
          <w:lang w:val="en-GB"/>
        </w:rPr>
        <w:t>(e.g. presence</w:t>
      </w:r>
      <w:r>
        <w:rPr>
          <w:noProof/>
          <w:lang w:val="en-GB"/>
        </w:rPr>
        <w:t>/</w:t>
      </w:r>
      <w:r w:rsidRPr="00141359">
        <w:rPr>
          <w:noProof/>
          <w:lang w:val="en-GB"/>
        </w:rPr>
        <w:t>absence data vs. abundance data; Gaston &amp; Rodrigues 2003)</w:t>
      </w:r>
      <w:r w:rsidR="00F01773" w:rsidRPr="00141359">
        <w:rPr>
          <w:lang w:val="en-GB"/>
        </w:rPr>
        <w:fldChar w:fldCharType="end"/>
      </w:r>
      <w:r w:rsidRPr="00141359">
        <w:rPr>
          <w:lang w:val="en-GB"/>
        </w:rPr>
        <w:t xml:space="preserve"> and bias </w:t>
      </w:r>
      <w:r w:rsidR="00F01773" w:rsidRPr="00141359">
        <w:rPr>
          <w:lang w:val="en-GB"/>
        </w:rPr>
        <w:fldChar w:fldCharType="begin" w:fldLock="1"/>
      </w:r>
      <w:r w:rsidR="00B32474">
        <w:rPr>
          <w:lang w:val="en-GB"/>
        </w:rPr>
        <w:instrText>ADDIN CSL_CITATION { "citationItems" : [ { "id" : "ITEM-1", "itemData" : { "DOI" : "10.1016/j.biocon.2011.04.018", "ISSN" : "00063207", "author" : [ { "dropping-particle" : "", "family" : "Ornellas", "given" : "Paul", "non-dropping-particle" : "De", "parse-names" : false, "suffix" : "" }, { "dropping-particle" : "", "family" : "Milner-Gulland", "given" : "E.J.", "non-dropping-particle" : "", "parse-names" : false, "suffix" : "" }, { "dropping-particle" : "", "family" : "Nicholson", "given" : "Emily", "non-dropping-particle" : "", "parse-names" : false, "suffix" : "" } ], "container-title" : "Biological Conservation", "id" : "ITEM-1", "issue" : "7", "issued" : { "date-parts" : [ [ "2011", "7" ] ] }, "page" : "1980-1988", "publisher" : "Elsevier Ltd", "title" : "The impact of data realities on conservation planning", "type" : "article-journal", "volume" : "144" }, "uris" : [ "http://www.mendeley.com/documents/?uuid=bb403314-8445-4035-80c4-b63e3e695c08" ] }, { "id" : "ITEM-2", "itemData" : { "DOI" : "10.1111/j.1472-4642.2012.00921.x", "ISSN" : "1472-4642", "abstract" : "Aim The species\u2013area relationship (SAR) is increasingly being used to set conservation targets for habitat types when designing protected area networks. This approach is transparent and scientifically defensible, but there has been little research on how it is affected by data quality and quantity. Location English Channel. Methods We used a macrobenthic dataset containing 1314 sampling points and assigned each point to its associated habitat type. We then used the SAR-based approach and tested whether this was influenced by changes in (i) the number of sampling points used to generate estimates of total species richness for each habitat type; (ii) the nonparametric estimator used to calculate species richness; and (iii) the level of habitat classification employed. We then compared our results with targets from a similar national-level study that is currently being used to identify Marine Conservation Zones in the UK. Results We found that targets were affected by all of the tested factors. Sample size had the greatest impact, with specific habitat targets increasing by up to 45% when sample size increased from 50 to 300. We also found that results based on the Bootstrap estimator of species richness, which is the most widely used for setting targets, were more influenced by sample size than the other tested estimators. Finally, we found that targets were higher when using broader habitat classification levels or a larger study region. However, this could also be a sample size effect because these larger habitat areas generally contained more sampling points. Main conclusions Habitat targets based on the SAR can be strongly influenced by sample size, choice of richness estimator and the level of habitat classification. Whilst setting habitat targets using best-available data should play a key role in conservation planning, further research is needed to develop methods that better account for sampling effort.", "author" : [ { "dropping-particle" : "", "family" : "Metcalfe", "given" : "Kristian", "non-dropping-particle" : "", "parse-names" : false, "suffix" : "" }, { "dropping-particle" : "", "family" : "Delavenne", "given" : "Juliette", "non-dropping-particle" : "", "parse-names" : false, "suffix" : "" }, { "dropping-particle" : "", "family" : "Garcia", "given" : "Cl\u00e9ment", "non-dropping-particle" : "", "parse-names" : false, "suffix" : "" }, { "dropping-particle" : "", "family" : "Foveau", "given" : "Aur\u00e9lie", "non-dropping-particle" : "", "parse-names" : false, "suffix" : "" }, { "dropping-particle" : "", "family" : "Dauvin", "given" : "Jean Claude", "non-dropping-particle" : "", "parse-names" : false, "suffix" : "" }, { "dropping-particle" : "", "family" : "Coggan", "given" : "Roger", "non-dropping-particle" : "", "parse-names" : false, "suffix" : "" }, { "dropping-particle" : "", "family" : "Vaz", "given" : "Sandrine", "non-dropping-particle" : "", "parse-names" : false, "suffix" : "" }, { "dropping-particle" : "", "family" : "Harrop", "given" : "Stuart R", "non-dropping-particle" : "", "parse-names" : false, "suffix" : "" }, { "dropping-particle" : "", "family" : "Smith", "given" : "Robert J", "non-dropping-particle" : "", "parse-names" : false, "suffix" : "" } ], "container-title" : "Diversity and Distributions", "id" : "ITEM-2", "issue" : "1", "issued" : { "date-parts" : [ [ "2013" ] ] }, "note" : "Bootstrap estimator of species richness, which is the most widely used for setting targets, were more influenced by sample size than the other tested estimators.", "page" : "1-13", "title" : "Impacts of data quality on the setting of conservation planning targets using the species\u2013area relationship", "type" : "article-journal", "volume" : "19" }, "uris" : [ "http://www.mendeley.com/documents/?uuid=7fe5f8da-979d-43b9-b043-7d3adcf30be6" ] } ], "mendeley" : { "formattedCitation" : "(De Ornellas, Milner-Gulland &amp; Nicholson 2011; Metcalfe &lt;i&gt;et al.&lt;/i&gt; 2013)", "plainTextFormattedCitation" : "(De Ornellas, Milner-Gulland &amp; Nicholson 2011; Metcalfe et al. 2013)", "previouslyFormattedCitation" : "(De Ornellas, Milner-Gulland &amp; Nicholson 2011; Metcalfe &lt;i&gt;et al.&lt;/i&gt; 2013)"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(De Ornellas, Milner-Gulland &amp; Nicholson 2011; Metcalfe </w:t>
      </w:r>
      <w:r w:rsidRPr="00B42A6C">
        <w:rPr>
          <w:i/>
          <w:noProof/>
          <w:lang w:val="en-GB"/>
        </w:rPr>
        <w:t>et al.</w:t>
      </w:r>
      <w:r w:rsidRPr="00B42A6C">
        <w:rPr>
          <w:noProof/>
          <w:lang w:val="en-GB"/>
        </w:rPr>
        <w:t xml:space="preserve"> 2013)</w:t>
      </w:r>
      <w:r w:rsidR="00F01773" w:rsidRPr="00141359">
        <w:rPr>
          <w:lang w:val="en-GB"/>
        </w:rPr>
        <w:fldChar w:fldCharType="end"/>
      </w:r>
      <w:r w:rsidRPr="00141359">
        <w:rPr>
          <w:lang w:val="en-GB"/>
        </w:rPr>
        <w:t>. Past studies looking at the effect of changing data on the outcome</w:t>
      </w:r>
      <w:r w:rsidRPr="00141359" w:rsidDel="002202D3">
        <w:rPr>
          <w:lang w:val="en-GB"/>
        </w:rPr>
        <w:t xml:space="preserve"> </w:t>
      </w:r>
      <w:r w:rsidRPr="00141359">
        <w:rPr>
          <w:lang w:val="en-GB"/>
        </w:rPr>
        <w:t xml:space="preserve">of conservation planning have tended to stylize the spatio-temporal extent and resolution of data used in conservation </w:t>
      </w:r>
      <w:r w:rsidR="00F01773" w:rsidRPr="00141359">
        <w:rPr>
          <w:lang w:val="en-GB"/>
        </w:rPr>
        <w:fldChar w:fldCharType="begin" w:fldLock="1"/>
      </w:r>
      <w:r w:rsidR="00B32474">
        <w:rPr>
          <w:lang w:val="en-GB"/>
        </w:rPr>
        <w:instrText>ADDIN CSL_CITATION { "citationItems" : [ { "id" : "ITEM-1", "itemData" : { "author" : [ { "dropping-particle" : "", "family" : "Freitag", "given" : "Stefanie", "non-dropping-particle" : "", "parse-names" : false, "suffix" : "" }, { "dropping-particle" : "", "family" : "Jaarsveld", "given" : "Albert S", "non-dropping-particle" : "van", "parse-names" : false, "suffix" : "" } ], "container-title" : "Proceedings of the Royal Society of London B.", "id" : "ITEM-1", "issued" : { "date-parts" : [ [ "1998" ] ] }, "page" : "1475-1482", "title" : "Sensitivity of selection procedures for priority conservation areas to survey extent, survey intensity and taxonomic knowledge", "type" : "article-journal", "volume" : "265" }, "uris" : [ "http://www.mendeley.com/documents/?uuid=ad514389-a139-40fa-8199-e6c5159a9d23" ] }, { "id" : "ITEM-2", "itemData" : { "abstract" : "The reserve site selection problem is to select sites for the establishment of biological reserves with the goal to maximize the number of species contained in the reserves.When species distributions are known, this corresponds to the maximal coverage problem. In practice, knowledge of species distributions may be incomplete and only incidence probabilities are available. In this case, the goal is to maximize the expected number of species contained in the reserves. This is called the maximal expected coverage problem. This paper describes and illustrates a formal approach to assess the value of information, such as site surveys or species surveys, in this problem.", "author" : [ { "dropping-particle" : "", "family" : "Polasky", "given" : "Stephen", "non-dropping-particle" : "", "parse-names" : false, "suffix" : "" }, { "dropping-particle" : "", "family" : "Solow", "given" : "Andrew R", "non-dropping-particle" : "", "parse-names" : false, "suffix" : "" } ], "container-title" : "Biodiversity and Conservation", "id" : "ITEM-2", "issued" : { "date-parts" : [ [ "2001" ] ] }, "note" : "Look at how the value of information about the presence/absence of species in sites changes as the proportion of sites selected, the detectability of species changes, and the actual probability of species presence changes. They look at the maximal expected coverage problem, where you are attempting to maximize the expected number of species covered by the sites you select. They use few (5) species and 1 or 2 species to illustrate.", "page" : "1051-1058", "title" : "The value of information in reserve site selection", "type" : "article-journal", "volume" : "10" }, "uris" : [ "http://www.mendeley.com/documents/?uuid=da2ed81a-18d7-4ce7-89dd-b4b4661e03d1" ] }, { "id" : "ITEM-3", "itemData" : { "DOI" : "10.1007/s10531-011-0015-2", "ISSN" : "0960-3115", "author" : [ { "dropping-particle" : "", "family" : "Felinks", "given" : "Birgit", "non-dropping-particle" : "", "parse-names" : false, "suffix" : "" }, { "dropping-particle" : "", "family" : "Pardini", "given" : "Renata", "non-dropping-particle" : "", "parse-names" : false, "suffix" : "" }, { "dropping-particle" : "", "family" : "Dixo", "given" : "Marianna", "non-dropping-particle" : "", "parse-names" : false, "suffix" : "" }, { "dropping-particle" : "", "family" : "Follner", "given" : "Klaus", "non-dropping-particle" : "", "parse-names" : false, "suffix" : "" }, { "dropping-particle" : "", "family" : "Metzger", "given" : "Jean P.", "non-dropping-particle" : "", "parse-names" : false, "suffix" : "" }, { "dropping-particle" : "", "family" : "Henle", "given" : "Klaus", "non-dropping-particle" : "", "parse-names" : false, "suffix" : "" } ], "container-title" : "Biodiversity and Conservation", "id" : "ITEM-3", "issue" : "5", "issued" : { "date-parts" : [ [ "2011", "2", "26" ] ] }, "note" : "In a second important precursor to our work, Felinks et al. (2011) explicitly incorporate temporal effects when they compare the results of spatial prioritizations across two years of data collection. They acknowledge that changes in prioritizations they observe are due to both apparent and actual turnover between years, and use both apparent richness \u2013 the number of species directly observed in a site \u2013 and estimated richness to perform prioritizations. Like many conservation planning papers, Felinks et al. (2011) use intensive, multispecies, structured field surveys that, while better suited for estimating the actual relative richness of sites, is not representative of the data conservation practitioners are currently using to make decisions. Spatial prioritizations in conservation more commonly rely on more idiosyncratically collected observations of policy-relevant, rare species, as we do here. When focusing just on rare species, very different turnover and site occupancy patterns will be involved, meaning the implications of temporally accumulating data for spatial prioritizations will likely be quite different. In contrast to Felinks et al. (2011) two year study, our dataset of occurrence records spans more than a century, allowing us to better understand long-term trends in priorities that are influenced by data collection.", "page" : "1057-1072", "title" : "Effects of species turnover on reserve site selection in a fragmented landscape", "type" : "article-journal", "volume" : "20" }, "uris" : [ "http://www.mendeley.com/documents/?uuid=ab217cf1-723b-4215-9d88-3d5c1c908049" ] } ], "mendeley" : { "formattedCitation" : "(Freitag &amp; van Jaarsveld 1998; Polasky &amp; Solow 2001; Felinks &lt;i&gt;et al.&lt;/i&gt; 2011)", "plainTextFormattedCitation" : "(Freitag &amp; van Jaarsveld 1998; Polasky &amp; Solow 2001; Felinks et al. 2011)", "previouslyFormattedCitation" : "(Freitag &amp; van Jaarsveld 1998; Polasky &amp; Solow 2001; Felinks &lt;i&gt;et al.&lt;/i&gt; 2011)"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(Freitag &amp; van Jaarsveld 1998; Polasky &amp; Solow 2001; Felinks </w:t>
      </w:r>
      <w:r w:rsidRPr="00B42A6C">
        <w:rPr>
          <w:i/>
          <w:noProof/>
          <w:lang w:val="en-GB"/>
        </w:rPr>
        <w:t>et al.</w:t>
      </w:r>
      <w:r w:rsidRPr="00B42A6C">
        <w:rPr>
          <w:noProof/>
          <w:lang w:val="en-GB"/>
        </w:rPr>
        <w:t xml:space="preserve"> 2011)</w:t>
      </w:r>
      <w:r w:rsidR="00F01773" w:rsidRPr="00141359">
        <w:rPr>
          <w:lang w:val="en-GB"/>
        </w:rPr>
        <w:fldChar w:fldCharType="end"/>
      </w:r>
      <w:r w:rsidRPr="00141359">
        <w:rPr>
          <w:lang w:val="en-GB"/>
        </w:rPr>
        <w:t xml:space="preserve"> and ignore the somewhat opportunistic nature of data being used by many conservation practitioners.</w:t>
      </w:r>
    </w:p>
    <w:p w:rsidR="00BC0AA6" w:rsidRDefault="00BC0AA6" w:rsidP="00BC0AA6">
      <w:pPr>
        <w:ind w:firstLine="720"/>
        <w:rPr>
          <w:lang w:val="en-GB"/>
        </w:rPr>
      </w:pPr>
      <w:r w:rsidRPr="00141359">
        <w:rPr>
          <w:lang w:val="en-GB"/>
        </w:rPr>
        <w:t xml:space="preserve">In this paper, we examine how additional species occurrence records affect spatial conservation priorities. In so doing, we focus on species-centric conservation approaches, as opposed to focusing on conservation goals targeting priority habitats or whole ecoregions </w:t>
      </w:r>
      <w:r w:rsidR="00F01773" w:rsidRPr="00141359">
        <w:rPr>
          <w:lang w:val="en-GB"/>
        </w:rPr>
        <w:fldChar w:fldCharType="begin" w:fldLock="1"/>
      </w:r>
      <w:r w:rsidR="00B32474">
        <w:rPr>
          <w:lang w:val="en-GB"/>
        </w:rPr>
        <w:instrText>ADDIN CSL_CITATION { "citationItems" : [ { "id" : "ITEM-1", "itemData" : { "ISBN" : "9781444335033", "author" : [ { "dropping-particle" : "", "family" : "Watson", "given" : "James E M", "non-dropping-particle" : "", "parse-names" : false, "suffix" : "" }, { "dropping-particle" : "", "family" : "Grantham", "given" : "Hedley S", "non-dropping-particle" : "", "parse-names" : false, "suffix" : "" }, { "dropping-particle" : "", "family" : "Wilson", "given" : "Kerrie A", "non-dropping-particle" : "", "parse-names" : false, "suffix" : "" }, { "dropping-particle" : "", "family" : "Possingham", "given" : "Hugh P", "non-dropping-particle" : "", "parse-names" : false, "suffix" : "" } ], "chapter-number" : "6", "container-title" : "Conservation Biogeography", "editor" : [ { "dropping-particle" : "", "family" : "Ladle", "given" : "R J", "non-dropping-particle" : "", "parse-names" : false, "suffix" : "" }, { "dropping-particle" : "", "family" : "Whittaker", "given" : "R J", "non-dropping-particle" : "", "parse-names" : false, "suffix" : "" } ], "id" : "ITEM-1", "issued" : { "date-parts" : [ [ "2011" ] ] }, "page" : "136-160", "publisher" : "John Wiley &amp; Sons, Ltd.", "publisher-place" : "Chichester, UK", "title" : "Systematic Conservation Planning: Past , Present and Future", "type" : "chapter" }, "uris" : [ "http://www.mendeley.com/documents/?uuid=de19d51c-d4ff-4523-b75b-2cc0cac1747a" ] } ], "mendeley" : { "formattedCitation" : "(Watson &lt;i&gt;et al.&lt;/i&gt; 2011)", "plainTextFormattedCitation" : "(Watson et al. 2011)", "previouslyFormattedCitation" : "(Watson &lt;i&gt;et al.&lt;/i&gt; 2011)"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(Watson </w:t>
      </w:r>
      <w:r w:rsidRPr="00B42A6C">
        <w:rPr>
          <w:i/>
          <w:noProof/>
          <w:lang w:val="en-GB"/>
        </w:rPr>
        <w:t>et al.</w:t>
      </w:r>
      <w:r w:rsidRPr="00B42A6C">
        <w:rPr>
          <w:noProof/>
          <w:lang w:val="en-GB"/>
        </w:rPr>
        <w:t xml:space="preserve"> 2011)</w:t>
      </w:r>
      <w:r w:rsidR="00F01773" w:rsidRPr="00141359">
        <w:rPr>
          <w:lang w:val="en-GB"/>
        </w:rPr>
        <w:fldChar w:fldCharType="end"/>
      </w:r>
      <w:r w:rsidRPr="00141359">
        <w:rPr>
          <w:lang w:val="en-GB"/>
        </w:rPr>
        <w:t xml:space="preserve">. Tennessee, which we use as a case study, is a centre of richness for freshwater fish species and molluscs and a region within the coterminous United States of particularly high species imperilment </w:t>
      </w:r>
      <w:r w:rsidR="00F01773" w:rsidRPr="00141359">
        <w:rPr>
          <w:lang w:val="en-GB"/>
        </w:rPr>
        <w:fldChar w:fldCharType="begin" w:fldLock="1"/>
      </w:r>
      <w:r w:rsidR="00B32474">
        <w:rPr>
          <w:lang w:val="en-GB"/>
        </w:rPr>
        <w:instrText>ADDIN CSL_CITATION { "citationItems" : [ { "id" : "ITEM-1", "itemData" : { "DOI" : "10.1126/science.275.5299.550", "abstract" : "Geographic distribution data for endangered species in the United States were used to locate \u201chot spots\u201d of threatened biodiversity. The hot spots for different species groups rarely overlap, except where anthropogenic activities reduce natural habitat in centers of endemism. Conserving endangered plant species maximizes the incidental protection of all other species groups. The presence of endangered birds and herptiles, however, provides a more sensitive indication of overall endangered biodiversity within any region. The amount of land that needs to be managed to protect currently endangered and threatened species in the United States is a relatively small proportion of the land mass.", "author" : [ { "dropping-particle" : "", "family" : "Dobson", "given" : "A P", "non-dropping-particle" : "", "parse-names" : false, "suffix" : "" }, { "dropping-particle" : "", "family" : "Rodriguez", "given" : "J P", "non-dropping-particle" : "", "parse-names" : false, "suffix" : "" }, { "dropping-particle" : "", "family" : "Roberts", "given" : "W M", "non-dropping-particle" : "", "parse-names" : false, "suffix" : "" }, { "dropping-particle" : "", "family" : "Wilcove", "given" : "D S", "non-dropping-particle" : "", "parse-names" : false, "suffix" : "" } ], "container-title" : "Science", "id" : "ITEM-1", "issue" : "5299", "issued" : { "date-parts" : [ [ "1997" ] ] }, "page" : "550-553", "title" : "Geographic distribution of endangered species in the United States", "type" : "article-journal", "volume" : "275" }, "uris" : [ "http://www.mendeley.com/documents/?uuid=719f010c-2dbf-494c-a8c8-b49ba5180a7c" ] }, { "id" : "ITEM-2", "itemData" : { "ISBN" : "0-19-512519-3", "editor" : [ { "dropping-particle" : "", "family" : "Stein", "given" : "Bruce A.", "non-dropping-particle" : "", "parse-names" : false, "suffix" : "" }, { "dropping-particle" : "", "family" : "Kutner", "given" : "Lynn S.", "non-dropping-particle" : "", "parse-names" : false, "suffix" : "" }, { "dropping-particle" : "", "family" : "Adams", "given" : "Jonathan S.", "non-dropping-particle" : "", "parse-names" : false, "suffix" : "" } ], "id" : "ITEM-2", "issued" : { "date-parts" : [ [ "2000" ] ] }, "number-of-pages" : "i-xxv, 1-399", "publisher" : "Oxford University Press", "publisher-place" : "New York", "title" : "Precious heritage: the status of biodiversity in the United States.", "type" : "book" }, "uris" : [ "http://www.mendeley.com/documents/?uuid=5a87302e-24bc-4dcf-8574-dd4ac69e6c6e" ] } ], "mendeley" : { "formattedCitation" : "(Dobson &lt;i&gt;et al.&lt;/i&gt; 1997; Stein, Kutner &amp; Adams 2000)", "plainTextFormattedCitation" : "(Dobson et al. 1997; Stein, Kutner &amp; Adams 2000)", "previouslyFormattedCitation" : "(Dobson &lt;i&gt;et al.&lt;/i&gt; 1997; Stein, Kutner &amp; Adams 2000)"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(Dobson </w:t>
      </w:r>
      <w:r w:rsidRPr="00B42A6C">
        <w:rPr>
          <w:i/>
          <w:noProof/>
          <w:lang w:val="en-GB"/>
        </w:rPr>
        <w:t>et al.</w:t>
      </w:r>
      <w:r w:rsidRPr="00B42A6C">
        <w:rPr>
          <w:noProof/>
          <w:lang w:val="en-GB"/>
        </w:rPr>
        <w:t xml:space="preserve"> 1997; Stein, Kutner &amp; Adams 2000)</w:t>
      </w:r>
      <w:r w:rsidR="00F01773" w:rsidRPr="00141359">
        <w:rPr>
          <w:lang w:val="en-GB"/>
        </w:rPr>
        <w:fldChar w:fldCharType="end"/>
      </w:r>
      <w:r w:rsidRPr="00141359">
        <w:rPr>
          <w:lang w:val="en-GB"/>
        </w:rPr>
        <w:t xml:space="preserve">. We examine how annual additions of species observations made from 1900 to 2010 would change the ranking of watersheds being prioritized for conservation action. Specifically, we rank watersheds by complementary </w:t>
      </w:r>
      <w:r w:rsidRPr="00141359">
        <w:rPr>
          <w:lang w:val="en-GB"/>
        </w:rPr>
        <w:lastRenderedPageBreak/>
        <w:t xml:space="preserve">richness. As a conservation objective, complementary richness rewards watersheds for covering species not found in other protected watersheds </w:t>
      </w:r>
      <w:r w:rsidR="00F01773" w:rsidRPr="00141359">
        <w:rPr>
          <w:lang w:val="en-GB"/>
        </w:rPr>
        <w:fldChar w:fldCharType="begin" w:fldLock="1"/>
      </w:r>
      <w:r w:rsidR="00B32474">
        <w:rPr>
          <w:lang w:val="en-GB"/>
        </w:rPr>
        <w:instrText>ADDIN CSL_CITATION { "citationItems" : [ { "id" : "ITEM-1", "itemData" : { "DOI" : "10.1016/0006-3207(91)90030-D", "ISSN" : "00063207", "abstract" : "Politicians and scientists alike now agree that a priority list of global centres for preservationof biological diversity is required. Diversity has generally been measured only in terms of species richness, or in the form of indices combining richness with abundance. Such measures are considered inadequate for the task in hand. A novel index, based on the information content of cladistic classifications and giving a measure of taxonomic distinctness, is introduced. This taxic diversity measure, when coupled with detailed knowledge of distribution, can be used in modified analyses of the type previously developed as \u2018critical faunas analysis\u2019 or \u2018network analysis\u2019. Central to all such analyses is the concept of complementarity of floras or faunas. By employing complementariry, step-wise procedures can identify optimally efficient, single-site sequences of priority areas for a group, taking existing reserves into account or not, as required. For practical planning it is concluded that two basic rounds of analysis are required: first, recognition of global priority areas by taxic diversity techniques; secondly, within any such area, analysis without taxic weighting (as being developed by Margules and his co-workers) to identify a network of reserves to contain all local taxa and ecosystems. The paper concludes with a brief discussion of some immediate prospects for development of a systematic approach to global conservation evaluation.", "author" : [ { "dropping-particle" : "", "family" : "Vane-Wright", "given" : "R.I.", "non-dropping-particle" : "", "parse-names" : false, "suffix" : "" }, { "dropping-particle" : "", "family" : "Humphries", "given" : "C.J.", "non-dropping-particle" : "", "parse-names" : false, "suffix" : "" }, { "dropping-particle" : "", "family" : "Williams", "given" : "P.H.", "non-dropping-particle" : "", "parse-names" : false, "suffix" : "" } ], "container-title" : "Biological Conservation", "id" : "ITEM-1", "issue" : "3", "issued" : { "date-parts" : [ [ "1991", "1" ] ] }, "note" : "yet another way to decide priorities", "page" : "235-254", "title" : "What to protect?\u2014Systematics and the agony of choice", "type" : "article-journal", "volume" : "55" }, "uris" : [ "http://www.mendeley.com/documents/?uuid=a271c7e5-e387-4295-b0fa-098ca5e2de1a" ] } ], "mendeley" : { "formattedCitation" : "(Vane-Wright, Humphries &amp; Williams 1991)", "plainTextFormattedCitation" : "(Vane-Wright, Humphries &amp; Williams 1991)", "previouslyFormattedCitation" : "(Vane-Wright, Humphries &amp; Williams 1991)" }, "properties" : { "noteIndex" : 0 }, "schema" : "https://github.com/citation-style-language/schema/raw/master/csl-citation.json" }</w:instrText>
      </w:r>
      <w:r w:rsidR="00F01773" w:rsidRPr="00141359">
        <w:rPr>
          <w:lang w:val="en-GB"/>
        </w:rPr>
        <w:fldChar w:fldCharType="separate"/>
      </w:r>
      <w:r w:rsidRPr="00141359">
        <w:rPr>
          <w:noProof/>
          <w:lang w:val="en-GB"/>
        </w:rPr>
        <w:t>(Vane-Wright, Humphries &amp; Williams 1991)</w:t>
      </w:r>
      <w:r w:rsidR="00F01773" w:rsidRPr="00141359">
        <w:rPr>
          <w:lang w:val="en-GB"/>
        </w:rPr>
        <w:fldChar w:fldCharType="end"/>
      </w:r>
      <w:r w:rsidRPr="00141359">
        <w:rPr>
          <w:lang w:val="en-GB"/>
        </w:rPr>
        <w:t>. We use a rank correlation statistic to quantify the change in priorities brought on by an additional year’s observations. Further, we assess the magnitude, trend, and consistency of priority changes over time.</w:t>
      </w:r>
      <w:r>
        <w:rPr>
          <w:lang w:val="en-GB"/>
        </w:rPr>
        <w:t xml:space="preserve"> </w:t>
      </w:r>
      <w:r w:rsidRPr="00141359">
        <w:rPr>
          <w:lang w:val="en-GB"/>
        </w:rPr>
        <w:t xml:space="preserve">We examine the sensitivity of our results </w:t>
      </w:r>
      <w:r>
        <w:rPr>
          <w:lang w:val="en-GB"/>
        </w:rPr>
        <w:t xml:space="preserve">to </w:t>
      </w:r>
      <w:r w:rsidRPr="00141359">
        <w:rPr>
          <w:lang w:val="en-GB"/>
        </w:rPr>
        <w:t xml:space="preserve">the number of watersheds prioritized. In the </w:t>
      </w:r>
      <w:r w:rsidR="004048A8">
        <w:rPr>
          <w:lang w:val="en-GB"/>
        </w:rPr>
        <w:t>Appendix</w:t>
      </w:r>
      <w:r w:rsidRPr="00141359">
        <w:rPr>
          <w:lang w:val="en-GB"/>
        </w:rPr>
        <w:t xml:space="preserve">, we also explore the sensitivity of our results to ranking method, spatial or taxonomic sampling bias, and changes in data reliability due to changing technology and organism or population persistence. </w:t>
      </w:r>
    </w:p>
    <w:p w:rsidR="00BC0AA6" w:rsidRPr="00141359" w:rsidRDefault="00BC0AA6" w:rsidP="00BC0AA6">
      <w:pPr>
        <w:ind w:firstLine="720"/>
        <w:rPr>
          <w:lang w:val="en-GB"/>
        </w:rPr>
      </w:pPr>
      <w:r w:rsidRPr="00141359">
        <w:rPr>
          <w:lang w:val="en-GB"/>
        </w:rPr>
        <w:t>The dataset we use is one currently used by conservation planners in Tennessee. As is often the case with datasets built from historical occurrence records, this one has been collated in a piecemeal and somewhat opportunistic fashion. As a result, the dataset suffers from more spatial, temporal, and taxonomic sampling bias than in systematic surveys. Arguably, it still represents the best information available to conservation planners regarding the distribution of priority species in Tennessee</w:t>
      </w:r>
      <w:r>
        <w:rPr>
          <w:lang w:val="en-GB"/>
        </w:rPr>
        <w:t xml:space="preserve"> today</w:t>
      </w:r>
      <w:r w:rsidRPr="00141359">
        <w:rPr>
          <w:lang w:val="en-GB"/>
        </w:rPr>
        <w:t>.</w:t>
      </w:r>
    </w:p>
    <w:p w:rsidR="00BC0AA6" w:rsidRPr="00141359" w:rsidRDefault="00BC0AA6" w:rsidP="00BC0AA6">
      <w:pPr>
        <w:ind w:firstLine="720"/>
        <w:rPr>
          <w:lang w:val="en-GB"/>
        </w:rPr>
      </w:pPr>
      <w:r w:rsidRPr="00141359">
        <w:rPr>
          <w:lang w:val="en-GB"/>
        </w:rPr>
        <w:t xml:space="preserve">Previous studies with similar methodologies to ours focus on the effectiveness of conservation outcomes under different data quality and quantity scenarios </w:t>
      </w:r>
      <w:r w:rsidR="00F01773" w:rsidRPr="00141359">
        <w:rPr>
          <w:lang w:val="en-GB"/>
        </w:rPr>
        <w:fldChar w:fldCharType="begin" w:fldLock="1"/>
      </w:r>
      <w:r w:rsidR="00B32474">
        <w:rPr>
          <w:lang w:val="en-GB"/>
        </w:rPr>
        <w:instrText>ADDIN CSL_CITATION { "citationItems" : [ { "id" : "ITEM-1", "itemData" : { "author" : [ { "dropping-particle" : "", "family" : "Freitag", "given" : "Stefanie", "non-dropping-particle" : "", "parse-names" : false, "suffix" : "" }, { "dropping-particle" : "", "family" : "Jaarsveld", "given" : "Albert S", "non-dropping-particle" : "van", "parse-names" : false, "suffix" : "" } ], "container-title" : "Proceedings of the Royal Society of London B.", "id" : "ITEM-1", "issued" : { "date-parts" : [ [ "1998" ] ] }, "page" : "1475-1482", "title" : "Sensitivity of selection procedures for priority conservation areas to survey extent, survey intensity and taxonomic knowledge", "type" : "article-journal", "volume" : "265" }, "uris" : [ "http://www.mendeley.com/documents/?uuid=ad514389-a139-40fa-8199-e6c5159a9d23" ] }, { "id" : "ITEM-2", "itemData" : { "abstract" : "The reserve site selection problem is to select sites for the establishment of biological reserves with the goal to maximize the number of species contained in the reserves.When species distributions are known, this corresponds to the maximal coverage problem. In practice, knowledge of species distributions may be incomplete and only incidence probabilities are available. In this case, the goal is to maximize the expected number of species contained in the reserves. This is called the maximal expected coverage problem. This paper describes and illustrates a formal approach to assess the value of information, such as site surveys or species surveys, in this problem.", "author" : [ { "dropping-particle" : "", "family" : "Polasky", "given" : "Stephen", "non-dropping-particle" : "", "parse-names" : false, "suffix" : "" }, { "dropping-particle" : "", "family" : "Solow", "given" : "Andrew R", "non-dropping-particle" : "", "parse-names" : false, "suffix" : "" } ], "container-title" : "Biodiversity and Conservation", "id" : "ITEM-2", "issued" : { "date-parts" : [ [ "2001" ] ] }, "note" : "Look at how the value of information about the presence/absence of species in sites changes as the proportion of sites selected, the detectability of species changes, and the actual probability of species presence changes. They look at the maximal expected coverage problem, where you are attempting to maximize the expected number of species covered by the sites you select. They use few (5) species and 1 or 2 species to illustrate.", "page" : "1051-1058", "title" : "The value of information in reserve site selection", "type" : "article-journal", "volume" : "10" }, "uris" : [ "http://www.mendeley.com/documents/?uuid=da2ed81a-18d7-4ce7-89dd-b4b4661e03d1" ] }, { "id" : "ITEM-3", "itemData" : { "DOI" : "10.1023/A:1023637917029", "ISSN" : "1572-9710", "author" : [ { "dropping-particle" : "", "family" : "Gladstone", "given" : "William", "non-dropping-particle" : "", "parse-names" : false, "suffix" : "" }, { "dropping-particle" : "", "family" : "Davis", "given" : "Jennifer", "non-dropping-particle" : "", "parse-names" : false, "suffix" : "" } ], "container-title" : "Biodiversity &amp; Conservation", "id" : "ITEM-3", "issue" : "7", "issued" : { "date-parts" : [ [ "2003" ] ] }, "language" : "en", "note" : "referenced in swap for how changing data affect priorities", "page" : "1525-1536", "title" : "Reduced survey intensity and its consequences for marine reserve selection", "type" : "article-journal", "volume" : "12" }, "uris" : [ "http://www.mendeley.com/documents/?uuid=cf918c1a-3a69-4e81-8045-06368da5ca7f" ] }, { "id" : "ITEM-4", "itemData" : { "DOI" : "10.1046/j.1523-1739.2003.01268.x", "ISSN" : "0888-8892", "author" : [ { "dropping-particle" : "", "family" : "Gaston", "given" : "Kevin J.", "non-dropping-particle" : "", "parse-names" : false, "suffix" : "" }, { "dropping-particle" : "", "family" : "Rodrigues", "given" : "Ana S. L.", "non-dropping-particle" : "", "parse-names" : false, "suffix" : "" } ], "container-title" : "Conservation Biology", "id" : "ITEM-4", "issue" : "1", "issued" : { "date-parts" : [ [ "2003", "2" ] ] }, "note" : "look at the maximal coverage problem using a dataset with abundance data. They compare outcomes of the MCP when using the original dataset, the dataset turned to presence/absence, and the dataset turned to low sampling effort (similar to my rarefaction analysis in SWAP, but with much lower sampling (2 bouts per site)). They compare their work to Freitag and van Jaarsveld (1998). They find that presence-absence data are best at covering many species, while abudance data are better at covering many individuals. They actually find that a very low sampling effort is better than presence/absence at covering individuals, indicating it is better to spread a little effort over the landscape collecting abundance if that is your goal.", "page" : "188-195", "title" : "Reserve selection in regions with poor biological data", "type" : "article-journal", "volume" : "17" }, "uris" : [ "http://www.mendeley.com/documents/?uuid=e3cd9d79-434a-4292-a8af-6042b4971213" ] }, { "id" : "ITEM-5", "itemData" : { "DOI" : "10.1111/j.1755-263X.2008.00029.x", "ISSN" : "1755263X", "author" : [ { "dropping-particle" : "", "family" : "Grantham", "given" : "Hedley S.", "non-dropping-particle" : "", "parse-names" : false, "suffix" : "" }, { "dropping-particle" : "", "family" : "Moilanen", "given" : "Atte", "non-dropping-particle" : "", "parse-names" : false, "suffix" : "" }, { "dropping-particle" : "", "family" : "Wilson", "given" : "Kerrie A.", "non-dropping-particle" : "", "parse-names" : false, "suffix" : "" }, { "dropping-particle" : "", "family" : "Pressey", "given" : "Robert L.", "non-dropping-particle" : "", "parse-names" : false, "suffix" : "" }, { "dropping-particle" : "", "family" : "Rebelo", "given" : "Tony G.", "non-dropping-particle" : "", "parse-names" : false, "suffix" : "" }, { "dropping-particle" : "", "family" : "Possingham", "given" : "Hugh P.", "non-dropping-particle" : "", "parse-names" : false, "suffix" : "" } ], "container-title" : "Conservation Letters", "id" : "ITEM-5", "issue" : "4", "issued" : { "date-parts" : [ [ "2008", "9", "11" ] ] }, "note" : "Look at how different levels of investment in initial biodiversity surveying affects effectiveness of reserves. They take a full dataset, 1) subset the dataset by some number of records, 2) use the smaller dataset to predict species ranges, 3) use the predicted ranges to conserve the most species in a dynamic conservation/land change model over 10 years, 4) measure the effectiveness of the reserve system at the end of the model. Their site selection algorithm chooses the site(s) that add the most species to the current system. They find that collecting a little data is a huge help, while collecting a lot is not much different than collecting a little more (i.e. diminishing returns). They also find that using land cover classifications as a proxy do not work very well compared to a little surveying.", "page" : "190-198", "title" : "Diminishing return on investment for biodiversity data in conservation planning", "type" : "article-journal", "volume" : "1" }, "uris" : [ "http://www.mendeley.com/documents/?uuid=0e34dd9d-a10e-493d-a30e-66dd8686d04a" ] }, { "id" : "ITEM-6", "itemData" : { "DOI" : "10.1016/j.biocon.2011.04.018", "ISSN" : "00063207", "author" : [ { "dropping-particle" : "", "family" : "Ornellas", "given" : "Paul", "non-dropping-particle" : "De", "parse-names" : false, "suffix" : "" }, { "dropping-particle" : "", "family" : "Milner-Gulland", "given" : "E.J.", "non-dropping-particle" : "", "parse-names" : false, "suffix" : "" }, { "dropping-particle" : "", "family" : "Nicholson", "given" : "Emily", "non-dropping-particle" : "", "parse-names" : false, "suffix" : "" } ], "container-title" : "Biological Conservation", "id" : "ITEM-6", "issue" : "7", "issued" : { "date-parts" : [ [ "2011", "7" ] ] }, "page" : "1980-1988", "publisher" : "Elsevier Ltd", "title" : "The impact of data realities on conservation planning", "type" : "article-journal", "volume" : "144" }, "uris" : [ "http://www.mendeley.com/documents/?uuid=bb403314-8445-4035-80c4-b63e3e695c08" ] } ], "mendeley" : { "formattedCitation" : "(Freitag &amp; van Jaarsveld 1998; Polasky &amp; Solow 2001; Gladstone &amp; Davis 2003; Gaston &amp; Rodrigues 2003; Grantham &lt;i&gt;et al.&lt;/i&gt; 2008; De Ornellas, Milner-Gulland &amp; Nicholson 2011)", "plainTextFormattedCitation" : "(Freitag &amp; van Jaarsveld 1998; Polasky &amp; Solow 2001; Gladstone &amp; Davis 2003; Gaston &amp; Rodrigues 2003; Grantham et al. 2008; De Ornellas, Milner-Gulland &amp; Nicholson 2011)", "previouslyFormattedCitation" : "(Freitag &amp; van Jaarsveld 1998; Polasky &amp; Solow 2001; Gladstone &amp; Davis 2003; Gaston &amp; Rodrigues 2003; Grantham &lt;i&gt;et al.&lt;/i&gt; 2008; De Ornellas, Milner-Gulland &amp; Nicholson 2011)"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(Freitag &amp; van Jaarsveld 1998; Polasky &amp; Solow 2001; Gladstone &amp; Davis 2003; Gaston &amp; Rodrigues 2003; Grantham </w:t>
      </w:r>
      <w:r w:rsidRPr="00B42A6C">
        <w:rPr>
          <w:i/>
          <w:noProof/>
          <w:lang w:val="en-GB"/>
        </w:rPr>
        <w:t>et al.</w:t>
      </w:r>
      <w:r w:rsidRPr="00B42A6C">
        <w:rPr>
          <w:noProof/>
          <w:lang w:val="en-GB"/>
        </w:rPr>
        <w:t xml:space="preserve"> 2008; De Ornellas, Milner-Gulland &amp; Nicholson 2011)</w:t>
      </w:r>
      <w:r w:rsidR="00F01773" w:rsidRPr="00141359">
        <w:rPr>
          <w:lang w:val="en-GB"/>
        </w:rPr>
        <w:fldChar w:fldCharType="end"/>
      </w:r>
      <w:r w:rsidRPr="00141359">
        <w:rPr>
          <w:lang w:val="en-GB"/>
        </w:rPr>
        <w:t xml:space="preserve">. The general approach in empirical studies has been to aggregate data over time, simulate changes to the data (e.g. by subsampling to represent reduced sampling effort), and to evaluate conservation plans on the altered dataset </w:t>
      </w:r>
      <w:r w:rsidR="00F01773" w:rsidRPr="00141359">
        <w:rPr>
          <w:lang w:val="en-GB"/>
        </w:rPr>
        <w:fldChar w:fldCharType="begin" w:fldLock="1"/>
      </w:r>
      <w:r w:rsidR="00B32474">
        <w:rPr>
          <w:lang w:val="en-GB"/>
        </w:rPr>
        <w:instrText>ADDIN CSL_CITATION { "citationItems" : [ { "id" : "ITEM-1", "itemData" : { "DOI" : "10.1007/s10531-011-0015-2", "ISSN" : "0960-3115", "author" : [ { "dropping-particle" : "", "family" : "Felinks", "given" : "Birgit", "non-dropping-particle" : "", "parse-names" : false, "suffix" : "" }, { "dropping-particle" : "", "family" : "Pardini", "given" : "Renata", "non-dropping-particle" : "", "parse-names" : false, "suffix" : "" }, { "dropping-particle" : "", "family" : "Dixo", "given" : "Marianna", "non-dropping-particle" : "", "parse-names" : false, "suffix" : "" }, { "dropping-particle" : "", "family" : "Follner", "given" : "Klaus", "non-dropping-particle" : "", "parse-names" : false, "suffix" : "" }, { "dropping-particle" : "", "family" : "Metzger", "given" : "Jean P.", "non-dropping-particle" : "", "parse-names" : false, "suffix" : "" }, { "dropping-particle" : "", "family" : "Henle", "given" : "Klaus", "non-dropping-particle" : "", "parse-names" : false, "suffix" : "" } ], "container-title" : "Biodiversity and Conservation", "id" : "ITEM-1", "issue" : "5", "issued" : { "date-parts" : [ [ "2011", "2", "26" ] ] }, "note" : "In a second important precursor to our work, Felinks et al. (2011) explicitly incorporate temporal effects when they compare the results of spatial prioritizations across two years of data collection. They acknowledge that changes in prioritizations they observe are due to both apparent and actual turnover between years, and use both apparent richness \u2013 the number of species directly observed in a site \u2013 and estimated richness to perform prioritizations. Like many conservation planning papers, Felinks et al. (2011) use intensive, multispecies, structured field surveys that, while better suited for estimating the actual relative richness of sites, is not representative of the data conservation practitioners are currently using to make decisions. Spatial prioritizations in conservation more commonly rely on more idiosyncratically collected observations of policy-relevant, rare species, as we do here. When focusing just on rare species, very different turnover and site occupancy patterns will be involved, meaning the implications of temporally accumulating data for spatial prioritizations will likely be quite different. In contrast to Felinks et al. (2011) two year study, our dataset of occurrence records spans more than a century, allowing us to better understand long-term trends in priorities that are influenced by data collection.", "page" : "1057-1072", "title" : "Effects of species turnover on reserve site selection in a fragmented landscape", "type" : "article-journal", "volume" : "20" }, "prefix" : "but see", "uris" : [ "http://www.mendeley.com/documents/?uuid=ab217cf1-723b-4215-9d88-3d5c1c908049" ] } ], "mendeley" : { "formattedCitation" : "(but see Felinks &lt;i&gt;et al.&lt;/i&gt; 2011)", "plainTextFormattedCitation" : "(but see Felinks et al. 2011)", "previouslyFormattedCitation" : "(but see Felinks &lt;i&gt;et al.&lt;/i&gt; 2011)"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(but see Felinks </w:t>
      </w:r>
      <w:r w:rsidRPr="00B42A6C">
        <w:rPr>
          <w:i/>
          <w:noProof/>
          <w:lang w:val="en-GB"/>
        </w:rPr>
        <w:t>et al.</w:t>
      </w:r>
      <w:r w:rsidRPr="00B42A6C">
        <w:rPr>
          <w:noProof/>
          <w:lang w:val="en-GB"/>
        </w:rPr>
        <w:t xml:space="preserve"> 2011)</w:t>
      </w:r>
      <w:r w:rsidR="00F01773" w:rsidRPr="00141359">
        <w:rPr>
          <w:lang w:val="en-GB"/>
        </w:rPr>
        <w:fldChar w:fldCharType="end"/>
      </w:r>
      <w:r w:rsidRPr="00141359">
        <w:rPr>
          <w:lang w:val="en-GB"/>
        </w:rPr>
        <w:t xml:space="preserve">. Doing this allows authors to cover a range of data collection scenarios in order to generalize across many situations that might be encountered. These studies conclude that data quality and quantity are important factors in taking effective conservation actions, but the details are dataset specific. For example, Grantham </w:t>
      </w:r>
      <w:r w:rsidRPr="00141359">
        <w:rPr>
          <w:i/>
          <w:lang w:val="en-GB"/>
        </w:rPr>
        <w:t xml:space="preserve">et al. </w:t>
      </w:r>
      <w:r w:rsidR="00F01773" w:rsidRPr="00141359">
        <w:rPr>
          <w:lang w:val="en-GB"/>
        </w:rPr>
        <w:fldChar w:fldCharType="begin" w:fldLock="1"/>
      </w:r>
      <w:r w:rsidR="00B32474">
        <w:rPr>
          <w:lang w:val="en-GB"/>
        </w:rPr>
        <w:instrText>ADDIN CSL_CITATION { "citationItems" : [ { "id" : "ITEM-1", "itemData" : { "DOI" : "10.1111/j.1461-0248.2009.01287.x", "ISSN" : "1461-0248", "abstract" : "Decisions about where conservation actions are implemented are based on incomplete knowledge about biodiversity. The Protea Atlas is a comprehensive database, containing information collated over a decade. Using this data set in a series of retrospective simulations, we compared the outcome from different scenarios of information gain, and habitat protection and loss, over a 20-year period. We assumed that there was no information on proteas at the beginning of the simulation but knowledge improved each year. Our aim was to find out how much time we should spend collecting data before protecting habitat when there is ongoing loss of habitat. We found that, in this case, surveying for more than 2\u00a0years rarely increased the effectiveness of conservation decisions in terms of representation of proteas in protected areas and retention within the landscape. If the delay is too long, it can sometimes be more effective just using a readily available habitat map. These results reveal the opportunity costs of delaying conservation action to improve knowledge.", "author" : [ { "dropping-particle" : "", "family" : "Grantham", "given" : "Hedley S", "non-dropping-particle" : "", "parse-names" : false, "suffix" : "" }, { "dropping-particle" : "", "family" : "Wilson", "given" : "Kerrie A", "non-dropping-particle" : "", "parse-names" : false, "suffix" : "" }, { "dropping-particle" : "", "family" : "Moilanen", "given" : "Atte", "non-dropping-particle" : "", "parse-names" : false, "suffix" : "" }, { "dropping-particle" : "", "family" : "Rebelo", "given" : "Tony", "non-dropping-particle" : "", "parse-names" : false, "suffix" : "" }, { "dropping-particle" : "", "family" : "Possingham", "given" : "Hugh P", "non-dropping-particle" : "", "parse-names" : false, "suffix" : "" } ], "container-title" : "Ecology Letters", "id" : "ITEM-1", "issue" : "4", "issued" : { "date-parts" : [ [ "2009" ] ] }, "note" : "In relation to Ch1 SWAP: Grantham et al 2009 assesses how the tradeoff between investing in more surveys and taking protection action affects the long-term coverage and retention of protea species. They find that for their case study area, a very short duration of surveying (~2 yr) followed by protection is optimal as opposed to surveying longer before switching to protection. Like ours, their dataset covers a long time span (20 yr). They use SDMs, assume that the most complete dataset is also the most representative of the entire 20 yr period, and finally they do a random sampling of areas without regard to the actual surveying process.", "page" : "293-301", "publisher" : "Blackwell Publishing Ltd", "title" : "Delaying conservation actions for improved knowledge: how long should we wait?", "type" : "article-journal", "volume" : "12" }, "suppress-author" : 1, "uris" : [ "http://www.mendeley.com/documents/?uuid=c0dfb9b6-f6c6-40b6-9732-7d5d8426a6e1" ] } ], "mendeley" : { "formattedCitation" : "(2009)", "plainTextFormattedCitation" : "(2009)", "previouslyFormattedCitation" : "(2009)" }, "properties" : { "noteIndex" : 0 }, "schema" : "https://github.com/citation-style-language/schema/raw/master/csl-citation.json" }</w:instrText>
      </w:r>
      <w:r w:rsidR="00F01773" w:rsidRPr="00141359">
        <w:rPr>
          <w:lang w:val="en-GB"/>
        </w:rPr>
        <w:fldChar w:fldCharType="separate"/>
      </w:r>
      <w:r w:rsidRPr="00141359">
        <w:rPr>
          <w:noProof/>
          <w:lang w:val="en-GB"/>
        </w:rPr>
        <w:t>(2009)</w:t>
      </w:r>
      <w:r w:rsidR="00F01773" w:rsidRPr="00141359">
        <w:rPr>
          <w:lang w:val="en-GB"/>
        </w:rPr>
        <w:fldChar w:fldCharType="end"/>
      </w:r>
      <w:r w:rsidRPr="00141359">
        <w:rPr>
          <w:lang w:val="en-GB"/>
        </w:rPr>
        <w:t xml:space="preserve"> assess how switching from initial species surveys to habitat protection affects the long-term coverage and retention of proteas. They find that for their case study area, a shorter duration of surveying (~2 y</w:t>
      </w:r>
      <w:r>
        <w:rPr>
          <w:lang w:val="en-GB"/>
        </w:rPr>
        <w:t>ea</w:t>
      </w:r>
      <w:r w:rsidRPr="00141359">
        <w:rPr>
          <w:lang w:val="en-GB"/>
        </w:rPr>
        <w:t>r</w:t>
      </w:r>
      <w:r>
        <w:rPr>
          <w:lang w:val="en-GB"/>
        </w:rPr>
        <w:t>s</w:t>
      </w:r>
      <w:r w:rsidRPr="00141359">
        <w:rPr>
          <w:lang w:val="en-GB"/>
        </w:rPr>
        <w:t>) followed by longer protection is optimal. Their study has important implications for conservation planning since it indicates that long-term data collection need not preclude conservation actions.</w:t>
      </w:r>
    </w:p>
    <w:p w:rsidR="00BC0AA6" w:rsidRPr="00141359" w:rsidRDefault="00BC0AA6" w:rsidP="008851D6">
      <w:pPr>
        <w:ind w:firstLine="720"/>
        <w:rPr>
          <w:lang w:val="en-GB"/>
        </w:rPr>
      </w:pPr>
      <w:r w:rsidRPr="00141359">
        <w:rPr>
          <w:lang w:val="en-GB"/>
        </w:rPr>
        <w:t xml:space="preserve">We complement previous work in many ways. First, we use a much longer-term dataset spanning 111 years. Second, we build the dataset sequentially over the time period rather than subsampling without regard to time and thus we follow the actual collection of species observations. As such, our analysis includes the co-variation of data characteristics over time. Third, our analyses do not rely on the aggregate dataset as the most accurate knowledge of species </w:t>
      </w:r>
      <w:r w:rsidRPr="00141359">
        <w:rPr>
          <w:lang w:val="en-GB"/>
        </w:rPr>
        <w:lastRenderedPageBreak/>
        <w:t xml:space="preserve">distributions over time. Rather, we focus on </w:t>
      </w:r>
      <w:r w:rsidRPr="009467E6">
        <w:rPr>
          <w:lang w:val="en-GB"/>
        </w:rPr>
        <w:t>describing</w:t>
      </w:r>
      <w:r w:rsidRPr="00141359">
        <w:rPr>
          <w:lang w:val="en-GB"/>
        </w:rPr>
        <w:t xml:space="preserve"> how changing knowledge over </w:t>
      </w:r>
      <w:r>
        <w:rPr>
          <w:lang w:val="en-GB"/>
        </w:rPr>
        <w:t xml:space="preserve">time </w:t>
      </w:r>
      <w:r w:rsidRPr="00141359">
        <w:rPr>
          <w:lang w:val="en-GB"/>
        </w:rPr>
        <w:t>affects conservation priorities. Finally, we use raw species observations as they were recorded rather than mode</w:t>
      </w:r>
      <w:r>
        <w:rPr>
          <w:lang w:val="en-GB"/>
        </w:rPr>
        <w:t>l</w:t>
      </w:r>
      <w:r w:rsidRPr="00141359">
        <w:rPr>
          <w:lang w:val="en-GB"/>
        </w:rPr>
        <w:t xml:space="preserve">led data or controls for data biases. We briefly explore how reducing among-watershed sampling bias affects our results (see Appendix </w:t>
      </w:r>
      <w:r w:rsidR="004048A8">
        <w:rPr>
          <w:lang w:val="en-GB"/>
        </w:rPr>
        <w:t>S1</w:t>
      </w:r>
      <w:r w:rsidRPr="00141359">
        <w:rPr>
          <w:lang w:val="en-GB"/>
        </w:rPr>
        <w:t>).</w:t>
      </w:r>
    </w:p>
    <w:p w:rsidR="00BC0AA6" w:rsidRPr="00141359" w:rsidRDefault="00BB31DB" w:rsidP="008851D6">
      <w:pPr>
        <w:pStyle w:val="Heading2"/>
        <w:rPr>
          <w:lang w:val="en-GB"/>
        </w:rPr>
      </w:pPr>
      <w:bookmarkStart w:id="12" w:name="_Toc417646749"/>
      <w:bookmarkStart w:id="13" w:name="_Toc421352864"/>
      <w:r>
        <w:rPr>
          <w:lang w:val="en-GB"/>
        </w:rPr>
        <w:t>Materials and M</w:t>
      </w:r>
      <w:r w:rsidR="00BC0AA6" w:rsidRPr="00141359">
        <w:rPr>
          <w:lang w:val="en-GB"/>
        </w:rPr>
        <w:t>ethods</w:t>
      </w:r>
      <w:bookmarkEnd w:id="12"/>
      <w:bookmarkEnd w:id="13"/>
    </w:p>
    <w:p w:rsidR="00BC0AA6" w:rsidRPr="00141359" w:rsidRDefault="00FE4F61" w:rsidP="008851D6">
      <w:pPr>
        <w:pStyle w:val="Heading3"/>
        <w:rPr>
          <w:lang w:val="en-GB"/>
        </w:rPr>
      </w:pPr>
      <w:bookmarkStart w:id="14" w:name="_Toc417646750"/>
      <w:r>
        <w:rPr>
          <w:lang w:val="en-GB"/>
        </w:rPr>
        <w:t>Case Study Area</w:t>
      </w:r>
      <w:bookmarkEnd w:id="14"/>
    </w:p>
    <w:p w:rsidR="00BC0AA6" w:rsidRPr="00141359" w:rsidRDefault="00BC0AA6" w:rsidP="008851D6">
      <w:pPr>
        <w:rPr>
          <w:lang w:val="en-GB"/>
        </w:rPr>
      </w:pPr>
      <w:r w:rsidRPr="00141359">
        <w:rPr>
          <w:lang w:val="en-GB"/>
        </w:rPr>
        <w:t xml:space="preserve">Tennessee is one of the most biodiverse inland states in the U.S., second only to Alabama in the diversity of freshwater fishes and possessing a comparatively high degree of species endemism </w:t>
      </w:r>
      <w:r w:rsidR="00F01773" w:rsidRPr="00141359">
        <w:rPr>
          <w:lang w:val="en-GB"/>
        </w:rPr>
        <w:fldChar w:fldCharType="begin" w:fldLock="1"/>
      </w:r>
      <w:r w:rsidR="00B32474">
        <w:rPr>
          <w:lang w:val="en-GB"/>
        </w:rPr>
        <w:instrText>ADDIN CSL_CITATION { "citationItems" : [ { "id" : "ITEM-1", "itemData" : { "author" : [ { "dropping-particle" : "", "family" : "Stein", "given" : "Bruce A.", "non-dropping-particle" : "", "parse-names" : false, "suffix" : "" } ], "id" : "ITEM-1", "issued" : { "date-parts" : [ [ "2002" ] ] }, "publisher-place" : "Arlington, VA", "title" : "States of the Union: Ranking America's Biodiversity", "type" : "report" }, "uris" : [ "http://www.mendeley.com/documents/?uuid=b4c21a8a-0029-4829-adb2-e65d37955892" ] } ], "mendeley" : { "formattedCitation" : "(Stein 2002)", "plainTextFormattedCitation" : "(Stein 2002)", "previouslyFormattedCitation" : "(Stein 2002)" }, "properties" : { "noteIndex" : 0 }, "schema" : "https://github.com/citation-style-language/schema/raw/master/csl-citation.json" }</w:instrText>
      </w:r>
      <w:r w:rsidR="00F01773" w:rsidRPr="00141359">
        <w:rPr>
          <w:lang w:val="en-GB"/>
        </w:rPr>
        <w:fldChar w:fldCharType="separate"/>
      </w:r>
      <w:r w:rsidRPr="00141359">
        <w:rPr>
          <w:noProof/>
          <w:lang w:val="en-GB"/>
        </w:rPr>
        <w:t>(Stein 2002)</w:t>
      </w:r>
      <w:r w:rsidR="00F01773" w:rsidRPr="00141359">
        <w:rPr>
          <w:lang w:val="en-GB"/>
        </w:rPr>
        <w:fldChar w:fldCharType="end"/>
      </w:r>
      <w:r w:rsidRPr="00141359">
        <w:rPr>
          <w:lang w:val="en-GB"/>
        </w:rPr>
        <w:t>.  Over 10% of the state’s plant and animal species are considered at-risk, and Tennessee ranks seventh among all states in the number of documented extinctions, a fact largely attributed to the major modification of streams and river systems in the early to mid-20</w:t>
      </w:r>
      <w:r w:rsidRPr="00141359">
        <w:rPr>
          <w:vertAlign w:val="superscript"/>
          <w:lang w:val="en-GB"/>
        </w:rPr>
        <w:t>th</w:t>
      </w:r>
      <w:r w:rsidRPr="00141359">
        <w:rPr>
          <w:lang w:val="en-GB"/>
        </w:rPr>
        <w:t xml:space="preserve"> century </w:t>
      </w:r>
      <w:r w:rsidR="00F01773" w:rsidRPr="00141359">
        <w:rPr>
          <w:lang w:val="en-GB"/>
        </w:rPr>
        <w:fldChar w:fldCharType="begin" w:fldLock="1"/>
      </w:r>
      <w:r w:rsidR="00B32474">
        <w:rPr>
          <w:lang w:val="en-GB"/>
        </w:rPr>
        <w:instrText>ADDIN CSL_CITATION { "citationItems" : [ { "id" : "ITEM-1", "itemData" : { "author" : [ { "dropping-particle" : "", "family" : "Stein", "given" : "Bruce A.", "non-dropping-particle" : "", "parse-names" : false, "suffix" : "" } ], "id" : "ITEM-1", "issued" : { "date-parts" : [ [ "2002" ] ] }, "publisher-place" : "Arlington, VA", "title" : "States of the Union: Ranking America's Biodiversity", "type" : "report" }, "uris" : [ "http://www.mendeley.com/documents/?uuid=b4c21a8a-0029-4829-adb2-e65d37955892" ] }, { "id" : "ITEM-2", "itemData" : { "ISBN" : "0-19-512519-3", "editor" : [ { "dropping-particle" : "", "family" : "Stein", "given" : "Bruce A.", "non-dropping-particle" : "", "parse-names" : false, "suffix" : "" }, { "dropping-particle" : "", "family" : "Kutner", "given" : "Lynn S.", "non-dropping-particle" : "", "parse-names" : false, "suffix" : "" }, { "dropping-particle" : "", "family" : "Adams", "given" : "Jonathan S.", "non-dropping-particle" : "", "parse-names" : false, "suffix" : "" } ], "id" : "ITEM-2", "issued" : { "date-parts" : [ [ "2000" ] ] }, "number-of-pages" : "i-xxv, 1-399", "publisher" : "Oxford University Press", "publisher-place" : "New York", "title" : "Precious heritage: the status of biodiversity in the United States.", "type" : "book" }, "uris" : [ "http://www.mendeley.com/documents/?uuid=5a87302e-24bc-4dcf-8574-dd4ac69e6c6e" ] } ], "mendeley" : { "formattedCitation" : "(Stein, Kutner &amp; Adams 2000; Stein 2002)", "plainTextFormattedCitation" : "(Stein, Kutner &amp; Adams 2000; Stein 2002)", "previouslyFormattedCitation" : "(Stein, Kutner &amp; Adams 2000; Stein 2002)" }, "properties" : { "noteIndex" : 0 }, "schema" : "https://github.com/citation-style-language/schema/raw/master/csl-citation.json" }</w:instrText>
      </w:r>
      <w:r w:rsidR="00F01773" w:rsidRPr="00141359">
        <w:rPr>
          <w:lang w:val="en-GB"/>
        </w:rPr>
        <w:fldChar w:fldCharType="separate"/>
      </w:r>
      <w:r w:rsidRPr="00141359">
        <w:rPr>
          <w:noProof/>
          <w:lang w:val="en-GB"/>
        </w:rPr>
        <w:t>(Stein, Kutner &amp; Adams 2000; Stein 2002)</w:t>
      </w:r>
      <w:r w:rsidR="00F01773" w:rsidRPr="00141359">
        <w:rPr>
          <w:lang w:val="en-GB"/>
        </w:rPr>
        <w:fldChar w:fldCharType="end"/>
      </w:r>
      <w:r w:rsidRPr="00141359">
        <w:rPr>
          <w:lang w:val="en-GB"/>
        </w:rPr>
        <w:t xml:space="preserve">.  Widespread conversion of lands for agricultural purposes has also contributed to fundamental changes in hydrologic regimes in many sub-regions of the state, and excess nutrients and sedimentation from agricultural production contribute to degraded water and habitat quality </w:t>
      </w:r>
      <w:r w:rsidR="00F01773" w:rsidRPr="00141359">
        <w:rPr>
          <w:lang w:val="en-GB"/>
        </w:rPr>
        <w:fldChar w:fldCharType="begin" w:fldLock="1"/>
      </w:r>
      <w:r w:rsidR="00B32474">
        <w:rPr>
          <w:lang w:val="en-GB"/>
        </w:rPr>
        <w:instrText>ADDIN CSL_CITATION { "citationItems" : [ { "id" : "ITEM-1", "itemData" : { "author" : [ { "dropping-particle" : "", "family" : "Tennessee Department of Environment and Conservation", "given" : "", "non-dropping-particle" : "", "parse-names" : false, "suffix" : "" } ], "id" : "ITEM-1", "issued" : { "date-parts" : [ [ "2014" ] ] }, "publisher-place" : "Nashville, TN", "title" : "Year 2012 303(d) list: Final version", "type" : "report" }, "uris" : [ "http://www.mendeley.com/documents/?uuid=058484ac-5e53-44ae-bd9e-ab4d817fda91" ] } ], "mendeley" : { "formattedCitation" : "(Tennessee Department of Environment and Conservation 2014)", "plainTextFormattedCitation" : "(Tennessee Department of Environment and Conservation 2014)", "previouslyFormattedCitation" : "(Tennessee Department of Environment and Conservation 2014)" }, "properties" : { "noteIndex" : 0 }, "schema" : "https://github.com/citation-style-language/schema/raw/master/csl-citation.json" }</w:instrText>
      </w:r>
      <w:r w:rsidR="00F01773" w:rsidRPr="00141359">
        <w:rPr>
          <w:lang w:val="en-GB"/>
        </w:rPr>
        <w:fldChar w:fldCharType="separate"/>
      </w:r>
      <w:r w:rsidRPr="00141359">
        <w:rPr>
          <w:noProof/>
          <w:lang w:val="en-GB"/>
        </w:rPr>
        <w:t>(Tennessee Department of Environment and Conservation 2014)</w:t>
      </w:r>
      <w:r w:rsidR="00F01773" w:rsidRPr="00141359">
        <w:rPr>
          <w:lang w:val="en-GB"/>
        </w:rPr>
        <w:fldChar w:fldCharType="end"/>
      </w:r>
      <w:r w:rsidRPr="00141359">
        <w:rPr>
          <w:lang w:val="en-GB"/>
        </w:rPr>
        <w:t xml:space="preserve">. Increased urbanization within the state’s Metropolitan Statistical Areas has resulted in destruction and fragmentation of terrestrial habitats and degradation of streams and wetlands.  </w:t>
      </w:r>
    </w:p>
    <w:p w:rsidR="00BC0AA6" w:rsidRPr="00141359" w:rsidRDefault="00BC0AA6" w:rsidP="008851D6">
      <w:pPr>
        <w:ind w:firstLine="720"/>
        <w:rPr>
          <w:lang w:val="en-GB"/>
        </w:rPr>
      </w:pPr>
      <w:r w:rsidRPr="00141359">
        <w:rPr>
          <w:lang w:val="en-GB"/>
        </w:rPr>
        <w:t xml:space="preserve">Local, national and international conservation organizations such as The Nature Conservancy and the World Wildlife Fund have invested in Tennessee for over 35 years in collaboration with many partners, including federal agencies such as the U.S. Fish and Wildlife Service and state agencies such as the Tennessee Natural Heritage Program and the Tennessee Wildlife Resources Agency.  Foundational to this work have been a series of conservation plans designed at ecoregional scales and using species occurrence data to set biodiversity conservation goals </w:t>
      </w:r>
      <w:r w:rsidR="00F01773" w:rsidRPr="00141359">
        <w:rPr>
          <w:lang w:val="en-GB"/>
        </w:rPr>
        <w:fldChar w:fldCharType="begin" w:fldLock="1"/>
      </w:r>
      <w:r w:rsidR="00B32474">
        <w:rPr>
          <w:lang w:val="en-GB"/>
        </w:rPr>
        <w:instrText>ADDIN CSL_CITATION { "citationItems" : [ { "id" : "ITEM-1", "itemData" : { "author" : [ { "dropping-particle" : "", "family" : "Smith", "given" : "R.K.", "non-dropping-particle" : "", "parse-names" : false, "suffix" : "" }, { "dropping-particle" : "", "family" : "Freeman", "given" : "P.L.", "non-dropping-particle" : "", "parse-names" : false, "suffix" : "" }, { "dropping-particle" : "", "family" : "Higgins", "given" : "J.V.", "non-dropping-particle" : "", "parse-names" : false, "suffix" : "" }, { "dropping-particle" : "", "family" : "Wheaton", "given" : "K.S.", "non-dropping-particle" : "", "parse-names" : false, "suffix" : "" }, { "dropping-particle" : "", "family" : "FitzHugh", "given" : "T.W.", "non-dropping-particle" : "", "parse-names" : false, "suffix" : "" }, { "dropping-particle" : "", "family" : "Ernstrom", "given" : "K.J.", "non-dropping-particle" : "", "parse-names" : false, "suffix" : "" }, { "dropping-particle" : "", "family" : "Das", "given" : "A.A.", "non-dropping-particle" : "", "parse-names" : false, "suffix" : "" } ], "id" : "ITEM-1", "issued" : { "date-parts" : [ [ "2002" ] ] }, "title" : "Priority Areas for Freshwater Conservation Action: A Biodiversity Assessment of the Southeastern United States", "type" : "report" }, "uris" : [ "http://www.mendeley.com/documents/?uuid=940c7dcb-8388-4f5c-8149-13130d658908" ] }, { "id" : "ITEM-2", "itemData" : { "abstract" : "Conservation scientists and practitioners are using regional conservation assessments around the world to support and guide comprehensive and representative biodiversity protection (e.g. Cowling and Pressey 2003; Noss 2003; Groves 2003; Groves et al. 2002; Dinerstein et al. 2000; Margules and Pressey 2000). In addition to identifying important places, these assessments help organize and update biodiversity information; develop, implement and prioritize strategies; evaluate success, and; inform adaptive management of conservation investments and actions. Years of implementation of these ecoregional visions, or assessments 2 , has generated a set of standards that can serve as guiding principles to establish scientific credibility, methodological rigor, and consistency for comparative and regional analyses in support of conservation actions (Noss 2003). In addition, processes and products important for developing and implementing partnerships, strategies, measures of success and adaptive management can benefit from standards (Groves et al, 2002; 2003, Dinerstein et al 2000). The below standards define minimum criteria for credibility and conservation impact for ecoregional scale assessments based on efforts by The Nature Conservancy and the World Wildlife Fund. In developing these standards, we have built upon the work of Noss (2003), Cowling and Pressey (2003), Groves (2003) and Margules and Pressey (2000), and used nearly a decade of practical experience in both developing and implementing ecoregional conservation plans in over 90 ecoregions around the world.", "author" : [ { "dropping-particle" : "", "family" : "The Nature Conservancy", "given" : "", "non-dropping-particle" : "", "parse-names" : false, "suffix" : "" } ], "id" : "ITEM-2", "issued" : { "date-parts" : [ [ "2006" ] ] }, "publisher-place" : "Arlington, VA", "title" : "Standards for Ecoregional Assessments and Biodiversity Visions", "type" : "report" }, "uris" : [ "http://www.mendeley.com/documents/?uuid=1ccbfc26-9bdb-4768-ab3f-d390a6e91d94" ] } ], "mendeley" : { "formattedCitation" : "(Smith &lt;i&gt;et al.&lt;/i&gt; 2002; The Nature Conservancy 2006)", "plainTextFormattedCitation" : "(Smith et al. 2002; The Nature Conservancy 2006)", "previouslyFormattedCitation" : "(Smith &lt;i&gt;et al.&lt;/i&gt; 2002; The Nature Conservancy 2006)"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(Smith </w:t>
      </w:r>
      <w:r w:rsidRPr="00B42A6C">
        <w:rPr>
          <w:i/>
          <w:noProof/>
          <w:lang w:val="en-GB"/>
        </w:rPr>
        <w:t>et al.</w:t>
      </w:r>
      <w:r w:rsidRPr="00B42A6C">
        <w:rPr>
          <w:noProof/>
          <w:lang w:val="en-GB"/>
        </w:rPr>
        <w:t xml:space="preserve"> 2002; The Nature Conservancy 2006)</w:t>
      </w:r>
      <w:r w:rsidR="00F01773" w:rsidRPr="00141359">
        <w:rPr>
          <w:lang w:val="en-GB"/>
        </w:rPr>
        <w:fldChar w:fldCharType="end"/>
      </w:r>
      <w:r w:rsidRPr="00141359">
        <w:rPr>
          <w:lang w:val="en-GB"/>
        </w:rPr>
        <w:t>.   Beginning in 2005, all state wildlife agencies receiving federal State Wildlife Grant fund</w:t>
      </w:r>
      <w:r>
        <w:rPr>
          <w:lang w:val="en-GB"/>
        </w:rPr>
        <w:t>ing</w:t>
      </w:r>
      <w:r w:rsidRPr="00141359">
        <w:rPr>
          <w:lang w:val="en-GB"/>
        </w:rPr>
        <w:t xml:space="preserve"> were required to submit a Comprehensive Wildlife Conservation Strategy, more commonly known as a State Wildlife Action Plan.  The primary emphasis of State Wildlife Action Plans is to improve the habitat and population conditions of “species of greatest conservation need” as defined by the state </w:t>
      </w:r>
      <w:r w:rsidR="00F01773" w:rsidRPr="00141359">
        <w:rPr>
          <w:lang w:val="en-GB"/>
        </w:rPr>
        <w:fldChar w:fldCharType="begin" w:fldLock="1"/>
      </w:r>
      <w:r w:rsidR="00B32474">
        <w:rPr>
          <w:lang w:val="en-GB"/>
        </w:rPr>
        <w:instrText>ADDIN CSL_CITATION { "citationItems" : [ { "id" : "ITEM-1", "itemData" : { "author" : [ { "dropping-particle" : "", "family" : "Tennessee Wildlife Resources Agency", "given" : "", "non-dropping-particle" : "", "parse-names" : false, "suffix" : "" } ], "id" : "ITEM-1", "issued" : { "date-parts" : [ [ "2005" ] ] }, "publisher-place" : "Nashville, TN", "title" : "Tennessee's Comprehensive Wildlife Conservation Strategy. TWRA Wildife Technical Report 05-08", "type" : "report" }, "uris" : [ "http://www.mendeley.com/documents/?uuid=42efd80c-b186-480e-982e-08e54c0cbd4c" ] } ], "mendeley" : { "formattedCitation" : "(Tennessee Wildlife Resources Agency 2005)", "plainTextFormattedCitation" : "(Tennessee Wildlife Resources Agency 2005)", "previouslyFormattedCitation" : "(Tennessee Wildlife Resources Agency 2005)" }, "properties" : { "noteIndex" : 0 }, "schema" : "https://github.com/citation-style-language/schema/raw/master/csl-citation.json" }</w:instrText>
      </w:r>
      <w:r w:rsidR="00F01773" w:rsidRPr="00141359">
        <w:rPr>
          <w:lang w:val="en-GB"/>
        </w:rPr>
        <w:fldChar w:fldCharType="separate"/>
      </w:r>
      <w:r w:rsidRPr="00141359">
        <w:rPr>
          <w:noProof/>
          <w:lang w:val="en-GB"/>
        </w:rPr>
        <w:t>(Tennessee Wildlife Resources Agency 2005)</w:t>
      </w:r>
      <w:r w:rsidR="00F01773" w:rsidRPr="00141359">
        <w:rPr>
          <w:lang w:val="en-GB"/>
        </w:rPr>
        <w:fldChar w:fldCharType="end"/>
      </w:r>
      <w:r w:rsidRPr="00141359">
        <w:rPr>
          <w:lang w:val="en-GB"/>
        </w:rPr>
        <w:t xml:space="preserve">.  Designing and executing these plans has resulted in an increased emphasis on the use of field-collected species occurrence and habitat </w:t>
      </w:r>
      <w:r w:rsidRPr="00141359">
        <w:rPr>
          <w:lang w:val="en-GB"/>
        </w:rPr>
        <w:lastRenderedPageBreak/>
        <w:t xml:space="preserve">data to identify priority conservation geographies and assess threats to these areas.  </w:t>
      </w:r>
    </w:p>
    <w:p w:rsidR="00BC0AA6" w:rsidRPr="00141359" w:rsidRDefault="00FE4F61" w:rsidP="008851D6">
      <w:pPr>
        <w:pStyle w:val="Heading3"/>
        <w:rPr>
          <w:lang w:val="en-GB"/>
        </w:rPr>
      </w:pPr>
      <w:bookmarkStart w:id="15" w:name="_Toc417646751"/>
      <w:r>
        <w:rPr>
          <w:lang w:val="en-GB"/>
        </w:rPr>
        <w:t>Prioritization Data</w:t>
      </w:r>
      <w:bookmarkEnd w:id="15"/>
    </w:p>
    <w:p w:rsidR="00491BFC" w:rsidRDefault="00BC0AA6" w:rsidP="00491BFC">
      <w:pPr>
        <w:rPr>
          <w:lang w:val="en-GB"/>
        </w:rPr>
      </w:pPr>
      <w:r w:rsidRPr="00141359">
        <w:rPr>
          <w:lang w:val="en-GB"/>
        </w:rPr>
        <w:t xml:space="preserve">We used species observation data collected between 1900 and 2010 by Tennessee </w:t>
      </w:r>
      <w:r>
        <w:rPr>
          <w:lang w:val="en-GB"/>
        </w:rPr>
        <w:t xml:space="preserve">Natural Heritage Program </w:t>
      </w:r>
      <w:r w:rsidRPr="00141359">
        <w:rPr>
          <w:lang w:val="en-GB"/>
        </w:rPr>
        <w:t xml:space="preserve">to test how species observations affect conservation priorities.  The Natural Heritage dataset is used in multiple forms of conservation planning in Tennessee, and the State Wildlife Action Plan in particular </w:t>
      </w:r>
      <w:r w:rsidR="00F01773" w:rsidRPr="00141359">
        <w:rPr>
          <w:lang w:val="en-GB"/>
        </w:rPr>
        <w:fldChar w:fldCharType="begin" w:fldLock="1"/>
      </w:r>
      <w:r w:rsidR="00B32474">
        <w:rPr>
          <w:lang w:val="en-GB"/>
        </w:rPr>
        <w:instrText>ADDIN CSL_CITATION { "citationItems" : [ { "id" : "ITEM-1", "itemData" : { "author" : [ { "dropping-particle" : "", "family" : "Tennessee Wildlife Resources Agency", "given" : "", "non-dropping-particle" : "", "parse-names" : false, "suffix" : "" } ], "id" : "ITEM-1", "issued" : { "date-parts" : [ [ "2005" ] ] }, "publisher-place" : "Nashville, TN", "title" : "Tennessee's Comprehensive Wildlife Conservation Strategy. TWRA Wildife Technical Report 05-08", "type" : "report" }, "uris" : [ "http://www.mendeley.com/documents/?uuid=42efd80c-b186-480e-982e-08e54c0cbd4c" ] } ], "mendeley" : { "formattedCitation" : "(Tennessee Wildlife Resources Agency 2005)", "plainTextFormattedCitation" : "(Tennessee Wildlife Resources Agency 2005)", "previouslyFormattedCitation" : "(Tennessee Wildlife Resources Agency 2005)" }, "properties" : { "noteIndex" : 0 }, "schema" : "https://github.com/citation-style-language/schema/raw/master/csl-citation.json" }</w:instrText>
      </w:r>
      <w:r w:rsidR="00F01773" w:rsidRPr="00141359">
        <w:rPr>
          <w:lang w:val="en-GB"/>
        </w:rPr>
        <w:fldChar w:fldCharType="separate"/>
      </w:r>
      <w:r w:rsidRPr="00141359">
        <w:rPr>
          <w:noProof/>
          <w:lang w:val="en-GB"/>
        </w:rPr>
        <w:t>(Tennessee Wildlife Resources Agency 2005)</w:t>
      </w:r>
      <w:r w:rsidR="00F01773" w:rsidRPr="00141359">
        <w:rPr>
          <w:lang w:val="en-GB"/>
        </w:rPr>
        <w:fldChar w:fldCharType="end"/>
      </w:r>
      <w:r w:rsidRPr="00141359">
        <w:rPr>
          <w:lang w:val="en-GB"/>
        </w:rPr>
        <w:t xml:space="preserve">.  The 2005 Tennessee State Wildlife Action Plan </w:t>
      </w:r>
      <w:r>
        <w:rPr>
          <w:lang w:val="en-GB"/>
        </w:rPr>
        <w:t>used</w:t>
      </w:r>
      <w:r w:rsidRPr="00141359">
        <w:rPr>
          <w:lang w:val="en-GB"/>
        </w:rPr>
        <w:t xml:space="preserve"> these species occurrence data in combination with NatureServe global and state rarity rankings, U.S. Fish and Wildlife Service federal status listings, and other available population status data to assign “species of greatest conservation need” status (SGCN).  The species occurrence data have been used as a key component in mapping local richness to understand where high SGCN concentrations occur across the state. These same data have been used to assess the complementarity of larger ecological units for terrestrial and freshwater species. </w:t>
      </w:r>
    </w:p>
    <w:p w:rsidR="00AB645D" w:rsidRDefault="00BC0AA6" w:rsidP="00E8165C">
      <w:pPr>
        <w:ind w:firstLine="720"/>
        <w:rPr>
          <w:lang w:val="en-GB"/>
        </w:rPr>
        <w:sectPr w:rsidR="00AB645D" w:rsidSect="001929B3">
          <w:pgSz w:w="12240" w:h="15840" w:code="1"/>
          <w:pgMar w:top="1440" w:right="1800" w:bottom="1440" w:left="1800" w:header="720" w:footer="1440" w:gutter="0"/>
          <w:cols w:space="720"/>
          <w:noEndnote/>
          <w:docGrid w:linePitch="360"/>
        </w:sectPr>
      </w:pPr>
      <w:r w:rsidRPr="00141359">
        <w:rPr>
          <w:lang w:val="en-GB"/>
        </w:rPr>
        <w:t xml:space="preserve">The </w:t>
      </w:r>
      <w:r>
        <w:rPr>
          <w:lang w:val="en-GB"/>
        </w:rPr>
        <w:t>Natural Heritage</w:t>
      </w:r>
      <w:r w:rsidRPr="00141359">
        <w:rPr>
          <w:lang w:val="en-GB"/>
        </w:rPr>
        <w:t xml:space="preserve"> data are opportunistically recorded point observations (EOs) of individual species, most of which have a NatureServe Conservation Status rank higher than S3, and some of which are regularly monitored (TN Natural Heritage Program, </w:t>
      </w:r>
      <w:r w:rsidRPr="00141359">
        <w:rPr>
          <w:i/>
          <w:lang w:val="en-GB"/>
        </w:rPr>
        <w:t>pers. comm.</w:t>
      </w:r>
      <w:r w:rsidRPr="00141359">
        <w:rPr>
          <w:lang w:val="en-GB"/>
        </w:rPr>
        <w:t xml:space="preserve">). Rarely, observations are made as a result of premeditated prediction and collection efforts (TN Natural Heritage Program, </w:t>
      </w:r>
      <w:r w:rsidRPr="00141359">
        <w:rPr>
          <w:i/>
          <w:lang w:val="en-GB"/>
        </w:rPr>
        <w:t>pers. comm.)</w:t>
      </w:r>
      <w:r w:rsidRPr="00141359">
        <w:rPr>
          <w:lang w:val="en-GB"/>
        </w:rPr>
        <w:t xml:space="preserve">. Because of the nature of how these data have been collected, there is no measure of sampling effort embedded in the dataset. The dataset contains both </w:t>
      </w:r>
      <w:r w:rsidRPr="00934BE2">
        <w:rPr>
          <w:iCs/>
          <w:lang w:val="en-GB"/>
        </w:rPr>
        <w:t>unique</w:t>
      </w:r>
      <w:r w:rsidRPr="00934BE2">
        <w:rPr>
          <w:lang w:val="en-GB"/>
        </w:rPr>
        <w:t xml:space="preserve"> and </w:t>
      </w:r>
      <w:r w:rsidRPr="00934BE2">
        <w:rPr>
          <w:iCs/>
          <w:lang w:val="en-GB"/>
        </w:rPr>
        <w:t>repeat</w:t>
      </w:r>
      <w:r w:rsidRPr="00141359">
        <w:rPr>
          <w:lang w:val="en-GB"/>
        </w:rPr>
        <w:t xml:space="preserve"> observations. A </w:t>
      </w:r>
      <w:r w:rsidRPr="00934BE2">
        <w:rPr>
          <w:iCs/>
          <w:lang w:val="en-GB"/>
        </w:rPr>
        <w:t>unique</w:t>
      </w:r>
      <w:r w:rsidRPr="00934BE2">
        <w:rPr>
          <w:lang w:val="en-GB"/>
        </w:rPr>
        <w:t xml:space="preserve"> </w:t>
      </w:r>
      <w:r w:rsidRPr="00141359">
        <w:rPr>
          <w:lang w:val="en-GB"/>
        </w:rPr>
        <w:t xml:space="preserve">EO represents the spatial location, species identity, and date of an observation of an individual or group. Subsequent observations of the same individual or group are here called </w:t>
      </w:r>
      <w:r w:rsidRPr="00934BE2">
        <w:rPr>
          <w:iCs/>
          <w:lang w:val="en-GB"/>
        </w:rPr>
        <w:t>repeat</w:t>
      </w:r>
      <w:r w:rsidRPr="00141359">
        <w:rPr>
          <w:i/>
          <w:iCs/>
          <w:lang w:val="en-GB"/>
        </w:rPr>
        <w:t xml:space="preserve"> </w:t>
      </w:r>
      <w:r w:rsidRPr="00141359">
        <w:rPr>
          <w:lang w:val="en-GB"/>
        </w:rPr>
        <w:t xml:space="preserve">EOs. The dataset contains 17 586 unique EOs or 25 838 EOs including repeats. </w:t>
      </w:r>
      <w:r w:rsidR="00F01773">
        <w:rPr>
          <w:lang w:val="en-GB"/>
        </w:rPr>
        <w:fldChar w:fldCharType="begin"/>
      </w:r>
      <w:r w:rsidR="002B0EE3">
        <w:rPr>
          <w:lang w:val="en-GB"/>
        </w:rPr>
        <w:instrText xml:space="preserve"> REF _Ref417397176 \h </w:instrText>
      </w:r>
      <w:r w:rsidR="00F01773">
        <w:rPr>
          <w:lang w:val="en-GB"/>
        </w:rPr>
      </w:r>
      <w:r w:rsidR="00F01773">
        <w:rPr>
          <w:lang w:val="en-GB"/>
        </w:rPr>
        <w:fldChar w:fldCharType="separate"/>
      </w:r>
      <w:r w:rsidR="00867AA7" w:rsidRPr="00BA7092">
        <w:t xml:space="preserve">Fig. </w:t>
      </w:r>
      <w:r w:rsidR="00867AA7">
        <w:rPr>
          <w:noProof/>
        </w:rPr>
        <w:t>1</w:t>
      </w:r>
      <w:r w:rsidR="00867AA7">
        <w:t>.</w:t>
      </w:r>
      <w:r w:rsidR="00867AA7">
        <w:rPr>
          <w:noProof/>
        </w:rPr>
        <w:t>1</w:t>
      </w:r>
      <w:r w:rsidR="00F01773">
        <w:rPr>
          <w:lang w:val="en-GB"/>
        </w:rPr>
        <w:fldChar w:fldCharType="end"/>
      </w:r>
      <w:r w:rsidRPr="00141359">
        <w:rPr>
          <w:lang w:val="en-GB"/>
        </w:rPr>
        <w:t xml:space="preserve"> shows the number of EOs recorded in each year including repeats. The dataset contains both terrestrial and aquatic species. The majority of EOs recorded in the dataset are of plants (15 001 records or 58%), although the dataset also represents species from 14 other taxonomic groups recognized under the State Wildlife Action Plan. Approximately 51% of EOs </w:t>
      </w:r>
      <w:r>
        <w:rPr>
          <w:lang w:val="en-GB"/>
        </w:rPr>
        <w:t>were</w:t>
      </w:r>
      <w:r w:rsidRPr="00141359">
        <w:rPr>
          <w:lang w:val="en-GB"/>
        </w:rPr>
        <w:t xml:space="preserve"> recorded after 1995.</w:t>
      </w:r>
      <w:r w:rsidR="002B2090">
        <w:rPr>
          <w:lang w:val="en-GB"/>
        </w:rPr>
        <w:t xml:space="preserve"> </w:t>
      </w:r>
    </w:p>
    <w:p w:rsidR="002B2090" w:rsidRDefault="002B2090" w:rsidP="00E8165C">
      <w:pPr>
        <w:ind w:firstLine="720"/>
        <w:rPr>
          <w:lang w:val="en-GB"/>
        </w:rPr>
      </w:pPr>
    </w:p>
    <w:p w:rsidR="00E8165C" w:rsidRDefault="00F01773" w:rsidP="00E8165C">
      <w:pPr>
        <w:rPr>
          <w:lang w:val="en-GB"/>
        </w:rPr>
        <w:sectPr w:rsidR="00E8165C" w:rsidSect="00AB645D">
          <w:pgSz w:w="12240" w:h="15840" w:code="1"/>
          <w:pgMar w:top="1440" w:right="1800" w:bottom="1440" w:left="1800" w:header="720" w:footer="1440" w:gutter="0"/>
          <w:cols w:space="720"/>
          <w:vAlign w:val="center"/>
          <w:noEndnote/>
          <w:docGrid w:linePitch="360"/>
        </w:sectPr>
      </w:pPr>
      <w:r w:rsidRPr="00F01773">
        <w:rPr>
          <w:lang w:val="en-GB"/>
        </w:rPr>
      </w:r>
      <w:r>
        <w:rPr>
          <w:lang w:val="en-GB"/>
        </w:rPr>
        <w:pict>
          <v:shapetype id="_x0000_t202" coordsize="21600,21600" o:spt="202" path="m,l,21600r21600,l21600,xe">
            <v:stroke joinstyle="miter"/>
            <v:path gradientshapeok="t" o:connecttype="rect"/>
          </v:shapetype>
          <v:shape id="_x0000_s1101" type="#_x0000_t202" style="width:438pt;height:396.8pt;mso-position-horizontal-relative:char;mso-position-vertical-relative:line" filled="f" stroked="f">
            <v:textbox style="mso-next-textbox:#_x0000_s1101">
              <w:txbxContent>
                <w:p w:rsidR="006A45E8" w:rsidRDefault="006A45E8" w:rsidP="00E8165C">
                  <w:pPr>
                    <w:keepNext/>
                    <w:jc w:val="center"/>
                  </w:pPr>
                  <w:r w:rsidRPr="00343EFC">
                    <w:rPr>
                      <w:noProof/>
                    </w:rPr>
                    <w:drawing>
                      <wp:inline distT="0" distB="0" distL="0" distR="0">
                        <wp:extent cx="5388610" cy="3762394"/>
                        <wp:effectExtent l="19050" t="0" r="2540" b="0"/>
                        <wp:docPr id="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srcRect/>
                                <a:stretch>
                                  <a:fillRect/>
                                </a:stretch>
                              </pic:blipFill>
                              <pic:spPr bwMode="auto">
                                <a:xfrm>
                                  <a:off x="0" y="0"/>
                                  <a:ext cx="5388610" cy="3762394"/>
                                </a:xfrm>
                                <a:prstGeom prst="rect">
                                  <a:avLst/>
                                </a:prstGeom>
                                <a:noFill/>
                              </pic:spPr>
                            </pic:pic>
                          </a:graphicData>
                        </a:graphic>
                      </wp:inline>
                    </w:drawing>
                  </w:r>
                </w:p>
                <w:p w:rsidR="003B2F2C" w:rsidRPr="002B2090" w:rsidRDefault="006A45E8" w:rsidP="003B2F2C">
                  <w:pPr>
                    <w:pStyle w:val="Caption"/>
                    <w:rPr>
                      <w:vanish/>
                      <w:lang w:val="en-GB"/>
                      <w:specVanish/>
                    </w:rPr>
                  </w:pPr>
                  <w:bookmarkStart w:id="16" w:name="_Ref417397176"/>
                  <w:bookmarkStart w:id="17" w:name="_Toc421352904"/>
                  <w:bookmarkStart w:id="18" w:name="_Toc417647055"/>
                  <w:proofErr w:type="gramStart"/>
                  <w:r w:rsidRPr="00BA7092">
                    <w:t>Fig.</w:t>
                  </w:r>
                  <w:proofErr w:type="gramEnd"/>
                  <w:r w:rsidRPr="00BA7092">
                    <w:t xml:space="preserve"> </w:t>
                  </w:r>
                  <w:fldSimple w:instr=" STYLEREF 1 \s ">
                    <w:r>
                      <w:rPr>
                        <w:noProof/>
                      </w:rPr>
                      <w:t>1</w:t>
                    </w:r>
                  </w:fldSimple>
                  <w:r>
                    <w:t>.</w:t>
                  </w:r>
                  <w:fldSimple w:instr=" SEQ Fig. \* ARABIC \s 1 ">
                    <w:r>
                      <w:rPr>
                        <w:noProof/>
                      </w:rPr>
                      <w:t>1</w:t>
                    </w:r>
                  </w:fldSimple>
                  <w:bookmarkEnd w:id="16"/>
                  <w:r w:rsidRPr="00BA7092">
                    <w:t>. Distribution of element occurrences (EOs) across watersheds and species over the 111 year period</w:t>
                  </w:r>
                </w:p>
                <w:p w:rsidR="006A45E8" w:rsidRDefault="006A45E8" w:rsidP="00E8165C">
                  <w:pPr>
                    <w:pStyle w:val="Caption"/>
                  </w:pPr>
                  <w:r w:rsidRPr="00BA7092">
                    <w:t xml:space="preserve">; </w:t>
                  </w:r>
                  <w:proofErr w:type="gramStart"/>
                  <w:r w:rsidRPr="00BA7092">
                    <w:t>x-axis</w:t>
                  </w:r>
                  <w:proofErr w:type="gramEnd"/>
                  <w:r w:rsidRPr="00BA7092">
                    <w:t xml:space="preserve"> is year.</w:t>
                  </w:r>
                  <w:bookmarkEnd w:id="17"/>
                  <w:r w:rsidRPr="002B2090">
                    <w:rPr>
                      <w:vanish/>
                      <w:lang w:val="en-GB"/>
                      <w:specVanish/>
                    </w:rPr>
                    <w:t xml:space="preserve"> </w:t>
                  </w:r>
                  <w:r w:rsidRPr="00BA7092">
                    <w:t>(a) Number of new EOs recorded throughout Tennessee each year broken down by taxonomic groups. An EO is an observed point location of an individual or population. There are 25,838 EOs in total, with the majority represented by Plant (15,001 or 58%). (</w:t>
                  </w:r>
                  <w:proofErr w:type="gramStart"/>
                  <w:r w:rsidRPr="00BA7092">
                    <w:t>b</w:t>
                  </w:r>
                  <w:proofErr w:type="gramEnd"/>
                  <w:r w:rsidRPr="00BA7092">
                    <w:t xml:space="preserve">) and (c) show distributions as histograms of (b) species occupancies in Tennessee watersheds and (c) watershed </w:t>
                  </w:r>
                  <w:r>
                    <w:t>richnesses at 11 time periods.</w:t>
                  </w:r>
                  <w:bookmarkEnd w:id="18"/>
                </w:p>
              </w:txbxContent>
            </v:textbox>
            <w10:wrap type="none" anchorx="margin" anchory="margin"/>
            <w10:anchorlock/>
          </v:shape>
        </w:pict>
      </w:r>
    </w:p>
    <w:p w:rsidR="005D5DA2" w:rsidRPr="00F9037A" w:rsidRDefault="005D5DA2" w:rsidP="005D5DA2">
      <w:pPr>
        <w:ind w:firstLine="720"/>
        <w:rPr>
          <w:lang w:val="en-GB"/>
        </w:rPr>
      </w:pPr>
      <w:r w:rsidRPr="00141359">
        <w:rPr>
          <w:lang w:val="en-GB"/>
        </w:rPr>
        <w:lastRenderedPageBreak/>
        <w:t>Conservation organizations often make use of a mix of raw point observations and interpolated layers or mode</w:t>
      </w:r>
      <w:r>
        <w:rPr>
          <w:lang w:val="en-GB"/>
        </w:rPr>
        <w:t>l</w:t>
      </w:r>
      <w:r w:rsidRPr="00141359">
        <w:rPr>
          <w:lang w:val="en-GB"/>
        </w:rPr>
        <w:t xml:space="preserve">led distributions </w:t>
      </w:r>
      <w:r w:rsidR="00F01773" w:rsidRPr="00141359">
        <w:rPr>
          <w:lang w:val="en-GB"/>
        </w:rPr>
        <w:fldChar w:fldCharType="begin" w:fldLock="1"/>
      </w:r>
      <w:r>
        <w:rPr>
          <w:lang w:val="en-GB"/>
        </w:rPr>
        <w:instrText>ADDIN CSL_CITATION { "citationItems" : [ { "id" : "ITEM-1", "itemData" : { "abstract" : "Conservation scientists and practitioners are using regional conservation assessments around the world to support and guide comprehensive and representative biodiversity protection (e.g. Cowling and Pressey 2003; Noss 2003; Groves 2003; Groves et al. 2002; Dinerstein et al. 2000; Margules and Pressey 2000). In addition to identifying important places, these assessments help organize and update biodiversity information; develop, implement and prioritize strategies; evaluate success, and; inform adaptive management of conservation investments and actions. Years of implementation of these ecoregional visions, or assessments 2 , has generated a set of standards that can serve as guiding principles to establish scientific credibility, methodological rigor, and consistency for comparative and regional analyses in support of conservation actions (Noss 2003). In addition, processes and products important for developing and implementing partnerships, strategies, measures of success and adaptive management can benefit from standards (Groves et al, 2002; 2003, Dinerstein et al 2000). The below standards define minimum criteria for credibility and conservation impact for ecoregional scale assessments based on efforts by The Nature Conservancy and the World Wildlife Fund. In developing these standards, we have built upon the work of Noss (2003), Cowling and Pressey (2003), Groves (2003) and Margules and Pressey (2000), and used nearly a decade of practical experience in both developing and implementing ecoregional conservation plans in over 90 ecoregions around the world.", "author" : [ { "dropping-particle" : "", "family" : "The Nature Conservancy", "given" : "", "non-dropping-particle" : "", "parse-names" : false, "suffix" : "" } ], "id" : "ITEM-1", "issued" : { "date-parts" : [ [ "2006" ] ] }, "publisher-place" : "Arlington, VA", "title" : "Standards for Ecoregional Assessments and Biodiversity Visions", "type" : "report" }, "prefix" : "NatureServe, pers. comm.;", "uris" : [ "http://www.mendeley.com/documents/?uuid=1ccbfc26-9bdb-4768-ab3f-d390a6e91d94" ] }, { "id" : "ITEM-2", "itemData" : { "DOI" : "10.1371/journal.pone.0028788", "abstract" : "&lt;p&gt;Systematic conservation planning efforts typically focus on protecting current patterns of biodiversity. Climate change is poised to shift species distributions, reshuffle communities, and alter ecosystem functioning. In such a dynamic environment, lands selected to protect today's biodiversity may fail to do so in the future. One proposed approach to designing reserve networks that are robust to climate change involves protecting the diversity of abiotic conditions that in part determine species distributions and ecological processes. A set of abiotically diverse areas will likely support a diversity of ecological systems both today and into the future, although those two sets of systems might be dramatically different. Here, we demonstrate a conservation planning approach based on representing unique combinations of abiotic factors. We prioritize sites that represent the diversity of soils, topographies, and current climates of the Columbia Plateau. We then compare these sites to sites prioritized to protect current biodiversity. This comparison highlights places that are important for protecting both today's biodiversity and the diversity of abiotic factors that will likely determine biodiversity patterns in the future. It also highlights places where a reserve network designed solely to protect today's biodiversity would fail to capture the diversity of abiotic conditions and where such a network could be augmented to be more robust to climate-change impacts.&lt;/p&gt;", "author" : [ { "dropping-particle" : "", "family" : "Schloss", "given" : "Carrie A", "non-dropping-particle" : "", "parse-names" : false, "suffix" : "" }, { "dropping-particle" : "", "family" : "Lawler", "given" : "Joshua J", "non-dropping-particle" : "", "parse-names" : false, "suffix" : "" }, { "dropping-particle" : "", "family" : "Larson", "given" : "Eric R", "non-dropping-particle" : "", "parse-names" : false, "suffix" : "" }, { "dropping-particle" : "", "family" : "Papendick", "given" : "Hilary L", "non-dropping-particle" : "", "parse-names" : false, "suffix" : "" }, { "dropping-particle" : "", "family" : "Case", "given" : "Michael J", "non-dropping-particle" : "", "parse-names" : false, "suffix" : "" }, { "dropping-particle" : "", "family" : "Evans", "given" : "Daniel M", "non-dropping-particle" : "", "parse-names" : false, "suffix" : "" }, { "dropping-particle" : "", "family" : "DeLap", "given" : "Jack H", "non-dropping-particle" : "", "parse-names" : false, "suffix" : "" }, { "dropping-particle" : "", "family" : "Langdon", "given" : "Jesse G R", "non-dropping-particle" : "", "parse-names" : false, "suffix" : "" }, { "dropping-particle" : "", "family" : "Hall", "given" : "Sonia A", "non-dropping-particle" : "", "parse-names" : false, "suffix" : "" }, { "dropping-particle" : "", "family" : "McRae", "given" : "Brad H", "non-dropping-particle" : "", "parse-names" : false, "suffix" : "" } ], "container-title" : "PLoS ONE", "id" : "ITEM-2", "issue" : "12", "issued" : { "date-parts" : [ [ "2011" ] ] }, "note" : "example of eos being used in conservation practice", "page" : "e28788", "publisher" : "Public Library of Science", "title" : "Systematic Conservation Planning in the Face of Climate Change: Bet-Hedging on the Columbia Plateau", "type" : "article-journal", "volume" : "6" }, "uris" : [ "http://www.mendeley.com/documents/?uuid=1f70b37a-16dd-436f-b4c3-cc22a1797b23" ] }, { "id" : "ITEM-3", "itemData" : { "author" : [ { "dropping-particle" : "", "family" : "Wilson", "given" : "Christopher R.", "non-dropping-particle" : "", "parse-names" : false, "suffix" : "" } ], "editor" : [ { "dropping-particle" : "", "family" : "Mueller", "given" : "Kate", "non-dropping-particle" : "", "parse-names" : false, "suffix" : "" } ], "id" : "ITEM-3", "issued" : { "date-parts" : [ [ "2011" ] ] }, "publisher" : "Land Trust Alliance", "title" : "Documenting and protecting biodiversity on land trust projects: an introduction and practical guide", "type" : "book" }, "suffix" : "; Yorkshire Wildlife Trust, pers. comm.", "uris" : [ "http://www.mendeley.com/documents/?uuid=d6299b09-90c9-4efa-9bbe-2854b8c25b6d" ] } ], "mendeley" : { "formattedCitation" : "(NatureServe, pers. comm.; The Nature Conservancy 2006; Schloss &lt;i&gt;et al.&lt;/i&gt; 2011; Wilson 2011; Yorkshire Wildlife Trust, pers. comm.)", "plainTextFormattedCitation" : "(NatureServe, pers. comm.; The Nature Conservancy 2006; Schloss et al. 2011; Wilson 2011; Yorkshire Wildlife Trust, pers. comm.)", "previouslyFormattedCitation" : "(NatureServe, pers. comm.; The Nature Conservancy 2006; Schloss &lt;i&gt;et al.&lt;/i&gt; 2011; Wilson 2011; Yorkshire Wildlife Trust, pers. comm.)"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(NatureServe, pers. comm.; The Nature Conservancy 2006; Schloss </w:t>
      </w:r>
      <w:r w:rsidRPr="00B42A6C">
        <w:rPr>
          <w:i/>
          <w:noProof/>
          <w:lang w:val="en-GB"/>
        </w:rPr>
        <w:t>et al.</w:t>
      </w:r>
      <w:r w:rsidRPr="00B42A6C">
        <w:rPr>
          <w:noProof/>
          <w:lang w:val="en-GB"/>
        </w:rPr>
        <w:t xml:space="preserve"> 2011; Wilson 2011; Yorkshire Wildlife Trust, pers. comm.)</w:t>
      </w:r>
      <w:r w:rsidR="00F01773" w:rsidRPr="00141359">
        <w:rPr>
          <w:lang w:val="en-GB"/>
        </w:rPr>
        <w:fldChar w:fldCharType="end"/>
      </w:r>
      <w:r w:rsidRPr="00141359">
        <w:rPr>
          <w:lang w:val="en-GB"/>
        </w:rPr>
        <w:t>.  Model</w:t>
      </w:r>
      <w:r>
        <w:rPr>
          <w:lang w:val="en-GB"/>
        </w:rPr>
        <w:t>l</w:t>
      </w:r>
      <w:r w:rsidRPr="00141359">
        <w:rPr>
          <w:lang w:val="en-GB"/>
        </w:rPr>
        <w:t xml:space="preserve">ed data, such as </w:t>
      </w:r>
      <w:r>
        <w:rPr>
          <w:lang w:val="en-GB"/>
        </w:rPr>
        <w:t xml:space="preserve">those </w:t>
      </w:r>
      <w:r w:rsidRPr="00141359">
        <w:rPr>
          <w:lang w:val="en-GB"/>
        </w:rPr>
        <w:t>produced by species distribution models</w:t>
      </w:r>
      <w:r>
        <w:rPr>
          <w:lang w:val="en-GB"/>
        </w:rPr>
        <w:t>,</w:t>
      </w:r>
      <w:r w:rsidRPr="00141359">
        <w:rPr>
          <w:lang w:val="en-GB"/>
        </w:rPr>
        <w:t xml:space="preserve"> are valuable because they estimate the unobserved range of a species and</w:t>
      </w:r>
      <w:r>
        <w:rPr>
          <w:lang w:val="en-GB"/>
        </w:rPr>
        <w:t xml:space="preserve"> </w:t>
      </w:r>
      <w:r w:rsidRPr="00141359">
        <w:rPr>
          <w:lang w:val="en-GB"/>
        </w:rPr>
        <w:t xml:space="preserve">thus point out potential high-value areas not revealed by raw point occurrences. Also, species distribution models incur fewer omission errors and may reduce the effects of spatial sampling bias on conservation plans </w:t>
      </w:r>
      <w:r w:rsidR="00F01773" w:rsidRPr="00141359">
        <w:rPr>
          <w:lang w:val="en-GB"/>
        </w:rPr>
        <w:fldChar w:fldCharType="begin" w:fldLock="1"/>
      </w:r>
      <w:r>
        <w:rPr>
          <w:lang w:val="en-GB"/>
        </w:rPr>
        <w:instrText>ADDIN CSL_CITATION { "citationItems" : [ { "id" : "ITEM-1", "itemData" : { "DOI" : "10.1111/j.1461-0248.2006.00970.x", "ISSN" : "1461-0248", "PMID" : "16972877", "abstract" : "Data on the occurrence of species are widely used to inform the design of reserve networks. These data contain commission errors (when a species is mistakenly thought to be present) and omission errors (when a species is mistakenly thought to be absent), and the rates of the two types of error are inversely related. Point locality data can minimize commission errors, but those obtained from museum collections are generally sparse, suffer from substantial spatial bias and contain large omission errors. Geographic ranges generate large commission errors because they assume homogenous species distributions. Predicted distribution data make explicit inferences on species occurrence and their commission and omission errors depend on model structure, on the omission of variables that determine species distribution and on data resolution. Omission errors lead to identifying networks of areas for conservation action that are smaller than required and centred on known species occurrences, thus affecting the comprehensiveness, representativeness and efficiency of selected areas. Commission errors lead to selecting areas not relevant to conservation, thus affecting the representativeness and adequacy of reserve networks. Conservation plans should include an estimation of commission and omission errors in underlying species data and explicitly use this information to influence conservation planning outcomes.", "author" : [ { "dropping-particle" : "", "family" : "Rondinini", "given" : "Carlo", "non-dropping-particle" : "", "parse-names" : false, "suffix" : "" }, { "dropping-particle" : "", "family" : "Wilson", "given" : "Kerrie A", "non-dropping-particle" : "", "parse-names" : false, "suffix" : "" }, { "dropping-particle" : "", "family" : "Boitani", "given" : "Luigi", "non-dropping-particle" : "", "parse-names" : false, "suffix" : "" }, { "dropping-particle" : "", "family" : "Grantham", "given" : "Hedley", "non-dropping-particle" : "", "parse-names" : false, "suffix" : "" }, { "dropping-particle" : "", "family" : "Possingham", "given" : "Hugh P", "non-dropping-particle" : "", "parse-names" : false, "suffix" : "" } ], "container-title" : "Ecology letters", "id" : "ITEM-1", "issue" : "10", "issued" : { "date-parts" : [ [ "2006", "10" ] ] }, "page" : "1136-45", "title" : "Tradeoffs of different types of species occurrence data for use in systematic conservation planning.", "type" : "article-journal", "volume" : "9" }, "uris" : [ "http://www.mendeley.com/documents/?uuid=ae1efcb1-d27d-45ac-879b-057a0c0c41b6" ] } ], "mendeley" : { "formattedCitation" : "(Rondinini &lt;i&gt;et al.&lt;/i&gt; 2006)", "plainTextFormattedCitation" : "(Rondinini et al. 2006)", "previouslyFormattedCitation" : "(Rondinini &lt;i&gt;et al.&lt;/i&gt; 2006)"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(Rondinini </w:t>
      </w:r>
      <w:r w:rsidRPr="00B42A6C">
        <w:rPr>
          <w:i/>
          <w:noProof/>
          <w:lang w:val="en-GB"/>
        </w:rPr>
        <w:t>et al.</w:t>
      </w:r>
      <w:r w:rsidRPr="00B42A6C">
        <w:rPr>
          <w:noProof/>
          <w:lang w:val="en-GB"/>
        </w:rPr>
        <w:t xml:space="preserve"> 2006)</w:t>
      </w:r>
      <w:r w:rsidR="00F01773" w:rsidRPr="00141359">
        <w:rPr>
          <w:lang w:val="en-GB"/>
        </w:rPr>
        <w:fldChar w:fldCharType="end"/>
      </w:r>
      <w:r w:rsidRPr="00141359">
        <w:rPr>
          <w:lang w:val="en-GB"/>
        </w:rPr>
        <w:t xml:space="preserve">. On the other hand, raw point observations are simple to use and do not suffer as much from commission errors as species distribution models.  Moreover, species distribution models cannot accurately estimate the ranges of very rare or under-sampled species </w:t>
      </w:r>
      <w:r w:rsidR="00F01773" w:rsidRPr="00141359">
        <w:rPr>
          <w:lang w:val="en-GB"/>
        </w:rPr>
        <w:fldChar w:fldCharType="begin" w:fldLock="1"/>
      </w:r>
      <w:r>
        <w:rPr>
          <w:lang w:val="en-GB"/>
        </w:rPr>
        <w:instrText>ADDIN CSL_CITATION { "citationItems" : [ { "id" : "ITEM-1", "itemData" : { "DOI" : "10.1577/1548-8659(2002)131&lt;0329", "abstract" : "\u2014The prediction of species distributions is a primary goal in the study, conservation, and manage- ment of fisheries resources. Statistical models relating patterns of species presence or absence to multiscale habitat variables play an important role in this regard. Researchers, however, have paid little attention to how improper model validation and chance predictions can result in unfounded confidence in the performance and utility of such models. Using simulated and empirical data for 40 lake and stream fish species, we demonstrate that the commonly employed resubstitution approach to model validation (in which the same data are used for both model construction and prediction) produces highly biased estimates of correct classification rates and con- sequently an inaccurate perception of true model per- formance. In contrast, a jackknife approach to validation resulted in relatively unbiased estimates of model per- formance. The estimated rates of model correct classi- fication are also shown to be substantially influenced by species prevalence (i.e., the proportion of sites at which a species is present), and often result in poorly perform- ing models being viewed as powerful.We use simulated data to show how the expected frequency of chance pre- dictions from models is a function of species prevalence and sample size. Finally, we use empirical data to il- lustrate a randomization approach for assessing whether the performances of the fish habitat models are statis- tically greater than expectations based on chance pre- dictions. In summary, we urge researchers to employ proper and defensible methodologies for model vali- dation and prediction assessment; failing to do so will only add to the accumulating number of published spe- cies habitat models in the fisheries literature that are of limited use and reliability. Knowledge", "author" : [ { "dropping-particle" : "", "family" : "Olden", "given" : "Julian D", "non-dropping-particle" : "", "parse-names" : false, "suffix" : "" }, { "dropping-particle" : "", "family" : "Jackson", "given" : "Donald A", "non-dropping-particle" : "", "parse-names" : false, "suffix" : "" }, { "dropping-particle" : "", "family" : "Peres-Neto", "given" : "Pedro R", "non-dropping-particle" : "", "parse-names" : false, "suffix" : "" } ], "container-title" : "Transactions of the American Fisheries Society", "id" : "ITEM-1", "issue" : "2", "issued" : { "date-parts" : [ [ "2002" ] ] }, "page" : "329-336", "title" : "Predictive Models of Fish Species Distributions: A Note on Proper Validation and Chance Predictions", "type" : "article-journal", "volume" : "131" }, "uris" : [ "http://www.mendeley.com/documents/?uuid=507b17da-0988-46b0-b72e-059ce2afe651" ] }, { "id" : "ITEM-2", "itemData" : { "DOI" : "10.1111/j.1472-4642.2008.00482.x", "ISSN" : "1472-4642", "abstract" : "A wide range of modelling algorithms is used by ecologists, conservation practitioners, and others to predict species ranges from point locality data. Unfortunately, the amount of data available is limited for many taxa and regions, making it essential to quantify the sensitivity of these algorithms to sample size. This is the first study to address this need by rigorously evaluating a broad suite of algorithms with independent presence\u2013absence data from multiple species and regions. We evaluated predictions from 12 algorithms for 46 species (from six different regions of the world) at three sample sizes (100, 30, and 10 records). We used data from natural history collections to run the models, and evaluated the quality of model predictions with area under the receiver operating characteristic curve (AUC). With decreasing sample size, model accuracy decreased and variability increased across species and between models. Novel modelling methods that incorporate both interactions between predictor variables and complex response shapes (i.e. GBM, MARS-INT, BRUTO) performed better than most methods at large sample sizes but not at the smallest sample sizes. Other algorithms were much less sensitive to sample size, including an algorithm based on maximum entropy (MAXENT) that had among the best predictive power across all sample sizes. Relative to other algorithms, a distance metric algorithm (DOMAIN) and a genetic algorithm (OM-GARP) had intermediate performance at the largest sample size and among the best performance at the lowest sample size. No algorithm predicted consistently well with small sample size (n\u00a0&lt;\u00a030) and this should encourage highly conservative use of predictions based on small sample size and restrict their use to exploratory modelling.", "author" : [ { "dropping-particle" : "", "family" : "Wisz", "given" : "M S", "non-dropping-particle" : "", "parse-names" : false, "suffix" : "" }, { "dropping-particle" : "", "family" : "Hijmans", "given" : "R J", "non-dropping-particle" : "", "parse-names" : false, "suffix" : "" }, { "dropping-particle" : "", "family" : "Li", "given" : "J", "non-dropping-particle" : "", "parse-names" : false, "suffix" : "" }, { "dropping-particle" : "", "family" : "Peterson", "given" : "A T", "non-dropping-particle" : "", "parse-names" : false, "suffix" : "" }, { "dropping-particle" : "", "family" : "Graham", "given" : "C H", "non-dropping-particle" : "", "parse-names" : false, "suffix" : "" }, { "dropping-particle" : "", "family" : "Guisan", "given" : "A", "non-dropping-particle" : "", "parse-names" : false, "suffix" : "" }, { "dropping-particle" : "", "family" : "Group", "given" : "NCEAS Predicting Species Distributions Working", "non-dropping-particle" : "", "parse-names" : false, "suffix" : "" } ], "container-title" : "Diversity and Distributions", "id" : "ITEM-2", "issue" : "5", "issued" : { "date-parts" : [ [ "2008" ] ] }, "note" : "nany species distribution models are sensitive to the number of records and cannot accurately predict species distributions with few data points", "page" : "763-773", "publisher" : "Blackwell Publishing Ltd", "title" : "Effects of sample size on the performance of species distribution models", "type" : "article-journal", "volume" : "14" }, "uris" : [ "http://www.mendeley.com/documents/?uuid=4efa9846-46f1-4a36-81f0-cee032e6d42f" ] } ], "mendeley" : { "formattedCitation" : "(Olden, Jackson &amp; Peres-Neto 2002; Wisz &lt;i&gt;et al.&lt;/i&gt; 2008)", "plainTextFormattedCitation" : "(Olden, Jackson &amp; Peres-Neto 2002; Wisz et al. 2008)", "previouslyFormattedCitation" : "(Olden, Jackson &amp; Peres-Neto 2002; Wisz &lt;i&gt;et al.&lt;/i&gt; 2008)"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(Olden, Jackson &amp; Peres-Neto 2002; Wisz </w:t>
      </w:r>
      <w:r w:rsidRPr="00B42A6C">
        <w:rPr>
          <w:i/>
          <w:noProof/>
          <w:lang w:val="en-GB"/>
        </w:rPr>
        <w:t>et al.</w:t>
      </w:r>
      <w:r w:rsidRPr="00B42A6C">
        <w:rPr>
          <w:noProof/>
          <w:lang w:val="en-GB"/>
        </w:rPr>
        <w:t xml:space="preserve"> 2008)</w:t>
      </w:r>
      <w:r w:rsidR="00F01773" w:rsidRPr="00141359">
        <w:rPr>
          <w:lang w:val="en-GB"/>
        </w:rPr>
        <w:fldChar w:fldCharType="end"/>
      </w:r>
      <w:r w:rsidRPr="00141359">
        <w:rPr>
          <w:lang w:val="en-GB"/>
        </w:rPr>
        <w:t xml:space="preserve">, a particular problem for our dataset and similar contexts, because most species occur fewer than </w:t>
      </w:r>
      <w:r>
        <w:rPr>
          <w:lang w:val="en-GB"/>
        </w:rPr>
        <w:t>five</w:t>
      </w:r>
      <w:r w:rsidRPr="00141359">
        <w:rPr>
          <w:lang w:val="en-GB"/>
        </w:rPr>
        <w:t xml:space="preserve"> times in the data (</w:t>
      </w:r>
      <w:r w:rsidR="00F01773">
        <w:rPr>
          <w:lang w:val="en-GB"/>
        </w:rPr>
        <w:fldChar w:fldCharType="begin"/>
      </w:r>
      <w:r>
        <w:rPr>
          <w:lang w:val="en-GB"/>
        </w:rPr>
        <w:instrText xml:space="preserve"> REF _Ref417397176 \h </w:instrText>
      </w:r>
      <w:r w:rsidR="00F01773">
        <w:rPr>
          <w:lang w:val="en-GB"/>
        </w:rPr>
      </w:r>
      <w:r w:rsidR="00F01773">
        <w:rPr>
          <w:lang w:val="en-GB"/>
        </w:rPr>
        <w:fldChar w:fldCharType="separate"/>
      </w:r>
      <w:r w:rsidR="00867AA7" w:rsidRPr="00BA7092">
        <w:t xml:space="preserve">Fig. </w:t>
      </w:r>
      <w:r w:rsidR="00867AA7">
        <w:rPr>
          <w:noProof/>
        </w:rPr>
        <w:t>1</w:t>
      </w:r>
      <w:r w:rsidR="00867AA7">
        <w:t>.</w:t>
      </w:r>
      <w:r w:rsidR="00867AA7">
        <w:rPr>
          <w:noProof/>
        </w:rPr>
        <w:t>1</w:t>
      </w:r>
      <w:r w:rsidR="00F01773">
        <w:rPr>
          <w:lang w:val="en-GB"/>
        </w:rPr>
        <w:fldChar w:fldCharType="end"/>
      </w:r>
      <w:r>
        <w:rPr>
          <w:lang w:val="en-GB"/>
        </w:rPr>
        <w:t>b</w:t>
      </w:r>
      <w:r w:rsidRPr="00141359">
        <w:rPr>
          <w:lang w:val="en-GB"/>
        </w:rPr>
        <w:t>, year 2010).</w:t>
      </w:r>
    </w:p>
    <w:p w:rsidR="005D5DA2" w:rsidRDefault="005D5DA2" w:rsidP="005D5DA2">
      <w:pPr>
        <w:ind w:firstLine="720"/>
      </w:pPr>
      <w:r w:rsidRPr="00772213">
        <w:t xml:space="preserve">We used watersheds from the US Geological Survey HUC-12 Watershed Boundary Dataset (http://datagateway.nrcs.usda.gov, accessed 09 May 2013) as our spatial unit of analysis. Watersheds are an appropriate unit for spatial prioritization in conservation at the state level when focusing on terrestrial and aquatic species. At this scale, planners can target particular watersheds for further action. This action may come in the form of whole-watershed management (e.g. best practices by all farmers in the watershed), or it may call for more refined analysis to target protection within the watershed (e.g. protecting stream headwaters through forested-land conservation). For instance, watersheds have been used to delineate conservation priorities for known occurrences of freshwater species in the south-eastern United States </w:t>
      </w:r>
      <w:r w:rsidR="00F01773" w:rsidRPr="00772213">
        <w:fldChar w:fldCharType="begin" w:fldLock="1"/>
      </w:r>
      <w:r>
        <w:instrText>ADDIN CSL_CITATION { "citationItems" : [ { "id" : "ITEM-1", "itemData" : { "author" : [ { "dropping-particle" : "", "family" : "Smith", "given" : "R.K.", "non-dropping-particle" : "", "parse-names" : false, "suffix" : "" }, { "dropping-particle" : "", "family" : "Freeman", "given" : "P.L.", "non-dropping-particle" : "", "parse-names" : false, "suffix" : "" }, { "dropping-particle" : "", "family" : "Higgins", "given" : "J.V.", "non-dropping-particle" : "", "parse-names" : false, "suffix" : "" }, { "dropping-particle" : "", "family" : "Wheaton", "given" : "K.S.", "non-dropping-particle" : "", "parse-names" : false, "suffix" : "" }, { "dropping-particle" : "", "family" : "FitzHugh", "given" : "T.W.", "non-dropping-particle" : "", "parse-names" : false, "suffix" : "" }, { "dropping-particle" : "", "family" : "Ernstrom", "given" : "K.J.", "non-dropping-particle" : "", "parse-names" : false, "suffix" : "" }, { "dropping-particle" : "", "family" : "Das", "given" : "A.A.", "non-dropping-particle" : "", "parse-names" : false, "suffix" : "" } ], "id" : "ITEM-1", "issued" : { "date-parts" : [ [ "2002" ] ] }, "title" : "Priority Areas for Freshwater Conservation Action: A Biodiversity Assessment of the Southeastern United States", "type" : "report" }, "uris" : [ "http://www.mendeley.com/documents/?uuid=940c7dcb-8388-4f5c-8149-13130d658908" ] } ], "mendeley" : { "formattedCitation" : "(Smith &lt;i&gt;et al.&lt;/i&gt; 2002)", "plainTextFormattedCitation" : "(Smith et al. 2002)", "previouslyFormattedCitation" : "(Smith &lt;i&gt;et al.&lt;/i&gt; 2002)" }, "properties" : { "noteIndex" : 0 }, "schema" : "https://github.com/citation-style-language/schema/raw/master/csl-citation.json" }</w:instrText>
      </w:r>
      <w:r w:rsidR="00F01773" w:rsidRPr="00772213">
        <w:fldChar w:fldCharType="separate"/>
      </w:r>
      <w:r w:rsidRPr="00772213">
        <w:rPr>
          <w:noProof/>
        </w:rPr>
        <w:t>(Smith et al. 2002)</w:t>
      </w:r>
      <w:r w:rsidR="00F01773" w:rsidRPr="00772213">
        <w:fldChar w:fldCharType="end"/>
      </w:r>
      <w:r w:rsidRPr="00772213">
        <w:t xml:space="preserve"> and elsewhere </w:t>
      </w:r>
      <w:r w:rsidR="00F01773" w:rsidRPr="00772213">
        <w:fldChar w:fldCharType="begin" w:fldLock="1"/>
      </w:r>
      <w:r>
        <w:instrText>ADDIN CSL_CITATION { "citationItems" : [ { "id" : "ITEM-1", "itemData" : { "author" : [ { "dropping-particle" : "", "family" : "Pryce", "given" : "B.", "non-dropping-particle" : "", "parse-names" : false, "suffix" : "" }, { "dropping-particle" : "", "family" : "Iachetti", "given" : "P.", "non-dropping-particle" : "", "parse-names" : false, "suffix" : "" }, { "dropping-particle" : "", "family" : "Wilhere", "given" : "G.", "non-dropping-particle" : "", "parse-names" : false, "suffix" : "" }, { "dropping-particle" : "", "family" : "Ciruna", "given" : "K.", "non-dropping-particle" : "", "parse-names" : false, "suffix" : "" }, { "dropping-particle" : "", "family" : "Floberg", "given" : "J.", "non-dropping-particle" : "", "parse-names" : false, "suffix" : "" }, { "dropping-particle" : "", "family" : "Crawford", "given" : "R.", "non-dropping-particle" : "", "parse-names" : false, "suffix" : "" }, { "dropping-particle" : "", "family" : "Dye", "given" : "R.", "non-dropping-particle" : "", "parse-names" : false, "suffix" : "" }, { "dropping-particle" : "", "family" : "Fairbarns", "given" : "M.", "non-dropping-particle" : "", "parse-names" : false, "suffix" : "" }, { "dropping-particle" : "", "family" : "Farone", "given" : "S.", "non-dropping-particle" : "", "parse-names" : false, "suffix" : "" }, { "dropping-particle" : "", "family" : "Ford", "given" : "S.", "non-dropping-particle" : "", "parse-names" : false, "suffix" : "" }, { "dropping-particle" : "", "family" : "Goering", "given" : "M.", "non-dropping-particle" : "", "parse-names" : false, "suffix" : "" }, { "dropping-particle" : "", "family" : "Heiner", "given" : "M.", "non-dropping-particle" : "", "parse-names" : false, "suffix" : "" }, { "dropping-particle" : "", "family" : "Kittel", "given" : "G.", "non-dropping-particle" : "", "parse-names" : false, "suffix" : "" }, { "dropping-particle" : "", "family" : "Lewis", "given" : "J.", "non-dropping-particle" : "", "parse-names" : false, "suffix" : "" }, { "dropping-particle" : "", "family" : "Nicolson", "given" : "D.", "non-dropping-particle" : "", "parse-names" : false, "suffix" : "" }, { "dropping-particle" : "", "family" : "Warner", "given" : "N.", "non-dropping-particle" : "", "parse-names" : false, "suffix" : "" } ], "id" : "ITEM-1", "issued" : { "date-parts" : [ [ "2006" ] ] }, "note" : "page 14 for watersheds used as planning unit for aquatic freshwater priorities", "publisher-place" : "Victoria, British Columbia", "title" : "Okanagan Ecoregional Assessment, Volume 1 - Report", "type" : "report" }, "uris" : [ "http://www.mendeley.com/documents/?uuid=834610d3-b4f7-40b5-8173-e403abaad432" ] } ], "mendeley" : { "formattedCitation" : "(Pryce &lt;i&gt;et al.&lt;/i&gt; 2006)", "plainTextFormattedCitation" : "(Pryce et al. 2006)", "previouslyFormattedCitation" : "(Pryce &lt;i&gt;et al.&lt;/i&gt; 2006)" }, "properties" : { "noteIndex" : 0 }, "schema" : "https://github.com/citation-style-language/schema/raw/master/csl-citation.json" }</w:instrText>
      </w:r>
      <w:r w:rsidR="00F01773" w:rsidRPr="00772213">
        <w:fldChar w:fldCharType="separate"/>
      </w:r>
      <w:r w:rsidRPr="00772213">
        <w:rPr>
          <w:noProof/>
        </w:rPr>
        <w:t>(Pryce et al. 2006)</w:t>
      </w:r>
      <w:r w:rsidR="00F01773" w:rsidRPr="00772213">
        <w:fldChar w:fldCharType="end"/>
      </w:r>
      <w:r w:rsidRPr="00772213">
        <w:t xml:space="preserve">. Watershed boundaries are also less changeable than other spatial units like land parcel boundaries and are therefore fitting for our century-spanning analysis. Of the 1152 watersheds in Tennessee, 925 have at least one observation by the Natural Heritage Program by 2010. These 925 watersheds </w:t>
      </w:r>
      <w:r>
        <w:t>(</w:t>
      </w:r>
      <w:r w:rsidR="00F01773">
        <w:fldChar w:fldCharType="begin"/>
      </w:r>
      <w:r>
        <w:instrText xml:space="preserve"> REF _Ref417397501 \h </w:instrText>
      </w:r>
      <w:r w:rsidR="00F01773">
        <w:fldChar w:fldCharType="separate"/>
      </w:r>
      <w:r w:rsidR="00867AA7" w:rsidRPr="00E50AB1">
        <w:t xml:space="preserve">Fig. </w:t>
      </w:r>
      <w:r w:rsidR="00867AA7">
        <w:rPr>
          <w:noProof/>
        </w:rPr>
        <w:t>1</w:t>
      </w:r>
      <w:r w:rsidR="00867AA7">
        <w:t>.</w:t>
      </w:r>
      <w:r w:rsidR="00867AA7">
        <w:rPr>
          <w:noProof/>
        </w:rPr>
        <w:t>2</w:t>
      </w:r>
      <w:r w:rsidR="00F01773">
        <w:fldChar w:fldCharType="end"/>
      </w:r>
      <w:r>
        <w:t xml:space="preserve">) </w:t>
      </w:r>
      <w:r w:rsidRPr="00772213">
        <w:t>acted as our candidate sites for selection and have a median area of 101 km</w:t>
      </w:r>
      <w:r w:rsidRPr="006119F8">
        <w:rPr>
          <w:vertAlign w:val="superscript"/>
        </w:rPr>
        <w:t>2</w:t>
      </w:r>
      <w:r w:rsidRPr="00772213">
        <w:t xml:space="preserve"> (1st quartile = 77 km</w:t>
      </w:r>
      <w:r w:rsidRPr="006119F8">
        <w:rPr>
          <w:vertAlign w:val="superscript"/>
        </w:rPr>
        <w:t>2</w:t>
      </w:r>
      <w:r w:rsidRPr="00772213">
        <w:t>, 3rd quartile = 142 km</w:t>
      </w:r>
      <w:r w:rsidRPr="006119F8">
        <w:rPr>
          <w:vertAlign w:val="superscript"/>
        </w:rPr>
        <w:t>2</w:t>
      </w:r>
      <w:r w:rsidRPr="00772213">
        <w:t>).</w:t>
      </w:r>
    </w:p>
    <w:p w:rsidR="005D5DA2" w:rsidRPr="00141359" w:rsidRDefault="005D5DA2" w:rsidP="005D5DA2">
      <w:pPr>
        <w:pStyle w:val="Heading3"/>
        <w:rPr>
          <w:lang w:val="en-GB"/>
        </w:rPr>
      </w:pPr>
      <w:bookmarkStart w:id="19" w:name="_Toc417646752"/>
      <w:r>
        <w:rPr>
          <w:lang w:val="en-GB"/>
        </w:rPr>
        <w:t>Ranking Watersheds</w:t>
      </w:r>
      <w:bookmarkEnd w:id="19"/>
    </w:p>
    <w:p w:rsidR="005D5DA2" w:rsidRDefault="005D5DA2" w:rsidP="005D5DA2">
      <w:pPr>
        <w:ind w:firstLine="720"/>
        <w:rPr>
          <w:lang w:val="en-GB"/>
        </w:rPr>
        <w:sectPr w:rsidR="005D5DA2" w:rsidSect="000A5A7E">
          <w:pgSz w:w="12240" w:h="15840" w:code="1"/>
          <w:pgMar w:top="1440" w:right="1800" w:bottom="1440" w:left="1800" w:header="720" w:footer="1440" w:gutter="0"/>
          <w:cols w:space="720"/>
          <w:noEndnote/>
          <w:docGrid w:linePitch="360"/>
        </w:sectPr>
      </w:pPr>
      <w:r w:rsidRPr="00141359">
        <w:rPr>
          <w:lang w:val="en-GB"/>
        </w:rPr>
        <w:t xml:space="preserve">We explored the situation in which a conservation group aims to cover as many species across the combined set of priority watersheds, rather than only the most species rich watersheds. This requires consideration of how the species assemblages of watersheds complement </w:t>
      </w:r>
    </w:p>
    <w:p w:rsidR="00E8165C" w:rsidRDefault="00F01773" w:rsidP="00E8165C">
      <w:pPr>
        <w:rPr>
          <w:lang w:val="en-GB"/>
        </w:rPr>
        <w:sectPr w:rsidR="00E8165C" w:rsidSect="00E742FA">
          <w:pgSz w:w="12240" w:h="15840" w:code="1"/>
          <w:pgMar w:top="1440" w:right="1800" w:bottom="1440" w:left="1800" w:header="720" w:footer="1440" w:gutter="0"/>
          <w:cols w:space="720"/>
          <w:vAlign w:val="center"/>
          <w:noEndnote/>
          <w:docGrid w:linePitch="360"/>
        </w:sectPr>
      </w:pPr>
      <w:r w:rsidRPr="00F01773">
        <w:rPr>
          <w:lang w:val="en-GB"/>
        </w:rPr>
      </w:r>
      <w:r>
        <w:rPr>
          <w:lang w:val="en-GB"/>
        </w:rPr>
        <w:pict>
          <v:shape id="_x0000_s1100" type="#_x0000_t202" style="width:429.7pt;height:297pt;mso-position-horizontal-relative:char;mso-position-vertical-relative:line" stroked="f">
            <v:textbox style="mso-next-textbox:#_x0000_s1100">
              <w:txbxContent>
                <w:p w:rsidR="006A45E8" w:rsidRDefault="006A45E8" w:rsidP="00E8165C">
                  <w:pPr>
                    <w:keepNext/>
                    <w:jc w:val="center"/>
                  </w:pPr>
                  <w:r>
                    <w:rPr>
                      <w:noProof/>
                    </w:rPr>
                    <w:drawing>
                      <wp:inline distT="0" distB="0" distL="0" distR="0">
                        <wp:extent cx="5269865" cy="2528972"/>
                        <wp:effectExtent l="19050" t="0" r="6985" b="0"/>
                        <wp:docPr id="68" name="Picture 27" descr="figur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_2"/>
                                <pic:cNvPicPr>
                                  <a:picLocks noChangeAspect="1" noChangeArrowheads="1"/>
                                </pic:cNvPicPr>
                              </pic:nvPicPr>
                              <pic:blipFill>
                                <a:blip r:embed="rId37"/>
                                <a:srcRect/>
                                <a:stretch>
                                  <a:fillRect/>
                                </a:stretch>
                              </pic:blipFill>
                              <pic:spPr bwMode="auto">
                                <a:xfrm>
                                  <a:off x="0" y="0"/>
                                  <a:ext cx="5269865" cy="2528972"/>
                                </a:xfrm>
                                <a:prstGeom prst="rect">
                                  <a:avLst/>
                                </a:prstGeom>
                                <a:noFill/>
                                <a:ln w="9525">
                                  <a:noFill/>
                                  <a:miter lim="800000"/>
                                  <a:headEnd/>
                                  <a:tailEnd/>
                                </a:ln>
                              </pic:spPr>
                            </pic:pic>
                          </a:graphicData>
                        </a:graphic>
                      </wp:inline>
                    </w:drawing>
                  </w:r>
                </w:p>
                <w:p w:rsidR="006A45E8" w:rsidRPr="002B2090" w:rsidRDefault="006A45E8" w:rsidP="00E8165C">
                  <w:pPr>
                    <w:pStyle w:val="Caption"/>
                    <w:rPr>
                      <w:vanish/>
                      <w:lang w:val="en-GB"/>
                      <w:specVanish/>
                    </w:rPr>
                  </w:pPr>
                  <w:bookmarkStart w:id="20" w:name="_Ref417397501"/>
                  <w:bookmarkStart w:id="21" w:name="_Toc421352905"/>
                  <w:bookmarkStart w:id="22" w:name="_Toc417647056"/>
                  <w:proofErr w:type="gramStart"/>
                  <w:r w:rsidRPr="00E50AB1">
                    <w:t>Fig.</w:t>
                  </w:r>
                  <w:proofErr w:type="gramEnd"/>
                  <w:r w:rsidRPr="00E50AB1">
                    <w:t xml:space="preserve"> </w:t>
                  </w:r>
                  <w:fldSimple w:instr=" STYLEREF 1 \s ">
                    <w:r>
                      <w:rPr>
                        <w:noProof/>
                      </w:rPr>
                      <w:t>1</w:t>
                    </w:r>
                  </w:fldSimple>
                  <w:r>
                    <w:t>.</w:t>
                  </w:r>
                  <w:fldSimple w:instr=" SEQ Fig. \* ARABIC \s 1 ">
                    <w:r>
                      <w:rPr>
                        <w:noProof/>
                      </w:rPr>
                      <w:t>2</w:t>
                    </w:r>
                  </w:fldSimple>
                  <w:bookmarkEnd w:id="20"/>
                  <w:r w:rsidRPr="00E50AB1">
                    <w:t>. Number of EOs, including repeats, accumulated in each watershed since 1900 at six snapshots in time.</w:t>
                  </w:r>
                  <w:bookmarkEnd w:id="21"/>
                  <w:r w:rsidRPr="00ED1197">
                    <w:rPr>
                      <w:vanish/>
                      <w:lang w:val="en-GB"/>
                      <w:specVanish/>
                    </w:rPr>
                    <w:t xml:space="preserve"> </w:t>
                  </w:r>
                </w:p>
                <w:p w:rsidR="006A45E8" w:rsidRPr="00E50AB1" w:rsidRDefault="006A45E8" w:rsidP="00E8165C">
                  <w:pPr>
                    <w:pStyle w:val="Caption"/>
                  </w:pPr>
                  <w:r w:rsidRPr="00E50AB1">
                    <w:t xml:space="preserve"> Darker colors have a higher density of EOs. For example, the darkest watershed in 1970 has 155 EOs which it accumulated between 1900 and 1970. Of the 1152 watersheds, 925 have at least one EO by 2010, 695 have ≤ 25 and 56 have ≥ 100.</w:t>
                  </w:r>
                  <w:bookmarkEnd w:id="22"/>
                </w:p>
                <w:p w:rsidR="006A45E8" w:rsidRDefault="006A45E8" w:rsidP="00E8165C"/>
              </w:txbxContent>
            </v:textbox>
            <w10:wrap type="none" anchorx="margin" anchory="margin"/>
            <w10:anchorlock/>
          </v:shape>
        </w:pict>
      </w:r>
    </w:p>
    <w:p w:rsidR="00E50AB1" w:rsidRPr="00D81FA4" w:rsidRDefault="005D5DA2" w:rsidP="00E8165C">
      <w:pPr>
        <w:rPr>
          <w:lang w:val="en-GB"/>
        </w:rPr>
      </w:pPr>
      <w:proofErr w:type="gramStart"/>
      <w:r w:rsidRPr="00141359">
        <w:rPr>
          <w:lang w:val="en-GB"/>
        </w:rPr>
        <w:lastRenderedPageBreak/>
        <w:t>one</w:t>
      </w:r>
      <w:proofErr w:type="gramEnd"/>
      <w:r w:rsidRPr="00141359">
        <w:rPr>
          <w:lang w:val="en-GB"/>
        </w:rPr>
        <w:t xml:space="preserve"> another. To implement this, we ranked watersheds based on their frequency in near-optimal solutions to the maximal coverage problem </w:t>
      </w:r>
      <w:r w:rsidR="00F01773" w:rsidRPr="00141359">
        <w:rPr>
          <w:lang w:val="en-GB"/>
        </w:rPr>
        <w:fldChar w:fldCharType="begin" w:fldLock="1"/>
      </w:r>
      <w:r>
        <w:rPr>
          <w:lang w:val="en-GB"/>
        </w:rPr>
        <w:instrText>ADDIN CSL_CITATION { "citationItems" : [ { "id" : "ITEM-1", "itemData" : { "abstract" : "Sophisticated computational methods have been developed to help us to identify sets of nature reserves that maximize the representation of regional diversity, but, until recently, the methods have not dealt explicitly and directly with the main goal of reserve networks, that of the long-term maintenance of biodiversity. Furthermore, the successful application of current methods requires reliable information about species distributions, which is not always available. Recent results show that data quality, as well as the choice of surrogates for biodiversity, could be critical for successful reserve design. Because of these problems and a lack of communication between scientists and managers, the impact of computational site-selection tools in applied conservation planning has been minimal.", "author" : [ { "dropping-particle" : "", "family" : "Cabeza", "given" : "Mar", "non-dropping-particle" : "", "parse-names" : false, "suffix" : "" }, { "dropping-particle" : "", "family" : "Moilanen", "given" : "Atte", "non-dropping-particle" : "", "parse-names" : false, "suffix" : "" } ], "container-title" : "Trends in Ecology &amp; Evolution", "id" : "ITEM-1", "issue" : "5", "issued" : { "date-parts" : [ [ "2001" ] ] }, "page" : "242-248", "publisher" : "Elsevier", "title" : "Design of reserve networks and the persistence of biodiversity", "type" : "article-journal", "volume" : "16" }, "prefix" : "MCP;", "uris" : [ "http://www.mendeley.com/documents/?uuid=ab8a5e45-f8f9-4746-8596-9eff172e9d9e" ] } ], "mendeley" : { "formattedCitation" : "(MCP; Cabeza &amp; Moilanen 2001)", "plainTextFormattedCitation" : "(MCP; Cabeza &amp; Moilanen 2001)", "previouslyFormattedCitation" : "(MCP; Cabeza &amp; Moilanen 2001)" }, "properties" : { "noteIndex" : 0 }, "schema" : "https://github.com/citation-style-language/schema/raw/master/csl-citation.json" }</w:instrText>
      </w:r>
      <w:r w:rsidR="00F01773" w:rsidRPr="00141359">
        <w:rPr>
          <w:lang w:val="en-GB"/>
        </w:rPr>
        <w:fldChar w:fldCharType="separate"/>
      </w:r>
      <w:r w:rsidRPr="00141359">
        <w:rPr>
          <w:noProof/>
          <w:lang w:val="en-GB"/>
        </w:rPr>
        <w:t>(MCP; Cabeza &amp; Moilanen 2001)</w:t>
      </w:r>
      <w:r w:rsidR="00F01773" w:rsidRPr="00141359">
        <w:rPr>
          <w:lang w:val="en-GB"/>
        </w:rPr>
        <w:fldChar w:fldCharType="end"/>
      </w:r>
      <w:r w:rsidRPr="00141359">
        <w:rPr>
          <w:lang w:val="en-GB"/>
        </w:rPr>
        <w:t>. Given a watershed budget (</w:t>
      </w:r>
      <w:r w:rsidRPr="00141359">
        <w:rPr>
          <w:i/>
          <w:iCs/>
          <w:lang w:val="en-GB"/>
        </w:rPr>
        <w:t>b</w:t>
      </w:r>
      <w:r w:rsidRPr="00141359">
        <w:rPr>
          <w:lang w:val="en-GB"/>
        </w:rPr>
        <w:t xml:space="preserve">), the globally optimum solution to the MCP is the set of </w:t>
      </w:r>
      <w:r w:rsidRPr="00141359">
        <w:rPr>
          <w:i/>
          <w:iCs/>
          <w:lang w:val="en-GB"/>
        </w:rPr>
        <w:t>b</w:t>
      </w:r>
      <w:r w:rsidRPr="00141359">
        <w:rPr>
          <w:lang w:val="en-GB"/>
        </w:rPr>
        <w:t xml:space="preserve"> watersheds that together cover more species than any other set of </w:t>
      </w:r>
      <w:r w:rsidRPr="00141359">
        <w:rPr>
          <w:i/>
          <w:iCs/>
          <w:lang w:val="en-GB"/>
        </w:rPr>
        <w:t xml:space="preserve">b </w:t>
      </w:r>
      <w:r w:rsidRPr="00141359">
        <w:rPr>
          <w:lang w:val="en-GB"/>
        </w:rPr>
        <w:t>watersheds. Solving the MCP gives a set</w:t>
      </w:r>
      <w:r>
        <w:rPr>
          <w:lang w:val="en-GB"/>
        </w:rPr>
        <w:t xml:space="preserve"> </w:t>
      </w:r>
      <w:r w:rsidRPr="00141359">
        <w:rPr>
          <w:lang w:val="en-GB"/>
        </w:rPr>
        <w:t xml:space="preserve">of watersheds that together perform well as a conservation strategy. It does not automatically give a means to rank individual watersheds. </w:t>
      </w:r>
      <w:r w:rsidR="00E8165C" w:rsidRPr="00141359">
        <w:rPr>
          <w:lang w:val="en-GB"/>
        </w:rPr>
        <w:t xml:space="preserve">However, Pressey, Johnson &amp; Wilson </w:t>
      </w:r>
      <w:r w:rsidR="00F01773" w:rsidRPr="00141359">
        <w:rPr>
          <w:lang w:val="en-GB"/>
        </w:rPr>
        <w:fldChar w:fldCharType="begin" w:fldLock="1"/>
      </w:r>
      <w:r w:rsidR="00E8165C">
        <w:rPr>
          <w:lang w:val="en-GB"/>
        </w:rPr>
        <w:instrText>ADDIN CSL_CITATION { "citationItems" : [ { "id" : "ITEM-1", "itemData" : { "DOI" : "10.1007/BF00055941", "ISSN" : "0960-3115", "author" : [ { "dropping-particle" : "", "family" : "Pressey", "given" : "R. L.", "non-dropping-particle" : "", "parse-names" : false, "suffix" : "" }, { "dropping-particle" : "", "family" : "Johnson", "given" : "I. R.", "non-dropping-particle" : "", "parse-names" : false, "suffix" : "" }, { "dropping-particle" : "", "family" : "Wilson", "given" : "P. D.", "non-dropping-particle" : "", "parse-names" : false, "suffix" : "" } ], "container-title" : "Biodiversity and Conservation", "id" : "ITEM-1", "issue" : "3", "issued" : { "date-parts" : [ [ "1994", "4" ] ] }, "note" : "origin of the concept of irreplaceability (maybe)", "page" : "242-262", "title" : "Shades of irreplaceability: towards a measure of the contribution of sites to a reservation goal", "type" : "article-journal", "volume" : "3" }, "suppress-author" : 1, "uris" : [ "http://www.mendeley.com/documents/?uuid=6142ad54-64b2-49e8-b284-4707d470bba8" ] } ], "mendeley" : { "formattedCitation" : "(1994)", "plainTextFormattedCitation" : "(1994)", "previouslyFormattedCitation" : "(1994)" }, "properties" : { "noteIndex" : 0 }, "schema" : "https://github.com/citation-style-language/schema/raw/master/csl-citation.json" }</w:instrText>
      </w:r>
      <w:r w:rsidR="00F01773" w:rsidRPr="00141359">
        <w:rPr>
          <w:lang w:val="en-GB"/>
        </w:rPr>
        <w:fldChar w:fldCharType="separate"/>
      </w:r>
      <w:r w:rsidR="00E8165C" w:rsidRPr="00141359">
        <w:rPr>
          <w:noProof/>
          <w:lang w:val="en-GB"/>
        </w:rPr>
        <w:t>(1994)</w:t>
      </w:r>
      <w:r w:rsidR="00F01773" w:rsidRPr="00141359">
        <w:rPr>
          <w:lang w:val="en-GB"/>
        </w:rPr>
        <w:fldChar w:fldCharType="end"/>
      </w:r>
      <w:r w:rsidR="00E8165C" w:rsidRPr="00141359">
        <w:rPr>
          <w:lang w:val="en-GB"/>
        </w:rPr>
        <w:t xml:space="preserve"> introduced the idea of irreplaceability, defined as “the frequency of occurrence of individual [watersheds] in the range of possible representative systems.” Irreplaceable watersheds are those that have a high potential to contribute to the conservation goal under many realized priority sets. We drew on this concept when deciding how to rank complementary watersheds.</w:t>
      </w:r>
    </w:p>
    <w:p w:rsidR="00BC0AA6" w:rsidRPr="00141359" w:rsidRDefault="00BC0AA6" w:rsidP="008851D6">
      <w:pPr>
        <w:ind w:firstLine="720"/>
        <w:rPr>
          <w:lang w:val="en-GB"/>
        </w:rPr>
      </w:pPr>
      <w:r w:rsidRPr="00141359">
        <w:rPr>
          <w:lang w:val="en-GB"/>
        </w:rPr>
        <w:t xml:space="preserve">The algorithm we used to rank watersheds has two parts. In the first part, we used a genetic algorithm optimizer to choose one set of </w:t>
      </w:r>
      <w:r w:rsidRPr="00141359">
        <w:rPr>
          <w:i/>
          <w:lang w:val="en-GB"/>
        </w:rPr>
        <w:t>b</w:t>
      </w:r>
      <w:r w:rsidRPr="00141359">
        <w:rPr>
          <w:lang w:val="en-GB"/>
        </w:rPr>
        <w:t xml:space="preserve"> watersheds that maximizes the number of species covered. The difficulty of the MCP means that the genetic algorithm optimizer guarantees, at worst, locally optimum solutions. In conservation the local optimality of solutions can be a strength, because finding many near-optimal solutions rather than the one best solution lends flexibility to the decision making process. For a given budget, we ran the genetic algorithm optimizer 500 times and kept those solutions that achieved ≥ 95% of the richness of the best solution. In the second part, we ranked watersheds by the number of times they appeared across those top-scoring solutions (irreplaceability). In total, we examined 11 sensitivity tests corresponding to 11 watershed budgets (</w:t>
      </w:r>
      <w:r w:rsidRPr="00141359">
        <w:rPr>
          <w:i/>
          <w:lang w:val="en-GB"/>
        </w:rPr>
        <w:t>b</w:t>
      </w:r>
      <w:r w:rsidRPr="00141359">
        <w:rPr>
          <w:lang w:val="en-GB"/>
        </w:rPr>
        <w:t>): 1, 5, 10, 20</w:t>
      </w:r>
      <w:proofErr w:type="gramStart"/>
      <w:r w:rsidRPr="00141359">
        <w:rPr>
          <w:lang w:val="en-GB"/>
        </w:rPr>
        <w:t>, …,</w:t>
      </w:r>
      <w:proofErr w:type="gramEnd"/>
      <w:r w:rsidRPr="00141359">
        <w:rPr>
          <w:lang w:val="en-GB"/>
        </w:rPr>
        <w:t xml:space="preserve"> and 90 watersheds. </w:t>
      </w:r>
    </w:p>
    <w:p w:rsidR="00BC0AA6" w:rsidRPr="00141359" w:rsidRDefault="00BC0AA6" w:rsidP="00871A27">
      <w:pPr>
        <w:ind w:firstLine="720"/>
        <w:rPr>
          <w:lang w:val="en-GB"/>
        </w:rPr>
      </w:pPr>
      <w:r w:rsidRPr="00141359">
        <w:rPr>
          <w:lang w:val="en-GB"/>
        </w:rPr>
        <w:t>In Appendix S1 we also explore the sensitivity of our results to other ranking methods. Namely, we assess prioritization based on the local richness of watersheds when ignoring complementarity in order to explore how sensitive our results are to the particular choice of conservation objective that we examine. We also assess variations on this local richness case to the number of watersheds prioritized, controls for data reliability and a control for sampling bias. All ranking was carried out in Python v2.5.4.</w:t>
      </w:r>
    </w:p>
    <w:p w:rsidR="00BC0AA6" w:rsidRPr="00871A27" w:rsidRDefault="00FE4F61" w:rsidP="00871A27">
      <w:pPr>
        <w:pStyle w:val="Heading3"/>
        <w:rPr>
          <w:lang w:val="en-GB"/>
        </w:rPr>
      </w:pPr>
      <w:bookmarkStart w:id="23" w:name="_Toc417646753"/>
      <w:r>
        <w:rPr>
          <w:lang w:val="en-GB"/>
        </w:rPr>
        <w:t>Measuring Changes in Priorities</w:t>
      </w:r>
      <w:bookmarkEnd w:id="23"/>
    </w:p>
    <w:p w:rsidR="00BC0AA6" w:rsidRDefault="00BC0AA6" w:rsidP="00790761">
      <w:pPr>
        <w:rPr>
          <w:lang w:val="en-GB"/>
        </w:rPr>
      </w:pPr>
      <w:r w:rsidRPr="00141359">
        <w:rPr>
          <w:lang w:val="en-GB"/>
        </w:rPr>
        <w:t xml:space="preserve">We measured by how much additional species observations cause watershed rankings to change. We used Spearman’s rank correlation statistic, ρ, to measure the similarity of two different rankings of candidate watersheds for conservation, where the ranking of watersheds in a year is based on the observed assemblages of species in those </w:t>
      </w:r>
      <w:r w:rsidRPr="00141359">
        <w:rPr>
          <w:lang w:val="en-GB"/>
        </w:rPr>
        <w:lastRenderedPageBreak/>
        <w:t>watersheds. Our measure of priority change (</w:t>
      </w:r>
      <w:r w:rsidRPr="00141359">
        <w:rPr>
          <w:i/>
          <w:lang w:val="en-GB"/>
        </w:rPr>
        <w:t>V</w:t>
      </w:r>
      <w:r w:rsidRPr="00141359">
        <w:rPr>
          <w:lang w:val="en-GB"/>
        </w:rPr>
        <w:t>) is the difference between rankings, or</w:t>
      </w:r>
    </w:p>
    <w:p w:rsidR="00BC0AA6" w:rsidRPr="00141359" w:rsidRDefault="00F01773" w:rsidP="00790761">
      <w:pPr>
        <w:autoSpaceDE w:val="0"/>
        <w:autoSpaceDN w:val="0"/>
        <w:adjustRightInd w:val="0"/>
        <w:spacing w:before="240" w:after="240"/>
        <w:rPr>
          <w:lang w:val="en-GB"/>
        </w:rPr>
      </w:pPr>
      <m:oMathPara>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t</m:t>
              </m:r>
            </m:sub>
          </m:sSub>
          <m:r>
            <w:rPr>
              <w:rFonts w:ascii="Cambria Math" w:hAnsi="Cambria Math"/>
              <w:lang w:val="en-GB"/>
            </w:rPr>
            <m:t>=1-ρ</m:t>
          </m:r>
          <m:d>
            <m:dPr>
              <m:ctrlPr>
                <w:rPr>
                  <w:rFonts w:ascii="Cambria Math" w:hAnsi="Cambria Math"/>
                  <w:i/>
                  <w:lang w:val="en-GB"/>
                </w:rPr>
              </m:ctrlPr>
            </m:dPr>
            <m:e>
              <m:r>
                <m:rPr>
                  <m:nor/>
                </m:rPr>
                <w:rPr>
                  <w:rFonts w:ascii="Cambria Math" w:hAnsi="Cambria Math"/>
                  <w:lang w:val="en-GB"/>
                </w:rPr>
                <m:t xml:space="preserve">ranking in year </m:t>
              </m:r>
              <m:r>
                <w:rPr>
                  <w:rFonts w:ascii="Cambria Math" w:hAnsi="Cambria Math"/>
                  <w:lang w:val="en-GB"/>
                </w:rPr>
                <m:t>t,</m:t>
              </m:r>
              <m:r>
                <m:rPr>
                  <m:nor/>
                </m:rPr>
                <w:rPr>
                  <w:rFonts w:ascii="Cambria Math" w:hAnsi="Cambria Math"/>
                  <w:lang w:val="en-GB"/>
                </w:rPr>
                <m:t xml:space="preserve"> ranking in year </m:t>
              </m:r>
              <m:r>
                <w:rPr>
                  <w:rFonts w:ascii="Cambria Math" w:hAnsi="Cambria Math"/>
                  <w:lang w:val="en-GB"/>
                </w:rPr>
                <m:t>t-1</m:t>
              </m:r>
            </m:e>
          </m:d>
        </m:oMath>
      </m:oMathPara>
    </w:p>
    <w:p w:rsidR="00BC0AA6" w:rsidRPr="00141359" w:rsidRDefault="00BC0AA6" w:rsidP="00790761">
      <w:pPr>
        <w:rPr>
          <w:lang w:val="en-GB"/>
        </w:rPr>
      </w:pPr>
      <w:r w:rsidRPr="00141359">
        <w:rPr>
          <w:lang w:val="en-GB"/>
        </w:rPr>
        <w:t xml:space="preserve">We subtract the rank correlation from 1 to ease explanation such that larger values of </w:t>
      </w:r>
      <w:r w:rsidRPr="00141359">
        <w:rPr>
          <w:i/>
          <w:lang w:val="en-GB"/>
        </w:rPr>
        <w:t>V</w:t>
      </w:r>
      <w:r w:rsidRPr="00141359">
        <w:rPr>
          <w:lang w:val="en-GB"/>
        </w:rPr>
        <w:t xml:space="preserve"> correspond to larger changes in priorities. Because ρ can take values between -1 and 1, </w:t>
      </w:r>
      <w:r w:rsidRPr="00141359">
        <w:rPr>
          <w:i/>
          <w:lang w:val="en-GB"/>
        </w:rPr>
        <w:t>V</w:t>
      </w:r>
      <w:r w:rsidRPr="00141359">
        <w:rPr>
          <w:lang w:val="en-GB"/>
        </w:rPr>
        <w:t xml:space="preserve"> can vary between 0 and 2. We would typically expect </w:t>
      </w:r>
      <w:r w:rsidRPr="00141359">
        <w:rPr>
          <w:i/>
          <w:lang w:val="en-GB"/>
        </w:rPr>
        <w:t>V</w:t>
      </w:r>
      <w:r w:rsidRPr="00141359">
        <w:rPr>
          <w:lang w:val="en-GB"/>
        </w:rPr>
        <w:t xml:space="preserve"> to take values between zero – where the rankings are identical </w:t>
      </w:r>
      <w:r>
        <w:rPr>
          <w:lang w:val="en-GB"/>
        </w:rPr>
        <w:t>–</w:t>
      </w:r>
      <w:r w:rsidRPr="00141359">
        <w:rPr>
          <w:lang w:val="en-GB"/>
        </w:rPr>
        <w:t xml:space="preserve"> and one – where the two rankings have no relation to one another. </w:t>
      </w:r>
    </w:p>
    <w:p w:rsidR="00BC0AA6" w:rsidRPr="00141359" w:rsidRDefault="00BC0AA6" w:rsidP="00AE0CE2">
      <w:pPr>
        <w:ind w:firstLine="388"/>
        <w:rPr>
          <w:lang w:val="en-GB"/>
        </w:rPr>
      </w:pPr>
      <w:r w:rsidRPr="00141359">
        <w:rPr>
          <w:lang w:val="en-GB"/>
        </w:rPr>
        <w:t xml:space="preserve">Below, we describe the entire process of ranking watersheds and calculating </w:t>
      </w:r>
      <w:r w:rsidRPr="00141359">
        <w:rPr>
          <w:i/>
          <w:lang w:val="en-GB"/>
        </w:rPr>
        <w:t>V</w:t>
      </w:r>
      <w:r w:rsidRPr="00141359">
        <w:rPr>
          <w:lang w:val="en-GB"/>
        </w:rPr>
        <w:t xml:space="preserve"> with a budget of 10 watersheds:</w:t>
      </w:r>
      <w:r w:rsidRPr="00141359">
        <w:rPr>
          <w:lang w:val="en-GB"/>
        </w:rPr>
        <w:br/>
      </w:r>
    </w:p>
    <w:p w:rsidR="00BC0AA6" w:rsidRPr="00BE5478" w:rsidRDefault="00BC0AA6" w:rsidP="009B0E78">
      <w:pPr>
        <w:pStyle w:val="ListParagraph"/>
        <w:numPr>
          <w:ilvl w:val="0"/>
          <w:numId w:val="2"/>
        </w:numPr>
        <w:ind w:left="748"/>
        <w:rPr>
          <w:lang w:val="en-GB"/>
        </w:rPr>
      </w:pPr>
      <w:r w:rsidRPr="00BE5478">
        <w:rPr>
          <w:b/>
          <w:bCs/>
          <w:lang w:val="en-GB"/>
        </w:rPr>
        <w:t>Initialize</w:t>
      </w:r>
      <w:r w:rsidRPr="00BE5478">
        <w:rPr>
          <w:lang w:val="en-GB"/>
        </w:rPr>
        <w:t>: Using data from 1900–1909, the genetic algorithm optimizer chooses 10 watersheds that maximally cover present species. This is repeated 500 times. Watersheds are ranked by their frequency in the top 95% of the 500 solutions.</w:t>
      </w:r>
      <w:r w:rsidR="00BE5478">
        <w:rPr>
          <w:lang w:val="en-GB"/>
        </w:rPr>
        <w:br/>
      </w:r>
    </w:p>
    <w:p w:rsidR="00BC0AA6" w:rsidRPr="00BE5478" w:rsidRDefault="00BC0AA6" w:rsidP="009B0E78">
      <w:pPr>
        <w:pStyle w:val="ListParagraph"/>
        <w:numPr>
          <w:ilvl w:val="0"/>
          <w:numId w:val="2"/>
        </w:numPr>
        <w:ind w:left="748"/>
        <w:rPr>
          <w:lang w:val="en-GB"/>
        </w:rPr>
      </w:pPr>
      <w:r w:rsidRPr="00BE5478">
        <w:rPr>
          <w:b/>
          <w:bCs/>
          <w:lang w:val="en-GB"/>
        </w:rPr>
        <w:t>Update</w:t>
      </w:r>
      <w:r w:rsidRPr="00BE5478">
        <w:rPr>
          <w:lang w:val="en-GB"/>
        </w:rPr>
        <w:t xml:space="preserve"> </w:t>
      </w:r>
      <w:r w:rsidRPr="00BE5478">
        <w:rPr>
          <w:b/>
          <w:bCs/>
          <w:lang w:val="en-GB"/>
        </w:rPr>
        <w:t>Records</w:t>
      </w:r>
      <w:r w:rsidRPr="00BE5478">
        <w:rPr>
          <w:lang w:val="en-GB"/>
        </w:rPr>
        <w:t>: Add records from the next year. In the first iteration, we added records from 1910 so that the irreplaceability and ranking of watersheds in 1910 was based on EOs from 1900-1910. The ranking in the second iteration (1911) was based on EOs from 1900-1911, and so on.</w:t>
      </w:r>
      <w:r w:rsidR="00BE5478">
        <w:rPr>
          <w:lang w:val="en-GB"/>
        </w:rPr>
        <w:br/>
      </w:r>
    </w:p>
    <w:p w:rsidR="00BC0AA6" w:rsidRPr="00BE5478" w:rsidRDefault="00BC0AA6" w:rsidP="009B0E78">
      <w:pPr>
        <w:pStyle w:val="ListParagraph"/>
        <w:numPr>
          <w:ilvl w:val="0"/>
          <w:numId w:val="2"/>
        </w:numPr>
        <w:ind w:left="748"/>
        <w:rPr>
          <w:lang w:val="en-GB"/>
        </w:rPr>
      </w:pPr>
      <w:r w:rsidRPr="00BE5478">
        <w:rPr>
          <w:b/>
          <w:bCs/>
          <w:lang w:val="en-GB"/>
        </w:rPr>
        <w:t>Rank Watersheds</w:t>
      </w:r>
      <w:r w:rsidRPr="00BE5478">
        <w:rPr>
          <w:lang w:val="en-GB"/>
        </w:rPr>
        <w:t>: Repeat Step 1 with the updated dataset from Step 2.</w:t>
      </w:r>
      <w:r w:rsidR="00BE5478" w:rsidRPr="00BE5478">
        <w:rPr>
          <w:lang w:val="en-GB"/>
        </w:rPr>
        <w:t xml:space="preserve"> </w:t>
      </w:r>
      <w:r w:rsidR="00BE5478">
        <w:rPr>
          <w:lang w:val="en-GB"/>
        </w:rPr>
        <w:br/>
      </w:r>
    </w:p>
    <w:p w:rsidR="00BC0AA6" w:rsidRPr="00BE5478" w:rsidRDefault="00BC0AA6" w:rsidP="009B0E78">
      <w:pPr>
        <w:pStyle w:val="ListParagraph"/>
        <w:numPr>
          <w:ilvl w:val="0"/>
          <w:numId w:val="2"/>
        </w:numPr>
        <w:ind w:left="748"/>
        <w:rPr>
          <w:lang w:val="en-GB"/>
        </w:rPr>
      </w:pPr>
      <w:r w:rsidRPr="00BE5478">
        <w:rPr>
          <w:b/>
          <w:bCs/>
          <w:lang w:val="en-GB"/>
        </w:rPr>
        <w:t xml:space="preserve">Calculate </w:t>
      </w:r>
      <w:proofErr w:type="spellStart"/>
      <w:proofErr w:type="gramStart"/>
      <w:r w:rsidRPr="00BE5478">
        <w:rPr>
          <w:b/>
          <w:bCs/>
          <w:i/>
          <w:lang w:val="en-GB"/>
        </w:rPr>
        <w:t>V</w:t>
      </w:r>
      <w:r w:rsidRPr="00BE5478">
        <w:rPr>
          <w:b/>
          <w:bCs/>
          <w:i/>
          <w:vertAlign w:val="subscript"/>
          <w:lang w:val="en-GB"/>
        </w:rPr>
        <w:t>t</w:t>
      </w:r>
      <w:proofErr w:type="spellEnd"/>
      <w:proofErr w:type="gramEnd"/>
      <w:r w:rsidRPr="00BE5478">
        <w:rPr>
          <w:b/>
          <w:bCs/>
          <w:lang w:val="en-GB"/>
        </w:rPr>
        <w:t xml:space="preserve">: </w:t>
      </w:r>
      <w:r w:rsidRPr="00BE5478">
        <w:rPr>
          <w:lang w:val="en-GB"/>
        </w:rPr>
        <w:t xml:space="preserve">Calculate the difference between the rankings between the current year and previous year as defined above (1 - Spearman’s </w:t>
      </w:r>
      <w:r w:rsidRPr="00BE5478">
        <w:rPr>
          <w:i/>
          <w:lang w:val="en-GB"/>
        </w:rPr>
        <w:t>ρ</w:t>
      </w:r>
      <w:r w:rsidRPr="00BE5478">
        <w:rPr>
          <w:lang w:val="en-GB"/>
        </w:rPr>
        <w:t xml:space="preserve">). This gives the magnitude of change in priorities for the current year. In the first iteration, we get </w:t>
      </w:r>
      <w:r w:rsidRPr="00BE5478">
        <w:rPr>
          <w:i/>
          <w:lang w:val="en-GB"/>
        </w:rPr>
        <w:t>V</w:t>
      </w:r>
      <w:r w:rsidRPr="00BE5478">
        <w:rPr>
          <w:vertAlign w:val="subscript"/>
          <w:lang w:val="en-GB"/>
        </w:rPr>
        <w:t>1910</w:t>
      </w:r>
      <w:r w:rsidRPr="00BE5478">
        <w:rPr>
          <w:lang w:val="en-GB"/>
        </w:rPr>
        <w:t xml:space="preserve"> by comparing the rankings from 1910 and 1909. In</w:t>
      </w:r>
      <w:r w:rsidR="00F1111F">
        <w:rPr>
          <w:lang w:val="en-GB"/>
        </w:rPr>
        <w:t xml:space="preserve"> </w:t>
      </w:r>
      <w:r w:rsidR="00F01773">
        <w:rPr>
          <w:lang w:val="en-GB"/>
        </w:rPr>
        <w:fldChar w:fldCharType="begin"/>
      </w:r>
      <w:r w:rsidR="00F1111F">
        <w:rPr>
          <w:lang w:val="en-GB"/>
        </w:rPr>
        <w:instrText xml:space="preserve"> REF _Ref417400990 \h </w:instrText>
      </w:r>
      <w:r w:rsidR="00F01773">
        <w:rPr>
          <w:lang w:val="en-GB"/>
        </w:rPr>
      </w:r>
      <w:r w:rsidR="00F01773">
        <w:rPr>
          <w:lang w:val="en-GB"/>
        </w:rPr>
        <w:fldChar w:fldCharType="separate"/>
      </w:r>
      <w:r w:rsidR="00867AA7">
        <w:t xml:space="preserve">Fig. S </w:t>
      </w:r>
      <w:r w:rsidR="00867AA7">
        <w:rPr>
          <w:noProof/>
        </w:rPr>
        <w:t>1</w:t>
      </w:r>
      <w:r w:rsidR="00867AA7">
        <w:t>.</w:t>
      </w:r>
      <w:r w:rsidR="00867AA7">
        <w:rPr>
          <w:noProof/>
        </w:rPr>
        <w:t>2</w:t>
      </w:r>
      <w:r w:rsidR="00F01773">
        <w:rPr>
          <w:lang w:val="en-GB"/>
        </w:rPr>
        <w:fldChar w:fldCharType="end"/>
      </w:r>
      <w:r w:rsidRPr="00BE5478">
        <w:rPr>
          <w:lang w:val="en-GB"/>
        </w:rPr>
        <w:t>, we summarize the result of delaying updates of records and priorities.</w:t>
      </w:r>
      <w:r w:rsidR="00BE5478">
        <w:rPr>
          <w:lang w:val="en-GB"/>
        </w:rPr>
        <w:br/>
      </w:r>
    </w:p>
    <w:p w:rsidR="00BC0AA6" w:rsidRPr="00BE5478" w:rsidRDefault="00BC0AA6" w:rsidP="009B0E78">
      <w:pPr>
        <w:pStyle w:val="ListParagraph"/>
        <w:numPr>
          <w:ilvl w:val="0"/>
          <w:numId w:val="2"/>
        </w:numPr>
        <w:ind w:left="748"/>
        <w:rPr>
          <w:lang w:val="en-GB"/>
        </w:rPr>
      </w:pPr>
      <w:r w:rsidRPr="00BE5478">
        <w:rPr>
          <w:b/>
          <w:bCs/>
          <w:lang w:val="en-GB"/>
        </w:rPr>
        <w:t>Repeat</w:t>
      </w:r>
      <w:r w:rsidRPr="00BE5478">
        <w:rPr>
          <w:lang w:val="en-GB"/>
        </w:rPr>
        <w:t>:</w:t>
      </w:r>
      <w:r w:rsidRPr="00BE5478">
        <w:rPr>
          <w:b/>
          <w:bCs/>
          <w:lang w:val="en-GB"/>
        </w:rPr>
        <w:t xml:space="preserve"> </w:t>
      </w:r>
      <w:r w:rsidRPr="00BE5478">
        <w:rPr>
          <w:lang w:val="en-GB"/>
        </w:rPr>
        <w:t>Repeat Steps 2–4 through the year 2010, adding the most recent records for each iteration such that</w:t>
      </w:r>
    </w:p>
    <w:p w:rsidR="00BC0AA6" w:rsidRPr="00BE5478" w:rsidRDefault="00BC0AA6" w:rsidP="00A63345">
      <w:pPr>
        <w:rPr>
          <w:lang w:val="en-GB"/>
        </w:rPr>
      </w:pPr>
    </w:p>
    <w:p w:rsidR="00BC0AA6" w:rsidRPr="00BE5478" w:rsidRDefault="00BC0AA6" w:rsidP="00A63345">
      <w:pPr>
        <w:ind w:left="748"/>
        <w:rPr>
          <w:lang w:val="en-GB"/>
        </w:rPr>
      </w:pPr>
      <w:r w:rsidRPr="00BE5478">
        <w:rPr>
          <w:i/>
          <w:lang w:val="en-GB"/>
        </w:rPr>
        <w:t>V</w:t>
      </w:r>
      <w:r w:rsidRPr="00BE5478">
        <w:rPr>
          <w:vertAlign w:val="subscript"/>
          <w:lang w:val="en-GB"/>
        </w:rPr>
        <w:t>1910</w:t>
      </w:r>
      <w:r w:rsidRPr="00BE5478">
        <w:rPr>
          <w:lang w:val="en-GB"/>
        </w:rPr>
        <w:t xml:space="preserve"> = 1-</w:t>
      </w:r>
      <w:proofErr w:type="gramStart"/>
      <w:r w:rsidRPr="00BE5478">
        <w:rPr>
          <w:i/>
          <w:lang w:val="en-GB"/>
        </w:rPr>
        <w:t>ρ</w:t>
      </w:r>
      <w:r w:rsidRPr="00BE5478">
        <w:rPr>
          <w:lang w:val="en-GB"/>
        </w:rPr>
        <w:t>(</w:t>
      </w:r>
      <w:proofErr w:type="gramEnd"/>
      <w:r w:rsidRPr="00BE5478">
        <w:rPr>
          <w:lang w:val="en-GB"/>
        </w:rPr>
        <w:t>ranking in 1910, ranking in 1909)</w:t>
      </w:r>
    </w:p>
    <w:p w:rsidR="00BC0AA6" w:rsidRPr="00BE5478" w:rsidRDefault="00BC0AA6" w:rsidP="00A63345">
      <w:pPr>
        <w:ind w:left="748"/>
        <w:rPr>
          <w:lang w:val="en-GB"/>
        </w:rPr>
      </w:pPr>
      <w:r w:rsidRPr="00BE5478">
        <w:rPr>
          <w:i/>
          <w:lang w:val="en-GB"/>
        </w:rPr>
        <w:t>V</w:t>
      </w:r>
      <w:r w:rsidRPr="00BE5478">
        <w:rPr>
          <w:vertAlign w:val="subscript"/>
          <w:lang w:val="en-GB"/>
        </w:rPr>
        <w:t>1911</w:t>
      </w:r>
      <w:r w:rsidRPr="00BE5478">
        <w:rPr>
          <w:lang w:val="en-GB"/>
        </w:rPr>
        <w:t xml:space="preserve"> = 1-</w:t>
      </w:r>
      <w:proofErr w:type="gramStart"/>
      <w:r w:rsidRPr="00BE5478">
        <w:rPr>
          <w:i/>
          <w:lang w:val="en-GB"/>
        </w:rPr>
        <w:t>ρ</w:t>
      </w:r>
      <w:r w:rsidRPr="00BE5478">
        <w:rPr>
          <w:lang w:val="en-GB"/>
        </w:rPr>
        <w:t>(</w:t>
      </w:r>
      <w:proofErr w:type="gramEnd"/>
      <w:r w:rsidRPr="00BE5478">
        <w:rPr>
          <w:lang w:val="en-GB"/>
        </w:rPr>
        <w:t>ranking in 1911, ranking in 1910)</w:t>
      </w:r>
    </w:p>
    <w:p w:rsidR="00BC0AA6" w:rsidRPr="00BE5478" w:rsidRDefault="00BC0AA6" w:rsidP="00A63345">
      <w:pPr>
        <w:ind w:left="748"/>
        <w:rPr>
          <w:lang w:val="en-GB"/>
        </w:rPr>
      </w:pPr>
      <w:r w:rsidRPr="00BE5478">
        <w:rPr>
          <w:rFonts w:ascii="Cambria Math" w:hAnsi="Cambria Math" w:cs="Cambria Math"/>
          <w:lang w:val="en-GB"/>
        </w:rPr>
        <w:t>⋮</w:t>
      </w:r>
    </w:p>
    <w:p w:rsidR="00BC0AA6" w:rsidRPr="00141359" w:rsidRDefault="00BC0AA6" w:rsidP="00A63345">
      <w:pPr>
        <w:ind w:left="748"/>
        <w:rPr>
          <w:lang w:val="en-GB"/>
        </w:rPr>
      </w:pPr>
      <w:r w:rsidRPr="00BE5478">
        <w:rPr>
          <w:i/>
          <w:lang w:val="en-GB"/>
        </w:rPr>
        <w:t>V</w:t>
      </w:r>
      <w:r w:rsidRPr="00BE5478">
        <w:rPr>
          <w:vertAlign w:val="subscript"/>
          <w:lang w:val="en-GB"/>
        </w:rPr>
        <w:t>2010</w:t>
      </w:r>
      <w:r w:rsidRPr="00BE5478">
        <w:rPr>
          <w:lang w:val="en-GB"/>
        </w:rPr>
        <w:t xml:space="preserve"> = 1-</w:t>
      </w:r>
      <w:proofErr w:type="gramStart"/>
      <w:r w:rsidRPr="00BE5478">
        <w:rPr>
          <w:i/>
          <w:lang w:val="en-GB"/>
        </w:rPr>
        <w:t>ρ</w:t>
      </w:r>
      <w:r w:rsidRPr="00BE5478">
        <w:rPr>
          <w:lang w:val="en-GB"/>
        </w:rPr>
        <w:t>(</w:t>
      </w:r>
      <w:proofErr w:type="gramEnd"/>
      <w:r w:rsidRPr="00BE5478">
        <w:rPr>
          <w:lang w:val="en-GB"/>
        </w:rPr>
        <w:t>ranking in 2010, ranking in 2009)</w:t>
      </w:r>
    </w:p>
    <w:p w:rsidR="00BC0AA6" w:rsidRPr="00141359" w:rsidRDefault="00FE4F61" w:rsidP="00B72291">
      <w:pPr>
        <w:pStyle w:val="Heading3"/>
        <w:rPr>
          <w:lang w:val="en-GB"/>
        </w:rPr>
      </w:pPr>
      <w:bookmarkStart w:id="24" w:name="_Toc417646754"/>
      <w:r>
        <w:rPr>
          <w:lang w:val="en-GB"/>
        </w:rPr>
        <w:lastRenderedPageBreak/>
        <w:t>Statistical Analyses</w:t>
      </w:r>
      <w:bookmarkEnd w:id="24"/>
    </w:p>
    <w:p w:rsidR="00BC0AA6" w:rsidRPr="00141359" w:rsidRDefault="00BC0AA6" w:rsidP="00B72291">
      <w:pPr>
        <w:rPr>
          <w:lang w:val="en-GB"/>
        </w:rPr>
      </w:pPr>
      <w:r w:rsidRPr="00141359">
        <w:rPr>
          <w:lang w:val="en-GB"/>
        </w:rPr>
        <w:t xml:space="preserve">To test if additional data have a significant effect on priorities, we tested whether the 5% confidence limit (5% CL) about the median of </w:t>
      </w:r>
      <w:r w:rsidRPr="00141359">
        <w:rPr>
          <w:i/>
          <w:lang w:val="en-GB"/>
        </w:rPr>
        <w:t>V</w:t>
      </w:r>
      <w:r w:rsidRPr="00141359">
        <w:rPr>
          <w:lang w:val="en-GB"/>
        </w:rPr>
        <w:t xml:space="preserve"> contained zero. To calculate the 5% CL, we used bias-corrected accelerated bootstrapping from 10 000 samples of the same size as the original sample (usually 101 data points, one from each year within 1910</w:t>
      </w:r>
      <w:r>
        <w:rPr>
          <w:lang w:val="en-GB"/>
        </w:rPr>
        <w:t>–</w:t>
      </w:r>
      <w:r w:rsidRPr="00141359">
        <w:rPr>
          <w:lang w:val="en-GB"/>
        </w:rPr>
        <w:t>2010). Bootstrapping was performed in MATLAB r2012b.</w:t>
      </w:r>
    </w:p>
    <w:p w:rsidR="00BC0AA6" w:rsidRPr="00141359" w:rsidRDefault="00BC0AA6" w:rsidP="00B72291">
      <w:pPr>
        <w:ind w:firstLine="720"/>
        <w:rPr>
          <w:lang w:val="en-GB"/>
        </w:rPr>
      </w:pPr>
      <w:r w:rsidRPr="00141359">
        <w:rPr>
          <w:lang w:val="en-GB"/>
        </w:rPr>
        <w:t>We examined trends in priority changes over time or dataset size using ordinary least squares regression. In this dataset, time and log</w:t>
      </w:r>
      <w:r w:rsidRPr="00141359">
        <w:rPr>
          <w:vertAlign w:val="subscript"/>
          <w:lang w:val="en-GB"/>
        </w:rPr>
        <w:t>10</w:t>
      </w:r>
      <w:r w:rsidRPr="00141359">
        <w:rPr>
          <w:lang w:val="en-GB"/>
        </w:rPr>
        <w:t>(dataset size) are highly collinear (R</w:t>
      </w:r>
      <w:r w:rsidRPr="00141359">
        <w:rPr>
          <w:vertAlign w:val="superscript"/>
          <w:lang w:val="en-GB"/>
        </w:rPr>
        <w:t>2</w:t>
      </w:r>
      <w:r w:rsidRPr="00141359">
        <w:rPr>
          <w:lang w:val="en-GB"/>
        </w:rPr>
        <w:t xml:space="preserve"> = 0.99), indicating they cannot be included in the same regression </w:t>
      </w:r>
      <w:r w:rsidR="00F01773" w:rsidRPr="00141359">
        <w:rPr>
          <w:lang w:val="en-GB"/>
        </w:rPr>
        <w:fldChar w:fldCharType="begin" w:fldLock="1"/>
      </w:r>
      <w:r w:rsidR="00B32474">
        <w:rPr>
          <w:lang w:val="en-GB"/>
        </w:rPr>
        <w:instrText>ADDIN CSL_CITATION { "citationItems" : [ { "id" : "ITEM-1", "itemData" : { "ISBN" : "0521811287", "author" : [ { "dropping-particle" : "", "family" : "Quinn", "given" : "Gerald Peter", "non-dropping-particle" : "", "parse-names" : false, "suffix" : "" }, { "dropping-particle" : "", "family" : "Keough", "given" : "Michael J", "non-dropping-particle" : "", "parse-names" : false, "suffix" : "" } ], "id" : "ITEM-1", "issued" : { "date-parts" : [ [ "2002" ] ] }, "publisher" : "Cambridge University Press", "publisher-place" : "New York", "title" : "Experimental design and analysis for biologists", "type" : "book" }, "uris" : [ "http://www.mendeley.com/documents/?uuid=70ddcd2c-5bdb-4f94-ae01-865b19802808" ] } ], "mendeley" : { "formattedCitation" : "(Quinn &amp; Keough 2002)", "plainTextFormattedCitation" : "(Quinn &amp; Keough 2002)", "previouslyFormattedCitation" : "(Quinn &amp; Keough 2002)" }, "properties" : { "noteIndex" : 0 }, "schema" : "https://github.com/citation-style-language/schema/raw/master/csl-citation.json" }</w:instrText>
      </w:r>
      <w:r w:rsidR="00F01773" w:rsidRPr="00141359">
        <w:rPr>
          <w:lang w:val="en-GB"/>
        </w:rPr>
        <w:fldChar w:fldCharType="separate"/>
      </w:r>
      <w:r w:rsidRPr="00141359">
        <w:rPr>
          <w:noProof/>
          <w:lang w:val="en-GB"/>
        </w:rPr>
        <w:t>(Quinn &amp; Keough 2002)</w:t>
      </w:r>
      <w:r w:rsidR="00F01773" w:rsidRPr="00141359">
        <w:rPr>
          <w:lang w:val="en-GB"/>
        </w:rPr>
        <w:fldChar w:fldCharType="end"/>
      </w:r>
      <w:r w:rsidRPr="00141359">
        <w:rPr>
          <w:lang w:val="en-GB"/>
        </w:rPr>
        <w:t xml:space="preserve">. Therefore, we </w:t>
      </w:r>
      <w:proofErr w:type="gramStart"/>
      <w:r w:rsidRPr="00141359">
        <w:rPr>
          <w:lang w:val="en-GB"/>
        </w:rPr>
        <w:t>regressed</w:t>
      </w:r>
      <w:proofErr w:type="gramEnd"/>
      <w:r w:rsidRPr="00141359">
        <w:rPr>
          <w:lang w:val="en-GB"/>
        </w:rPr>
        <w:t xml:space="preserve"> priority changes against time and dataset size separately. Due to the similarity of results when regressing against time or dataset size, we focus on regressions in time in the main text (but see </w:t>
      </w:r>
      <w:r w:rsidR="00F01773">
        <w:rPr>
          <w:lang w:val="en-GB"/>
        </w:rPr>
        <w:fldChar w:fldCharType="begin"/>
      </w:r>
      <w:r w:rsidR="00BE11D6">
        <w:rPr>
          <w:lang w:val="en-GB"/>
        </w:rPr>
        <w:instrText xml:space="preserve"> REF _Ref417400800 \h </w:instrText>
      </w:r>
      <w:r w:rsidR="00F01773">
        <w:rPr>
          <w:lang w:val="en-GB"/>
        </w:rPr>
      </w:r>
      <w:r w:rsidR="00F01773">
        <w:rPr>
          <w:lang w:val="en-GB"/>
        </w:rPr>
        <w:fldChar w:fldCharType="separate"/>
      </w:r>
      <w:r w:rsidR="00867AA7">
        <w:t xml:space="preserve">Table S </w:t>
      </w:r>
      <w:r w:rsidR="00867AA7">
        <w:rPr>
          <w:noProof/>
        </w:rPr>
        <w:t>1</w:t>
      </w:r>
      <w:r w:rsidR="00867AA7">
        <w:t>.</w:t>
      </w:r>
      <w:r w:rsidR="00867AA7">
        <w:rPr>
          <w:noProof/>
        </w:rPr>
        <w:t>3</w:t>
      </w:r>
      <w:r w:rsidR="00F01773">
        <w:rPr>
          <w:lang w:val="en-GB"/>
        </w:rPr>
        <w:fldChar w:fldCharType="end"/>
      </w:r>
      <w:r w:rsidR="00BE11D6">
        <w:rPr>
          <w:lang w:val="en-GB"/>
        </w:rPr>
        <w:t xml:space="preserve"> </w:t>
      </w:r>
      <w:r w:rsidRPr="00141359">
        <w:rPr>
          <w:lang w:val="en-GB"/>
        </w:rPr>
        <w:t>for dataset size results). We expected changes in priorities to decrease as we accumulated data. To confirm this, we tested that the 95% confidence intervals of the slopes of the above regressions are negative.</w:t>
      </w:r>
    </w:p>
    <w:p w:rsidR="00F77805" w:rsidRDefault="00BC0AA6">
      <w:pPr>
        <w:rPr>
          <w:lang w:val="en-GB"/>
        </w:rPr>
      </w:pPr>
      <w:r w:rsidRPr="00141359">
        <w:rPr>
          <w:lang w:val="en-GB"/>
        </w:rPr>
        <w:t xml:space="preserve">For some of the watershed budgets, we observed that the data could be clearly separated into two distinct segments (e.g. </w:t>
      </w:r>
      <w:r w:rsidR="00F01773">
        <w:rPr>
          <w:lang w:val="en-GB"/>
        </w:rPr>
        <w:fldChar w:fldCharType="begin"/>
      </w:r>
      <w:r w:rsidR="00446B59">
        <w:rPr>
          <w:lang w:val="en-GB"/>
        </w:rPr>
        <w:instrText xml:space="preserve"> REF _Ref417397970 \h </w:instrText>
      </w:r>
      <w:r w:rsidR="00F01773">
        <w:rPr>
          <w:lang w:val="en-GB"/>
        </w:rPr>
      </w:r>
      <w:r w:rsidR="00F01773">
        <w:rPr>
          <w:lang w:val="en-GB"/>
        </w:rPr>
        <w:fldChar w:fldCharType="separate"/>
      </w:r>
      <w:r w:rsidR="00867AA7" w:rsidRPr="00FD1EC2">
        <w:t xml:space="preserve">Fig. </w:t>
      </w:r>
      <w:r w:rsidR="00867AA7">
        <w:rPr>
          <w:noProof/>
        </w:rPr>
        <w:t>1</w:t>
      </w:r>
      <w:r w:rsidR="00867AA7">
        <w:t>.</w:t>
      </w:r>
      <w:r w:rsidR="00867AA7">
        <w:rPr>
          <w:noProof/>
        </w:rPr>
        <w:t>3</w:t>
      </w:r>
      <w:r w:rsidR="00F01773">
        <w:rPr>
          <w:lang w:val="en-GB"/>
        </w:rPr>
        <w:fldChar w:fldCharType="end"/>
      </w:r>
      <w:proofErr w:type="spellStart"/>
      <w:r w:rsidR="00446B59">
        <w:rPr>
          <w:lang w:val="en-GB"/>
        </w:rPr>
        <w:t>a</w:t>
      </w:r>
      <w:proofErr w:type="gramStart"/>
      <w:r w:rsidR="00446B59">
        <w:rPr>
          <w:lang w:val="en-GB"/>
        </w:rPr>
        <w:t>,b</w:t>
      </w:r>
      <w:proofErr w:type="spellEnd"/>
      <w:proofErr w:type="gramEnd"/>
      <w:r w:rsidRPr="00141359">
        <w:rPr>
          <w:lang w:val="en-GB"/>
        </w:rPr>
        <w:t xml:space="preserve">). Thus, we created piecewise regressions using the </w:t>
      </w:r>
      <w:r w:rsidRPr="00141359">
        <w:rPr>
          <w:i/>
          <w:iCs/>
          <w:lang w:val="en-GB"/>
        </w:rPr>
        <w:t>segmented</w:t>
      </w:r>
      <w:r w:rsidRPr="00141359">
        <w:rPr>
          <w:lang w:val="en-GB"/>
        </w:rPr>
        <w:t xml:space="preserve"> package in R v2.12.1 to further examine the results </w:t>
      </w:r>
      <w:r w:rsidR="00F01773" w:rsidRPr="00141359">
        <w:rPr>
          <w:lang w:val="en-GB"/>
        </w:rPr>
        <w:fldChar w:fldCharType="begin" w:fldLock="1"/>
      </w:r>
      <w:r w:rsidR="00B32474">
        <w:rPr>
          <w:lang w:val="en-GB"/>
        </w:rPr>
        <w:instrText>ADDIN CSL_CITATION { "citationItems" : [ { "id" : "ITEM-1", "itemData" : { "author" : [ { "dropping-particle" : "", "family" : "Muggeo", "given" : "Vito M R", "non-dropping-particle" : "", "parse-names" : false, "suffix" : "" } ], "container-title" : "R News", "id" : "ITEM-1", "issue" : "1", "issued" : { "date-parts" : [ [ "2008" ] ] }, "page" : "20-25", "title" : "segmented: an R package to fit regression models with broken-line relationships.", "type" : "article-journal", "volume" : "8" }, "uris" : [ "http://www.mendeley.com/documents/?uuid=3ba8b65d-f0ec-41d5-8872-912f721f09e9" ] } ], "mendeley" : { "formattedCitation" : "(Muggeo 2008)", "plainTextFormattedCitation" : "(Muggeo 2008)", "previouslyFormattedCitation" : "(Muggeo 2008)" }, "properties" : { "noteIndex" : 0 }, "schema" : "https://github.com/citation-style-language/schema/raw/master/csl-citation.json" }</w:instrText>
      </w:r>
      <w:r w:rsidR="00F01773" w:rsidRPr="00141359">
        <w:rPr>
          <w:lang w:val="en-GB"/>
        </w:rPr>
        <w:fldChar w:fldCharType="separate"/>
      </w:r>
      <w:r w:rsidRPr="00141359">
        <w:rPr>
          <w:noProof/>
          <w:lang w:val="en-GB"/>
        </w:rPr>
        <w:t>(Muggeo 2008)</w:t>
      </w:r>
      <w:r w:rsidR="00F01773" w:rsidRPr="00141359">
        <w:rPr>
          <w:lang w:val="en-GB"/>
        </w:rPr>
        <w:fldChar w:fldCharType="end"/>
      </w:r>
      <w:r w:rsidRPr="00141359">
        <w:rPr>
          <w:lang w:val="en-GB"/>
        </w:rPr>
        <w:t>.</w:t>
      </w:r>
      <w:r w:rsidRPr="00141359">
        <w:rPr>
          <w:color w:val="00B050"/>
          <w:lang w:val="en-GB"/>
        </w:rPr>
        <w:t xml:space="preserve"> </w:t>
      </w:r>
      <w:r w:rsidRPr="00141359">
        <w:rPr>
          <w:lang w:val="en-GB"/>
        </w:rPr>
        <w:t xml:space="preserve">The piecewise regression optimization is sensitive to initial guesses of breakpoints, so we visually estimated the breakpoints and then used the piecewise model with the convergence closest to our estimations </w:t>
      </w:r>
      <w:r w:rsidR="00F01773" w:rsidRPr="00141359">
        <w:rPr>
          <w:lang w:val="en-GB"/>
        </w:rPr>
        <w:fldChar w:fldCharType="begin" w:fldLock="1"/>
      </w:r>
      <w:r w:rsidR="00B32474">
        <w:rPr>
          <w:lang w:val="en-GB"/>
        </w:rPr>
        <w:instrText>ADDIN CSL_CITATION { "citationItems" : [ { "id" : "ITEM-1", "itemData" : { "author" : [ { "dropping-particle" : "", "family" : "Muggeo", "given" : "Vito M R", "non-dropping-particle" : "", "parse-names" : false, "suffix" : "" } ], "container-title" : "R News", "id" : "ITEM-1", "issue" : "1", "issued" : { "date-parts" : [ [ "2008" ] ] }, "page" : "20-25", "title" : "segmented: an R package to fit regression models with broken-line relationships.", "type" : "article-journal", "volume" : "8" }, "uris" : [ "http://www.mendeley.com/documents/?uuid=3ba8b65d-f0ec-41d5-8872-912f721f09e9" ] } ], "mendeley" : { "formattedCitation" : "(Muggeo 2008)", "plainTextFormattedCitation" : "(Muggeo 2008)", "previouslyFormattedCitation" : "(Muggeo 2008)" }, "properties" : { "noteIndex" : 0 }, "schema" : "https://github.com/citation-style-language/schema/raw/master/csl-citation.json" }</w:instrText>
      </w:r>
      <w:r w:rsidR="00F01773" w:rsidRPr="00141359">
        <w:rPr>
          <w:lang w:val="en-GB"/>
        </w:rPr>
        <w:fldChar w:fldCharType="separate"/>
      </w:r>
      <w:r w:rsidRPr="00141359">
        <w:rPr>
          <w:noProof/>
          <w:lang w:val="en-GB"/>
        </w:rPr>
        <w:t>(Muggeo 2008)</w:t>
      </w:r>
      <w:r w:rsidR="00F01773" w:rsidRPr="00141359">
        <w:rPr>
          <w:lang w:val="en-GB"/>
        </w:rPr>
        <w:fldChar w:fldCharType="end"/>
      </w:r>
      <w:r w:rsidRPr="00141359">
        <w:rPr>
          <w:lang w:val="en-GB"/>
        </w:rPr>
        <w:t>. For each sensitivity test, we tested piecewise models with one or two segments and compared AICc scores to determine which offered the more parsimonious fit to the data. AICc model comparison explicitly considers the trade</w:t>
      </w:r>
      <w:r>
        <w:rPr>
          <w:lang w:val="en-GB"/>
        </w:rPr>
        <w:t>-</w:t>
      </w:r>
      <w:r w:rsidRPr="00141359">
        <w:rPr>
          <w:lang w:val="en-GB"/>
        </w:rPr>
        <w:t xml:space="preserve">off between model fit using maximum likelihood and parsimony through the number of parameters </w:t>
      </w:r>
      <w:r w:rsidR="00F01773" w:rsidRPr="00141359">
        <w:rPr>
          <w:lang w:val="en-GB"/>
        </w:rPr>
        <w:fldChar w:fldCharType="begin" w:fldLock="1"/>
      </w:r>
      <w:r w:rsidR="00B32474">
        <w:rPr>
          <w:lang w:val="en-GB"/>
        </w:rPr>
        <w:instrText>ADDIN CSL_CITATION { "citationItems" : [ { "id" : "ITEM-1", "itemData" : { "PMID" : "16455229", "abstract" : "The high-level language of R is recognized as one of the most powerful and flexible statistical software environments, and is rapidly becoming the standard setting for quantitative analysis, statistics and graphics. R provides free access to unrivalled coverage and cutting-edge applications, enabling the user to apply numerous statistical methods ranging from simple regression to time series or multivariate analysis. Building on the success of the authors bestselling Statistics: An Introduction using R, The R Book is packed with worked examples, providing an all inclusive guide to R, ideal for novice and more accomplished users alike. The book assumes no background in statistics or computing and introduces the advantages of the R environment, detailing its applications in a wide range of disciplines. Provides the first comprehensive reference manual for the R language, including practical guidance and full coverage of the graphics facilities. Introduces all the statistical models covered by R, beginning with simple classical tests such as chi-square and t-test. Proceeds to examine more advance methods, from regression and analysis of variance, through to generalized linear models, generalized mixed models, time series, spatial statistics, multivariate statistics and much more. The R Book is aimed at undergraduates, postgraduates and professionals in science, engineering and medicine. It is also ideal for students and professionals in statistics, economics, geography and the social sciences.", "author" : [ { "dropping-particle" : "", "family" : "Crawley", "given" : "Michael J.", "non-dropping-particle" : "", "parse-names" : false, "suffix" : "" } ], "container-title" : "The R Book", "id" : "ITEM-1", "issued" : { "date-parts" : [ [ "2007" ] ] }, "number-of-pages" : "1-942", "publisher" : "John Wiley &amp; Sons, Ltd", "title" : "The R Book", "type" : "book" }, "uris" : [ "http://www.mendeley.com/documents/?uuid=a12f344b-a680-483f-b1cb-fbbb6d3d7027" ] } ], "mendeley" : { "formattedCitation" : "(Crawley 2007)", "plainTextFormattedCitation" : "(Crawley 2007)", "previouslyFormattedCitation" : "(Crawley 2007)" }, "properties" : { "noteIndex" : 0 }, "schema" : "https://github.com/citation-style-language/schema/raw/master/csl-citation.json" }</w:instrText>
      </w:r>
      <w:r w:rsidR="00F01773" w:rsidRPr="00141359">
        <w:rPr>
          <w:lang w:val="en-GB"/>
        </w:rPr>
        <w:fldChar w:fldCharType="separate"/>
      </w:r>
      <w:r w:rsidRPr="00141359">
        <w:rPr>
          <w:noProof/>
          <w:lang w:val="en-GB"/>
        </w:rPr>
        <w:t>(Crawley 2007)</w:t>
      </w:r>
      <w:r w:rsidR="00F01773" w:rsidRPr="00141359">
        <w:rPr>
          <w:lang w:val="en-GB"/>
        </w:rPr>
        <w:fldChar w:fldCharType="end"/>
      </w:r>
      <w:r w:rsidRPr="00141359">
        <w:rPr>
          <w:lang w:val="en-GB"/>
        </w:rPr>
        <w:t>.</w:t>
      </w:r>
    </w:p>
    <w:p w:rsidR="00BC0AA6" w:rsidRPr="00141359" w:rsidRDefault="00BC0AA6" w:rsidP="00B72291">
      <w:pPr>
        <w:ind w:firstLine="720"/>
        <w:rPr>
          <w:lang w:val="en-GB"/>
        </w:rPr>
      </w:pPr>
      <w:r w:rsidRPr="00141359">
        <w:rPr>
          <w:lang w:val="en-GB"/>
        </w:rPr>
        <w:t xml:space="preserve">We also wanted to know if changes in priorities might be sustained over the near future. This was primarily determined by interpolating the predicted value of </w:t>
      </w:r>
      <w:r w:rsidRPr="00141359">
        <w:rPr>
          <w:i/>
          <w:lang w:val="en-GB"/>
        </w:rPr>
        <w:t>V</w:t>
      </w:r>
      <w:r w:rsidRPr="00141359">
        <w:rPr>
          <w:lang w:val="en-GB"/>
        </w:rPr>
        <w:t xml:space="preserve"> and its 5% significance in 2010 using the one or two-segment model chosen by AICc competition. We also extrapolated to 2030 to assess a more distant level of change if current conditions hold.</w:t>
      </w:r>
      <w:r w:rsidR="009937E0" w:rsidRPr="009937E0">
        <w:rPr>
          <w:lang w:val="en-GB"/>
        </w:rPr>
        <w:t xml:space="preserve"> </w:t>
      </w:r>
    </w:p>
    <w:p w:rsidR="00BC0AA6" w:rsidRPr="00141359" w:rsidRDefault="00BC0AA6" w:rsidP="00B72291">
      <w:pPr>
        <w:pStyle w:val="Heading2"/>
        <w:rPr>
          <w:lang w:val="en-GB"/>
        </w:rPr>
      </w:pPr>
      <w:bookmarkStart w:id="25" w:name="_Toc417646755"/>
      <w:bookmarkStart w:id="26" w:name="_Toc421352865"/>
      <w:r w:rsidRPr="00141359">
        <w:rPr>
          <w:lang w:val="en-GB"/>
        </w:rPr>
        <w:t>Results</w:t>
      </w:r>
      <w:bookmarkEnd w:id="25"/>
      <w:bookmarkEnd w:id="26"/>
    </w:p>
    <w:p w:rsidR="00AD5DC4" w:rsidRDefault="00BC0AA6" w:rsidP="00AD5DC4">
      <w:pPr>
        <w:rPr>
          <w:lang w:val="en-GB"/>
        </w:rPr>
      </w:pPr>
      <w:r w:rsidRPr="00954B92">
        <w:rPr>
          <w:lang w:val="en-GB"/>
        </w:rPr>
        <w:t>We found that spatial conservation priorities</w:t>
      </w:r>
      <w:r>
        <w:rPr>
          <w:lang w:val="en-GB"/>
        </w:rPr>
        <w:t xml:space="preserve"> </w:t>
      </w:r>
      <w:r w:rsidRPr="00954B92">
        <w:rPr>
          <w:lang w:val="en-GB"/>
        </w:rPr>
        <w:t>are</w:t>
      </w:r>
      <w:r>
        <w:rPr>
          <w:lang w:val="en-GB"/>
        </w:rPr>
        <w:t xml:space="preserve"> generally sensitive to additional data and the number of watersheds in which conservation can take place (</w:t>
      </w:r>
      <w:r w:rsidR="00F01773">
        <w:rPr>
          <w:lang w:val="en-GB"/>
        </w:rPr>
        <w:fldChar w:fldCharType="begin"/>
      </w:r>
      <w:r w:rsidR="00423D18">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Pr>
          <w:lang w:val="en-GB"/>
        </w:rPr>
        <w:t>: column 2). We also found that the sensitivity of priorities decreased over time (</w:t>
      </w:r>
      <w:r w:rsidR="00F01773">
        <w:rPr>
          <w:lang w:val="en-GB"/>
        </w:rPr>
        <w:fldChar w:fldCharType="begin"/>
      </w:r>
      <w:r w:rsidR="00423D18">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Pr>
          <w:lang w:val="en-GB"/>
        </w:rPr>
        <w:t>: columns 4</w:t>
      </w:r>
      <w:proofErr w:type="gramStart"/>
      <w:r>
        <w:rPr>
          <w:lang w:val="en-GB"/>
        </w:rPr>
        <w:t>,5</w:t>
      </w:r>
      <w:proofErr w:type="gramEnd"/>
      <w:r>
        <w:rPr>
          <w:lang w:val="en-GB"/>
        </w:rPr>
        <w:t xml:space="preserve">; </w:t>
      </w:r>
      <w:r w:rsidR="00F01773">
        <w:rPr>
          <w:lang w:val="en-GB"/>
        </w:rPr>
        <w:fldChar w:fldCharType="begin"/>
      </w:r>
      <w:r w:rsidR="00A548DA">
        <w:rPr>
          <w:lang w:val="en-GB"/>
        </w:rPr>
        <w:instrText xml:space="preserve"> REF _Ref417397970 \h </w:instrText>
      </w:r>
      <w:r w:rsidR="00F01773">
        <w:rPr>
          <w:lang w:val="en-GB"/>
        </w:rPr>
      </w:r>
      <w:r w:rsidR="00F01773">
        <w:rPr>
          <w:lang w:val="en-GB"/>
        </w:rPr>
        <w:fldChar w:fldCharType="separate"/>
      </w:r>
      <w:r w:rsidR="00867AA7" w:rsidRPr="00FD1EC2">
        <w:t xml:space="preserve">Fig. </w:t>
      </w:r>
      <w:r w:rsidR="00867AA7">
        <w:rPr>
          <w:noProof/>
        </w:rPr>
        <w:t>1</w:t>
      </w:r>
      <w:r w:rsidR="00867AA7">
        <w:t>.</w:t>
      </w:r>
      <w:r w:rsidR="00867AA7">
        <w:rPr>
          <w:noProof/>
        </w:rPr>
        <w:t>3</w:t>
      </w:r>
      <w:r w:rsidR="00F01773">
        <w:rPr>
          <w:lang w:val="en-GB"/>
        </w:rPr>
        <w:fldChar w:fldCharType="end"/>
      </w:r>
      <w:proofErr w:type="spellStart"/>
      <w:r>
        <w:rPr>
          <w:lang w:val="en-GB"/>
        </w:rPr>
        <w:t>a,b</w:t>
      </w:r>
      <w:proofErr w:type="spellEnd"/>
      <w:r>
        <w:rPr>
          <w:lang w:val="en-GB"/>
        </w:rPr>
        <w:t>), but that the trend levelled out after some time and the point at which this occurred depended on the watershed budget (</w:t>
      </w:r>
      <w:r w:rsidR="00F01773">
        <w:rPr>
          <w:lang w:val="en-GB"/>
        </w:rPr>
        <w:fldChar w:fldCharType="begin"/>
      </w:r>
      <w:r w:rsidR="00423D18">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Pr>
          <w:lang w:val="en-GB"/>
        </w:rPr>
        <w:t xml:space="preserve">: columns 4,5,6; </w:t>
      </w:r>
    </w:p>
    <w:p w:rsidR="009937E0" w:rsidRDefault="009937E0" w:rsidP="005004C9">
      <w:pPr>
        <w:ind w:firstLine="720"/>
        <w:rPr>
          <w:lang w:val="en-GB"/>
        </w:rPr>
        <w:sectPr w:rsidR="009937E0" w:rsidSect="00E742FA">
          <w:pgSz w:w="12240" w:h="15840" w:code="1"/>
          <w:pgMar w:top="1440" w:right="1800" w:bottom="1440" w:left="1800" w:header="720" w:footer="1440" w:gutter="0"/>
          <w:cols w:space="720"/>
          <w:noEndnote/>
          <w:docGrid w:linePitch="360"/>
        </w:sectPr>
      </w:pPr>
    </w:p>
    <w:p w:rsidR="009937E0" w:rsidRDefault="00F01773" w:rsidP="009937E0">
      <w:pPr>
        <w:rPr>
          <w:lang w:val="en-GB"/>
        </w:rPr>
        <w:sectPr w:rsidR="009937E0" w:rsidSect="009937E0">
          <w:pgSz w:w="12240" w:h="15840" w:code="1"/>
          <w:pgMar w:top="1440" w:right="1800" w:bottom="1440" w:left="1800" w:header="720" w:footer="1440" w:gutter="0"/>
          <w:cols w:space="720"/>
          <w:vAlign w:val="center"/>
          <w:noEndnote/>
          <w:docGrid w:linePitch="360"/>
        </w:sectPr>
      </w:pPr>
      <w:r w:rsidRPr="00F01773">
        <w:rPr>
          <w:lang w:val="en-GB"/>
        </w:rPr>
      </w:r>
      <w:r>
        <w:rPr>
          <w:lang w:val="en-GB"/>
        </w:rPr>
        <w:pict>
          <v:shape id="_x0000_s1099" type="#_x0000_t202" style="width:439.45pt;height:459pt;mso-position-horizontal-relative:char;mso-position-vertical-relative:line" stroked="f">
            <v:textbox style="mso-next-textbox:#_x0000_s1099">
              <w:txbxContent>
                <w:p w:rsidR="006A45E8" w:rsidRDefault="006A45E8" w:rsidP="009937E0">
                  <w:pPr>
                    <w:keepNext/>
                    <w:jc w:val="center"/>
                  </w:pPr>
                  <w:r>
                    <w:rPr>
                      <w:noProof/>
                    </w:rPr>
                    <w:drawing>
                      <wp:inline distT="0" distB="0" distL="0" distR="0">
                        <wp:extent cx="5095240" cy="3816350"/>
                        <wp:effectExtent l="19050" t="0" r="0" b="0"/>
                        <wp:docPr id="73" name="Picture 41" descr="figur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gure_3"/>
                                <pic:cNvPicPr>
                                  <a:picLocks noChangeAspect="1" noChangeArrowheads="1"/>
                                </pic:cNvPicPr>
                              </pic:nvPicPr>
                              <pic:blipFill>
                                <a:blip r:embed="rId38"/>
                                <a:srcRect/>
                                <a:stretch>
                                  <a:fillRect/>
                                </a:stretch>
                              </pic:blipFill>
                              <pic:spPr bwMode="auto">
                                <a:xfrm>
                                  <a:off x="0" y="0"/>
                                  <a:ext cx="5095240" cy="3816350"/>
                                </a:xfrm>
                                <a:prstGeom prst="rect">
                                  <a:avLst/>
                                </a:prstGeom>
                                <a:noFill/>
                                <a:ln w="9525">
                                  <a:noFill/>
                                  <a:miter lim="800000"/>
                                  <a:headEnd/>
                                  <a:tailEnd/>
                                </a:ln>
                              </pic:spPr>
                            </pic:pic>
                          </a:graphicData>
                        </a:graphic>
                      </wp:inline>
                    </w:drawing>
                  </w:r>
                </w:p>
                <w:p w:rsidR="006A45E8" w:rsidRPr="002B2090" w:rsidRDefault="006A45E8" w:rsidP="009937E0">
                  <w:pPr>
                    <w:pStyle w:val="Caption"/>
                    <w:rPr>
                      <w:vanish/>
                      <w:lang w:val="en-GB"/>
                      <w:specVanish/>
                    </w:rPr>
                  </w:pPr>
                  <w:bookmarkStart w:id="27" w:name="_Ref417397970"/>
                  <w:bookmarkStart w:id="28" w:name="_Toc421352906"/>
                  <w:bookmarkStart w:id="29" w:name="_Toc417647057"/>
                  <w:proofErr w:type="gramStart"/>
                  <w:r w:rsidRPr="00FD1EC2">
                    <w:t>Fig.</w:t>
                  </w:r>
                  <w:proofErr w:type="gramEnd"/>
                  <w:r w:rsidRPr="00FD1EC2">
                    <w:t xml:space="preserve"> </w:t>
                  </w:r>
                  <w:fldSimple w:instr=" STYLEREF 1 \s ">
                    <w:r>
                      <w:rPr>
                        <w:noProof/>
                      </w:rPr>
                      <w:t>1</w:t>
                    </w:r>
                  </w:fldSimple>
                  <w:r>
                    <w:t>.</w:t>
                  </w:r>
                  <w:fldSimple w:instr=" SEQ Fig. \* ARABIC \s 1 ">
                    <w:r>
                      <w:rPr>
                        <w:noProof/>
                      </w:rPr>
                      <w:t>3</w:t>
                    </w:r>
                  </w:fldSimple>
                  <w:bookmarkEnd w:id="27"/>
                  <w:r w:rsidRPr="00FD1EC2">
                    <w:t>. Representative results of ranking watersheds by their frequency in near-optimal solutions to the Maximal Coverage Problem</w:t>
                  </w:r>
                  <w:bookmarkEnd w:id="28"/>
                </w:p>
                <w:p w:rsidR="006A45E8" w:rsidRDefault="006A45E8" w:rsidP="009937E0">
                  <w:pPr>
                    <w:pStyle w:val="Caption"/>
                  </w:pPr>
                  <w:r w:rsidRPr="00FD1EC2">
                    <w:t xml:space="preserve"> </w:t>
                  </w:r>
                  <w:r w:rsidRPr="00FD1EC2">
                    <w:fldChar w:fldCharType="begin" w:fldLock="1"/>
                  </w:r>
                  <w:r>
                    <w:instrText>ADDIN CSL_CITATION { "citationItems" : [ { "id" : "ITEM-1", "itemData" : { "abstract" : "Sophisticated computational methods have been developed to help us to identify sets of nature reserves that maximize the representation of regional diversity, but, until recently, the methods have not dealt explicitly and directly with the main goal of reserve networks, that of the long-term maintenance of biodiversity. Furthermore, the successful application of current methods requires reliable information about species distributions, which is not always available. Recent results show that data quality, as well as the choice of surrogates for biodiversity, could be critical for successful reserve design. Because of these problems and a lack of communication between scientists and managers, the impact of computational site-selection tools in applied conservation planning has been minimal.", "author" : [ { "dropping-particle" : "", "family" : "Cabeza", "given" : "Mar", "non-dropping-particle" : "", "parse-names" : false, "suffix" : "" }, { "dropping-particle" : "", "family" : "Moilanen", "given" : "Atte", "non-dropping-particle" : "", "parse-names" : false, "suffix" : "" } ], "container-title" : "Trends in Ecology &amp; Evolution", "id" : "ITEM-1", "issue" : "5", "issued" : { "date-parts" : [ [ "2001" ] ] }, "page" : "242-248", "publisher" : "Elsevier", "title" : "Design of reserve networks and the persistence of biodiversity", "type" : "article-journal", "volume" : "16" }, "prefix" : "MCP;", "uris" : [ "http://www.mendeley.com/documents/?uuid=ab8a5e45-f8f9-4746-8596-9eff172e9d9e" ] } ], "mendeley" : { "formattedCitation" : "(MCP; Cabeza &amp; Moilanen 2001)", "plainTextFormattedCitation" : "(MCP; Cabeza &amp; Moilanen 2001)", "previouslyFormattedCitation" : "(MCP; Cabeza &amp; Moilanen 2001)" }, "properties" : { "noteIndex" : 0 }, "schema" : "https://github.com/citation-style-language/schema/raw/master/csl-citation.json" }</w:instrText>
                  </w:r>
                  <w:r w:rsidRPr="00FD1EC2">
                    <w:fldChar w:fldCharType="separate"/>
                  </w:r>
                  <w:proofErr w:type="gramStart"/>
                  <w:r w:rsidRPr="00FD1EC2">
                    <w:rPr>
                      <w:noProof/>
                    </w:rPr>
                    <w:t>(MCP; Cabeza &amp; Moilanen 2001)</w:t>
                  </w:r>
                  <w:r w:rsidRPr="00FD1EC2">
                    <w:fldChar w:fldCharType="end"/>
                  </w:r>
                  <w:r w:rsidRPr="00FD1EC2">
                    <w:t>.</w:t>
                  </w:r>
                  <w:proofErr w:type="gramEnd"/>
                  <w:r w:rsidRPr="00FD1EC2">
                    <w:t xml:space="preserve"> Solutions to the MCP choose a fixed subset of all watersheds that maximally cover known species. Conservation priorities are sensitive to additional data, but that sensitivity declines with a smaller watershed budget and over time and eventually levels out. Panels (a) and (c) correspond to rankings created by choosing 20 watersheds to solve the MCP; panels (b) and (d) correspond to a 70-watershed solution. (a), (b) effect of one year of additional element occurrences, from 1910 to 2010. (c), (d) range of species covered by solutions to the MCP. Bottoms and tops of vertical, lower, black bars are minimum and maximum number of species covered by solutions to the MCP. Horizontal, higher grey bars are the number of species with at lea</w:t>
                  </w:r>
                  <w:r>
                    <w:t>st one occurrence by that year.</w:t>
                  </w:r>
                  <w:bookmarkEnd w:id="29"/>
                </w:p>
              </w:txbxContent>
            </v:textbox>
            <w10:wrap type="none" anchorx="margin" anchory="margin"/>
            <w10:anchorlock/>
          </v:shape>
        </w:pict>
      </w:r>
    </w:p>
    <w:p w:rsidR="00AD5DC4" w:rsidRDefault="00F01773" w:rsidP="00AD5DC4">
      <w:r>
        <w:rPr>
          <w:lang w:val="en-GB"/>
        </w:rPr>
        <w:lastRenderedPageBreak/>
        <w:fldChar w:fldCharType="begin"/>
      </w:r>
      <w:r w:rsidR="00AD5DC4">
        <w:rPr>
          <w:lang w:val="en-GB"/>
        </w:rPr>
        <w:instrText xml:space="preserve"> REF _Ref417397970 \h </w:instrText>
      </w:r>
      <w:r>
        <w:rPr>
          <w:lang w:val="en-GB"/>
        </w:rPr>
      </w:r>
      <w:r>
        <w:rPr>
          <w:lang w:val="en-GB"/>
        </w:rPr>
        <w:fldChar w:fldCharType="separate"/>
      </w:r>
      <w:r w:rsidR="00867AA7" w:rsidRPr="00FD1EC2">
        <w:t xml:space="preserve">Fig. </w:t>
      </w:r>
      <w:r w:rsidR="00867AA7">
        <w:rPr>
          <w:noProof/>
        </w:rPr>
        <w:t>1</w:t>
      </w:r>
      <w:r w:rsidR="00867AA7">
        <w:t>.</w:t>
      </w:r>
      <w:r w:rsidR="00867AA7">
        <w:rPr>
          <w:noProof/>
        </w:rPr>
        <w:t>3</w:t>
      </w:r>
      <w:r>
        <w:rPr>
          <w:lang w:val="en-GB"/>
        </w:rPr>
        <w:fldChar w:fldCharType="end"/>
      </w:r>
      <w:proofErr w:type="spellStart"/>
      <w:r w:rsidR="00AD5DC4">
        <w:rPr>
          <w:lang w:val="en-GB"/>
        </w:rPr>
        <w:t>a</w:t>
      </w:r>
      <w:proofErr w:type="gramStart"/>
      <w:r w:rsidR="00AD5DC4">
        <w:rPr>
          <w:lang w:val="en-GB"/>
        </w:rPr>
        <w:t>,</w:t>
      </w:r>
      <w:proofErr w:type="gramEnd"/>
      <w:r w:rsidR="00AD5DC4">
        <w:rPr>
          <w:lang w:val="en-GB"/>
        </w:rPr>
        <w:t>b</w:t>
      </w:r>
      <w:proofErr w:type="spellEnd"/>
      <w:r w:rsidR="00AD5DC4">
        <w:rPr>
          <w:lang w:val="en-GB"/>
        </w:rPr>
        <w:t>). Finally, we found that additional data may continue to affect priorities in the future if current collection conditions hold (</w:t>
      </w:r>
      <w:r>
        <w:rPr>
          <w:lang w:val="en-GB"/>
        </w:rPr>
        <w:fldChar w:fldCharType="begin"/>
      </w:r>
      <w:r w:rsidR="00AD5DC4">
        <w:rPr>
          <w:lang w:val="en-GB"/>
        </w:rPr>
        <w:instrText xml:space="preserve"> REF _Ref417398305 \h </w:instrText>
      </w:r>
      <w:r>
        <w:rPr>
          <w:lang w:val="en-GB"/>
        </w:rPr>
      </w:r>
      <w:r>
        <w:rPr>
          <w:lang w:val="en-GB"/>
        </w:rPr>
        <w:fldChar w:fldCharType="separate"/>
      </w:r>
      <w:r w:rsidR="00867AA7">
        <w:t xml:space="preserve">Table </w:t>
      </w:r>
      <w:r w:rsidR="00867AA7">
        <w:rPr>
          <w:noProof/>
        </w:rPr>
        <w:t>1</w:t>
      </w:r>
      <w:r w:rsidR="00867AA7">
        <w:t>.</w:t>
      </w:r>
      <w:r w:rsidR="00867AA7">
        <w:rPr>
          <w:noProof/>
        </w:rPr>
        <w:t>1</w:t>
      </w:r>
      <w:r>
        <w:rPr>
          <w:lang w:val="en-GB"/>
        </w:rPr>
        <w:fldChar w:fldCharType="end"/>
      </w:r>
      <w:r w:rsidR="00AD5DC4">
        <w:rPr>
          <w:lang w:val="en-GB"/>
        </w:rPr>
        <w:t>: columns 9</w:t>
      </w:r>
      <w:proofErr w:type="gramStart"/>
      <w:r w:rsidR="00AD5DC4">
        <w:rPr>
          <w:lang w:val="en-GB"/>
        </w:rPr>
        <w:t>,10</w:t>
      </w:r>
      <w:proofErr w:type="gramEnd"/>
      <w:r w:rsidR="00AD5DC4">
        <w:rPr>
          <w:lang w:val="en-GB"/>
        </w:rPr>
        <w:t>).</w:t>
      </w:r>
      <w:r w:rsidR="00AD5DC4" w:rsidRPr="00141359">
        <w:rPr>
          <w:lang w:val="en-GB"/>
        </w:rPr>
        <w:t xml:space="preserve"> </w:t>
      </w:r>
    </w:p>
    <w:p w:rsidR="005004C9" w:rsidRPr="00141359" w:rsidRDefault="00AD5DC4" w:rsidP="00AD5DC4">
      <w:pPr>
        <w:ind w:firstLine="720"/>
        <w:rPr>
          <w:lang w:val="en-GB"/>
        </w:rPr>
      </w:pPr>
      <w:r w:rsidRPr="00141359">
        <w:rPr>
          <w:lang w:val="en-GB"/>
        </w:rPr>
        <w:t xml:space="preserve">Taking two exemplar budgets from those shown in </w:t>
      </w:r>
      <w:r w:rsidR="00F01773">
        <w:rPr>
          <w:lang w:val="en-GB"/>
        </w:rPr>
        <w:fldChar w:fldCharType="begin"/>
      </w:r>
      <w:r>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Pr="00141359">
        <w:rPr>
          <w:lang w:val="en-GB"/>
        </w:rPr>
        <w:t xml:space="preserve"> for illustrative purposes (20 watersheds and 70 watersheds), </w:t>
      </w:r>
      <w:r w:rsidR="00F01773">
        <w:rPr>
          <w:lang w:val="en-GB"/>
        </w:rPr>
        <w:fldChar w:fldCharType="begin"/>
      </w:r>
      <w:r>
        <w:rPr>
          <w:lang w:val="en-GB"/>
        </w:rPr>
        <w:instrText xml:space="preserve"> REF _Ref417397970 \h </w:instrText>
      </w:r>
      <w:r w:rsidR="00F01773">
        <w:rPr>
          <w:lang w:val="en-GB"/>
        </w:rPr>
      </w:r>
      <w:r w:rsidR="00F01773">
        <w:rPr>
          <w:lang w:val="en-GB"/>
        </w:rPr>
        <w:fldChar w:fldCharType="separate"/>
      </w:r>
      <w:r w:rsidR="00867AA7" w:rsidRPr="00FD1EC2">
        <w:t xml:space="preserve">Fig. </w:t>
      </w:r>
      <w:r w:rsidR="00867AA7">
        <w:rPr>
          <w:noProof/>
        </w:rPr>
        <w:t>1</w:t>
      </w:r>
      <w:r w:rsidR="00867AA7">
        <w:t>.</w:t>
      </w:r>
      <w:r w:rsidR="00867AA7">
        <w:rPr>
          <w:noProof/>
        </w:rPr>
        <w:t>3</w:t>
      </w:r>
      <w:r w:rsidR="00F01773">
        <w:rPr>
          <w:lang w:val="en-GB"/>
        </w:rPr>
        <w:fldChar w:fldCharType="end"/>
      </w:r>
      <w:proofErr w:type="spellStart"/>
      <w:r w:rsidRPr="00141359">
        <w:rPr>
          <w:lang w:val="en-GB"/>
        </w:rPr>
        <w:t>a,b</w:t>
      </w:r>
      <w:proofErr w:type="spellEnd"/>
      <w:r w:rsidRPr="00141359">
        <w:rPr>
          <w:lang w:val="en-GB"/>
        </w:rPr>
        <w:t xml:space="preserve"> illustrates the magnitude of change in priorities over time and Fig. 3c,d shows the number of species covered over time indicating the performance of the conservation planning process (see also </w:t>
      </w:r>
      <w:r w:rsidR="00F01773">
        <w:rPr>
          <w:lang w:val="en-GB"/>
        </w:rPr>
        <w:fldChar w:fldCharType="begin"/>
      </w:r>
      <w:r>
        <w:rPr>
          <w:lang w:val="en-GB"/>
        </w:rPr>
        <w:instrText xml:space="preserve"> REF _Ref417401029 \h </w:instrText>
      </w:r>
      <w:r w:rsidR="00F01773">
        <w:rPr>
          <w:lang w:val="en-GB"/>
        </w:rPr>
      </w:r>
      <w:r w:rsidR="00F01773">
        <w:rPr>
          <w:lang w:val="en-GB"/>
        </w:rPr>
        <w:fldChar w:fldCharType="separate"/>
      </w:r>
      <w:r w:rsidR="00867AA7">
        <w:t xml:space="preserve">Fig. S </w:t>
      </w:r>
      <w:r w:rsidR="00867AA7">
        <w:rPr>
          <w:noProof/>
        </w:rPr>
        <w:t>1</w:t>
      </w:r>
      <w:r w:rsidR="00867AA7">
        <w:t>.</w:t>
      </w:r>
      <w:r w:rsidR="00867AA7">
        <w:rPr>
          <w:noProof/>
        </w:rPr>
        <w:t>3</w:t>
      </w:r>
      <w:r w:rsidR="00F01773">
        <w:rPr>
          <w:lang w:val="en-GB"/>
        </w:rPr>
        <w:fldChar w:fldCharType="end"/>
      </w:r>
      <w:r w:rsidRPr="00141359">
        <w:rPr>
          <w:lang w:val="en-GB"/>
        </w:rPr>
        <w:t>).</w:t>
      </w:r>
      <w:r w:rsidR="005004C9" w:rsidRPr="00141359">
        <w:rPr>
          <w:lang w:val="en-GB"/>
        </w:rPr>
        <w:t xml:space="preserve">In </w:t>
      </w:r>
      <w:r w:rsidR="00F01773">
        <w:rPr>
          <w:lang w:val="en-GB"/>
        </w:rPr>
        <w:fldChar w:fldCharType="begin"/>
      </w:r>
      <w:r w:rsidR="00A548DA">
        <w:rPr>
          <w:lang w:val="en-GB"/>
        </w:rPr>
        <w:instrText xml:space="preserve"> REF _Ref417397970 \h </w:instrText>
      </w:r>
      <w:r w:rsidR="00F01773">
        <w:rPr>
          <w:lang w:val="en-GB"/>
        </w:rPr>
      </w:r>
      <w:r w:rsidR="00F01773">
        <w:rPr>
          <w:lang w:val="en-GB"/>
        </w:rPr>
        <w:fldChar w:fldCharType="separate"/>
      </w:r>
      <w:r w:rsidR="00867AA7" w:rsidRPr="00FD1EC2">
        <w:t xml:space="preserve">Fig. </w:t>
      </w:r>
      <w:r w:rsidR="00867AA7">
        <w:rPr>
          <w:noProof/>
        </w:rPr>
        <w:t>1</w:t>
      </w:r>
      <w:r w:rsidR="00867AA7">
        <w:t>.</w:t>
      </w:r>
      <w:r w:rsidR="00867AA7">
        <w:rPr>
          <w:noProof/>
        </w:rPr>
        <w:t>3</w:t>
      </w:r>
      <w:r w:rsidR="00F01773">
        <w:rPr>
          <w:lang w:val="en-GB"/>
        </w:rPr>
        <w:fldChar w:fldCharType="end"/>
      </w:r>
      <w:proofErr w:type="spellStart"/>
      <w:r w:rsidR="005004C9" w:rsidRPr="00141359">
        <w:rPr>
          <w:lang w:val="en-GB"/>
        </w:rPr>
        <w:t>c,d</w:t>
      </w:r>
      <w:proofErr w:type="spellEnd"/>
      <w:r w:rsidR="005004C9" w:rsidRPr="00141359">
        <w:rPr>
          <w:lang w:val="en-GB"/>
        </w:rPr>
        <w:t>, the lower set of vertical, black bars shows the numbers of species covered by solutions to the MCP over time. Compare this to the higher, horizontal, gr</w:t>
      </w:r>
      <w:r w:rsidR="005004C9">
        <w:rPr>
          <w:lang w:val="en-GB"/>
        </w:rPr>
        <w:t>e</w:t>
      </w:r>
      <w:r w:rsidR="005004C9" w:rsidRPr="00141359">
        <w:rPr>
          <w:lang w:val="en-GB"/>
        </w:rPr>
        <w:t xml:space="preserve">y bars, which show how many species were known to occur in Tennessee in that year. The height of the lower bars relative to the higher bars shows how well the prioritization performed in each year. </w:t>
      </w:r>
      <w:r w:rsidR="005004C9">
        <w:rPr>
          <w:lang w:val="en-GB"/>
        </w:rPr>
        <w:t>A c</w:t>
      </w:r>
      <w:r w:rsidR="005004C9" w:rsidRPr="00141359">
        <w:rPr>
          <w:lang w:val="en-GB"/>
        </w:rPr>
        <w:t>ompari</w:t>
      </w:r>
      <w:r w:rsidR="005004C9">
        <w:rPr>
          <w:lang w:val="en-GB"/>
        </w:rPr>
        <w:t>son between</w:t>
      </w:r>
      <w:r w:rsidR="005004C9" w:rsidRPr="00141359">
        <w:rPr>
          <w:lang w:val="en-GB"/>
        </w:rPr>
        <w:t xml:space="preserve"> </w:t>
      </w:r>
      <w:r w:rsidR="00F01773">
        <w:rPr>
          <w:lang w:val="en-GB"/>
        </w:rPr>
        <w:fldChar w:fldCharType="begin"/>
      </w:r>
      <w:r w:rsidR="00883C8C">
        <w:rPr>
          <w:lang w:val="en-GB"/>
        </w:rPr>
        <w:instrText xml:space="preserve"> REF _Ref417397970 \h </w:instrText>
      </w:r>
      <w:r w:rsidR="00F01773">
        <w:rPr>
          <w:lang w:val="en-GB"/>
        </w:rPr>
      </w:r>
      <w:r w:rsidR="00F01773">
        <w:rPr>
          <w:lang w:val="en-GB"/>
        </w:rPr>
        <w:fldChar w:fldCharType="separate"/>
      </w:r>
      <w:r w:rsidR="00867AA7" w:rsidRPr="00FD1EC2">
        <w:t xml:space="preserve">Fig. </w:t>
      </w:r>
      <w:r w:rsidR="00867AA7">
        <w:rPr>
          <w:noProof/>
        </w:rPr>
        <w:t>1</w:t>
      </w:r>
      <w:r w:rsidR="00867AA7">
        <w:t>.</w:t>
      </w:r>
      <w:r w:rsidR="00867AA7">
        <w:rPr>
          <w:noProof/>
        </w:rPr>
        <w:t>3</w:t>
      </w:r>
      <w:r w:rsidR="00F01773">
        <w:rPr>
          <w:lang w:val="en-GB"/>
        </w:rPr>
        <w:fldChar w:fldCharType="end"/>
      </w:r>
      <w:proofErr w:type="spellStart"/>
      <w:r w:rsidR="005004C9" w:rsidRPr="00141359">
        <w:rPr>
          <w:lang w:val="en-GB"/>
        </w:rPr>
        <w:t>c</w:t>
      </w:r>
      <w:proofErr w:type="gramStart"/>
      <w:r w:rsidR="00883C8C">
        <w:rPr>
          <w:lang w:val="en-GB"/>
        </w:rPr>
        <w:t>,</w:t>
      </w:r>
      <w:r w:rsidR="005004C9" w:rsidRPr="00141359">
        <w:rPr>
          <w:lang w:val="en-GB"/>
        </w:rPr>
        <w:t>d</w:t>
      </w:r>
      <w:proofErr w:type="spellEnd"/>
      <w:proofErr w:type="gramEnd"/>
      <w:r w:rsidR="005004C9" w:rsidRPr="00141359">
        <w:rPr>
          <w:lang w:val="en-GB"/>
        </w:rPr>
        <w:t xml:space="preserve"> shows that a watershed budget of 70 led to greater coverage of known species than using a lower budget of 20 watersheds. We also assess the performance of prioritizations relative to the full dataset in </w:t>
      </w:r>
      <w:r w:rsidR="00F01773">
        <w:rPr>
          <w:lang w:val="en-GB"/>
        </w:rPr>
        <w:fldChar w:fldCharType="begin"/>
      </w:r>
      <w:r w:rsidR="004B3888">
        <w:rPr>
          <w:lang w:val="en-GB"/>
        </w:rPr>
        <w:instrText xml:space="preserve"> REF _Ref417401029 \h </w:instrText>
      </w:r>
      <w:r w:rsidR="00F01773">
        <w:rPr>
          <w:lang w:val="en-GB"/>
        </w:rPr>
      </w:r>
      <w:r w:rsidR="00F01773">
        <w:rPr>
          <w:lang w:val="en-GB"/>
        </w:rPr>
        <w:fldChar w:fldCharType="separate"/>
      </w:r>
      <w:r w:rsidR="00867AA7">
        <w:t xml:space="preserve">Fig. S </w:t>
      </w:r>
      <w:r w:rsidR="00867AA7">
        <w:rPr>
          <w:noProof/>
        </w:rPr>
        <w:t>1</w:t>
      </w:r>
      <w:r w:rsidR="00867AA7">
        <w:t>.</w:t>
      </w:r>
      <w:r w:rsidR="00867AA7">
        <w:rPr>
          <w:noProof/>
        </w:rPr>
        <w:t>3</w:t>
      </w:r>
      <w:r w:rsidR="00F01773">
        <w:rPr>
          <w:lang w:val="en-GB"/>
        </w:rPr>
        <w:fldChar w:fldCharType="end"/>
      </w:r>
      <w:r w:rsidR="005004C9" w:rsidRPr="00141359">
        <w:rPr>
          <w:lang w:val="en-GB"/>
        </w:rPr>
        <w:t>.</w:t>
      </w:r>
    </w:p>
    <w:p w:rsidR="009937E0" w:rsidRPr="00141359" w:rsidRDefault="009937E0" w:rsidP="009937E0">
      <w:pPr>
        <w:ind w:firstLine="720"/>
        <w:rPr>
          <w:lang w:val="en-GB"/>
        </w:rPr>
      </w:pPr>
      <w:r w:rsidRPr="00141359">
        <w:rPr>
          <w:lang w:val="en-GB"/>
        </w:rPr>
        <w:t>In the first part of our analysis, we wanted to know if, in general, one year of additional EOs affects conservation priorities. Provided more than one watershed is being considered for conservation action, we found that one year of additional EOs significantly changed the ranking of watersheds (</w:t>
      </w:r>
      <w:r w:rsidR="00F01773">
        <w:rPr>
          <w:lang w:val="en-GB"/>
        </w:rPr>
        <w:fldChar w:fldCharType="begin"/>
      </w:r>
      <w:r>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Pr="00141359">
        <w:rPr>
          <w:lang w:val="en-GB"/>
        </w:rPr>
        <w:t xml:space="preserve">: second column). Values in the second column of </w:t>
      </w:r>
      <w:r w:rsidR="00F01773">
        <w:rPr>
          <w:lang w:val="en-GB"/>
        </w:rPr>
        <w:fldChar w:fldCharType="begin"/>
      </w:r>
      <w:r>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Pr="00141359">
        <w:rPr>
          <w:lang w:val="en-GB"/>
        </w:rPr>
        <w:t xml:space="preserve"> reveal the magnitude of overall changes in priorities brought on by additional EOs, with larger values indicating more change per year of additional EOs. Note that the overall magnitude of change brought on by additional EOs increases with the watershed budget (moving down second column in </w:t>
      </w:r>
      <w:r w:rsidR="00F01773">
        <w:rPr>
          <w:lang w:val="en-GB"/>
        </w:rPr>
        <w:fldChar w:fldCharType="begin"/>
      </w:r>
      <w:r>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Pr="00141359">
        <w:rPr>
          <w:lang w:val="en-GB"/>
        </w:rPr>
        <w:t>).</w:t>
      </w:r>
    </w:p>
    <w:p w:rsidR="009937E0" w:rsidRPr="00141359" w:rsidRDefault="009937E0" w:rsidP="009937E0">
      <w:pPr>
        <w:rPr>
          <w:lang w:val="en-GB"/>
        </w:rPr>
      </w:pPr>
      <w:r w:rsidRPr="00141359">
        <w:rPr>
          <w:lang w:val="en-GB"/>
        </w:rPr>
        <w:tab/>
        <w:t>Next, we assessed how changes in priorities changed over time. Changes in priorities over time were pronounced (</w:t>
      </w:r>
      <w:r w:rsidR="00F01773">
        <w:rPr>
          <w:lang w:val="en-GB"/>
        </w:rPr>
        <w:fldChar w:fldCharType="begin"/>
      </w:r>
      <w:r>
        <w:rPr>
          <w:lang w:val="en-GB"/>
        </w:rPr>
        <w:instrText xml:space="preserve"> REF _Ref417397970 \h </w:instrText>
      </w:r>
      <w:r w:rsidR="00F01773">
        <w:rPr>
          <w:lang w:val="en-GB"/>
        </w:rPr>
      </w:r>
      <w:r w:rsidR="00F01773">
        <w:rPr>
          <w:lang w:val="en-GB"/>
        </w:rPr>
        <w:fldChar w:fldCharType="separate"/>
      </w:r>
      <w:r w:rsidR="00867AA7" w:rsidRPr="00FD1EC2">
        <w:t xml:space="preserve">Fig. </w:t>
      </w:r>
      <w:r w:rsidR="00867AA7">
        <w:rPr>
          <w:noProof/>
        </w:rPr>
        <w:t>1</w:t>
      </w:r>
      <w:r w:rsidR="00867AA7">
        <w:t>.</w:t>
      </w:r>
      <w:r w:rsidR="00867AA7">
        <w:rPr>
          <w:noProof/>
        </w:rPr>
        <w:t>3</w:t>
      </w:r>
      <w:r w:rsidR="00F01773">
        <w:rPr>
          <w:lang w:val="en-GB"/>
        </w:rPr>
        <w:fldChar w:fldCharType="end"/>
      </w:r>
      <w:proofErr w:type="spellStart"/>
      <w:r w:rsidRPr="00141359">
        <w:rPr>
          <w:lang w:val="en-GB"/>
        </w:rPr>
        <w:t>a</w:t>
      </w:r>
      <w:proofErr w:type="gramStart"/>
      <w:r w:rsidRPr="00141359">
        <w:rPr>
          <w:lang w:val="en-GB"/>
        </w:rPr>
        <w:t>,b</w:t>
      </w:r>
      <w:proofErr w:type="spellEnd"/>
      <w:proofErr w:type="gramEnd"/>
      <w:r w:rsidRPr="00141359">
        <w:rPr>
          <w:lang w:val="en-GB"/>
        </w:rPr>
        <w:t xml:space="preserve">, </w:t>
      </w:r>
      <w:r w:rsidR="00F01773">
        <w:rPr>
          <w:lang w:val="en-GB"/>
        </w:rPr>
        <w:fldChar w:fldCharType="begin"/>
      </w:r>
      <w:r>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Pr="00141359">
        <w:rPr>
          <w:lang w:val="en-GB"/>
        </w:rPr>
        <w:t xml:space="preserve">, </w:t>
      </w:r>
      <w:r w:rsidR="00F01773">
        <w:rPr>
          <w:lang w:val="en-GB"/>
        </w:rPr>
        <w:fldChar w:fldCharType="begin"/>
      </w:r>
      <w:r>
        <w:rPr>
          <w:lang w:val="en-GB"/>
        </w:rPr>
        <w:instrText xml:space="preserve"> REF _Ref417401055 \h </w:instrText>
      </w:r>
      <w:r w:rsidR="00F01773">
        <w:rPr>
          <w:lang w:val="en-GB"/>
        </w:rPr>
      </w:r>
      <w:r w:rsidR="00F01773">
        <w:rPr>
          <w:lang w:val="en-GB"/>
        </w:rPr>
        <w:fldChar w:fldCharType="separate"/>
      </w:r>
      <w:r w:rsidR="00867AA7">
        <w:t xml:space="preserve">Fig. S </w:t>
      </w:r>
      <w:r w:rsidR="00867AA7">
        <w:rPr>
          <w:noProof/>
        </w:rPr>
        <w:t>1</w:t>
      </w:r>
      <w:r w:rsidR="00867AA7">
        <w:t>.</w:t>
      </w:r>
      <w:r w:rsidR="00867AA7">
        <w:rPr>
          <w:noProof/>
        </w:rPr>
        <w:t>4</w:t>
      </w:r>
      <w:r w:rsidR="00F01773">
        <w:rPr>
          <w:lang w:val="en-GB"/>
        </w:rPr>
        <w:fldChar w:fldCharType="end"/>
      </w:r>
      <w:r w:rsidRPr="00141359">
        <w:rPr>
          <w:lang w:val="en-GB"/>
        </w:rPr>
        <w:t xml:space="preserve"> maps the spatial changes in priorities through time). The exemplar budgets shown in </w:t>
      </w:r>
      <w:r w:rsidR="00F01773">
        <w:rPr>
          <w:lang w:val="en-GB"/>
        </w:rPr>
        <w:fldChar w:fldCharType="begin"/>
      </w:r>
      <w:r>
        <w:rPr>
          <w:lang w:val="en-GB"/>
        </w:rPr>
        <w:instrText xml:space="preserve"> REF _Ref417397970 \h </w:instrText>
      </w:r>
      <w:r w:rsidR="00F01773">
        <w:rPr>
          <w:lang w:val="en-GB"/>
        </w:rPr>
      </w:r>
      <w:r w:rsidR="00F01773">
        <w:rPr>
          <w:lang w:val="en-GB"/>
        </w:rPr>
        <w:fldChar w:fldCharType="separate"/>
      </w:r>
      <w:r w:rsidR="00867AA7" w:rsidRPr="00FD1EC2">
        <w:t xml:space="preserve">Fig. </w:t>
      </w:r>
      <w:r w:rsidR="00867AA7">
        <w:rPr>
          <w:noProof/>
        </w:rPr>
        <w:t>1</w:t>
      </w:r>
      <w:r w:rsidR="00867AA7">
        <w:t>.</w:t>
      </w:r>
      <w:r w:rsidR="00867AA7">
        <w:rPr>
          <w:noProof/>
        </w:rPr>
        <w:t>3</w:t>
      </w:r>
      <w:r w:rsidR="00F01773">
        <w:rPr>
          <w:lang w:val="en-GB"/>
        </w:rPr>
        <w:fldChar w:fldCharType="end"/>
      </w:r>
      <w:proofErr w:type="spellStart"/>
      <w:r w:rsidRPr="00141359">
        <w:rPr>
          <w:lang w:val="en-GB"/>
        </w:rPr>
        <w:t>a</w:t>
      </w:r>
      <w:proofErr w:type="gramStart"/>
      <w:r>
        <w:rPr>
          <w:lang w:val="en-GB"/>
        </w:rPr>
        <w:t>,</w:t>
      </w:r>
      <w:r w:rsidRPr="00141359">
        <w:rPr>
          <w:lang w:val="en-GB"/>
        </w:rPr>
        <w:t>b</w:t>
      </w:r>
      <w:proofErr w:type="spellEnd"/>
      <w:proofErr w:type="gramEnd"/>
      <w:r w:rsidRPr="00141359">
        <w:rPr>
          <w:lang w:val="en-GB"/>
        </w:rPr>
        <w:t xml:space="preserve"> reveal how large changes in priorities near the beginning of the time period are followed by a steep decline </w:t>
      </w:r>
      <w:r>
        <w:rPr>
          <w:lang w:val="en-GB"/>
        </w:rPr>
        <w:t xml:space="preserve">earlier </w:t>
      </w:r>
      <w:r w:rsidRPr="00141359">
        <w:rPr>
          <w:lang w:val="en-GB"/>
        </w:rPr>
        <w:t xml:space="preserve">and steadier decline later, but differ in how steep that initial decline is and when it occurs. These differences are quantified in </w:t>
      </w:r>
      <w:r w:rsidR="00F01773">
        <w:rPr>
          <w:lang w:val="en-GB"/>
        </w:rPr>
        <w:fldChar w:fldCharType="begin"/>
      </w:r>
      <w:r>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Pr="00141359">
        <w:rPr>
          <w:lang w:val="en-GB"/>
        </w:rPr>
        <w:t xml:space="preserve">.  The fourth and fifth columns in </w:t>
      </w:r>
      <w:r w:rsidR="00F01773">
        <w:rPr>
          <w:lang w:val="en-GB"/>
        </w:rPr>
        <w:fldChar w:fldCharType="begin"/>
      </w:r>
      <w:r>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Pr="00141359">
        <w:rPr>
          <w:lang w:val="en-GB"/>
        </w:rPr>
        <w:t xml:space="preserve"> show the main results of our analysis of trends in changing priorities. In eight sensitivity tests, the degree to which priorities changed with one year of additional EOs decreased over time (</w:t>
      </w:r>
      <w:r w:rsidR="00F01773">
        <w:rPr>
          <w:lang w:val="en-GB"/>
        </w:rPr>
        <w:fldChar w:fldCharType="begin"/>
      </w:r>
      <w:r>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Pr="00141359">
        <w:rPr>
          <w:lang w:val="en-GB"/>
        </w:rPr>
        <w:t xml:space="preserve">: </w:t>
      </w:r>
      <w:r>
        <w:rPr>
          <w:lang w:val="en-GB"/>
        </w:rPr>
        <w:t>column 4</w:t>
      </w:r>
      <w:r w:rsidRPr="00141359">
        <w:rPr>
          <w:lang w:val="en-GB"/>
        </w:rPr>
        <w:t>). In seven of those eight tests, this result was true in both the first and second time periods (</w:t>
      </w:r>
      <w:r w:rsidR="00F01773">
        <w:rPr>
          <w:lang w:val="en-GB"/>
        </w:rPr>
        <w:fldChar w:fldCharType="begin"/>
      </w:r>
      <w:r>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Pr="00141359">
        <w:rPr>
          <w:lang w:val="en-GB"/>
        </w:rPr>
        <w:t xml:space="preserve">: </w:t>
      </w:r>
      <w:r>
        <w:rPr>
          <w:lang w:val="en-GB"/>
        </w:rPr>
        <w:t>columns 4</w:t>
      </w:r>
      <w:proofErr w:type="gramStart"/>
      <w:r>
        <w:rPr>
          <w:lang w:val="en-GB"/>
        </w:rPr>
        <w:t>,5</w:t>
      </w:r>
      <w:proofErr w:type="gramEnd"/>
      <w:r w:rsidRPr="00141359">
        <w:rPr>
          <w:lang w:val="en-GB"/>
        </w:rPr>
        <w:t>).</w:t>
      </w:r>
    </w:p>
    <w:p w:rsidR="005004C9" w:rsidRDefault="009937E0" w:rsidP="009937E0">
      <w:pPr>
        <w:ind w:firstLine="720"/>
      </w:pPr>
      <w:r w:rsidRPr="00141359">
        <w:rPr>
          <w:lang w:val="en-GB"/>
        </w:rPr>
        <w:t xml:space="preserve">We also explored in more detail how trends in changing priorities differed between the first and second time periods in each sensitivity test. We did this by comparing the values in the fourth and fifth columns of </w:t>
      </w:r>
      <w:r w:rsidR="00F01773">
        <w:rPr>
          <w:lang w:val="en-GB"/>
        </w:rPr>
        <w:fldChar w:fldCharType="begin"/>
      </w:r>
      <w:r>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Pr="00141359">
        <w:rPr>
          <w:lang w:val="en-GB"/>
        </w:rPr>
        <w:t xml:space="preserve"> and illustrate this in </w:t>
      </w:r>
      <w:r w:rsidR="00F01773">
        <w:rPr>
          <w:lang w:val="en-GB"/>
        </w:rPr>
        <w:fldChar w:fldCharType="begin"/>
      </w:r>
      <w:r>
        <w:rPr>
          <w:lang w:val="en-GB"/>
        </w:rPr>
        <w:instrText xml:space="preserve"> REF _Ref417397970 \h </w:instrText>
      </w:r>
      <w:r w:rsidR="00F01773">
        <w:rPr>
          <w:lang w:val="en-GB"/>
        </w:rPr>
      </w:r>
      <w:r w:rsidR="00F01773">
        <w:rPr>
          <w:lang w:val="en-GB"/>
        </w:rPr>
        <w:fldChar w:fldCharType="separate"/>
      </w:r>
      <w:r w:rsidR="00867AA7" w:rsidRPr="00FD1EC2">
        <w:t xml:space="preserve">Fig. </w:t>
      </w:r>
      <w:r w:rsidR="00867AA7">
        <w:rPr>
          <w:noProof/>
        </w:rPr>
        <w:t>1</w:t>
      </w:r>
      <w:r w:rsidR="00867AA7">
        <w:t>.</w:t>
      </w:r>
      <w:r w:rsidR="00867AA7">
        <w:rPr>
          <w:noProof/>
        </w:rPr>
        <w:t>3</w:t>
      </w:r>
      <w:r w:rsidR="00F01773">
        <w:rPr>
          <w:lang w:val="en-GB"/>
        </w:rPr>
        <w:fldChar w:fldCharType="end"/>
      </w:r>
      <w:proofErr w:type="spellStart"/>
      <w:r w:rsidRPr="00141359">
        <w:rPr>
          <w:lang w:val="en-GB"/>
        </w:rPr>
        <w:t>a</w:t>
      </w:r>
      <w:proofErr w:type="gramStart"/>
      <w:r w:rsidRPr="00141359">
        <w:rPr>
          <w:lang w:val="en-GB"/>
        </w:rPr>
        <w:t>,b</w:t>
      </w:r>
      <w:proofErr w:type="spellEnd"/>
      <w:proofErr w:type="gramEnd"/>
      <w:r w:rsidRPr="00141359">
        <w:rPr>
          <w:lang w:val="en-GB"/>
        </w:rPr>
        <w:t xml:space="preserve">. There was support in most </w:t>
      </w:r>
    </w:p>
    <w:p w:rsidR="005004C9" w:rsidRPr="005004C9" w:rsidRDefault="005004C9" w:rsidP="005004C9">
      <w:pPr>
        <w:sectPr w:rsidR="005004C9" w:rsidRPr="005004C9" w:rsidSect="00E742FA">
          <w:pgSz w:w="12240" w:h="15840" w:code="1"/>
          <w:pgMar w:top="1440" w:right="1800" w:bottom="1440" w:left="1800" w:header="720" w:footer="1440" w:gutter="0"/>
          <w:cols w:space="720"/>
          <w:noEndnote/>
          <w:docGrid w:linePitch="360"/>
        </w:sectPr>
      </w:pPr>
    </w:p>
    <w:tbl>
      <w:tblPr>
        <w:tblW w:w="0" w:type="auto"/>
        <w:tblInd w:w="108" w:type="dxa"/>
        <w:tblLook w:val="0000"/>
      </w:tblPr>
      <w:tblGrid>
        <w:gridCol w:w="2086"/>
        <w:gridCol w:w="1283"/>
        <w:gridCol w:w="1578"/>
        <w:gridCol w:w="1124"/>
        <w:gridCol w:w="1124"/>
        <w:gridCol w:w="1109"/>
        <w:gridCol w:w="964"/>
        <w:gridCol w:w="1142"/>
        <w:gridCol w:w="969"/>
        <w:gridCol w:w="969"/>
      </w:tblGrid>
      <w:tr w:rsidR="005E60AE" w:rsidRPr="00141359" w:rsidTr="00ED3754">
        <w:trPr>
          <w:trHeight w:val="300"/>
        </w:trPr>
        <w:tc>
          <w:tcPr>
            <w:tcW w:w="0" w:type="auto"/>
            <w:gridSpan w:val="10"/>
            <w:tcBorders>
              <w:top w:val="nil"/>
              <w:left w:val="nil"/>
              <w:bottom w:val="nil"/>
              <w:right w:val="nil"/>
            </w:tcBorders>
            <w:vAlign w:val="bottom"/>
          </w:tcPr>
          <w:p w:rsidR="000074ED" w:rsidRPr="002B2090" w:rsidRDefault="005E60AE" w:rsidP="000074ED">
            <w:pPr>
              <w:pStyle w:val="Caption"/>
              <w:rPr>
                <w:vanish/>
                <w:lang w:val="en-GB"/>
                <w:specVanish/>
              </w:rPr>
            </w:pPr>
            <w:bookmarkStart w:id="30" w:name="_Ref417398305"/>
            <w:bookmarkStart w:id="31" w:name="_Toc421352893"/>
            <w:bookmarkStart w:id="32" w:name="_Toc417647007"/>
            <w:bookmarkStart w:id="33" w:name="_Toc417647058"/>
            <w:r>
              <w:lastRenderedPageBreak/>
              <w:t xml:space="preserve">Table </w:t>
            </w:r>
            <w:r w:rsidR="00F01773">
              <w:fldChar w:fldCharType="begin"/>
            </w:r>
            <w:r w:rsidR="00FD4607">
              <w:instrText xml:space="preserve"> STYLEREF 1 \s </w:instrText>
            </w:r>
            <w:r w:rsidR="00F01773">
              <w:fldChar w:fldCharType="separate"/>
            </w:r>
            <w:r w:rsidR="00867AA7">
              <w:rPr>
                <w:noProof/>
              </w:rPr>
              <w:t>1</w:t>
            </w:r>
            <w:r w:rsidR="00F01773">
              <w:fldChar w:fldCharType="end"/>
            </w:r>
            <w:r w:rsidR="00534CA3">
              <w:t>.</w:t>
            </w:r>
            <w:r w:rsidR="00F01773">
              <w:fldChar w:fldCharType="begin"/>
            </w:r>
            <w:r w:rsidR="00FD4607">
              <w:instrText xml:space="preserve"> SEQ Table \* ARABIC \s 1 </w:instrText>
            </w:r>
            <w:r w:rsidR="00F01773">
              <w:fldChar w:fldCharType="separate"/>
            </w:r>
            <w:r w:rsidR="00867AA7">
              <w:rPr>
                <w:noProof/>
              </w:rPr>
              <w:t>1</w:t>
            </w:r>
            <w:r w:rsidR="00F01773">
              <w:fldChar w:fldCharType="end"/>
            </w:r>
            <w:bookmarkEnd w:id="30"/>
            <w:r>
              <w:t xml:space="preserve">. </w:t>
            </w:r>
            <w:r>
              <w:rPr>
                <w:lang w:val="en-GB"/>
              </w:rPr>
              <w:t>Effect</w:t>
            </w:r>
            <w:r w:rsidRPr="00141359">
              <w:rPr>
                <w:lang w:val="en-GB"/>
              </w:rPr>
              <w:t xml:space="preserve"> of additional data on priorities</w:t>
            </w:r>
            <w:r>
              <w:rPr>
                <w:lang w:val="en-GB"/>
              </w:rPr>
              <w:t xml:space="preserve"> overall</w:t>
            </w:r>
            <w:r w:rsidRPr="00141359">
              <w:rPr>
                <w:lang w:val="en-GB"/>
              </w:rPr>
              <w:t xml:space="preserve"> and when regressed against time</w:t>
            </w:r>
            <w:bookmarkEnd w:id="31"/>
          </w:p>
          <w:p w:rsidR="005E60AE" w:rsidRPr="00141359" w:rsidRDefault="005E60AE" w:rsidP="005E60AE">
            <w:pPr>
              <w:pStyle w:val="Caption"/>
              <w:rPr>
                <w:b/>
                <w:bCs w:val="0"/>
                <w:lang w:val="en-GB"/>
              </w:rPr>
            </w:pPr>
            <w:r w:rsidRPr="00141359">
              <w:rPr>
                <w:lang w:val="en-GB"/>
              </w:rPr>
              <w:t xml:space="preserve">. </w:t>
            </w:r>
            <w:r>
              <w:rPr>
                <w:lang w:val="en-GB"/>
              </w:rPr>
              <w:t xml:space="preserve">Conservation priorities are sensitive to additional data, but that sensitivity declines with a smaller watershed budget and over time and may level out in the future. </w:t>
            </w:r>
            <w:r w:rsidRPr="00141359">
              <w:rPr>
                <w:lang w:val="en-GB"/>
              </w:rPr>
              <w:t>Sensitivity of the ranking method to the number of sites used in the prioritization was tested. Subsequently, (column 2) the overall magnitude of change brought on by one year of additional element occurrences (EOs) was tested, as well as (columns 3-8) the trend of changing priorities over time. Finally, the regression models were used to predict the change in priorities from additional EOs in (column 9) 2010 and (column 10) 2030 if current collection conditions hold. Sensitivity tests without [slope</w:t>
            </w:r>
            <w:r w:rsidRPr="00141359">
              <w:rPr>
                <w:vertAlign w:val="subscript"/>
                <w:lang w:val="en-GB"/>
              </w:rPr>
              <w:t>2</w:t>
            </w:r>
            <w:r w:rsidRPr="00141359">
              <w:rPr>
                <w:lang w:val="en-GB"/>
              </w:rPr>
              <w:t>] and [break] fields use a one-segment regression</w:t>
            </w:r>
            <w:bookmarkEnd w:id="32"/>
            <w:bookmarkEnd w:id="33"/>
            <w:r w:rsidRPr="00141359">
              <w:rPr>
                <w:lang w:val="en-GB"/>
              </w:rPr>
              <w:t xml:space="preserve">  </w:t>
            </w:r>
          </w:p>
        </w:tc>
      </w:tr>
      <w:tr w:rsidR="005E60AE" w:rsidRPr="00141359" w:rsidTr="00ED3754">
        <w:trPr>
          <w:trHeight w:val="375"/>
        </w:trPr>
        <w:tc>
          <w:tcPr>
            <w:tcW w:w="0" w:type="auto"/>
            <w:tcBorders>
              <w:top w:val="single" w:sz="4" w:space="0" w:color="auto"/>
              <w:left w:val="nil"/>
              <w:bottom w:val="single" w:sz="4" w:space="0" w:color="auto"/>
              <w:right w:val="nil"/>
            </w:tcBorders>
            <w:vAlign w:val="bottom"/>
          </w:tcPr>
          <w:p w:rsidR="005E60AE" w:rsidRPr="00141359" w:rsidRDefault="005E60AE" w:rsidP="00ED3754">
            <w:pPr>
              <w:rPr>
                <w:lang w:val="en-GB"/>
              </w:rPr>
            </w:pPr>
            <w:r w:rsidRPr="00141359">
              <w:rPr>
                <w:lang w:val="en-GB"/>
              </w:rPr>
              <w:t>test</w:t>
            </w:r>
          </w:p>
        </w:tc>
        <w:tc>
          <w:tcPr>
            <w:tcW w:w="0" w:type="auto"/>
            <w:tcBorders>
              <w:top w:val="single" w:sz="4" w:space="0" w:color="auto"/>
              <w:left w:val="nil"/>
              <w:bottom w:val="single" w:sz="4" w:space="0" w:color="auto"/>
              <w:right w:val="nil"/>
            </w:tcBorders>
            <w:vAlign w:val="bottom"/>
          </w:tcPr>
          <w:p w:rsidR="005E60AE" w:rsidRPr="00141359" w:rsidRDefault="005E60AE" w:rsidP="00ED3754">
            <w:pPr>
              <w:rPr>
                <w:lang w:val="en-GB"/>
              </w:rPr>
            </w:pPr>
            <w:r w:rsidRPr="00141359">
              <w:rPr>
                <w:lang w:val="en-GB"/>
              </w:rPr>
              <w:t>med(</w:t>
            </w:r>
            <w:r w:rsidRPr="00141359">
              <w:rPr>
                <w:i/>
                <w:lang w:val="en-GB"/>
              </w:rPr>
              <w:t>V</w:t>
            </w:r>
            <w:r w:rsidRPr="00141359">
              <w:rPr>
                <w:lang w:val="en-GB"/>
              </w:rPr>
              <w:t>)</w:t>
            </w:r>
          </w:p>
        </w:tc>
        <w:tc>
          <w:tcPr>
            <w:tcW w:w="0" w:type="auto"/>
            <w:tcBorders>
              <w:top w:val="single" w:sz="4" w:space="0" w:color="auto"/>
              <w:left w:val="nil"/>
              <w:bottom w:val="single" w:sz="4" w:space="0" w:color="auto"/>
              <w:right w:val="nil"/>
            </w:tcBorders>
            <w:vAlign w:val="bottom"/>
          </w:tcPr>
          <w:p w:rsidR="005E60AE" w:rsidRPr="00141359" w:rsidRDefault="005E60AE" w:rsidP="00ED3754">
            <w:pPr>
              <w:rPr>
                <w:lang w:val="en-GB"/>
              </w:rPr>
            </w:pPr>
            <w:r w:rsidRPr="00141359">
              <w:rPr>
                <w:lang w:val="en-GB"/>
              </w:rPr>
              <w:t>intercept</w:t>
            </w:r>
          </w:p>
        </w:tc>
        <w:tc>
          <w:tcPr>
            <w:tcW w:w="0" w:type="auto"/>
            <w:tcBorders>
              <w:top w:val="single" w:sz="4" w:space="0" w:color="auto"/>
              <w:left w:val="nil"/>
              <w:bottom w:val="single" w:sz="4" w:space="0" w:color="auto"/>
              <w:right w:val="nil"/>
            </w:tcBorders>
            <w:vAlign w:val="bottom"/>
          </w:tcPr>
          <w:p w:rsidR="005E60AE" w:rsidRPr="00141359" w:rsidRDefault="005E60AE" w:rsidP="00ED3754">
            <w:pPr>
              <w:rPr>
                <w:vertAlign w:val="subscript"/>
                <w:lang w:val="en-GB"/>
              </w:rPr>
            </w:pPr>
            <w:r w:rsidRPr="00141359">
              <w:rPr>
                <w:lang w:val="en-GB"/>
              </w:rPr>
              <w:t>slope</w:t>
            </w:r>
            <w:r w:rsidRPr="00141359">
              <w:rPr>
                <w:vertAlign w:val="subscript"/>
                <w:lang w:val="en-GB"/>
              </w:rPr>
              <w:t>1</w:t>
            </w:r>
          </w:p>
        </w:tc>
        <w:tc>
          <w:tcPr>
            <w:tcW w:w="0" w:type="auto"/>
            <w:tcBorders>
              <w:top w:val="single" w:sz="4" w:space="0" w:color="auto"/>
              <w:left w:val="nil"/>
              <w:bottom w:val="single" w:sz="4" w:space="0" w:color="auto"/>
              <w:right w:val="nil"/>
            </w:tcBorders>
            <w:vAlign w:val="bottom"/>
          </w:tcPr>
          <w:p w:rsidR="005E60AE" w:rsidRPr="00141359" w:rsidRDefault="005E60AE" w:rsidP="00ED3754">
            <w:pPr>
              <w:rPr>
                <w:vertAlign w:val="subscript"/>
                <w:lang w:val="en-GB"/>
              </w:rPr>
            </w:pPr>
            <w:r w:rsidRPr="00141359">
              <w:rPr>
                <w:lang w:val="en-GB"/>
              </w:rPr>
              <w:t>slope</w:t>
            </w:r>
            <w:r w:rsidRPr="00141359">
              <w:rPr>
                <w:vertAlign w:val="subscript"/>
                <w:lang w:val="en-GB"/>
              </w:rPr>
              <w:t>2</w:t>
            </w:r>
          </w:p>
        </w:tc>
        <w:tc>
          <w:tcPr>
            <w:tcW w:w="0" w:type="auto"/>
            <w:tcBorders>
              <w:top w:val="single" w:sz="4" w:space="0" w:color="auto"/>
              <w:left w:val="nil"/>
              <w:bottom w:val="single" w:sz="4" w:space="0" w:color="auto"/>
              <w:right w:val="nil"/>
            </w:tcBorders>
            <w:vAlign w:val="bottom"/>
          </w:tcPr>
          <w:p w:rsidR="005E60AE" w:rsidRPr="00141359" w:rsidRDefault="005E60AE" w:rsidP="00ED3754">
            <w:pPr>
              <w:rPr>
                <w:sz w:val="20"/>
                <w:szCs w:val="20"/>
                <w:lang w:val="en-GB"/>
              </w:rPr>
            </w:pPr>
            <w:r w:rsidRPr="00141359">
              <w:rPr>
                <w:lang w:val="en-GB"/>
              </w:rPr>
              <w:t>break</w:t>
            </w:r>
          </w:p>
        </w:tc>
        <w:tc>
          <w:tcPr>
            <w:tcW w:w="0" w:type="auto"/>
            <w:tcBorders>
              <w:top w:val="single" w:sz="4" w:space="0" w:color="auto"/>
              <w:left w:val="nil"/>
              <w:bottom w:val="single" w:sz="4" w:space="0" w:color="auto"/>
              <w:right w:val="nil"/>
            </w:tcBorders>
            <w:vAlign w:val="bottom"/>
          </w:tcPr>
          <w:p w:rsidR="005E60AE" w:rsidRPr="00141359" w:rsidRDefault="005E60AE" w:rsidP="00ED3754">
            <w:pPr>
              <w:rPr>
                <w:lang w:val="en-GB"/>
              </w:rPr>
            </w:pPr>
            <w:r w:rsidRPr="00141359">
              <w:rPr>
                <w:lang w:val="en-GB"/>
              </w:rPr>
              <w:t>R</w:t>
            </w:r>
            <w:r w:rsidRPr="00141359">
              <w:rPr>
                <w:vertAlign w:val="superscript"/>
                <w:lang w:val="en-GB"/>
              </w:rPr>
              <w:t>2</w:t>
            </w:r>
          </w:p>
        </w:tc>
        <w:tc>
          <w:tcPr>
            <w:tcW w:w="0" w:type="auto"/>
            <w:tcBorders>
              <w:top w:val="single" w:sz="4" w:space="0" w:color="auto"/>
              <w:left w:val="nil"/>
              <w:bottom w:val="single" w:sz="4" w:space="0" w:color="auto"/>
              <w:right w:val="nil"/>
            </w:tcBorders>
            <w:vAlign w:val="bottom"/>
          </w:tcPr>
          <w:p w:rsidR="005E60AE" w:rsidRPr="00141359" w:rsidRDefault="005E60AE" w:rsidP="00ED3754">
            <w:pPr>
              <w:rPr>
                <w:lang w:val="en-GB"/>
              </w:rPr>
            </w:pPr>
            <w:r w:rsidRPr="00141359">
              <w:rPr>
                <w:lang w:val="en-GB"/>
              </w:rPr>
              <w:t>ΔAICc</w:t>
            </w:r>
          </w:p>
        </w:tc>
        <w:tc>
          <w:tcPr>
            <w:tcW w:w="0" w:type="auto"/>
            <w:tcBorders>
              <w:top w:val="single" w:sz="4" w:space="0" w:color="auto"/>
              <w:left w:val="nil"/>
              <w:bottom w:val="single" w:sz="4" w:space="0" w:color="auto"/>
              <w:right w:val="nil"/>
            </w:tcBorders>
            <w:vAlign w:val="bottom"/>
          </w:tcPr>
          <w:p w:rsidR="005E60AE" w:rsidRPr="00141359" w:rsidRDefault="005E60AE" w:rsidP="00ED3754">
            <w:pPr>
              <w:rPr>
                <w:vertAlign w:val="subscript"/>
                <w:lang w:val="en-GB"/>
              </w:rPr>
            </w:pPr>
            <w:r w:rsidRPr="00141359">
              <w:rPr>
                <w:i/>
                <w:lang w:val="en-GB"/>
              </w:rPr>
              <w:t>V</w:t>
            </w:r>
            <w:r w:rsidRPr="00141359">
              <w:rPr>
                <w:vertAlign w:val="subscript"/>
                <w:lang w:val="en-GB"/>
              </w:rPr>
              <w:t>2010</w:t>
            </w:r>
          </w:p>
        </w:tc>
        <w:tc>
          <w:tcPr>
            <w:tcW w:w="0" w:type="auto"/>
            <w:tcBorders>
              <w:top w:val="single" w:sz="4" w:space="0" w:color="auto"/>
              <w:left w:val="nil"/>
              <w:bottom w:val="single" w:sz="4" w:space="0" w:color="auto"/>
              <w:right w:val="nil"/>
            </w:tcBorders>
            <w:vAlign w:val="bottom"/>
          </w:tcPr>
          <w:p w:rsidR="005E60AE" w:rsidRPr="00141359" w:rsidRDefault="005E60AE" w:rsidP="00ED3754">
            <w:pPr>
              <w:rPr>
                <w:vertAlign w:val="subscript"/>
                <w:lang w:val="en-GB"/>
              </w:rPr>
            </w:pPr>
            <w:r w:rsidRPr="00141359">
              <w:rPr>
                <w:i/>
                <w:lang w:val="en-GB"/>
              </w:rPr>
              <w:t>V</w:t>
            </w:r>
            <w:r w:rsidRPr="00141359">
              <w:rPr>
                <w:vertAlign w:val="subscript"/>
                <w:lang w:val="en-GB"/>
              </w:rPr>
              <w:t>2030</w:t>
            </w:r>
          </w:p>
        </w:tc>
      </w:tr>
      <w:tr w:rsidR="005E60AE" w:rsidRPr="00141359" w:rsidTr="00ED3754">
        <w:trPr>
          <w:trHeight w:val="300"/>
        </w:trPr>
        <w:tc>
          <w:tcPr>
            <w:tcW w:w="0" w:type="auto"/>
            <w:tcBorders>
              <w:top w:val="single" w:sz="4" w:space="0" w:color="auto"/>
              <w:left w:val="nil"/>
              <w:bottom w:val="nil"/>
              <w:right w:val="nil"/>
            </w:tcBorders>
            <w:vAlign w:val="bottom"/>
          </w:tcPr>
          <w:p w:rsidR="005E60AE" w:rsidRPr="00141359" w:rsidRDefault="005E60AE" w:rsidP="00ED3754">
            <w:pPr>
              <w:rPr>
                <w:lang w:val="en-GB"/>
              </w:rPr>
            </w:pPr>
            <w:r w:rsidRPr="00141359">
              <w:rPr>
                <w:lang w:val="en-GB"/>
              </w:rPr>
              <w:t>1-watershed</w:t>
            </w:r>
          </w:p>
        </w:tc>
        <w:tc>
          <w:tcPr>
            <w:tcW w:w="0" w:type="auto"/>
            <w:tcBorders>
              <w:top w:val="single" w:sz="4" w:space="0" w:color="auto"/>
              <w:left w:val="nil"/>
              <w:bottom w:val="nil"/>
              <w:right w:val="nil"/>
            </w:tcBorders>
            <w:vAlign w:val="bottom"/>
          </w:tcPr>
          <w:p w:rsidR="005E60AE" w:rsidRPr="00141359" w:rsidRDefault="005E60AE" w:rsidP="00ED3754">
            <w:pPr>
              <w:rPr>
                <w:lang w:val="en-GB"/>
              </w:rPr>
            </w:pPr>
            <w:r w:rsidRPr="00141359">
              <w:rPr>
                <w:lang w:val="en-GB"/>
              </w:rPr>
              <w:t>0</w:t>
            </w:r>
          </w:p>
        </w:tc>
        <w:tc>
          <w:tcPr>
            <w:tcW w:w="0" w:type="auto"/>
            <w:tcBorders>
              <w:top w:val="single" w:sz="4" w:space="0" w:color="auto"/>
              <w:left w:val="nil"/>
              <w:bottom w:val="nil"/>
              <w:right w:val="nil"/>
            </w:tcBorders>
            <w:vAlign w:val="bottom"/>
          </w:tcPr>
          <w:p w:rsidR="005E60AE" w:rsidRPr="00141359" w:rsidRDefault="005E60AE" w:rsidP="00ED3754">
            <w:pPr>
              <w:rPr>
                <w:lang w:val="en-GB"/>
              </w:rPr>
            </w:pPr>
            <w:r w:rsidRPr="00141359">
              <w:rPr>
                <w:lang w:val="en-GB"/>
              </w:rPr>
              <w:t>-</w:t>
            </w:r>
          </w:p>
        </w:tc>
        <w:tc>
          <w:tcPr>
            <w:tcW w:w="0" w:type="auto"/>
            <w:tcBorders>
              <w:top w:val="single" w:sz="4" w:space="0" w:color="auto"/>
              <w:left w:val="nil"/>
              <w:bottom w:val="nil"/>
              <w:right w:val="nil"/>
            </w:tcBorders>
            <w:vAlign w:val="bottom"/>
          </w:tcPr>
          <w:p w:rsidR="005E60AE" w:rsidRPr="00141359" w:rsidRDefault="005E60AE" w:rsidP="00ED3754">
            <w:pPr>
              <w:rPr>
                <w:lang w:val="en-GB"/>
              </w:rPr>
            </w:pPr>
            <w:r w:rsidRPr="00141359">
              <w:rPr>
                <w:lang w:val="en-GB"/>
              </w:rPr>
              <w:t>-</w:t>
            </w:r>
          </w:p>
        </w:tc>
        <w:tc>
          <w:tcPr>
            <w:tcW w:w="0" w:type="auto"/>
            <w:tcBorders>
              <w:top w:val="single" w:sz="4" w:space="0" w:color="auto"/>
              <w:left w:val="nil"/>
              <w:bottom w:val="nil"/>
              <w:right w:val="nil"/>
            </w:tcBorders>
            <w:vAlign w:val="bottom"/>
          </w:tcPr>
          <w:p w:rsidR="005E60AE" w:rsidRPr="00141359" w:rsidRDefault="005E60AE" w:rsidP="00ED3754">
            <w:pPr>
              <w:rPr>
                <w:lang w:val="en-GB"/>
              </w:rPr>
            </w:pPr>
            <w:r w:rsidRPr="00141359">
              <w:rPr>
                <w:lang w:val="en-GB"/>
              </w:rPr>
              <w:t>-</w:t>
            </w:r>
          </w:p>
        </w:tc>
        <w:tc>
          <w:tcPr>
            <w:tcW w:w="0" w:type="auto"/>
            <w:tcBorders>
              <w:top w:val="single" w:sz="4" w:space="0" w:color="auto"/>
              <w:left w:val="nil"/>
              <w:bottom w:val="nil"/>
              <w:right w:val="nil"/>
            </w:tcBorders>
            <w:vAlign w:val="bottom"/>
          </w:tcPr>
          <w:p w:rsidR="005E60AE" w:rsidRPr="00141359" w:rsidRDefault="005E60AE" w:rsidP="00ED3754">
            <w:pPr>
              <w:rPr>
                <w:lang w:val="en-GB"/>
              </w:rPr>
            </w:pPr>
            <w:r w:rsidRPr="00141359">
              <w:rPr>
                <w:lang w:val="en-GB"/>
              </w:rPr>
              <w:t>-</w:t>
            </w:r>
          </w:p>
        </w:tc>
        <w:tc>
          <w:tcPr>
            <w:tcW w:w="0" w:type="auto"/>
            <w:tcBorders>
              <w:top w:val="single" w:sz="4" w:space="0" w:color="auto"/>
              <w:left w:val="nil"/>
              <w:bottom w:val="nil"/>
              <w:right w:val="nil"/>
            </w:tcBorders>
            <w:vAlign w:val="bottom"/>
          </w:tcPr>
          <w:p w:rsidR="005E60AE" w:rsidRPr="00141359" w:rsidRDefault="005E60AE" w:rsidP="00ED3754">
            <w:pPr>
              <w:rPr>
                <w:lang w:val="en-GB"/>
              </w:rPr>
            </w:pPr>
            <w:r w:rsidRPr="00141359">
              <w:rPr>
                <w:lang w:val="en-GB"/>
              </w:rPr>
              <w:t>-</w:t>
            </w:r>
          </w:p>
        </w:tc>
        <w:tc>
          <w:tcPr>
            <w:tcW w:w="0" w:type="auto"/>
            <w:tcBorders>
              <w:top w:val="single" w:sz="4" w:space="0" w:color="auto"/>
              <w:left w:val="nil"/>
              <w:bottom w:val="nil"/>
              <w:right w:val="nil"/>
            </w:tcBorders>
            <w:vAlign w:val="bottom"/>
          </w:tcPr>
          <w:p w:rsidR="005E60AE" w:rsidRPr="00141359" w:rsidRDefault="005E60AE" w:rsidP="00ED3754">
            <w:pPr>
              <w:rPr>
                <w:lang w:val="en-GB"/>
              </w:rPr>
            </w:pPr>
            <w:r w:rsidRPr="00141359">
              <w:rPr>
                <w:lang w:val="en-GB"/>
              </w:rPr>
              <w:t>-</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w:t>
            </w:r>
          </w:p>
        </w:tc>
      </w:tr>
      <w:tr w:rsidR="005E60AE" w:rsidRPr="00141359" w:rsidTr="00ED3754">
        <w:trPr>
          <w:trHeight w:val="300"/>
        </w:trPr>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5-watersheds</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0.14</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-1.0</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0.6</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0.03</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2</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0.17</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0.18</w:t>
            </w:r>
          </w:p>
        </w:tc>
      </w:tr>
      <w:tr w:rsidR="005E60AE" w:rsidRPr="00141359" w:rsidTr="00ED3754">
        <w:trPr>
          <w:trHeight w:val="300"/>
        </w:trPr>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10-watersheds</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0.18</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0.2</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0.6</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-0.01</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1</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0.19</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0.19</w:t>
            </w:r>
          </w:p>
        </w:tc>
      </w:tr>
      <w:tr w:rsidR="005E60AE" w:rsidRPr="00141359" w:rsidTr="00ED3754">
        <w:trPr>
          <w:trHeight w:val="300"/>
        </w:trPr>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20-watersheds</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0.20</w:t>
            </w:r>
          </w:p>
        </w:tc>
        <w:tc>
          <w:tcPr>
            <w:tcW w:w="0" w:type="auto"/>
            <w:tcBorders>
              <w:top w:val="nil"/>
              <w:left w:val="nil"/>
              <w:bottom w:val="nil"/>
              <w:right w:val="nil"/>
            </w:tcBorders>
            <w:vAlign w:val="bottom"/>
          </w:tcPr>
          <w:p w:rsidR="005E60AE" w:rsidRPr="00141359" w:rsidRDefault="005E60AE" w:rsidP="00ED3754">
            <w:pPr>
              <w:rPr>
                <w:lang w:val="en-GB"/>
              </w:rPr>
            </w:pPr>
            <w:r>
              <w:rPr>
                <w:lang w:val="en-GB"/>
              </w:rPr>
              <w:t>84.6</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-43.9</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-1.3</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1920</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0.73</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83</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0.16</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0.13</w:t>
            </w:r>
          </w:p>
        </w:tc>
      </w:tr>
      <w:tr w:rsidR="005E60AE" w:rsidRPr="00141359" w:rsidTr="00ED3754">
        <w:trPr>
          <w:trHeight w:val="300"/>
        </w:trPr>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30-watersheds</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0.19</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40.4</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-20.7</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-1.5</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1937</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0.88</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118</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0.13</w:t>
            </w:r>
          </w:p>
        </w:tc>
        <w:tc>
          <w:tcPr>
            <w:tcW w:w="0" w:type="auto"/>
            <w:tcBorders>
              <w:top w:val="nil"/>
              <w:left w:val="nil"/>
              <w:bottom w:val="nil"/>
              <w:right w:val="nil"/>
            </w:tcBorders>
            <w:vAlign w:val="bottom"/>
          </w:tcPr>
          <w:p w:rsidR="005E60AE" w:rsidRPr="00ED3754" w:rsidRDefault="005E60AE" w:rsidP="00ED3754">
            <w:pPr>
              <w:rPr>
                <w:lang w:val="en-GB"/>
              </w:rPr>
            </w:pPr>
            <w:r w:rsidRPr="00ED3754">
              <w:rPr>
                <w:lang w:val="en-GB"/>
              </w:rPr>
              <w:t>0.10</w:t>
            </w:r>
          </w:p>
        </w:tc>
      </w:tr>
      <w:tr w:rsidR="005E60AE" w:rsidRPr="00141359" w:rsidTr="00ED3754">
        <w:trPr>
          <w:trHeight w:val="300"/>
        </w:trPr>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40-watersheds</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0.22</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37.9</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-19.4</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-1.3</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1944</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0.94</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165</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0.14</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0.12</w:t>
            </w:r>
          </w:p>
        </w:tc>
      </w:tr>
      <w:tr w:rsidR="005E60AE" w:rsidRPr="00141359" w:rsidTr="00ED3754">
        <w:trPr>
          <w:trHeight w:val="300"/>
        </w:trPr>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50-watersheds</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0.21</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35.0</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-17.8</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-0.9</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1954</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0.97</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199</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0.14</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0.12</w:t>
            </w:r>
          </w:p>
        </w:tc>
      </w:tr>
      <w:tr w:rsidR="005E60AE" w:rsidRPr="00141359" w:rsidTr="00ED3754">
        <w:trPr>
          <w:trHeight w:val="300"/>
        </w:trPr>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60-watersheds</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0.20</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29.8</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-15.1</w:t>
            </w:r>
          </w:p>
        </w:tc>
        <w:tc>
          <w:tcPr>
            <w:tcW w:w="0" w:type="auto"/>
            <w:tcBorders>
              <w:top w:val="nil"/>
              <w:left w:val="nil"/>
              <w:bottom w:val="nil"/>
              <w:right w:val="nil"/>
            </w:tcBorders>
            <w:vAlign w:val="bottom"/>
          </w:tcPr>
          <w:p w:rsidR="005E60AE" w:rsidRPr="00FD5580" w:rsidRDefault="005E60AE" w:rsidP="00ED3754">
            <w:pPr>
              <w:rPr>
                <w:lang w:val="en-GB"/>
              </w:rPr>
            </w:pPr>
            <w:r w:rsidRPr="00FD5580">
              <w:rPr>
                <w:lang w:val="en-GB"/>
              </w:rPr>
              <w:t>-0.1</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1965</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0.98</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203</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0.14</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0.14</w:t>
            </w:r>
          </w:p>
        </w:tc>
      </w:tr>
      <w:tr w:rsidR="005E60AE" w:rsidRPr="00141359" w:rsidTr="00ED3754">
        <w:trPr>
          <w:trHeight w:val="300"/>
        </w:trPr>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 xml:space="preserve">70-watersheds </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0.31</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27.6</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-13.9</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-1.7</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1971</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0.98</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177</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0.09</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0.06</w:t>
            </w:r>
          </w:p>
        </w:tc>
      </w:tr>
      <w:tr w:rsidR="005E60AE" w:rsidRPr="00141359" w:rsidTr="00ED3754">
        <w:trPr>
          <w:trHeight w:val="300"/>
        </w:trPr>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 xml:space="preserve">80-watersheds </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0.37</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24.9</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-12.5</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-2.0</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1977</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0.99</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173</w:t>
            </w:r>
          </w:p>
        </w:tc>
        <w:tc>
          <w:tcPr>
            <w:tcW w:w="0" w:type="auto"/>
            <w:tcBorders>
              <w:top w:val="nil"/>
              <w:left w:val="nil"/>
              <w:bottom w:val="nil"/>
              <w:right w:val="nil"/>
            </w:tcBorders>
            <w:vAlign w:val="bottom"/>
          </w:tcPr>
          <w:p w:rsidR="005E60AE" w:rsidRPr="00ED3754" w:rsidRDefault="005E60AE" w:rsidP="00ED3754">
            <w:pPr>
              <w:rPr>
                <w:b/>
                <w:lang w:val="en-GB"/>
              </w:rPr>
            </w:pPr>
            <w:r w:rsidRPr="00ED3754">
              <w:rPr>
                <w:b/>
                <w:lang w:val="en-GB"/>
              </w:rPr>
              <w:t>0.08</w:t>
            </w:r>
          </w:p>
        </w:tc>
        <w:tc>
          <w:tcPr>
            <w:tcW w:w="0" w:type="auto"/>
            <w:tcBorders>
              <w:top w:val="nil"/>
              <w:left w:val="nil"/>
              <w:bottom w:val="nil"/>
              <w:right w:val="nil"/>
            </w:tcBorders>
            <w:vAlign w:val="bottom"/>
          </w:tcPr>
          <w:p w:rsidR="005E60AE" w:rsidRPr="00141359" w:rsidRDefault="005E60AE" w:rsidP="00ED3754">
            <w:pPr>
              <w:rPr>
                <w:lang w:val="en-GB"/>
              </w:rPr>
            </w:pPr>
            <w:r w:rsidRPr="00141359">
              <w:rPr>
                <w:lang w:val="en-GB"/>
              </w:rPr>
              <w:t>0.04</w:t>
            </w:r>
          </w:p>
        </w:tc>
      </w:tr>
      <w:tr w:rsidR="005E60AE" w:rsidRPr="00141359" w:rsidTr="00ED3754">
        <w:trPr>
          <w:trHeight w:val="300"/>
        </w:trPr>
        <w:tc>
          <w:tcPr>
            <w:tcW w:w="0" w:type="auto"/>
            <w:tcBorders>
              <w:top w:val="nil"/>
              <w:left w:val="nil"/>
              <w:bottom w:val="single" w:sz="4" w:space="0" w:color="auto"/>
              <w:right w:val="nil"/>
            </w:tcBorders>
            <w:vAlign w:val="bottom"/>
          </w:tcPr>
          <w:p w:rsidR="005E60AE" w:rsidRPr="00141359" w:rsidRDefault="005E60AE" w:rsidP="00ED3754">
            <w:pPr>
              <w:rPr>
                <w:lang w:val="en-GB"/>
              </w:rPr>
            </w:pPr>
            <w:r w:rsidRPr="00141359">
              <w:rPr>
                <w:lang w:val="en-GB"/>
              </w:rPr>
              <w:t>90-watersheds</w:t>
            </w:r>
          </w:p>
        </w:tc>
        <w:tc>
          <w:tcPr>
            <w:tcW w:w="0" w:type="auto"/>
            <w:tcBorders>
              <w:top w:val="nil"/>
              <w:left w:val="nil"/>
              <w:bottom w:val="single" w:sz="4" w:space="0" w:color="auto"/>
              <w:right w:val="nil"/>
            </w:tcBorders>
            <w:vAlign w:val="bottom"/>
          </w:tcPr>
          <w:p w:rsidR="005E60AE" w:rsidRPr="00ED3754" w:rsidRDefault="005E60AE" w:rsidP="00ED3754">
            <w:pPr>
              <w:rPr>
                <w:b/>
                <w:lang w:val="en-GB"/>
              </w:rPr>
            </w:pPr>
            <w:r w:rsidRPr="00ED3754">
              <w:rPr>
                <w:b/>
                <w:lang w:val="en-GB"/>
              </w:rPr>
              <w:t>0.40</w:t>
            </w:r>
          </w:p>
        </w:tc>
        <w:tc>
          <w:tcPr>
            <w:tcW w:w="0" w:type="auto"/>
            <w:tcBorders>
              <w:top w:val="nil"/>
              <w:left w:val="nil"/>
              <w:bottom w:val="single" w:sz="4" w:space="0" w:color="auto"/>
              <w:right w:val="nil"/>
            </w:tcBorders>
            <w:vAlign w:val="bottom"/>
          </w:tcPr>
          <w:p w:rsidR="005E60AE" w:rsidRPr="00141359" w:rsidRDefault="005E60AE" w:rsidP="00ED3754">
            <w:pPr>
              <w:rPr>
                <w:lang w:val="en-GB"/>
              </w:rPr>
            </w:pPr>
            <w:r w:rsidRPr="00141359">
              <w:rPr>
                <w:lang w:val="en-GB"/>
              </w:rPr>
              <w:t>23.8</w:t>
            </w:r>
          </w:p>
        </w:tc>
        <w:tc>
          <w:tcPr>
            <w:tcW w:w="0" w:type="auto"/>
            <w:tcBorders>
              <w:top w:val="nil"/>
              <w:left w:val="nil"/>
              <w:bottom w:val="single" w:sz="4" w:space="0" w:color="auto"/>
              <w:right w:val="nil"/>
            </w:tcBorders>
            <w:vAlign w:val="bottom"/>
          </w:tcPr>
          <w:p w:rsidR="005E60AE" w:rsidRPr="00ED3754" w:rsidRDefault="005E60AE" w:rsidP="00ED3754">
            <w:pPr>
              <w:rPr>
                <w:b/>
                <w:lang w:val="en-GB"/>
              </w:rPr>
            </w:pPr>
            <w:r w:rsidRPr="00ED3754">
              <w:rPr>
                <w:b/>
                <w:lang w:val="en-GB"/>
              </w:rPr>
              <w:t>-12.0</w:t>
            </w:r>
          </w:p>
        </w:tc>
        <w:tc>
          <w:tcPr>
            <w:tcW w:w="0" w:type="auto"/>
            <w:tcBorders>
              <w:top w:val="nil"/>
              <w:left w:val="nil"/>
              <w:bottom w:val="single" w:sz="4" w:space="0" w:color="auto"/>
              <w:right w:val="nil"/>
            </w:tcBorders>
            <w:vAlign w:val="bottom"/>
          </w:tcPr>
          <w:p w:rsidR="005E60AE" w:rsidRPr="00ED3754" w:rsidRDefault="005E60AE" w:rsidP="00ED3754">
            <w:pPr>
              <w:rPr>
                <w:b/>
                <w:lang w:val="en-GB"/>
              </w:rPr>
            </w:pPr>
            <w:r w:rsidRPr="00ED3754">
              <w:rPr>
                <w:b/>
                <w:lang w:val="en-GB"/>
              </w:rPr>
              <w:t>-2.3</w:t>
            </w:r>
          </w:p>
        </w:tc>
        <w:tc>
          <w:tcPr>
            <w:tcW w:w="0" w:type="auto"/>
            <w:tcBorders>
              <w:top w:val="nil"/>
              <w:left w:val="nil"/>
              <w:bottom w:val="single" w:sz="4" w:space="0" w:color="auto"/>
              <w:right w:val="nil"/>
            </w:tcBorders>
            <w:vAlign w:val="bottom"/>
          </w:tcPr>
          <w:p w:rsidR="005E60AE" w:rsidRPr="00141359" w:rsidRDefault="005E60AE" w:rsidP="00ED3754">
            <w:pPr>
              <w:rPr>
                <w:lang w:val="en-GB"/>
              </w:rPr>
            </w:pPr>
            <w:r w:rsidRPr="00141359">
              <w:rPr>
                <w:lang w:val="en-GB"/>
              </w:rPr>
              <w:t>1978</w:t>
            </w:r>
          </w:p>
        </w:tc>
        <w:tc>
          <w:tcPr>
            <w:tcW w:w="0" w:type="auto"/>
            <w:tcBorders>
              <w:top w:val="nil"/>
              <w:left w:val="nil"/>
              <w:bottom w:val="single" w:sz="4" w:space="0" w:color="auto"/>
              <w:right w:val="nil"/>
            </w:tcBorders>
            <w:vAlign w:val="bottom"/>
          </w:tcPr>
          <w:p w:rsidR="005E60AE" w:rsidRPr="00141359" w:rsidRDefault="005E60AE" w:rsidP="00ED3754">
            <w:pPr>
              <w:rPr>
                <w:lang w:val="en-GB"/>
              </w:rPr>
            </w:pPr>
            <w:r w:rsidRPr="00141359">
              <w:rPr>
                <w:lang w:val="en-GB"/>
              </w:rPr>
              <w:t>0.99</w:t>
            </w:r>
          </w:p>
        </w:tc>
        <w:tc>
          <w:tcPr>
            <w:tcW w:w="0" w:type="auto"/>
            <w:tcBorders>
              <w:top w:val="nil"/>
              <w:left w:val="nil"/>
              <w:bottom w:val="single" w:sz="4" w:space="0" w:color="auto"/>
              <w:right w:val="nil"/>
            </w:tcBorders>
            <w:vAlign w:val="bottom"/>
          </w:tcPr>
          <w:p w:rsidR="005E60AE" w:rsidRPr="00141359" w:rsidRDefault="005E60AE" w:rsidP="00ED3754">
            <w:pPr>
              <w:rPr>
                <w:lang w:val="en-GB"/>
              </w:rPr>
            </w:pPr>
            <w:r w:rsidRPr="00141359">
              <w:rPr>
                <w:lang w:val="en-GB"/>
              </w:rPr>
              <w:t>146</w:t>
            </w:r>
          </w:p>
        </w:tc>
        <w:tc>
          <w:tcPr>
            <w:tcW w:w="0" w:type="auto"/>
            <w:tcBorders>
              <w:top w:val="nil"/>
              <w:left w:val="nil"/>
              <w:bottom w:val="single" w:sz="4" w:space="0" w:color="auto"/>
              <w:right w:val="nil"/>
            </w:tcBorders>
            <w:vAlign w:val="bottom"/>
          </w:tcPr>
          <w:p w:rsidR="005E60AE" w:rsidRPr="00ED3754" w:rsidRDefault="005E60AE" w:rsidP="00ED3754">
            <w:pPr>
              <w:rPr>
                <w:b/>
                <w:lang w:val="en-GB"/>
              </w:rPr>
            </w:pPr>
            <w:r w:rsidRPr="00ED3754">
              <w:rPr>
                <w:b/>
                <w:lang w:val="en-GB"/>
              </w:rPr>
              <w:t>0.09</w:t>
            </w:r>
          </w:p>
        </w:tc>
        <w:tc>
          <w:tcPr>
            <w:tcW w:w="0" w:type="auto"/>
            <w:tcBorders>
              <w:top w:val="nil"/>
              <w:left w:val="nil"/>
              <w:bottom w:val="single" w:sz="4" w:space="0" w:color="auto"/>
              <w:right w:val="nil"/>
            </w:tcBorders>
            <w:vAlign w:val="bottom"/>
          </w:tcPr>
          <w:p w:rsidR="005E60AE" w:rsidRPr="00141359" w:rsidRDefault="005E60AE" w:rsidP="00ED3754">
            <w:pPr>
              <w:rPr>
                <w:lang w:val="en-GB"/>
              </w:rPr>
            </w:pPr>
            <w:r w:rsidRPr="00141359">
              <w:rPr>
                <w:lang w:val="en-GB"/>
              </w:rPr>
              <w:t>0.05</w:t>
            </w:r>
          </w:p>
        </w:tc>
      </w:tr>
      <w:tr w:rsidR="005E60AE" w:rsidRPr="00141359" w:rsidTr="00ED3754">
        <w:trPr>
          <w:trHeight w:val="1178"/>
        </w:trPr>
        <w:tc>
          <w:tcPr>
            <w:tcW w:w="0" w:type="auto"/>
            <w:gridSpan w:val="10"/>
            <w:tcBorders>
              <w:top w:val="single" w:sz="4" w:space="0" w:color="auto"/>
              <w:left w:val="nil"/>
              <w:bottom w:val="nil"/>
              <w:right w:val="nil"/>
            </w:tcBorders>
            <w:vAlign w:val="bottom"/>
          </w:tcPr>
          <w:p w:rsidR="005E60AE" w:rsidRPr="00141359" w:rsidRDefault="005E60AE" w:rsidP="00A31EC0">
            <w:pPr>
              <w:rPr>
                <w:lang w:val="en-GB"/>
              </w:rPr>
            </w:pPr>
            <w:r w:rsidRPr="00141359">
              <w:rPr>
                <w:lang w:val="en-GB"/>
              </w:rPr>
              <w:t>Table columns are [med(</w:t>
            </w:r>
            <w:r w:rsidRPr="00141359">
              <w:rPr>
                <w:i/>
                <w:lang w:val="en-GB"/>
              </w:rPr>
              <w:t>V</w:t>
            </w:r>
            <w:r w:rsidRPr="00141359">
              <w:rPr>
                <w:lang w:val="en-GB"/>
              </w:rPr>
              <w:t xml:space="preserve">)] = median of </w:t>
            </w:r>
            <w:r w:rsidRPr="00141359">
              <w:rPr>
                <w:i/>
                <w:lang w:val="en-GB"/>
              </w:rPr>
              <w:t>V</w:t>
            </w:r>
            <w:r w:rsidRPr="00141359">
              <w:rPr>
                <w:lang w:val="en-GB"/>
              </w:rPr>
              <w:t xml:space="preserve"> across all years; [intercept] = model intercept; [slope</w:t>
            </w:r>
            <w:r w:rsidRPr="00141359">
              <w:rPr>
                <w:vertAlign w:val="subscript"/>
                <w:lang w:val="en-GB"/>
              </w:rPr>
              <w:t>1(2)</w:t>
            </w:r>
            <w:r w:rsidRPr="00141359">
              <w:rPr>
                <w:lang w:val="en-GB"/>
              </w:rPr>
              <w:t xml:space="preserve">] = slope of the first (second) segment in </w:t>
            </w:r>
            <w:r w:rsidRPr="00141359">
              <w:rPr>
                <w:i/>
                <w:lang w:val="en-GB"/>
              </w:rPr>
              <w:t>V</w:t>
            </w:r>
            <w:r w:rsidRPr="00141359">
              <w:rPr>
                <w:lang w:val="en-GB"/>
              </w:rPr>
              <w:t xml:space="preserve"> ∙ yr</w:t>
            </w:r>
            <w:r w:rsidRPr="00141359">
              <w:rPr>
                <w:vertAlign w:val="superscript"/>
                <w:lang w:val="en-GB"/>
              </w:rPr>
              <w:t>-1</w:t>
            </w:r>
            <w:r w:rsidRPr="00141359">
              <w:rPr>
                <w:lang w:val="en-GB"/>
              </w:rPr>
              <w:t xml:space="preserve"> ∙ 10</w:t>
            </w:r>
            <w:r w:rsidRPr="00141359">
              <w:rPr>
                <w:vertAlign w:val="superscript"/>
                <w:lang w:val="en-GB"/>
              </w:rPr>
              <w:t>-3</w:t>
            </w:r>
            <w:r w:rsidRPr="00141359">
              <w:rPr>
                <w:lang w:val="en-GB"/>
              </w:rPr>
              <w:t>; [break] = breakpoint (year) of the two segments; [R</w:t>
            </w:r>
            <w:r w:rsidRPr="00141359">
              <w:rPr>
                <w:vertAlign w:val="superscript"/>
                <w:lang w:val="en-GB"/>
              </w:rPr>
              <w:t>2</w:t>
            </w:r>
            <w:r w:rsidRPr="00141359">
              <w:rPr>
                <w:lang w:val="en-GB"/>
              </w:rPr>
              <w:t>] = adjusted R</w:t>
            </w:r>
            <w:r w:rsidRPr="00141359">
              <w:rPr>
                <w:vertAlign w:val="superscript"/>
                <w:lang w:val="en-GB"/>
              </w:rPr>
              <w:t>2</w:t>
            </w:r>
            <w:r w:rsidRPr="00141359">
              <w:rPr>
                <w:lang w:val="en-GB"/>
              </w:rPr>
              <w:t>; [ΔAICc] = ΔAICc of the piecewise model not chosen.; [</w:t>
            </w:r>
            <w:r w:rsidRPr="00141359">
              <w:rPr>
                <w:i/>
                <w:lang w:val="en-GB"/>
              </w:rPr>
              <w:t>V</w:t>
            </w:r>
            <w:r w:rsidRPr="00141359">
              <w:rPr>
                <w:vertAlign w:val="subscript"/>
                <w:lang w:val="en-GB"/>
              </w:rPr>
              <w:t>2010</w:t>
            </w:r>
            <w:r w:rsidRPr="00141359">
              <w:rPr>
                <w:lang w:val="en-GB"/>
              </w:rPr>
              <w:t xml:space="preserve">] = predicted value of </w:t>
            </w:r>
            <w:r w:rsidRPr="00141359">
              <w:rPr>
                <w:i/>
                <w:lang w:val="en-GB"/>
              </w:rPr>
              <w:t>V</w:t>
            </w:r>
            <w:r w:rsidRPr="00141359">
              <w:rPr>
                <w:lang w:val="en-GB"/>
              </w:rPr>
              <w:t xml:space="preserve"> in 2010; [</w:t>
            </w:r>
            <w:r w:rsidRPr="00141359">
              <w:rPr>
                <w:i/>
                <w:lang w:val="en-GB"/>
              </w:rPr>
              <w:t>V</w:t>
            </w:r>
            <w:r w:rsidRPr="00141359">
              <w:rPr>
                <w:vertAlign w:val="subscript"/>
                <w:lang w:val="en-GB"/>
              </w:rPr>
              <w:t>2030</w:t>
            </w:r>
            <w:r w:rsidRPr="00141359">
              <w:rPr>
                <w:lang w:val="en-GB"/>
              </w:rPr>
              <w:t xml:space="preserve">] = predicted value of </w:t>
            </w:r>
            <w:r w:rsidRPr="00141359">
              <w:rPr>
                <w:i/>
                <w:lang w:val="en-GB"/>
              </w:rPr>
              <w:t>V</w:t>
            </w:r>
            <w:r w:rsidRPr="00141359">
              <w:rPr>
                <w:lang w:val="en-GB"/>
              </w:rPr>
              <w:t xml:space="preserve"> in 2030</w:t>
            </w:r>
          </w:p>
        </w:tc>
      </w:tr>
      <w:tr w:rsidR="005E60AE" w:rsidRPr="00141359" w:rsidTr="00ED3754">
        <w:trPr>
          <w:trHeight w:val="300"/>
        </w:trPr>
        <w:tc>
          <w:tcPr>
            <w:tcW w:w="0" w:type="auto"/>
            <w:gridSpan w:val="8"/>
            <w:tcBorders>
              <w:top w:val="nil"/>
              <w:left w:val="nil"/>
              <w:bottom w:val="nil"/>
              <w:right w:val="nil"/>
            </w:tcBorders>
            <w:vAlign w:val="bottom"/>
          </w:tcPr>
          <w:p w:rsidR="005E60AE" w:rsidRPr="00141359" w:rsidRDefault="005E60AE" w:rsidP="00A31EC0">
            <w:pPr>
              <w:rPr>
                <w:color w:val="000000"/>
                <w:lang w:val="en-GB"/>
              </w:rPr>
            </w:pPr>
            <w:r w:rsidRPr="00141359">
              <w:rPr>
                <w:lang w:val="en-GB"/>
              </w:rPr>
              <w:t xml:space="preserve">Values in </w:t>
            </w:r>
            <w:r w:rsidRPr="00141359">
              <w:rPr>
                <w:b/>
                <w:bCs/>
                <w:lang w:val="en-GB"/>
              </w:rPr>
              <w:t>bold</w:t>
            </w:r>
            <w:r w:rsidRPr="00141359">
              <w:rPr>
                <w:lang w:val="en-GB"/>
              </w:rPr>
              <w:t xml:space="preserve"> are significant at the 95% confidence level.</w:t>
            </w:r>
          </w:p>
        </w:tc>
        <w:tc>
          <w:tcPr>
            <w:tcW w:w="0" w:type="auto"/>
            <w:tcBorders>
              <w:top w:val="nil"/>
              <w:left w:val="nil"/>
              <w:bottom w:val="nil"/>
              <w:right w:val="nil"/>
            </w:tcBorders>
          </w:tcPr>
          <w:p w:rsidR="005E60AE" w:rsidRPr="00141359" w:rsidRDefault="005E60AE" w:rsidP="00A31EC0">
            <w:pPr>
              <w:rPr>
                <w:lang w:val="en-GB"/>
              </w:rPr>
            </w:pPr>
          </w:p>
        </w:tc>
        <w:tc>
          <w:tcPr>
            <w:tcW w:w="0" w:type="auto"/>
            <w:tcBorders>
              <w:top w:val="nil"/>
              <w:left w:val="nil"/>
              <w:bottom w:val="nil"/>
              <w:right w:val="nil"/>
            </w:tcBorders>
          </w:tcPr>
          <w:p w:rsidR="005E60AE" w:rsidRPr="00141359" w:rsidRDefault="005E60AE" w:rsidP="00A31EC0">
            <w:pPr>
              <w:rPr>
                <w:lang w:val="en-GB"/>
              </w:rPr>
            </w:pPr>
          </w:p>
        </w:tc>
      </w:tr>
    </w:tbl>
    <w:p w:rsidR="00ED3754" w:rsidRDefault="00ED3754" w:rsidP="005004C9">
      <w:pPr>
        <w:rPr>
          <w:lang w:val="en-GB"/>
        </w:rPr>
        <w:sectPr w:rsidR="00ED3754" w:rsidSect="00E172C8">
          <w:pgSz w:w="15840" w:h="12240" w:orient="landscape" w:code="1"/>
          <w:pgMar w:top="1440" w:right="1800" w:bottom="1440" w:left="1800" w:header="720" w:footer="1440" w:gutter="0"/>
          <w:cols w:space="720"/>
          <w:vAlign w:val="center"/>
          <w:noEndnote/>
          <w:docGrid w:linePitch="360"/>
        </w:sectPr>
      </w:pPr>
    </w:p>
    <w:p w:rsidR="00024AEB" w:rsidRDefault="00024AEB" w:rsidP="00B72291">
      <w:pPr>
        <w:rPr>
          <w:lang w:val="en-GB"/>
        </w:rPr>
      </w:pPr>
      <w:proofErr w:type="gramStart"/>
      <w:r w:rsidRPr="00141359">
        <w:rPr>
          <w:lang w:val="en-GB"/>
        </w:rPr>
        <w:lastRenderedPageBreak/>
        <w:t>cases</w:t>
      </w:r>
      <w:proofErr w:type="gramEnd"/>
      <w:r w:rsidRPr="00141359">
        <w:rPr>
          <w:lang w:val="en-GB"/>
        </w:rPr>
        <w:t xml:space="preserve"> for distinguishing the two time periods evident in each sensitivity test, as can be seen in </w:t>
      </w:r>
      <w:r w:rsidR="00F01773">
        <w:rPr>
          <w:lang w:val="en-GB"/>
        </w:rPr>
        <w:fldChar w:fldCharType="begin"/>
      </w:r>
      <w:r>
        <w:rPr>
          <w:lang w:val="en-GB"/>
        </w:rPr>
        <w:instrText xml:space="preserve"> REF _Ref417397970 \h </w:instrText>
      </w:r>
      <w:r w:rsidR="00F01773">
        <w:rPr>
          <w:lang w:val="en-GB"/>
        </w:rPr>
      </w:r>
      <w:r w:rsidR="00F01773">
        <w:rPr>
          <w:lang w:val="en-GB"/>
        </w:rPr>
        <w:fldChar w:fldCharType="separate"/>
      </w:r>
      <w:r w:rsidR="00867AA7" w:rsidRPr="00FD1EC2">
        <w:t xml:space="preserve">Fig. </w:t>
      </w:r>
      <w:r w:rsidR="00867AA7">
        <w:rPr>
          <w:noProof/>
        </w:rPr>
        <w:t>1</w:t>
      </w:r>
      <w:r w:rsidR="00867AA7">
        <w:t>.</w:t>
      </w:r>
      <w:r w:rsidR="00867AA7">
        <w:rPr>
          <w:noProof/>
        </w:rPr>
        <w:t>3</w:t>
      </w:r>
      <w:r w:rsidR="00F01773">
        <w:rPr>
          <w:lang w:val="en-GB"/>
        </w:rPr>
        <w:fldChar w:fldCharType="end"/>
      </w:r>
      <w:proofErr w:type="spellStart"/>
      <w:r w:rsidRPr="00141359">
        <w:rPr>
          <w:lang w:val="en-GB"/>
        </w:rPr>
        <w:t>a,b</w:t>
      </w:r>
      <w:proofErr w:type="spellEnd"/>
      <w:r w:rsidRPr="00141359">
        <w:rPr>
          <w:lang w:val="en-GB"/>
        </w:rPr>
        <w:t xml:space="preserve"> and tested by AICc competition in column eight in </w:t>
      </w:r>
      <w:r w:rsidR="00F01773">
        <w:rPr>
          <w:lang w:val="en-GB"/>
        </w:rPr>
        <w:fldChar w:fldCharType="begin"/>
      </w:r>
      <w:r>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Pr="00141359">
        <w:rPr>
          <w:lang w:val="en-GB"/>
        </w:rPr>
        <w:t>. When using a watershed budget larger than 10, there was a larger negative trend in changing priorities in the earlier time period than the later (</w:t>
      </w:r>
      <w:r w:rsidR="00F01773">
        <w:rPr>
          <w:lang w:val="en-GB"/>
        </w:rPr>
        <w:fldChar w:fldCharType="begin"/>
      </w:r>
      <w:r>
        <w:rPr>
          <w:lang w:val="en-GB"/>
        </w:rPr>
        <w:instrText xml:space="preserve"> REF _Ref417397970 \h </w:instrText>
      </w:r>
      <w:r w:rsidR="00F01773">
        <w:rPr>
          <w:lang w:val="en-GB"/>
        </w:rPr>
      </w:r>
      <w:r w:rsidR="00F01773">
        <w:rPr>
          <w:lang w:val="en-GB"/>
        </w:rPr>
        <w:fldChar w:fldCharType="separate"/>
      </w:r>
      <w:r w:rsidR="00867AA7" w:rsidRPr="00FD1EC2">
        <w:t xml:space="preserve">Fig. </w:t>
      </w:r>
      <w:r w:rsidR="00867AA7">
        <w:rPr>
          <w:noProof/>
        </w:rPr>
        <w:t>1</w:t>
      </w:r>
      <w:r w:rsidR="00867AA7">
        <w:t>.</w:t>
      </w:r>
      <w:r w:rsidR="00867AA7">
        <w:rPr>
          <w:noProof/>
        </w:rPr>
        <w:t>3</w:t>
      </w:r>
      <w:r w:rsidR="00F01773">
        <w:rPr>
          <w:lang w:val="en-GB"/>
        </w:rPr>
        <w:fldChar w:fldCharType="end"/>
      </w:r>
      <w:proofErr w:type="spellStart"/>
      <w:r w:rsidRPr="00141359">
        <w:rPr>
          <w:lang w:val="en-GB"/>
        </w:rPr>
        <w:t>a</w:t>
      </w:r>
      <w:proofErr w:type="gramStart"/>
      <w:r w:rsidRPr="00141359">
        <w:rPr>
          <w:lang w:val="en-GB"/>
        </w:rPr>
        <w:t>,b</w:t>
      </w:r>
      <w:proofErr w:type="spellEnd"/>
      <w:proofErr w:type="gramEnd"/>
      <w:r w:rsidRPr="00141359">
        <w:rPr>
          <w:lang w:val="en-GB"/>
        </w:rPr>
        <w:t xml:space="preserve">, </w:t>
      </w:r>
      <w:r w:rsidR="00F01773">
        <w:rPr>
          <w:lang w:val="en-GB"/>
        </w:rPr>
        <w:fldChar w:fldCharType="begin"/>
      </w:r>
      <w:r>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Pr="00141359">
        <w:rPr>
          <w:lang w:val="en-GB"/>
        </w:rPr>
        <w:t xml:space="preserve">: </w:t>
      </w:r>
      <w:r>
        <w:rPr>
          <w:lang w:val="en-GB"/>
        </w:rPr>
        <w:t>columns 4,5</w:t>
      </w:r>
      <w:r w:rsidRPr="00141359">
        <w:rPr>
          <w:lang w:val="en-GB"/>
        </w:rPr>
        <w:t xml:space="preserve">). Last, as we increased the watershed budget, the changing effect of additional EOs on priorities decreased more gradually in the first time period (moving down fourth column in </w:t>
      </w:r>
      <w:r w:rsidR="00F01773">
        <w:rPr>
          <w:lang w:val="en-GB"/>
        </w:rPr>
        <w:fldChar w:fldCharType="begin"/>
      </w:r>
      <w:r>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Pr="00141359">
        <w:rPr>
          <w:lang w:val="en-GB"/>
        </w:rPr>
        <w:t>).</w:t>
      </w:r>
    </w:p>
    <w:p w:rsidR="00BC0AA6" w:rsidRPr="00141359" w:rsidRDefault="00BC0AA6" w:rsidP="00B72291">
      <w:pPr>
        <w:rPr>
          <w:lang w:val="en-GB"/>
        </w:rPr>
      </w:pPr>
      <w:r w:rsidRPr="00141359">
        <w:rPr>
          <w:lang w:val="en-GB"/>
        </w:rPr>
        <w:tab/>
        <w:t xml:space="preserve">Finally, we tested if the continuing change in priorities apparent in </w:t>
      </w:r>
      <w:r w:rsidR="00F01773">
        <w:rPr>
          <w:lang w:val="en-GB"/>
        </w:rPr>
        <w:fldChar w:fldCharType="begin"/>
      </w:r>
      <w:r w:rsidR="00883C8C">
        <w:rPr>
          <w:lang w:val="en-GB"/>
        </w:rPr>
        <w:instrText xml:space="preserve"> REF _Ref417397970 \h </w:instrText>
      </w:r>
      <w:r w:rsidR="00F01773">
        <w:rPr>
          <w:lang w:val="en-GB"/>
        </w:rPr>
      </w:r>
      <w:r w:rsidR="00F01773">
        <w:rPr>
          <w:lang w:val="en-GB"/>
        </w:rPr>
        <w:fldChar w:fldCharType="separate"/>
      </w:r>
      <w:r w:rsidR="00867AA7" w:rsidRPr="00FD1EC2">
        <w:t xml:space="preserve">Fig. </w:t>
      </w:r>
      <w:r w:rsidR="00867AA7">
        <w:rPr>
          <w:noProof/>
        </w:rPr>
        <w:t>1</w:t>
      </w:r>
      <w:r w:rsidR="00867AA7">
        <w:t>.</w:t>
      </w:r>
      <w:r w:rsidR="00867AA7">
        <w:rPr>
          <w:noProof/>
        </w:rPr>
        <w:t>3</w:t>
      </w:r>
      <w:r w:rsidR="00F01773">
        <w:rPr>
          <w:lang w:val="en-GB"/>
        </w:rPr>
        <w:fldChar w:fldCharType="end"/>
      </w:r>
      <w:proofErr w:type="spellStart"/>
      <w:r w:rsidRPr="00141359">
        <w:rPr>
          <w:lang w:val="en-GB"/>
        </w:rPr>
        <w:t>a</w:t>
      </w:r>
      <w:proofErr w:type="gramStart"/>
      <w:r w:rsidRPr="00141359">
        <w:rPr>
          <w:lang w:val="en-GB"/>
        </w:rPr>
        <w:t>,b</w:t>
      </w:r>
      <w:proofErr w:type="spellEnd"/>
      <w:proofErr w:type="gramEnd"/>
      <w:r w:rsidRPr="00141359">
        <w:rPr>
          <w:lang w:val="en-GB"/>
        </w:rPr>
        <w:t xml:space="preserve"> might continue into the future if data collection conditions persist. The results of this analysis can be seen in the last two columns of </w:t>
      </w:r>
      <w:r w:rsidR="00F01773">
        <w:rPr>
          <w:lang w:val="en-GB"/>
        </w:rPr>
        <w:fldChar w:fldCharType="begin"/>
      </w:r>
      <w:r w:rsidR="00423D18">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Pr="00141359">
        <w:rPr>
          <w:lang w:val="en-GB"/>
        </w:rPr>
        <w:t xml:space="preserve">. Bold values in the last two columns of </w:t>
      </w:r>
      <w:r w:rsidR="00F01773">
        <w:rPr>
          <w:lang w:val="en-GB"/>
        </w:rPr>
        <w:fldChar w:fldCharType="begin"/>
      </w:r>
      <w:r w:rsidR="00423D18">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00423D18">
        <w:rPr>
          <w:lang w:val="en-GB"/>
        </w:rPr>
        <w:t xml:space="preserve"> </w:t>
      </w:r>
      <w:r w:rsidRPr="00141359">
        <w:rPr>
          <w:lang w:val="en-GB"/>
        </w:rPr>
        <w:t>reveal that under several sensitivity tests we expect additional EOs to continue to affect priorities if collection conditions persist. For instance, when we used a watershed budget of 60, we predicted an effect of one year of EOs in both 2010 and 2030. Contrarily, in four cases additional EOs affected priorities in 2010 (</w:t>
      </w:r>
      <w:r w:rsidR="00F01773">
        <w:rPr>
          <w:lang w:val="en-GB"/>
        </w:rPr>
        <w:fldChar w:fldCharType="begin"/>
      </w:r>
      <w:r w:rsidR="00423D18">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00423D18">
        <w:rPr>
          <w:lang w:val="en-GB"/>
        </w:rPr>
        <w:t>:</w:t>
      </w:r>
      <w:r w:rsidRPr="00141359">
        <w:rPr>
          <w:lang w:val="en-GB"/>
        </w:rPr>
        <w:t xml:space="preserve"> column 9) but are no</w:t>
      </w:r>
      <w:r>
        <w:rPr>
          <w:lang w:val="en-GB"/>
        </w:rPr>
        <w:t>t</w:t>
      </w:r>
      <w:r w:rsidRPr="00141359">
        <w:rPr>
          <w:lang w:val="en-GB"/>
        </w:rPr>
        <w:t xml:space="preserve"> predicted to do so in 2030 (</w:t>
      </w:r>
      <w:r w:rsidR="00F01773">
        <w:rPr>
          <w:lang w:val="en-GB"/>
        </w:rPr>
        <w:fldChar w:fldCharType="begin"/>
      </w:r>
      <w:r w:rsidR="00423D18">
        <w:rPr>
          <w:lang w:val="en-GB"/>
        </w:rPr>
        <w:instrText xml:space="preserve"> REF _Ref417398305 \h </w:instrText>
      </w:r>
      <w:r w:rsidR="00F01773">
        <w:rPr>
          <w:lang w:val="en-GB"/>
        </w:rPr>
      </w:r>
      <w:r w:rsidR="00F01773">
        <w:rPr>
          <w:lang w:val="en-GB"/>
        </w:rPr>
        <w:fldChar w:fldCharType="separate"/>
      </w:r>
      <w:r w:rsidR="00867AA7">
        <w:t xml:space="preserve">Table </w:t>
      </w:r>
      <w:r w:rsidR="00867AA7">
        <w:rPr>
          <w:noProof/>
        </w:rPr>
        <w:t>1</w:t>
      </w:r>
      <w:r w:rsidR="00867AA7">
        <w:t>.</w:t>
      </w:r>
      <w:r w:rsidR="00867AA7">
        <w:rPr>
          <w:noProof/>
        </w:rPr>
        <w:t>1</w:t>
      </w:r>
      <w:r w:rsidR="00F01773">
        <w:rPr>
          <w:lang w:val="en-GB"/>
        </w:rPr>
        <w:fldChar w:fldCharType="end"/>
      </w:r>
      <w:r w:rsidR="00423D18">
        <w:rPr>
          <w:lang w:val="en-GB"/>
        </w:rPr>
        <w:t>:</w:t>
      </w:r>
      <w:r w:rsidRPr="00141359">
        <w:rPr>
          <w:lang w:val="en-GB"/>
        </w:rPr>
        <w:t xml:space="preserve"> last column). The even split in the results of this part of our analysis, along with the fact that we performed extrapolation, makes it unclear how common the continuing </w:t>
      </w:r>
      <w:r>
        <w:rPr>
          <w:lang w:val="en-GB"/>
        </w:rPr>
        <w:t>e</w:t>
      </w:r>
      <w:r w:rsidRPr="00141359">
        <w:rPr>
          <w:lang w:val="en-GB"/>
        </w:rPr>
        <w:t>ffect of additional EOs will be in the future</w:t>
      </w:r>
      <w:r>
        <w:rPr>
          <w:lang w:val="en-GB"/>
        </w:rPr>
        <w:t xml:space="preserve"> for our study system</w:t>
      </w:r>
      <w:r w:rsidRPr="00141359">
        <w:rPr>
          <w:lang w:val="en-GB"/>
        </w:rPr>
        <w:t>.</w:t>
      </w:r>
    </w:p>
    <w:p w:rsidR="00BC0AA6" w:rsidRPr="00141359" w:rsidRDefault="00BC0AA6" w:rsidP="00B72291">
      <w:pPr>
        <w:rPr>
          <w:lang w:val="en-GB"/>
        </w:rPr>
      </w:pPr>
      <w:r w:rsidRPr="00141359">
        <w:rPr>
          <w:lang w:val="en-GB"/>
        </w:rPr>
        <w:tab/>
        <w:t>In Appendix S1 we describe results for other sensitivity tests including our choice of conservation objective and controls for data reliability and sampling bias.</w:t>
      </w:r>
    </w:p>
    <w:p w:rsidR="00BC0AA6" w:rsidRPr="00141359" w:rsidRDefault="00BC0AA6" w:rsidP="000131D1">
      <w:pPr>
        <w:pStyle w:val="Heading2"/>
        <w:rPr>
          <w:lang w:val="en-GB"/>
        </w:rPr>
      </w:pPr>
      <w:bookmarkStart w:id="34" w:name="_Toc417646756"/>
      <w:bookmarkStart w:id="35" w:name="_Toc421352866"/>
      <w:r w:rsidRPr="00141359">
        <w:rPr>
          <w:lang w:val="en-GB"/>
        </w:rPr>
        <w:t>Discussion</w:t>
      </w:r>
      <w:bookmarkEnd w:id="34"/>
      <w:bookmarkEnd w:id="35"/>
    </w:p>
    <w:p w:rsidR="00BC0AA6" w:rsidRPr="00141359" w:rsidRDefault="00BC0AA6" w:rsidP="000131D1">
      <w:pPr>
        <w:rPr>
          <w:lang w:val="en-GB"/>
        </w:rPr>
      </w:pPr>
      <w:r w:rsidRPr="00141359">
        <w:rPr>
          <w:lang w:val="en-GB"/>
        </w:rPr>
        <w:t xml:space="preserve">How do additional observations of species change spatial conservation priorities? The importance of this question should be evident by the growing spatial prioritization literature </w:t>
      </w:r>
      <w:r w:rsidR="00F01773" w:rsidRPr="00141359">
        <w:rPr>
          <w:lang w:val="en-GB"/>
        </w:rPr>
        <w:fldChar w:fldCharType="begin" w:fldLock="1"/>
      </w:r>
      <w:r w:rsidR="00B32474">
        <w:rPr>
          <w:lang w:val="en-GB"/>
        </w:rPr>
        <w:instrText>ADDIN CSL_CITATION { "citationItems" : [ { "id" : "ITEM-1", "itemData" : { "DOI" : "10.1111/brv.12008", "ISSN" : "1469-185X", "abstract" : "Systematic conservation planning (SCP) is a field of conservation biology concerned with delivering on-the-ground actions that achieve conservation goals. It describes a set of operational models that cover both design and implementation of conservation, with a strong focus on mobilising the collective action typically required to implement conservation. SCP, as it was originally described, was composed of six different stages: collection of data, identification of conservation goals, evaluation of the existing protected area network, design of expansions, implementation of conservation action, and long-term maintenance of biodiversity in the network. Since then, the operational model has been expanded into several different variants. Conservation actions applied inside SCP include establishment and expansion of reserve networks and allocation of habitat restoration and management.Within the broader context of SCP, there is a fundamental biogeographic-economic analysis frequently called spatial conservation prioritisation or conservation assessment, which is used for identifying where important areas for biodiversity are and how conservation goals might be achieved efficiently. Here, we review the usage and meaning of the 12 biogeographic-economic core concepts of SCP: adequacy, complementarity, comprehensiveness, effectiveness, efficiency, flexibility, irreplaceability, replacement cost, representation, representativeness, threat, and vulnerability. Some of the concepts have clear definitions whereas others may have alternative and possibly conflicting definitions. With a comprehensive literature review literature, we elucidate the historical backgrounds of these concepts, the first definitions and usages, alternative later definitions, key applications, and prior reviews. This review reduces linguistic uncertainty in the application of SCP. Since SCP is a global activity with a multitude of different stakeholders involved, it is vital that those involved can speak the same language. Through these concepts, this review serves as a source of information about the historical development of SCP. It provides a comprehensive review for anyone wishing to understand the key concepts of spatial prioritisation within SCP.", "author" : [ { "dropping-particle" : "", "family" : "Kukkala", "given" : "Aija S", "non-dropping-particle" : "", "parse-names" : false, "suffix" : "" }, { "dropping-particle" : "", "family" : "Moilanen", "given" : "Atte", "non-dropping-particle" : "", "parse-names" : false, "suffix" : "" } ], "container-title" : "Biological Reviews", "id" : "ITEM-1", "issue" : "2", "issued" : { "date-parts" : [ [ "2013" ] ] }, "page" : "443-464", "publisher" : "Blackwell Publishing Ltd", "title" : "Core concepts of spatial prioritisation in systematic conservation planning", "type" : "article-journal", "volume" : "88" }, "uris" : [ "http://www.mendeley.com/documents/?uuid=761dee41-1704-44b2-b3dc-4f5cd886ae11" ] } ], "mendeley" : { "formattedCitation" : "(Kukkala &amp; Moilanen 2013)", "plainTextFormattedCitation" : "(Kukkala &amp; Moilanen 2013)", "previouslyFormattedCitation" : "(Kukkala &amp; Moilanen 2013)" }, "properties" : { "noteIndex" : 0 }, "schema" : "https://github.com/citation-style-language/schema/raw/master/csl-citation.json" }</w:instrText>
      </w:r>
      <w:r w:rsidR="00F01773" w:rsidRPr="00141359">
        <w:rPr>
          <w:lang w:val="en-GB"/>
        </w:rPr>
        <w:fldChar w:fldCharType="separate"/>
      </w:r>
      <w:r w:rsidRPr="00141359">
        <w:rPr>
          <w:noProof/>
          <w:lang w:val="en-GB"/>
        </w:rPr>
        <w:t>(Kukkala &amp; Moilanen 2013)</w:t>
      </w:r>
      <w:r w:rsidR="00F01773" w:rsidRPr="00141359">
        <w:rPr>
          <w:lang w:val="en-GB"/>
        </w:rPr>
        <w:fldChar w:fldCharType="end"/>
      </w:r>
      <w:r w:rsidRPr="00141359">
        <w:rPr>
          <w:lang w:val="en-GB"/>
        </w:rPr>
        <w:t xml:space="preserve"> as well as the ongoing use of opportunistically collected element occurrences (EOs) for prioritization. We addressed this question by examining how the ranking of watersheds in the U.S. state of Tennessee changed as species observations were recorded over the past century. We ranked watersheds by their </w:t>
      </w:r>
      <w:r>
        <w:rPr>
          <w:lang w:val="en-GB"/>
        </w:rPr>
        <w:t xml:space="preserve">complementary </w:t>
      </w:r>
      <w:r w:rsidRPr="00141359">
        <w:rPr>
          <w:lang w:val="en-GB"/>
        </w:rPr>
        <w:t xml:space="preserve">contribution to conserving </w:t>
      </w:r>
      <w:r>
        <w:rPr>
          <w:lang w:val="en-GB"/>
        </w:rPr>
        <w:t>species richness</w:t>
      </w:r>
      <w:r w:rsidRPr="00141359">
        <w:rPr>
          <w:lang w:val="en-GB"/>
        </w:rPr>
        <w:t xml:space="preserve"> and assessed how our results were affected by the number of watersheds considered for conservation action. Our methods and results can give insight into state</w:t>
      </w:r>
      <w:r>
        <w:rPr>
          <w:lang w:val="en-GB"/>
        </w:rPr>
        <w:t>-</w:t>
      </w:r>
      <w:r w:rsidRPr="00141359">
        <w:rPr>
          <w:lang w:val="en-GB"/>
        </w:rPr>
        <w:t>level prioritizations for watershed actions that focus on across-watershed complementary richness, to areas early in data collection and to those with a long history of species observations.</w:t>
      </w:r>
    </w:p>
    <w:p w:rsidR="00BC0AA6" w:rsidRPr="00141359" w:rsidRDefault="00BC0AA6" w:rsidP="000131D1">
      <w:pPr>
        <w:ind w:firstLine="720"/>
        <w:rPr>
          <w:lang w:val="en-GB"/>
        </w:rPr>
      </w:pPr>
      <w:r w:rsidRPr="00141359">
        <w:rPr>
          <w:lang w:val="en-GB"/>
        </w:rPr>
        <w:t xml:space="preserve">Perhaps our most important finding is that when additional data have a significant effect on priorities in 2010, additional data are also likely (54% of cases) to have a significant effect in the future if data </w:t>
      </w:r>
      <w:r w:rsidRPr="00141359">
        <w:rPr>
          <w:lang w:val="en-GB"/>
        </w:rPr>
        <w:lastRenderedPageBreak/>
        <w:t xml:space="preserve">collection conditions hold. Because our complementarity analysis uses species identities to determine priorities, small additions of infrequently occurring species have a larger effect on priorities than when prioritizing by local species richness only (e.g. Appendix S1), and we expect this to persist in the future as long as data collection conditions continue. </w:t>
      </w:r>
    </w:p>
    <w:p w:rsidR="00BC0AA6" w:rsidRPr="00141359" w:rsidRDefault="00BC0AA6" w:rsidP="000131D1">
      <w:pPr>
        <w:ind w:firstLine="720"/>
        <w:rPr>
          <w:lang w:val="en-GB"/>
        </w:rPr>
      </w:pPr>
      <w:r w:rsidRPr="00141359">
        <w:rPr>
          <w:lang w:val="en-GB"/>
        </w:rPr>
        <w:t>Another key take-home</w:t>
      </w:r>
      <w:r>
        <w:rPr>
          <w:lang w:val="en-GB"/>
        </w:rPr>
        <w:t xml:space="preserve"> message</w:t>
      </w:r>
      <w:r w:rsidRPr="00141359">
        <w:rPr>
          <w:lang w:val="en-GB"/>
        </w:rPr>
        <w:t xml:space="preserve"> from our analysis is that additional observations tended to have a decreasing effect on priorities as we amassed data. While this phenomenon is well documented in studies focusing on the accuracy of prioritizations </w:t>
      </w:r>
      <w:r w:rsidR="00F01773" w:rsidRPr="00141359">
        <w:rPr>
          <w:lang w:val="en-GB"/>
        </w:rPr>
        <w:fldChar w:fldCharType="begin" w:fldLock="1"/>
      </w:r>
      <w:r w:rsidR="00B32474">
        <w:rPr>
          <w:lang w:val="en-GB"/>
        </w:rPr>
        <w:instrText>ADDIN CSL_CITATION { "citationItems" : [ { "id" : "ITEM-1", "itemData" : { "DOI" : "10.1111/j.1755-263X.2008.00029.x", "ISSN" : "1755263X", "author" : [ { "dropping-particle" : "", "family" : "Grantham", "given" : "Hedley S.", "non-dropping-particle" : "", "parse-names" : false, "suffix" : "" }, { "dropping-particle" : "", "family" : "Moilanen", "given" : "Atte", "non-dropping-particle" : "", "parse-names" : false, "suffix" : "" }, { "dropping-particle" : "", "family" : "Wilson", "given" : "Kerrie A.", "non-dropping-particle" : "", "parse-names" : false, "suffix" : "" }, { "dropping-particle" : "", "family" : "Pressey", "given" : "Robert L.", "non-dropping-particle" : "", "parse-names" : false, "suffix" : "" }, { "dropping-particle" : "", "family" : "Rebelo", "given" : "Tony G.", "non-dropping-particle" : "", "parse-names" : false, "suffix" : "" }, { "dropping-particle" : "", "family" : "Possingham", "given" : "Hugh P.", "non-dropping-particle" : "", "parse-names" : false, "suffix" : "" } ], "container-title" : "Conservation Letters", "id" : "ITEM-1", "issue" : "4", "issued" : { "date-parts" : [ [ "2008", "9", "11" ] ] }, "note" : "Look at how different levels of investment in initial biodiversity surveying affects effectiveness of reserves. They take a full dataset, 1) subset the dataset by some number of records, 2) use the smaller dataset to predict species ranges, 3) use the predicted ranges to conserve the most species in a dynamic conservation/land change model over 10 years, 4) measure the effectiveness of the reserve system at the end of the model. Their site selection algorithm chooses the site(s) that add the most species to the current system. They find that collecting a little data is a huge help, while collecting a lot is not much different than collecting a little more (i.e. diminishing returns). They also find that using land cover classifications as a proxy do not work very well compared to a little surveying.", "page" : "190-198", "title" : "Diminishing return on investment for biodiversity data in conservation planning", "type" : "article-journal", "volume" : "1" }, "uris" : [ "http://www.mendeley.com/documents/?uuid=0e34dd9d-a10e-493d-a30e-66dd8686d04a" ] } ], "mendeley" : { "formattedCitation" : "(Grantham &lt;i&gt;et al.&lt;/i&gt; 2008)", "plainTextFormattedCitation" : "(Grantham et al. 2008)", "previouslyFormattedCitation" : "(Grantham &lt;i&gt;et al.&lt;/i&gt; 2008)"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(Grantham </w:t>
      </w:r>
      <w:r w:rsidRPr="00B42A6C">
        <w:rPr>
          <w:i/>
          <w:noProof/>
          <w:lang w:val="en-GB"/>
        </w:rPr>
        <w:t>et al.</w:t>
      </w:r>
      <w:r w:rsidRPr="00B42A6C">
        <w:rPr>
          <w:noProof/>
          <w:lang w:val="en-GB"/>
        </w:rPr>
        <w:t xml:space="preserve"> 2008)</w:t>
      </w:r>
      <w:r w:rsidR="00F01773" w:rsidRPr="00141359">
        <w:rPr>
          <w:lang w:val="en-GB"/>
        </w:rPr>
        <w:fldChar w:fldCharType="end"/>
      </w:r>
      <w:r w:rsidRPr="00141359">
        <w:rPr>
          <w:lang w:val="en-GB"/>
        </w:rPr>
        <w:t xml:space="preserve">, we offer a novel data context and explanation for why this occurs. The causal mechanism is due to the complementarity goal we used: additional observations increased the evenness of assemblages across watersheds, lowering the probability that one more observation in a watershed made that watershed necessary for a high-richness solution. </w:t>
      </w:r>
    </w:p>
    <w:p w:rsidR="00BC0AA6" w:rsidRPr="00141359" w:rsidRDefault="00BC0AA6" w:rsidP="000131D1">
      <w:pPr>
        <w:ind w:firstLine="720"/>
        <w:rPr>
          <w:lang w:val="en-GB"/>
        </w:rPr>
      </w:pPr>
      <w:r w:rsidRPr="00141359">
        <w:rPr>
          <w:lang w:val="en-GB"/>
        </w:rPr>
        <w:t xml:space="preserve">Our results have multiple competing consequences for conservation. In cases similar to ours, new observations may continue to significantly determine current spatial priorities and thus should be collected for that purpose. At the same time, </w:t>
      </w:r>
      <w:r>
        <w:rPr>
          <w:lang w:val="en-GB"/>
        </w:rPr>
        <w:t xml:space="preserve">current </w:t>
      </w:r>
      <w:r w:rsidRPr="00141359">
        <w:rPr>
          <w:lang w:val="en-GB"/>
        </w:rPr>
        <w:t xml:space="preserve">prioritizations will not necessarily match those </w:t>
      </w:r>
      <w:r>
        <w:rPr>
          <w:lang w:val="en-GB"/>
        </w:rPr>
        <w:t>for</w:t>
      </w:r>
      <w:r w:rsidRPr="00141359">
        <w:rPr>
          <w:lang w:val="en-GB"/>
        </w:rPr>
        <w:t xml:space="preserve"> next year, so we do not expect additional observations to determine, on their own, long-term priorities. Our results also suggest that initial observations in data-poor regions will have the greatest effect on determining priorities. Subsequent observations then serve to refine those priorities. Finally, we found that our results were sensitive to conservation goals and to controls for data reliability and sampling bias (Appendix S1). Specifically, when ranking by local richness, the degree of decrease in priority changes over time was smaller as was the overall magnitude. Similarly, when ranking by local richness, future priorities are only expected to be affected by additional EOs when using a low tolerance for data reliability. The weaker effect of additional EOs on priorities when ranking by local richness is because the local richness objective ignores what is unique about different watersheds and thus misses influential variation in the data. Taking our results in aggregate, we suggest that the most effort in species observation be put forth early when a conservation group enters a new area. However, species observations should not cease since new observations will help refine priorities and update them as conditions change.</w:t>
      </w:r>
      <w:r>
        <w:rPr>
          <w:lang w:val="en-GB"/>
        </w:rPr>
        <w:t xml:space="preserve"> In locations other than Tennessee, we expect similar patterns. The time in the collection record at which the qualitative shift from large changes in priorities with a rapid decrease in changes to smaller, but persistent changes in priorities – characterized in </w:t>
      </w:r>
      <w:r w:rsidR="00F01773">
        <w:rPr>
          <w:lang w:val="en-GB"/>
        </w:rPr>
        <w:fldChar w:fldCharType="begin"/>
      </w:r>
      <w:r w:rsidR="00883C8C">
        <w:rPr>
          <w:lang w:val="en-GB"/>
        </w:rPr>
        <w:instrText xml:space="preserve"> REF _Ref417397970 \h </w:instrText>
      </w:r>
      <w:r w:rsidR="00F01773">
        <w:rPr>
          <w:lang w:val="en-GB"/>
        </w:rPr>
      </w:r>
      <w:r w:rsidR="00F01773">
        <w:rPr>
          <w:lang w:val="en-GB"/>
        </w:rPr>
        <w:fldChar w:fldCharType="separate"/>
      </w:r>
      <w:r w:rsidR="00867AA7" w:rsidRPr="00FD1EC2">
        <w:t xml:space="preserve">Fig. </w:t>
      </w:r>
      <w:r w:rsidR="00867AA7">
        <w:rPr>
          <w:noProof/>
        </w:rPr>
        <w:t>1</w:t>
      </w:r>
      <w:r w:rsidR="00867AA7">
        <w:t>.</w:t>
      </w:r>
      <w:r w:rsidR="00867AA7">
        <w:rPr>
          <w:noProof/>
        </w:rPr>
        <w:t>3</w:t>
      </w:r>
      <w:r w:rsidR="00F01773">
        <w:rPr>
          <w:lang w:val="en-GB"/>
        </w:rPr>
        <w:fldChar w:fldCharType="end"/>
      </w:r>
      <w:proofErr w:type="spellStart"/>
      <w:r>
        <w:rPr>
          <w:lang w:val="en-GB"/>
        </w:rPr>
        <w:t>a,b</w:t>
      </w:r>
      <w:proofErr w:type="spellEnd"/>
      <w:r>
        <w:rPr>
          <w:lang w:val="en-GB"/>
        </w:rPr>
        <w:t xml:space="preserve"> – will depend on the conservation context. Managers in other locations could therefore use an analysis such as ours to determine the balance of data collection and conservation actions over time. </w:t>
      </w:r>
    </w:p>
    <w:p w:rsidR="00BC0AA6" w:rsidRPr="00141359" w:rsidRDefault="00BC0AA6" w:rsidP="000131D1">
      <w:pPr>
        <w:ind w:firstLine="720"/>
        <w:rPr>
          <w:lang w:val="en-GB"/>
        </w:rPr>
      </w:pPr>
      <w:r w:rsidRPr="00141359">
        <w:rPr>
          <w:lang w:val="en-GB"/>
        </w:rPr>
        <w:lastRenderedPageBreak/>
        <w:t xml:space="preserve">Measures of performance of conservation plans enable decision makers to assess whether more information is needed before acting </w:t>
      </w:r>
      <w:r w:rsidR="00F01773" w:rsidRPr="00141359">
        <w:rPr>
          <w:lang w:val="en-GB"/>
        </w:rPr>
        <w:fldChar w:fldCharType="begin" w:fldLock="1"/>
      </w:r>
      <w:r w:rsidR="00B32474">
        <w:rPr>
          <w:lang w:val="en-GB"/>
        </w:rPr>
        <w:instrText>ADDIN CSL_CITATION { "citationItems" : [ { "id" : "ITEM-1", "itemData" : { "abstract" : "The reserve site selection problem is to select sites for the establishment of biological reserves with the goal to maximize the number of species contained in the reserves.When species distributions are known, this corresponds to the maximal coverage problem. In practice, knowledge of species distributions may be incomplete and only incidence probabilities are available. In this case, the goal is to maximize the expected number of species contained in the reserves. This is called the maximal expected coverage problem. This paper describes and illustrates a formal approach to assess the value of information, such as site surveys or species surveys, in this problem.", "author" : [ { "dropping-particle" : "", "family" : "Polasky", "given" : "Stephen", "non-dropping-particle" : "", "parse-names" : false, "suffix" : "" }, { "dropping-particle" : "", "family" : "Solow", "given" : "Andrew R", "non-dropping-particle" : "", "parse-names" : false, "suffix" : "" } ], "container-title" : "Biodiversity and Conservation", "id" : "ITEM-1", "issued" : { "date-parts" : [ [ "2001" ] ] }, "note" : "Look at how the value of information about the presence/absence of species in sites changes as the proportion of sites selected, the detectability of species changes, and the actual probability of species presence changes. They look at the maximal expected coverage problem, where you are attempting to maximize the expected number of species covered by the sites you select. They use few (5) species and 1 or 2 species to illustrate.", "page" : "1051-1058", "title" : "The value of information in reserve site selection", "type" : "article-journal", "volume" : "10" }, "uris" : [ "http://www.mendeley.com/documents/?uuid=da2ed81a-18d7-4ce7-89dd-b4b4661e03d1" ] } ], "mendeley" : { "formattedCitation" : "(Polasky &amp; Solow 2001)", "plainTextFormattedCitation" : "(Polasky &amp; Solow 2001)", "previouslyFormattedCitation" : "(Polasky &amp; Solow 2001)" }, "properties" : { "noteIndex" : 0 }, "schema" : "https://github.com/citation-style-language/schema/raw/master/csl-citation.json" }</w:instrText>
      </w:r>
      <w:r w:rsidR="00F01773" w:rsidRPr="00141359">
        <w:rPr>
          <w:lang w:val="en-GB"/>
        </w:rPr>
        <w:fldChar w:fldCharType="separate"/>
      </w:r>
      <w:r w:rsidRPr="00141359">
        <w:rPr>
          <w:noProof/>
          <w:lang w:val="en-GB"/>
        </w:rPr>
        <w:t>(Polasky &amp; Solow 2001)</w:t>
      </w:r>
      <w:r w:rsidR="00F01773" w:rsidRPr="00141359">
        <w:rPr>
          <w:lang w:val="en-GB"/>
        </w:rPr>
        <w:fldChar w:fldCharType="end"/>
      </w:r>
      <w:r w:rsidRPr="00141359">
        <w:rPr>
          <w:lang w:val="en-GB"/>
        </w:rPr>
        <w:t xml:space="preserve">, what management actions to take </w:t>
      </w:r>
      <w:r w:rsidR="00F01773" w:rsidRPr="00141359">
        <w:rPr>
          <w:lang w:val="en-GB"/>
        </w:rPr>
        <w:fldChar w:fldCharType="begin" w:fldLock="1"/>
      </w:r>
      <w:r w:rsidR="00B32474">
        <w:rPr>
          <w:lang w:val="en-GB"/>
        </w:rPr>
        <w:instrText>ADDIN CSL_CITATION { "citationItems" : [ { "id" : "ITEM-1", "itemData" : { "author" : [ { "dropping-particle" : "", "family" : "Walters", "given" : "Carl J", "non-dropping-particle" : "", "parse-names" : false, "suffix" : "" }, { "dropping-particle" : "", "family" : "Hilborn", "given" : "Ray", "non-dropping-particle" : "", "parse-names" : false, "suffix" : "" } ], "container-title" : "Annual Review of Ecology and Systematics", "id" : "ITEM-1", "issued" : { "date-parts" : [ [ "1978" ] ] }, "page" : "157-188", "title" : "Ecological optimization and adaptive management", "type" : "article-journal", "volume" : "9" }, "uris" : [ "http://www.mendeley.com/documents/?uuid=e47a1ed9-3669-4305-9e34-a7be18f028e1" ] } ], "mendeley" : { "formattedCitation" : "(Walters &amp; Hilborn 1978)", "plainTextFormattedCitation" : "(Walters &amp; Hilborn 1978)", "previouslyFormattedCitation" : "(Walters &amp; Hilborn 1978)" }, "properties" : { "noteIndex" : 0 }, "schema" : "https://github.com/citation-style-language/schema/raw/master/csl-citation.json" }</w:instrText>
      </w:r>
      <w:r w:rsidR="00F01773" w:rsidRPr="00141359">
        <w:rPr>
          <w:lang w:val="en-GB"/>
        </w:rPr>
        <w:fldChar w:fldCharType="separate"/>
      </w:r>
      <w:r w:rsidRPr="00141359">
        <w:rPr>
          <w:noProof/>
          <w:lang w:val="en-GB"/>
        </w:rPr>
        <w:t>(Walters &amp; Hilborn 1978)</w:t>
      </w:r>
      <w:r w:rsidR="00F01773" w:rsidRPr="00141359">
        <w:rPr>
          <w:lang w:val="en-GB"/>
        </w:rPr>
        <w:fldChar w:fldCharType="end"/>
      </w:r>
      <w:r w:rsidRPr="00141359">
        <w:rPr>
          <w:lang w:val="en-GB"/>
        </w:rPr>
        <w:t xml:space="preserve">, and to rank methods for creating new plans </w:t>
      </w:r>
      <w:r w:rsidR="00F01773" w:rsidRPr="00141359">
        <w:rPr>
          <w:lang w:val="en-GB"/>
        </w:rPr>
        <w:fldChar w:fldCharType="begin" w:fldLock="1"/>
      </w:r>
      <w:r w:rsidR="00B32474">
        <w:rPr>
          <w:lang w:val="en-GB"/>
        </w:rPr>
        <w:instrText>ADDIN CSL_CITATION { "citationItems" : [ { "id" : "ITEM-1", "itemData" : { "DOI" : "10.1371/journal.pone.0011430", "abstract" : "\n&lt;p&gt;Conservation planners represent many aspects of biodiversity by using surrogates with spatial distributions readily observed or quantified, but tests of their effectiveness have produced varied and conflicting results. We identified four factors likely to have a strong influence on the apparent effectiveness of surrogates: (1) the choice of surrogate; (2) differences among study regions, which might be large and unquantified (3) the test method, that is, how effectiveness is quantified, and (4) the test features that the surrogates are intended to represent. Analysis of an unusually rich dataset enabled us, for the first time, to disentangle these factors and to compare their individual and interacting influences. Using two data-rich regions, we estimated effectiveness using five alternative methods: two forms of incidental representation, two forms of species accumulation index and irreplaceability correlation, to assess the performance of \u2018forest ecosystems\u2019 and \u2018environmental units\u2019 as surrogates for six groups of threatened species\u2014the test features\u2014mammals, birds, reptiles, frogs, plants and all of these combined. Four methods tested the effectiveness of the surrogates by selecting areas for conservation of the surrogates then estimating how effective those areas were at representing test features. One method measured the spatial match between conservation priorities for surrogates and test features. For methods that selected conservation areas, we measured effectiveness using two analytical approaches: (1) when representation targets for the surrogates were achieved (incidental representation), or (2) progressively as areas were selected (species accumulation index). We estimated the spatial correlation of conservation priorities using an index known as summed irreplaceability. In general, the effectiveness of surrogates for our taxa (mostly threatened species) was low, although environmental units tended to be more effective than forest ecosystems. The surrogates were most effective for plants and mammals and least effective for frogs and reptiles. The five testing methods differed in their rankings of effectiveness of the two surrogates in relation to different groups of test features. There were differences between study areas in terms of the effectiveness of surrogates for different test feature groups. Overall, the effectiveness of the surrogates was sensitive to all four factors. This indicates the need for caution in generalizing surrog\u2026", "author" : [ { "dropping-particle" : "", "family" : "Grantham", "given" : "Hedley S", "non-dropping-particle" : "", "parse-names" : false, "suffix" : "" }, { "dropping-particle" : "", "family" : "Pressey", "given" : "Robert L", "non-dropping-particle" : "", "parse-names" : false, "suffix" : "" }, { "dropping-particle" : "", "family" : "Wells", "given" : "Jessie A", "non-dropping-particle" : "", "parse-names" : false, "suffix" : "" }, { "dropping-particle" : "", "family" : "Beattie", "given" : "Andrew J", "non-dropping-particle" : "", "parse-names" : false, "suffix" : "" } ], "container-title" : "PLoS ONE", "id" : "ITEM-1", "issue" : "7", "issued" : { "date-parts" : [ [ "2010" ] ] }, "page" : "e11430", "publisher" : "Public Library of Science", "title" : "Effectiveness of Biodiversity Surrogates for Conservation Planning: Different Measures of Effectiveness Generate a Kaleidoscope of Variation", "type" : "article-journal", "volume" : "5" }, "uris" : [ "http://www.mendeley.com/documents/?uuid=4d2b4ab7-d5b2-4b96-8610-68203443c57e" ] } ], "mendeley" : { "formattedCitation" : "(Grantham &lt;i&gt;et al.&lt;/i&gt; 2010)", "plainTextFormattedCitation" : "(Grantham et al. 2010)", "previouslyFormattedCitation" : "(Grantham &lt;i&gt;et al.&lt;/i&gt; 2010)"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(Grantham </w:t>
      </w:r>
      <w:r w:rsidRPr="00B42A6C">
        <w:rPr>
          <w:i/>
          <w:noProof/>
          <w:lang w:val="en-GB"/>
        </w:rPr>
        <w:t>et al.</w:t>
      </w:r>
      <w:r w:rsidRPr="00B42A6C">
        <w:rPr>
          <w:noProof/>
          <w:lang w:val="en-GB"/>
        </w:rPr>
        <w:t xml:space="preserve"> 2010)</w:t>
      </w:r>
      <w:r w:rsidR="00F01773" w:rsidRPr="00141359">
        <w:rPr>
          <w:lang w:val="en-GB"/>
        </w:rPr>
        <w:fldChar w:fldCharType="end"/>
      </w:r>
      <w:r w:rsidRPr="00141359">
        <w:rPr>
          <w:lang w:val="en-GB"/>
        </w:rPr>
        <w:t>. While we did focus on differences between priorities over time, the number of species covered by choices of watersheds for conservation drove the prioritization process (Fig. 3c</w:t>
      </w:r>
      <w:proofErr w:type="gramStart"/>
      <w:r w:rsidRPr="00141359">
        <w:rPr>
          <w:lang w:val="en-GB"/>
        </w:rPr>
        <w:t>,d</w:t>
      </w:r>
      <w:proofErr w:type="gramEnd"/>
      <w:r w:rsidRPr="00141359">
        <w:rPr>
          <w:lang w:val="en-GB"/>
        </w:rPr>
        <w:t xml:space="preserve">, </w:t>
      </w:r>
      <w:r w:rsidR="00F01773">
        <w:rPr>
          <w:lang w:val="en-GB"/>
        </w:rPr>
        <w:fldChar w:fldCharType="begin"/>
      </w:r>
      <w:r w:rsidR="0022627C">
        <w:rPr>
          <w:lang w:val="en-GB"/>
        </w:rPr>
        <w:instrText xml:space="preserve"> REF _Ref417401029 \h </w:instrText>
      </w:r>
      <w:r w:rsidR="00F01773">
        <w:rPr>
          <w:lang w:val="en-GB"/>
        </w:rPr>
      </w:r>
      <w:r w:rsidR="00F01773">
        <w:rPr>
          <w:lang w:val="en-GB"/>
        </w:rPr>
        <w:fldChar w:fldCharType="separate"/>
      </w:r>
      <w:r w:rsidR="00867AA7">
        <w:t xml:space="preserve">Fig. S </w:t>
      </w:r>
      <w:r w:rsidR="00867AA7">
        <w:rPr>
          <w:noProof/>
        </w:rPr>
        <w:t>1</w:t>
      </w:r>
      <w:r w:rsidR="00867AA7">
        <w:t>.</w:t>
      </w:r>
      <w:r w:rsidR="00867AA7">
        <w:rPr>
          <w:noProof/>
        </w:rPr>
        <w:t>3</w:t>
      </w:r>
      <w:r w:rsidR="00F01773">
        <w:rPr>
          <w:lang w:val="en-GB"/>
        </w:rPr>
        <w:fldChar w:fldCharType="end"/>
      </w:r>
      <w:r w:rsidRPr="00141359">
        <w:rPr>
          <w:lang w:val="en-GB"/>
        </w:rPr>
        <w:t xml:space="preserve">). As such, our analysis is most similar to passive adaptive management </w:t>
      </w:r>
      <w:r w:rsidR="00F01773" w:rsidRPr="00141359">
        <w:rPr>
          <w:lang w:val="en-GB"/>
        </w:rPr>
        <w:fldChar w:fldCharType="begin" w:fldLock="1"/>
      </w:r>
      <w:r w:rsidR="00B32474">
        <w:rPr>
          <w:lang w:val="en-GB"/>
        </w:rPr>
        <w:instrText>ADDIN CSL_CITATION { "citationItems" : [ { "id" : "ITEM-1", "itemData" : { "author" : [ { "dropping-particle" : "", "family" : "Walters", "given" : "Carl J", "non-dropping-particle" : "", "parse-names" : false, "suffix" : "" }, { "dropping-particle" : "", "family" : "Hilborn", "given" : "Ray", "non-dropping-particle" : "", "parse-names" : false, "suffix" : "" } ], "container-title" : "Annual Review of Ecology and Systematics", "id" : "ITEM-1", "issued" : { "date-parts" : [ [ "1978" ] ] }, "page" : "157-188", "title" : "Ecological optimization and adaptive management", "type" : "article-journal", "volume" : "9" }, "uris" : [ "http://www.mendeley.com/documents/?uuid=e47a1ed9-3669-4305-9e34-a7be18f028e1" ] }, { "id" : "ITEM-2", "itemData" : { "DOI" : "10.1016/j.jenvman.2010.10.039", "ISSN" : "0301-4797", "abstract" : "Adaptive management is a framework for resource conservation that promotes iterative learning-based decision making. Yet there remains considerable confusion about what adaptive management entails, and how to actually make resource decisions adaptively. A key but somewhat ambiguous distinction in adaptive management is between active and passive forms of adaptive decision making. The objective of this paper is to illustrate some approaches to active and passive adaptive management with a simple example involving the drawdown of water impoundments on a wildlife refuge. The approaches are illustrated for the drawdown example, and contrasted in terms of objectives, costs, and potential learning rates. Some key challenges to the actual practice of {AM} are discussed, and tradeoffs between implementation costs and long-term benefits are highlighted.", "author" : [ { "dropping-particle" : "", "family" : "Williams", "given" : "Byron K", "non-dropping-particle" : "", "parse-names" : false, "suffix" : "" } ], "container-title" : "Journal of Environmental Management", "id" : "ITEM-2", "issue" : "5", "issued" : { "date-parts" : [ [ "2011" ] ] }, "page" : "1371-1378", "title" : "Passive and active adaptive management: approaches and an example", "type" : "article-journal", "volume" : "92" }, "uris" : [ "http://www.mendeley.com/documents/?uuid=7a355e8c-9859-49b4-a2b1-bee21e35e918" ] } ], "mendeley" : { "formattedCitation" : "(Walters &amp; Hilborn 1978; Williams 2011)", "plainTextFormattedCitation" : "(Walters &amp; Hilborn 1978; Williams 2011)", "previouslyFormattedCitation" : "(Walters &amp; Hilborn 1978; Williams 2011)" }, "properties" : { "noteIndex" : 0 }, "schema" : "https://github.com/citation-style-language/schema/raw/master/csl-citation.json" }</w:instrText>
      </w:r>
      <w:r w:rsidR="00F01773" w:rsidRPr="00141359">
        <w:rPr>
          <w:lang w:val="en-GB"/>
        </w:rPr>
        <w:fldChar w:fldCharType="separate"/>
      </w:r>
      <w:r w:rsidRPr="00141359">
        <w:rPr>
          <w:noProof/>
          <w:lang w:val="en-GB"/>
        </w:rPr>
        <w:t>(Walters &amp; Hilborn 1978; Williams 2011)</w:t>
      </w:r>
      <w:r w:rsidR="00F01773" w:rsidRPr="00141359">
        <w:rPr>
          <w:lang w:val="en-GB"/>
        </w:rPr>
        <w:fldChar w:fldCharType="end"/>
      </w:r>
      <w:r w:rsidRPr="00141359">
        <w:rPr>
          <w:lang w:val="en-GB"/>
        </w:rPr>
        <w:t xml:space="preserve">, in that the decisions we make are refined as we gain information, but differs in that we do not assume that </w:t>
      </w:r>
      <w:r>
        <w:rPr>
          <w:lang w:val="en-GB"/>
        </w:rPr>
        <w:t>choices</w:t>
      </w:r>
      <w:r w:rsidRPr="00141359">
        <w:rPr>
          <w:lang w:val="en-GB"/>
        </w:rPr>
        <w:t xml:space="preserve"> in one year affect those in the next year.</w:t>
      </w:r>
    </w:p>
    <w:p w:rsidR="00BC0AA6" w:rsidRPr="00141359" w:rsidRDefault="00BC0AA6" w:rsidP="000131D1">
      <w:pPr>
        <w:ind w:firstLine="720"/>
        <w:rPr>
          <w:lang w:val="en-GB"/>
        </w:rPr>
      </w:pPr>
      <w:r w:rsidRPr="00141359">
        <w:rPr>
          <w:lang w:val="en-GB"/>
        </w:rPr>
        <w:t>We necessarily made several decisions that may have affected our results. First, priorities were updated annually, which may partially explain small priority changes overall. Longer update periods increase the median change in priorities (</w:t>
      </w:r>
      <w:r w:rsidR="00F01773">
        <w:rPr>
          <w:lang w:val="en-GB"/>
        </w:rPr>
        <w:fldChar w:fldCharType="begin"/>
      </w:r>
      <w:r w:rsidR="005C4A06">
        <w:rPr>
          <w:lang w:val="en-GB"/>
        </w:rPr>
        <w:instrText xml:space="preserve"> REF _Ref417400990 \h </w:instrText>
      </w:r>
      <w:r w:rsidR="00F01773">
        <w:rPr>
          <w:lang w:val="en-GB"/>
        </w:rPr>
      </w:r>
      <w:r w:rsidR="00F01773">
        <w:rPr>
          <w:lang w:val="en-GB"/>
        </w:rPr>
        <w:fldChar w:fldCharType="separate"/>
      </w:r>
      <w:r w:rsidR="00867AA7">
        <w:t xml:space="preserve">Fig. S </w:t>
      </w:r>
      <w:r w:rsidR="00867AA7">
        <w:rPr>
          <w:noProof/>
        </w:rPr>
        <w:t>1</w:t>
      </w:r>
      <w:r w:rsidR="00867AA7">
        <w:t>.</w:t>
      </w:r>
      <w:r w:rsidR="00867AA7">
        <w:rPr>
          <w:noProof/>
        </w:rPr>
        <w:t>2</w:t>
      </w:r>
      <w:r w:rsidR="00F01773">
        <w:rPr>
          <w:lang w:val="en-GB"/>
        </w:rPr>
        <w:fldChar w:fldCharType="end"/>
      </w:r>
      <w:r w:rsidRPr="00141359">
        <w:rPr>
          <w:lang w:val="en-GB"/>
        </w:rPr>
        <w:t>). Second, we chose to use raw point occurrences rather than model</w:t>
      </w:r>
      <w:r>
        <w:rPr>
          <w:lang w:val="en-GB"/>
        </w:rPr>
        <w:t>l</w:t>
      </w:r>
      <w:r w:rsidRPr="00141359">
        <w:rPr>
          <w:lang w:val="en-GB"/>
        </w:rPr>
        <w:t xml:space="preserve">ed data to prioritize watersheds. As a result, conservation actions focusing on the highest priority watersheds in any one year would be under-representative of potentially important areas </w:t>
      </w:r>
      <w:r w:rsidR="00F01773" w:rsidRPr="00141359">
        <w:rPr>
          <w:lang w:val="en-GB"/>
        </w:rPr>
        <w:fldChar w:fldCharType="begin" w:fldLock="1"/>
      </w:r>
      <w:r w:rsidR="00B32474">
        <w:rPr>
          <w:lang w:val="en-GB"/>
        </w:rPr>
        <w:instrText>ADDIN CSL_CITATION { "citationItems" : [ { "id" : "ITEM-1", "itemData" : { "DOI" : "10.1111/j.1461-0248.2006.00970.x", "ISSN" : "1461-0248", "PMID" : "16972877", "abstract" : "Data on the occurrence of species are widely used to inform the design of reserve networks. These data contain commission errors (when a species is mistakenly thought to be present) and omission errors (when a species is mistakenly thought to be absent), and the rates of the two types of error are inversely related. Point locality data can minimize commission errors, but those obtained from museum collections are generally sparse, suffer from substantial spatial bias and contain large omission errors. Geographic ranges generate large commission errors because they assume homogenous species distributions. Predicted distribution data make explicit inferences on species occurrence and their commission and omission errors depend on model structure, on the omission of variables that determine species distribution and on data resolution. Omission errors lead to identifying networks of areas for conservation action that are smaller than required and centred on known species occurrences, thus affecting the comprehensiveness, representativeness and efficiency of selected areas. Commission errors lead to selecting areas not relevant to conservation, thus affecting the representativeness and adequacy of reserve networks. Conservation plans should include an estimation of commission and omission errors in underlying species data and explicitly use this information to influence conservation planning outcomes.", "author" : [ { "dropping-particle" : "", "family" : "Rondinini", "given" : "Carlo", "non-dropping-particle" : "", "parse-names" : false, "suffix" : "" }, { "dropping-particle" : "", "family" : "Wilson", "given" : "Kerrie A", "non-dropping-particle" : "", "parse-names" : false, "suffix" : "" }, { "dropping-particle" : "", "family" : "Boitani", "given" : "Luigi", "non-dropping-particle" : "", "parse-names" : false, "suffix" : "" }, { "dropping-particle" : "", "family" : "Grantham", "given" : "Hedley", "non-dropping-particle" : "", "parse-names" : false, "suffix" : "" }, { "dropping-particle" : "", "family" : "Possingham", "given" : "Hugh P", "non-dropping-particle" : "", "parse-names" : false, "suffix" : "" } ], "container-title" : "Ecology letters", "id" : "ITEM-1", "issue" : "10", "issued" : { "date-parts" : [ [ "2006", "10" ] ] }, "page" : "1136-45", "title" : "Tradeoffs of different types of species occurrence data for use in systematic conservation planning.", "type" : "article-journal", "volume" : "9" }, "uris" : [ "http://www.mendeley.com/documents/?uuid=ae1efcb1-d27d-45ac-879b-057a0c0c41b6" ] } ], "mendeley" : { "formattedCitation" : "(Rondinini &lt;i&gt;et al.&lt;/i&gt; 2006)", "plainTextFormattedCitation" : "(Rondinini et al. 2006)", "previouslyFormattedCitation" : "(Rondinini &lt;i&gt;et al.&lt;/i&gt; 2006)"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(Rondinini </w:t>
      </w:r>
      <w:r w:rsidRPr="00B42A6C">
        <w:rPr>
          <w:i/>
          <w:noProof/>
          <w:lang w:val="en-GB"/>
        </w:rPr>
        <w:t>et al.</w:t>
      </w:r>
      <w:r w:rsidRPr="00B42A6C">
        <w:rPr>
          <w:noProof/>
          <w:lang w:val="en-GB"/>
        </w:rPr>
        <w:t xml:space="preserve"> 2006)</w:t>
      </w:r>
      <w:r w:rsidR="00F01773" w:rsidRPr="00141359">
        <w:rPr>
          <w:lang w:val="en-GB"/>
        </w:rPr>
        <w:fldChar w:fldCharType="end"/>
      </w:r>
      <w:r w:rsidRPr="00141359">
        <w:rPr>
          <w:lang w:val="en-GB"/>
        </w:rPr>
        <w:t>. Aims to create comprehensive conservation plans should, when possible, use a mix of raw point occurrences and model</w:t>
      </w:r>
      <w:r>
        <w:rPr>
          <w:lang w:val="en-GB"/>
        </w:rPr>
        <w:t>l</w:t>
      </w:r>
      <w:r w:rsidRPr="00141359">
        <w:rPr>
          <w:lang w:val="en-GB"/>
        </w:rPr>
        <w:t xml:space="preserve">ed data </w:t>
      </w:r>
      <w:r w:rsidR="00F01773" w:rsidRPr="00141359">
        <w:rPr>
          <w:lang w:val="en-GB"/>
        </w:rPr>
        <w:fldChar w:fldCharType="begin" w:fldLock="1"/>
      </w:r>
      <w:r w:rsidR="00B32474">
        <w:rPr>
          <w:lang w:val="en-GB"/>
        </w:rPr>
        <w:instrText>ADDIN CSL_CITATION { "citationItems" : [ { "id" : "ITEM-1", "itemData" : { "DOI" : "10.1111/j.1461-0248.2006.00970.x", "ISSN" : "1461-0248", "PMID" : "16972877", "abstract" : "Data on the occurrence of species are widely used to inform the design of reserve networks. These data contain commission errors (when a species is mistakenly thought to be present) and omission errors (when a species is mistakenly thought to be absent), and the rates of the two types of error are inversely related. Point locality data can minimize commission errors, but those obtained from museum collections are generally sparse, suffer from substantial spatial bias and contain large omission errors. Geographic ranges generate large commission errors because they assume homogenous species distributions. Predicted distribution data make explicit inferences on species occurrence and their commission and omission errors depend on model structure, on the omission of variables that determine species distribution and on data resolution. Omission errors lead to identifying networks of areas for conservation action that are smaller than required and centred on known species occurrences, thus affecting the comprehensiveness, representativeness and efficiency of selected areas. Commission errors lead to selecting areas not relevant to conservation, thus affecting the representativeness and adequacy of reserve networks. Conservation plans should include an estimation of commission and omission errors in underlying species data and explicitly use this information to influence conservation planning outcomes.", "author" : [ { "dropping-particle" : "", "family" : "Rondinini", "given" : "Carlo", "non-dropping-particle" : "", "parse-names" : false, "suffix" : "" }, { "dropping-particle" : "", "family" : "Wilson", "given" : "Kerrie A", "non-dropping-particle" : "", "parse-names" : false, "suffix" : "" }, { "dropping-particle" : "", "family" : "Boitani", "given" : "Luigi", "non-dropping-particle" : "", "parse-names" : false, "suffix" : "" }, { "dropping-particle" : "", "family" : "Grantham", "given" : "Hedley", "non-dropping-particle" : "", "parse-names" : false, "suffix" : "" }, { "dropping-particle" : "", "family" : "Possingham", "given" : "Hugh P", "non-dropping-particle" : "", "parse-names" : false, "suffix" : "" } ], "container-title" : "Ecology letters", "id" : "ITEM-1", "issue" : "10", "issued" : { "date-parts" : [ [ "2006", "10" ] ] }, "page" : "1136-45", "title" : "Tradeoffs of different types of species occurrence data for use in systematic conservation planning.", "type" : "article-journal", "volume" : "9" }, "uris" : [ "http://www.mendeley.com/documents/?uuid=ae1efcb1-d27d-45ac-879b-057a0c0c41b6" ] } ], "mendeley" : { "formattedCitation" : "(Rondinini &lt;i&gt;et al.&lt;/i&gt; 2006)", "plainTextFormattedCitation" : "(Rondinini et al. 2006)", "previouslyFormattedCitation" : "(Rondinini &lt;i&gt;et al.&lt;/i&gt; 2006)" }, "properties" : { "noteIndex" : 0 }, "schema" : "https://github.com/citation-style-language/schema/raw/master/csl-citation.json" }</w:instrText>
      </w:r>
      <w:r w:rsidR="00F01773" w:rsidRPr="00141359">
        <w:rPr>
          <w:lang w:val="en-GB"/>
        </w:rPr>
        <w:fldChar w:fldCharType="separate"/>
      </w:r>
      <w:r w:rsidRPr="00B42A6C">
        <w:rPr>
          <w:noProof/>
          <w:lang w:val="en-GB"/>
        </w:rPr>
        <w:t xml:space="preserve">(Rondinini </w:t>
      </w:r>
      <w:r w:rsidRPr="00B42A6C">
        <w:rPr>
          <w:i/>
          <w:noProof/>
          <w:lang w:val="en-GB"/>
        </w:rPr>
        <w:t>et al.</w:t>
      </w:r>
      <w:r w:rsidRPr="00B42A6C">
        <w:rPr>
          <w:noProof/>
          <w:lang w:val="en-GB"/>
        </w:rPr>
        <w:t xml:space="preserve"> 2006)</w:t>
      </w:r>
      <w:r w:rsidR="00F01773" w:rsidRPr="00141359">
        <w:rPr>
          <w:lang w:val="en-GB"/>
        </w:rPr>
        <w:fldChar w:fldCharType="end"/>
      </w:r>
      <w:r w:rsidRPr="00141359">
        <w:rPr>
          <w:lang w:val="en-GB"/>
        </w:rPr>
        <w:t xml:space="preserve">. That being said, we anticipate many of the effects we find will carry over to cases where practitioners are combining the two data types. Third, our ranking method used two pieces of information to come up with relative rankings of watersheds: the spatial locations and species identities of EOs. This was done intentionally so we could directly relate changes in species </w:t>
      </w:r>
      <w:r>
        <w:rPr>
          <w:lang w:val="en-GB"/>
        </w:rPr>
        <w:t>observations</w:t>
      </w:r>
      <w:r w:rsidRPr="00141359">
        <w:rPr>
          <w:lang w:val="en-GB"/>
        </w:rPr>
        <w:t xml:space="preserve"> to changes in priorities. Additional information would increase the direct applicability of our results to Tennessee. For instance, the costs and patterns of land use change and management over time would have made apparent in priority setting the trade</w:t>
      </w:r>
      <w:r>
        <w:rPr>
          <w:lang w:val="en-GB"/>
        </w:rPr>
        <w:t>-</w:t>
      </w:r>
      <w:r w:rsidRPr="00141359">
        <w:rPr>
          <w:lang w:val="en-GB"/>
        </w:rPr>
        <w:t>off of these factors with species coverage. We could have also chosen to base our analyses on the un-ranked irreplaceabilities or local richnesses of watersheds rather than transforming to ranks first. Our assumption was that all decision variables required for a ranking of watersheds were encompassed in their irreplaceabilities and thus keeping additional information was unnecessary.  In reality, conservation actions will rely on relationships among players, detailed site histories, short-term opportunity, and other such information which is rarely recorded over such long time</w:t>
      </w:r>
      <w:r>
        <w:rPr>
          <w:lang w:val="en-GB"/>
        </w:rPr>
        <w:t>-</w:t>
      </w:r>
      <w:r w:rsidRPr="00141359">
        <w:rPr>
          <w:lang w:val="en-GB"/>
        </w:rPr>
        <w:t xml:space="preserve">spans. </w:t>
      </w:r>
      <w:r>
        <w:rPr>
          <w:lang w:val="en-GB"/>
        </w:rPr>
        <w:t>Finally, o</w:t>
      </w:r>
      <w:r w:rsidRPr="00141359">
        <w:rPr>
          <w:lang w:val="en-GB"/>
        </w:rPr>
        <w:t xml:space="preserve">ur statistical choices affect the inferences that can be drawn from our analyses. For example, the change in priorities in one year was calculated on two watershed rankings whose datasets overlapped substantially, and the overlap grew over time. Therefore, each ranking was not independent of the earlier rankings. As such, particular significance levels should be interpreted cautiously. </w:t>
      </w:r>
    </w:p>
    <w:p w:rsidR="00236E6D" w:rsidRDefault="00BC0AA6" w:rsidP="000131D1">
      <w:pPr>
        <w:ind w:firstLine="720"/>
        <w:rPr>
          <w:lang w:val="en-GB"/>
        </w:rPr>
      </w:pPr>
      <w:r w:rsidRPr="00141359">
        <w:rPr>
          <w:lang w:val="en-GB"/>
        </w:rPr>
        <w:lastRenderedPageBreak/>
        <w:t>Prioritization is a common and necessary part of conservation planning. Here, we have provided insight into how regular updating of priorities is affected by additional data. Unlike previous studies, our study used a conservation</w:t>
      </w:r>
      <w:r>
        <w:rPr>
          <w:lang w:val="en-GB"/>
        </w:rPr>
        <w:t>-</w:t>
      </w:r>
      <w:r w:rsidRPr="00141359">
        <w:rPr>
          <w:lang w:val="en-GB"/>
        </w:rPr>
        <w:t>relevant dataset that spans 111 years, which enabled us to explore long-term trends others could not. Additionally, we used simple prioritizations that did not account for data weaknesses. As such, our results may reflect practice more closely than other studies. Our results suggest that conservation planners can expect additional observations to alter priorities when conservation goals are complementarity-based.</w:t>
      </w:r>
    </w:p>
    <w:p w:rsidR="009663A3" w:rsidRDefault="00135C2E">
      <w:pPr>
        <w:pStyle w:val="Heading2"/>
        <w:rPr>
          <w:lang w:val="en-GB"/>
        </w:rPr>
      </w:pPr>
      <w:bookmarkStart w:id="36" w:name="_Toc418409671"/>
      <w:bookmarkStart w:id="37" w:name="_Toc418409806"/>
      <w:bookmarkStart w:id="38" w:name="_Toc418411227"/>
      <w:bookmarkStart w:id="39" w:name="_Toc418411264"/>
      <w:bookmarkStart w:id="40" w:name="_Toc418411361"/>
      <w:bookmarkStart w:id="41" w:name="_Toc418527411"/>
      <w:bookmarkStart w:id="42" w:name="_Toc421352867"/>
      <w:bookmarkEnd w:id="36"/>
      <w:bookmarkEnd w:id="37"/>
      <w:bookmarkEnd w:id="38"/>
      <w:bookmarkEnd w:id="39"/>
      <w:bookmarkEnd w:id="40"/>
      <w:bookmarkEnd w:id="41"/>
      <w:r>
        <w:rPr>
          <w:lang w:val="en-GB"/>
        </w:rPr>
        <w:t>Appendix</w:t>
      </w:r>
      <w:bookmarkEnd w:id="42"/>
    </w:p>
    <w:p w:rsidR="00E84D34" w:rsidRDefault="00E84D34" w:rsidP="006127F3">
      <w:pPr>
        <w:pStyle w:val="Heading3"/>
      </w:pPr>
      <w:bookmarkStart w:id="43" w:name="_Toc417646760"/>
      <w:proofErr w:type="gramStart"/>
      <w:r w:rsidRPr="00617852">
        <w:t>Appendix S1.</w:t>
      </w:r>
      <w:proofErr w:type="gramEnd"/>
      <w:r>
        <w:t xml:space="preserve"> </w:t>
      </w:r>
      <w:proofErr w:type="gramStart"/>
      <w:r>
        <w:t>Additional sensitivity tests.</w:t>
      </w:r>
      <w:bookmarkEnd w:id="43"/>
      <w:proofErr w:type="gramEnd"/>
      <w:r>
        <w:t xml:space="preserve"> </w:t>
      </w:r>
    </w:p>
    <w:p w:rsidR="00E84D34" w:rsidRDefault="00E84D34" w:rsidP="006127F3">
      <w:r>
        <w:t xml:space="preserve">To examine how the choice of conservation objective affected our results, we present variations to the complementarity-based analyses in the main text. These additional tests are based on the local species richness of sites; we thus name the ranking method and related sensitivity tests as </w:t>
      </w:r>
      <w:r>
        <w:rPr>
          <w:i/>
        </w:rPr>
        <w:t>Local Richness</w:t>
      </w:r>
      <w:r>
        <w:t xml:space="preserve"> sensitivity tests. As with the complementarity case, there are multiple ways to construct sensitivity tests. Within the </w:t>
      </w:r>
      <w:r>
        <w:rPr>
          <w:i/>
        </w:rPr>
        <w:t>Local Richness</w:t>
      </w:r>
      <w:r>
        <w:t xml:space="preserve"> ranking method are variations on the number of watersheds prioritized, a control for sampling bias, and controls for data reliability.</w:t>
      </w:r>
    </w:p>
    <w:p w:rsidR="00E84D34" w:rsidRPr="00C20F3A" w:rsidRDefault="00E84D34" w:rsidP="006127F3">
      <w:pPr>
        <w:ind w:firstLine="720"/>
      </w:pPr>
      <w:proofErr w:type="gramStart"/>
      <w:r>
        <w:t>Note, Fig.</w:t>
      </w:r>
      <w:proofErr w:type="gramEnd"/>
      <w:r>
        <w:t xml:space="preserve"> S1, S2, S3 and S4 are all separate from the </w:t>
      </w:r>
      <w:r>
        <w:rPr>
          <w:i/>
        </w:rPr>
        <w:t>Local Richness</w:t>
      </w:r>
      <w:r>
        <w:t xml:space="preserve"> sensitivity tests and supplement the main text on complementarity based ranking.</w:t>
      </w:r>
    </w:p>
    <w:p w:rsidR="00E84D34" w:rsidRPr="009E4D0D" w:rsidRDefault="00E84D34" w:rsidP="006127F3">
      <w:pPr>
        <w:pStyle w:val="Heading3"/>
      </w:pPr>
      <w:bookmarkStart w:id="44" w:name="_Toc417646761"/>
      <w:r w:rsidRPr="002F2ED3">
        <w:t>Ranking Watersheds by Local Species Richness</w:t>
      </w:r>
      <w:bookmarkEnd w:id="44"/>
    </w:p>
    <w:p w:rsidR="00E84D34" w:rsidRPr="00860F57" w:rsidRDefault="00E84D34" w:rsidP="006127F3">
      <w:pPr>
        <w:pStyle w:val="Heading4"/>
      </w:pPr>
      <w:r>
        <w:t>Local Richness</w:t>
      </w:r>
    </w:p>
    <w:p w:rsidR="00E84D34" w:rsidRDefault="00E84D34" w:rsidP="006127F3">
      <w:pPr>
        <w:rPr>
          <w:i/>
        </w:rPr>
      </w:pPr>
      <w:r>
        <w:t xml:space="preserve">We first ranked all 925 watersheds by the number of unique species found within each watershed regardless of the abundance of that species. This is our base case for the </w:t>
      </w:r>
      <w:r>
        <w:rPr>
          <w:i/>
        </w:rPr>
        <w:t xml:space="preserve">Local </w:t>
      </w:r>
      <w:r w:rsidRPr="00343EFA">
        <w:rPr>
          <w:i/>
        </w:rPr>
        <w:t>Richness</w:t>
      </w:r>
      <w:r>
        <w:rPr>
          <w:i/>
        </w:rPr>
        <w:t xml:space="preserve"> </w:t>
      </w:r>
      <w:r>
        <w:t xml:space="preserve">ranking method and we call it </w:t>
      </w:r>
      <w:r>
        <w:rPr>
          <w:i/>
        </w:rPr>
        <w:t>925-watersheds</w:t>
      </w:r>
      <w:r>
        <w:t xml:space="preserve"> (</w:t>
      </w:r>
      <w:r w:rsidR="00F01773">
        <w:fldChar w:fldCharType="begin"/>
      </w:r>
      <w:r w:rsidR="00BE11D6">
        <w:instrText xml:space="preserve"> REF _Ref417400772 \h </w:instrText>
      </w:r>
      <w:r w:rsidR="00F01773">
        <w:fldChar w:fldCharType="separate"/>
      </w:r>
      <w:r w:rsidR="00867AA7">
        <w:t xml:space="preserve">Table S </w:t>
      </w:r>
      <w:r w:rsidR="00867AA7">
        <w:rPr>
          <w:noProof/>
        </w:rPr>
        <w:t>1</w:t>
      </w:r>
      <w:r w:rsidR="00867AA7">
        <w:t>.</w:t>
      </w:r>
      <w:r w:rsidR="00867AA7">
        <w:rPr>
          <w:noProof/>
        </w:rPr>
        <w:t>1</w:t>
      </w:r>
      <w:r w:rsidR="00F01773">
        <w:fldChar w:fldCharType="end"/>
      </w:r>
      <w:r>
        <w:t>)</w:t>
      </w:r>
      <w:r w:rsidRPr="00343EFA">
        <w:t>.</w:t>
      </w:r>
      <w:r>
        <w:rPr>
          <w:i/>
        </w:rPr>
        <w:t xml:space="preserve"> </w:t>
      </w:r>
    </w:p>
    <w:p w:rsidR="00E84D34" w:rsidRPr="00615C65" w:rsidRDefault="00E84D34" w:rsidP="006127F3">
      <w:pPr>
        <w:pStyle w:val="Heading4"/>
      </w:pPr>
      <w:r>
        <w:t>Number of Watersheds</w:t>
      </w:r>
    </w:p>
    <w:p w:rsidR="00E84D34" w:rsidRDefault="00E84D34" w:rsidP="006127F3">
      <w:r w:rsidRPr="007649FD">
        <w:t>We</w:t>
      </w:r>
      <w:r>
        <w:t xml:space="preserve"> also looked at sensitivity tests with fewer watersheds and did so for two reasons. First, the number of watersheds affects the size of the dataset in any one year and consequently the relative contribution of one year’s data to the current ranking of watersheds. Second, the distribution of EOs across any one subset of watersheds may be substantially different from the entire distribution and could consequently alter the effect of new observations on priorities. To come </w:t>
      </w:r>
      <w:r>
        <w:lastRenderedPageBreak/>
        <w:t xml:space="preserve">up with a subset of watersheds, we simulated a conservation plan in which only the most species-rich places are ever considered for conservation </w:t>
      </w:r>
      <w:r w:rsidR="00F01773">
        <w:fldChar w:fldCharType="begin" w:fldLock="1"/>
      </w:r>
      <w:r w:rsidR="00B32474">
        <w:instrText>ADDIN CSL_CITATION { "citationItems" : [ { "id" : "ITEM-1", "itemData" : { "DOI" : "10.1046/j.1523-1739.1996.10010155.x", "ISSN" : "0888-8892", "abstract" : "Biodiversity conservation requires efficient methods for choosing priority areas for in situ conservation management. We compared three quantitative methods for choosing 5% (an arbitrary figure) of all the 10 \u00d7 10 km grid cells in Britain to represent the diversity of breeding birds: (1) hotspots of richness, which selects the areas richest in species; (2) hotspots of range-size rarity (narrow endemism), which selects areas richest in those species with the most restricted ranges; and (3) sets of complementary areas, which selects areas with the greatest combined species richness. Our results show that richness hotspots contained the highest number of species-in-grid-cell records (with many representations of the more widespread species), whereas the method of complementary areas obtained the lowest number. However, whereas richness hotspots included representation of 89% of British species of breeding birds, and rarity hotspots included 98%, the areas chosen using complementarity represented all the species, where possible, at least six times over. The method of complementary areas was also well suited to supplementing the existing conservation network. For example, starting with grid cells with over 50% area cover by existing \u201cSites of Special Scientific Interest,\u201d we searched for a set of areas that could complete the representation of all the most threatened birds in Britain, the Red Data species. The method of complementary areas distinguishes between irreplaceable and flexible areas, which helps planners by providing alternatives for negotiation. This method can also show which particular species justify the choice of each area. Yet the complementary areas method will not be fully able to select the best areas for conservation management until we achieve integration of some of the more important factors affecting viability, threat, and cost.", "author" : [ { "dropping-particle" : "", "family" : "Williams", "given" : "Paul", "non-dropping-particle" : "", "parse-names" : false, "suffix" : "" }, { "dropping-particle" : "", "family" : "Gibbons", "given" : "David", "non-dropping-particle" : "", "parse-names" : false, "suffix" : "" }, { "dropping-particle" : "", "family" : "Margules", "given" : "Chris", "non-dropping-particle" : "", "parse-names" : false, "suffix" : "" }, { "dropping-particle" : "", "family" : "Rebelo", "given" : "Anthony", "non-dropping-particle" : "", "parse-names" : false, "suffix" : "" }, { "dropping-particle" : "", "family" : "Humphries", "given" : "Chris", "non-dropping-particle" : "", "parse-names" : false, "suffix" : "" }, { "dropping-particle" : "", "family" : "Pressey", "given" : "Robert", "non-dropping-particle" : "", "parse-names" : false, "suffix" : "" } ], "container-title" : "Conservation Biology", "id" : "ITEM-1", "issue" : "1", "issued" : { "date-parts" : [ [ "1996", "2" ] ] }, "note" : "From Duplicate 2 ( ", "page" : "155-174", "title" : "A comparison of richness hotspots, rarity hotspots, and complementary areas for conserving diversity of British birds", "type" : "article-journal", "volume" : "10" }, "uris" : [ "http://www.mendeley.com/documents/?uuid=1a9aab4c-1cd5-46c9-bc60-ac8b1cf6da92" ] } ], "mendeley" : { "formattedCitation" : "(Williams &lt;i&gt;et al.&lt;/i&gt; 1996)", "plainTextFormattedCitation" : "(Williams et al. 1996)", "previouslyFormattedCitation" : "(Williams &lt;i&gt;et al.&lt;/i&gt; 1996)" }, "properties" : { "noteIndex" : 0 }, "schema" : "https://github.com/citation-style-language/schema/raw/master/csl-citation.json" }</w:instrText>
      </w:r>
      <w:r w:rsidR="00F01773">
        <w:fldChar w:fldCharType="separate"/>
      </w:r>
      <w:r w:rsidRPr="00CD4C35">
        <w:rPr>
          <w:noProof/>
        </w:rPr>
        <w:t xml:space="preserve">(Williams </w:t>
      </w:r>
      <w:r w:rsidRPr="00CD4C35">
        <w:rPr>
          <w:i/>
          <w:noProof/>
        </w:rPr>
        <w:t>et al.</w:t>
      </w:r>
      <w:r w:rsidRPr="00CD4C35">
        <w:rPr>
          <w:noProof/>
        </w:rPr>
        <w:t xml:space="preserve"> 1996)</w:t>
      </w:r>
      <w:r w:rsidR="00F01773">
        <w:fldChar w:fldCharType="end"/>
      </w:r>
      <w:r>
        <w:t xml:space="preserve">. We chose three subsets of watersheds from the total set of 925. We chose watersheds based on the worst ranking they achieved in the base case just described, such that we were left with close to 5, 50 and 100 watersheds. We used the 4, 48 and 93 watersheds that ever achieved, at worst, a rank of 1.5, 12.5 and 22.0, respectively in </w:t>
      </w:r>
      <w:r>
        <w:rPr>
          <w:i/>
          <w:iCs/>
        </w:rPr>
        <w:t>Local Richness: 925-watersheds</w:t>
      </w:r>
      <w:r w:rsidR="00D5481E">
        <w:t>.</w:t>
      </w:r>
    </w:p>
    <w:p w:rsidR="00E84D34" w:rsidRPr="001163EA" w:rsidRDefault="00F01773" w:rsidP="00D5481E">
      <w:pPr>
        <w:pStyle w:val="Heading4"/>
      </w:pPr>
      <w:r>
        <w:rPr>
          <w:noProof/>
        </w:rPr>
        <w:pict>
          <v:shape id="_x0000_s1050" type="#_x0000_t202" style="position:absolute;left:0;text-align:left;margin-left:0;margin-top:0;width:6in;height:3in;z-index:251653120;mso-position-horizontal-relative:margin;mso-position-vertical-relative:margin" stroked="f">
            <v:textbox style="mso-next-textbox:#_x0000_s1050">
              <w:txbxContent>
                <w:tbl>
                  <w:tblPr>
                    <w:tblW w:w="5000" w:type="pct"/>
                    <w:tblLook w:val="0000"/>
                  </w:tblPr>
                  <w:tblGrid>
                    <w:gridCol w:w="2541"/>
                    <w:gridCol w:w="6042"/>
                  </w:tblGrid>
                  <w:tr w:rsidR="006A45E8" w:rsidRPr="0078178F" w:rsidTr="009C209D">
                    <w:tc>
                      <w:tcPr>
                        <w:tcW w:w="5000" w:type="pct"/>
                        <w:gridSpan w:val="2"/>
                        <w:tcBorders>
                          <w:top w:val="nil"/>
                          <w:left w:val="nil"/>
                          <w:bottom w:val="single" w:sz="4" w:space="0" w:color="auto"/>
                          <w:right w:val="nil"/>
                        </w:tcBorders>
                      </w:tcPr>
                      <w:p w:rsidR="006A45E8" w:rsidRPr="002B2090" w:rsidRDefault="006A45E8" w:rsidP="005E7C16">
                        <w:pPr>
                          <w:pStyle w:val="Caption"/>
                          <w:rPr>
                            <w:vanish/>
                            <w:lang w:val="en-GB"/>
                            <w:specVanish/>
                          </w:rPr>
                        </w:pPr>
                        <w:bookmarkStart w:id="45" w:name="_Ref417400772"/>
                        <w:bookmarkStart w:id="46" w:name="_Toc421352896"/>
                        <w:bookmarkStart w:id="47" w:name="_Toc417647059"/>
                        <w:r>
                          <w:t xml:space="preserve">Table S </w:t>
                        </w:r>
                        <w:fldSimple w:instr=" STYLEREF 1 \s ">
                          <w:r>
                            <w:rPr>
                              <w:noProof/>
                            </w:rPr>
                            <w:t>1</w:t>
                          </w:r>
                        </w:fldSimple>
                        <w:r>
                          <w:t>.</w:t>
                        </w:r>
                        <w:fldSimple w:instr=" SEQ Table_S \* ARABIC \s 1 ">
                          <w:r>
                            <w:rPr>
                              <w:noProof/>
                            </w:rPr>
                            <w:t>1</w:t>
                          </w:r>
                        </w:fldSimple>
                        <w:bookmarkEnd w:id="45"/>
                        <w:r>
                          <w:t xml:space="preserve">. Detailed list of sensitivity tests performed for the (1) </w:t>
                        </w:r>
                        <w:r>
                          <w:rPr>
                            <w:i/>
                          </w:rPr>
                          <w:t xml:space="preserve">Local Richness </w:t>
                        </w:r>
                        <w:r>
                          <w:t>ranking method, in which watersheds were ranked by their unique species richness</w:t>
                        </w:r>
                        <w:bookmarkEnd w:id="46"/>
                      </w:p>
                      <w:p w:rsidR="006A45E8" w:rsidRPr="002F5AFA" w:rsidRDefault="006A45E8" w:rsidP="00F06840">
                        <w:pPr>
                          <w:pStyle w:val="Caption"/>
                        </w:pPr>
                        <w:r>
                          <w:t>. Sensitivity of the ranking method to (2) the number of sites used in the prioritization process, (3) sampling bias, and (4) data reliability, was tested.</w:t>
                        </w:r>
                        <w:bookmarkEnd w:id="47"/>
                      </w:p>
                    </w:tc>
                  </w:tr>
                  <w:tr w:rsidR="006A45E8" w:rsidRPr="0078178F" w:rsidTr="009C209D">
                    <w:tc>
                      <w:tcPr>
                        <w:tcW w:w="1480" w:type="pct"/>
                        <w:tcBorders>
                          <w:top w:val="single" w:sz="4" w:space="0" w:color="auto"/>
                          <w:left w:val="nil"/>
                          <w:bottom w:val="single" w:sz="4" w:space="0" w:color="auto"/>
                          <w:right w:val="nil"/>
                        </w:tcBorders>
                      </w:tcPr>
                      <w:p w:rsidR="006A45E8" w:rsidRPr="0078178F" w:rsidRDefault="006A45E8" w:rsidP="00F06840">
                        <w:pPr>
                          <w:autoSpaceDE w:val="0"/>
                          <w:autoSpaceDN w:val="0"/>
                          <w:adjustRightInd w:val="0"/>
                          <w:jc w:val="center"/>
                          <w:rPr>
                            <w:b/>
                            <w:bCs/>
                          </w:rPr>
                        </w:pPr>
                        <w:r w:rsidRPr="0078178F">
                          <w:rPr>
                            <w:b/>
                            <w:bCs/>
                          </w:rPr>
                          <w:t>Code</w:t>
                        </w:r>
                      </w:p>
                    </w:tc>
                    <w:tc>
                      <w:tcPr>
                        <w:tcW w:w="3520" w:type="pct"/>
                        <w:tcBorders>
                          <w:top w:val="single" w:sz="4" w:space="0" w:color="auto"/>
                          <w:left w:val="nil"/>
                          <w:bottom w:val="single" w:sz="4" w:space="0" w:color="auto"/>
                          <w:right w:val="nil"/>
                        </w:tcBorders>
                      </w:tcPr>
                      <w:p w:rsidR="006A45E8" w:rsidRPr="0078178F" w:rsidRDefault="006A45E8" w:rsidP="00F06840">
                        <w:pPr>
                          <w:autoSpaceDE w:val="0"/>
                          <w:autoSpaceDN w:val="0"/>
                          <w:adjustRightInd w:val="0"/>
                          <w:jc w:val="center"/>
                          <w:rPr>
                            <w:b/>
                            <w:bCs/>
                          </w:rPr>
                        </w:pPr>
                        <w:r w:rsidRPr="0078178F">
                          <w:rPr>
                            <w:b/>
                            <w:bCs/>
                          </w:rPr>
                          <w:t>Description</w:t>
                        </w:r>
                      </w:p>
                    </w:tc>
                  </w:tr>
                  <w:tr w:rsidR="006A45E8" w:rsidRPr="0078178F" w:rsidTr="009C209D">
                    <w:tc>
                      <w:tcPr>
                        <w:tcW w:w="1480" w:type="pct"/>
                        <w:tcBorders>
                          <w:top w:val="nil"/>
                          <w:left w:val="nil"/>
                          <w:bottom w:val="nil"/>
                          <w:right w:val="nil"/>
                        </w:tcBorders>
                      </w:tcPr>
                      <w:p w:rsidR="006A45E8" w:rsidRPr="0078178F" w:rsidRDefault="006A45E8" w:rsidP="00F06840">
                        <w:pPr>
                          <w:autoSpaceDE w:val="0"/>
                          <w:autoSpaceDN w:val="0"/>
                          <w:adjustRightInd w:val="0"/>
                          <w:ind w:left="180" w:hanging="180"/>
                          <w:rPr>
                            <w:i/>
                            <w:iCs/>
                          </w:rPr>
                        </w:pPr>
                        <w:r>
                          <w:rPr>
                            <w:iCs/>
                          </w:rPr>
                          <w:t xml:space="preserve">(1) </w:t>
                        </w:r>
                        <w:r>
                          <w:rPr>
                            <w:i/>
                            <w:iCs/>
                          </w:rPr>
                          <w:t>925</w:t>
                        </w:r>
                        <w:r w:rsidRPr="0078178F">
                          <w:rPr>
                            <w:i/>
                            <w:iCs/>
                          </w:rPr>
                          <w:t>-</w:t>
                        </w:r>
                        <w:r>
                          <w:rPr>
                            <w:i/>
                            <w:iCs/>
                          </w:rPr>
                          <w:t>watershed</w:t>
                        </w:r>
                        <w:r w:rsidRPr="0078178F">
                          <w:rPr>
                            <w:i/>
                            <w:iCs/>
                          </w:rPr>
                          <w:t>s</w:t>
                        </w:r>
                      </w:p>
                    </w:tc>
                    <w:tc>
                      <w:tcPr>
                        <w:tcW w:w="3520" w:type="pct"/>
                        <w:tcBorders>
                          <w:top w:val="nil"/>
                          <w:left w:val="nil"/>
                          <w:bottom w:val="nil"/>
                          <w:right w:val="nil"/>
                        </w:tcBorders>
                      </w:tcPr>
                      <w:p w:rsidR="006A45E8" w:rsidRPr="0078178F" w:rsidRDefault="006A45E8" w:rsidP="00F06840">
                        <w:pPr>
                          <w:autoSpaceDE w:val="0"/>
                          <w:autoSpaceDN w:val="0"/>
                          <w:adjustRightInd w:val="0"/>
                          <w:ind w:left="162" w:hanging="162"/>
                        </w:pPr>
                        <w:r w:rsidRPr="0078178F">
                          <w:t xml:space="preserve">all </w:t>
                        </w:r>
                        <w:r>
                          <w:t>watershed</w:t>
                        </w:r>
                        <w:r w:rsidRPr="0078178F">
                          <w:t xml:space="preserve">s (n = </w:t>
                        </w:r>
                        <w:r>
                          <w:t>925</w:t>
                        </w:r>
                        <w:r w:rsidRPr="0078178F">
                          <w:t>)</w:t>
                        </w:r>
                      </w:p>
                    </w:tc>
                  </w:tr>
                  <w:tr w:rsidR="006A45E8" w:rsidRPr="0078178F" w:rsidTr="009C209D">
                    <w:tc>
                      <w:tcPr>
                        <w:tcW w:w="1480" w:type="pct"/>
                        <w:tcBorders>
                          <w:top w:val="nil"/>
                          <w:left w:val="nil"/>
                          <w:bottom w:val="nil"/>
                          <w:right w:val="nil"/>
                        </w:tcBorders>
                      </w:tcPr>
                      <w:p w:rsidR="006A45E8" w:rsidRPr="0078178F" w:rsidRDefault="006A45E8" w:rsidP="00F06840">
                        <w:pPr>
                          <w:autoSpaceDE w:val="0"/>
                          <w:autoSpaceDN w:val="0"/>
                          <w:adjustRightInd w:val="0"/>
                          <w:ind w:left="180" w:hanging="180"/>
                          <w:rPr>
                            <w:i/>
                            <w:iCs/>
                          </w:rPr>
                        </w:pPr>
                        <w:r>
                          <w:rPr>
                            <w:iCs/>
                          </w:rPr>
                          <w:t xml:space="preserve">(2) </w:t>
                        </w:r>
                        <w:r w:rsidRPr="0078178F">
                          <w:rPr>
                            <w:i/>
                            <w:iCs/>
                          </w:rPr>
                          <w:t>4-, 48-, 93-</w:t>
                        </w:r>
                        <w:r>
                          <w:rPr>
                            <w:i/>
                            <w:iCs/>
                          </w:rPr>
                          <w:t>watershed</w:t>
                        </w:r>
                        <w:r w:rsidRPr="0078178F">
                          <w:rPr>
                            <w:i/>
                            <w:iCs/>
                          </w:rPr>
                          <w:t>s</w:t>
                        </w:r>
                      </w:p>
                    </w:tc>
                    <w:tc>
                      <w:tcPr>
                        <w:tcW w:w="3520" w:type="pct"/>
                        <w:tcBorders>
                          <w:top w:val="nil"/>
                          <w:left w:val="nil"/>
                          <w:bottom w:val="nil"/>
                          <w:right w:val="nil"/>
                        </w:tcBorders>
                      </w:tcPr>
                      <w:p w:rsidR="006A45E8" w:rsidRPr="0078178F" w:rsidRDefault="006A45E8" w:rsidP="00F06840">
                        <w:pPr>
                          <w:autoSpaceDE w:val="0"/>
                          <w:autoSpaceDN w:val="0"/>
                          <w:adjustRightInd w:val="0"/>
                          <w:ind w:left="162" w:hanging="162"/>
                        </w:pPr>
                        <w:r w:rsidRPr="0078178F">
                          <w:t xml:space="preserve">4, 48 and 93 best-ranked </w:t>
                        </w:r>
                        <w:r>
                          <w:t>watershed</w:t>
                        </w:r>
                        <w:r w:rsidRPr="0078178F">
                          <w:t xml:space="preserve">s from </w:t>
                        </w:r>
                        <w:r>
                          <w:rPr>
                            <w:i/>
                            <w:iCs/>
                          </w:rPr>
                          <w:t>925</w:t>
                        </w:r>
                        <w:r w:rsidRPr="0078178F">
                          <w:rPr>
                            <w:i/>
                            <w:iCs/>
                          </w:rPr>
                          <w:t>-</w:t>
                        </w:r>
                        <w:r>
                          <w:rPr>
                            <w:i/>
                            <w:iCs/>
                          </w:rPr>
                          <w:t>watershed</w:t>
                        </w:r>
                        <w:r w:rsidRPr="0078178F">
                          <w:rPr>
                            <w:i/>
                            <w:iCs/>
                          </w:rPr>
                          <w:t>s</w:t>
                        </w:r>
                      </w:p>
                    </w:tc>
                  </w:tr>
                  <w:tr w:rsidR="006A45E8" w:rsidRPr="0078178F" w:rsidTr="009C209D">
                    <w:tc>
                      <w:tcPr>
                        <w:tcW w:w="1480" w:type="pct"/>
                        <w:tcBorders>
                          <w:top w:val="nil"/>
                          <w:left w:val="nil"/>
                          <w:bottom w:val="nil"/>
                          <w:right w:val="nil"/>
                        </w:tcBorders>
                      </w:tcPr>
                      <w:p w:rsidR="006A45E8" w:rsidRPr="0078178F" w:rsidRDefault="006A45E8" w:rsidP="00F06840">
                        <w:pPr>
                          <w:autoSpaceDE w:val="0"/>
                          <w:autoSpaceDN w:val="0"/>
                          <w:adjustRightInd w:val="0"/>
                          <w:ind w:left="180" w:hanging="180"/>
                          <w:rPr>
                            <w:i/>
                            <w:iCs/>
                          </w:rPr>
                        </w:pPr>
                        <w:r>
                          <w:rPr>
                            <w:iCs/>
                          </w:rPr>
                          <w:t xml:space="preserve">(3) </w:t>
                        </w:r>
                        <w:r w:rsidRPr="0078178F">
                          <w:rPr>
                            <w:i/>
                            <w:iCs/>
                          </w:rPr>
                          <w:t>control-bias</w:t>
                        </w:r>
                      </w:p>
                    </w:tc>
                    <w:tc>
                      <w:tcPr>
                        <w:tcW w:w="3520" w:type="pct"/>
                        <w:tcBorders>
                          <w:top w:val="nil"/>
                          <w:left w:val="nil"/>
                          <w:bottom w:val="nil"/>
                          <w:right w:val="nil"/>
                        </w:tcBorders>
                      </w:tcPr>
                      <w:p w:rsidR="006A45E8" w:rsidRPr="0078178F" w:rsidRDefault="006A45E8" w:rsidP="00F06840">
                        <w:pPr>
                          <w:autoSpaceDE w:val="0"/>
                          <w:autoSpaceDN w:val="0"/>
                          <w:adjustRightInd w:val="0"/>
                          <w:ind w:left="162" w:hanging="162"/>
                        </w:pPr>
                        <w:r w:rsidRPr="0078178F">
                          <w:t xml:space="preserve">85 </w:t>
                        </w:r>
                        <w:r>
                          <w:t>watershed</w:t>
                        </w:r>
                        <w:r w:rsidRPr="0078178F">
                          <w:t>s with at least 50 records by 2010, using rarefied datasets</w:t>
                        </w:r>
                      </w:p>
                    </w:tc>
                  </w:tr>
                  <w:tr w:rsidR="006A45E8" w:rsidRPr="0078178F" w:rsidTr="009C209D">
                    <w:tc>
                      <w:tcPr>
                        <w:tcW w:w="1480" w:type="pct"/>
                        <w:tcBorders>
                          <w:top w:val="nil"/>
                          <w:left w:val="nil"/>
                          <w:right w:val="nil"/>
                        </w:tcBorders>
                      </w:tcPr>
                      <w:p w:rsidR="006A45E8" w:rsidRPr="0078178F" w:rsidRDefault="006A45E8" w:rsidP="00F06840">
                        <w:pPr>
                          <w:autoSpaceDE w:val="0"/>
                          <w:autoSpaceDN w:val="0"/>
                          <w:adjustRightInd w:val="0"/>
                          <w:ind w:left="180" w:hanging="180"/>
                          <w:rPr>
                            <w:i/>
                            <w:iCs/>
                          </w:rPr>
                        </w:pPr>
                        <w:r>
                          <w:rPr>
                            <w:iCs/>
                          </w:rPr>
                          <w:t xml:space="preserve">(3) </w:t>
                        </w:r>
                        <w:r>
                          <w:rPr>
                            <w:i/>
                            <w:iCs/>
                          </w:rPr>
                          <w:t>no-control-bias</w:t>
                        </w:r>
                      </w:p>
                    </w:tc>
                    <w:tc>
                      <w:tcPr>
                        <w:tcW w:w="3520" w:type="pct"/>
                        <w:tcBorders>
                          <w:top w:val="nil"/>
                          <w:left w:val="nil"/>
                          <w:right w:val="nil"/>
                        </w:tcBorders>
                      </w:tcPr>
                      <w:p w:rsidR="006A45E8" w:rsidRPr="0078178F" w:rsidRDefault="006A45E8" w:rsidP="00F06840">
                        <w:pPr>
                          <w:autoSpaceDE w:val="0"/>
                          <w:autoSpaceDN w:val="0"/>
                          <w:adjustRightInd w:val="0"/>
                          <w:ind w:left="162" w:hanging="162"/>
                        </w:pPr>
                        <w:r w:rsidRPr="0078178F">
                          <w:t xml:space="preserve">85 </w:t>
                        </w:r>
                        <w:r>
                          <w:t>watershed</w:t>
                        </w:r>
                        <w:r w:rsidRPr="0078178F">
                          <w:t xml:space="preserve">s from </w:t>
                        </w:r>
                        <w:r w:rsidRPr="0078178F">
                          <w:rPr>
                            <w:i/>
                            <w:iCs/>
                          </w:rPr>
                          <w:t>control-bias</w:t>
                        </w:r>
                        <w:r w:rsidRPr="0078178F">
                          <w:t xml:space="preserve"> without controlling for sampling bias</w:t>
                        </w:r>
                      </w:p>
                    </w:tc>
                  </w:tr>
                  <w:tr w:rsidR="006A45E8" w:rsidRPr="0078178F" w:rsidTr="009C209D">
                    <w:tc>
                      <w:tcPr>
                        <w:tcW w:w="1480" w:type="pct"/>
                        <w:tcBorders>
                          <w:top w:val="nil"/>
                          <w:left w:val="nil"/>
                          <w:bottom w:val="single" w:sz="4" w:space="0" w:color="auto"/>
                          <w:right w:val="nil"/>
                        </w:tcBorders>
                      </w:tcPr>
                      <w:p w:rsidR="006A45E8" w:rsidRPr="0078178F" w:rsidRDefault="006A45E8" w:rsidP="00F06840">
                        <w:pPr>
                          <w:autoSpaceDE w:val="0"/>
                          <w:autoSpaceDN w:val="0"/>
                          <w:adjustRightInd w:val="0"/>
                          <w:ind w:left="180" w:hanging="180"/>
                          <w:rPr>
                            <w:i/>
                            <w:iCs/>
                          </w:rPr>
                        </w:pPr>
                        <w:r>
                          <w:rPr>
                            <w:iCs/>
                          </w:rPr>
                          <w:t xml:space="preserve">(4) </w:t>
                        </w:r>
                        <w:r w:rsidRPr="0078178F">
                          <w:rPr>
                            <w:i/>
                            <w:iCs/>
                          </w:rPr>
                          <w:t>1-, 2-, 10-, 25-, 50-year</w:t>
                        </w:r>
                      </w:p>
                    </w:tc>
                    <w:tc>
                      <w:tcPr>
                        <w:tcW w:w="3520" w:type="pct"/>
                        <w:tcBorders>
                          <w:top w:val="nil"/>
                          <w:left w:val="nil"/>
                          <w:bottom w:val="single" w:sz="4" w:space="0" w:color="auto"/>
                          <w:right w:val="nil"/>
                        </w:tcBorders>
                      </w:tcPr>
                      <w:p w:rsidR="006A45E8" w:rsidRPr="0078178F" w:rsidRDefault="006A45E8" w:rsidP="00F06840">
                        <w:pPr>
                          <w:autoSpaceDE w:val="0"/>
                          <w:autoSpaceDN w:val="0"/>
                          <w:adjustRightInd w:val="0"/>
                        </w:pPr>
                        <w:r w:rsidRPr="0078178F">
                          <w:t>Data older than 1, 2, 10, 25 and 50 years are discarded</w:t>
                        </w:r>
                      </w:p>
                    </w:tc>
                  </w:tr>
                </w:tbl>
                <w:p w:rsidR="006A45E8" w:rsidRDefault="006A45E8"/>
              </w:txbxContent>
            </v:textbox>
            <w10:wrap type="topAndBottom" anchorx="margin" anchory="margin"/>
          </v:shape>
        </w:pict>
      </w:r>
      <w:r w:rsidR="00E84D34">
        <w:t>Sampling Bias</w:t>
      </w:r>
    </w:p>
    <w:p w:rsidR="00E84D34" w:rsidRDefault="00E84D34" w:rsidP="006127F3">
      <w:r>
        <w:t xml:space="preserve">In the above four scenarios, the data are not standardized by sampling effort. Heterogeneous sampling effort could bias estimates of the relative richness of watersheds </w:t>
      </w:r>
      <w:r w:rsidR="00F01773">
        <w:fldChar w:fldCharType="begin" w:fldLock="1"/>
      </w:r>
      <w:r w:rsidR="00B32474">
        <w:instrText>ADDIN CSL_CITATION { "citationItems" : [ { "id" : "ITEM-1", "itemData" : { "DOI" : "10.1016/0169-4758(95)80047-6", "ISSN" : "0169-4758", "abstract" : "Comparative studies of parasite species richness among host taxa can be confounded by uneven sampling effort. Sampling ceases to be a confounding factor when extrapolation methods are used to estimate true species richness. Here, Bruno Walther and colleagues review examples of sampling bias and the use of extrapolation methods for circumventing it. They also discuss the confounding effects of phylogenetic association of estimates of species richness.", "author" : [ { "dropping-particle" : "", "family" : "Walther", "given" : "B A", "non-dropping-particle" : "", "parse-names" : false, "suffix" : "" }, { "dropping-particle" : "", "family" : "Cotgreave", "given" : "P", "non-dropping-particle" : "", "parse-names" : false, "suffix" : "" }, { "dropping-particle" : "", "family" : "Price", "given" : "R D", "non-dropping-particle" : "", "parse-names" : false, "suffix" : "" }, { "dropping-particle" : "", "family" : "Gregory", "given" : "R D", "non-dropping-particle" : "", "parse-names" : false, "suffix" : "" }, { "dropping-particle" : "", "family" : "Clayton", "given" : "D H", "non-dropping-particle" : "", "parse-names" : false, "suffix" : "" } ], "container-title" : "Parasitology Today", "id" : "ITEM-1", "issue" : "8", "issued" : { "date-parts" : [ [ "1995" ] ] }, "note" : "problems with sampling bias and how to fix them", "page" : "306-310", "title" : "Sampling effort and parasite species richness", "type" : "article-journal", "volume" : "11" }, "uris" : [ "http://www.mendeley.com/documents/?uuid=5f6a3ea9-f3f6-4c44-b239-5ab126b0e552" ] } ], "mendeley" : { "formattedCitation" : "(Walther &lt;i&gt;et al.&lt;/i&gt; 1995)", "plainTextFormattedCitation" : "(Walther et al. 1995)", "previouslyFormattedCitation" : "(Walther &lt;i&gt;et al.&lt;/i&gt; 1995)" }, "properties" : { "noteIndex" : 0 }, "schema" : "https://github.com/citation-style-language/schema/raw/master/csl-citation.json" }</w:instrText>
      </w:r>
      <w:r w:rsidR="00F01773">
        <w:fldChar w:fldCharType="separate"/>
      </w:r>
      <w:r w:rsidRPr="00CD4C35">
        <w:rPr>
          <w:noProof/>
        </w:rPr>
        <w:t xml:space="preserve">(Walther </w:t>
      </w:r>
      <w:r w:rsidRPr="00CD4C35">
        <w:rPr>
          <w:i/>
          <w:noProof/>
        </w:rPr>
        <w:t>et al.</w:t>
      </w:r>
      <w:r w:rsidRPr="00CD4C35">
        <w:rPr>
          <w:noProof/>
        </w:rPr>
        <w:t xml:space="preserve"> 1995)</w:t>
      </w:r>
      <w:r w:rsidR="00F01773">
        <w:fldChar w:fldCharType="end"/>
      </w:r>
      <w:r>
        <w:t xml:space="preserve"> and would consequently reduce the extent to which additional data change priorities. To explore the sensitivity of our results to spatial and taxonomic sampling bias, we performed rarefaction by systematically subsampling records in a subset of watersheds and repeating the prior analysis </w:t>
      </w:r>
      <w:r w:rsidR="00F01773">
        <w:fldChar w:fldCharType="begin" w:fldLock="1"/>
      </w:r>
      <w:r w:rsidR="00B32474">
        <w:instrText>ADDIN CSL_CITATION { "citationItems" : [ { "id" : "ITEM-1", "itemData" : { "DOI" : "10.1046/j.1461-0248.2001.00230.x", "ISSN" : "1461-0248", "abstract" : "Species richness is a fundamental measurement of community and regional diversity, and it underlies many ecological models and conservation strategies. In spite of its importance, ecologists have not always appreciated the effects of abundance and sampling effort on richness measures and comparisons. We survey a series of common pitfalls in quantifying and comparing taxon richness. These pitfalls can be largely avoided by using accumulation and rarefaction curves, which may be based on either individuals or samples. These taxon sampling curves contain the basic information for valid richness comparisons, including category\u2013subcategory ratios (species-to-genus and species-to-individual ratios). Rarefaction methods \u2013 both sample-based and individual-based \u2013 allow for meaningful standardization and comparison of datasets. Standardizing data sets by area or sampling effort may produce very different results compared to standardizing by number of individuals collected, and it is not always clear which measure of diversity is more appropriate. Asymptotic richness estimators provide lower-bound estimates for taxon-rich groups such as tropical arthropods, in which observed richness rarely reaches an asymptote, despite intensive sampling. Recent examples of diversity studies of tropical trees, stream invertebrates, and herbaceous plants emphasize the importance of carefully quantifying species richness using taxon sampling curves.", "author" : [ { "dropping-particle" : "", "family" : "Gotelli", "given" : "Nicholas J", "non-dropping-particle" : "", "parse-names" : false, "suffix" : "" }, { "dropping-particle" : "", "family" : "Colwell", "given" : "Robert K", "non-dropping-particle" : "", "parse-names" : false, "suffix" : "" } ], "container-title" : "Ecology Letters", "id" : "ITEM-1", "issue" : "4", "issued" : { "date-parts" : [ [ "2001" ] ] }, "note" : "rarefaction", "page" : "379-391", "publisher" : "Blackwell Science Ltd", "title" : "Quantifying biodiversity: procedures and pitfalls in the measurement and comparison of species richness", "type" : "article-journal", "volume" : "4" }, "uris" : [ "http://www.mendeley.com/documents/?uuid=66438f5a-c9c5-4ca9-8108-990553b51175" ] } ], "mendeley" : { "formattedCitation" : "(Gotelli &amp; Colwell 2001)", "plainTextFormattedCitation" : "(Gotelli &amp; Colwell 2001)", "previouslyFormattedCitation" : "(Gotelli &amp; Colwell 2001)" }, "properties" : { "noteIndex" : 0 }, "schema" : "https://github.com/citation-style-language/schema/raw/master/csl-citation.json" }</w:instrText>
      </w:r>
      <w:r w:rsidR="00F01773">
        <w:fldChar w:fldCharType="separate"/>
      </w:r>
      <w:r w:rsidRPr="00CD4C35">
        <w:rPr>
          <w:noProof/>
        </w:rPr>
        <w:t>(Gotelli &amp; Colwell 2001)</w:t>
      </w:r>
      <w:r w:rsidR="00F01773">
        <w:fldChar w:fldCharType="end"/>
      </w:r>
      <w:r>
        <w:t xml:space="preserve">. Because many watersheds in our dataset have too few records to perform rarefaction effectively, we chose to look at only those watersheds (n = 85) which have at least 50 unique records by 2010. We started with the data for those 85 watersheds over the entire 111 year period. From these data, we chose 50 unique EOs from each watershed to create a rarefied dataset with 4250 unique EOs. These were used to rank watersheds by richness as we did before. We repeated this process 1000 times, creating 1000 rarefied datasets, each with a new choice of 50 EOs from each watershed. Statistics were then averaged over all 1000 repeats. Finally, to make direct comparisons between the rarefied datasets and the original dataset, we performed the same ranking with the full set of data </w:t>
      </w:r>
      <w:r>
        <w:lastRenderedPageBreak/>
        <w:t>(each watershed had at least 50 unique EOs) from the 85 watersheds chosen for the rarefaction process.</w:t>
      </w:r>
    </w:p>
    <w:p w:rsidR="00E84D34" w:rsidRPr="001B412C" w:rsidRDefault="00E84D34" w:rsidP="00D5481E">
      <w:pPr>
        <w:pStyle w:val="Heading4"/>
      </w:pPr>
      <w:r>
        <w:t>Data Reliability</w:t>
      </w:r>
    </w:p>
    <w:p w:rsidR="00E84D34" w:rsidRDefault="00E84D34" w:rsidP="007B4889">
      <w:r>
        <w:t xml:space="preserve">Observations made very early in the data record may be less reliable indicators of current presences of species than observations made more recently. This happens because technology improves, individuals and populations die and move, and entire species ranges shift. As such, a conservation group may choose to weight early EOs differently to more recent ones. To examine the sensitivity of our results to this practice, we removed old data while repeating the same ranking exercises. We considered five sensitivity tests which vary by their tolerance for data age. In the strictest test, only the most recent year’s data are kept. For instance, in 1950 we assumed that the only relevant data were those collected in 1950. In 1951, we used only the data from 1951, and so on. We call this the </w:t>
      </w:r>
      <w:r w:rsidRPr="00A81FA0">
        <w:rPr>
          <w:i/>
        </w:rPr>
        <w:t>1-year</w:t>
      </w:r>
      <w:r>
        <w:t xml:space="preserve"> test (</w:t>
      </w:r>
      <w:r w:rsidR="00F01773">
        <w:fldChar w:fldCharType="begin"/>
      </w:r>
      <w:r w:rsidR="00BE11D6">
        <w:instrText xml:space="preserve"> REF _Ref417400772 \h </w:instrText>
      </w:r>
      <w:r w:rsidR="00F01773">
        <w:fldChar w:fldCharType="separate"/>
      </w:r>
      <w:r w:rsidR="00867AA7">
        <w:t xml:space="preserve">Table S </w:t>
      </w:r>
      <w:r w:rsidR="00867AA7">
        <w:rPr>
          <w:noProof/>
        </w:rPr>
        <w:t>1</w:t>
      </w:r>
      <w:r w:rsidR="00867AA7">
        <w:t>.</w:t>
      </w:r>
      <w:r w:rsidR="00867AA7">
        <w:rPr>
          <w:noProof/>
        </w:rPr>
        <w:t>1</w:t>
      </w:r>
      <w:r w:rsidR="00F01773">
        <w:fldChar w:fldCharType="end"/>
      </w:r>
      <w:r>
        <w:t xml:space="preserve">). In the most lenient test, we kept all data, regardless of age. This test is the same as </w:t>
      </w:r>
      <w:r>
        <w:rPr>
          <w:i/>
          <w:iCs/>
        </w:rPr>
        <w:t>Local Richness: 925-watersheds</w:t>
      </w:r>
      <w:r>
        <w:t>. The other tests kept the most recent 2, 10, 25 and 50 years of data. Other than removing old data from the dataset, the ranking process w</w:t>
      </w:r>
      <w:r w:rsidR="00D5481E">
        <w:t>as the same as before</w:t>
      </w:r>
      <w:r w:rsidR="007B4889">
        <w:t>.</w:t>
      </w:r>
    </w:p>
    <w:p w:rsidR="00E84D34" w:rsidRPr="00C20EE9" w:rsidRDefault="00E84D34" w:rsidP="004E495C">
      <w:pPr>
        <w:pStyle w:val="Heading4"/>
      </w:pPr>
      <w:r w:rsidRPr="00C20EE9">
        <w:t>Statistics for the Local Richness tests</w:t>
      </w:r>
    </w:p>
    <w:p w:rsidR="00E84D34" w:rsidRPr="004E495C" w:rsidRDefault="00E84D34" w:rsidP="004E495C">
      <w:r>
        <w:t xml:space="preserve">All values of </w:t>
      </w:r>
      <w:r w:rsidRPr="008C1EF4">
        <w:t>V</w:t>
      </w:r>
      <w:r>
        <w:t xml:space="preserve"> from </w:t>
      </w:r>
      <w:r>
        <w:rPr>
          <w:iCs/>
        </w:rPr>
        <w:t xml:space="preserve">Local Species Richness </w:t>
      </w:r>
      <w:r>
        <w:t>sensitivity tests (</w:t>
      </w:r>
      <w:r w:rsidR="00F01773">
        <w:fldChar w:fldCharType="begin"/>
      </w:r>
      <w:r w:rsidR="00BE11D6">
        <w:instrText xml:space="preserve"> REF _Ref417400772 \h </w:instrText>
      </w:r>
      <w:r w:rsidR="00F01773">
        <w:fldChar w:fldCharType="separate"/>
      </w:r>
      <w:r w:rsidR="00867AA7">
        <w:t xml:space="preserve">Table S </w:t>
      </w:r>
      <w:r w:rsidR="00867AA7">
        <w:rPr>
          <w:noProof/>
        </w:rPr>
        <w:t>1</w:t>
      </w:r>
      <w:r w:rsidR="00867AA7">
        <w:t>.</w:t>
      </w:r>
      <w:r w:rsidR="00867AA7">
        <w:rPr>
          <w:noProof/>
        </w:rPr>
        <w:t>1</w:t>
      </w:r>
      <w:r w:rsidR="00F01773">
        <w:fldChar w:fldCharType="end"/>
      </w:r>
      <w:r>
        <w:t xml:space="preserve">) were arcsine transformed to increase the normality of regression residuals. We found that V almost never exceeded 1. In the few cases this occurred – 16 data points from </w:t>
      </w:r>
      <w:r>
        <w:rPr>
          <w:iCs/>
        </w:rPr>
        <w:t xml:space="preserve">Local Species Richness: 1-year </w:t>
      </w:r>
      <w:r>
        <w:t xml:space="preserve">(85 data points) and 3 data points from </w:t>
      </w:r>
      <w:r>
        <w:rPr>
          <w:iCs/>
        </w:rPr>
        <w:t xml:space="preserve">2-year </w:t>
      </w:r>
      <w:r>
        <w:t>(98 data points) – we withheld those data points to satisfy the upper bound of the arcsine transform. Finally, we did not perform piecewise regressions for Local Richness sensitivity tests because they did not show two distinct periods.</w:t>
      </w:r>
    </w:p>
    <w:p w:rsidR="00E84D34" w:rsidRPr="004E495C" w:rsidRDefault="00E84D34" w:rsidP="004E495C">
      <w:pPr>
        <w:pStyle w:val="Heading3"/>
      </w:pPr>
      <w:bookmarkStart w:id="48" w:name="_Toc417646762"/>
      <w:r w:rsidRPr="009B296A">
        <w:t>Results for the Local Richness Tests</w:t>
      </w:r>
      <w:bookmarkEnd w:id="48"/>
    </w:p>
    <w:p w:rsidR="00E84D34" w:rsidRPr="005E4F00" w:rsidRDefault="00E84D34" w:rsidP="004E495C">
      <w:pPr>
        <w:pStyle w:val="Heading4"/>
      </w:pPr>
      <w:r>
        <w:t>Overall Results</w:t>
      </w:r>
    </w:p>
    <w:p w:rsidR="00E3537A" w:rsidRDefault="00E84D34" w:rsidP="004E495C">
      <w:r>
        <w:t>For any one sensitivity test, one year of additional element occurrences (EOs) significantly changed the ranking of watersheds (</w:t>
      </w:r>
      <w:r w:rsidR="00F01773">
        <w:fldChar w:fldCharType="begin"/>
      </w:r>
      <w:r w:rsidR="001118C0">
        <w:instrText xml:space="preserve"> REF _Ref419730498 \h </w:instrText>
      </w:r>
      <w:r w:rsidR="00F01773">
        <w:fldChar w:fldCharType="separate"/>
      </w:r>
      <w:r w:rsidR="00867AA7">
        <w:t xml:space="preserve">Table S </w:t>
      </w:r>
      <w:r w:rsidR="00867AA7">
        <w:rPr>
          <w:noProof/>
        </w:rPr>
        <w:t>1</w:t>
      </w:r>
      <w:r w:rsidR="00867AA7">
        <w:t>.</w:t>
      </w:r>
      <w:r w:rsidR="00867AA7">
        <w:rPr>
          <w:noProof/>
        </w:rPr>
        <w:t>2</w:t>
      </w:r>
      <w:r w:rsidR="00F01773">
        <w:fldChar w:fldCharType="end"/>
      </w:r>
      <w:r>
        <w:t xml:space="preserve">: column 2). This was true for all sensitivity tests except the </w:t>
      </w:r>
      <w:r w:rsidRPr="00B22245">
        <w:t>4</w:t>
      </w:r>
      <w:r>
        <w:t>-watershed</w:t>
      </w:r>
      <w:r>
        <w:softHyphen/>
        <w:t xml:space="preserve"> test for which sequential rankings were usually identical. Further, the overall magnitude of change brought on by additional observations grew with the number of watersheds prioritized (moving down column 2 in</w:t>
      </w:r>
      <w:r w:rsidR="001118C0">
        <w:t xml:space="preserve"> </w:t>
      </w:r>
      <w:r w:rsidR="00F01773">
        <w:fldChar w:fldCharType="begin"/>
      </w:r>
      <w:r w:rsidR="001118C0">
        <w:instrText xml:space="preserve"> REF _Ref419730498 \h </w:instrText>
      </w:r>
      <w:r w:rsidR="00F01773">
        <w:fldChar w:fldCharType="separate"/>
      </w:r>
      <w:r w:rsidR="00867AA7">
        <w:t xml:space="preserve">Table S </w:t>
      </w:r>
      <w:r w:rsidR="00867AA7">
        <w:rPr>
          <w:noProof/>
        </w:rPr>
        <w:t>1</w:t>
      </w:r>
      <w:r w:rsidR="00867AA7">
        <w:t>.</w:t>
      </w:r>
      <w:r w:rsidR="00867AA7">
        <w:rPr>
          <w:noProof/>
        </w:rPr>
        <w:t>2</w:t>
      </w:r>
      <w:r w:rsidR="00F01773">
        <w:fldChar w:fldCharType="end"/>
      </w:r>
      <w:r>
        <w:t>).</w:t>
      </w:r>
    </w:p>
    <w:p w:rsidR="00313E84" w:rsidRDefault="00313E84" w:rsidP="00313E84">
      <w:r>
        <w:tab/>
        <w:t>Of the ten sensitivity tests for which we assessed priority changes over time, nine showed a decreasing effect of additional EOs over time.</w:t>
      </w:r>
    </w:p>
    <w:p w:rsidR="00313E84" w:rsidRDefault="00313E84" w:rsidP="004E495C">
      <w:pPr>
        <w:sectPr w:rsidR="00313E84" w:rsidSect="002115B4">
          <w:footerReference w:type="default" r:id="rId39"/>
          <w:pgSz w:w="12240" w:h="15840" w:code="1"/>
          <w:pgMar w:top="1440" w:right="1800" w:bottom="1440" w:left="1800" w:header="720" w:footer="1440" w:gutter="0"/>
          <w:cols w:space="720"/>
          <w:noEndnote/>
          <w:docGrid w:linePitch="360"/>
        </w:sectPr>
      </w:pPr>
    </w:p>
    <w:p w:rsidR="00E3537A" w:rsidRDefault="00F01773" w:rsidP="004E495C">
      <w:pPr>
        <w:sectPr w:rsidR="00E3537A" w:rsidSect="00E3537A">
          <w:pgSz w:w="15840" w:h="12240" w:orient="landscape" w:code="1"/>
          <w:pgMar w:top="1800" w:right="1440" w:bottom="1800" w:left="1440" w:header="720" w:footer="1440" w:gutter="0"/>
          <w:cols w:space="720"/>
          <w:noEndnote/>
          <w:docGrid w:linePitch="360"/>
        </w:sectPr>
      </w:pPr>
      <w:r>
        <w:pict>
          <v:shape id="_x0000_s1098" type="#_x0000_t202" style="width:642pt;height:441pt;mso-position-horizontal-relative:char;mso-position-vertical-relative:line" filled="f" stroked="f">
            <v:textbox style="mso-next-textbox:#_x0000_s1098">
              <w:txbxContent>
                <w:tbl>
                  <w:tblPr>
                    <w:tblW w:w="0" w:type="auto"/>
                    <w:tblInd w:w="108" w:type="dxa"/>
                    <w:tblLook w:val="0000"/>
                  </w:tblPr>
                  <w:tblGrid>
                    <w:gridCol w:w="3007"/>
                    <w:gridCol w:w="2032"/>
                    <w:gridCol w:w="2095"/>
                    <w:gridCol w:w="1595"/>
                    <w:gridCol w:w="1146"/>
                    <w:gridCol w:w="1392"/>
                    <w:gridCol w:w="1392"/>
                  </w:tblGrid>
                  <w:tr w:rsidR="006A45E8" w:rsidRPr="0078178F" w:rsidTr="00E3537A">
                    <w:trPr>
                      <w:trHeight w:val="300"/>
                    </w:trPr>
                    <w:tc>
                      <w:tcPr>
                        <w:tcW w:w="0" w:type="auto"/>
                        <w:gridSpan w:val="7"/>
                        <w:tcBorders>
                          <w:top w:val="nil"/>
                          <w:left w:val="nil"/>
                          <w:bottom w:val="nil"/>
                          <w:right w:val="nil"/>
                        </w:tcBorders>
                        <w:vAlign w:val="bottom"/>
                      </w:tcPr>
                      <w:p w:rsidR="006A45E8" w:rsidRPr="002B2090" w:rsidRDefault="006A45E8" w:rsidP="005E7C16">
                        <w:pPr>
                          <w:pStyle w:val="Caption"/>
                          <w:rPr>
                            <w:vanish/>
                            <w:lang w:val="en-GB"/>
                            <w:specVanish/>
                          </w:rPr>
                        </w:pPr>
                        <w:bookmarkStart w:id="49" w:name="_Ref419730498"/>
                        <w:bookmarkStart w:id="50" w:name="_Toc421352897"/>
                        <w:r>
                          <w:t xml:space="preserve">Table S </w:t>
                        </w:r>
                        <w:fldSimple w:instr=" STYLEREF 1 \s ">
                          <w:r>
                            <w:rPr>
                              <w:noProof/>
                            </w:rPr>
                            <w:t>1</w:t>
                          </w:r>
                        </w:fldSimple>
                        <w:r>
                          <w:t>.</w:t>
                        </w:r>
                        <w:fldSimple w:instr=" SEQ Table_S \* ARABIC \s 1 ">
                          <w:r>
                            <w:rPr>
                              <w:noProof/>
                            </w:rPr>
                            <w:t>2</w:t>
                          </w:r>
                        </w:fldSimple>
                        <w:bookmarkEnd w:id="49"/>
                        <w:r>
                          <w:t xml:space="preserve">. </w:t>
                        </w:r>
                        <w:r>
                          <w:br w:type="page"/>
                        </w:r>
                        <w:r>
                          <w:br w:type="page"/>
                        </w:r>
                        <w:r w:rsidRPr="00E433E2">
                          <w:t>Effect of additional data on priorities and when regressed against time for</w:t>
                        </w:r>
                        <w:r>
                          <w:t xml:space="preserve"> (1)</w:t>
                        </w:r>
                        <w:r w:rsidRPr="00E433E2">
                          <w:t xml:space="preserve"> </w:t>
                        </w:r>
                        <w:r w:rsidRPr="00E433E2">
                          <w:rPr>
                            <w:i/>
                          </w:rPr>
                          <w:t xml:space="preserve">Local Richness </w:t>
                        </w:r>
                        <w:r w:rsidRPr="00E433E2">
                          <w:t>sensitivity tests</w:t>
                        </w:r>
                        <w:bookmarkEnd w:id="50"/>
                      </w:p>
                      <w:p w:rsidR="006A45E8" w:rsidRPr="000C67AC" w:rsidRDefault="006A45E8" w:rsidP="00F06840">
                        <w:pPr>
                          <w:pStyle w:val="Caption"/>
                        </w:pPr>
                        <w:r w:rsidRPr="00E433E2">
                          <w:t>. Sensitivity of the ranking method to (2) the number of sites used in the prioritization process, (3) sampling bias, and (4) data reliability, was tested.</w:t>
                        </w:r>
                        <w:r>
                          <w:t xml:space="preserve"> Subsequently, (5) the overall magnitude of change brought on by one year of additional element occurrences (EOs) was tested, as well as (6) the change in that value over time. Finally, the regression model used to create (6) was used to predict the change in priorities from additional EOs in (7) 2010 and (8) 2030 if current collection conditions hold.</w:t>
                        </w:r>
                      </w:p>
                    </w:tc>
                  </w:tr>
                  <w:tr w:rsidR="006A45E8" w:rsidRPr="0078178F" w:rsidTr="00E3537A">
                    <w:trPr>
                      <w:trHeight w:val="375"/>
                    </w:trPr>
                    <w:tc>
                      <w:tcPr>
                        <w:tcW w:w="0" w:type="auto"/>
                        <w:tcBorders>
                          <w:top w:val="single" w:sz="4" w:space="0" w:color="auto"/>
                          <w:left w:val="nil"/>
                          <w:bottom w:val="single" w:sz="4" w:space="0" w:color="auto"/>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test</w:t>
                        </w:r>
                      </w:p>
                    </w:tc>
                    <w:tc>
                      <w:tcPr>
                        <w:tcW w:w="0" w:type="auto"/>
                        <w:tcBorders>
                          <w:top w:val="single" w:sz="4" w:space="0" w:color="auto"/>
                          <w:left w:val="nil"/>
                          <w:bottom w:val="single" w:sz="4" w:space="0" w:color="auto"/>
                          <w:right w:val="nil"/>
                        </w:tcBorders>
                        <w:vAlign w:val="bottom"/>
                      </w:tcPr>
                      <w:p w:rsidR="006A45E8" w:rsidRPr="0078178F" w:rsidRDefault="006A45E8" w:rsidP="00F06840">
                        <w:pPr>
                          <w:autoSpaceDE w:val="0"/>
                          <w:autoSpaceDN w:val="0"/>
                          <w:adjustRightInd w:val="0"/>
                          <w:jc w:val="center"/>
                          <w:rPr>
                            <w:b/>
                            <w:bCs/>
                            <w:color w:val="000000"/>
                            <w:sz w:val="22"/>
                          </w:rPr>
                        </w:pPr>
                        <w:r>
                          <w:rPr>
                            <w:b/>
                            <w:bCs/>
                          </w:rPr>
                          <w:t xml:space="preserve">5. </w:t>
                        </w:r>
                        <w:r w:rsidRPr="0078178F">
                          <w:rPr>
                            <w:b/>
                            <w:bCs/>
                          </w:rPr>
                          <w:t>med(</w:t>
                        </w:r>
                        <w:r w:rsidRPr="0078178F">
                          <w:rPr>
                            <w:b/>
                            <w:bCs/>
                            <w:i/>
                          </w:rPr>
                          <w:t>V</w:t>
                        </w:r>
                        <w:r w:rsidRPr="0078178F">
                          <w:rPr>
                            <w:b/>
                            <w:bCs/>
                          </w:rPr>
                          <w:t>)</w:t>
                        </w:r>
                      </w:p>
                    </w:tc>
                    <w:tc>
                      <w:tcPr>
                        <w:tcW w:w="0" w:type="auto"/>
                        <w:tcBorders>
                          <w:top w:val="single" w:sz="4" w:space="0" w:color="auto"/>
                          <w:left w:val="nil"/>
                          <w:bottom w:val="single" w:sz="4" w:space="0" w:color="auto"/>
                          <w:right w:val="nil"/>
                        </w:tcBorders>
                        <w:vAlign w:val="bottom"/>
                      </w:tcPr>
                      <w:p w:rsidR="006A45E8" w:rsidRPr="0078178F" w:rsidRDefault="006A45E8" w:rsidP="00F06840">
                        <w:pPr>
                          <w:autoSpaceDE w:val="0"/>
                          <w:autoSpaceDN w:val="0"/>
                          <w:adjustRightInd w:val="0"/>
                          <w:jc w:val="center"/>
                        </w:pPr>
                        <w:r w:rsidRPr="0078178F">
                          <w:rPr>
                            <w:b/>
                            <w:bCs/>
                            <w:color w:val="000000"/>
                            <w:sz w:val="22"/>
                          </w:rPr>
                          <w:t>intercept</w:t>
                        </w:r>
                      </w:p>
                    </w:tc>
                    <w:tc>
                      <w:tcPr>
                        <w:tcW w:w="0" w:type="auto"/>
                        <w:tcBorders>
                          <w:top w:val="single" w:sz="4" w:space="0" w:color="auto"/>
                          <w:left w:val="nil"/>
                          <w:bottom w:val="single" w:sz="4" w:space="0" w:color="auto"/>
                          <w:right w:val="nil"/>
                        </w:tcBorders>
                        <w:vAlign w:val="bottom"/>
                      </w:tcPr>
                      <w:p w:rsidR="006A45E8" w:rsidRPr="0078178F" w:rsidRDefault="006A45E8" w:rsidP="00F06840">
                        <w:pPr>
                          <w:autoSpaceDE w:val="0"/>
                          <w:autoSpaceDN w:val="0"/>
                          <w:adjustRightInd w:val="0"/>
                          <w:jc w:val="center"/>
                          <w:rPr>
                            <w:vertAlign w:val="subscript"/>
                          </w:rPr>
                        </w:pPr>
                        <w:r>
                          <w:rPr>
                            <w:b/>
                            <w:bCs/>
                            <w:color w:val="000000"/>
                            <w:sz w:val="22"/>
                          </w:rPr>
                          <w:t xml:space="preserve">6. </w:t>
                        </w:r>
                        <w:r w:rsidRPr="0078178F">
                          <w:rPr>
                            <w:b/>
                            <w:bCs/>
                            <w:color w:val="000000"/>
                            <w:sz w:val="22"/>
                          </w:rPr>
                          <w:t>slope</w:t>
                        </w:r>
                      </w:p>
                    </w:tc>
                    <w:tc>
                      <w:tcPr>
                        <w:tcW w:w="0" w:type="auto"/>
                        <w:tcBorders>
                          <w:top w:val="single" w:sz="4" w:space="0" w:color="auto"/>
                          <w:left w:val="nil"/>
                          <w:bottom w:val="single" w:sz="4" w:space="0" w:color="auto"/>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R</w:t>
                        </w:r>
                        <w:r w:rsidRPr="0078178F">
                          <w:rPr>
                            <w:b/>
                            <w:bCs/>
                            <w:color w:val="000000"/>
                            <w:sz w:val="22"/>
                            <w:vertAlign w:val="superscript"/>
                          </w:rPr>
                          <w:t>2</w:t>
                        </w:r>
                      </w:p>
                    </w:tc>
                    <w:tc>
                      <w:tcPr>
                        <w:tcW w:w="0" w:type="auto"/>
                        <w:tcBorders>
                          <w:top w:val="single" w:sz="4" w:space="0" w:color="auto"/>
                          <w:left w:val="nil"/>
                          <w:bottom w:val="single" w:sz="4" w:space="0" w:color="auto"/>
                          <w:right w:val="nil"/>
                        </w:tcBorders>
                        <w:vAlign w:val="bottom"/>
                      </w:tcPr>
                      <w:p w:rsidR="006A45E8" w:rsidRPr="0078178F" w:rsidRDefault="006A45E8" w:rsidP="00F06840">
                        <w:pPr>
                          <w:autoSpaceDE w:val="0"/>
                          <w:autoSpaceDN w:val="0"/>
                          <w:adjustRightInd w:val="0"/>
                          <w:jc w:val="center"/>
                          <w:rPr>
                            <w:b/>
                            <w:bCs/>
                            <w:color w:val="000000"/>
                            <w:sz w:val="22"/>
                            <w:vertAlign w:val="subscript"/>
                          </w:rPr>
                        </w:pPr>
                        <w:r>
                          <w:rPr>
                            <w:b/>
                            <w:bCs/>
                            <w:color w:val="000000"/>
                            <w:sz w:val="22"/>
                          </w:rPr>
                          <w:t xml:space="preserve">7. </w:t>
                        </w:r>
                        <w:r w:rsidRPr="0078178F">
                          <w:rPr>
                            <w:b/>
                            <w:bCs/>
                            <w:i/>
                            <w:color w:val="000000"/>
                            <w:sz w:val="22"/>
                          </w:rPr>
                          <w:t>V</w:t>
                        </w:r>
                        <w:r w:rsidRPr="0078178F">
                          <w:rPr>
                            <w:b/>
                            <w:bCs/>
                            <w:color w:val="000000"/>
                            <w:sz w:val="22"/>
                            <w:vertAlign w:val="subscript"/>
                          </w:rPr>
                          <w:t>2010</w:t>
                        </w:r>
                      </w:p>
                    </w:tc>
                    <w:tc>
                      <w:tcPr>
                        <w:tcW w:w="0" w:type="auto"/>
                        <w:tcBorders>
                          <w:top w:val="single" w:sz="4" w:space="0" w:color="auto"/>
                          <w:left w:val="nil"/>
                          <w:bottom w:val="single" w:sz="4" w:space="0" w:color="auto"/>
                          <w:right w:val="nil"/>
                        </w:tcBorders>
                        <w:vAlign w:val="bottom"/>
                      </w:tcPr>
                      <w:p w:rsidR="006A45E8" w:rsidRPr="0078178F" w:rsidRDefault="006A45E8" w:rsidP="00F06840">
                        <w:pPr>
                          <w:autoSpaceDE w:val="0"/>
                          <w:autoSpaceDN w:val="0"/>
                          <w:adjustRightInd w:val="0"/>
                          <w:jc w:val="center"/>
                          <w:rPr>
                            <w:b/>
                            <w:bCs/>
                            <w:color w:val="000000"/>
                            <w:sz w:val="22"/>
                            <w:vertAlign w:val="subscript"/>
                          </w:rPr>
                        </w:pPr>
                        <w:r>
                          <w:rPr>
                            <w:b/>
                            <w:bCs/>
                            <w:color w:val="000000"/>
                            <w:sz w:val="22"/>
                          </w:rPr>
                          <w:t xml:space="preserve">8. </w:t>
                        </w:r>
                        <w:r w:rsidRPr="0078178F">
                          <w:rPr>
                            <w:b/>
                            <w:bCs/>
                            <w:i/>
                            <w:color w:val="000000"/>
                            <w:sz w:val="22"/>
                          </w:rPr>
                          <w:t>V</w:t>
                        </w:r>
                        <w:r w:rsidRPr="0078178F">
                          <w:rPr>
                            <w:b/>
                            <w:bCs/>
                            <w:color w:val="000000"/>
                            <w:sz w:val="22"/>
                            <w:vertAlign w:val="subscript"/>
                          </w:rPr>
                          <w:t>2030</w:t>
                        </w:r>
                      </w:p>
                    </w:tc>
                  </w:tr>
                  <w:tr w:rsidR="006A45E8" w:rsidRPr="0078178F" w:rsidTr="00E3537A">
                    <w:trPr>
                      <w:trHeight w:val="300"/>
                    </w:trPr>
                    <w:tc>
                      <w:tcPr>
                        <w:tcW w:w="0" w:type="auto"/>
                        <w:tcBorders>
                          <w:top w:val="single" w:sz="4" w:space="0" w:color="auto"/>
                          <w:left w:val="nil"/>
                          <w:right w:val="nil"/>
                        </w:tcBorders>
                        <w:vAlign w:val="bottom"/>
                      </w:tcPr>
                      <w:p w:rsidR="006A45E8" w:rsidRPr="009355E3" w:rsidRDefault="006A45E8" w:rsidP="00F06840">
                        <w:pPr>
                          <w:autoSpaceDE w:val="0"/>
                          <w:autoSpaceDN w:val="0"/>
                          <w:adjustRightInd w:val="0"/>
                          <w:rPr>
                            <w:i/>
                            <w:color w:val="000000"/>
                            <w:sz w:val="22"/>
                          </w:rPr>
                        </w:pPr>
                        <w:r>
                          <w:rPr>
                            <w:color w:val="000000"/>
                            <w:sz w:val="22"/>
                          </w:rPr>
                          <w:t xml:space="preserve">1. </w:t>
                        </w:r>
                        <w:r>
                          <w:rPr>
                            <w:i/>
                            <w:color w:val="000000"/>
                            <w:sz w:val="22"/>
                          </w:rPr>
                          <w:t>Local Richness</w:t>
                        </w:r>
                      </w:p>
                    </w:tc>
                    <w:tc>
                      <w:tcPr>
                        <w:tcW w:w="0" w:type="auto"/>
                        <w:tcBorders>
                          <w:top w:val="single" w:sz="4" w:space="0" w:color="auto"/>
                          <w:left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top w:val="single" w:sz="4" w:space="0" w:color="auto"/>
                          <w:left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top w:val="single" w:sz="4" w:space="0" w:color="auto"/>
                          <w:left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top w:val="single" w:sz="4" w:space="0" w:color="auto"/>
                          <w:left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top w:val="single" w:sz="4" w:space="0" w:color="auto"/>
                          <w:left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top w:val="single" w:sz="4" w:space="0" w:color="auto"/>
                          <w:left w:val="nil"/>
                          <w:right w:val="nil"/>
                        </w:tcBorders>
                        <w:vAlign w:val="bottom"/>
                      </w:tcPr>
                      <w:p w:rsidR="006A45E8" w:rsidRPr="0078178F" w:rsidRDefault="006A45E8" w:rsidP="00F06840">
                        <w:pPr>
                          <w:autoSpaceDE w:val="0"/>
                          <w:autoSpaceDN w:val="0"/>
                          <w:adjustRightInd w:val="0"/>
                          <w:jc w:val="center"/>
                          <w:rPr>
                            <w:color w:val="000000"/>
                            <w:sz w:val="22"/>
                          </w:rPr>
                        </w:pPr>
                      </w:p>
                    </w:tc>
                  </w:tr>
                  <w:tr w:rsidR="006A45E8" w:rsidRPr="0078178F" w:rsidTr="00E3537A">
                    <w:trPr>
                      <w:trHeight w:val="300"/>
                    </w:trPr>
                    <w:tc>
                      <w:tcPr>
                        <w:tcW w:w="0" w:type="auto"/>
                        <w:tcBorders>
                          <w:top w:val="nil"/>
                          <w:left w:val="nil"/>
                          <w:bottom w:val="nil"/>
                          <w:right w:val="nil"/>
                        </w:tcBorders>
                        <w:vAlign w:val="bottom"/>
                      </w:tcPr>
                      <w:p w:rsidR="006A45E8" w:rsidRPr="0078178F" w:rsidRDefault="006A45E8" w:rsidP="00F06840">
                        <w:pPr>
                          <w:autoSpaceDE w:val="0"/>
                          <w:autoSpaceDN w:val="0"/>
                          <w:adjustRightInd w:val="0"/>
                          <w:rPr>
                            <w:color w:val="000000"/>
                            <w:sz w:val="22"/>
                          </w:rPr>
                        </w:pPr>
                        <w:r>
                          <w:rPr>
                            <w:color w:val="000000"/>
                            <w:sz w:val="22"/>
                          </w:rPr>
                          <w:t>925</w:t>
                        </w:r>
                        <w:r w:rsidRPr="0078178F">
                          <w:rPr>
                            <w:color w:val="000000"/>
                            <w:sz w:val="22"/>
                          </w:rPr>
                          <w:t>-</w:t>
                        </w:r>
                        <w:r>
                          <w:rPr>
                            <w:color w:val="000000"/>
                            <w:sz w:val="22"/>
                          </w:rPr>
                          <w:t>watershed</w:t>
                        </w:r>
                        <w:r w:rsidRPr="0078178F">
                          <w:rPr>
                            <w:color w:val="000000"/>
                            <w:sz w:val="22"/>
                          </w:rPr>
                          <w:t>s</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0.13</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2.1</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-1.0</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0.20</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0.08</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0.06</w:t>
                        </w:r>
                      </w:p>
                    </w:tc>
                  </w:tr>
                  <w:tr w:rsidR="006A45E8" w:rsidRPr="0078178F" w:rsidTr="00E3537A">
                    <w:trPr>
                      <w:trHeight w:val="300"/>
                    </w:trPr>
                    <w:tc>
                      <w:tcPr>
                        <w:tcW w:w="0" w:type="auto"/>
                        <w:tcBorders>
                          <w:left w:val="nil"/>
                          <w:bottom w:val="nil"/>
                          <w:right w:val="nil"/>
                        </w:tcBorders>
                        <w:vAlign w:val="bottom"/>
                      </w:tcPr>
                      <w:p w:rsidR="006A45E8" w:rsidRPr="0078178F" w:rsidRDefault="006A45E8" w:rsidP="00F06840">
                        <w:pPr>
                          <w:autoSpaceDE w:val="0"/>
                          <w:autoSpaceDN w:val="0"/>
                          <w:adjustRightInd w:val="0"/>
                          <w:rPr>
                            <w:color w:val="000000"/>
                            <w:sz w:val="22"/>
                          </w:rPr>
                        </w:pP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r>
                  <w:tr w:rsidR="006A45E8" w:rsidRPr="0078178F" w:rsidTr="00E3537A">
                    <w:trPr>
                      <w:trHeight w:val="300"/>
                    </w:trPr>
                    <w:tc>
                      <w:tcPr>
                        <w:tcW w:w="0" w:type="auto"/>
                        <w:tcBorders>
                          <w:left w:val="nil"/>
                          <w:bottom w:val="nil"/>
                          <w:right w:val="nil"/>
                        </w:tcBorders>
                        <w:vAlign w:val="bottom"/>
                      </w:tcPr>
                      <w:p w:rsidR="006A45E8" w:rsidRDefault="006A45E8" w:rsidP="00F06840">
                        <w:pPr>
                          <w:autoSpaceDE w:val="0"/>
                          <w:autoSpaceDN w:val="0"/>
                          <w:adjustRightInd w:val="0"/>
                          <w:rPr>
                            <w:i/>
                            <w:color w:val="000000"/>
                            <w:sz w:val="22"/>
                          </w:rPr>
                        </w:pPr>
                        <w:r>
                          <w:rPr>
                            <w:color w:val="000000"/>
                            <w:sz w:val="22"/>
                          </w:rPr>
                          <w:t xml:space="preserve">2. </w:t>
                        </w:r>
                        <w:r>
                          <w:rPr>
                            <w:i/>
                            <w:color w:val="000000"/>
                            <w:sz w:val="22"/>
                          </w:rPr>
                          <w:t>Number of</w:t>
                        </w:r>
                      </w:p>
                      <w:p w:rsidR="006A45E8" w:rsidRPr="009355E3" w:rsidRDefault="006A45E8" w:rsidP="00F06840">
                        <w:pPr>
                          <w:autoSpaceDE w:val="0"/>
                          <w:autoSpaceDN w:val="0"/>
                          <w:adjustRightInd w:val="0"/>
                          <w:rPr>
                            <w:i/>
                            <w:color w:val="000000"/>
                            <w:sz w:val="22"/>
                          </w:rPr>
                        </w:pPr>
                        <w:r>
                          <w:rPr>
                            <w:i/>
                            <w:color w:val="000000"/>
                            <w:sz w:val="22"/>
                          </w:rPr>
                          <w:t>Watersheds</w:t>
                        </w: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r>
                  <w:tr w:rsidR="006A45E8" w:rsidRPr="0078178F" w:rsidTr="00E3537A">
                    <w:trPr>
                      <w:trHeight w:val="300"/>
                    </w:trPr>
                    <w:tc>
                      <w:tcPr>
                        <w:tcW w:w="0" w:type="auto"/>
                        <w:tcBorders>
                          <w:left w:val="nil"/>
                          <w:bottom w:val="nil"/>
                          <w:right w:val="nil"/>
                        </w:tcBorders>
                        <w:vAlign w:val="bottom"/>
                      </w:tcPr>
                      <w:p w:rsidR="006A45E8" w:rsidRPr="0078178F" w:rsidRDefault="006A45E8" w:rsidP="00F06840">
                        <w:pPr>
                          <w:autoSpaceDE w:val="0"/>
                          <w:autoSpaceDN w:val="0"/>
                          <w:adjustRightInd w:val="0"/>
                          <w:rPr>
                            <w:color w:val="000000"/>
                            <w:sz w:val="22"/>
                          </w:rPr>
                        </w:pPr>
                        <w:r w:rsidRPr="0078178F">
                          <w:rPr>
                            <w:color w:val="000000"/>
                            <w:sz w:val="22"/>
                          </w:rPr>
                          <w:t>4-</w:t>
                        </w:r>
                        <w:r>
                          <w:rPr>
                            <w:color w:val="000000"/>
                            <w:sz w:val="22"/>
                          </w:rPr>
                          <w:t>watershed</w:t>
                        </w:r>
                        <w:r w:rsidRPr="0078178F">
                          <w:rPr>
                            <w:color w:val="000000"/>
                            <w:sz w:val="22"/>
                          </w:rPr>
                          <w:t>s</w:t>
                        </w: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w:t>
                        </w: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w:t>
                        </w: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w:t>
                        </w: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w:t>
                        </w: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w:t>
                        </w:r>
                      </w:p>
                    </w:tc>
                    <w:tc>
                      <w:tcPr>
                        <w:tcW w:w="0" w:type="auto"/>
                        <w:tcBorders>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w:t>
                        </w:r>
                      </w:p>
                    </w:tc>
                  </w:tr>
                  <w:tr w:rsidR="006A45E8" w:rsidRPr="0078178F" w:rsidTr="00E3537A">
                    <w:trPr>
                      <w:trHeight w:val="300"/>
                    </w:trPr>
                    <w:tc>
                      <w:tcPr>
                        <w:tcW w:w="0" w:type="auto"/>
                        <w:tcBorders>
                          <w:top w:val="nil"/>
                          <w:left w:val="nil"/>
                          <w:bottom w:val="nil"/>
                          <w:right w:val="nil"/>
                        </w:tcBorders>
                        <w:vAlign w:val="bottom"/>
                      </w:tcPr>
                      <w:p w:rsidR="006A45E8" w:rsidRPr="0078178F" w:rsidRDefault="006A45E8" w:rsidP="00F06840">
                        <w:pPr>
                          <w:autoSpaceDE w:val="0"/>
                          <w:autoSpaceDN w:val="0"/>
                          <w:adjustRightInd w:val="0"/>
                          <w:rPr>
                            <w:color w:val="000000"/>
                            <w:sz w:val="22"/>
                          </w:rPr>
                        </w:pPr>
                        <w:r w:rsidRPr="0078178F">
                          <w:rPr>
                            <w:color w:val="000000"/>
                            <w:sz w:val="22"/>
                          </w:rPr>
                          <w:t>48-</w:t>
                        </w:r>
                        <w:r>
                          <w:rPr>
                            <w:color w:val="000000"/>
                            <w:sz w:val="22"/>
                          </w:rPr>
                          <w:t>watershed</w:t>
                        </w:r>
                        <w:r w:rsidRPr="0078178F">
                          <w:rPr>
                            <w:color w:val="000000"/>
                            <w:sz w:val="22"/>
                          </w:rPr>
                          <w:t>s</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0.07</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1.9</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-0.9</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0.09</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0.05</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0.03</w:t>
                        </w:r>
                      </w:p>
                    </w:tc>
                  </w:tr>
                  <w:tr w:rsidR="006A45E8" w:rsidRPr="0078178F" w:rsidTr="00E3537A">
                    <w:trPr>
                      <w:trHeight w:val="300"/>
                    </w:trPr>
                    <w:tc>
                      <w:tcPr>
                        <w:tcW w:w="0" w:type="auto"/>
                        <w:tcBorders>
                          <w:top w:val="nil"/>
                          <w:left w:val="nil"/>
                          <w:bottom w:val="nil"/>
                          <w:right w:val="nil"/>
                        </w:tcBorders>
                        <w:vAlign w:val="bottom"/>
                      </w:tcPr>
                      <w:p w:rsidR="006A45E8" w:rsidRPr="0078178F" w:rsidRDefault="006A45E8" w:rsidP="00F06840">
                        <w:pPr>
                          <w:autoSpaceDE w:val="0"/>
                          <w:autoSpaceDN w:val="0"/>
                          <w:adjustRightInd w:val="0"/>
                          <w:rPr>
                            <w:color w:val="000000"/>
                            <w:sz w:val="22"/>
                          </w:rPr>
                        </w:pPr>
                        <w:r w:rsidRPr="0078178F">
                          <w:rPr>
                            <w:color w:val="000000"/>
                            <w:sz w:val="22"/>
                          </w:rPr>
                          <w:t>93-</w:t>
                        </w:r>
                        <w:r>
                          <w:rPr>
                            <w:color w:val="000000"/>
                            <w:sz w:val="22"/>
                          </w:rPr>
                          <w:t>watershed</w:t>
                        </w:r>
                        <w:r w:rsidRPr="0078178F">
                          <w:rPr>
                            <w:color w:val="000000"/>
                            <w:sz w:val="22"/>
                          </w:rPr>
                          <w:t>s</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0.08</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2.5</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-1.2</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0.21</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0.04</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0.02</w:t>
                        </w:r>
                      </w:p>
                    </w:tc>
                  </w:tr>
                  <w:tr w:rsidR="006A45E8" w:rsidRPr="0078178F" w:rsidTr="00E3537A">
                    <w:trPr>
                      <w:trHeight w:val="300"/>
                    </w:trPr>
                    <w:tc>
                      <w:tcPr>
                        <w:tcW w:w="0" w:type="auto"/>
                        <w:tcBorders>
                          <w:top w:val="nil"/>
                          <w:left w:val="nil"/>
                          <w:bottom w:val="nil"/>
                          <w:right w:val="nil"/>
                        </w:tcBorders>
                        <w:vAlign w:val="bottom"/>
                      </w:tcPr>
                      <w:p w:rsidR="006A45E8" w:rsidRDefault="006A45E8" w:rsidP="00F06840">
                        <w:pPr>
                          <w:autoSpaceDE w:val="0"/>
                          <w:autoSpaceDN w:val="0"/>
                          <w:adjustRightInd w:val="0"/>
                          <w:rPr>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r>
                  <w:tr w:rsidR="006A45E8" w:rsidRPr="0078178F" w:rsidTr="00E3537A">
                    <w:trPr>
                      <w:trHeight w:val="300"/>
                    </w:trPr>
                    <w:tc>
                      <w:tcPr>
                        <w:tcW w:w="0" w:type="auto"/>
                        <w:tcBorders>
                          <w:top w:val="nil"/>
                          <w:left w:val="nil"/>
                          <w:bottom w:val="nil"/>
                          <w:right w:val="nil"/>
                        </w:tcBorders>
                        <w:vAlign w:val="bottom"/>
                      </w:tcPr>
                      <w:p w:rsidR="006A45E8" w:rsidRPr="007B60E0" w:rsidRDefault="006A45E8" w:rsidP="00F06840">
                        <w:pPr>
                          <w:autoSpaceDE w:val="0"/>
                          <w:autoSpaceDN w:val="0"/>
                          <w:adjustRightInd w:val="0"/>
                          <w:rPr>
                            <w:i/>
                            <w:color w:val="000000"/>
                            <w:sz w:val="22"/>
                          </w:rPr>
                        </w:pPr>
                        <w:r>
                          <w:rPr>
                            <w:color w:val="000000"/>
                            <w:sz w:val="22"/>
                          </w:rPr>
                          <w:t xml:space="preserve">3. </w:t>
                        </w:r>
                        <w:r>
                          <w:rPr>
                            <w:i/>
                            <w:color w:val="000000"/>
                            <w:sz w:val="22"/>
                          </w:rPr>
                          <w:t>Sampling Bias</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r>
                  <w:tr w:rsidR="006A45E8" w:rsidRPr="0078178F" w:rsidTr="00E3537A">
                    <w:trPr>
                      <w:trHeight w:val="300"/>
                    </w:trPr>
                    <w:tc>
                      <w:tcPr>
                        <w:tcW w:w="0" w:type="auto"/>
                        <w:tcBorders>
                          <w:top w:val="nil"/>
                          <w:left w:val="nil"/>
                          <w:bottom w:val="nil"/>
                          <w:right w:val="nil"/>
                        </w:tcBorders>
                        <w:vAlign w:val="bottom"/>
                      </w:tcPr>
                      <w:p w:rsidR="006A45E8" w:rsidRPr="0078178F" w:rsidRDefault="006A45E8" w:rsidP="00F06840">
                        <w:pPr>
                          <w:autoSpaceDE w:val="0"/>
                          <w:autoSpaceDN w:val="0"/>
                          <w:adjustRightInd w:val="0"/>
                          <w:rPr>
                            <w:color w:val="000000"/>
                            <w:sz w:val="22"/>
                          </w:rPr>
                        </w:pPr>
                        <w:r>
                          <w:rPr>
                            <w:color w:val="000000"/>
                            <w:sz w:val="22"/>
                          </w:rPr>
                          <w:t>no-control-bias</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0.01</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2.9</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-1.5</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0.22</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-0.01</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-0.03</w:t>
                        </w:r>
                      </w:p>
                    </w:tc>
                  </w:tr>
                  <w:tr w:rsidR="006A45E8" w:rsidRPr="0078178F" w:rsidTr="00E3537A">
                    <w:trPr>
                      <w:trHeight w:val="300"/>
                    </w:trPr>
                    <w:tc>
                      <w:tcPr>
                        <w:tcW w:w="0" w:type="auto"/>
                        <w:tcBorders>
                          <w:top w:val="nil"/>
                          <w:left w:val="nil"/>
                          <w:bottom w:val="nil"/>
                          <w:right w:val="nil"/>
                        </w:tcBorders>
                        <w:vAlign w:val="bottom"/>
                      </w:tcPr>
                      <w:p w:rsidR="006A45E8" w:rsidRPr="0078178F" w:rsidRDefault="006A45E8" w:rsidP="00F06840">
                        <w:pPr>
                          <w:autoSpaceDE w:val="0"/>
                          <w:autoSpaceDN w:val="0"/>
                          <w:adjustRightInd w:val="0"/>
                          <w:rPr>
                            <w:color w:val="000000"/>
                            <w:sz w:val="22"/>
                          </w:rPr>
                        </w:pPr>
                        <w:r w:rsidRPr="0078178F">
                          <w:rPr>
                            <w:color w:val="000000"/>
                            <w:sz w:val="22"/>
                          </w:rPr>
                          <w:t>control-bias</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0.11</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1.0</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-0.5</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0.02</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0.10</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0.09</w:t>
                        </w:r>
                      </w:p>
                    </w:tc>
                  </w:tr>
                  <w:tr w:rsidR="006A45E8" w:rsidRPr="0078178F" w:rsidTr="00E3537A">
                    <w:trPr>
                      <w:trHeight w:val="300"/>
                    </w:trPr>
                    <w:tc>
                      <w:tcPr>
                        <w:tcW w:w="0" w:type="auto"/>
                        <w:tcBorders>
                          <w:top w:val="nil"/>
                          <w:left w:val="nil"/>
                          <w:bottom w:val="nil"/>
                          <w:right w:val="nil"/>
                        </w:tcBorders>
                        <w:vAlign w:val="bottom"/>
                      </w:tcPr>
                      <w:p w:rsidR="006A45E8" w:rsidRPr="0078178F" w:rsidRDefault="006A45E8" w:rsidP="00F06840">
                        <w:pPr>
                          <w:autoSpaceDE w:val="0"/>
                          <w:autoSpaceDN w:val="0"/>
                          <w:adjustRightInd w:val="0"/>
                          <w:rPr>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p>
                    </w:tc>
                  </w:tr>
                  <w:tr w:rsidR="006A45E8" w:rsidRPr="0078178F" w:rsidTr="00E3537A">
                    <w:trPr>
                      <w:trHeight w:val="300"/>
                    </w:trPr>
                    <w:tc>
                      <w:tcPr>
                        <w:tcW w:w="0" w:type="auto"/>
                        <w:tcBorders>
                          <w:top w:val="nil"/>
                          <w:left w:val="nil"/>
                          <w:bottom w:val="nil"/>
                          <w:right w:val="nil"/>
                        </w:tcBorders>
                        <w:vAlign w:val="bottom"/>
                      </w:tcPr>
                      <w:p w:rsidR="006A45E8" w:rsidRPr="00930364" w:rsidRDefault="006A45E8" w:rsidP="00F06840">
                        <w:pPr>
                          <w:autoSpaceDE w:val="0"/>
                          <w:autoSpaceDN w:val="0"/>
                          <w:adjustRightInd w:val="0"/>
                          <w:rPr>
                            <w:i/>
                            <w:color w:val="000000"/>
                            <w:sz w:val="22"/>
                          </w:rPr>
                        </w:pPr>
                        <w:r>
                          <w:rPr>
                            <w:color w:val="000000"/>
                            <w:sz w:val="22"/>
                          </w:rPr>
                          <w:t xml:space="preserve">4. </w:t>
                        </w:r>
                        <w:r>
                          <w:rPr>
                            <w:i/>
                            <w:color w:val="000000"/>
                            <w:sz w:val="22"/>
                          </w:rPr>
                          <w:t>Data Reliability</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p>
                    </w:tc>
                  </w:tr>
                  <w:tr w:rsidR="006A45E8" w:rsidRPr="0078178F" w:rsidTr="00E3537A">
                    <w:trPr>
                      <w:trHeight w:val="300"/>
                    </w:trPr>
                    <w:tc>
                      <w:tcPr>
                        <w:tcW w:w="0" w:type="auto"/>
                        <w:tcBorders>
                          <w:top w:val="nil"/>
                          <w:left w:val="nil"/>
                          <w:bottom w:val="nil"/>
                          <w:right w:val="nil"/>
                        </w:tcBorders>
                        <w:vAlign w:val="bottom"/>
                      </w:tcPr>
                      <w:p w:rsidR="006A45E8" w:rsidRPr="0078178F" w:rsidRDefault="006A45E8" w:rsidP="00F06840">
                        <w:pPr>
                          <w:autoSpaceDE w:val="0"/>
                          <w:autoSpaceDN w:val="0"/>
                          <w:adjustRightInd w:val="0"/>
                          <w:rPr>
                            <w:color w:val="000000"/>
                            <w:sz w:val="22"/>
                          </w:rPr>
                        </w:pPr>
                        <w:r w:rsidRPr="0078178F">
                          <w:rPr>
                            <w:color w:val="000000"/>
                            <w:sz w:val="22"/>
                          </w:rPr>
                          <w:t>1-year</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1.07</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4.9</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-2.0</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0.07</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0.98</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0.94</w:t>
                        </w:r>
                      </w:p>
                    </w:tc>
                  </w:tr>
                  <w:tr w:rsidR="006A45E8" w:rsidRPr="0078178F" w:rsidTr="00E3537A">
                    <w:trPr>
                      <w:trHeight w:val="300"/>
                    </w:trPr>
                    <w:tc>
                      <w:tcPr>
                        <w:tcW w:w="0" w:type="auto"/>
                        <w:tcBorders>
                          <w:top w:val="nil"/>
                          <w:left w:val="nil"/>
                          <w:bottom w:val="nil"/>
                          <w:right w:val="nil"/>
                        </w:tcBorders>
                        <w:vAlign w:val="bottom"/>
                      </w:tcPr>
                      <w:p w:rsidR="006A45E8" w:rsidRPr="0078178F" w:rsidRDefault="006A45E8" w:rsidP="00F06840">
                        <w:pPr>
                          <w:autoSpaceDE w:val="0"/>
                          <w:autoSpaceDN w:val="0"/>
                          <w:adjustRightInd w:val="0"/>
                          <w:rPr>
                            <w:color w:val="000000"/>
                            <w:sz w:val="22"/>
                          </w:rPr>
                        </w:pPr>
                        <w:r w:rsidRPr="0078178F">
                          <w:rPr>
                            <w:color w:val="000000"/>
                            <w:sz w:val="22"/>
                          </w:rPr>
                          <w:t>2-year</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0.65</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2.8</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-1.1</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0.05</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0.62</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0.59</w:t>
                        </w:r>
                      </w:p>
                    </w:tc>
                  </w:tr>
                  <w:tr w:rsidR="006A45E8" w:rsidRPr="0078178F" w:rsidTr="00E3537A">
                    <w:trPr>
                      <w:trHeight w:val="300"/>
                    </w:trPr>
                    <w:tc>
                      <w:tcPr>
                        <w:tcW w:w="0" w:type="auto"/>
                        <w:tcBorders>
                          <w:top w:val="nil"/>
                          <w:left w:val="nil"/>
                          <w:bottom w:val="nil"/>
                          <w:right w:val="nil"/>
                        </w:tcBorders>
                        <w:vAlign w:val="bottom"/>
                      </w:tcPr>
                      <w:p w:rsidR="006A45E8" w:rsidRPr="0078178F" w:rsidRDefault="006A45E8" w:rsidP="00F06840">
                        <w:pPr>
                          <w:autoSpaceDE w:val="0"/>
                          <w:autoSpaceDN w:val="0"/>
                          <w:adjustRightInd w:val="0"/>
                          <w:rPr>
                            <w:color w:val="000000"/>
                            <w:sz w:val="22"/>
                          </w:rPr>
                        </w:pPr>
                        <w:r w:rsidRPr="0078178F">
                          <w:rPr>
                            <w:color w:val="000000"/>
                            <w:sz w:val="22"/>
                          </w:rPr>
                          <w:t>10-year</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0.26</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2.2</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-0.9</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0.13</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0.22</w:t>
                        </w:r>
                      </w:p>
                    </w:tc>
                    <w:tc>
                      <w:tcPr>
                        <w:tcW w:w="0" w:type="auto"/>
                        <w:tcBorders>
                          <w:top w:val="nil"/>
                          <w:left w:val="nil"/>
                          <w:bottom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0.20</w:t>
                        </w:r>
                      </w:p>
                    </w:tc>
                  </w:tr>
                  <w:tr w:rsidR="006A45E8" w:rsidRPr="0078178F" w:rsidTr="00E3537A">
                    <w:trPr>
                      <w:trHeight w:val="300"/>
                    </w:trPr>
                    <w:tc>
                      <w:tcPr>
                        <w:tcW w:w="0" w:type="auto"/>
                        <w:tcBorders>
                          <w:top w:val="nil"/>
                          <w:left w:val="nil"/>
                          <w:right w:val="nil"/>
                        </w:tcBorders>
                        <w:vAlign w:val="bottom"/>
                      </w:tcPr>
                      <w:p w:rsidR="006A45E8" w:rsidRPr="0078178F" w:rsidRDefault="006A45E8" w:rsidP="00F06840">
                        <w:pPr>
                          <w:autoSpaceDE w:val="0"/>
                          <w:autoSpaceDN w:val="0"/>
                          <w:adjustRightInd w:val="0"/>
                          <w:rPr>
                            <w:color w:val="000000"/>
                            <w:sz w:val="22"/>
                          </w:rPr>
                        </w:pPr>
                        <w:r w:rsidRPr="0078178F">
                          <w:rPr>
                            <w:color w:val="000000"/>
                            <w:sz w:val="22"/>
                          </w:rPr>
                          <w:t>25-year</w:t>
                        </w:r>
                      </w:p>
                    </w:tc>
                    <w:tc>
                      <w:tcPr>
                        <w:tcW w:w="0" w:type="auto"/>
                        <w:tcBorders>
                          <w:top w:val="nil"/>
                          <w:left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0.16</w:t>
                        </w:r>
                      </w:p>
                    </w:tc>
                    <w:tc>
                      <w:tcPr>
                        <w:tcW w:w="0" w:type="auto"/>
                        <w:tcBorders>
                          <w:top w:val="nil"/>
                          <w:left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1.4</w:t>
                        </w:r>
                      </w:p>
                    </w:tc>
                    <w:tc>
                      <w:tcPr>
                        <w:tcW w:w="0" w:type="auto"/>
                        <w:tcBorders>
                          <w:top w:val="nil"/>
                          <w:left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-0.6</w:t>
                        </w:r>
                      </w:p>
                    </w:tc>
                    <w:tc>
                      <w:tcPr>
                        <w:tcW w:w="0" w:type="auto"/>
                        <w:tcBorders>
                          <w:top w:val="nil"/>
                          <w:left w:val="nil"/>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0.07</w:t>
                        </w:r>
                      </w:p>
                    </w:tc>
                    <w:tc>
                      <w:tcPr>
                        <w:tcW w:w="0" w:type="auto"/>
                        <w:tcBorders>
                          <w:top w:val="nil"/>
                          <w:left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0.14</w:t>
                        </w:r>
                      </w:p>
                    </w:tc>
                    <w:tc>
                      <w:tcPr>
                        <w:tcW w:w="0" w:type="auto"/>
                        <w:tcBorders>
                          <w:top w:val="nil"/>
                          <w:left w:val="nil"/>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0.12</w:t>
                        </w:r>
                      </w:p>
                    </w:tc>
                  </w:tr>
                  <w:tr w:rsidR="006A45E8" w:rsidRPr="0078178F" w:rsidTr="00E3537A">
                    <w:trPr>
                      <w:trHeight w:val="300"/>
                    </w:trPr>
                    <w:tc>
                      <w:tcPr>
                        <w:tcW w:w="0" w:type="auto"/>
                        <w:tcBorders>
                          <w:top w:val="nil"/>
                          <w:left w:val="nil"/>
                          <w:bottom w:val="single" w:sz="4" w:space="0" w:color="auto"/>
                          <w:right w:val="nil"/>
                        </w:tcBorders>
                        <w:vAlign w:val="bottom"/>
                      </w:tcPr>
                      <w:p w:rsidR="006A45E8" w:rsidRPr="0078178F" w:rsidRDefault="006A45E8" w:rsidP="00F06840">
                        <w:pPr>
                          <w:autoSpaceDE w:val="0"/>
                          <w:autoSpaceDN w:val="0"/>
                          <w:adjustRightInd w:val="0"/>
                          <w:rPr>
                            <w:color w:val="000000"/>
                            <w:sz w:val="22"/>
                          </w:rPr>
                        </w:pPr>
                        <w:r w:rsidRPr="0078178F">
                          <w:rPr>
                            <w:color w:val="000000"/>
                            <w:sz w:val="22"/>
                          </w:rPr>
                          <w:t>50-year</w:t>
                        </w:r>
                      </w:p>
                    </w:tc>
                    <w:tc>
                      <w:tcPr>
                        <w:tcW w:w="0" w:type="auto"/>
                        <w:tcBorders>
                          <w:top w:val="nil"/>
                          <w:left w:val="nil"/>
                          <w:bottom w:val="single" w:sz="4" w:space="0" w:color="auto"/>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0.13</w:t>
                        </w:r>
                      </w:p>
                    </w:tc>
                    <w:tc>
                      <w:tcPr>
                        <w:tcW w:w="0" w:type="auto"/>
                        <w:tcBorders>
                          <w:top w:val="nil"/>
                          <w:left w:val="nil"/>
                          <w:bottom w:val="single" w:sz="4" w:space="0" w:color="auto"/>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1.7</w:t>
                        </w:r>
                      </w:p>
                    </w:tc>
                    <w:tc>
                      <w:tcPr>
                        <w:tcW w:w="0" w:type="auto"/>
                        <w:tcBorders>
                          <w:top w:val="nil"/>
                          <w:left w:val="nil"/>
                          <w:bottom w:val="single" w:sz="4" w:space="0" w:color="auto"/>
                          <w:right w:val="nil"/>
                        </w:tcBorders>
                        <w:vAlign w:val="bottom"/>
                      </w:tcPr>
                      <w:p w:rsidR="006A45E8" w:rsidRPr="0078178F" w:rsidRDefault="006A45E8" w:rsidP="00F06840">
                        <w:pPr>
                          <w:autoSpaceDE w:val="0"/>
                          <w:autoSpaceDN w:val="0"/>
                          <w:adjustRightInd w:val="0"/>
                          <w:jc w:val="center"/>
                          <w:rPr>
                            <w:b/>
                            <w:bCs/>
                            <w:color w:val="000000"/>
                            <w:sz w:val="22"/>
                          </w:rPr>
                        </w:pPr>
                        <w:r w:rsidRPr="0078178F">
                          <w:rPr>
                            <w:b/>
                            <w:bCs/>
                            <w:color w:val="000000"/>
                            <w:sz w:val="22"/>
                          </w:rPr>
                          <w:t>-0.8</w:t>
                        </w:r>
                      </w:p>
                    </w:tc>
                    <w:tc>
                      <w:tcPr>
                        <w:tcW w:w="0" w:type="auto"/>
                        <w:tcBorders>
                          <w:top w:val="nil"/>
                          <w:left w:val="nil"/>
                          <w:bottom w:val="single" w:sz="4" w:space="0" w:color="auto"/>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0.15</w:t>
                        </w:r>
                      </w:p>
                    </w:tc>
                    <w:tc>
                      <w:tcPr>
                        <w:tcW w:w="0" w:type="auto"/>
                        <w:tcBorders>
                          <w:top w:val="nil"/>
                          <w:left w:val="nil"/>
                          <w:bottom w:val="single" w:sz="4" w:space="0" w:color="auto"/>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0.10</w:t>
                        </w:r>
                      </w:p>
                    </w:tc>
                    <w:tc>
                      <w:tcPr>
                        <w:tcW w:w="0" w:type="auto"/>
                        <w:tcBorders>
                          <w:top w:val="nil"/>
                          <w:left w:val="nil"/>
                          <w:bottom w:val="single" w:sz="4" w:space="0" w:color="auto"/>
                          <w:right w:val="nil"/>
                        </w:tcBorders>
                        <w:vAlign w:val="bottom"/>
                      </w:tcPr>
                      <w:p w:rsidR="006A45E8" w:rsidRPr="0078178F" w:rsidRDefault="006A45E8" w:rsidP="00F06840">
                        <w:pPr>
                          <w:autoSpaceDE w:val="0"/>
                          <w:autoSpaceDN w:val="0"/>
                          <w:adjustRightInd w:val="0"/>
                          <w:jc w:val="center"/>
                          <w:rPr>
                            <w:color w:val="000000"/>
                            <w:sz w:val="22"/>
                          </w:rPr>
                        </w:pPr>
                        <w:r w:rsidRPr="0078178F">
                          <w:rPr>
                            <w:color w:val="000000"/>
                            <w:sz w:val="22"/>
                          </w:rPr>
                          <w:t>0.08</w:t>
                        </w:r>
                      </w:p>
                    </w:tc>
                  </w:tr>
                  <w:tr w:rsidR="006A45E8" w:rsidRPr="0078178F" w:rsidTr="00E3537A">
                    <w:trPr>
                      <w:trHeight w:val="300"/>
                    </w:trPr>
                    <w:tc>
                      <w:tcPr>
                        <w:tcW w:w="0" w:type="auto"/>
                        <w:gridSpan w:val="7"/>
                        <w:tcBorders>
                          <w:top w:val="single" w:sz="4" w:space="0" w:color="auto"/>
                          <w:left w:val="nil"/>
                          <w:bottom w:val="nil"/>
                          <w:right w:val="nil"/>
                        </w:tcBorders>
                        <w:vAlign w:val="bottom"/>
                      </w:tcPr>
                      <w:p w:rsidR="006A45E8" w:rsidRPr="0078178F" w:rsidRDefault="006A45E8" w:rsidP="00F06840">
                        <w:pPr>
                          <w:autoSpaceDE w:val="0"/>
                          <w:autoSpaceDN w:val="0"/>
                          <w:adjustRightInd w:val="0"/>
                          <w:rPr>
                            <w:color w:val="000000"/>
                            <w:sz w:val="22"/>
                          </w:rPr>
                        </w:pPr>
                        <w:r w:rsidRPr="0078178F">
                          <w:rPr>
                            <w:sz w:val="22"/>
                          </w:rPr>
                          <w:t>Table columns are [med(</w:t>
                        </w:r>
                        <w:r w:rsidRPr="0078178F">
                          <w:rPr>
                            <w:i/>
                            <w:sz w:val="22"/>
                          </w:rPr>
                          <w:t>V</w:t>
                        </w:r>
                        <w:r w:rsidRPr="0078178F">
                          <w:rPr>
                            <w:sz w:val="22"/>
                          </w:rPr>
                          <w:t xml:space="preserve">)] = median of </w:t>
                        </w:r>
                        <w:r w:rsidRPr="0078178F">
                          <w:rPr>
                            <w:i/>
                            <w:sz w:val="22"/>
                          </w:rPr>
                          <w:t>V</w:t>
                        </w:r>
                        <w:r w:rsidRPr="0078178F">
                          <w:rPr>
                            <w:sz w:val="22"/>
                          </w:rPr>
                          <w:t xml:space="preserve"> across all years; [intercept] = model intercept; [slope] = slope of the </w:t>
                        </w:r>
                        <w:r>
                          <w:rPr>
                            <w:sz w:val="22"/>
                          </w:rPr>
                          <w:t xml:space="preserve">regression </w:t>
                        </w:r>
                        <w:r w:rsidRPr="0078178F">
                          <w:rPr>
                            <w:sz w:val="22"/>
                          </w:rPr>
                          <w:t xml:space="preserve">in </w:t>
                        </w:r>
                        <w:r w:rsidRPr="0078178F">
                          <w:rPr>
                            <w:i/>
                            <w:sz w:val="22"/>
                          </w:rPr>
                          <w:t>V</w:t>
                        </w:r>
                        <w:r w:rsidRPr="0078178F">
                          <w:rPr>
                            <w:sz w:val="22"/>
                          </w:rPr>
                          <w:t xml:space="preserve"> ∙ yr</w:t>
                        </w:r>
                        <w:r w:rsidRPr="0078178F">
                          <w:rPr>
                            <w:sz w:val="22"/>
                            <w:vertAlign w:val="superscript"/>
                          </w:rPr>
                          <w:t>-1</w:t>
                        </w:r>
                        <w:r w:rsidRPr="0078178F">
                          <w:rPr>
                            <w:sz w:val="22"/>
                          </w:rPr>
                          <w:t xml:space="preserve"> ∙ 10</w:t>
                        </w:r>
                        <w:r w:rsidRPr="0078178F">
                          <w:rPr>
                            <w:sz w:val="22"/>
                            <w:vertAlign w:val="superscript"/>
                          </w:rPr>
                          <w:t>-3</w:t>
                        </w:r>
                        <w:r w:rsidRPr="0078178F">
                          <w:rPr>
                            <w:sz w:val="22"/>
                          </w:rPr>
                          <w:t>; [R</w:t>
                        </w:r>
                        <w:r w:rsidRPr="0078178F">
                          <w:rPr>
                            <w:sz w:val="22"/>
                            <w:vertAlign w:val="superscript"/>
                          </w:rPr>
                          <w:t>2</w:t>
                        </w:r>
                        <w:r w:rsidRPr="0078178F">
                          <w:rPr>
                            <w:sz w:val="22"/>
                          </w:rPr>
                          <w:t>] = adjusted R</w:t>
                        </w:r>
                        <w:r w:rsidRPr="0078178F">
                          <w:rPr>
                            <w:sz w:val="22"/>
                            <w:vertAlign w:val="superscript"/>
                          </w:rPr>
                          <w:t>2</w:t>
                        </w:r>
                        <w:r w:rsidRPr="0078178F">
                          <w:rPr>
                            <w:sz w:val="22"/>
                          </w:rPr>
                          <w:t>; [</w:t>
                        </w:r>
                        <w:r w:rsidRPr="0078178F">
                          <w:rPr>
                            <w:i/>
                            <w:sz w:val="22"/>
                          </w:rPr>
                          <w:t>V</w:t>
                        </w:r>
                        <w:r w:rsidRPr="0078178F">
                          <w:rPr>
                            <w:sz w:val="22"/>
                            <w:vertAlign w:val="subscript"/>
                          </w:rPr>
                          <w:t>2010</w:t>
                        </w:r>
                        <w:r w:rsidRPr="0078178F">
                          <w:rPr>
                            <w:sz w:val="22"/>
                          </w:rPr>
                          <w:t xml:space="preserve">] = predicted value of </w:t>
                        </w:r>
                        <w:r w:rsidRPr="0078178F">
                          <w:rPr>
                            <w:i/>
                            <w:sz w:val="22"/>
                          </w:rPr>
                          <w:t>V</w:t>
                        </w:r>
                        <w:r w:rsidRPr="0078178F">
                          <w:rPr>
                            <w:sz w:val="22"/>
                          </w:rPr>
                          <w:t xml:space="preserve"> in 2010; [</w:t>
                        </w:r>
                        <w:r w:rsidRPr="0078178F">
                          <w:rPr>
                            <w:i/>
                            <w:sz w:val="22"/>
                          </w:rPr>
                          <w:t>V</w:t>
                        </w:r>
                        <w:r w:rsidRPr="0078178F">
                          <w:rPr>
                            <w:sz w:val="22"/>
                            <w:vertAlign w:val="subscript"/>
                          </w:rPr>
                          <w:t>2030</w:t>
                        </w:r>
                        <w:r w:rsidRPr="0078178F">
                          <w:rPr>
                            <w:sz w:val="22"/>
                          </w:rPr>
                          <w:t xml:space="preserve">] = predicted value of </w:t>
                        </w:r>
                        <w:r w:rsidRPr="0078178F">
                          <w:rPr>
                            <w:i/>
                            <w:sz w:val="22"/>
                          </w:rPr>
                          <w:t>V</w:t>
                        </w:r>
                        <w:r w:rsidRPr="0078178F">
                          <w:rPr>
                            <w:sz w:val="22"/>
                          </w:rPr>
                          <w:t xml:space="preserve"> in 2030</w:t>
                        </w:r>
                      </w:p>
                    </w:tc>
                  </w:tr>
                  <w:tr w:rsidR="006A45E8" w:rsidRPr="0078178F" w:rsidTr="00E3537A">
                    <w:trPr>
                      <w:trHeight w:val="300"/>
                    </w:trPr>
                    <w:tc>
                      <w:tcPr>
                        <w:tcW w:w="0" w:type="auto"/>
                        <w:gridSpan w:val="7"/>
                        <w:tcBorders>
                          <w:top w:val="nil"/>
                          <w:left w:val="nil"/>
                          <w:bottom w:val="nil"/>
                          <w:right w:val="nil"/>
                        </w:tcBorders>
                        <w:vAlign w:val="bottom"/>
                      </w:tcPr>
                      <w:p w:rsidR="006A45E8" w:rsidRPr="0078178F" w:rsidRDefault="006A45E8" w:rsidP="00F06840">
                        <w:pPr>
                          <w:autoSpaceDE w:val="0"/>
                          <w:autoSpaceDN w:val="0"/>
                          <w:adjustRightInd w:val="0"/>
                          <w:rPr>
                            <w:color w:val="000000"/>
                            <w:sz w:val="22"/>
                          </w:rPr>
                        </w:pPr>
                        <w:r w:rsidRPr="0078178F">
                          <w:rPr>
                            <w:sz w:val="22"/>
                          </w:rPr>
                          <w:t xml:space="preserve">Values in </w:t>
                        </w:r>
                        <w:r w:rsidRPr="0078178F">
                          <w:rPr>
                            <w:b/>
                            <w:bCs/>
                            <w:sz w:val="22"/>
                          </w:rPr>
                          <w:t>bold</w:t>
                        </w:r>
                        <w:r w:rsidRPr="0078178F">
                          <w:rPr>
                            <w:sz w:val="22"/>
                          </w:rPr>
                          <w:t xml:space="preserve"> are significant at the 5% confidence level.</w:t>
                        </w:r>
                      </w:p>
                    </w:tc>
                  </w:tr>
                </w:tbl>
                <w:p w:rsidR="006A45E8" w:rsidRDefault="006A45E8"/>
              </w:txbxContent>
            </v:textbox>
            <w10:wrap type="none" anchorx="margin" anchory="margin"/>
            <w10:anchorlock/>
          </v:shape>
        </w:pict>
      </w:r>
    </w:p>
    <w:p w:rsidR="00E84D34" w:rsidRDefault="00E84D34" w:rsidP="004E495C">
      <w:pPr>
        <w:pStyle w:val="Heading4"/>
      </w:pPr>
      <w:r>
        <w:lastRenderedPageBreak/>
        <w:t>Number of Watersheds</w:t>
      </w:r>
    </w:p>
    <w:p w:rsidR="00E84D34" w:rsidRDefault="00E84D34" w:rsidP="004E495C">
      <w:r>
        <w:t>Reducing the number of watersheds ranked by local richness reduced the overall effect of additional EOs on priorities (</w:t>
      </w:r>
      <w:r w:rsidR="00F01773">
        <w:fldChar w:fldCharType="begin"/>
      </w:r>
      <w:r w:rsidR="001118C0">
        <w:instrText xml:space="preserve"> REF _Ref419730498 \h </w:instrText>
      </w:r>
      <w:r w:rsidR="00F01773">
        <w:fldChar w:fldCharType="separate"/>
      </w:r>
      <w:r w:rsidR="00867AA7">
        <w:t xml:space="preserve">Table S </w:t>
      </w:r>
      <w:r w:rsidR="00867AA7">
        <w:rPr>
          <w:noProof/>
        </w:rPr>
        <w:t>1</w:t>
      </w:r>
      <w:r w:rsidR="00867AA7">
        <w:t>.</w:t>
      </w:r>
      <w:r w:rsidR="00867AA7">
        <w:rPr>
          <w:noProof/>
        </w:rPr>
        <w:t>2</w:t>
      </w:r>
      <w:r w:rsidR="00F01773">
        <w:fldChar w:fldCharType="end"/>
      </w:r>
      <w:r>
        <w:t>: column 2), but had little other effect on the results (</w:t>
      </w:r>
      <w:r w:rsidR="00F01773">
        <w:fldChar w:fldCharType="begin"/>
      </w:r>
      <w:r w:rsidR="001118C0">
        <w:instrText xml:space="preserve"> REF _Ref419730498 \h </w:instrText>
      </w:r>
      <w:r w:rsidR="00F01773">
        <w:fldChar w:fldCharType="separate"/>
      </w:r>
      <w:r w:rsidR="00867AA7">
        <w:t xml:space="preserve">Table S </w:t>
      </w:r>
      <w:r w:rsidR="00867AA7">
        <w:rPr>
          <w:noProof/>
        </w:rPr>
        <w:t>1</w:t>
      </w:r>
      <w:r w:rsidR="00867AA7">
        <w:t>.</w:t>
      </w:r>
      <w:r w:rsidR="00867AA7">
        <w:rPr>
          <w:noProof/>
        </w:rPr>
        <w:t>2</w:t>
      </w:r>
      <w:r w:rsidR="00F01773">
        <w:fldChar w:fldCharType="end"/>
      </w:r>
      <w:r>
        <w:t>). When we reduced the number of watersheds being ranked to 4, there was a qualitative change in priority changes over time (</w:t>
      </w:r>
      <w:r w:rsidR="00F01773">
        <w:fldChar w:fldCharType="begin"/>
      </w:r>
      <w:r w:rsidR="001118C0">
        <w:instrText xml:space="preserve"> REF _Ref419730498 \h </w:instrText>
      </w:r>
      <w:r w:rsidR="00F01773">
        <w:fldChar w:fldCharType="separate"/>
      </w:r>
      <w:r w:rsidR="00867AA7">
        <w:t xml:space="preserve">Table S </w:t>
      </w:r>
      <w:r w:rsidR="00867AA7">
        <w:rPr>
          <w:noProof/>
        </w:rPr>
        <w:t>1</w:t>
      </w:r>
      <w:r w:rsidR="00867AA7">
        <w:t>.</w:t>
      </w:r>
      <w:r w:rsidR="00867AA7">
        <w:rPr>
          <w:noProof/>
        </w:rPr>
        <w:t>2</w:t>
      </w:r>
      <w:r w:rsidR="00F01773">
        <w:fldChar w:fldCharType="end"/>
      </w:r>
      <w:r>
        <w:t>).</w:t>
      </w:r>
    </w:p>
    <w:p w:rsidR="00E84D34" w:rsidRDefault="00E84D34" w:rsidP="004E495C">
      <w:pPr>
        <w:pStyle w:val="Heading4"/>
      </w:pPr>
      <w:r>
        <w:t>Sampling Bias</w:t>
      </w:r>
    </w:p>
    <w:p w:rsidR="00E84D34" w:rsidRDefault="00E84D34" w:rsidP="004E495C">
      <w:r>
        <w:t>Controlling for sampling bias had two notable effects on the results. First, there was a large increase in the overall effect of one year of EOs on priorities (</w:t>
      </w:r>
      <w:r w:rsidR="00F01773">
        <w:fldChar w:fldCharType="begin"/>
      </w:r>
      <w:r w:rsidR="001118C0">
        <w:instrText xml:space="preserve"> REF _Ref419730498 \h </w:instrText>
      </w:r>
      <w:r w:rsidR="00F01773">
        <w:fldChar w:fldCharType="separate"/>
      </w:r>
      <w:r w:rsidR="00867AA7">
        <w:t xml:space="preserve">Table S </w:t>
      </w:r>
      <w:r w:rsidR="00867AA7">
        <w:rPr>
          <w:noProof/>
        </w:rPr>
        <w:t>1</w:t>
      </w:r>
      <w:r w:rsidR="00867AA7">
        <w:t>.</w:t>
      </w:r>
      <w:r w:rsidR="00867AA7">
        <w:rPr>
          <w:noProof/>
        </w:rPr>
        <w:t>2</w:t>
      </w:r>
      <w:r w:rsidR="00F01773">
        <w:fldChar w:fldCharType="end"/>
      </w:r>
      <w:r>
        <w:t>: column 2). Second, controlling for sampling bias erased the negative trend in changing priorities over time (</w:t>
      </w:r>
      <w:r w:rsidR="00F01773">
        <w:fldChar w:fldCharType="begin"/>
      </w:r>
      <w:r w:rsidR="001118C0">
        <w:instrText xml:space="preserve"> REF _Ref419730498 \h </w:instrText>
      </w:r>
      <w:r w:rsidR="00F01773">
        <w:fldChar w:fldCharType="separate"/>
      </w:r>
      <w:r w:rsidR="00867AA7">
        <w:t xml:space="preserve">Table S </w:t>
      </w:r>
      <w:r w:rsidR="00867AA7">
        <w:rPr>
          <w:noProof/>
        </w:rPr>
        <w:t>1</w:t>
      </w:r>
      <w:r w:rsidR="00867AA7">
        <w:t>.</w:t>
      </w:r>
      <w:r w:rsidR="00867AA7">
        <w:rPr>
          <w:noProof/>
        </w:rPr>
        <w:t>2</w:t>
      </w:r>
      <w:r w:rsidR="00F01773">
        <w:fldChar w:fldCharType="end"/>
      </w:r>
      <w:r>
        <w:t>: column 4).</w:t>
      </w:r>
    </w:p>
    <w:p w:rsidR="00E84D34" w:rsidRDefault="00E84D34" w:rsidP="004E495C">
      <w:pPr>
        <w:pStyle w:val="Heading4"/>
      </w:pPr>
      <w:r>
        <w:t>Data Reliability</w:t>
      </w:r>
    </w:p>
    <w:p w:rsidR="00E172C8" w:rsidRDefault="00E84D34">
      <w:r>
        <w:t>Removing data older than some age produced more qualitative and quantitative changes than any other Local Richness sensitivity test. First, a low tolerance for data age produced the largest increase in the overall effect of additional EOs (</w:t>
      </w:r>
      <w:r w:rsidR="00F01773">
        <w:fldChar w:fldCharType="begin"/>
      </w:r>
      <w:r w:rsidR="001118C0">
        <w:instrText xml:space="preserve"> REF _Ref419730498 \h </w:instrText>
      </w:r>
      <w:r w:rsidR="00F01773">
        <w:fldChar w:fldCharType="separate"/>
      </w:r>
      <w:r w:rsidR="00867AA7">
        <w:t xml:space="preserve">Table S </w:t>
      </w:r>
      <w:r w:rsidR="00867AA7">
        <w:rPr>
          <w:noProof/>
        </w:rPr>
        <w:t>1</w:t>
      </w:r>
      <w:r w:rsidR="00867AA7">
        <w:t>.</w:t>
      </w:r>
      <w:r w:rsidR="00867AA7">
        <w:rPr>
          <w:noProof/>
        </w:rPr>
        <w:t>2</w:t>
      </w:r>
      <w:r w:rsidR="00F01773">
        <w:fldChar w:fldCharType="end"/>
      </w:r>
      <w:r>
        <w:t>: column 2). This effect was lost by the time we allowed for data up to 50 years old since at that point most data were being kept. Second, controlling for data reliability led to stronger declines in the effect of additional EOs, though this was more of a quantitative result (</w:t>
      </w:r>
      <w:r w:rsidR="00F01773">
        <w:fldChar w:fldCharType="begin"/>
      </w:r>
      <w:r w:rsidR="001118C0">
        <w:instrText xml:space="preserve"> REF _Ref419730498 \h </w:instrText>
      </w:r>
      <w:r w:rsidR="00F01773">
        <w:fldChar w:fldCharType="separate"/>
      </w:r>
      <w:r w:rsidR="00867AA7">
        <w:t xml:space="preserve">Table S </w:t>
      </w:r>
      <w:r w:rsidR="00867AA7">
        <w:rPr>
          <w:noProof/>
        </w:rPr>
        <w:t>1</w:t>
      </w:r>
      <w:r w:rsidR="00867AA7">
        <w:t>.</w:t>
      </w:r>
      <w:r w:rsidR="00867AA7">
        <w:rPr>
          <w:noProof/>
        </w:rPr>
        <w:t>2</w:t>
      </w:r>
      <w:r w:rsidR="00F01773">
        <w:fldChar w:fldCharType="end"/>
      </w:r>
      <w:r>
        <w:t xml:space="preserve">: column 2) and the result is not apparent </w:t>
      </w:r>
      <w:proofErr w:type="spellStart"/>
      <w:r>
        <w:t>in</w:t>
      </w:r>
      <w:r w:rsidR="00F01773">
        <w:fldChar w:fldCharType="begin"/>
      </w:r>
      <w:r w:rsidR="001118C0">
        <w:instrText xml:space="preserve"> REF _Ref419730498 \h </w:instrText>
      </w:r>
      <w:r w:rsidR="00F01773">
        <w:fldChar w:fldCharType="separate"/>
      </w:r>
      <w:r w:rsidR="00867AA7">
        <w:t>Table</w:t>
      </w:r>
      <w:proofErr w:type="spellEnd"/>
      <w:r w:rsidR="00867AA7">
        <w:t xml:space="preserve"> S </w:t>
      </w:r>
      <w:r w:rsidR="00867AA7">
        <w:rPr>
          <w:noProof/>
        </w:rPr>
        <w:t>1</w:t>
      </w:r>
      <w:r w:rsidR="00867AA7">
        <w:t>.</w:t>
      </w:r>
      <w:r w:rsidR="00867AA7">
        <w:rPr>
          <w:noProof/>
        </w:rPr>
        <w:t>2</w:t>
      </w:r>
      <w:r w:rsidR="00F01773">
        <w:fldChar w:fldCharType="end"/>
      </w:r>
      <w:r>
        <w:t>. Finally, controlling for data reliability may increase the overall effect of additional data on priorities enough to maintain that effect into the future (</w:t>
      </w:r>
      <w:r w:rsidR="00F01773">
        <w:fldChar w:fldCharType="begin"/>
      </w:r>
      <w:r w:rsidR="001118C0">
        <w:instrText xml:space="preserve"> REF _Ref419730498 \h </w:instrText>
      </w:r>
      <w:r w:rsidR="00F01773">
        <w:fldChar w:fldCharType="separate"/>
      </w:r>
      <w:r w:rsidR="00867AA7">
        <w:t xml:space="preserve">Table S </w:t>
      </w:r>
      <w:r w:rsidR="00867AA7">
        <w:rPr>
          <w:noProof/>
        </w:rPr>
        <w:t>1</w:t>
      </w:r>
      <w:r w:rsidR="00867AA7">
        <w:t>.</w:t>
      </w:r>
      <w:r w:rsidR="00867AA7">
        <w:rPr>
          <w:noProof/>
        </w:rPr>
        <w:t>2</w:t>
      </w:r>
      <w:r w:rsidR="00F01773">
        <w:fldChar w:fldCharType="end"/>
      </w:r>
      <w:r>
        <w:t xml:space="preserve">: last two </w:t>
      </w:r>
      <w:r w:rsidR="000438E0">
        <w:t>columns</w:t>
      </w:r>
      <w:r>
        <w:t>).</w:t>
      </w:r>
      <w:r w:rsidR="00E172C8">
        <w:br w:type="page"/>
      </w:r>
    </w:p>
    <w:p w:rsidR="00E172C8" w:rsidRPr="002B2090" w:rsidRDefault="00E172C8" w:rsidP="005E1DC0">
      <w:pPr>
        <w:pStyle w:val="Caption"/>
        <w:rPr>
          <w:vanish/>
          <w:lang w:val="en-GB"/>
          <w:specVanish/>
        </w:rPr>
      </w:pPr>
      <w:bookmarkStart w:id="51" w:name="_Ref419722624"/>
      <w:bookmarkStart w:id="52" w:name="_Toc421352918"/>
      <w:proofErr w:type="gramStart"/>
      <w:r w:rsidRPr="00C50028">
        <w:lastRenderedPageBreak/>
        <w:t xml:space="preserve">Fig. S </w:t>
      </w:r>
      <w:r w:rsidR="00F01773">
        <w:fldChar w:fldCharType="begin"/>
      </w:r>
      <w:r w:rsidR="00F95317">
        <w:instrText xml:space="preserve"> STYLEREF 1 \s </w:instrText>
      </w:r>
      <w:r w:rsidR="00F01773">
        <w:fldChar w:fldCharType="separate"/>
      </w:r>
      <w:r w:rsidR="00867AA7">
        <w:rPr>
          <w:noProof/>
        </w:rPr>
        <w:t>1</w:t>
      </w:r>
      <w:r w:rsidR="00F01773">
        <w:fldChar w:fldCharType="end"/>
      </w:r>
      <w:r w:rsidR="00F95317">
        <w:t>.</w:t>
      </w:r>
      <w:proofErr w:type="gramEnd"/>
      <w:r w:rsidR="00F01773">
        <w:fldChar w:fldCharType="begin"/>
      </w:r>
      <w:r w:rsidR="00F95317">
        <w:instrText xml:space="preserve"> SEQ Fig._S \* ARABIC \s 1 </w:instrText>
      </w:r>
      <w:r w:rsidR="00F01773">
        <w:fldChar w:fldCharType="separate"/>
      </w:r>
      <w:r w:rsidR="00867AA7">
        <w:rPr>
          <w:noProof/>
        </w:rPr>
        <w:t>1</w:t>
      </w:r>
      <w:r w:rsidR="00F01773">
        <w:fldChar w:fldCharType="end"/>
      </w:r>
      <w:bookmarkEnd w:id="51"/>
      <w:r w:rsidRPr="00C50028">
        <w:t>. Figures showing V plotted against time for all sensitivity tests</w:t>
      </w:r>
      <w:bookmarkEnd w:id="52"/>
    </w:p>
    <w:p w:rsidR="00E172C8" w:rsidRDefault="00E172C8" w:rsidP="005E1DC0">
      <w:pPr>
        <w:pStyle w:val="Caption"/>
      </w:pPr>
      <w:r w:rsidRPr="00C50028">
        <w:t xml:space="preserve">. See main text and </w:t>
      </w:r>
      <w:fldSimple w:instr=" REF _Ref417400772 \h  \* MERGEFORMAT ">
        <w:r w:rsidR="00867AA7">
          <w:t xml:space="preserve">Table S </w:t>
        </w:r>
        <w:r w:rsidR="00867AA7">
          <w:rPr>
            <w:noProof/>
          </w:rPr>
          <w:t>1.1</w:t>
        </w:r>
      </w:fldSimple>
      <w:r>
        <w:t xml:space="preserve"> </w:t>
      </w:r>
      <w:r w:rsidRPr="00C50028">
        <w:t>for test definitio</w:t>
      </w:r>
      <w:r>
        <w:t>ns</w:t>
      </w:r>
      <w:r>
        <w:br w:type="page"/>
      </w:r>
    </w:p>
    <w:p w:rsidR="00E172C8" w:rsidRDefault="00E172C8" w:rsidP="00E172C8">
      <w:pPr>
        <w:pStyle w:val="Caption"/>
        <w:jc w:val="left"/>
      </w:pPr>
    </w:p>
    <w:p w:rsidR="00E172C8" w:rsidRDefault="00300E0F" w:rsidP="00BF020F">
      <w:pPr>
        <w:keepNext/>
        <w:jc w:val="center"/>
      </w:pPr>
      <w:r>
        <w:rPr>
          <w:noProof/>
        </w:rPr>
        <w:drawing>
          <wp:inline distT="0" distB="0" distL="0" distR="0">
            <wp:extent cx="4729480" cy="3531704"/>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0" cstate="print"/>
                    <a:srcRect l="8249" r="5596"/>
                    <a:stretch>
                      <a:fillRect/>
                    </a:stretch>
                  </pic:blipFill>
                  <pic:spPr bwMode="auto">
                    <a:xfrm>
                      <a:off x="0" y="0"/>
                      <a:ext cx="4729480" cy="3531704"/>
                    </a:xfrm>
                    <a:prstGeom prst="rect">
                      <a:avLst/>
                    </a:prstGeom>
                    <a:noFill/>
                    <a:ln w="9525">
                      <a:noFill/>
                      <a:miter lim="800000"/>
                      <a:headEnd/>
                      <a:tailEnd/>
                    </a:ln>
                  </pic:spPr>
                </pic:pic>
              </a:graphicData>
            </a:graphic>
          </wp:inline>
        </w:drawing>
      </w:r>
      <w:r>
        <w:rPr>
          <w:noProof/>
        </w:rPr>
        <w:drawing>
          <wp:inline distT="0" distB="0" distL="0" distR="0">
            <wp:extent cx="4729480" cy="3889513"/>
            <wp:effectExtent l="1905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1" cstate="print"/>
                    <a:srcRect l="8249" r="5596"/>
                    <a:stretch>
                      <a:fillRect/>
                    </a:stretch>
                  </pic:blipFill>
                  <pic:spPr bwMode="auto">
                    <a:xfrm>
                      <a:off x="0" y="0"/>
                      <a:ext cx="4729480" cy="3889513"/>
                    </a:xfrm>
                    <a:prstGeom prst="rect">
                      <a:avLst/>
                    </a:prstGeom>
                    <a:noFill/>
                    <a:ln w="9525">
                      <a:noFill/>
                      <a:miter lim="800000"/>
                      <a:headEnd/>
                      <a:tailEnd/>
                    </a:ln>
                  </pic:spPr>
                </pic:pic>
              </a:graphicData>
            </a:graphic>
          </wp:inline>
        </w:drawing>
      </w:r>
    </w:p>
    <w:p w:rsidR="00E172C8" w:rsidRDefault="00F01773" w:rsidP="00BF020F">
      <w:pPr>
        <w:keepNext/>
        <w:jc w:val="center"/>
      </w:pPr>
      <w:r>
        <w:fldChar w:fldCharType="begin"/>
      </w:r>
      <w:r w:rsidR="00E172C8">
        <w:instrText xml:space="preserve"> REF _Ref419722624 \h </w:instrText>
      </w:r>
      <w:r>
        <w:fldChar w:fldCharType="separate"/>
      </w:r>
      <w:r w:rsidR="00867AA7" w:rsidRPr="00C50028">
        <w:t xml:space="preserve">Fig. S </w:t>
      </w:r>
      <w:r w:rsidR="00867AA7">
        <w:rPr>
          <w:noProof/>
        </w:rPr>
        <w:t>1</w:t>
      </w:r>
      <w:r w:rsidR="00867AA7">
        <w:t>.</w:t>
      </w:r>
      <w:r w:rsidR="00867AA7">
        <w:rPr>
          <w:noProof/>
        </w:rPr>
        <w:t>1</w:t>
      </w:r>
      <w:r>
        <w:fldChar w:fldCharType="end"/>
      </w:r>
      <w:r w:rsidR="00E172C8">
        <w:t xml:space="preserve"> Continued</w:t>
      </w:r>
    </w:p>
    <w:p w:rsidR="00C50028" w:rsidRDefault="00300E0F" w:rsidP="00BF020F">
      <w:pPr>
        <w:keepNext/>
        <w:jc w:val="center"/>
      </w:pPr>
      <w:r>
        <w:rPr>
          <w:noProof/>
        </w:rPr>
        <w:lastRenderedPageBreak/>
        <w:drawing>
          <wp:inline distT="0" distB="0" distL="0" distR="0">
            <wp:extent cx="4489505" cy="2398685"/>
            <wp:effectExtent l="19050" t="0" r="629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2" cstate="print"/>
                    <a:srcRect l="10413" r="7760" b="38329"/>
                    <a:stretch>
                      <a:fillRect/>
                    </a:stretch>
                  </pic:blipFill>
                  <pic:spPr bwMode="auto">
                    <a:xfrm>
                      <a:off x="0" y="0"/>
                      <a:ext cx="4489505" cy="2398685"/>
                    </a:xfrm>
                    <a:prstGeom prst="rect">
                      <a:avLst/>
                    </a:prstGeom>
                    <a:noFill/>
                    <a:ln w="9525">
                      <a:noFill/>
                      <a:miter lim="800000"/>
                      <a:headEnd/>
                      <a:tailEnd/>
                    </a:ln>
                  </pic:spPr>
                </pic:pic>
              </a:graphicData>
            </a:graphic>
          </wp:inline>
        </w:drawing>
      </w:r>
    </w:p>
    <w:p w:rsidR="00E172C8" w:rsidRDefault="00E172C8" w:rsidP="00BF020F">
      <w:pPr>
        <w:keepNext/>
        <w:jc w:val="center"/>
      </w:pPr>
    </w:p>
    <w:p w:rsidR="00E172C8" w:rsidRDefault="00F01773" w:rsidP="00E172C8">
      <w:pPr>
        <w:keepNext/>
        <w:jc w:val="center"/>
      </w:pPr>
      <w:r>
        <w:fldChar w:fldCharType="begin"/>
      </w:r>
      <w:r w:rsidR="00E172C8">
        <w:instrText xml:space="preserve"> REF _Ref419722624 \h </w:instrText>
      </w:r>
      <w:r>
        <w:fldChar w:fldCharType="separate"/>
      </w:r>
      <w:r w:rsidR="00867AA7" w:rsidRPr="00C50028">
        <w:t xml:space="preserve">Fig. S </w:t>
      </w:r>
      <w:r w:rsidR="00867AA7">
        <w:rPr>
          <w:noProof/>
        </w:rPr>
        <w:t>1</w:t>
      </w:r>
      <w:r w:rsidR="00867AA7">
        <w:t>.</w:t>
      </w:r>
      <w:r w:rsidR="00867AA7">
        <w:rPr>
          <w:noProof/>
        </w:rPr>
        <w:t>1</w:t>
      </w:r>
      <w:r>
        <w:fldChar w:fldCharType="end"/>
      </w:r>
      <w:r w:rsidR="00E172C8">
        <w:t xml:space="preserve"> Continued</w:t>
      </w:r>
    </w:p>
    <w:p w:rsidR="00E172C8" w:rsidRDefault="00E172C8" w:rsidP="00BF020F">
      <w:pPr>
        <w:keepNext/>
        <w:jc w:val="center"/>
      </w:pPr>
    </w:p>
    <w:p w:rsidR="002E5B8D" w:rsidRDefault="000546FD" w:rsidP="00977F92">
      <w:pPr>
        <w:pStyle w:val="Caption"/>
        <w:jc w:val="center"/>
      </w:pPr>
      <w:r>
        <w:rPr>
          <w:noProof/>
        </w:rPr>
        <w:lastRenderedPageBreak/>
        <w:drawing>
          <wp:inline distT="0" distB="0" distL="0" distR="0">
            <wp:extent cx="3657600" cy="2742786"/>
            <wp:effectExtent l="19050" t="0" r="0" b="0"/>
            <wp:docPr id="75" name="Picture 75" descr="update_periods_c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update_periods_comp"/>
                    <pic:cNvPicPr>
                      <a:picLocks noChangeAspect="1" noChangeArrowheads="1"/>
                    </pic:cNvPicPr>
                  </pic:nvPicPr>
                  <pic:blipFill>
                    <a:blip r:embed="rId43" cstate="print"/>
                    <a:srcRect/>
                    <a:stretch>
                      <a:fillRect/>
                    </a:stretch>
                  </pic:blipFill>
                  <pic:spPr bwMode="auto">
                    <a:xfrm>
                      <a:off x="0" y="0"/>
                      <a:ext cx="3657600" cy="2742786"/>
                    </a:xfrm>
                    <a:prstGeom prst="rect">
                      <a:avLst/>
                    </a:prstGeom>
                    <a:noFill/>
                    <a:ln w="9525">
                      <a:noFill/>
                      <a:miter lim="800000"/>
                      <a:headEnd/>
                      <a:tailEnd/>
                    </a:ln>
                  </pic:spPr>
                </pic:pic>
              </a:graphicData>
            </a:graphic>
          </wp:inline>
        </w:drawing>
      </w:r>
      <w:r>
        <w:rPr>
          <w:noProof/>
        </w:rPr>
        <w:drawing>
          <wp:inline distT="0" distB="0" distL="0" distR="0">
            <wp:extent cx="3657600" cy="2742786"/>
            <wp:effectExtent l="19050" t="0" r="0" b="0"/>
            <wp:docPr id="78" name="Picture 78" descr="update_periods_medians_c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update_periods_medians_comp"/>
                    <pic:cNvPicPr>
                      <a:picLocks noChangeAspect="1" noChangeArrowheads="1"/>
                    </pic:cNvPicPr>
                  </pic:nvPicPr>
                  <pic:blipFill>
                    <a:blip r:embed="rId44" cstate="print"/>
                    <a:srcRect/>
                    <a:stretch>
                      <a:fillRect/>
                    </a:stretch>
                  </pic:blipFill>
                  <pic:spPr bwMode="auto">
                    <a:xfrm>
                      <a:off x="0" y="0"/>
                      <a:ext cx="3657600" cy="2742786"/>
                    </a:xfrm>
                    <a:prstGeom prst="rect">
                      <a:avLst/>
                    </a:prstGeom>
                    <a:noFill/>
                    <a:ln w="9525">
                      <a:noFill/>
                      <a:miter lim="800000"/>
                      <a:headEnd/>
                      <a:tailEnd/>
                    </a:ln>
                  </pic:spPr>
                </pic:pic>
              </a:graphicData>
            </a:graphic>
          </wp:inline>
        </w:drawing>
      </w:r>
    </w:p>
    <w:p w:rsidR="005130D3" w:rsidRPr="002B2090" w:rsidRDefault="002E5B8D" w:rsidP="005130D3">
      <w:pPr>
        <w:pStyle w:val="Caption"/>
        <w:rPr>
          <w:vanish/>
          <w:lang w:val="en-GB"/>
          <w:specVanish/>
        </w:rPr>
      </w:pPr>
      <w:bookmarkStart w:id="53" w:name="_Ref417400990"/>
      <w:bookmarkStart w:id="54" w:name="_Toc421352919"/>
      <w:bookmarkStart w:id="55" w:name="_Toc417647062"/>
      <w:proofErr w:type="gramStart"/>
      <w:r>
        <w:t xml:space="preserve">Fig. S </w:t>
      </w:r>
      <w:r w:rsidR="00F01773">
        <w:fldChar w:fldCharType="begin"/>
      </w:r>
      <w:r w:rsidR="00B819A9">
        <w:instrText xml:space="preserve"> STYLEREF 1 \s </w:instrText>
      </w:r>
      <w:r w:rsidR="00F01773">
        <w:fldChar w:fldCharType="separate"/>
      </w:r>
      <w:r w:rsidR="00867AA7">
        <w:rPr>
          <w:noProof/>
        </w:rPr>
        <w:t>1</w:t>
      </w:r>
      <w:r w:rsidR="00F01773">
        <w:rPr>
          <w:noProof/>
        </w:rPr>
        <w:fldChar w:fldCharType="end"/>
      </w:r>
      <w:r w:rsidR="00F95317">
        <w:t>.</w:t>
      </w:r>
      <w:proofErr w:type="gramEnd"/>
      <w:r w:rsidR="00F01773">
        <w:fldChar w:fldCharType="begin"/>
      </w:r>
      <w:r w:rsidR="00F95317">
        <w:instrText xml:space="preserve"> SEQ Fig._S \* ARABIC \s 1 </w:instrText>
      </w:r>
      <w:r w:rsidR="00F01773">
        <w:fldChar w:fldCharType="separate"/>
      </w:r>
      <w:r w:rsidR="00867AA7">
        <w:rPr>
          <w:noProof/>
        </w:rPr>
        <w:t>2</w:t>
      </w:r>
      <w:r w:rsidR="00F01773">
        <w:fldChar w:fldCharType="end"/>
      </w:r>
      <w:bookmarkEnd w:id="53"/>
      <w:r>
        <w:t xml:space="preserve">. </w:t>
      </w:r>
      <w:r>
        <w:rPr>
          <w:noProof/>
        </w:rPr>
        <w:t>Changes in priorities over time when budgeting 70 watersheds for complementarity as the length of delay between priority updates changes</w:t>
      </w:r>
      <w:bookmarkEnd w:id="54"/>
    </w:p>
    <w:p w:rsidR="002E5B8D" w:rsidRDefault="002E5B8D" w:rsidP="002E5B8D">
      <w:pPr>
        <w:pStyle w:val="Caption"/>
        <w:rPr>
          <w:noProof/>
        </w:rPr>
      </w:pPr>
      <w:r>
        <w:rPr>
          <w:noProof/>
        </w:rPr>
        <w:t xml:space="preserve">. </w:t>
      </w:r>
      <w:r>
        <w:rPr>
          <w:i/>
          <w:noProof/>
        </w:rPr>
        <w:t>top panel</w:t>
      </w:r>
      <w:r>
        <w:rPr>
          <w:noProof/>
        </w:rPr>
        <w:t xml:space="preserve"> Each line represents a different update period between 1 and 101 years. The bottom blue line is the same as </w:t>
      </w:r>
      <w:r>
        <w:rPr>
          <w:i/>
          <w:noProof/>
        </w:rPr>
        <w:t xml:space="preserve">70-watersheds </w:t>
      </w:r>
      <w:r>
        <w:rPr>
          <w:noProof/>
        </w:rPr>
        <w:t xml:space="preserve">in the main text where we update priorities annually. Higher lines use increasingly longer delays between updating priorities. For instance, the blue line labeled “15” represents the situation where we reassess priorities every 15 years. Intervals of 5-year update periods are labeled with colored numbers. </w:t>
      </w:r>
      <w:r>
        <w:rPr>
          <w:i/>
          <w:noProof/>
        </w:rPr>
        <w:t>bottom panel</w:t>
      </w:r>
      <w:r>
        <w:rPr>
          <w:noProof/>
        </w:rPr>
        <w:t xml:space="preserve"> Median (point), 25% and 75% quartile (error-bars) of the lines in the </w:t>
      </w:r>
      <w:r>
        <w:rPr>
          <w:i/>
          <w:noProof/>
        </w:rPr>
        <w:t>top panel</w:t>
      </w:r>
      <w:r>
        <w:rPr>
          <w:noProof/>
        </w:rPr>
        <w:t>. Larger update periods have too few points to have an IQR.</w:t>
      </w:r>
      <w:bookmarkEnd w:id="55"/>
    </w:p>
    <w:p w:rsidR="00D24372" w:rsidRDefault="00D24372" w:rsidP="00D24372"/>
    <w:p w:rsidR="00D24372" w:rsidRDefault="00D24372" w:rsidP="00D24372">
      <w:pPr>
        <w:keepNext/>
      </w:pPr>
      <w:r>
        <w:rPr>
          <w:noProof/>
        </w:rPr>
        <w:lastRenderedPageBreak/>
        <w:drawing>
          <wp:inline distT="0" distB="0" distL="0" distR="0">
            <wp:extent cx="5460819" cy="5070937"/>
            <wp:effectExtent l="19050" t="0" r="6531" b="0"/>
            <wp:docPr id="81" name="Picture 81" descr="figure_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igure_S3"/>
                    <pic:cNvPicPr>
                      <a:picLocks noChangeAspect="1" noChangeArrowheads="1"/>
                    </pic:cNvPicPr>
                  </pic:nvPicPr>
                  <pic:blipFill>
                    <a:blip r:embed="rId45" cstate="print"/>
                    <a:srcRect/>
                    <a:stretch>
                      <a:fillRect/>
                    </a:stretch>
                  </pic:blipFill>
                  <pic:spPr bwMode="auto">
                    <a:xfrm>
                      <a:off x="0" y="0"/>
                      <a:ext cx="5466982" cy="5076660"/>
                    </a:xfrm>
                    <a:prstGeom prst="rect">
                      <a:avLst/>
                    </a:prstGeom>
                    <a:noFill/>
                    <a:ln w="9525">
                      <a:noFill/>
                      <a:miter lim="800000"/>
                      <a:headEnd/>
                      <a:tailEnd/>
                    </a:ln>
                  </pic:spPr>
                </pic:pic>
              </a:graphicData>
            </a:graphic>
          </wp:inline>
        </w:drawing>
      </w:r>
    </w:p>
    <w:p w:rsidR="005130D3" w:rsidRPr="002B2090" w:rsidRDefault="00D24372" w:rsidP="005130D3">
      <w:pPr>
        <w:pStyle w:val="Caption"/>
        <w:rPr>
          <w:vanish/>
          <w:lang w:val="en-GB"/>
          <w:specVanish/>
        </w:rPr>
      </w:pPr>
      <w:bookmarkStart w:id="56" w:name="_Ref417401029"/>
      <w:bookmarkStart w:id="57" w:name="_Toc421352920"/>
      <w:bookmarkStart w:id="58" w:name="_Toc417647063"/>
      <w:proofErr w:type="gramStart"/>
      <w:r>
        <w:t xml:space="preserve">Fig. S </w:t>
      </w:r>
      <w:r w:rsidR="00F01773">
        <w:fldChar w:fldCharType="begin"/>
      </w:r>
      <w:r w:rsidR="00B819A9">
        <w:instrText xml:space="preserve"> STYLEREF 1 \s </w:instrText>
      </w:r>
      <w:r w:rsidR="00F01773">
        <w:fldChar w:fldCharType="separate"/>
      </w:r>
      <w:r w:rsidR="00867AA7">
        <w:rPr>
          <w:noProof/>
        </w:rPr>
        <w:t>1</w:t>
      </w:r>
      <w:r w:rsidR="00F01773">
        <w:rPr>
          <w:noProof/>
        </w:rPr>
        <w:fldChar w:fldCharType="end"/>
      </w:r>
      <w:r w:rsidR="00F95317">
        <w:t>.</w:t>
      </w:r>
      <w:proofErr w:type="gramEnd"/>
      <w:r w:rsidR="00F01773">
        <w:fldChar w:fldCharType="begin"/>
      </w:r>
      <w:r w:rsidR="00F95317">
        <w:instrText xml:space="preserve"> SEQ Fig._S \* ARABIC \s 1 </w:instrText>
      </w:r>
      <w:r w:rsidR="00F01773">
        <w:fldChar w:fldCharType="separate"/>
      </w:r>
      <w:r w:rsidR="00867AA7">
        <w:rPr>
          <w:noProof/>
        </w:rPr>
        <w:t>3</w:t>
      </w:r>
      <w:r w:rsidR="00F01773">
        <w:fldChar w:fldCharType="end"/>
      </w:r>
      <w:bookmarkEnd w:id="56"/>
      <w:r>
        <w:t>. Performance of conservation prioritizations as element occurrences (EOs) accumulate over time</w:t>
      </w:r>
      <w:bookmarkEnd w:id="57"/>
    </w:p>
    <w:p w:rsidR="00D24372" w:rsidRDefault="00D24372" w:rsidP="00D24372">
      <w:pPr>
        <w:pStyle w:val="Caption"/>
        <w:jc w:val="left"/>
      </w:pPr>
      <w:r>
        <w:t xml:space="preserve">. The measure of performance is the proportion of species with at least one occurrence in Tennessee in </w:t>
      </w:r>
      <w:r w:rsidRPr="00AD4302">
        <w:rPr>
          <w:i/>
        </w:rPr>
        <w:t>(a)</w:t>
      </w:r>
      <w:r>
        <w:t xml:space="preserve"> the current year or </w:t>
      </w:r>
      <w:r w:rsidRPr="00AD4302">
        <w:rPr>
          <w:i/>
        </w:rPr>
        <w:t>(b)</w:t>
      </w:r>
      <w:r>
        <w:t xml:space="preserve"> 2010 that were covered by solutions to the Maximal Coverage Problem (MCP). The bottoms and tops of vertical bars correspond to the minimum and maximum proportions of species covered, respectively. For instance, the blue bar at 1910 in </w:t>
      </w:r>
      <w:r w:rsidRPr="00AD4302">
        <w:rPr>
          <w:i/>
        </w:rPr>
        <w:t>(a)</w:t>
      </w:r>
      <w:r>
        <w:t>, which corresponds to a watershed budget of 10, shows that solutions to the MCP covered ~73-79% of species known to occur in Tennessee in 1910. Note that the ranges of some watershed budgets are partially hidden due to plotting multiple budgets on one figure. The range is always narrow since we kept only the top 5% performing solutions to the MCP.</w:t>
      </w:r>
      <w:bookmarkEnd w:id="58"/>
    </w:p>
    <w:p w:rsidR="00207874" w:rsidRDefault="00207874" w:rsidP="00207874"/>
    <w:p w:rsidR="00207874" w:rsidRDefault="00207874" w:rsidP="00207874"/>
    <w:p w:rsidR="00207874" w:rsidRDefault="00207874" w:rsidP="00207874"/>
    <w:p w:rsidR="00207874" w:rsidRDefault="00207874" w:rsidP="00207874">
      <w:r>
        <w:rPr>
          <w:noProof/>
        </w:rPr>
        <w:lastRenderedPageBreak/>
        <w:drawing>
          <wp:inline distT="0" distB="0" distL="0" distR="0">
            <wp:extent cx="5486400" cy="2604135"/>
            <wp:effectExtent l="19050" t="0" r="0" b="0"/>
            <wp:docPr id="84" name="Picture 84" descr="complementarity_comp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omplementarity_comp70"/>
                    <pic:cNvPicPr>
                      <a:picLocks noChangeAspect="1" noChangeArrowheads="1"/>
                    </pic:cNvPicPr>
                  </pic:nvPicPr>
                  <pic:blipFill>
                    <a:blip r:embed="rId46" cstate="print"/>
                    <a:srcRect/>
                    <a:stretch>
                      <a:fillRect/>
                    </a:stretch>
                  </pic:blipFill>
                  <pic:spPr bwMode="auto">
                    <a:xfrm>
                      <a:off x="0" y="0"/>
                      <a:ext cx="5486400" cy="2604135"/>
                    </a:xfrm>
                    <a:prstGeom prst="rect">
                      <a:avLst/>
                    </a:prstGeom>
                    <a:noFill/>
                    <a:ln w="9525">
                      <a:noFill/>
                      <a:miter lim="800000"/>
                      <a:headEnd/>
                      <a:tailEnd/>
                    </a:ln>
                  </pic:spPr>
                </pic:pic>
              </a:graphicData>
            </a:graphic>
          </wp:inline>
        </w:drawing>
      </w:r>
    </w:p>
    <w:p w:rsidR="00207874" w:rsidRDefault="00207874" w:rsidP="00207874"/>
    <w:p w:rsidR="00207874" w:rsidRDefault="00207874" w:rsidP="00207874">
      <w:pPr>
        <w:keepNext/>
      </w:pPr>
      <w:r>
        <w:rPr>
          <w:noProof/>
        </w:rPr>
        <w:drawing>
          <wp:inline distT="0" distB="0" distL="0" distR="0">
            <wp:extent cx="5486400" cy="2635758"/>
            <wp:effectExtent l="19050" t="0" r="0" b="0"/>
            <wp:docPr id="87" name="Picture 87" descr="richness_rich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richness_rich925"/>
                    <pic:cNvPicPr>
                      <a:picLocks noChangeAspect="1" noChangeArrowheads="1"/>
                    </pic:cNvPicPr>
                  </pic:nvPicPr>
                  <pic:blipFill>
                    <a:blip r:embed="rId47" cstate="print"/>
                    <a:srcRect/>
                    <a:stretch>
                      <a:fillRect/>
                    </a:stretch>
                  </pic:blipFill>
                  <pic:spPr bwMode="auto">
                    <a:xfrm>
                      <a:off x="0" y="0"/>
                      <a:ext cx="5486400" cy="2635758"/>
                    </a:xfrm>
                    <a:prstGeom prst="rect">
                      <a:avLst/>
                    </a:prstGeom>
                    <a:noFill/>
                    <a:ln w="9525">
                      <a:noFill/>
                      <a:miter lim="800000"/>
                      <a:headEnd/>
                      <a:tailEnd/>
                    </a:ln>
                  </pic:spPr>
                </pic:pic>
              </a:graphicData>
            </a:graphic>
          </wp:inline>
        </w:drawing>
      </w:r>
    </w:p>
    <w:p w:rsidR="005130D3" w:rsidRPr="002B2090" w:rsidRDefault="00207874" w:rsidP="005130D3">
      <w:pPr>
        <w:pStyle w:val="Caption"/>
        <w:rPr>
          <w:vanish/>
          <w:lang w:val="en-GB"/>
          <w:specVanish/>
        </w:rPr>
      </w:pPr>
      <w:bookmarkStart w:id="59" w:name="_Ref417401055"/>
      <w:bookmarkStart w:id="60" w:name="_Toc421352921"/>
      <w:bookmarkStart w:id="61" w:name="_Toc417647064"/>
      <w:proofErr w:type="gramStart"/>
      <w:r>
        <w:t xml:space="preserve">Fig. S </w:t>
      </w:r>
      <w:r w:rsidR="00F01773">
        <w:fldChar w:fldCharType="begin"/>
      </w:r>
      <w:r w:rsidR="00B819A9">
        <w:instrText xml:space="preserve"> STYLEREF 1 \s </w:instrText>
      </w:r>
      <w:r w:rsidR="00F01773">
        <w:fldChar w:fldCharType="separate"/>
      </w:r>
      <w:r w:rsidR="00867AA7">
        <w:rPr>
          <w:noProof/>
        </w:rPr>
        <w:t>1</w:t>
      </w:r>
      <w:r w:rsidR="00F01773">
        <w:rPr>
          <w:noProof/>
        </w:rPr>
        <w:fldChar w:fldCharType="end"/>
      </w:r>
      <w:r w:rsidR="00F95317">
        <w:t>.</w:t>
      </w:r>
      <w:proofErr w:type="gramEnd"/>
      <w:r w:rsidR="00F01773">
        <w:fldChar w:fldCharType="begin"/>
      </w:r>
      <w:r w:rsidR="00F95317">
        <w:instrText xml:space="preserve"> SEQ Fig._S \* ARABIC \s 1 </w:instrText>
      </w:r>
      <w:r w:rsidR="00F01773">
        <w:fldChar w:fldCharType="separate"/>
      </w:r>
      <w:r w:rsidR="00867AA7">
        <w:rPr>
          <w:noProof/>
        </w:rPr>
        <w:t>4</w:t>
      </w:r>
      <w:r w:rsidR="00F01773">
        <w:fldChar w:fldCharType="end"/>
      </w:r>
      <w:bookmarkEnd w:id="59"/>
      <w:r>
        <w:t xml:space="preserve">. Spatial distribution of watershed </w:t>
      </w:r>
      <w:r>
        <w:rPr>
          <w:i/>
        </w:rPr>
        <w:t>(top)</w:t>
      </w:r>
      <w:r>
        <w:t xml:space="preserve"> irreplaceabilities and </w:t>
      </w:r>
      <w:r>
        <w:rPr>
          <w:i/>
        </w:rPr>
        <w:t>(bottom)</w:t>
      </w:r>
      <w:r>
        <w:t xml:space="preserve"> richnesses at six snapshots in time</w:t>
      </w:r>
      <w:bookmarkEnd w:id="60"/>
    </w:p>
    <w:p w:rsidR="00FC11F7" w:rsidRPr="00FC11F7" w:rsidRDefault="00207874" w:rsidP="00FC11F7">
      <w:pPr>
        <w:pStyle w:val="Caption"/>
      </w:pPr>
      <w:r>
        <w:t xml:space="preserve">. </w:t>
      </w:r>
      <w:r>
        <w:rPr>
          <w:i/>
        </w:rPr>
        <w:t>(</w:t>
      </w:r>
      <w:proofErr w:type="gramStart"/>
      <w:r>
        <w:rPr>
          <w:i/>
        </w:rPr>
        <w:t>top</w:t>
      </w:r>
      <w:proofErr w:type="gramEnd"/>
      <w:r>
        <w:rPr>
          <w:i/>
        </w:rPr>
        <w:t>)</w:t>
      </w:r>
      <w:r>
        <w:t xml:space="preserve"> Irreplaceabilities come from the sensitivity test where we choose 70 watersheds to solve the Maximal Coverage Problem and represent the proportion of a sample of near-optimal solutions in which a watershed occurred. The solution to the Maximal Coverage Problem in each year is based on the assemblage of species accumulated in each watershed since 1900 (see main text for details).</w:t>
      </w:r>
      <w:r>
        <w:rPr>
          <w:i/>
        </w:rPr>
        <w:t xml:space="preserve"> (</w:t>
      </w:r>
      <w:proofErr w:type="gramStart"/>
      <w:r>
        <w:rPr>
          <w:i/>
        </w:rPr>
        <w:t>bottom</w:t>
      </w:r>
      <w:proofErr w:type="gramEnd"/>
      <w:r>
        <w:rPr>
          <w:i/>
        </w:rPr>
        <w:t>)</w:t>
      </w:r>
      <w:r>
        <w:t xml:space="preserve"> Richnesses are the number of unique species accumulated in that watershed since 1900.</w:t>
      </w:r>
      <w:bookmarkEnd w:id="61"/>
      <w:r>
        <w:t xml:space="preserve"> </w:t>
      </w:r>
    </w:p>
    <w:p w:rsidR="00FC11F7" w:rsidRDefault="00FC11F7">
      <w:r>
        <w:rPr>
          <w:bCs/>
        </w:rPr>
        <w:br w:type="page"/>
      </w:r>
    </w:p>
    <w:tbl>
      <w:tblPr>
        <w:tblW w:w="0" w:type="auto"/>
        <w:tblInd w:w="108" w:type="dxa"/>
        <w:tblLook w:val="04A0"/>
      </w:tblPr>
      <w:tblGrid>
        <w:gridCol w:w="1875"/>
        <w:gridCol w:w="1042"/>
        <w:gridCol w:w="1290"/>
        <w:gridCol w:w="946"/>
        <w:gridCol w:w="946"/>
        <w:gridCol w:w="917"/>
        <w:gridCol w:w="781"/>
        <w:gridCol w:w="951"/>
      </w:tblGrid>
      <w:tr w:rsidR="000F082A" w:rsidRPr="00800A7B" w:rsidTr="002024A2">
        <w:trPr>
          <w:trHeight w:val="300"/>
        </w:trPr>
        <w:tc>
          <w:tcPr>
            <w:tcW w:w="0" w:type="auto"/>
            <w:gridSpan w:val="8"/>
            <w:tcBorders>
              <w:bottom w:val="nil"/>
            </w:tcBorders>
            <w:shd w:val="clear" w:color="auto" w:fill="auto"/>
            <w:noWrap/>
            <w:vAlign w:val="bottom"/>
            <w:hideMark/>
          </w:tcPr>
          <w:p w:rsidR="005E7C16" w:rsidRPr="002B2090" w:rsidRDefault="00860D70" w:rsidP="005E7C16">
            <w:pPr>
              <w:pStyle w:val="Caption"/>
              <w:rPr>
                <w:vanish/>
                <w:lang w:val="en-GB"/>
                <w:specVanish/>
              </w:rPr>
            </w:pPr>
            <w:bookmarkStart w:id="62" w:name="_Ref417400800"/>
            <w:bookmarkStart w:id="63" w:name="_Toc421352898"/>
            <w:bookmarkStart w:id="64" w:name="_Toc417647065"/>
            <w:r>
              <w:lastRenderedPageBreak/>
              <w:t xml:space="preserve">Table S </w:t>
            </w:r>
            <w:r w:rsidR="00F01773">
              <w:fldChar w:fldCharType="begin"/>
            </w:r>
            <w:r w:rsidR="00BA7201">
              <w:instrText xml:space="preserve"> STYLEREF 1 \s </w:instrText>
            </w:r>
            <w:r w:rsidR="00F01773">
              <w:fldChar w:fldCharType="separate"/>
            </w:r>
            <w:r w:rsidR="00867AA7">
              <w:rPr>
                <w:noProof/>
              </w:rPr>
              <w:t>1</w:t>
            </w:r>
            <w:r w:rsidR="00F01773">
              <w:fldChar w:fldCharType="end"/>
            </w:r>
            <w:r w:rsidR="00BA7201">
              <w:t>.</w:t>
            </w:r>
            <w:r w:rsidR="00F01773">
              <w:fldChar w:fldCharType="begin"/>
            </w:r>
            <w:r w:rsidR="00BA7201">
              <w:instrText xml:space="preserve"> SEQ Table_S \* ARABIC \s 1 </w:instrText>
            </w:r>
            <w:r w:rsidR="00F01773">
              <w:fldChar w:fldCharType="separate"/>
            </w:r>
            <w:r w:rsidR="00867AA7">
              <w:rPr>
                <w:noProof/>
              </w:rPr>
              <w:t>3</w:t>
            </w:r>
            <w:r w:rsidR="00F01773">
              <w:fldChar w:fldCharType="end"/>
            </w:r>
            <w:bookmarkEnd w:id="62"/>
            <w:r>
              <w:t xml:space="preserve">. </w:t>
            </w:r>
            <w:r w:rsidR="000F082A" w:rsidRPr="0092455A">
              <w:t xml:space="preserve">Overall effect of additional data on priorities and when regressed against </w:t>
            </w:r>
            <w:r w:rsidR="000F082A">
              <w:t>log</w:t>
            </w:r>
            <w:r w:rsidR="000F082A" w:rsidRPr="0092455A">
              <w:rPr>
                <w:vertAlign w:val="subscript"/>
              </w:rPr>
              <w:t>10</w:t>
            </w:r>
            <w:r w:rsidR="000F082A">
              <w:t>(size of dataset)</w:t>
            </w:r>
            <w:bookmarkEnd w:id="63"/>
            <w:r w:rsidR="005E7C16" w:rsidRPr="002B2090">
              <w:rPr>
                <w:vanish/>
                <w:lang w:val="en-GB"/>
                <w:specVanish/>
              </w:rPr>
              <w:t xml:space="preserve"> </w:t>
            </w:r>
          </w:p>
          <w:p w:rsidR="000F082A" w:rsidRPr="00860D70" w:rsidRDefault="000F082A" w:rsidP="00860D70">
            <w:pPr>
              <w:pStyle w:val="Caption"/>
            </w:pPr>
            <w:r w:rsidRPr="0092455A">
              <w:t>. Sensitivity of the ranking method to the number of sites used in the prioritization was tested. Subsequently, (column 2) the overall magnitude of change brought on by one year of additional element occurrences (EOs) was tested, as well as (columns 3-8) the tr</w:t>
            </w:r>
            <w:r>
              <w:t>end of changing priorities as the dataset grew</w:t>
            </w:r>
            <w:r w:rsidRPr="0092455A">
              <w:t>. Sensitivity tests without [slope</w:t>
            </w:r>
            <w:r w:rsidRPr="0092455A">
              <w:rPr>
                <w:vertAlign w:val="subscript"/>
              </w:rPr>
              <w:t>2</w:t>
            </w:r>
            <w:r w:rsidRPr="0092455A">
              <w:t>] and [break] fields use a one-segment regression</w:t>
            </w:r>
            <w:r>
              <w:t xml:space="preserve">. Values of </w:t>
            </w:r>
            <w:r>
              <w:rPr>
                <w:i/>
              </w:rPr>
              <w:t xml:space="preserve">V </w:t>
            </w:r>
            <w:r>
              <w:t xml:space="preserve">were natural logarithm transformed for </w:t>
            </w:r>
            <w:r>
              <w:rPr>
                <w:i/>
              </w:rPr>
              <w:t xml:space="preserve">Local Richness </w:t>
            </w:r>
            <w:r>
              <w:t>tests.</w:t>
            </w:r>
            <w:bookmarkEnd w:id="64"/>
          </w:p>
        </w:tc>
      </w:tr>
      <w:tr w:rsidR="000F082A" w:rsidRPr="00800A7B" w:rsidTr="002024A2">
        <w:trPr>
          <w:trHeight w:val="375"/>
        </w:trPr>
        <w:tc>
          <w:tcPr>
            <w:tcW w:w="0" w:type="auto"/>
            <w:tcBorders>
              <w:top w:val="single" w:sz="4" w:space="0" w:color="auto"/>
              <w:bottom w:val="single" w:sz="4" w:space="0" w:color="auto"/>
            </w:tcBorders>
            <w:shd w:val="clear" w:color="auto" w:fill="auto"/>
            <w:noWrap/>
            <w:vAlign w:val="bottom"/>
            <w:hideMark/>
          </w:tcPr>
          <w:p w:rsidR="000F082A" w:rsidRPr="00225341" w:rsidRDefault="000F082A" w:rsidP="003A1E69">
            <w:pPr>
              <w:jc w:val="center"/>
              <w:rPr>
                <w:b/>
                <w:bCs/>
                <w:color w:val="000000"/>
                <w:sz w:val="22"/>
              </w:rPr>
            </w:pPr>
            <w:r>
              <w:rPr>
                <w:b/>
                <w:bCs/>
                <w:color w:val="000000"/>
                <w:sz w:val="22"/>
              </w:rPr>
              <w:t>test</w:t>
            </w:r>
          </w:p>
        </w:tc>
        <w:tc>
          <w:tcPr>
            <w:tcW w:w="0" w:type="auto"/>
            <w:tcBorders>
              <w:top w:val="single" w:sz="4" w:space="0" w:color="auto"/>
              <w:bottom w:val="single" w:sz="4" w:space="0" w:color="auto"/>
            </w:tcBorders>
            <w:shd w:val="clear" w:color="auto" w:fill="auto"/>
            <w:noWrap/>
            <w:vAlign w:val="bottom"/>
            <w:hideMark/>
          </w:tcPr>
          <w:p w:rsidR="000F082A" w:rsidRPr="00225341" w:rsidRDefault="000F082A" w:rsidP="003A1E69">
            <w:pPr>
              <w:jc w:val="center"/>
              <w:rPr>
                <w:b/>
                <w:bCs/>
                <w:color w:val="000000"/>
                <w:sz w:val="22"/>
              </w:rPr>
            </w:pPr>
            <w:r>
              <w:rPr>
                <w:b/>
                <w:bCs/>
                <w:color w:val="000000"/>
                <w:sz w:val="22"/>
              </w:rPr>
              <w:t>med(</w:t>
            </w:r>
            <w:r w:rsidRPr="00790FCD">
              <w:rPr>
                <w:b/>
                <w:bCs/>
                <w:i/>
                <w:color w:val="000000"/>
                <w:sz w:val="22"/>
              </w:rPr>
              <w:t>V</w:t>
            </w:r>
            <w:r>
              <w:rPr>
                <w:b/>
                <w:bCs/>
                <w:color w:val="000000"/>
                <w:sz w:val="22"/>
              </w:rPr>
              <w:t>)</w:t>
            </w:r>
          </w:p>
        </w:tc>
        <w:tc>
          <w:tcPr>
            <w:tcW w:w="0" w:type="auto"/>
            <w:tcBorders>
              <w:top w:val="single" w:sz="4" w:space="0" w:color="auto"/>
              <w:left w:val="nil"/>
              <w:bottom w:val="single" w:sz="4" w:space="0" w:color="auto"/>
              <w:right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intercept</w:t>
            </w:r>
          </w:p>
        </w:tc>
        <w:tc>
          <w:tcPr>
            <w:tcW w:w="0" w:type="auto"/>
            <w:tcBorders>
              <w:top w:val="single" w:sz="4" w:space="0" w:color="auto"/>
              <w:left w:val="nil"/>
              <w:bottom w:val="single" w:sz="4" w:space="0" w:color="auto"/>
              <w:right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slope</w:t>
            </w:r>
            <w:r w:rsidRPr="00225341">
              <w:rPr>
                <w:b/>
                <w:bCs/>
                <w:color w:val="000000"/>
                <w:sz w:val="22"/>
                <w:vertAlign w:val="subscript"/>
              </w:rPr>
              <w:t>1</w:t>
            </w:r>
          </w:p>
        </w:tc>
        <w:tc>
          <w:tcPr>
            <w:tcW w:w="0" w:type="auto"/>
            <w:tcBorders>
              <w:top w:val="single" w:sz="4" w:space="0" w:color="auto"/>
              <w:left w:val="nil"/>
              <w:bottom w:val="single" w:sz="4" w:space="0" w:color="auto"/>
              <w:right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slope</w:t>
            </w:r>
            <w:r w:rsidRPr="00225341">
              <w:rPr>
                <w:b/>
                <w:bCs/>
                <w:color w:val="000000"/>
                <w:sz w:val="22"/>
                <w:vertAlign w:val="subscript"/>
              </w:rPr>
              <w:t>2</w:t>
            </w:r>
          </w:p>
        </w:tc>
        <w:tc>
          <w:tcPr>
            <w:tcW w:w="0" w:type="auto"/>
            <w:tcBorders>
              <w:top w:val="single" w:sz="4" w:space="0" w:color="auto"/>
              <w:left w:val="nil"/>
              <w:bottom w:val="single" w:sz="4" w:space="0" w:color="auto"/>
              <w:right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break</w:t>
            </w:r>
          </w:p>
        </w:tc>
        <w:tc>
          <w:tcPr>
            <w:tcW w:w="0" w:type="auto"/>
            <w:tcBorders>
              <w:top w:val="single" w:sz="4" w:space="0" w:color="auto"/>
              <w:left w:val="nil"/>
              <w:bottom w:val="single" w:sz="4" w:space="0" w:color="auto"/>
              <w:right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R</w:t>
            </w:r>
            <w:r w:rsidRPr="00225341">
              <w:rPr>
                <w:b/>
                <w:bCs/>
                <w:color w:val="000000"/>
                <w:sz w:val="22"/>
                <w:vertAlign w:val="superscript"/>
              </w:rPr>
              <w:t>2</w:t>
            </w:r>
          </w:p>
        </w:tc>
        <w:tc>
          <w:tcPr>
            <w:tcW w:w="0" w:type="auto"/>
            <w:tcBorders>
              <w:top w:val="single" w:sz="4" w:space="0" w:color="auto"/>
              <w:left w:val="nil"/>
              <w:bottom w:val="single" w:sz="4" w:space="0" w:color="auto"/>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ΔAICc</w:t>
            </w:r>
          </w:p>
        </w:tc>
      </w:tr>
      <w:tr w:rsidR="000F082A" w:rsidRPr="00800A7B" w:rsidTr="002024A2">
        <w:trPr>
          <w:trHeight w:val="300"/>
        </w:trPr>
        <w:tc>
          <w:tcPr>
            <w:tcW w:w="0" w:type="auto"/>
            <w:tcBorders>
              <w:top w:val="single" w:sz="4" w:space="0" w:color="auto"/>
            </w:tcBorders>
            <w:shd w:val="clear" w:color="auto" w:fill="auto"/>
            <w:noWrap/>
            <w:vAlign w:val="bottom"/>
            <w:hideMark/>
          </w:tcPr>
          <w:p w:rsidR="000F082A" w:rsidRDefault="000F082A" w:rsidP="003A1E69">
            <w:pPr>
              <w:rPr>
                <w:i/>
                <w:iCs/>
                <w:color w:val="000000"/>
                <w:sz w:val="22"/>
              </w:rPr>
            </w:pPr>
            <w:r>
              <w:rPr>
                <w:i/>
                <w:iCs/>
                <w:color w:val="000000"/>
                <w:sz w:val="22"/>
              </w:rPr>
              <w:t>Comp</w:t>
            </w:r>
            <w:r w:rsidR="002024A2">
              <w:rPr>
                <w:i/>
                <w:iCs/>
                <w:color w:val="000000"/>
                <w:sz w:val="22"/>
              </w:rPr>
              <w:t>.</w:t>
            </w:r>
          </w:p>
          <w:p w:rsidR="000F082A" w:rsidRPr="007350C2" w:rsidRDefault="000F082A" w:rsidP="003A1E69">
            <w:pPr>
              <w:pStyle w:val="NoSpacing"/>
              <w:rPr>
                <w:rFonts w:ascii="Arial" w:hAnsi="Arial" w:cs="Arial"/>
                <w:i/>
                <w:sz w:val="22"/>
              </w:rPr>
            </w:pPr>
            <w:r w:rsidRPr="007350C2">
              <w:rPr>
                <w:rFonts w:ascii="Arial" w:hAnsi="Arial" w:cs="Arial"/>
                <w:i/>
                <w:sz w:val="22"/>
              </w:rPr>
              <w:t>Richness</w:t>
            </w:r>
          </w:p>
        </w:tc>
        <w:tc>
          <w:tcPr>
            <w:tcW w:w="0" w:type="auto"/>
            <w:tcBorders>
              <w:top w:val="single" w:sz="4" w:space="0" w:color="auto"/>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 </w:t>
            </w:r>
          </w:p>
        </w:tc>
        <w:tc>
          <w:tcPr>
            <w:tcW w:w="0" w:type="auto"/>
            <w:tcBorders>
              <w:top w:val="single" w:sz="4" w:space="0" w:color="auto"/>
              <w:left w:val="nil"/>
              <w:right w:val="nil"/>
            </w:tcBorders>
            <w:shd w:val="clear" w:color="auto" w:fill="auto"/>
            <w:noWrap/>
            <w:vAlign w:val="bottom"/>
            <w:hideMark/>
          </w:tcPr>
          <w:p w:rsidR="000F082A" w:rsidRPr="00225341" w:rsidRDefault="000F082A" w:rsidP="003A1E69">
            <w:pPr>
              <w:jc w:val="center"/>
              <w:rPr>
                <w:color w:val="000000"/>
                <w:sz w:val="22"/>
              </w:rPr>
            </w:pPr>
          </w:p>
        </w:tc>
        <w:tc>
          <w:tcPr>
            <w:tcW w:w="0" w:type="auto"/>
            <w:tcBorders>
              <w:top w:val="single" w:sz="4" w:space="0" w:color="auto"/>
              <w:left w:val="nil"/>
              <w:right w:val="nil"/>
            </w:tcBorders>
            <w:shd w:val="clear" w:color="auto" w:fill="auto"/>
            <w:noWrap/>
            <w:vAlign w:val="bottom"/>
            <w:hideMark/>
          </w:tcPr>
          <w:p w:rsidR="000F082A" w:rsidRPr="00225341" w:rsidRDefault="000F082A" w:rsidP="003A1E69">
            <w:pPr>
              <w:jc w:val="center"/>
              <w:rPr>
                <w:b/>
                <w:bCs/>
                <w:color w:val="000000"/>
                <w:sz w:val="22"/>
              </w:rPr>
            </w:pPr>
          </w:p>
        </w:tc>
        <w:tc>
          <w:tcPr>
            <w:tcW w:w="0" w:type="auto"/>
            <w:tcBorders>
              <w:top w:val="single" w:sz="4" w:space="0" w:color="auto"/>
              <w:left w:val="nil"/>
              <w:right w:val="nil"/>
            </w:tcBorders>
            <w:shd w:val="clear" w:color="auto" w:fill="auto"/>
            <w:noWrap/>
            <w:vAlign w:val="bottom"/>
            <w:hideMark/>
          </w:tcPr>
          <w:p w:rsidR="000F082A" w:rsidRPr="00225341" w:rsidRDefault="000F082A" w:rsidP="003A1E69">
            <w:pPr>
              <w:jc w:val="center"/>
              <w:rPr>
                <w:color w:val="000000"/>
                <w:sz w:val="22"/>
              </w:rPr>
            </w:pPr>
          </w:p>
        </w:tc>
        <w:tc>
          <w:tcPr>
            <w:tcW w:w="0" w:type="auto"/>
            <w:tcBorders>
              <w:top w:val="single" w:sz="4" w:space="0" w:color="auto"/>
              <w:left w:val="nil"/>
              <w:right w:val="nil"/>
            </w:tcBorders>
            <w:shd w:val="clear" w:color="auto" w:fill="auto"/>
            <w:noWrap/>
            <w:vAlign w:val="bottom"/>
            <w:hideMark/>
          </w:tcPr>
          <w:p w:rsidR="000F082A" w:rsidRPr="00225341" w:rsidRDefault="000F082A" w:rsidP="003A1E69">
            <w:pPr>
              <w:jc w:val="center"/>
              <w:rPr>
                <w:color w:val="000000"/>
                <w:sz w:val="22"/>
              </w:rPr>
            </w:pPr>
          </w:p>
        </w:tc>
        <w:tc>
          <w:tcPr>
            <w:tcW w:w="0" w:type="auto"/>
            <w:tcBorders>
              <w:top w:val="single" w:sz="4" w:space="0" w:color="auto"/>
              <w:left w:val="nil"/>
              <w:right w:val="nil"/>
            </w:tcBorders>
            <w:shd w:val="clear" w:color="auto" w:fill="auto"/>
            <w:noWrap/>
            <w:vAlign w:val="bottom"/>
            <w:hideMark/>
          </w:tcPr>
          <w:p w:rsidR="000F082A" w:rsidRPr="00225341" w:rsidRDefault="000F082A" w:rsidP="003A1E69">
            <w:pPr>
              <w:jc w:val="center"/>
              <w:rPr>
                <w:color w:val="000000"/>
                <w:sz w:val="22"/>
              </w:rPr>
            </w:pPr>
          </w:p>
        </w:tc>
        <w:tc>
          <w:tcPr>
            <w:tcW w:w="0" w:type="auto"/>
            <w:tcBorders>
              <w:top w:val="single" w:sz="4" w:space="0" w:color="auto"/>
              <w:lef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 </w:t>
            </w:r>
          </w:p>
        </w:tc>
      </w:tr>
      <w:tr w:rsidR="000F082A" w:rsidRPr="00800A7B" w:rsidTr="002024A2">
        <w:trPr>
          <w:trHeight w:val="300"/>
        </w:trPr>
        <w:tc>
          <w:tcPr>
            <w:tcW w:w="0" w:type="auto"/>
            <w:shd w:val="clear" w:color="auto" w:fill="auto"/>
            <w:noWrap/>
            <w:vAlign w:val="bottom"/>
            <w:hideMark/>
          </w:tcPr>
          <w:p w:rsidR="000F082A" w:rsidRPr="00225341" w:rsidRDefault="000F082A" w:rsidP="003A1E69">
            <w:pPr>
              <w:rPr>
                <w:color w:val="000000"/>
                <w:sz w:val="22"/>
              </w:rPr>
            </w:pPr>
            <w:r>
              <w:rPr>
                <w:color w:val="000000"/>
                <w:sz w:val="22"/>
              </w:rPr>
              <w:t>1-watershed</w:t>
            </w:r>
          </w:p>
        </w:tc>
        <w:tc>
          <w:tcPr>
            <w:tcW w:w="0" w:type="auto"/>
            <w:shd w:val="clear" w:color="auto" w:fill="auto"/>
            <w:noWrap/>
            <w:vAlign w:val="bottom"/>
            <w:hideMark/>
          </w:tcPr>
          <w:p w:rsidR="000F082A" w:rsidRPr="00800A7B" w:rsidRDefault="000F082A" w:rsidP="003A1E69">
            <w:pPr>
              <w:jc w:val="center"/>
              <w:rPr>
                <w:color w:val="000000"/>
                <w:sz w:val="22"/>
              </w:rPr>
            </w:pPr>
            <w:r w:rsidRPr="00800A7B">
              <w:rPr>
                <w:color w:val="000000"/>
                <w:sz w:val="22"/>
              </w:rPr>
              <w:t>0</w:t>
            </w:r>
          </w:p>
        </w:tc>
        <w:tc>
          <w:tcPr>
            <w:tcW w:w="0" w:type="auto"/>
            <w:tcBorders>
              <w:left w:val="nil"/>
              <w:right w:val="nil"/>
            </w:tcBorders>
            <w:shd w:val="clear" w:color="auto" w:fill="auto"/>
            <w:noWrap/>
            <w:vAlign w:val="bottom"/>
            <w:hideMark/>
          </w:tcPr>
          <w:p w:rsidR="000F082A" w:rsidRPr="00225341" w:rsidRDefault="000F082A" w:rsidP="003A1E69">
            <w:pPr>
              <w:jc w:val="center"/>
              <w:rPr>
                <w:color w:val="000000"/>
                <w:sz w:val="22"/>
              </w:rPr>
            </w:pPr>
            <w:r>
              <w:rPr>
                <w:color w:val="000000"/>
                <w:sz w:val="22"/>
              </w:rPr>
              <w:t>-</w:t>
            </w:r>
          </w:p>
        </w:tc>
        <w:tc>
          <w:tcPr>
            <w:tcW w:w="0" w:type="auto"/>
            <w:tcBorders>
              <w:left w:val="nil"/>
              <w:right w:val="nil"/>
            </w:tcBorders>
            <w:shd w:val="clear" w:color="auto" w:fill="auto"/>
            <w:noWrap/>
            <w:vAlign w:val="bottom"/>
            <w:hideMark/>
          </w:tcPr>
          <w:p w:rsidR="000F082A" w:rsidRPr="00225341" w:rsidRDefault="000F082A" w:rsidP="003A1E69">
            <w:pPr>
              <w:jc w:val="center"/>
              <w:rPr>
                <w:color w:val="000000"/>
                <w:sz w:val="22"/>
              </w:rPr>
            </w:pPr>
            <w:r>
              <w:rPr>
                <w:color w:val="000000"/>
                <w:sz w:val="22"/>
              </w:rPr>
              <w:t>-</w:t>
            </w:r>
          </w:p>
        </w:tc>
        <w:tc>
          <w:tcPr>
            <w:tcW w:w="0" w:type="auto"/>
            <w:tcBorders>
              <w:left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left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left w:val="nil"/>
              <w:right w:val="nil"/>
            </w:tcBorders>
            <w:shd w:val="clear" w:color="auto" w:fill="auto"/>
            <w:noWrap/>
            <w:vAlign w:val="bottom"/>
            <w:hideMark/>
          </w:tcPr>
          <w:p w:rsidR="000F082A" w:rsidRPr="00225341" w:rsidRDefault="000F082A" w:rsidP="003A1E69">
            <w:pPr>
              <w:jc w:val="center"/>
              <w:rPr>
                <w:color w:val="000000"/>
                <w:sz w:val="22"/>
              </w:rPr>
            </w:pPr>
            <w:r>
              <w:rPr>
                <w:color w:val="000000"/>
                <w:sz w:val="22"/>
              </w:rPr>
              <w:t>-</w:t>
            </w:r>
          </w:p>
        </w:tc>
        <w:tc>
          <w:tcPr>
            <w:tcW w:w="0" w:type="auto"/>
            <w:tcBorders>
              <w:left w:val="nil"/>
            </w:tcBorders>
            <w:shd w:val="clear" w:color="auto" w:fill="auto"/>
            <w:noWrap/>
            <w:vAlign w:val="bottom"/>
            <w:hideMark/>
          </w:tcPr>
          <w:p w:rsidR="000F082A" w:rsidRPr="00225341" w:rsidRDefault="000F082A" w:rsidP="003A1E69">
            <w:pPr>
              <w:jc w:val="center"/>
              <w:rPr>
                <w:color w:val="000000"/>
                <w:sz w:val="22"/>
              </w:rPr>
            </w:pPr>
            <w:r>
              <w:rPr>
                <w:color w:val="000000"/>
                <w:sz w:val="22"/>
              </w:rPr>
              <w:t>-</w:t>
            </w:r>
          </w:p>
        </w:tc>
      </w:tr>
      <w:tr w:rsidR="000F082A" w:rsidRPr="00800A7B" w:rsidTr="002024A2">
        <w:trPr>
          <w:trHeight w:val="300"/>
        </w:trPr>
        <w:tc>
          <w:tcPr>
            <w:tcW w:w="0" w:type="auto"/>
            <w:shd w:val="clear" w:color="auto" w:fill="auto"/>
            <w:noWrap/>
            <w:vAlign w:val="bottom"/>
            <w:hideMark/>
          </w:tcPr>
          <w:p w:rsidR="000F082A" w:rsidRPr="00225341" w:rsidRDefault="000F082A" w:rsidP="003A1E69">
            <w:pPr>
              <w:rPr>
                <w:color w:val="000000"/>
                <w:sz w:val="22"/>
              </w:rPr>
            </w:pPr>
            <w:r>
              <w:rPr>
                <w:color w:val="000000"/>
                <w:sz w:val="22"/>
              </w:rPr>
              <w:t>5-watersheds</w:t>
            </w:r>
          </w:p>
        </w:tc>
        <w:tc>
          <w:tcPr>
            <w:tcW w:w="0" w:type="auto"/>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0.14</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0.04</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-0.21</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0.03</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2.12</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0.04</w:t>
            </w:r>
          </w:p>
        </w:tc>
        <w:tc>
          <w:tcPr>
            <w:tcW w:w="0" w:type="auto"/>
            <w:tcBorders>
              <w:lef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w:t>
            </w:r>
          </w:p>
        </w:tc>
      </w:tr>
      <w:tr w:rsidR="000F082A" w:rsidRPr="00800A7B" w:rsidTr="002024A2">
        <w:trPr>
          <w:trHeight w:val="300"/>
        </w:trPr>
        <w:tc>
          <w:tcPr>
            <w:tcW w:w="0" w:type="auto"/>
            <w:shd w:val="clear" w:color="auto" w:fill="auto"/>
            <w:noWrap/>
            <w:vAlign w:val="bottom"/>
            <w:hideMark/>
          </w:tcPr>
          <w:p w:rsidR="000F082A" w:rsidRPr="00225341" w:rsidRDefault="000F082A" w:rsidP="003A1E69">
            <w:pPr>
              <w:rPr>
                <w:color w:val="000000"/>
                <w:sz w:val="22"/>
              </w:rPr>
            </w:pPr>
            <w:r>
              <w:rPr>
                <w:color w:val="000000"/>
                <w:sz w:val="22"/>
              </w:rPr>
              <w:t>10-watersheds</w:t>
            </w:r>
          </w:p>
        </w:tc>
        <w:tc>
          <w:tcPr>
            <w:tcW w:w="0" w:type="auto"/>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0.18</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0.54</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1.34</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-0.02</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1.79</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0.10</w:t>
            </w:r>
          </w:p>
        </w:tc>
        <w:tc>
          <w:tcPr>
            <w:tcW w:w="0" w:type="auto"/>
            <w:tcBorders>
              <w:lef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10</w:t>
            </w:r>
          </w:p>
        </w:tc>
      </w:tr>
      <w:tr w:rsidR="000F082A" w:rsidRPr="00800A7B" w:rsidTr="002024A2">
        <w:trPr>
          <w:trHeight w:val="300"/>
        </w:trPr>
        <w:tc>
          <w:tcPr>
            <w:tcW w:w="0" w:type="auto"/>
            <w:shd w:val="clear" w:color="auto" w:fill="auto"/>
            <w:noWrap/>
            <w:vAlign w:val="bottom"/>
            <w:hideMark/>
          </w:tcPr>
          <w:p w:rsidR="000F082A" w:rsidRPr="00225341" w:rsidRDefault="000F082A" w:rsidP="003A1E69">
            <w:pPr>
              <w:rPr>
                <w:color w:val="000000"/>
                <w:sz w:val="22"/>
              </w:rPr>
            </w:pPr>
            <w:r>
              <w:rPr>
                <w:color w:val="000000"/>
                <w:sz w:val="22"/>
              </w:rPr>
              <w:t>20-watersheds</w:t>
            </w:r>
          </w:p>
        </w:tc>
        <w:tc>
          <w:tcPr>
            <w:tcW w:w="0" w:type="auto"/>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0.20</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-2.18</w:t>
            </w:r>
          </w:p>
        </w:tc>
        <w:tc>
          <w:tcPr>
            <w:tcW w:w="0" w:type="auto"/>
            <w:tcBorders>
              <w:left w:val="nil"/>
              <w:right w:val="nil"/>
            </w:tcBorders>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-0.80</w:t>
            </w:r>
          </w:p>
        </w:tc>
        <w:tc>
          <w:tcPr>
            <w:tcW w:w="0" w:type="auto"/>
            <w:tcBorders>
              <w:left w:val="nil"/>
              <w:right w:val="nil"/>
            </w:tcBorders>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-0.04</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2.12</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0.73</w:t>
            </w:r>
          </w:p>
        </w:tc>
        <w:tc>
          <w:tcPr>
            <w:tcW w:w="0" w:type="auto"/>
            <w:tcBorders>
              <w:lef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80</w:t>
            </w:r>
          </w:p>
        </w:tc>
      </w:tr>
      <w:tr w:rsidR="000F082A" w:rsidRPr="00800A7B" w:rsidTr="002024A2">
        <w:trPr>
          <w:trHeight w:val="300"/>
        </w:trPr>
        <w:tc>
          <w:tcPr>
            <w:tcW w:w="0" w:type="auto"/>
            <w:shd w:val="clear" w:color="auto" w:fill="auto"/>
            <w:noWrap/>
            <w:vAlign w:val="bottom"/>
            <w:hideMark/>
          </w:tcPr>
          <w:p w:rsidR="000F082A" w:rsidRPr="00225341" w:rsidRDefault="000F082A" w:rsidP="003A1E69">
            <w:pPr>
              <w:rPr>
                <w:color w:val="000000"/>
                <w:sz w:val="22"/>
              </w:rPr>
            </w:pPr>
            <w:r>
              <w:rPr>
                <w:color w:val="000000"/>
                <w:sz w:val="22"/>
              </w:rPr>
              <w:t>30-watersheds</w:t>
            </w:r>
          </w:p>
        </w:tc>
        <w:tc>
          <w:tcPr>
            <w:tcW w:w="0" w:type="auto"/>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0.19</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2.02</w:t>
            </w:r>
          </w:p>
        </w:tc>
        <w:tc>
          <w:tcPr>
            <w:tcW w:w="0" w:type="auto"/>
            <w:tcBorders>
              <w:left w:val="nil"/>
              <w:right w:val="nil"/>
            </w:tcBorders>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-0.75</w:t>
            </w:r>
          </w:p>
        </w:tc>
        <w:tc>
          <w:tcPr>
            <w:tcW w:w="0" w:type="auto"/>
            <w:tcBorders>
              <w:left w:val="nil"/>
              <w:right w:val="nil"/>
            </w:tcBorders>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-0.07</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2.49</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0.91</w:t>
            </w:r>
          </w:p>
        </w:tc>
        <w:tc>
          <w:tcPr>
            <w:tcW w:w="0" w:type="auto"/>
            <w:tcBorders>
              <w:lef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127</w:t>
            </w:r>
          </w:p>
        </w:tc>
      </w:tr>
      <w:tr w:rsidR="000F082A" w:rsidRPr="00800A7B" w:rsidTr="002024A2">
        <w:trPr>
          <w:trHeight w:val="300"/>
        </w:trPr>
        <w:tc>
          <w:tcPr>
            <w:tcW w:w="0" w:type="auto"/>
            <w:shd w:val="clear" w:color="auto" w:fill="auto"/>
            <w:noWrap/>
            <w:vAlign w:val="bottom"/>
            <w:hideMark/>
          </w:tcPr>
          <w:p w:rsidR="000F082A" w:rsidRPr="00225341" w:rsidRDefault="000F082A" w:rsidP="003A1E69">
            <w:pPr>
              <w:rPr>
                <w:color w:val="000000"/>
                <w:sz w:val="22"/>
              </w:rPr>
            </w:pPr>
            <w:r>
              <w:rPr>
                <w:color w:val="000000"/>
                <w:sz w:val="22"/>
              </w:rPr>
              <w:t>40-watersheds</w:t>
            </w:r>
          </w:p>
        </w:tc>
        <w:tc>
          <w:tcPr>
            <w:tcW w:w="0" w:type="auto"/>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0.22</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2.11</w:t>
            </w:r>
          </w:p>
        </w:tc>
        <w:tc>
          <w:tcPr>
            <w:tcW w:w="0" w:type="auto"/>
            <w:tcBorders>
              <w:left w:val="nil"/>
              <w:right w:val="nil"/>
            </w:tcBorders>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-0.53</w:t>
            </w:r>
          </w:p>
        </w:tc>
        <w:tc>
          <w:tcPr>
            <w:tcW w:w="0" w:type="auto"/>
            <w:tcBorders>
              <w:left w:val="nil"/>
              <w:right w:val="nil"/>
            </w:tcBorders>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-0.05</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2.93</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0.95</w:t>
            </w:r>
          </w:p>
        </w:tc>
        <w:tc>
          <w:tcPr>
            <w:tcW w:w="0" w:type="auto"/>
            <w:tcBorders>
              <w:lef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154</w:t>
            </w:r>
          </w:p>
        </w:tc>
      </w:tr>
      <w:tr w:rsidR="000F082A" w:rsidRPr="00800A7B" w:rsidTr="002024A2">
        <w:trPr>
          <w:trHeight w:val="300"/>
        </w:trPr>
        <w:tc>
          <w:tcPr>
            <w:tcW w:w="0" w:type="auto"/>
            <w:shd w:val="clear" w:color="auto" w:fill="auto"/>
            <w:noWrap/>
            <w:vAlign w:val="bottom"/>
            <w:hideMark/>
          </w:tcPr>
          <w:p w:rsidR="000F082A" w:rsidRPr="00225341" w:rsidRDefault="000F082A" w:rsidP="003A1E69">
            <w:pPr>
              <w:rPr>
                <w:color w:val="000000"/>
                <w:sz w:val="22"/>
              </w:rPr>
            </w:pPr>
            <w:r>
              <w:rPr>
                <w:color w:val="000000"/>
                <w:sz w:val="22"/>
              </w:rPr>
              <w:t>50-watersheds</w:t>
            </w:r>
          </w:p>
        </w:tc>
        <w:tc>
          <w:tcPr>
            <w:tcW w:w="0" w:type="auto"/>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0.21</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1.77</w:t>
            </w:r>
          </w:p>
        </w:tc>
        <w:tc>
          <w:tcPr>
            <w:tcW w:w="0" w:type="auto"/>
            <w:tcBorders>
              <w:left w:val="nil"/>
              <w:right w:val="nil"/>
            </w:tcBorders>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-0.52</w:t>
            </w:r>
          </w:p>
        </w:tc>
        <w:tc>
          <w:tcPr>
            <w:tcW w:w="0" w:type="auto"/>
            <w:tcBorders>
              <w:left w:val="nil"/>
              <w:right w:val="nil"/>
            </w:tcBorders>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-0.05</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3.18</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0.96</w:t>
            </w:r>
          </w:p>
        </w:tc>
        <w:tc>
          <w:tcPr>
            <w:tcW w:w="0" w:type="auto"/>
            <w:tcBorders>
              <w:lef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143</w:t>
            </w:r>
          </w:p>
        </w:tc>
      </w:tr>
      <w:tr w:rsidR="000F082A" w:rsidRPr="00800A7B" w:rsidTr="002024A2">
        <w:trPr>
          <w:trHeight w:val="300"/>
        </w:trPr>
        <w:tc>
          <w:tcPr>
            <w:tcW w:w="0" w:type="auto"/>
            <w:shd w:val="clear" w:color="auto" w:fill="auto"/>
            <w:noWrap/>
            <w:vAlign w:val="bottom"/>
            <w:hideMark/>
          </w:tcPr>
          <w:p w:rsidR="000F082A" w:rsidRPr="00225341" w:rsidRDefault="000F082A" w:rsidP="003A1E69">
            <w:pPr>
              <w:rPr>
                <w:color w:val="000000"/>
                <w:sz w:val="22"/>
              </w:rPr>
            </w:pPr>
            <w:r>
              <w:rPr>
                <w:color w:val="000000"/>
                <w:sz w:val="22"/>
              </w:rPr>
              <w:t>60-watersheds</w:t>
            </w:r>
          </w:p>
        </w:tc>
        <w:tc>
          <w:tcPr>
            <w:tcW w:w="0" w:type="auto"/>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0.20</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1.87</w:t>
            </w:r>
          </w:p>
        </w:tc>
        <w:tc>
          <w:tcPr>
            <w:tcW w:w="0" w:type="auto"/>
            <w:tcBorders>
              <w:left w:val="nil"/>
              <w:right w:val="nil"/>
            </w:tcBorders>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-0.49</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+0.00</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3.49</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0.97</w:t>
            </w:r>
          </w:p>
        </w:tc>
        <w:tc>
          <w:tcPr>
            <w:tcW w:w="0" w:type="auto"/>
            <w:tcBorders>
              <w:lef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136</w:t>
            </w:r>
          </w:p>
        </w:tc>
      </w:tr>
      <w:tr w:rsidR="000F082A" w:rsidRPr="00800A7B" w:rsidTr="002024A2">
        <w:trPr>
          <w:trHeight w:val="300"/>
        </w:trPr>
        <w:tc>
          <w:tcPr>
            <w:tcW w:w="0" w:type="auto"/>
            <w:shd w:val="clear" w:color="auto" w:fill="auto"/>
            <w:noWrap/>
            <w:vAlign w:val="bottom"/>
            <w:hideMark/>
          </w:tcPr>
          <w:p w:rsidR="000F082A" w:rsidRPr="00225341" w:rsidRDefault="000F082A" w:rsidP="003A1E69">
            <w:pPr>
              <w:rPr>
                <w:color w:val="000000"/>
                <w:sz w:val="22"/>
              </w:rPr>
            </w:pPr>
            <w:r>
              <w:rPr>
                <w:color w:val="000000"/>
                <w:sz w:val="22"/>
              </w:rPr>
              <w:t>70-watersheds</w:t>
            </w:r>
          </w:p>
        </w:tc>
        <w:tc>
          <w:tcPr>
            <w:tcW w:w="0" w:type="auto"/>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0.31</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1.84</w:t>
            </w:r>
          </w:p>
        </w:tc>
        <w:tc>
          <w:tcPr>
            <w:tcW w:w="0" w:type="auto"/>
            <w:tcBorders>
              <w:left w:val="nil"/>
              <w:right w:val="nil"/>
            </w:tcBorders>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-0.47</w:t>
            </w:r>
          </w:p>
        </w:tc>
        <w:tc>
          <w:tcPr>
            <w:tcW w:w="0" w:type="auto"/>
            <w:tcBorders>
              <w:left w:val="nil"/>
              <w:right w:val="nil"/>
            </w:tcBorders>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-0.08</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3.60</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0.96</w:t>
            </w:r>
          </w:p>
        </w:tc>
        <w:tc>
          <w:tcPr>
            <w:tcW w:w="0" w:type="auto"/>
            <w:tcBorders>
              <w:lef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80</w:t>
            </w:r>
          </w:p>
        </w:tc>
      </w:tr>
      <w:tr w:rsidR="000F082A" w:rsidRPr="00800A7B" w:rsidTr="002024A2">
        <w:trPr>
          <w:trHeight w:val="300"/>
        </w:trPr>
        <w:tc>
          <w:tcPr>
            <w:tcW w:w="0" w:type="auto"/>
            <w:shd w:val="clear" w:color="auto" w:fill="auto"/>
            <w:noWrap/>
            <w:vAlign w:val="bottom"/>
            <w:hideMark/>
          </w:tcPr>
          <w:p w:rsidR="000F082A" w:rsidRPr="00225341" w:rsidRDefault="000F082A" w:rsidP="003A1E69">
            <w:pPr>
              <w:rPr>
                <w:color w:val="000000"/>
                <w:sz w:val="22"/>
              </w:rPr>
            </w:pPr>
            <w:r>
              <w:rPr>
                <w:color w:val="000000"/>
                <w:sz w:val="22"/>
              </w:rPr>
              <w:t>80-watersheds</w:t>
            </w:r>
          </w:p>
        </w:tc>
        <w:tc>
          <w:tcPr>
            <w:tcW w:w="0" w:type="auto"/>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0.37</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1.84</w:t>
            </w:r>
          </w:p>
        </w:tc>
        <w:tc>
          <w:tcPr>
            <w:tcW w:w="0" w:type="auto"/>
            <w:tcBorders>
              <w:left w:val="nil"/>
              <w:right w:val="nil"/>
            </w:tcBorders>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-0.42</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-0.05</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3.83</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0.97</w:t>
            </w:r>
          </w:p>
        </w:tc>
        <w:tc>
          <w:tcPr>
            <w:tcW w:w="0" w:type="auto"/>
            <w:tcBorders>
              <w:lef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55</w:t>
            </w:r>
          </w:p>
        </w:tc>
      </w:tr>
      <w:tr w:rsidR="000F082A" w:rsidRPr="00800A7B" w:rsidTr="002024A2">
        <w:trPr>
          <w:trHeight w:val="300"/>
        </w:trPr>
        <w:tc>
          <w:tcPr>
            <w:tcW w:w="0" w:type="auto"/>
            <w:shd w:val="clear" w:color="auto" w:fill="auto"/>
            <w:noWrap/>
            <w:vAlign w:val="bottom"/>
            <w:hideMark/>
          </w:tcPr>
          <w:p w:rsidR="000F082A" w:rsidRPr="00225341" w:rsidRDefault="000F082A" w:rsidP="003A1E69">
            <w:pPr>
              <w:rPr>
                <w:color w:val="000000"/>
                <w:sz w:val="22"/>
              </w:rPr>
            </w:pPr>
            <w:r>
              <w:rPr>
                <w:color w:val="000000"/>
                <w:sz w:val="22"/>
              </w:rPr>
              <w:t>90-watersheds</w:t>
            </w:r>
          </w:p>
        </w:tc>
        <w:tc>
          <w:tcPr>
            <w:tcW w:w="0" w:type="auto"/>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0.40</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1.74</w:t>
            </w:r>
          </w:p>
        </w:tc>
        <w:tc>
          <w:tcPr>
            <w:tcW w:w="0" w:type="auto"/>
            <w:tcBorders>
              <w:left w:val="nil"/>
              <w:right w:val="nil"/>
            </w:tcBorders>
            <w:shd w:val="clear" w:color="auto" w:fill="auto"/>
            <w:noWrap/>
            <w:vAlign w:val="bottom"/>
            <w:hideMark/>
          </w:tcPr>
          <w:p w:rsidR="000F082A" w:rsidRPr="00800A7B" w:rsidRDefault="000F082A" w:rsidP="003A1E69">
            <w:pPr>
              <w:jc w:val="center"/>
              <w:rPr>
                <w:b/>
                <w:color w:val="000000"/>
                <w:sz w:val="22"/>
              </w:rPr>
            </w:pPr>
            <w:r w:rsidRPr="00800A7B">
              <w:rPr>
                <w:b/>
                <w:color w:val="000000"/>
                <w:sz w:val="22"/>
              </w:rPr>
              <w:t>-0.41</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-0.08</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3.84</w:t>
            </w:r>
          </w:p>
        </w:tc>
        <w:tc>
          <w:tcPr>
            <w:tcW w:w="0" w:type="auto"/>
            <w:tcBorders>
              <w:left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0.97</w:t>
            </w:r>
          </w:p>
        </w:tc>
        <w:tc>
          <w:tcPr>
            <w:tcW w:w="0" w:type="auto"/>
            <w:tcBorders>
              <w:lef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49</w:t>
            </w:r>
          </w:p>
        </w:tc>
      </w:tr>
      <w:tr w:rsidR="000F082A" w:rsidRPr="00800A7B" w:rsidTr="002024A2">
        <w:trPr>
          <w:trHeight w:val="300"/>
        </w:trPr>
        <w:tc>
          <w:tcPr>
            <w:tcW w:w="0" w:type="auto"/>
            <w:shd w:val="clear" w:color="auto" w:fill="auto"/>
            <w:noWrap/>
            <w:vAlign w:val="bottom"/>
            <w:hideMark/>
          </w:tcPr>
          <w:p w:rsidR="000F082A" w:rsidRDefault="000F082A" w:rsidP="003A1E69">
            <w:pPr>
              <w:rPr>
                <w:i/>
                <w:iCs/>
                <w:color w:val="000000"/>
                <w:sz w:val="22"/>
              </w:rPr>
            </w:pPr>
          </w:p>
        </w:tc>
        <w:tc>
          <w:tcPr>
            <w:tcW w:w="0" w:type="auto"/>
            <w:shd w:val="clear" w:color="auto" w:fill="auto"/>
            <w:noWrap/>
            <w:vAlign w:val="bottom"/>
            <w:hideMark/>
          </w:tcPr>
          <w:p w:rsidR="000F082A" w:rsidRPr="00225341" w:rsidRDefault="000F082A" w:rsidP="003A1E69">
            <w:pPr>
              <w:jc w:val="center"/>
              <w:rPr>
                <w:i/>
                <w:iCs/>
                <w:color w:val="000000"/>
                <w:sz w:val="22"/>
              </w:rPr>
            </w:pPr>
          </w:p>
        </w:tc>
        <w:tc>
          <w:tcPr>
            <w:tcW w:w="0" w:type="auto"/>
            <w:tcBorders>
              <w:left w:val="nil"/>
              <w:right w:val="nil"/>
            </w:tcBorders>
            <w:shd w:val="clear" w:color="auto" w:fill="auto"/>
            <w:noWrap/>
            <w:vAlign w:val="bottom"/>
            <w:hideMark/>
          </w:tcPr>
          <w:p w:rsidR="000F082A" w:rsidRPr="00225341" w:rsidRDefault="000F082A" w:rsidP="003A1E69">
            <w:pPr>
              <w:jc w:val="center"/>
              <w:rPr>
                <w:color w:val="000000"/>
                <w:sz w:val="22"/>
              </w:rPr>
            </w:pPr>
          </w:p>
        </w:tc>
        <w:tc>
          <w:tcPr>
            <w:tcW w:w="0" w:type="auto"/>
            <w:tcBorders>
              <w:left w:val="nil"/>
              <w:right w:val="nil"/>
            </w:tcBorders>
            <w:shd w:val="clear" w:color="auto" w:fill="auto"/>
            <w:noWrap/>
            <w:vAlign w:val="bottom"/>
            <w:hideMark/>
          </w:tcPr>
          <w:p w:rsidR="000F082A" w:rsidRPr="00225341" w:rsidRDefault="000F082A" w:rsidP="003A1E69">
            <w:pPr>
              <w:jc w:val="center"/>
              <w:rPr>
                <w:color w:val="000000"/>
                <w:sz w:val="22"/>
              </w:rPr>
            </w:pPr>
          </w:p>
        </w:tc>
        <w:tc>
          <w:tcPr>
            <w:tcW w:w="0" w:type="auto"/>
            <w:tcBorders>
              <w:left w:val="nil"/>
              <w:right w:val="nil"/>
            </w:tcBorders>
            <w:shd w:val="clear" w:color="auto" w:fill="auto"/>
            <w:noWrap/>
            <w:vAlign w:val="bottom"/>
            <w:hideMark/>
          </w:tcPr>
          <w:p w:rsidR="000F082A" w:rsidRPr="00225341" w:rsidRDefault="000F082A" w:rsidP="003A1E69">
            <w:pPr>
              <w:jc w:val="center"/>
              <w:rPr>
                <w:color w:val="000000"/>
                <w:sz w:val="22"/>
              </w:rPr>
            </w:pPr>
          </w:p>
        </w:tc>
        <w:tc>
          <w:tcPr>
            <w:tcW w:w="0" w:type="auto"/>
            <w:tcBorders>
              <w:left w:val="nil"/>
              <w:right w:val="nil"/>
            </w:tcBorders>
            <w:shd w:val="clear" w:color="auto" w:fill="auto"/>
            <w:noWrap/>
            <w:vAlign w:val="bottom"/>
            <w:hideMark/>
          </w:tcPr>
          <w:p w:rsidR="000F082A" w:rsidRPr="00225341" w:rsidRDefault="000F082A" w:rsidP="003A1E69">
            <w:pPr>
              <w:jc w:val="center"/>
              <w:rPr>
                <w:color w:val="000000"/>
                <w:sz w:val="22"/>
              </w:rPr>
            </w:pPr>
          </w:p>
        </w:tc>
        <w:tc>
          <w:tcPr>
            <w:tcW w:w="0" w:type="auto"/>
            <w:tcBorders>
              <w:left w:val="nil"/>
              <w:right w:val="nil"/>
            </w:tcBorders>
            <w:shd w:val="clear" w:color="auto" w:fill="auto"/>
            <w:noWrap/>
            <w:vAlign w:val="bottom"/>
            <w:hideMark/>
          </w:tcPr>
          <w:p w:rsidR="000F082A" w:rsidRPr="00225341" w:rsidRDefault="000F082A" w:rsidP="003A1E69">
            <w:pPr>
              <w:jc w:val="center"/>
              <w:rPr>
                <w:color w:val="000000"/>
                <w:sz w:val="22"/>
              </w:rPr>
            </w:pPr>
          </w:p>
        </w:tc>
        <w:tc>
          <w:tcPr>
            <w:tcW w:w="0" w:type="auto"/>
            <w:tcBorders>
              <w:left w:val="nil"/>
            </w:tcBorders>
            <w:shd w:val="clear" w:color="auto" w:fill="auto"/>
            <w:noWrap/>
            <w:vAlign w:val="bottom"/>
            <w:hideMark/>
          </w:tcPr>
          <w:p w:rsidR="000F082A" w:rsidRPr="00225341" w:rsidRDefault="000F082A" w:rsidP="003A1E69">
            <w:pPr>
              <w:jc w:val="center"/>
              <w:rPr>
                <w:color w:val="000000"/>
                <w:sz w:val="22"/>
              </w:rPr>
            </w:pPr>
          </w:p>
        </w:tc>
      </w:tr>
      <w:tr w:rsidR="000F082A" w:rsidRPr="00800A7B" w:rsidTr="002024A2">
        <w:trPr>
          <w:trHeight w:val="300"/>
        </w:trPr>
        <w:tc>
          <w:tcPr>
            <w:tcW w:w="0" w:type="auto"/>
            <w:shd w:val="clear" w:color="auto" w:fill="auto"/>
            <w:noWrap/>
            <w:vAlign w:val="bottom"/>
            <w:hideMark/>
          </w:tcPr>
          <w:p w:rsidR="000F082A" w:rsidRPr="00CD233D" w:rsidRDefault="000F082A" w:rsidP="003A1E69">
            <w:pPr>
              <w:rPr>
                <w:i/>
                <w:iCs/>
                <w:color w:val="000000"/>
                <w:sz w:val="22"/>
              </w:rPr>
            </w:pPr>
            <w:r>
              <w:rPr>
                <w:i/>
                <w:iCs/>
                <w:color w:val="000000"/>
                <w:sz w:val="22"/>
              </w:rPr>
              <w:t>Local  Richness</w:t>
            </w:r>
          </w:p>
        </w:tc>
        <w:tc>
          <w:tcPr>
            <w:tcW w:w="0" w:type="auto"/>
            <w:shd w:val="clear" w:color="auto" w:fill="auto"/>
            <w:noWrap/>
            <w:vAlign w:val="bottom"/>
            <w:hideMark/>
          </w:tcPr>
          <w:p w:rsidR="000F082A" w:rsidRPr="00225341" w:rsidRDefault="000F082A" w:rsidP="003A1E69">
            <w:pPr>
              <w:jc w:val="center"/>
              <w:rPr>
                <w:i/>
                <w:iCs/>
                <w:color w:val="000000"/>
                <w:sz w:val="22"/>
              </w:rPr>
            </w:pPr>
            <w:r w:rsidRPr="00225341">
              <w:rPr>
                <w:i/>
                <w:iCs/>
                <w:color w:val="000000"/>
                <w:sz w:val="22"/>
              </w:rPr>
              <w:t> </w:t>
            </w:r>
          </w:p>
        </w:tc>
        <w:tc>
          <w:tcPr>
            <w:tcW w:w="0" w:type="auto"/>
            <w:tcBorders>
              <w:left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 </w:t>
            </w:r>
          </w:p>
        </w:tc>
        <w:tc>
          <w:tcPr>
            <w:tcW w:w="0" w:type="auto"/>
            <w:tcBorders>
              <w:left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 </w:t>
            </w:r>
          </w:p>
        </w:tc>
        <w:tc>
          <w:tcPr>
            <w:tcW w:w="0" w:type="auto"/>
            <w:tcBorders>
              <w:left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 </w:t>
            </w:r>
          </w:p>
        </w:tc>
        <w:tc>
          <w:tcPr>
            <w:tcW w:w="0" w:type="auto"/>
            <w:tcBorders>
              <w:left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 </w:t>
            </w:r>
          </w:p>
        </w:tc>
        <w:tc>
          <w:tcPr>
            <w:tcW w:w="0" w:type="auto"/>
            <w:tcBorders>
              <w:left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 </w:t>
            </w:r>
          </w:p>
        </w:tc>
        <w:tc>
          <w:tcPr>
            <w:tcW w:w="0" w:type="auto"/>
            <w:tcBorders>
              <w:lef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 </w:t>
            </w:r>
          </w:p>
        </w:tc>
      </w:tr>
      <w:tr w:rsidR="000F082A" w:rsidRPr="00800A7B" w:rsidTr="002024A2">
        <w:trPr>
          <w:trHeight w:val="300"/>
        </w:trPr>
        <w:tc>
          <w:tcPr>
            <w:tcW w:w="0" w:type="auto"/>
            <w:tcBorders>
              <w:bottom w:val="nil"/>
            </w:tcBorders>
            <w:shd w:val="clear" w:color="auto" w:fill="auto"/>
            <w:noWrap/>
            <w:vAlign w:val="bottom"/>
            <w:hideMark/>
          </w:tcPr>
          <w:p w:rsidR="000F082A" w:rsidRPr="00225341" w:rsidRDefault="000F082A" w:rsidP="003A1E69">
            <w:pPr>
              <w:rPr>
                <w:color w:val="000000"/>
                <w:sz w:val="22"/>
              </w:rPr>
            </w:pPr>
            <w:r>
              <w:rPr>
                <w:color w:val="000000"/>
                <w:sz w:val="22"/>
              </w:rPr>
              <w:t>4-watersheds</w:t>
            </w:r>
          </w:p>
        </w:tc>
        <w:tc>
          <w:tcPr>
            <w:tcW w:w="0" w:type="auto"/>
            <w:tcBorders>
              <w:bottom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w:t>
            </w:r>
          </w:p>
        </w:tc>
        <w:tc>
          <w:tcPr>
            <w:tcW w:w="0" w:type="auto"/>
            <w:tcBorders>
              <w:left w:val="nil"/>
              <w:bottom w:val="nil"/>
              <w:right w:val="nil"/>
            </w:tcBorders>
            <w:shd w:val="clear" w:color="auto" w:fill="auto"/>
            <w:noWrap/>
            <w:vAlign w:val="bottom"/>
            <w:hideMark/>
          </w:tcPr>
          <w:p w:rsidR="000F082A" w:rsidRPr="00225341" w:rsidRDefault="000F082A" w:rsidP="003A1E69">
            <w:pPr>
              <w:jc w:val="center"/>
              <w:rPr>
                <w:color w:val="000000"/>
                <w:sz w:val="22"/>
              </w:rPr>
            </w:pPr>
            <w:r>
              <w:rPr>
                <w:color w:val="000000"/>
                <w:sz w:val="22"/>
              </w:rPr>
              <w:t>-</w:t>
            </w:r>
          </w:p>
        </w:tc>
        <w:tc>
          <w:tcPr>
            <w:tcW w:w="0" w:type="auto"/>
            <w:tcBorders>
              <w:left w:val="nil"/>
              <w:bottom w:val="nil"/>
              <w:right w:val="nil"/>
            </w:tcBorders>
            <w:shd w:val="clear" w:color="auto" w:fill="auto"/>
            <w:noWrap/>
            <w:vAlign w:val="bottom"/>
            <w:hideMark/>
          </w:tcPr>
          <w:p w:rsidR="000F082A" w:rsidRPr="00225341" w:rsidRDefault="000F082A" w:rsidP="003A1E69">
            <w:pPr>
              <w:jc w:val="center"/>
              <w:rPr>
                <w:color w:val="000000"/>
                <w:sz w:val="22"/>
              </w:rPr>
            </w:pPr>
            <w:r>
              <w:rPr>
                <w:color w:val="000000"/>
                <w:sz w:val="22"/>
              </w:rPr>
              <w:t>-</w:t>
            </w:r>
          </w:p>
        </w:tc>
        <w:tc>
          <w:tcPr>
            <w:tcW w:w="0" w:type="auto"/>
            <w:tcBorders>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left w:val="nil"/>
              <w:bottom w:val="nil"/>
              <w:right w:val="nil"/>
            </w:tcBorders>
            <w:shd w:val="clear" w:color="auto" w:fill="auto"/>
            <w:noWrap/>
            <w:vAlign w:val="bottom"/>
            <w:hideMark/>
          </w:tcPr>
          <w:p w:rsidR="000F082A" w:rsidRPr="00225341" w:rsidRDefault="000F082A" w:rsidP="003A1E69">
            <w:pPr>
              <w:jc w:val="center"/>
              <w:rPr>
                <w:color w:val="000000"/>
                <w:sz w:val="22"/>
              </w:rPr>
            </w:pPr>
            <w:r>
              <w:rPr>
                <w:color w:val="000000"/>
                <w:sz w:val="22"/>
              </w:rPr>
              <w:t>-</w:t>
            </w:r>
          </w:p>
        </w:tc>
        <w:tc>
          <w:tcPr>
            <w:tcW w:w="0" w:type="auto"/>
            <w:tcBorders>
              <w:left w:val="nil"/>
              <w:bottom w:val="nil"/>
            </w:tcBorders>
            <w:shd w:val="clear" w:color="auto" w:fill="auto"/>
            <w:noWrap/>
            <w:vAlign w:val="bottom"/>
            <w:hideMark/>
          </w:tcPr>
          <w:p w:rsidR="000F082A" w:rsidRPr="00225341" w:rsidRDefault="000F082A" w:rsidP="003A1E69">
            <w:pPr>
              <w:jc w:val="center"/>
              <w:rPr>
                <w:color w:val="000000"/>
                <w:sz w:val="22"/>
              </w:rPr>
            </w:pPr>
            <w:r>
              <w:rPr>
                <w:color w:val="000000"/>
                <w:sz w:val="22"/>
              </w:rPr>
              <w:t>-</w:t>
            </w:r>
          </w:p>
        </w:tc>
      </w:tr>
      <w:tr w:rsidR="000F082A" w:rsidRPr="00800A7B" w:rsidTr="002024A2">
        <w:trPr>
          <w:trHeight w:val="300"/>
        </w:trPr>
        <w:tc>
          <w:tcPr>
            <w:tcW w:w="0" w:type="auto"/>
            <w:tcBorders>
              <w:top w:val="nil"/>
              <w:bottom w:val="nil"/>
            </w:tcBorders>
            <w:shd w:val="clear" w:color="auto" w:fill="auto"/>
            <w:noWrap/>
            <w:vAlign w:val="bottom"/>
            <w:hideMark/>
          </w:tcPr>
          <w:p w:rsidR="000F082A" w:rsidRPr="00225341" w:rsidRDefault="000F082A" w:rsidP="003A1E69">
            <w:pPr>
              <w:rPr>
                <w:color w:val="000000"/>
                <w:sz w:val="22"/>
              </w:rPr>
            </w:pPr>
            <w:r>
              <w:rPr>
                <w:color w:val="000000"/>
                <w:sz w:val="22"/>
              </w:rPr>
              <w:t>48-watersheds</w:t>
            </w:r>
          </w:p>
        </w:tc>
        <w:tc>
          <w:tcPr>
            <w:tcW w:w="0" w:type="auto"/>
            <w:tcBorders>
              <w:top w:val="nil"/>
              <w:bottom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0.07</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0.21</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-0.03</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0.10</w:t>
            </w:r>
          </w:p>
        </w:tc>
        <w:tc>
          <w:tcPr>
            <w:tcW w:w="0" w:type="auto"/>
            <w:tcBorders>
              <w:top w:val="nil"/>
              <w:left w:val="nil"/>
              <w:bottom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r>
      <w:tr w:rsidR="000F082A" w:rsidRPr="00800A7B" w:rsidTr="002024A2">
        <w:trPr>
          <w:trHeight w:val="300"/>
        </w:trPr>
        <w:tc>
          <w:tcPr>
            <w:tcW w:w="0" w:type="auto"/>
            <w:tcBorders>
              <w:top w:val="nil"/>
              <w:bottom w:val="nil"/>
            </w:tcBorders>
            <w:shd w:val="clear" w:color="auto" w:fill="auto"/>
            <w:noWrap/>
            <w:vAlign w:val="bottom"/>
            <w:hideMark/>
          </w:tcPr>
          <w:p w:rsidR="000F082A" w:rsidRPr="00225341" w:rsidRDefault="000F082A" w:rsidP="003A1E69">
            <w:pPr>
              <w:rPr>
                <w:color w:val="000000"/>
                <w:sz w:val="22"/>
              </w:rPr>
            </w:pPr>
            <w:r>
              <w:rPr>
                <w:color w:val="000000"/>
                <w:sz w:val="22"/>
              </w:rPr>
              <w:t>93-watersheds</w:t>
            </w:r>
          </w:p>
        </w:tc>
        <w:tc>
          <w:tcPr>
            <w:tcW w:w="0" w:type="auto"/>
            <w:tcBorders>
              <w:top w:val="nil"/>
              <w:bottom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0.08</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0.25</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-0.05</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0.20</w:t>
            </w:r>
          </w:p>
        </w:tc>
        <w:tc>
          <w:tcPr>
            <w:tcW w:w="0" w:type="auto"/>
            <w:tcBorders>
              <w:top w:val="nil"/>
              <w:left w:val="nil"/>
              <w:bottom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r>
      <w:tr w:rsidR="000F082A" w:rsidRPr="00800A7B" w:rsidTr="002024A2">
        <w:trPr>
          <w:trHeight w:val="300"/>
        </w:trPr>
        <w:tc>
          <w:tcPr>
            <w:tcW w:w="0" w:type="auto"/>
            <w:tcBorders>
              <w:top w:val="nil"/>
              <w:bottom w:val="nil"/>
            </w:tcBorders>
            <w:shd w:val="clear" w:color="auto" w:fill="auto"/>
            <w:noWrap/>
            <w:vAlign w:val="bottom"/>
            <w:hideMark/>
          </w:tcPr>
          <w:p w:rsidR="000F082A" w:rsidRPr="00225341" w:rsidRDefault="000F082A" w:rsidP="003A1E69">
            <w:pPr>
              <w:rPr>
                <w:color w:val="000000"/>
                <w:sz w:val="22"/>
              </w:rPr>
            </w:pPr>
            <w:r>
              <w:rPr>
                <w:color w:val="000000"/>
                <w:sz w:val="22"/>
              </w:rPr>
              <w:t>925-watersheds</w:t>
            </w:r>
          </w:p>
        </w:tc>
        <w:tc>
          <w:tcPr>
            <w:tcW w:w="0" w:type="auto"/>
            <w:tcBorders>
              <w:top w:val="nil"/>
              <w:bottom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0.13</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0.24</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-0.03</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0.17</w:t>
            </w:r>
          </w:p>
        </w:tc>
        <w:tc>
          <w:tcPr>
            <w:tcW w:w="0" w:type="auto"/>
            <w:tcBorders>
              <w:top w:val="nil"/>
              <w:left w:val="nil"/>
              <w:bottom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r>
      <w:tr w:rsidR="000F082A" w:rsidRPr="00800A7B" w:rsidTr="002024A2">
        <w:trPr>
          <w:trHeight w:val="300"/>
        </w:trPr>
        <w:tc>
          <w:tcPr>
            <w:tcW w:w="0" w:type="auto"/>
            <w:tcBorders>
              <w:top w:val="nil"/>
              <w:bottom w:val="nil"/>
            </w:tcBorders>
            <w:shd w:val="clear" w:color="auto" w:fill="auto"/>
            <w:noWrap/>
            <w:vAlign w:val="bottom"/>
            <w:hideMark/>
          </w:tcPr>
          <w:p w:rsidR="000F082A" w:rsidRPr="00225341" w:rsidRDefault="000F082A" w:rsidP="003A1E69">
            <w:pPr>
              <w:rPr>
                <w:color w:val="000000"/>
                <w:sz w:val="22"/>
              </w:rPr>
            </w:pPr>
            <w:r>
              <w:rPr>
                <w:color w:val="000000"/>
                <w:sz w:val="22"/>
              </w:rPr>
              <w:t>no-control-bias</w:t>
            </w:r>
          </w:p>
        </w:tc>
        <w:tc>
          <w:tcPr>
            <w:tcW w:w="0" w:type="auto"/>
            <w:tcBorders>
              <w:top w:val="nil"/>
              <w:bottom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0.01</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0.24</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-0.05</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0.21</w:t>
            </w:r>
          </w:p>
        </w:tc>
        <w:tc>
          <w:tcPr>
            <w:tcW w:w="0" w:type="auto"/>
            <w:tcBorders>
              <w:top w:val="nil"/>
              <w:left w:val="nil"/>
              <w:bottom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r>
      <w:tr w:rsidR="000F082A" w:rsidRPr="00800A7B" w:rsidTr="002024A2">
        <w:trPr>
          <w:trHeight w:val="300"/>
        </w:trPr>
        <w:tc>
          <w:tcPr>
            <w:tcW w:w="0" w:type="auto"/>
            <w:tcBorders>
              <w:top w:val="nil"/>
              <w:bottom w:val="nil"/>
            </w:tcBorders>
            <w:shd w:val="clear" w:color="auto" w:fill="auto"/>
            <w:noWrap/>
            <w:vAlign w:val="bottom"/>
            <w:hideMark/>
          </w:tcPr>
          <w:p w:rsidR="000F082A" w:rsidRPr="00225341" w:rsidRDefault="000F082A" w:rsidP="003A1E69">
            <w:pPr>
              <w:rPr>
                <w:color w:val="000000"/>
                <w:sz w:val="22"/>
              </w:rPr>
            </w:pPr>
            <w:r>
              <w:rPr>
                <w:color w:val="000000"/>
                <w:sz w:val="22"/>
              </w:rPr>
              <w:t>control-bias</w:t>
            </w:r>
          </w:p>
        </w:tc>
        <w:tc>
          <w:tcPr>
            <w:tcW w:w="0" w:type="auto"/>
            <w:tcBorders>
              <w:top w:val="nil"/>
              <w:bottom w:val="nil"/>
            </w:tcBorders>
            <w:shd w:val="clear" w:color="auto" w:fill="auto"/>
            <w:noWrap/>
            <w:vAlign w:val="bottom"/>
            <w:hideMark/>
          </w:tcPr>
          <w:p w:rsidR="000F082A" w:rsidRPr="00800A7B" w:rsidRDefault="000F082A" w:rsidP="003A1E69">
            <w:pPr>
              <w:jc w:val="center"/>
              <w:rPr>
                <w:b/>
                <w:bCs/>
                <w:color w:val="000000"/>
                <w:sz w:val="22"/>
              </w:rPr>
            </w:pPr>
            <w:r w:rsidRPr="00800A7B">
              <w:rPr>
                <w:b/>
                <w:bCs/>
                <w:color w:val="000000"/>
                <w:sz w:val="22"/>
              </w:rPr>
              <w:t>0.11</w:t>
            </w:r>
          </w:p>
        </w:tc>
        <w:tc>
          <w:tcPr>
            <w:tcW w:w="0" w:type="auto"/>
            <w:tcBorders>
              <w:top w:val="nil"/>
              <w:left w:val="nil"/>
              <w:bottom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0.18</w:t>
            </w:r>
          </w:p>
        </w:tc>
        <w:tc>
          <w:tcPr>
            <w:tcW w:w="0" w:type="auto"/>
            <w:tcBorders>
              <w:top w:val="nil"/>
              <w:left w:val="nil"/>
              <w:bottom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-0.02</w:t>
            </w:r>
          </w:p>
        </w:tc>
        <w:tc>
          <w:tcPr>
            <w:tcW w:w="0" w:type="auto"/>
            <w:tcBorders>
              <w:top w:val="nil"/>
              <w:left w:val="nil"/>
              <w:bottom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w:t>
            </w:r>
          </w:p>
        </w:tc>
        <w:tc>
          <w:tcPr>
            <w:tcW w:w="0" w:type="auto"/>
            <w:tcBorders>
              <w:top w:val="nil"/>
              <w:left w:val="nil"/>
              <w:bottom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w:t>
            </w:r>
          </w:p>
        </w:tc>
        <w:tc>
          <w:tcPr>
            <w:tcW w:w="0" w:type="auto"/>
            <w:tcBorders>
              <w:top w:val="nil"/>
              <w:left w:val="nil"/>
              <w:bottom w:val="nil"/>
              <w:right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0.02</w:t>
            </w:r>
          </w:p>
        </w:tc>
        <w:tc>
          <w:tcPr>
            <w:tcW w:w="0" w:type="auto"/>
            <w:tcBorders>
              <w:top w:val="nil"/>
              <w:left w:val="nil"/>
              <w:bottom w:val="nil"/>
            </w:tcBorders>
            <w:shd w:val="clear" w:color="auto" w:fill="auto"/>
            <w:noWrap/>
            <w:vAlign w:val="bottom"/>
            <w:hideMark/>
          </w:tcPr>
          <w:p w:rsidR="000F082A" w:rsidRPr="00800A7B" w:rsidRDefault="000F082A" w:rsidP="003A1E69">
            <w:pPr>
              <w:jc w:val="center"/>
              <w:rPr>
                <w:color w:val="000000"/>
                <w:sz w:val="22"/>
              </w:rPr>
            </w:pPr>
            <w:r w:rsidRPr="00800A7B">
              <w:rPr>
                <w:color w:val="000000"/>
                <w:sz w:val="22"/>
              </w:rPr>
              <w:t>-</w:t>
            </w:r>
          </w:p>
        </w:tc>
      </w:tr>
      <w:tr w:rsidR="000F082A" w:rsidRPr="00800A7B" w:rsidTr="002024A2">
        <w:trPr>
          <w:trHeight w:val="300"/>
        </w:trPr>
        <w:tc>
          <w:tcPr>
            <w:tcW w:w="0" w:type="auto"/>
            <w:tcBorders>
              <w:top w:val="nil"/>
              <w:bottom w:val="nil"/>
            </w:tcBorders>
            <w:shd w:val="clear" w:color="auto" w:fill="auto"/>
            <w:noWrap/>
            <w:vAlign w:val="bottom"/>
            <w:hideMark/>
          </w:tcPr>
          <w:p w:rsidR="000F082A" w:rsidRPr="00225341" w:rsidRDefault="000F082A" w:rsidP="003A1E69">
            <w:pPr>
              <w:rPr>
                <w:color w:val="000000"/>
                <w:sz w:val="22"/>
              </w:rPr>
            </w:pPr>
            <w:r>
              <w:rPr>
                <w:color w:val="000000"/>
                <w:sz w:val="22"/>
              </w:rPr>
              <w:t>1-year</w:t>
            </w:r>
          </w:p>
        </w:tc>
        <w:tc>
          <w:tcPr>
            <w:tcW w:w="0" w:type="auto"/>
            <w:tcBorders>
              <w:top w:val="nil"/>
              <w:bottom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1.07</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1.31</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-0.07</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0.06</w:t>
            </w:r>
          </w:p>
        </w:tc>
        <w:tc>
          <w:tcPr>
            <w:tcW w:w="0" w:type="auto"/>
            <w:tcBorders>
              <w:top w:val="nil"/>
              <w:left w:val="nil"/>
              <w:bottom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r>
      <w:tr w:rsidR="000F082A" w:rsidRPr="00800A7B" w:rsidTr="002024A2">
        <w:trPr>
          <w:trHeight w:val="300"/>
        </w:trPr>
        <w:tc>
          <w:tcPr>
            <w:tcW w:w="0" w:type="auto"/>
            <w:tcBorders>
              <w:top w:val="nil"/>
              <w:bottom w:val="nil"/>
            </w:tcBorders>
            <w:shd w:val="clear" w:color="auto" w:fill="auto"/>
            <w:noWrap/>
            <w:vAlign w:val="bottom"/>
            <w:hideMark/>
          </w:tcPr>
          <w:p w:rsidR="000F082A" w:rsidRPr="00225341" w:rsidRDefault="000F082A" w:rsidP="003A1E69">
            <w:pPr>
              <w:rPr>
                <w:color w:val="000000"/>
                <w:sz w:val="22"/>
              </w:rPr>
            </w:pPr>
            <w:r>
              <w:rPr>
                <w:color w:val="000000"/>
                <w:sz w:val="22"/>
              </w:rPr>
              <w:t>2-year</w:t>
            </w:r>
          </w:p>
        </w:tc>
        <w:tc>
          <w:tcPr>
            <w:tcW w:w="0" w:type="auto"/>
            <w:tcBorders>
              <w:top w:val="nil"/>
              <w:bottom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0.65</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0.79</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-0.04</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0.04</w:t>
            </w:r>
          </w:p>
        </w:tc>
        <w:tc>
          <w:tcPr>
            <w:tcW w:w="0" w:type="auto"/>
            <w:tcBorders>
              <w:top w:val="nil"/>
              <w:left w:val="nil"/>
              <w:bottom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r>
      <w:tr w:rsidR="000F082A" w:rsidRPr="00800A7B" w:rsidTr="002024A2">
        <w:trPr>
          <w:trHeight w:val="300"/>
        </w:trPr>
        <w:tc>
          <w:tcPr>
            <w:tcW w:w="0" w:type="auto"/>
            <w:tcBorders>
              <w:top w:val="nil"/>
              <w:bottom w:val="nil"/>
            </w:tcBorders>
            <w:shd w:val="clear" w:color="auto" w:fill="auto"/>
            <w:noWrap/>
            <w:vAlign w:val="bottom"/>
            <w:hideMark/>
          </w:tcPr>
          <w:p w:rsidR="000F082A" w:rsidRPr="00225341" w:rsidRDefault="000F082A" w:rsidP="003A1E69">
            <w:pPr>
              <w:rPr>
                <w:color w:val="000000"/>
                <w:sz w:val="22"/>
              </w:rPr>
            </w:pPr>
            <w:r>
              <w:rPr>
                <w:color w:val="000000"/>
                <w:sz w:val="22"/>
              </w:rPr>
              <w:t>10-year</w:t>
            </w:r>
          </w:p>
        </w:tc>
        <w:tc>
          <w:tcPr>
            <w:tcW w:w="0" w:type="auto"/>
            <w:tcBorders>
              <w:top w:val="nil"/>
              <w:bottom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0.26</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0.39</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-0.04</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bottom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0.13</w:t>
            </w:r>
          </w:p>
        </w:tc>
        <w:tc>
          <w:tcPr>
            <w:tcW w:w="0" w:type="auto"/>
            <w:tcBorders>
              <w:top w:val="nil"/>
              <w:left w:val="nil"/>
              <w:bottom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r>
      <w:tr w:rsidR="000F082A" w:rsidRPr="00800A7B" w:rsidTr="002024A2">
        <w:trPr>
          <w:trHeight w:val="300"/>
        </w:trPr>
        <w:tc>
          <w:tcPr>
            <w:tcW w:w="0" w:type="auto"/>
            <w:tcBorders>
              <w:top w:val="nil"/>
            </w:tcBorders>
            <w:shd w:val="clear" w:color="auto" w:fill="auto"/>
            <w:noWrap/>
            <w:vAlign w:val="bottom"/>
            <w:hideMark/>
          </w:tcPr>
          <w:p w:rsidR="000F082A" w:rsidRPr="00225341" w:rsidRDefault="000F082A" w:rsidP="003A1E69">
            <w:pPr>
              <w:rPr>
                <w:color w:val="000000"/>
                <w:sz w:val="22"/>
              </w:rPr>
            </w:pPr>
            <w:r>
              <w:rPr>
                <w:color w:val="000000"/>
                <w:sz w:val="22"/>
              </w:rPr>
              <w:t>25-year</w:t>
            </w:r>
          </w:p>
        </w:tc>
        <w:tc>
          <w:tcPr>
            <w:tcW w:w="0" w:type="auto"/>
            <w:tcBorders>
              <w:top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0.16</w:t>
            </w:r>
          </w:p>
        </w:tc>
        <w:tc>
          <w:tcPr>
            <w:tcW w:w="0" w:type="auto"/>
            <w:tcBorders>
              <w:top w:val="nil"/>
              <w:left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0.23</w:t>
            </w:r>
          </w:p>
        </w:tc>
        <w:tc>
          <w:tcPr>
            <w:tcW w:w="0" w:type="auto"/>
            <w:tcBorders>
              <w:top w:val="nil"/>
              <w:left w:val="nil"/>
              <w:right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-0.02</w:t>
            </w:r>
          </w:p>
        </w:tc>
        <w:tc>
          <w:tcPr>
            <w:tcW w:w="0" w:type="auto"/>
            <w:tcBorders>
              <w:top w:val="nil"/>
              <w:left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0.06</w:t>
            </w:r>
          </w:p>
        </w:tc>
        <w:tc>
          <w:tcPr>
            <w:tcW w:w="0" w:type="auto"/>
            <w:tcBorders>
              <w:top w:val="nil"/>
              <w:lef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r>
      <w:tr w:rsidR="000F082A" w:rsidRPr="00800A7B" w:rsidTr="002024A2">
        <w:trPr>
          <w:trHeight w:val="300"/>
        </w:trPr>
        <w:tc>
          <w:tcPr>
            <w:tcW w:w="0" w:type="auto"/>
            <w:tcBorders>
              <w:top w:val="nil"/>
              <w:bottom w:val="single" w:sz="4" w:space="0" w:color="auto"/>
            </w:tcBorders>
            <w:shd w:val="clear" w:color="auto" w:fill="auto"/>
            <w:noWrap/>
            <w:vAlign w:val="bottom"/>
            <w:hideMark/>
          </w:tcPr>
          <w:p w:rsidR="000F082A" w:rsidRPr="00225341" w:rsidRDefault="000F082A" w:rsidP="003A1E69">
            <w:pPr>
              <w:rPr>
                <w:color w:val="000000"/>
                <w:sz w:val="22"/>
              </w:rPr>
            </w:pPr>
            <w:r>
              <w:rPr>
                <w:color w:val="000000"/>
                <w:sz w:val="22"/>
              </w:rPr>
              <w:t>50-year</w:t>
            </w:r>
          </w:p>
        </w:tc>
        <w:tc>
          <w:tcPr>
            <w:tcW w:w="0" w:type="auto"/>
            <w:tcBorders>
              <w:top w:val="nil"/>
              <w:bottom w:val="single" w:sz="4" w:space="0" w:color="auto"/>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0.13</w:t>
            </w:r>
          </w:p>
        </w:tc>
        <w:tc>
          <w:tcPr>
            <w:tcW w:w="0" w:type="auto"/>
            <w:tcBorders>
              <w:top w:val="nil"/>
              <w:left w:val="nil"/>
              <w:bottom w:val="single" w:sz="4" w:space="0" w:color="auto"/>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0.23</w:t>
            </w:r>
          </w:p>
        </w:tc>
        <w:tc>
          <w:tcPr>
            <w:tcW w:w="0" w:type="auto"/>
            <w:tcBorders>
              <w:top w:val="nil"/>
              <w:left w:val="nil"/>
              <w:bottom w:val="single" w:sz="4" w:space="0" w:color="auto"/>
              <w:right w:val="nil"/>
            </w:tcBorders>
            <w:shd w:val="clear" w:color="auto" w:fill="auto"/>
            <w:noWrap/>
            <w:vAlign w:val="bottom"/>
            <w:hideMark/>
          </w:tcPr>
          <w:p w:rsidR="000F082A" w:rsidRPr="00225341" w:rsidRDefault="000F082A" w:rsidP="003A1E69">
            <w:pPr>
              <w:jc w:val="center"/>
              <w:rPr>
                <w:b/>
                <w:bCs/>
                <w:color w:val="000000"/>
                <w:sz w:val="22"/>
              </w:rPr>
            </w:pPr>
            <w:r w:rsidRPr="00225341">
              <w:rPr>
                <w:b/>
                <w:bCs/>
                <w:color w:val="000000"/>
                <w:sz w:val="22"/>
              </w:rPr>
              <w:t>-0.03</w:t>
            </w:r>
          </w:p>
        </w:tc>
        <w:tc>
          <w:tcPr>
            <w:tcW w:w="0" w:type="auto"/>
            <w:tcBorders>
              <w:top w:val="nil"/>
              <w:left w:val="nil"/>
              <w:bottom w:val="single" w:sz="4" w:space="0" w:color="auto"/>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bottom w:val="single" w:sz="4" w:space="0" w:color="auto"/>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c>
          <w:tcPr>
            <w:tcW w:w="0" w:type="auto"/>
            <w:tcBorders>
              <w:top w:val="nil"/>
              <w:left w:val="nil"/>
              <w:bottom w:val="single" w:sz="4" w:space="0" w:color="auto"/>
              <w:right w:val="nil"/>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0.12</w:t>
            </w:r>
          </w:p>
        </w:tc>
        <w:tc>
          <w:tcPr>
            <w:tcW w:w="0" w:type="auto"/>
            <w:tcBorders>
              <w:top w:val="nil"/>
              <w:left w:val="nil"/>
              <w:bottom w:val="single" w:sz="4" w:space="0" w:color="auto"/>
            </w:tcBorders>
            <w:shd w:val="clear" w:color="auto" w:fill="auto"/>
            <w:noWrap/>
            <w:vAlign w:val="bottom"/>
            <w:hideMark/>
          </w:tcPr>
          <w:p w:rsidR="000F082A" w:rsidRPr="00225341" w:rsidRDefault="000F082A" w:rsidP="003A1E69">
            <w:pPr>
              <w:jc w:val="center"/>
              <w:rPr>
                <w:color w:val="000000"/>
                <w:sz w:val="22"/>
              </w:rPr>
            </w:pPr>
            <w:r w:rsidRPr="00225341">
              <w:rPr>
                <w:color w:val="000000"/>
                <w:sz w:val="22"/>
              </w:rPr>
              <w:t>-</w:t>
            </w:r>
          </w:p>
        </w:tc>
      </w:tr>
    </w:tbl>
    <w:p w:rsidR="00675653" w:rsidRDefault="00FF1665" w:rsidP="00675653">
      <w:pPr>
        <w:pStyle w:val="Heading1"/>
        <w:numPr>
          <w:ilvl w:val="0"/>
          <w:numId w:val="0"/>
        </w:numPr>
      </w:pPr>
      <w:r>
        <w:br w:type="page"/>
      </w:r>
      <w:bookmarkStart w:id="65" w:name="_Toc289175833"/>
    </w:p>
    <w:p w:rsidR="00340064" w:rsidRPr="00E55953" w:rsidRDefault="00340064" w:rsidP="009B0E78">
      <w:pPr>
        <w:pStyle w:val="Heading1"/>
        <w:numPr>
          <w:ilvl w:val="0"/>
          <w:numId w:val="17"/>
        </w:numPr>
      </w:pPr>
      <w:bookmarkStart w:id="66" w:name="_Toc417646763"/>
      <w:bookmarkStart w:id="67" w:name="_Toc417815116"/>
      <w:bookmarkStart w:id="68" w:name="_Toc421352868"/>
      <w:bookmarkEnd w:id="65"/>
      <w:bookmarkEnd w:id="66"/>
      <w:r>
        <w:lastRenderedPageBreak/>
        <w:t>Synergies and tradeoffs among environmental impacts under conservation planning of shale gas surface infrastructure</w:t>
      </w:r>
      <w:bookmarkEnd w:id="67"/>
      <w:bookmarkEnd w:id="68"/>
    </w:p>
    <w:p w:rsidR="00F71ADC" w:rsidRDefault="00CE3A3E" w:rsidP="00F71ADC">
      <w:r>
        <w:br w:type="page"/>
      </w:r>
    </w:p>
    <w:p w:rsidR="00236E6D" w:rsidRDefault="00695AB5" w:rsidP="005E54E2">
      <w:r>
        <w:lastRenderedPageBreak/>
        <w:t xml:space="preserve">At the time of writing, this article was in revision at </w:t>
      </w:r>
      <w:r>
        <w:rPr>
          <w:i/>
        </w:rPr>
        <w:t>Environmental Management</w:t>
      </w:r>
      <w:r>
        <w:t>, with the expectation to be published in the near future:</w:t>
      </w:r>
    </w:p>
    <w:p w:rsidR="00703FC5" w:rsidRDefault="00695AB5" w:rsidP="00703FC5">
      <w:r>
        <w:tab/>
      </w:r>
      <w:proofErr w:type="gramStart"/>
      <w:r w:rsidR="00703FC5">
        <w:t>Austin W. Milt, Tamara D. Gagnolet, and Paul R. Armsworth.</w:t>
      </w:r>
      <w:proofErr w:type="gramEnd"/>
      <w:r w:rsidR="00703FC5">
        <w:t xml:space="preserve"> “</w:t>
      </w:r>
      <w:r w:rsidR="00703FC5" w:rsidRPr="00703FC5">
        <w:t>Synergies and tradeoffs among environmental impacts under conservation planning of shale gas surface infrastructure</w:t>
      </w:r>
      <w:r w:rsidR="00703FC5">
        <w:t xml:space="preserve">.” </w:t>
      </w:r>
      <w:proofErr w:type="gramStart"/>
      <w:r w:rsidR="00703FC5">
        <w:rPr>
          <w:i/>
        </w:rPr>
        <w:t>Environmental Management</w:t>
      </w:r>
      <w:r w:rsidR="00703FC5">
        <w:t>.</w:t>
      </w:r>
      <w:proofErr w:type="gramEnd"/>
      <w:r w:rsidR="00703FC5">
        <w:t xml:space="preserve"> </w:t>
      </w:r>
      <w:proofErr w:type="gramStart"/>
      <w:r w:rsidR="003247C0">
        <w:rPr>
          <w:i/>
        </w:rPr>
        <w:t>In Review.</w:t>
      </w:r>
      <w:proofErr w:type="gramEnd"/>
    </w:p>
    <w:p w:rsidR="00A22A3B" w:rsidRDefault="00A22A3B" w:rsidP="00703FC5"/>
    <w:p w:rsidR="00A22A3B" w:rsidRPr="00695AB5" w:rsidRDefault="00A22A3B" w:rsidP="00A22A3B">
      <w:r w:rsidRPr="00695AB5">
        <w:t xml:space="preserve">Austin Milt performed the secondary data collection, data processing, analysis, interpretation, and writing for this article. </w:t>
      </w:r>
      <w:r>
        <w:t>Tamara Gagnolet assisted in data collection, and both co-authors contrib</w:t>
      </w:r>
      <w:r w:rsidRPr="00695AB5">
        <w:t xml:space="preserve">uted intellectually to the design, interpretation, and revision of the article. </w:t>
      </w:r>
    </w:p>
    <w:p w:rsidR="00B96339" w:rsidRDefault="00547E3F" w:rsidP="00B96339">
      <w:pPr>
        <w:pStyle w:val="Heading2"/>
      </w:pPr>
      <w:bookmarkStart w:id="69" w:name="_Toc417646764"/>
      <w:bookmarkStart w:id="70" w:name="_Toc421352869"/>
      <w:r>
        <w:t>Abstract</w:t>
      </w:r>
      <w:bookmarkEnd w:id="69"/>
      <w:bookmarkEnd w:id="70"/>
    </w:p>
    <w:p w:rsidR="00D968DA" w:rsidRDefault="00D968DA" w:rsidP="00D968DA">
      <w:r w:rsidRPr="00B31E53">
        <w:t xml:space="preserve">Hydraulic fracturing and related ground water issues are growing features in public discourse. Few have given as much attention to surface impacts from shale gas development that result from building necessary surface infrastructure. One </w:t>
      </w:r>
      <w:r>
        <w:t xml:space="preserve">way to </w:t>
      </w:r>
      <w:r w:rsidRPr="00B31E53">
        <w:t xml:space="preserve">reduce future impacts from gas surface development </w:t>
      </w:r>
      <w:r>
        <w:t xml:space="preserve">without radically changing industry practice </w:t>
      </w:r>
      <w:r w:rsidRPr="00B31E53">
        <w:t xml:space="preserve">is by </w:t>
      </w:r>
      <w:r>
        <w:t>formulating</w:t>
      </w:r>
      <w:r w:rsidRPr="00B31E53">
        <w:t xml:space="preserve"> simple</w:t>
      </w:r>
      <w:r>
        <w:t>, conservation-oriented</w:t>
      </w:r>
      <w:r w:rsidRPr="00B31E53">
        <w:t xml:space="preserve"> planning guidelines. We explore how four such guidelines affect the locations of well pads, access roads, and gathering pipelines on </w:t>
      </w:r>
      <w:r>
        <w:t>state</w:t>
      </w:r>
      <w:r w:rsidRPr="00B31E53">
        <w:t xml:space="preserve"> lands in Pennsylvania. </w:t>
      </w:r>
      <w:r>
        <w:t xml:space="preserve">Our four guidelines aim to (1) reduce impacts on water, reduce impacts from (2) gathering pipelines and (3) access roads, and (4) reduce impacts on forests. </w:t>
      </w:r>
      <w:r w:rsidRPr="00B31E53">
        <w:t>We assess</w:t>
      </w:r>
      <w:r>
        <w:t>ed</w:t>
      </w:r>
      <w:r w:rsidRPr="00B31E53">
        <w:t xml:space="preserve"> whether the use of such guidelines accompanies</w:t>
      </w:r>
      <w:r>
        <w:t xml:space="preserve"> </w:t>
      </w:r>
      <w:r w:rsidRPr="00B31E53">
        <w:t>tradeoffs among impacts, and if any guidelines perform better than others at avoiding impacts. We find that impacts are mostly synergistic, such that avoiding one impact will result in avoiding others. However, we found that avoiding forest fragmentation may result in increased impacts on other environmental features. We also found that single simple planning guidelines can be effective in targeted situations, but no one guideline was universally best at avoiding all impacts. As such, we</w:t>
      </w:r>
      <w:r>
        <w:t xml:space="preserve"> suggest that when multiple environmental features are important in an area, more comprehensive planning strategies and tools should be used.</w:t>
      </w:r>
    </w:p>
    <w:p w:rsidR="00CC26EC" w:rsidRDefault="00CC26EC" w:rsidP="00CC26EC">
      <w:pPr>
        <w:pStyle w:val="Heading2"/>
      </w:pPr>
      <w:bookmarkStart w:id="71" w:name="_Toc417646765"/>
      <w:bookmarkStart w:id="72" w:name="_Toc421352870"/>
      <w:r>
        <w:t>Introduction</w:t>
      </w:r>
      <w:bookmarkEnd w:id="71"/>
      <w:bookmarkEnd w:id="72"/>
    </w:p>
    <w:p w:rsidR="00CC26EC" w:rsidRDefault="00CC26EC" w:rsidP="00CC26EC">
      <w:r>
        <w:rPr>
          <w:rFonts w:cs="Times New Roman"/>
        </w:rPr>
        <w:t>High</w:t>
      </w:r>
      <w:r>
        <w:t xml:space="preserve">-volume hydraulic fracturing and horizontal drilling combined with higher gas prices in the late 2000s led to the boom of shale gas development in the eastern United States. Hydrofracking is the high-pressure pumping of water and sand to break shale and release gas. Horizontal drilling allows multiple wells to be drilled laterally from a location rather than a single well. In Central Appalachia, especially West Virginia and Pennsylvania, U.S.A., where we illustrate a case study, over </w:t>
      </w:r>
      <w:r>
        <w:lastRenderedPageBreak/>
        <w:t xml:space="preserve">14,000 horizontal well permits have been granted since 2008. Many of these (~60%) have yet to be drilled </w:t>
      </w:r>
      <w:r w:rsidR="00F01773">
        <w:fldChar w:fldCharType="begin" w:fldLock="1"/>
      </w:r>
      <w:r>
        <w:instrText>ADDIN CSL_CITATION { "citationItems" : [ { "id" : "ITEM-1", "itemData" : { "author" : [ { "dropping-particle" : "", "family" : "Whitacre", "given" : "J.", "non-dropping-particle" : "", "parse-names" : false, "suffix" : "" } ], "id" : "ITEM-1", "issued" : { "date-parts" : [ [ "2014" ] ] }, "number" : "2012.12", "publisher" : "Carnegie Museum of Natural History", "publisher-place" : "Pittsburgh, PA", "title" : "Carnegie Museum of Natural History Pennsylvania Unconventional Natural Gas Wells Geodatabase", "type" : "article" }, "uris" : [ "http://www.mendeley.com/documents/?uuid=75c3e346-dbe7-4790-b219-cd9a258d0b41" ] }, { "id" : "ITEM-2", "itemData" : { "URL" : "http://tagis.dep.wv.gov/home/OGPermitDownload", "accessed" : { "date-parts" : [ [ "2014", "6", "3" ] ] }, "author" : [ { "dropping-particle" : "", "family" : "West Virginia TAGIS Unit", "given" : "", "non-dropping-particle" : "", "parse-names" : false, "suffix" : "" } ], "id" : "ITEM-2", "issued" : { "date-parts" : [ [ "2014" ] ] }, "title" : "Oil &amp; Gas permit download", "type" : "webpage" }, "uris" : [ "http://www.mendeley.com/documents/?uuid=1099f277-2dfa-4d4c-9f1c-5ae5e87a0d9f" ] } ], "mendeley" : { "formattedCitation" : "(West Virginia TAGIS Unit 2014; Whitacre 2014)", "plainTextFormattedCitation" : "(West Virginia TAGIS Unit 2014; Whitacre 2014)", "previouslyFormattedCitation" : "(West Virginia TAGIS Unit 2014; Whitacre 2014)" }, "properties" : { "noteIndex" : 0 }, "schema" : "https://github.com/citation-style-language/schema/raw/master/csl-citation.json" }</w:instrText>
      </w:r>
      <w:r w:rsidR="00F01773">
        <w:fldChar w:fldCharType="separate"/>
      </w:r>
      <w:r w:rsidRPr="00A61EE9">
        <w:rPr>
          <w:noProof/>
        </w:rPr>
        <w:t>(West Virginia TAGIS Unit 2014; Whitacre 2014)</w:t>
      </w:r>
      <w:r w:rsidR="00F01773">
        <w:fldChar w:fldCharType="end"/>
      </w:r>
      <w:r>
        <w:t xml:space="preserve">, and many additional permits and wells are expected </w:t>
      </w:r>
      <w:r w:rsidR="00F01773">
        <w:fldChar w:fldCharType="begin" w:fldLock="1"/>
      </w:r>
      <w:r w:rsidR="00B32474">
        <w:instrText>ADDIN CSL_CITATION { "citationItems" : [ { "id" : "ITEM-1", "itemData" : { "DOI" : "10.1371/journal.pone.0089210", "abstract" : "Global demand for energy has increased by more than 50 percent in the last half-century, and a similar increase is projected by 2030. This demand will increasingly be met with alternative and unconventional energy sources. Development of these resources causes disturbances that strongly impact terrestrial and freshwater ecosystems. The Marcellus Shale gas play covers more than 160,934 km2 in an area that provides drinking water for over 22 million people in several of the largest metropolitan areas in the United States (e.g. New York City, Washington DC, Philadelphia &amp; Pittsburgh). Here we created probability surfaces representing development potential of wind and shale gas for portions of six states in the Central Appalachians. We used these predictions and published projections to model future energy build-out scenarios to quantify future potential impacts on surface drinking water. Our analysis predicts up to 106,004 new wells and 10,798 new wind turbines resulting up to 535,023 ha of impervious surface (3% of the study area) and upwards of 447,134 ha of impacted forest (2% of the study area). In light of this new energy future, mitigating the impacts of energy development will be one of the major challenges in the coming decades.", "author" : [ { "dropping-particle" : "", "family" : "Evans", "given" : "Jeffrey S", "non-dropping-particle" : "", "parse-names" : false, "suffix" : "" }, { "dropping-particle" : "", "family" : "Kiesecker", "given" : "Joseph M", "non-dropping-particle" : "", "parse-names" : false, "suffix" : "" } ], "container-title" : "PLoS ONE", "id" : "ITEM-1", "issue" : "2", "issued" : { "date-parts" : [ [ "2014" ] ] }, "page" : "e89210", "publisher" : "Public Library of Science", "title" : "Shale Gas, Wind and Water: Assessing the Potential Cumulative Impacts of Energy Development on Ecosystem Services within the Marcellus Play", "type" : "article-journal", "volume" : "9" }, "uris" : [ "http://www.mendeley.com/documents/?uuid=34501585-0cb4-4175-9e48-572eb514f0bb" ] } ], "mendeley" : { "formattedCitation" : "(Evans &amp; Kiesecker 2014)", "plainTextFormattedCitation" : "(Evans &amp; Kiesecker 2014)", "previouslyFormattedCitation" : "(Evans &amp; Kiesecker 2014)" }, "properties" : { "noteIndex" : 0 }, "schema" : "https://github.com/citation-style-language/schema/raw/master/csl-citation.json" }</w:instrText>
      </w:r>
      <w:r w:rsidR="00F01773">
        <w:fldChar w:fldCharType="separate"/>
      </w:r>
      <w:r w:rsidR="00B32474" w:rsidRPr="00B32474">
        <w:rPr>
          <w:noProof/>
        </w:rPr>
        <w:t>(Evans &amp; Kiesecker 2014)</w:t>
      </w:r>
      <w:r w:rsidR="00F01773">
        <w:fldChar w:fldCharType="end"/>
      </w:r>
      <w:r>
        <w:t xml:space="preserve">. Development of worldwide shale gas reserves </w:t>
      </w:r>
      <w:r w:rsidR="00F01773">
        <w:fldChar w:fldCharType="begin" w:fldLock="1"/>
      </w:r>
      <w:r>
        <w:instrText>ADDIN CSL_CITATION { "citationItems" : [ { "id" : "ITEM-1", "itemData" : { "abstract" : "This report provides an initial assessment of shale oil resources and updates a prior assessment of shale gas resources issued in April 2011. It assesses 137 shale formations in 41 countries outside the United States, expanding on the 69 shale formations within 32 countries considered in the prior report. The earlier assessment, also prepared by Advanced Resources International (ARI), was released as part of a U.S. Energy Information Administration (EIA) report titled World Shale Gas Resources: An Initial Assessment of 14 Regions Outside the United States.1", "author" : [ { "dropping-particle" : "", "family" : "U.S. Energy Information Administration", "given" : "", "non-dropping-particle" : "", "parse-names" : false, "suffix" : "" } ], "id" : "ITEM-1", "issued" : { "date-parts" : [ [ "2013" ] ] }, "title" : "Technically Recoverable Shale Oil and Shale Gas Resources: An Assessment of 137 Shale Formations in 41 Countries Outside the United States", "type" : "report" }, "uris" : [ "http://www.mendeley.com/documents/?uuid=1d1b2cfd-46c3-4d64-9ad2-3561657d3fe2" ] } ], "mendeley" : { "formattedCitation" : "(U.S. Energy Information Administration 2013)", "plainTextFormattedCitation" : "(U.S. Energy Information Administration 2013)", "previouslyFormattedCitation" : "(U.S. Energy Information Administration 2013)" }, "properties" : { "noteIndex" : 0 }, "schema" : "https://github.com/citation-style-language/schema/raw/master/csl-citation.json" }</w:instrText>
      </w:r>
      <w:r w:rsidR="00F01773">
        <w:fldChar w:fldCharType="separate"/>
      </w:r>
      <w:r w:rsidRPr="0036295A">
        <w:rPr>
          <w:noProof/>
        </w:rPr>
        <w:t>(U.S. Energy Information Administration 2013)</w:t>
      </w:r>
      <w:r w:rsidR="00F01773">
        <w:fldChar w:fldCharType="end"/>
      </w:r>
      <w:r>
        <w:t xml:space="preserve"> and accompanying surface infrastructure (</w:t>
      </w:r>
      <w:r w:rsidR="00F01773">
        <w:fldChar w:fldCharType="begin"/>
      </w:r>
      <w:r w:rsidR="00285ECF">
        <w:instrText xml:space="preserve"> REF _Ref417464500 \h </w:instrText>
      </w:r>
      <w:r w:rsidR="00F01773">
        <w:fldChar w:fldCharType="separate"/>
      </w:r>
      <w:r w:rsidR="00867AA7" w:rsidRPr="003A1E69">
        <w:t xml:space="preserve">Fig. </w:t>
      </w:r>
      <w:r w:rsidR="00867AA7">
        <w:rPr>
          <w:noProof/>
        </w:rPr>
        <w:t>2</w:t>
      </w:r>
      <w:r w:rsidR="00867AA7">
        <w:t>.</w:t>
      </w:r>
      <w:r w:rsidR="00867AA7">
        <w:rPr>
          <w:noProof/>
        </w:rPr>
        <w:t>1</w:t>
      </w:r>
      <w:r w:rsidR="00F01773">
        <w:fldChar w:fldCharType="end"/>
      </w:r>
      <w:r>
        <w:t>) should raise concerns about associated environmental impacts.</w:t>
      </w:r>
      <w:r w:rsidRPr="003A78AE">
        <w:t xml:space="preserve"> </w:t>
      </w:r>
      <w:r>
        <w:t xml:space="preserve">Since much of the potential gas development has not been realized, there are still significant opportunities to reduce future impacts through careful planning. </w:t>
      </w:r>
    </w:p>
    <w:p w:rsidR="00CC26EC" w:rsidRDefault="00F01773" w:rsidP="00857AFB">
      <w:pPr>
        <w:tabs>
          <w:tab w:val="left" w:pos="6000"/>
        </w:tabs>
        <w:ind w:firstLine="720"/>
      </w:pPr>
      <w:r>
        <w:rPr>
          <w:noProof/>
        </w:rPr>
        <w:pict>
          <v:shape id="_x0000_s1040" type="#_x0000_t202" style="position:absolute;left:0;text-align:left;margin-left:0;margin-top:0;width:6in;height:341pt;z-index:251645952;mso-position-horizontal:center;mso-position-horizontal-relative:margin;mso-position-vertical:top;mso-position-vertical-relative:margin" stroked="f">
            <v:textbox style="mso-next-textbox:#_x0000_s1040">
              <w:txbxContent>
                <w:p w:rsidR="006A45E8" w:rsidRDefault="006A45E8" w:rsidP="002447A6">
                  <w:pPr>
                    <w:keepNext/>
                  </w:pPr>
                  <w:r w:rsidRPr="002447A6">
                    <w:rPr>
                      <w:noProof/>
                    </w:rPr>
                    <w:drawing>
                      <wp:inline distT="0" distB="0" distL="0" distR="0">
                        <wp:extent cx="5284198" cy="3148149"/>
                        <wp:effectExtent l="19050" t="0" r="0" b="0"/>
                        <wp:docPr id="11" name="Picture 2" descr="F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tif"/>
                                <pic:cNvPicPr/>
                              </pic:nvPicPr>
                              <pic:blipFill>
                                <a:blip r:embed="rId48" cstate="print"/>
                                <a:stretch>
                                  <a:fillRect/>
                                </a:stretch>
                              </pic:blipFill>
                              <pic:spPr>
                                <a:xfrm>
                                  <a:off x="0" y="0"/>
                                  <a:ext cx="5284380" cy="3148258"/>
                                </a:xfrm>
                                <a:prstGeom prst="rect">
                                  <a:avLst/>
                                </a:prstGeom>
                              </pic:spPr>
                            </pic:pic>
                          </a:graphicData>
                        </a:graphic>
                      </wp:inline>
                    </w:drawing>
                  </w:r>
                </w:p>
                <w:p w:rsidR="006A45E8" w:rsidRPr="002B2090" w:rsidRDefault="006A45E8" w:rsidP="00ED1197">
                  <w:pPr>
                    <w:pStyle w:val="Caption"/>
                    <w:rPr>
                      <w:vanish/>
                      <w:lang w:val="en-GB"/>
                      <w:specVanish/>
                    </w:rPr>
                  </w:pPr>
                  <w:bookmarkStart w:id="73" w:name="_Ref417464500"/>
                  <w:bookmarkStart w:id="74" w:name="_Toc421352907"/>
                  <w:bookmarkStart w:id="75" w:name="_Toc417647066"/>
                  <w:proofErr w:type="gramStart"/>
                  <w:r w:rsidRPr="003A1E69">
                    <w:t>Fig.</w:t>
                  </w:r>
                  <w:proofErr w:type="gramEnd"/>
                  <w:r w:rsidRPr="003A1E69">
                    <w:t xml:space="preserve"> </w:t>
                  </w:r>
                  <w:fldSimple w:instr=" STYLEREF 1 \s ">
                    <w:r>
                      <w:rPr>
                        <w:noProof/>
                      </w:rPr>
                      <w:t>2</w:t>
                    </w:r>
                  </w:fldSimple>
                  <w:r>
                    <w:t>.</w:t>
                  </w:r>
                  <w:fldSimple w:instr=" SEQ Fig. \* ARABIC \s 1 ">
                    <w:r>
                      <w:rPr>
                        <w:noProof/>
                      </w:rPr>
                      <w:t>1</w:t>
                    </w:r>
                  </w:fldSimple>
                  <w:bookmarkEnd w:id="73"/>
                  <w:r w:rsidRPr="003A1E69">
                    <w:t>. Well pads (rectangular clearings), access roads (linear clearings in bottom-right), and gathering pipelines (other linear clearings)</w:t>
                  </w:r>
                  <w:bookmarkEnd w:id="74"/>
                  <w:r w:rsidRPr="00ED1197">
                    <w:rPr>
                      <w:vanish/>
                      <w:lang w:val="en-GB"/>
                      <w:specVanish/>
                    </w:rPr>
                    <w:t xml:space="preserve"> </w:t>
                  </w:r>
                </w:p>
                <w:p w:rsidR="006A45E8" w:rsidRPr="003A1E69" w:rsidRDefault="006A45E8" w:rsidP="003A1E69">
                  <w:pPr>
                    <w:pStyle w:val="Caption"/>
                  </w:pPr>
                  <w:r w:rsidRPr="003A1E69">
                    <w:t xml:space="preserve"> </w:t>
                  </w:r>
                  <w:proofErr w:type="gramStart"/>
                  <w:r w:rsidRPr="003A1E69">
                    <w:t>pose</w:t>
                  </w:r>
                  <w:proofErr w:type="gramEnd"/>
                  <w:r w:rsidRPr="003A1E69">
                    <w:t xml:space="preserve"> many impacts on habitats in the Marcellus formation, including forest and wetland loss and fragmentation, displacement of species of conservation concern, erosion, and freshwater sedimentation and fragmentation. Courtesy of M. Godfrey, </w:t>
                  </w:r>
                  <w:proofErr w:type="gramStart"/>
                  <w:r w:rsidRPr="003A1E69">
                    <w:t>The</w:t>
                  </w:r>
                  <w:proofErr w:type="gramEnd"/>
                  <w:r w:rsidRPr="003A1E69">
                    <w:t xml:space="preserve"> Nature Conservancy.</w:t>
                  </w:r>
                  <w:bookmarkEnd w:id="75"/>
                </w:p>
                <w:p w:rsidR="006A45E8" w:rsidRDefault="006A45E8"/>
              </w:txbxContent>
            </v:textbox>
            <w10:wrap type="square" anchorx="margin" anchory="margin"/>
          </v:shape>
        </w:pict>
      </w:r>
      <w:r w:rsidR="00CC26EC">
        <w:t xml:space="preserve">Terrestrial impacts resulting from the spatial locations of gas surface infrastructure are an understudied and important issue. Impacts occur at all stages of the development process, from pre-production through post-production </w:t>
      </w:r>
      <w:r>
        <w:fldChar w:fldCharType="begin" w:fldLock="1"/>
      </w:r>
      <w:r w:rsidR="00B32474">
        <w:instrText>ADDIN CSL_CITATION { "citationItems" : [ { "id" : "ITEM-1", "itemData" : { "DOI" : "10.1002/etc.2619", "ISSN" : "1552-8618", "abstract" : "\nUse of high-volume hydraulic fracturing (HVHF) in unconventional reservoirs to recover previously inaccessible oil and natural gas is rapidly expanding in North America and elsewhere. Although hydraulic fracturing has been practiced for decades, the advent of more technologically advanced horizontal drilling coupled with improved slickwater chemical formulations has allowed extensive natural gas and oil deposits to be recovered from shale formations. Millions of liters of local groundwaters are utilized to generate extensive fracture networks within these low-permeability reservoirs, allowing extraction of the trapped hydrocarbons. Although the technology is relatively standardized, the geographies and related policies and regulations guiding these operations vary markedly. Some ecosystems are more at risk from these operations than others because of either their sensitivities or the manner in which the HVHF operations are conducted. Generally, the closer geographical proximity of the susceptible ecosystem to a drilling site or a location of related industrial processes, the higher the risk of that ecosystem being impacted by the operation. The associated construction of roads, power grids, pipelines, well pads, and water-extraction systems along with increased truck traffic are common to virtually all HVHF operations. These operations may result in increased erosion and sedimentation, increased risk to aquatic ecosystems from chemical spills or runoff, habitat fragmentation, loss of stream riparian zones, altered biogeochemical cycling, and reduction of available surface and hyporheic water volumes because of withdrawal-induced lowering of local groundwater levels. The potential risks to surface waters from HVHF operations are similar in many ways to those resulting from agriculture, silviculture, mining, and urban development. Indeed, groundwater extraction associated with agriculture is perhaps a larger concern in the long term in some regions. Understanding the ecological impacts of these anthropogenic activities provides useful information for evaluations of potential HVHF hazards. Geographic information system\u2013based modeling combined with strategic site monitoring has provided insights into the relative importance of these and other ecoregion and land-use factors in discerning potential HVHF impacts. Recent findings suggest that proper siting and operational controls along with strategic monitoring can reduce the potential for risks to aquatic ec\u2026", "author" : [ { "dropping-particle" : "", "family" : "Burton", "given" : "G Allen", "non-dropping-particle" : "", "parse-names" : false, "suffix" : "" }, { "dropping-particle" : "", "family" : "Basu", "given" : "Niladri", "non-dropping-particle" : "", "parse-names" : false, "suffix" : "" }, { "dropping-particle" : "", "family" : "Ellis", "given" : "Brian R", "non-dropping-particle" : "", "parse-names" : false, "suffix" : "" }, { "dropping-particle" : "", "family" : "Kapo", "given" : "Katherine E", "non-dropping-particle" : "", "parse-names" : false, "suffix" : "" }, { "dropping-particle" : "", "family" : "Entrekin", "given" : "Sally", "non-dropping-particle" : "", "parse-names" : false, "suffix" : "" }, { "dropping-particle" : "", "family" : "Nadelhoffer", "given" : "Knute", "non-dropping-particle" : "", "parse-names" : false, "suffix" : "" } ], "container-title" : "Environmental Toxicology and Chemistry", "id" : "ITEM-1", "issue" : "8", "issued" : { "date-parts" : [ [ "2014" ] ] }, "page" : "1679-1689", "title" : "Hydraulic \u201cFracking\u201d: Are surface water impacts an ecological concern?", "type" : "article-journal", "volume" : "33" }, "uris" : [ "http://www.mendeley.com/documents/?uuid=809314bc-0bc3-4a06-a204-f2b9b60a2c0c" ] } ], "mendeley" : { "formattedCitation" : "(Burton &lt;i&gt;et al.&lt;/i&gt; 2014)", "plainTextFormattedCitation" : "(Burton et al. 2014)", "previouslyFormattedCitation" : "(Burton &lt;i&gt;et al.&lt;/i&gt; 2014)" }, "properties" : { "noteIndex" : 0 }, "schema" : "https://github.com/citation-style-language/schema/raw/master/csl-citation.json" }</w:instrText>
      </w:r>
      <w:r>
        <w:fldChar w:fldCharType="separate"/>
      </w:r>
      <w:r w:rsidR="00B32474" w:rsidRPr="00B32474">
        <w:rPr>
          <w:noProof/>
        </w:rPr>
        <w:t xml:space="preserve">(Burton </w:t>
      </w:r>
      <w:r w:rsidR="00B32474" w:rsidRPr="00B32474">
        <w:rPr>
          <w:i/>
          <w:noProof/>
        </w:rPr>
        <w:t>et al.</w:t>
      </w:r>
      <w:r w:rsidR="00B32474" w:rsidRPr="00B32474">
        <w:rPr>
          <w:noProof/>
        </w:rPr>
        <w:t xml:space="preserve"> 2014)</w:t>
      </w:r>
      <w:r>
        <w:fldChar w:fldCharType="end"/>
      </w:r>
      <w:r w:rsidR="00CC26EC">
        <w:t xml:space="preserve">. Here we focus exclusively on pre-production activities and specifically the construction of well pads, access roads, and gathering pipelines, the impacts of which may play out at different rates and spatial extents. The magnitudes and types of impacts change from stage to stage, but it is clear that site construction incurs the most direct and thus quantifiable land use changes, which here are our focus. To date, most attention has been given to groundwater,  surface water, and air quality </w:t>
      </w:r>
      <w:r>
        <w:fldChar w:fldCharType="begin" w:fldLock="1"/>
      </w:r>
      <w:r w:rsidR="00B32474">
        <w:instrText>ADDIN CSL_CITATION { "citationItems" : [ { "id" : "ITEM-1", "itemData" : { "DOI" : "10.1038/477271a", "author" : [ { "dropping-particle" : "", "family" : "Howarth", "given" : "Robert W.", "non-dropping-particle" : "", "parse-names" : false, "suffix" : "" }, { "dropping-particle" : "", "family" : "Ingraffea", "given" : "Anthony", "non-dropping-particle" : "", "parse-names" : false, "suffix" : "" }, { "dropping-particle" : "", "family" : "Engelder", "given" : "Terry", "non-dropping-particle" : "", "parse-names" : false, "suffix" : "" } ], "container-title" : "Nature", "id" : "ITEM-1", "issue" : "7364", "issued" : { "date-parts" : [ [ "2011" ] ] }, "page" : "271-275", "title" : "Natural gas: Should fracking stop?", "type" : "article-journal", "volume" : "477" }, "uris" : [ "http://www.mendeley.com/documents/?uuid=f4d23f62-f79f-4b0a-b78d-09153c51f6ad" ] }, { "id" : "ITEM-2", "itemData" : { "DOI" : "10.1890/110053", "ISSN" : "1540-9295", "abstract" : "Extraction of natural gas from hard-to-reach reservoirs has expanded around the world and poses multiple environmental threats to surface waters. Improved drilling and extraction technology used to access low permeability natural gas requires millions of liters of water and a suite of chemicals that may be toxic to aquatic biota. There is growing concern among the scientific community and the general public that rapid and extensive natural gas development in the US could lead to degradation of natural resources. Gas wells are often close to surface waters that could be impacted by elevated sediment runoff from pipelines and roads, alteration of streamflow as a result of water extraction, and contamination from introduced chemicals or the resulting wastewater. However, the data required to fully understand these potential threats are currently lacking. Scientists therefore need to study the changes in ecosystem structure and function caused by natural gas extraction and to use such data to inform sound env...", "author" : [ { "dropping-particle" : "", "family" : "Entrekin", "given" : "Sally", "non-dropping-particle" : "", "parse-names" : false, "suffix" : "" }, { "dropping-particle" : "", "family" : "Evans-White", "given" : "Michelle", "non-dropping-particle" : "", "parse-names" : false, "suffix" : "" }, { "dropping-particle" : "", "family" : "Johnson", "given" : "Brent", "non-dropping-particle" : "", "parse-names" : false, "suffix" : "" }, { "dropping-particle" : "", "family" : "Hagenbuch", "given" : "Elisabeth", "non-dropping-particle" : "", "parse-names" : false, "suffix" : "" } ], "container-title" : "Frontiers in Ecology and the Environment", "id" : "ITEM-2", "issue" : "9", "issued" : { "date-parts" : [ [ "2011", "11", "1" ] ] }, "language" : "EN", "note" : "natural gas surface impacts concerns about freshwater impacts", "page" : "503-511", "publisher" : "Ecological Society of America", "title" : "Rapid expansion of natural gas development poses a threat to surface waters", "type" : "article-journal", "volume" : "9" }, "uris" : [ "http://www.mendeley.com/documents/?uuid=add5b6ae-69a3-4c23-be75-a953d075e074" ] }, { "id" : "ITEM-3", "itemData" : { "ISSN" : "1466-0474", "author" : [ { "dropping-particle" : "", "family" : "Smith", "given" : "David R.", "non-dropping-particle" : "", "parse-names" : false, "suffix" : "" }, { "dropping-particle" : "", "family" : "Snyder", "given" : "Craig D.", "non-dropping-particle" : "", "parse-names" : false, "suffix" : "" }, { "dropping-particle" : "", "family" : "Hitt", "given" : "Nathaniel P.", "non-dropping-particle" : "", "parse-names" : false, "suffix" : "" }, { "dropping-particle" : "", "family" : "Young", "given" : "John A.", "non-dropping-particle" : "", "parse-names" : false, "suffix" : "" }, { "dropping-particle" : "", "family" : "Faulkner", "given" : "Stephen P.", "non-dropping-particle" : "", "parse-names" : false, "suffix" : "" } ], "container-title" : "Environmental Practice", "id" : "ITEM-3", "issue" : "04", "issued" : { "date-parts" : [ [ "2012" ] ] }, "language" : "English", "page" : "366-381", "title" : "Shale Gas Development and Brook Trout: Scaling Best Management Practices to Anticipate Cumulative Effects", "type" : "article-journal", "volume" : "14" }, "uris" : [ "http://www.mendeley.com/documents/?uuid=b557197d-759e-4f12-a284-1e34d9ad9a78" ] }, { "id" : "ITEM-4", "itemData" : { "ISBN" : "1466046612000", "ISSN" : "1466-0474", "abstract" : "The development of large-scale shale gas production has been described as a game-changer for the US energy market and has generated interest in expanding the use of natural gas in sectors such as electricity generation and transportation. This development has been made possible by improvements in drilling technologies\u2014specifically utilizing hydraulic fractur- ing in conjunction with horizontal drilling\u2014that have en- abled the production of natural gas from unconventional formations. However, the environmental implications of nat- ural gas production and its use have been called into question. Environmental impacts associated with shale gas develop- ment can occur at the global and local levels and include impacts to climate, local air quality, water availability, water quality, seismic events, and the local community.Avariety of technologies and practices are available to operators to re- duce these impacts. Policies are currently under development at the federal, state, and local level to mitigate environmental impacts. In this document, we discuss the technologies in- volved in shale gas production, the potential abiotic impacts of shale gas production with an emphasis on air and water issues, and the practices and policies currently being devel- oped and implemented to mitigate these impacts.", "author" : [ { "dropping-particle" : "", "family" : "Clark", "given" : "Corrie E.", "non-dropping-particle" : "", "parse-names" : false, "suffix" : "" }, { "dropping-particle" : "", "family" : "Burnham", "given" : "Andrew J.", "non-dropping-particle" : "", "parse-names" : false, "suffix" : "" }, { "dropping-particle" : "", "family" : "Harto", "given" : "Christopher B.", "non-dropping-particle" : "", "parse-names" : false, "suffix" : "" }, { "dropping-particle" : "", "family" : "Horner", "given" : "Robert M.", "non-dropping-particle" : "", "parse-names" : false, "suffix" : "" } ], "container-title" : "Environmental Practice", "id" : "ITEM-4", "issue" : "4", "issued" : { "date-parts" : [ [ "2012" ] ] }, "language" : "English", "page" : "249-261", "title" : "The Technology and Policy of Hydraulic Fracturing and Potential Environmental Impacts of Shale Gas Development", "type" : "article-journal", "volume" : "14" }, "uris" : [ "http://www.mendeley.com/documents/?uuid=bf265849-ec46-4a1d-8ca0-4ade7bb894b6" ] }, { "id" : "ITEM-5", "itemData" : { "DOI" : "10.1073/pnas.1213871110", "ISSN" : "1091-6490", "PMID" : "23479604", "abstract" : "Concern has been raised in the scientific literature about the environmental implications of extracting natural gas from deep shale formations, and published studies suggest that shale gas development may affect local groundwater quality. The potential for surface water quality degradation has been discussed in prior work, although no empirical analysis of this issue has been published. The potential for large-scale surface water quality degradation has affected regulatory approaches to shale gas development in some US states, despite the dearth of evidence. This paper conducts a large-scale examination of the extent to which shale gas development activities affect surface water quality. Focusing on the Marcellus Shale in Pennsylvania, we estimate the effect of shale gas wells and the release of treated shale gas waste by permitted treatment facilities on observed downstream concentrations of chloride (Cl-) and total suspended solids (TSS), controlling for other factors. Results suggest that (i) the treatment of shale gas waste by treatment plants in a watershed raises downstream Cl- concentrations but not TSS concentrations, and (ii) the presence of shale gas wells in a watershed raises downstream TSS concentrations but not Cl- concentrations. These results can inform future voluntary measures taken by shale gas operators and policy approaches taken by regulators to protect surface water quality as the scale of this economically important activity increases.", "author" : [ { "dropping-particle" : "", "family" : "Olmstead", "given" : "Sheila M", "non-dropping-particle" : "", "parse-names" : false, "suffix" : "" }, { "dropping-particle" : "", "family" : "Muehlenbachs", "given" : "Lucija A", "non-dropping-particle" : "", "parse-names" : false, "suffix" : "" }, { "dropping-particle" : "", "family" : "Shih", "given" : "Jhih-Shyang", "non-dropping-particle" : "", "parse-names" : false, "suffix" : "" }, { "dropping-particle" : "", "family" : "Chu", "given" : "Ziyan", "non-dropping-particle" : "", "parse-names" : false, "suffix" : "" }, { "dropping-particle" : "", "family" : "Krupnick", "given" : "Alan J", "non-dropping-particle" : "", "parse-names" : false, "suffix" : "" } ], "container-title" : "Proceedings of the National Academy of Sciences of the United States of America", "id" : "ITEM-5", "issue" : "13", "issued" : { "date-parts" : [ [ "2013", "3", "11" ] ] }, "note" : "changes in surface water quality indicators downstream from natural gas effluent processing plants", "page" : "4962-4967", "title" : "Shale gas development impacts on surface water quality in Pennsylvania.", "type" : "article-journal", "volume" : "110" }, "uris" : [ "http://www.mendeley.com/documents/?uuid=0c80d11c-a4bb-4381-b8da-a8af8c809bd2" ] } ], "mendeley" : { "formattedCitation" : "(Howarth, Ingraffea &amp; Engelder 2011; Entrekin &lt;i&gt;et al.&lt;/i&gt; 2011; Clark &lt;i&gt;et al.&lt;/i&gt; 2012; Smith &lt;i&gt;et al.&lt;/i&gt; 2012; Olmstead &lt;i&gt;et al.&lt;/i&gt; 2013)", "plainTextFormattedCitation" : "(Howarth, Ingraffea &amp; Engelder 2011; Entrekin et al. 2011; Clark et al. 2012; Smith et al. 2012; Olmstead et al. 2013)", "previouslyFormattedCitation" : "(Howarth, Ingraffea &amp; Engelder 2011; Entrekin &lt;i&gt;et al.&lt;/i&gt; 2011; Clark &lt;i&gt;et al.&lt;/i&gt; 2012; Smith &lt;i&gt;et al.&lt;/i&gt; 2012; Olmstead &lt;i&gt;et al.&lt;/i&gt; 2013)" }, "properties" : { "noteIndex" : 0 }, "schema" : "https://github.com/citation-style-language/schema/raw/master/csl-citation.json" }</w:instrText>
      </w:r>
      <w:r>
        <w:fldChar w:fldCharType="separate"/>
      </w:r>
      <w:r w:rsidR="00B32474" w:rsidRPr="00B32474">
        <w:rPr>
          <w:noProof/>
          <w:lang w:val="fr-FR"/>
        </w:rPr>
        <w:t xml:space="preserve">(Howarth, Ingraffea </w:t>
      </w:r>
      <w:r w:rsidR="00B32474" w:rsidRPr="00B32474">
        <w:rPr>
          <w:noProof/>
          <w:lang w:val="fr-FR"/>
        </w:rPr>
        <w:lastRenderedPageBreak/>
        <w:t xml:space="preserve">&amp; Engelder 2011; Entrekin </w:t>
      </w:r>
      <w:r w:rsidR="00B32474" w:rsidRPr="00B32474">
        <w:rPr>
          <w:i/>
          <w:noProof/>
          <w:lang w:val="fr-FR"/>
        </w:rPr>
        <w:t>et al.</w:t>
      </w:r>
      <w:r w:rsidR="00B32474" w:rsidRPr="00B32474">
        <w:rPr>
          <w:noProof/>
          <w:lang w:val="fr-FR"/>
        </w:rPr>
        <w:t xml:space="preserve"> 2011; Clark </w:t>
      </w:r>
      <w:r w:rsidR="00B32474" w:rsidRPr="00B32474">
        <w:rPr>
          <w:i/>
          <w:noProof/>
          <w:lang w:val="fr-FR"/>
        </w:rPr>
        <w:t>et al.</w:t>
      </w:r>
      <w:r w:rsidR="00B32474" w:rsidRPr="00B32474">
        <w:rPr>
          <w:noProof/>
          <w:lang w:val="fr-FR"/>
        </w:rPr>
        <w:t xml:space="preserve"> 2012; Smith </w:t>
      </w:r>
      <w:r w:rsidR="00B32474" w:rsidRPr="00B32474">
        <w:rPr>
          <w:i/>
          <w:noProof/>
          <w:lang w:val="fr-FR"/>
        </w:rPr>
        <w:t>et al.</w:t>
      </w:r>
      <w:r w:rsidR="00B32474" w:rsidRPr="00B32474">
        <w:rPr>
          <w:noProof/>
          <w:lang w:val="fr-FR"/>
        </w:rPr>
        <w:t xml:space="preserve"> 2012; Olmstead </w:t>
      </w:r>
      <w:r w:rsidR="00B32474" w:rsidRPr="00B32474">
        <w:rPr>
          <w:i/>
          <w:noProof/>
          <w:lang w:val="fr-FR"/>
        </w:rPr>
        <w:t>et al.</w:t>
      </w:r>
      <w:r w:rsidR="00B32474" w:rsidRPr="00B32474">
        <w:rPr>
          <w:noProof/>
          <w:lang w:val="fr-FR"/>
        </w:rPr>
        <w:t xml:space="preserve"> 2013)</w:t>
      </w:r>
      <w:r>
        <w:fldChar w:fldCharType="end"/>
      </w:r>
      <w:r w:rsidR="00CC26EC" w:rsidRPr="00642F50">
        <w:rPr>
          <w:lang w:val="fr-FR"/>
        </w:rPr>
        <w:t xml:space="preserve">. </w:t>
      </w:r>
      <w:r w:rsidR="00CC26EC" w:rsidRPr="00AD4A6F">
        <w:t>Attention to surface impacts has been less common, but is growing</w:t>
      </w:r>
      <w:r w:rsidR="00CC26EC">
        <w:t xml:space="preserve"> </w:t>
      </w:r>
      <w:r>
        <w:fldChar w:fldCharType="begin" w:fldLock="1"/>
      </w:r>
      <w:r w:rsidR="00B32474">
        <w:instrText>ADDIN CSL_CITATION { "citationItems" : [ { "id" : "ITEM-1", "itemData" : { "abstract" : "Increased demands for cleaner burning energy, coupled with the relatively recent technological advances in accessing unconventional hydrocarbon-rich geologic formations, led to an intense effort to find and extract natural gas from various underground sources around the country. One of these sources, the Marcellus Shale, located in the Allegheny Plateau, is undergoing extensive drilling and production. The technology used to extract gas in the Marcellus Shale is known as hydraulic fracturing and has garnered much attention because of its use of large amounts of fresh water, its use of proprietary fluids for the hydraulic-fracturing process, its potential to release contaminants into the environment, and its potential effect on water resources. Nonetheless, development of natural gas extraction wells in the Marcellus Shale is only part of the overall natural gas story in the area of Pennsylvania. Coalbed methane, which is sometimes extracted using the same technique, is often located in the same general area as the Marcellus Shale and is frequently developed in clusters across the landscape. The combined effects of these two natural gas extraction methods create potentially serious patterns of disturbance on the landscape. This document quantifies the landscape changes and consequences of natural gas extraction for Bradford County and Washington County, Pennsylvania, between 2004 and 2010. Patterns of landscape disturbance related to natural gas extraction activities were collected and digitized using National Agriculture Imagery Program (NAIP) imagery for 2004, 2005/2006, 2008, and 2010. The disturbance patterns were then used to measure changes in land cover and land use using the National Land Cover Database (NLCD) of 2001. A series of landscape metrics is used to quantify these changes and are included in this publication.", "author" : [ { "dropping-particle" : "", "family" : "Slonecker", "given" : "E.T.", "non-dropping-particle" : "", "parse-names" : false, "suffix" : "" }, { "dropping-particle" : "", "family" : "Milheim", "given" : "L.E.", "non-dropping-particle" : "", "parse-names" : false, "suffix" : "" }, { "dropping-particle" : "", "family" : "Roig-Silva", "given" : "C.M.", "non-dropping-particle" : "", "parse-names" : false, "suffix" : "" }, { "dropping-particle" : "", "family" : "Malizia", "given" : "A.R.", "non-dropping-particle" : "", "parse-names" : false, "suffix" : "" }, { "dropping-particle" : "", "family" : "Marr", "given" : "D.A.", "non-dropping-particle" : "", "parse-names" : false, "suffix" : "" }, { "dropping-particle" : "", "family" : "Fisher", "given" : "G.B.", "non-dropping-particle" : "", "parse-names" : false, "suffix" : "" } ], "id" : "ITEM-1", "issued" : { "date-parts" : [ [ "2012" ] ] }, "title" : "Landscape Consequences of Natural Gas Extraction in Bradford and Washington Counties , Pennsylvania , 2004 \u2013 2010", "type" : "report" }, "uris" : [ "http://www.mendeley.com/documents/?uuid=cb8fc085-c9cc-474a-8283-1918688a7b2d" ] }, { "id" : "ITEM-2", "itemData" : { "ISBN" : "0482217022", "author" : [ { "dropping-particle" : "", "family" : "Davis", "given" : "John B", "non-dropping-particle" : "", "parse-names" : false, "suffix" : "" }, { "dropping-particle" : "", "family" : "Robinson", "given" : "George R", "non-dropping-particle" : "", "parse-names" : false, "suffix" : "" } ], "container-title" : "Ecology and Society", "id" : "ITEM-2", "issue" : "2", "issued" : { "date-parts" : [ [ "2012" ] ] }, "title" : "A Geographic Model to Assess and Limit Cumulative Ecological Degradation from Marcellus Shale Exploitation in New York , USA", "type" : "article-journal", "volume" : "17" }, "uris" : [ "http://www.mendeley.com/documents/?uuid=330fe791-05c5-4f1e-a627-ebd1de9bbe8e" ] }, { "id" : "ITEM-3", "itemData" : { "author" : [ { "dropping-particle" : "", "family" : "Johnson", "given" : "Nels", "non-dropping-particle" : "", "parse-names" : false, "suffix" : "" }, { "dropping-particle" : "", "family" : "Gagnolet", "given" : "Tamara", "non-dropping-particle" : "", "parse-names" : false, "suffix" : "" }, { "dropping-particle" : "", "family" : "Ralls", "given" : "Rachel", "non-dropping-particle" : "", "parse-names" : false, "suffix" : "" }, { "dropping-particle" : "", "family" : "Zimmerman", "given" : "Ephraim", "non-dropping-particle" : "", "parse-names" : false, "suffix" : "" }, { "dropping-particle" : "", "family" : "Eichelberger", "given" : "B.", "non-dropping-particle" : "", "parse-names" : false, "suffix" : "" }, { "dropping-particle" : "", "family" : "Tracey", "given" : "C.", "non-dropping-particle" : "", "parse-names" : false, "suffix" : "" }, { "dropping-particle" : "", "family" : "Kreitler", "given" : "G.", "non-dropping-particle" : "", "parse-names" : false, "suffix" : "" }, { "dropping-particle" : "", "family" : "Orndorff", "given" : "S.", "non-dropping-particle" : "", "parse-names" : false, "suffix" : "" }, { "dropping-particle" : "", "family" : "Tomlinson", "given" : "J.", "non-dropping-particle" : "", "parse-names" : false, "suffix" : "" }, { "dropping-particle" : "", "family" : "Bearer", "given" : "S.", "non-dropping-particle" : "", "parse-names" : false, "suffix" : "" }, { "dropping-particle" : "", "family" : "Sargent", "given" : "S", "non-dropping-particle" : "", "parse-names" : false, "suffix" : "" } ], "id" : "ITEM-3", "issued" : { "date-parts" : [ [ "2010" ] ] }, "publisher-place" : "Harrisburg, PA", "title" : "Pennsylvania Energy Impacts Assessment", "type" : "report" }, "uris" : [ "http://www.mendeley.com/documents/?uuid=d0e7d30a-ed7f-4214-8eae-c6090942392a" ] }, { "id" : "ITEM-4", "itemData" : { "DOI" : "10.1007/s00267-012-9841-6", "ISBN" : "0026701298416", "ISSN" : "1432-1009", "PMID" : "22447181", "abstract" : "Worldwide shale-gas development has the potential to cause substantial landscape disturbance. The northeastern U.S., specifically the Allegheny Plateau in Pennsylvania, West Virginia, Ohio, and Kentucky, is experiencing rapid exploration. Using Pennsylvania as a proxy for regional development across the Plateau, we examine land cover change due to shale-gas exploration, with emphasis on forest fragmentation. Pennsylvania's shale-gas development is greatest on private land, and is dominated by pads with 1-2 wells; less than 10 % of pads have five wells or more. Approximately 45-62 % of pads occur on agricultural land and 38-54 % in forest land (many in core forest on private land). Development of permits granted as of June 3, 2011, would convert at least 644-1072 ha of agricultural land and 536-894 ha of forest land. Agricultural land conversion suggests that drilling is somewhat competing with food production. Accounting for existing pads and development of all permits would result in at least 649 km of new road, which, along with pipelines, would fragment forest cover. The Susquehanna River basin (feeding the Chesapeake Bay), is most developed, with 885 pads (26 % in core forest); permit data suggests the basin will experience continued heavy development. The intensity of core forest disturbance, where many headwater streams occur, suggests that such streams should become a focus of aquatic monitoring. Given the intense development on private lands, we believe a regional strategy is needed to help guide infrastructure development, so that habitat loss, farmland conversion, and the risk to waterways are better managed.", "author" : [ { "dropping-particle" : "", "family" : "Drohan", "given" : "P J", "non-dropping-particle" : "", "parse-names" : false, "suffix" : "" }, { "dropping-particle" : "", "family" : "Brittingham", "given" : "M", "non-dropping-particle" : "", "parse-names" : false, "suffix" : "" }, { "dropping-particle" : "", "family" : "Bishop", "given" : "J", "non-dropping-particle" : "", "parse-names" : false, "suffix" : "" }, { "dropping-particle" : "", "family" : "Yoder", "given" : "K", "non-dropping-particle" : "", "parse-names" : false, "suffix" : "" } ], "container-title" : "Environmental Management", "id" : "ITEM-4", "issue" : "5", "issued" : { "date-parts" : [ [ "2012", "5" ] ] }, "page" : "1-15", "title" : "Early trends in landcover change and forest fragmentation due to shale-gas development in Pennsylvania: a potential outcome for the Northcentral Appalachians.", "type" : "article-journal", "volume" : "49" }, "uris" : [ "http://www.mendeley.com/documents/?uuid=fcd66b0e-9517-4a98-89ca-751959c60125" ] }, { "id" : "ITEM-5", "itemData" : { "DOI" : "10.1371/journal.pone.0089210", "abstract" : "Global demand for energy has increased by more than 50 percent in the last half-century, and a similar increase is projected by 2030. This demand will increasingly be met with alternative and unconventional energy sources. Development of these resources causes disturbances that strongly impact terrestrial and freshwater ecosystems. The Marcellus Shale gas play covers more than 160,934 km2 in an area that provides drinking water for over 22 million people in several of the largest metropolitan areas in the United States (e.g. New York City, Washington DC, Philadelphia &amp; Pittsburgh). Here we created probability surfaces representing development potential of wind and shale gas for portions of six states in the Central Appalachians. We used these predictions and published projections to model future energy build-out scenarios to quantify future potential impacts on surface drinking water. Our analysis predicts up to 106,004 new wells and 10,798 new wind turbines resulting up to 535,023 ha of impervious surface (3% of the study area) and upwards of 447,134 ha of impacted forest (2% of the study area). In light of this new energy future, mitigating the impacts of energy development will be one of the major challenges in the coming decades.", "author" : [ { "dropping-particle" : "", "family" : "Evans", "given" : "Jeffrey S", "non-dropping-particle" : "", "parse-names" : false, "suffix" : "" }, { "dropping-particle" : "", "family" : "Kiesecker", "given" : "Joseph M", "non-dropping-particle" : "", "parse-names" : false, "suffix" : "" } ], "container-title" : "PLoS ONE", "id" : "ITEM-5", "issue" : "2", "issued" : { "date-parts" : [ [ "2014" ] ] }, "page" : "e89210", "publisher" : "Public Library of Science", "title" : "Shale Gas, Wind and Water: Assessing the Potential Cumulative Impacts of Energy Development on Ecosystem Services within the Marcellus Play", "type" : "article-journal", "volume" : "9" }, "uris" : [ "http://www.mendeley.com/documents/?uuid=34501585-0cb4-4175-9e48-572eb514f0bb" ] } ], "mendeley" : { "formattedCitation" : "(Johnson &lt;i&gt;et al.&lt;/i&gt; 2010; Davis &amp; Robinson 2012; Slonecker &lt;i&gt;et al.&lt;/i&gt; 2012; Drohan &lt;i&gt;et al.&lt;/i&gt; 2012; Evans &amp; Kiesecker 2014)", "plainTextFormattedCitation" : "(Johnson et al. 2010; Davis &amp; Robinson 2012; Slonecker et al. 2012; Drohan et al. 2012; Evans &amp; Kiesecker 2014)", "previouslyFormattedCitation" : "(Johnson &lt;i&gt;et al.&lt;/i&gt; 2010; Davis &amp; Robinson 2012; Slonecker &lt;i&gt;et al.&lt;/i&gt; 2012; Drohan &lt;i&gt;et al.&lt;/i&gt; 2012; Evans &amp; Kiesecker 2014)" }, "properties" : { "noteIndex" : 0 }, "schema" : "https://github.com/citation-style-language/schema/raw/master/csl-citation.json" }</w:instrText>
      </w:r>
      <w:r>
        <w:fldChar w:fldCharType="separate"/>
      </w:r>
      <w:r w:rsidR="00B32474" w:rsidRPr="00B32474">
        <w:rPr>
          <w:noProof/>
        </w:rPr>
        <w:t xml:space="preserve">(Johnson </w:t>
      </w:r>
      <w:r w:rsidR="00B32474" w:rsidRPr="00B32474">
        <w:rPr>
          <w:i/>
          <w:noProof/>
        </w:rPr>
        <w:t>et al.</w:t>
      </w:r>
      <w:r w:rsidR="00B32474" w:rsidRPr="00B32474">
        <w:rPr>
          <w:noProof/>
        </w:rPr>
        <w:t xml:space="preserve"> 2010; Davis &amp; Robinson 2012; Slonecker </w:t>
      </w:r>
      <w:r w:rsidR="00B32474" w:rsidRPr="00B32474">
        <w:rPr>
          <w:i/>
          <w:noProof/>
        </w:rPr>
        <w:t>et al.</w:t>
      </w:r>
      <w:r w:rsidR="00B32474" w:rsidRPr="00B32474">
        <w:rPr>
          <w:noProof/>
        </w:rPr>
        <w:t xml:space="preserve"> 2012; Drohan </w:t>
      </w:r>
      <w:r w:rsidR="00B32474" w:rsidRPr="00B32474">
        <w:rPr>
          <w:i/>
          <w:noProof/>
        </w:rPr>
        <w:t>et al.</w:t>
      </w:r>
      <w:r w:rsidR="00B32474" w:rsidRPr="00B32474">
        <w:rPr>
          <w:noProof/>
        </w:rPr>
        <w:t xml:space="preserve"> 2012; Evans &amp; Kiesecker 2014)</w:t>
      </w:r>
      <w:r>
        <w:fldChar w:fldCharType="end"/>
      </w:r>
      <w:r w:rsidR="00CC26EC">
        <w:t>. Because the Marcellus shale formation is roughly uniform within a development site (</w:t>
      </w:r>
      <w:r>
        <w:fldChar w:fldCharType="begin"/>
      </w:r>
      <w:r w:rsidR="00285ECF">
        <w:instrText xml:space="preserve"> REF _Ref417464536 \h </w:instrText>
      </w:r>
      <w:r>
        <w:fldChar w:fldCharType="separate"/>
      </w:r>
      <w:r w:rsidR="00867AA7" w:rsidRPr="00C04103">
        <w:t xml:space="preserve">Fig. S </w:t>
      </w:r>
      <w:r w:rsidR="00867AA7">
        <w:rPr>
          <w:noProof/>
        </w:rPr>
        <w:t>2</w:t>
      </w:r>
      <w:r w:rsidR="00867AA7">
        <w:t>.</w:t>
      </w:r>
      <w:r w:rsidR="00867AA7">
        <w:rPr>
          <w:noProof/>
        </w:rPr>
        <w:t>1</w:t>
      </w:r>
      <w:r>
        <w:fldChar w:fldCharType="end"/>
      </w:r>
      <w:r w:rsidR="00857AFB">
        <w:t xml:space="preserve"> in Appendix</w:t>
      </w:r>
      <w:r w:rsidR="00CC26EC">
        <w:t>) and because horizontal drilling allows for many wells per pad, shale gas surface infrastructure in the Appalachian region can be evenly spaced and of low density. As such, terrestrial impacts from surface infrastructure are similar to low-density, rural housing development. Like houses, well pads are spaced hundreds of meters apart and connected by gravel roads (</w:t>
      </w:r>
      <w:r>
        <w:fldChar w:fldCharType="begin"/>
      </w:r>
      <w:r w:rsidR="00285ECF">
        <w:instrText xml:space="preserve"> REF _Ref417464500 \h </w:instrText>
      </w:r>
      <w:r>
        <w:fldChar w:fldCharType="separate"/>
      </w:r>
      <w:r w:rsidR="00867AA7" w:rsidRPr="003A1E69">
        <w:t xml:space="preserve">Fig. </w:t>
      </w:r>
      <w:r w:rsidR="00867AA7">
        <w:rPr>
          <w:noProof/>
        </w:rPr>
        <w:t>2</w:t>
      </w:r>
      <w:r w:rsidR="00867AA7">
        <w:t>.</w:t>
      </w:r>
      <w:r w:rsidR="00867AA7">
        <w:rPr>
          <w:noProof/>
        </w:rPr>
        <w:t>1</w:t>
      </w:r>
      <w:r>
        <w:fldChar w:fldCharType="end"/>
      </w:r>
      <w:r w:rsidR="00CC26EC">
        <w:t>). Pipeline corridors are similar in width and surface maintenance requirements to underground electric transmission corridors. During construction, drilling, and hydraulic fracturing, gas development may have much larger cumulative impacts than other types of  development because of high-traffic trucking of materials, the size of temporary well pad staging areas, and the intensity of drilling noise and light.</w:t>
      </w:r>
    </w:p>
    <w:p w:rsidR="00CC26EC" w:rsidRDefault="00CC26EC" w:rsidP="00CC26EC">
      <w:pPr>
        <w:ind w:firstLine="720"/>
      </w:pPr>
      <w:r>
        <w:t xml:space="preserve">Much of shale gas development is occurring in areas of high biological diversity  </w:t>
      </w:r>
      <w:r w:rsidR="00F01773">
        <w:fldChar w:fldCharType="begin" w:fldLock="1"/>
      </w:r>
      <w:r w:rsidR="00B32474">
        <w:instrText>ADDIN CSL_CITATION { "citationItems" : [ { "id" : "ITEM-1", "itemData" : { "DOI" : "10.1111/nyas.12146", "ISSN" : "1749-6632", "abstract" : "High-volume horizontal hydraulic fracturing (HVHHF) for mining natural gas from the Marcellus and Utica shales is widespread in Pennsylvania and potentially throughout approximately 280,000 km2 of the Appalachian Basin. Physical and chemical impacts of HVHHF include pollution by toxic synthetic chemicals, salt, and radionuclides, landscape fragmentation by wellpads, pipelines, and roads, alteration of stream and wetland hydrology, and increased truck traffic. Despite concerns about human health, there has been little study of the impacts on habitats and biota. Taxa and guilds potentially sensitive to HVHHF impacts include freshwater organisms (e.g., brook trout, freshwater mussels), fragmentation-sensitive biota (e.g., forest-interior breeding birds, forest orchids), and species with restricted geographic ranges (e.g., Wehrle's salamander, tongue-tied minnow). Impacts are potentially serious due to the rapid development of HVHHF over a large region.", "author" : [ { "dropping-particle" : "", "family" : "Kiviat", "given" : "Erik", "non-dropping-particle" : "", "parse-names" : false, "suffix" : "" } ], "container-title" : "Annals of the New York Academy of Sciences", "id" : "ITEM-1", "issue" : "1", "issued" : { "date-parts" : [ [ "2013" ] ] }, "page" : "1-14", "title" : "Risks to biodiversity from hydraulic fracturing for natural gas in the Marcellus and Utica shales", "type" : "article-journal", "volume" : "1286" }, "uris" : [ "http://www.mendeley.com/documents/?uuid=de072248-90b3-4eb0-950e-36ff3daf88dc" ] }, { "id" : "ITEM-2", "itemData" : { "ISBN" : "1466046612000", "ISSN" : "1466-0474", "author" : [ { "dropping-particle" : "", "family" : "Gillen", "given" : "Jennifer L.", "non-dropping-particle" : "", "parse-names" : false, "suffix" : "" }, { "dropping-particle" : "", "family" : "Kiviat", "given" : "Erik", "non-dropping-particle" : "", "parse-names" : false, "suffix" : "" } ], "container-title" : "Environmental Practice", "id" : "ITEM-2", "issue" : "04", "issued" : { "date-parts" : [ [ "2012" ] ] }, "language" : "English", "note" : "From Duplicate 2 ( ENVIRONMENTAL REVIEWS AND CASE STUDIES: Hydraulic Fracturing Threats to Species with Restricted Geographic Ranges in the Eastern United States - Gillen, Jennifer L.; Kiviat, Erik )", "page" : "320-331", "title" : "Hydraulic Fracturing Threats to Species with Restricted Geographic Ranges in the Eastern United States", "type" : "article-journal", "volume" : "14" }, "uris" : [ "http://www.mendeley.com/documents/?uuid=874a42d1-98bc-4ac3-a0a9-fab25e078d12" ] } ], "mendeley" : { "formattedCitation" : "(Gillen &amp; Kiviat 2012; Kiviat 2013)", "plainTextFormattedCitation" : "(Gillen &amp; Kiviat 2012; Kiviat 2013)", "previouslyFormattedCitation" : "(Gillen &amp; Kiviat 2012; Kiviat 2013)" }, "properties" : { "noteIndex" : 0 }, "schema" : "https://github.com/citation-style-language/schema/raw/master/csl-citation.json" }</w:instrText>
      </w:r>
      <w:r w:rsidR="00F01773">
        <w:fldChar w:fldCharType="separate"/>
      </w:r>
      <w:r w:rsidR="00B32474" w:rsidRPr="00B32474">
        <w:rPr>
          <w:noProof/>
        </w:rPr>
        <w:t>(Gillen &amp; Kiviat 2012; Kiviat 2013)</w:t>
      </w:r>
      <w:r w:rsidR="00F01773">
        <w:fldChar w:fldCharType="end"/>
      </w:r>
      <w:r>
        <w:t xml:space="preserve">. In the Central Appalachian region, especially Pennsylvania, there are large areas of relatively intact forest on protected and unprotected lands. As of late 2013, 32% of state-owned public land area in Pennsylvania host well permits </w:t>
      </w:r>
      <w:r w:rsidR="00F01773">
        <w:fldChar w:fldCharType="begin" w:fldLock="1"/>
      </w:r>
      <w:r>
        <w:instrText>ADDIN CSL_CITATION { "citationItems" : [ { "id" : "ITEM-1", "itemData" : { "author" : [ { "dropping-particle" : "", "family" : "Whitacre", "given" : "J.", "non-dropping-particle" : "", "parse-names" : false, "suffix" : "" } ], "id" : "ITEM-1", "issued" : { "date-parts" : [ [ "2014" ] ] }, "number" : "2012.12", "publisher" : "Carnegie Museum of Natural History", "publisher-place" : "Pittsburgh, PA", "title" : "Carnegie Museum of Natural History Pennsylvania Unconventional Natural Gas Wells Geodatabase", "type" : "article" }, "uris" : [ "http://www.mendeley.com/documents/?uuid=75c3e346-dbe7-4790-b219-cd9a258d0b41" ] } ], "mendeley" : { "formattedCitation" : "(Whitacre 2014)", "plainTextFormattedCitation" : "(Whitacre 2014)", "previouslyFormattedCitation" : "(Whitacre 2014)" }, "properties" : { "noteIndex" : 0 }, "schema" : "https://github.com/citation-style-language/schema/raw/master/csl-citation.json" }</w:instrText>
      </w:r>
      <w:r w:rsidR="00F01773">
        <w:fldChar w:fldCharType="separate"/>
      </w:r>
      <w:r w:rsidRPr="00332671">
        <w:rPr>
          <w:noProof/>
        </w:rPr>
        <w:t>(Whitacre 2014)</w:t>
      </w:r>
      <w:r w:rsidR="00F01773">
        <w:fldChar w:fldCharType="end"/>
      </w:r>
      <w:r>
        <w:t xml:space="preserve">. More development is occurring on private, </w:t>
      </w:r>
      <w:r w:rsidRPr="009D20E8">
        <w:t xml:space="preserve">unprotected lands, much of which have high conservation value </w:t>
      </w:r>
      <w:r w:rsidR="00F01773">
        <w:fldChar w:fldCharType="begin" w:fldLock="1"/>
      </w:r>
      <w:r w:rsidR="00B32474">
        <w:instrText>ADDIN CSL_CITATION { "citationItems" : [ { "id" : "ITEM-1", "itemData" : { "DOI" : "10.1890/070106", "ISSN" : "1540-9295", "author" : [ { "dropping-particle" : "", "family" : "Robles", "given" : "Marcos D", "non-dropping-particle" : "", "parse-names" : false, "suffix" : "" }, { "dropping-particle" : "", "family" : "Flather", "given" : "Curtis H", "non-dropping-particle" : "", "parse-names" : false, "suffix" : "" }, { "dropping-particle" : "", "family" : "Stein", "given" : "Susan M", "non-dropping-particle" : "", "parse-names" : false, "suffix" : "" }, { "dropping-particle" : "", "family" : "Nelson", "given" : "Mark D", "non-dropping-particle" : "", "parse-names" : false, "suffix" : "" }, { "dropping-particle" : "", "family" : "Cutko", "given" : "Andrew", "non-dropping-particle" : "", "parse-names" : false, "suffix" : "" } ], "container-title" : "Frontiers in Ecology and the Environment", "id" : "ITEM-1", "issue" : "6", "issued" : { "date-parts" : [ [ "2008", "8", "1" ] ] }, "note" : "doi: 10.1890/070106", "page" : "301-307", "publisher" : "Ecological Society of America", "title" : "The geography of private forests that support at-risk species in the conterminous United States", "type" : "article-journal", "volume" : "6" }, "uris" : [ "http://www.mendeley.com/documents/?uuid=b302f84a-121d-437d-9275-9f08d9e63401" ] } ], "mendeley" : { "formattedCitation" : "(Robles &lt;i&gt;et al.&lt;/i&gt; 2008)", "plainTextFormattedCitation" : "(Robles et al. 2008)", "previouslyFormattedCitation" : "(Robles &lt;i&gt;et al.&lt;/i&gt; 2008)" }, "properties" : { "noteIndex" : 0 }, "schema" : "https://github.com/citation-style-language/schema/raw/master/csl-citation.json" }</w:instrText>
      </w:r>
      <w:r w:rsidR="00F01773">
        <w:fldChar w:fldCharType="separate"/>
      </w:r>
      <w:r w:rsidR="00B32474" w:rsidRPr="00B32474">
        <w:rPr>
          <w:noProof/>
        </w:rPr>
        <w:t xml:space="preserve">(Robles </w:t>
      </w:r>
      <w:r w:rsidR="00B32474" w:rsidRPr="00B32474">
        <w:rPr>
          <w:i/>
          <w:noProof/>
        </w:rPr>
        <w:t>et al.</w:t>
      </w:r>
      <w:r w:rsidR="00B32474" w:rsidRPr="00B32474">
        <w:rPr>
          <w:noProof/>
        </w:rPr>
        <w:t xml:space="preserve"> 2008)</w:t>
      </w:r>
      <w:r w:rsidR="00F01773">
        <w:fldChar w:fldCharType="end"/>
      </w:r>
      <w:r>
        <w:t xml:space="preserve">. At lease-hold and larger scales, the spatial configuration of gas surface infrastructure may greatly fragment forests </w:t>
      </w:r>
      <w:r w:rsidR="00F01773">
        <w:fldChar w:fldCharType="begin" w:fldLock="1"/>
      </w:r>
      <w:r w:rsidR="00B32474">
        <w:instrText>ADDIN CSL_CITATION { "citationItems" : [ { "id" : "ITEM-1", "itemData" : { "abstract" : "Increased demands for cleaner burning energy, coupled with the relatively recent technological advances in accessing unconventional hydrocarbon-rich geologic formations, led to an intense effort to find and extract natural gas from various underground sources around the country. One of these sources, the Marcellus Shale, located in the Allegheny Plateau, is undergoing extensive drilling and production. The technology used to extract gas in the Marcellus Shale is known as hydraulic fracturing and has garnered much attention because of its use of large amounts of fresh water, its use of proprietary fluids for the hydraulic-fracturing process, its potential to release contaminants into the environment, and its potential effect on water resources. Nonetheless, development of natural gas extraction wells in the Marcellus Shale is only part of the overall natural gas story in the area of Pennsylvania. Coalbed methane, which is sometimes extracted using the same technique, is often located in the same general area as the Marcellus Shale and is frequently developed in clusters across the landscape. The combined effects of these two natural gas extraction methods create potentially serious patterns of disturbance on the landscape. This document quantifies the landscape changes and consequences of natural gas extraction for Bradford County and Washington County, Pennsylvania, between 2004 and 2010. Patterns of landscape disturbance related to natural gas extraction activities were collected and digitized using National Agriculture Imagery Program (NAIP) imagery for 2004, 2005/2006, 2008, and 2010. The disturbance patterns were then used to measure changes in land cover and land use using the National Land Cover Database (NLCD) of 2001. A series of landscape metrics is used to quantify these changes and are included in this publication.", "author" : [ { "dropping-particle" : "", "family" : "Slonecker", "given" : "E.T.", "non-dropping-particle" : "", "parse-names" : false, "suffix" : "" }, { "dropping-particle" : "", "family" : "Milheim", "given" : "L.E.", "non-dropping-particle" : "", "parse-names" : false, "suffix" : "" }, { "dropping-particle" : "", "family" : "Roig-Silva", "given" : "C.M.", "non-dropping-particle" : "", "parse-names" : false, "suffix" : "" }, { "dropping-particle" : "", "family" : "Malizia", "given" : "A.R.", "non-dropping-particle" : "", "parse-names" : false, "suffix" : "" }, { "dropping-particle" : "", "family" : "Marr", "given" : "D.A.", "non-dropping-particle" : "", "parse-names" : false, "suffix" : "" }, { "dropping-particle" : "", "family" : "Fisher", "given" : "G.B.", "non-dropping-particle" : "", "parse-names" : false, "suffix" : "" } ], "id" : "ITEM-1", "issued" : { "date-parts" : [ [ "2012" ] ] }, "title" : "Landscape Consequences of Natural Gas Extraction in Bradford and Washington Counties , Pennsylvania , 2004 \u2013 2010", "type" : "report" }, "uris" : [ "http://www.mendeley.com/documents/?uuid=cb8fc085-c9cc-474a-8283-1918688a7b2d" ] }, { "id" : "ITEM-2", "itemData" : { "DOI" : "10.1007/s00267-012-9841-6", "ISBN" : "0026701298416", "ISSN" : "1432-1009", "PMID" : "22447181", "abstract" : "Worldwide shale-gas development has the potential to cause substantial landscape disturbance. The northeastern U.S., specifically the Allegheny Plateau in Pennsylvania, West Virginia, Ohio, and Kentucky, is experiencing rapid exploration. Using Pennsylvania as a proxy for regional development across the Plateau, we examine land cover change due to shale-gas exploration, with emphasis on forest fragmentation. Pennsylvania's shale-gas development is greatest on private land, and is dominated by pads with 1-2 wells; less than 10 % of pads have five wells or more. Approximately 45-62 % of pads occur on agricultural land and 38-54 % in forest land (many in core forest on private land). Development of permits granted as of June 3, 2011, would convert at least 644-1072 ha of agricultural land and 536-894 ha of forest land. Agricultural land conversion suggests that drilling is somewhat competing with food production. Accounting for existing pads and development of all permits would result in at least 649 km of new road, which, along with pipelines, would fragment forest cover. The Susquehanna River basin (feeding the Chesapeake Bay), is most developed, with 885 pads (26 % in core forest); permit data suggests the basin will experience continued heavy development. The intensity of core forest disturbance, where many headwater streams occur, suggests that such streams should become a focus of aquatic monitoring. Given the intense development on private lands, we believe a regional strategy is needed to help guide infrastructure development, so that habitat loss, farmland conversion, and the risk to waterways are better managed.", "author" : [ { "dropping-particle" : "", "family" : "Drohan", "given" : "P J", "non-dropping-particle" : "", "parse-names" : false, "suffix" : "" }, { "dropping-particle" : "", "family" : "Brittingham", "given" : "M", "non-dropping-particle" : "", "parse-names" : false, "suffix" : "" }, { "dropping-particle" : "", "family" : "Bishop", "given" : "J", "non-dropping-particle" : "", "parse-names" : false, "suffix" : "" }, { "dropping-particle" : "", "family" : "Yoder", "given" : "K", "non-dropping-particle" : "", "parse-names" : false, "suffix" : "" } ], "container-title" : "Environmental Management", "id" : "ITEM-2", "issue" : "5", "issued" : { "date-parts" : [ [ "2012", "5" ] ] }, "page" : "1-15", "title" : "Early trends in landcover change and forest fragmentation due to shale-gas development in Pennsylvania: a potential outcome for the Northcentral Appalachians.", "type" : "article-journal", "volume" : "49" }, "uris" : [ "http://www.mendeley.com/documents/?uuid=fcd66b0e-9517-4a98-89ca-751959c60125" ] }, { "id" : "ITEM-3", "itemData" : { "DOI" : "10.1007/s00267-014-0250-x", "ISSN" : "1432-1009", "PMID" : "24554146", "abstract" : "We propose a framework to facilitate the evaluation of the impacts of shale gas infrastructures (well pads, roads, and pipelines) on land cover features, especially with regards to forest fragmentation. We used a geographic information system and realistic development scenarios largely inspired by the PA (United States) experience, but adapted to a region of QC (Canada) with an already fragmented forest cover and a high gas potential. The scenario with the greatest impact results from development limited by regulatory constraints only, with no access to private roads for connecting well pads to the public road network. The scenario with the lowest impact additionally integrates ecological constraints (deer yards, maple woodlots, and wetlands). Overall the differences between these two scenarios are relatively minor, with &lt;1 % of the forest cover lost in each case. However, large areas of core forests would be lost in both scenarios and the number of forest patches would increase by 13-21 % due to fragmentation. The pipeline network would have a much greater footprint on the land cover than access roads. Using data acquired since the beginning of the shale gas industry, we show that it is possible, within a reasonable time frame, to produce a robust assessment of the impacts of shale gas extraction. The framework we propose could easily be applied to other contexts or jurisdictions.", "author" : [ { "dropping-particle" : "", "family" : "Racicot", "given" : "Alexandre", "non-dropping-particle" : "", "parse-names" : false, "suffix" : "" }, { "dropping-particle" : "", "family" : "Babin-Roussel", "given" : "V\u00e9ronique", "non-dropping-particle" : "", "parse-names" : false, "suffix" : "" }, { "dropping-particle" : "", "family" : "Dauphinais", "given" : "Jean-Fran\u00e7ois", "non-dropping-particle" : "", "parse-names" : false, "suffix" : "" }, { "dropping-particle" : "", "family" : "Joly", "given" : "Jean-S\u00e9bastien", "non-dropping-particle" : "", "parse-names" : false, "suffix" : "" }, { "dropping-particle" : "", "family" : "No\u00ebl", "given" : "Pascal", "non-dropping-particle" : "", "parse-names" : false, "suffix" : "" }, { "dropping-particle" : "", "family" : "Lavoie", "given" : "Claude", "non-dropping-particle" : "", "parse-names" : false, "suffix" : "" } ], "container-title" : "Environmental management", "id" : "ITEM-3", "issue" : "0364-152X", "issued" : { "date-parts" : [ [ "2014", "2", "20" ] ] }, "note" : "Very similar to my CH2. They place well pads, roads, and pipelines while adhering to regulatory constraints in Quebec. They look at forest fragmentation when only adhering to regulation vs trying to reduce forest impacts. No costs involved, but all the same kind of process (LCP) and analyses. ", "page" : "1-11", "title" : "A Framework to Predict the Impacts of Shale Gas Infrastructures on the Forest Fragmentation of an Agroforest Region.", "type" : "article-journal" }, "uris" : [ "http://www.mendeley.com/documents/?uuid=aa73e88a-24a9-4b20-82a5-218aaf65bb2d" ] } ], "mendeley" : { "formattedCitation" : "(Slonecker &lt;i&gt;et al.&lt;/i&gt; 2012; Drohan &lt;i&gt;et al.&lt;/i&gt; 2012; Racicot &lt;i&gt;et al.&lt;/i&gt; 2014)", "plainTextFormattedCitation" : "(Slonecker et al. 2012; Drohan et al. 2012; Racicot et al. 2014)", "previouslyFormattedCitation" : "(Slonecker &lt;i&gt;et al.&lt;/i&gt; 2012; Drohan &lt;i&gt;et al.&lt;/i&gt; 2012; Racicot &lt;i&gt;et al.&lt;/i&gt; 2014)" }, "properties" : { "noteIndex" : 0 }, "schema" : "https://github.com/citation-style-language/schema/raw/master/csl-citation.json" }</w:instrText>
      </w:r>
      <w:r w:rsidR="00F01773">
        <w:fldChar w:fldCharType="separate"/>
      </w:r>
      <w:r w:rsidR="00B32474" w:rsidRPr="00B32474">
        <w:rPr>
          <w:noProof/>
        </w:rPr>
        <w:t xml:space="preserve">(Slonecker </w:t>
      </w:r>
      <w:r w:rsidR="00B32474" w:rsidRPr="00B32474">
        <w:rPr>
          <w:i/>
          <w:noProof/>
        </w:rPr>
        <w:t>et al.</w:t>
      </w:r>
      <w:r w:rsidR="00B32474" w:rsidRPr="00B32474">
        <w:rPr>
          <w:noProof/>
        </w:rPr>
        <w:t xml:space="preserve"> 2012; Drohan </w:t>
      </w:r>
      <w:r w:rsidR="00B32474" w:rsidRPr="00B32474">
        <w:rPr>
          <w:i/>
          <w:noProof/>
        </w:rPr>
        <w:t>et al.</w:t>
      </w:r>
      <w:r w:rsidR="00B32474" w:rsidRPr="00B32474">
        <w:rPr>
          <w:noProof/>
        </w:rPr>
        <w:t xml:space="preserve"> 2012; Racicot </w:t>
      </w:r>
      <w:r w:rsidR="00B32474" w:rsidRPr="00B32474">
        <w:rPr>
          <w:i/>
          <w:noProof/>
        </w:rPr>
        <w:t>et al.</w:t>
      </w:r>
      <w:r w:rsidR="00B32474" w:rsidRPr="00B32474">
        <w:rPr>
          <w:noProof/>
        </w:rPr>
        <w:t xml:space="preserve"> 2014)</w:t>
      </w:r>
      <w:r w:rsidR="00F01773">
        <w:fldChar w:fldCharType="end"/>
      </w:r>
      <w:r>
        <w:t xml:space="preserve">. Stream crossings for roads and pipelines may reduce stream connectivity and increase sediment delivery and risk of spills to streams. The construction of surface infrastructure disturbs soils, which changes local topography and may lead to increased erosion. When erosion and sedimentation controls are inadequate or fail, runoff can increase sedimentation in streams. In the event of hazardous waste spills, soils and streams may be contaminated and experience large die-offs of biota </w:t>
      </w:r>
      <w:r w:rsidR="00F01773">
        <w:fldChar w:fldCharType="begin" w:fldLock="1"/>
      </w:r>
      <w:r>
        <w:instrText>ADDIN CSL_CITATION { "citationItems" : [ { "id" : "ITEM-1", "itemData" : { "author" : [ { "dropping-particle" : "", "family" : "Detrow", "given" : "Scott", "non-dropping-particle" : "", "parse-names" : false, "suffix" : "" } ], "container-title" : "StateImpact", "id" : "ITEM-1", "issued" : { "date-parts" : [ [ "2012" ] ] }, "page" : "3-5", "title" : "Lycoming County Fracking Spill: Truck Belongs To Spill Response Company", "type" : "article-newspaper" }, "uris" : [ "http://www.mendeley.com/documents/?uuid=0b386548-387e-4fd0-90b7-ee7e2f525363" ] }, { "id" : "ITEM-2", "itemData" : { "author" : [ { "dropping-particle" : "", "family" : "Lustgarten", "given" : "Abraham", "non-dropping-particle" : "", "parse-names" : false, "suffix" : "" } ], "container-title" : "ProPublica", "id" : "ITEM-2", "issued" : { "date-parts" : [ [ "2009" ] ] }, "page" : "3-4", "publisher-place" : "New York, NY", "title" : "Frack Fluid Spill in Dimock Contaminates Stream , Killing Fish", "type" : "article-newspaper" }, "uris" : [ "http://www.mendeley.com/documents/?uuid=2ecc231e-a7ab-4ed6-9e2f-cef4bbad1251" ] } ], "mendeley" : { "formattedCitation" : "(Lustgarten 2009; Detrow 2012)", "plainTextFormattedCitation" : "(Lustgarten 2009; Detrow 2012)", "previouslyFormattedCitation" : "(Lustgarten 2009; Detrow 2012)" }, "properties" : { "noteIndex" : 0 }, "schema" : "https://github.com/citation-style-language/schema/raw/master/csl-citation.json" }</w:instrText>
      </w:r>
      <w:r w:rsidR="00F01773">
        <w:fldChar w:fldCharType="separate"/>
      </w:r>
      <w:r w:rsidRPr="00E7472E">
        <w:rPr>
          <w:noProof/>
        </w:rPr>
        <w:t>(Lustgarten 2009; Detrow 2012)</w:t>
      </w:r>
      <w:r w:rsidR="00F01773">
        <w:fldChar w:fldCharType="end"/>
      </w:r>
      <w:r>
        <w:t xml:space="preserve">. For more details on potential environmental impacts of shale gas surface infrastructure, see Gillen and </w:t>
      </w:r>
      <w:proofErr w:type="spellStart"/>
      <w:r>
        <w:t>Kiviat</w:t>
      </w:r>
      <w:proofErr w:type="spellEnd"/>
      <w:r>
        <w:t xml:space="preserve"> (2012), </w:t>
      </w:r>
      <w:proofErr w:type="spellStart"/>
      <w:r>
        <w:t>Slonecker</w:t>
      </w:r>
      <w:proofErr w:type="spellEnd"/>
      <w:r>
        <w:t xml:space="preserve"> et al</w:t>
      </w:r>
      <w:r>
        <w:rPr>
          <w:i/>
        </w:rPr>
        <w:t xml:space="preserve">. </w:t>
      </w:r>
      <w:r>
        <w:t xml:space="preserve">(2012), </w:t>
      </w:r>
      <w:proofErr w:type="spellStart"/>
      <w:r>
        <w:t>Kiviat</w:t>
      </w:r>
      <w:proofErr w:type="spellEnd"/>
      <w:r>
        <w:rPr>
          <w:i/>
        </w:rPr>
        <w:t xml:space="preserve"> </w:t>
      </w:r>
      <w:r>
        <w:t>(2013) and others.</w:t>
      </w:r>
    </w:p>
    <w:p w:rsidR="00CC26EC" w:rsidRDefault="00CC26EC" w:rsidP="00CC26EC">
      <w:pPr>
        <w:ind w:firstLine="720"/>
      </w:pPr>
      <w:r>
        <w:t xml:space="preserve">In this paper we explore how multiple environmental impacts are associated with one another in shale gas infrastructure development. We specifically focus on using simple practices to plan well pads, access roads, and gathering pipelines, and we also assess the relative effectiveness of our planning practices at avoiding impacts. Simple planning practices, which focus on achieving one or a few goals, may help developers incorporate additional environmental objectives into </w:t>
      </w:r>
      <w:r>
        <w:lastRenderedPageBreak/>
        <w:t>surface development without having to radically change practices. However, there is the risk that following simple practices will exacerbate tradeoffs among multiple environmental objectives since simple practices must be, by definition, narrowly defined. We use the Marcellus shale play in Pennsylvania as a case study.</w:t>
      </w:r>
      <w:r w:rsidRPr="009C2F7A">
        <w:t xml:space="preserve"> We planned well pad</w:t>
      </w:r>
      <w:r>
        <w:t xml:space="preserve"> footprint locations</w:t>
      </w:r>
      <w:r w:rsidRPr="009C2F7A">
        <w:t>, access road</w:t>
      </w:r>
      <w:r>
        <w:t xml:space="preserve"> routes</w:t>
      </w:r>
      <w:r w:rsidRPr="009C2F7A">
        <w:t xml:space="preserve"> and gathering pipeline</w:t>
      </w:r>
      <w:r>
        <w:t xml:space="preserve"> routes</w:t>
      </w:r>
      <w:r w:rsidRPr="009C2F7A">
        <w:t xml:space="preserve"> for twenty state forests and game</w:t>
      </w:r>
      <w:r>
        <w:t xml:space="preserve"> </w:t>
      </w:r>
      <w:r w:rsidRPr="009C2F7A">
        <w:t xml:space="preserve">lands, where </w:t>
      </w:r>
      <w:r>
        <w:t xml:space="preserve">shale gas </w:t>
      </w:r>
      <w:r w:rsidRPr="009C2F7A">
        <w:t xml:space="preserve">development </w:t>
      </w:r>
      <w:r>
        <w:t>could occur. We attempted to follow the same planning steps in the order the gas industry uses and</w:t>
      </w:r>
      <w:r w:rsidRPr="009C2F7A">
        <w:t xml:space="preserve"> adhered to construction constraints imposed by state laws and development practices</w:t>
      </w:r>
      <w:r w:rsidR="006126DB">
        <w:t xml:space="preserve"> (Appendix</w:t>
      </w:r>
      <w:r>
        <w:t>)</w:t>
      </w:r>
      <w:r w:rsidRPr="009C2F7A">
        <w:t xml:space="preserve">. For each </w:t>
      </w:r>
      <w:r>
        <w:t>development site</w:t>
      </w:r>
      <w:r w:rsidRPr="009C2F7A">
        <w:t xml:space="preserve">, we created four </w:t>
      </w:r>
      <w:r>
        <w:t>infrastructure layouts</w:t>
      </w:r>
      <w:r w:rsidRPr="009C2F7A">
        <w:t xml:space="preserve"> corresponding to</w:t>
      </w:r>
      <w:r>
        <w:t xml:space="preserve"> four simple siting practices. </w:t>
      </w:r>
      <w:r w:rsidRPr="009C2F7A">
        <w:t xml:space="preserve">For each </w:t>
      </w:r>
      <w:r>
        <w:t>infrastructure layout</w:t>
      </w:r>
      <w:r w:rsidRPr="009C2F7A">
        <w:t>, we computed eight impact metrics</w:t>
      </w:r>
      <w:r>
        <w:t xml:space="preserve"> </w:t>
      </w:r>
      <w:r w:rsidRPr="009C2F7A">
        <w:t>that reflect the conservation objectives of stakeholders in the region. We looked for</w:t>
      </w:r>
      <w:r>
        <w:t xml:space="preserve"> synergies and</w:t>
      </w:r>
      <w:r w:rsidRPr="009C2F7A">
        <w:t xml:space="preserve"> tradeoffs </w:t>
      </w:r>
      <w:r>
        <w:t>among</w:t>
      </w:r>
      <w:r w:rsidRPr="009C2F7A">
        <w:t xml:space="preserve"> impacts, i.e. whether some impacts were </w:t>
      </w:r>
      <w:r>
        <w:t xml:space="preserve">positively or </w:t>
      </w:r>
      <w:r w:rsidRPr="009C2F7A">
        <w:t>negatively correlated. We also assessed whether some of our planning practices performed better than the others for some impacts, i.e. an impact metric was significantly lower when using one practice versus the others</w:t>
      </w:r>
      <w:r>
        <w:t xml:space="preserve">. </w:t>
      </w:r>
    </w:p>
    <w:p w:rsidR="00547E3F" w:rsidRDefault="00CC26EC" w:rsidP="00010A83">
      <w:pPr>
        <w:ind w:firstLine="720"/>
      </w:pPr>
      <w:r w:rsidRPr="003C0D6B">
        <w:t xml:space="preserve">Similar articles have focused on the hydraulic fracturing process </w:t>
      </w:r>
      <w:r w:rsidR="00F01773">
        <w:rPr>
          <w:b/>
        </w:rPr>
        <w:fldChar w:fldCharType="begin" w:fldLock="1"/>
      </w:r>
      <w:r w:rsidR="00B32474">
        <w:rPr>
          <w:b/>
        </w:rPr>
        <w:instrText>ADDIN CSL_CITATION { "citationItems" : [ { "id" : "ITEM-1", "itemData" : { "DOI" : "10.1021/es903811p", "ISSN" : "1520-5851", "PMID" : "20518558", "abstract" : "Tapping the lucrative Marcellus Shale natural gas deposits may have a host of environmental concerns.", "author" : [ { "dropping-particle" : "", "family" : "Kargbo", "given" : "David M", "non-dropping-particle" : "", "parse-names" : false, "suffix" : "" }, { "dropping-particle" : "", "family" : "Wilhelm", "given" : "Ron G", "non-dropping-particle" : "", "parse-names" : false, "suffix" : "" }, { "dropping-particle" : "", "family" : "Campbell", "given" : "David J", "non-dropping-particle" : "", "parse-names" : false, "suffix" : "" } ], "container-title" : "Environmental science &amp; technology", "id" : "ITEM-1", "issue" : "15", "issued" : { "date-parts" : [ [ "2010", "8", "1" ] ] }, "page" : "5679-84", "publisher" : "American Chemical Society", "title" : "Natural gas plays in the Marcellus Shale: challenges and potential opportunities.", "type" : "article-journal", "volume" : "44" }, "uris" : [ "http://www.mendeley.com/documents/?uuid=1115d787-e40e-4c8a-923c-3cb0c034d8d1" ] } ], "mendeley" : { "formattedCitation" : "(Kargbo, Wilhelm &amp; Campbell 2010)", "plainTextFormattedCitation" : "(Kargbo, Wilhelm &amp; Campbell 2010)", "previouslyFormattedCitation" : "(Kargbo, Wilhelm &amp; Campbell 2010)" }, "properties" : { "noteIndex" : 0 }, "schema" : "https://github.com/citation-style-language/schema/raw/master/csl-citation.json" }</w:instrText>
      </w:r>
      <w:r w:rsidR="00F01773">
        <w:rPr>
          <w:b/>
        </w:rPr>
        <w:fldChar w:fldCharType="separate"/>
      </w:r>
      <w:r w:rsidR="00B32474" w:rsidRPr="00B32474">
        <w:rPr>
          <w:noProof/>
        </w:rPr>
        <w:t>(Kargbo, Wilhelm &amp; Campbell 2010)</w:t>
      </w:r>
      <w:r w:rsidR="00F01773">
        <w:rPr>
          <w:b/>
        </w:rPr>
        <w:fldChar w:fldCharType="end"/>
      </w:r>
      <w:r>
        <w:t xml:space="preserve"> at relatively small scales </w:t>
      </w:r>
      <w:r w:rsidR="00F01773">
        <w:fldChar w:fldCharType="begin" w:fldLock="1"/>
      </w:r>
      <w:r w:rsidR="00B32474">
        <w:instrText>ADDIN CSL_CITATION { "citationItems" : [ { "id" : "ITEM-1", "itemData" : { "abstract" : "Increased demands for cleaner burning energy, coupled with the relatively recent technological advances in accessing unconventional hydrocarbon-rich geologic formations, led to an intense effort to find and extract natural gas from various underground sources around the country. One of these sources, the Marcellus Shale, located in the Allegheny Plateau, is undergoing extensive drilling and production. The technology used to extract gas in the Marcellus Shale is known as hydraulic fracturing and has garnered much attention because of its use of large amounts of fresh water, its use of proprietary fluids for the hydraulic-fracturing process, its potential to release contaminants into the environment, and its potential effect on water resources. Nonetheless, development of natural gas extraction wells in the Marcellus Shale is only part of the overall natural gas story in the area of Pennsylvania. Coalbed methane, which is sometimes extracted using the same technique, is often located in the same general area as the Marcellus Shale and is frequently developed in clusters across the landscape. The combined effects of these two natural gas extraction methods create potentially serious patterns of disturbance on the landscape. This document quantifies the landscape changes and consequences of natural gas extraction for Bradford County and Washington County, Pennsylvania, between 2004 and 2010. Patterns of landscape disturbance related to natural gas extraction activities were collected and digitized using National Agriculture Imagery Program (NAIP) imagery for 2004, 2005/2006, 2008, and 2010. The disturbance patterns were then used to measure changes in land cover and land use using the National Land Cover Database (NLCD) of 2001. A series of landscape metrics is used to quantify these changes and are included in this publication.", "author" : [ { "dropping-particle" : "", "family" : "Slonecker", "given" : "E.T.", "non-dropping-particle" : "", "parse-names" : false, "suffix" : "" }, { "dropping-particle" : "", "family" : "Milheim", "given" : "L.E.", "non-dropping-particle" : "", "parse-names" : false, "suffix" : "" }, { "dropping-particle" : "", "family" : "Roig-Silva", "given" : "C.M.", "non-dropping-particle" : "", "parse-names" : false, "suffix" : "" }, { "dropping-particle" : "", "family" : "Malizia", "given" : "A.R.", "non-dropping-particle" : "", "parse-names" : false, "suffix" : "" }, { "dropping-particle" : "", "family" : "Marr", "given" : "D.A.", "non-dropping-particle" : "", "parse-names" : false, "suffix" : "" }, { "dropping-particle" : "", "family" : "Fisher", "given" : "G.B.", "non-dropping-particle" : "", "parse-names" : false, "suffix" : "" } ], "id" : "ITEM-1", "issued" : { "date-parts" : [ [ "2012" ] ] }, "title" : "Landscape Consequences of Natural Gas Extraction in Bradford and Washington Counties , Pennsylvania , 2004 \u2013 2010", "type" : "report" }, "uris" : [ "http://www.mendeley.com/documents/?uuid=cb8fc085-c9cc-474a-8283-1918688a7b2d" ] } ], "mendeley" : { "formattedCitation" : "(Slonecker &lt;i&gt;et al.&lt;/i&gt; 2012)", "plainTextFormattedCitation" : "(Slonecker et al. 2012)", "previouslyFormattedCitation" : "(Slonecker &lt;i&gt;et al.&lt;/i&gt; 2012)" }, "properties" : { "noteIndex" : 0 }, "schema" : "https://github.com/citation-style-language/schema/raw/master/csl-citation.json" }</w:instrText>
      </w:r>
      <w:r w:rsidR="00F01773">
        <w:fldChar w:fldCharType="separate"/>
      </w:r>
      <w:r w:rsidR="00B32474" w:rsidRPr="00B32474">
        <w:rPr>
          <w:noProof/>
        </w:rPr>
        <w:t xml:space="preserve">(Slonecker </w:t>
      </w:r>
      <w:r w:rsidR="00B32474" w:rsidRPr="00B32474">
        <w:rPr>
          <w:i/>
          <w:noProof/>
        </w:rPr>
        <w:t>et al.</w:t>
      </w:r>
      <w:r w:rsidR="00B32474" w:rsidRPr="00B32474">
        <w:rPr>
          <w:noProof/>
        </w:rPr>
        <w:t xml:space="preserve"> 2012)</w:t>
      </w:r>
      <w:r w:rsidR="00F01773">
        <w:fldChar w:fldCharType="end"/>
      </w:r>
      <w:r>
        <w:t xml:space="preserve">.  Racicot et al. </w:t>
      </w:r>
      <w:r w:rsidR="00F01773">
        <w:fldChar w:fldCharType="begin" w:fldLock="1"/>
      </w:r>
      <w:r>
        <w:instrText>ADDIN CSL_CITATION { "citationItems" : [ { "id" : "ITEM-1", "itemData" : { "DOI" : "10.1007/s00267-014-0250-x", "ISSN" : "1432-1009", "PMID" : "24554146", "abstract" : "We propose a framework to facilitate the evaluation of the impacts of shale gas infrastructures (well pads, roads, and pipelines) on land cover features, especially with regards to forest fragmentation. We used a geographic information system and realistic development scenarios largely inspired by the PA (United States) experience, but adapted to a region of QC (Canada) with an already fragmented forest cover and a high gas potential. The scenario with the greatest impact results from development limited by regulatory constraints only, with no access to private roads for connecting well pads to the public road network. The scenario with the lowest impact additionally integrates ecological constraints (deer yards, maple woodlots, and wetlands). Overall the differences between these two scenarios are relatively minor, with &lt;1 % of the forest cover lost in each case. However, large areas of core forests would be lost in both scenarios and the number of forest patches would increase by 13-21 % due to fragmentation. The pipeline network would have a much greater footprint on the land cover than access roads. Using data acquired since the beginning of the shale gas industry, we show that it is possible, within a reasonable time frame, to produce a robust assessment of the impacts of shale gas extraction. The framework we propose could easily be applied to other contexts or jurisdictions.", "author" : [ { "dropping-particle" : "", "family" : "Racicot", "given" : "Alexandre", "non-dropping-particle" : "", "parse-names" : false, "suffix" : "" }, { "dropping-particle" : "", "family" : "Babin-Roussel", "given" : "V\u00e9ronique", "non-dropping-particle" : "", "parse-names" : false, "suffix" : "" }, { "dropping-particle" : "", "family" : "Dauphinais", "given" : "Jean-Fran\u00e7ois", "non-dropping-particle" : "", "parse-names" : false, "suffix" : "" }, { "dropping-particle" : "", "family" : "Joly", "given" : "Jean-S\u00e9bastien", "non-dropping-particle" : "", "parse-names" : false, "suffix" : "" }, { "dropping-particle" : "", "family" : "No\u00ebl", "given" : "Pascal", "non-dropping-particle" : "", "parse-names" : false, "suffix" : "" }, { "dropping-particle" : "", "family" : "Lavoie", "given" : "Claude", "non-dropping-particle" : "", "parse-names" : false, "suffix" : "" } ], "container-title" : "Environmental management", "id" : "ITEM-1", "issue" : "0364-152X", "issued" : { "date-parts" : [ [ "2014", "2", "20" ] ] }, "note" : "Very similar to my CH2. They place well pads, roads, and pipelines while adhering to regulatory constraints in Quebec. They look at forest fragmentation when only adhering to regulation vs trying to reduce forest impacts. No costs involved, but all the same kind of process (LCP) and analyses. ", "page" : "1-11", "title" : "A Framework to Predict the Impacts of Shale Gas Infrastructures on the Forest Fragmentation of an Agroforest Region.", "type" : "article-journal" }, "suppress-author" : 1, "uris" : [ "http://www.mendeley.com/documents/?uuid=aa73e88a-24a9-4b20-82a5-218aaf65bb2d" ] } ], "mendeley" : { "formattedCitation" : "(2014)", "plainTextFormattedCitation" : "(2014)", "previouslyFormattedCitation" : "(2014)" }, "properties" : { "noteIndex" : 0 }, "schema" : "https://github.com/citation-style-language/schema/raw/master/csl-citation.json" }</w:instrText>
      </w:r>
      <w:r w:rsidR="00F01773">
        <w:fldChar w:fldCharType="separate"/>
      </w:r>
      <w:r w:rsidRPr="00284C84">
        <w:rPr>
          <w:noProof/>
        </w:rPr>
        <w:t>(2014)</w:t>
      </w:r>
      <w:r w:rsidR="00F01773">
        <w:fldChar w:fldCharType="end"/>
      </w:r>
      <w:r>
        <w:t xml:space="preserve"> undertook a similar planning exercise in which they planned well pads, access roads, and pipelines for a small region in Quebec, Canada. They looked at the potential impacts of surface infrastructure under various regulatory constraints, focusing on impacts with, versus without, additional ecological restrictions. Racicot et al. </w:t>
      </w:r>
      <w:r w:rsidR="00F01773">
        <w:fldChar w:fldCharType="begin" w:fldLock="1"/>
      </w:r>
      <w:r>
        <w:instrText>ADDIN CSL_CITATION { "citationItems" : [ { "id" : "ITEM-1", "itemData" : { "DOI" : "10.1007/s00267-014-0250-x", "ISSN" : "1432-1009", "PMID" : "24554146", "abstract" : "We propose a framework to facilitate the evaluation of the impacts of shale gas infrastructures (well pads, roads, and pipelines) on land cover features, especially with regards to forest fragmentation. We used a geographic information system and realistic development scenarios largely inspired by the PA (United States) experience, but adapted to a region of QC (Canada) with an already fragmented forest cover and a high gas potential. The scenario with the greatest impact results from development limited by regulatory constraints only, with no access to private roads for connecting well pads to the public road network. The scenario with the lowest impact additionally integrates ecological constraints (deer yards, maple woodlots, and wetlands). Overall the differences between these two scenarios are relatively minor, with &lt;1 % of the forest cover lost in each case. However, large areas of core forests would be lost in both scenarios and the number of forest patches would increase by 13-21 % due to fragmentation. The pipeline network would have a much greater footprint on the land cover than access roads. Using data acquired since the beginning of the shale gas industry, we show that it is possible, within a reasonable time frame, to produce a robust assessment of the impacts of shale gas extraction. The framework we propose could easily be applied to other contexts or jurisdictions.", "author" : [ { "dropping-particle" : "", "family" : "Racicot", "given" : "Alexandre", "non-dropping-particle" : "", "parse-names" : false, "suffix" : "" }, { "dropping-particle" : "", "family" : "Babin-Roussel", "given" : "V\u00e9ronique", "non-dropping-particle" : "", "parse-names" : false, "suffix" : "" }, { "dropping-particle" : "", "family" : "Dauphinais", "given" : "Jean-Fran\u00e7ois", "non-dropping-particle" : "", "parse-names" : false, "suffix" : "" }, { "dropping-particle" : "", "family" : "Joly", "given" : "Jean-S\u00e9bastien", "non-dropping-particle" : "", "parse-names" : false, "suffix" : "" }, { "dropping-particle" : "", "family" : "No\u00ebl", "given" : "Pascal", "non-dropping-particle" : "", "parse-names" : false, "suffix" : "" }, { "dropping-particle" : "", "family" : "Lavoie", "given" : "Claude", "non-dropping-particle" : "", "parse-names" : false, "suffix" : "" } ], "container-title" : "Environmental management", "id" : "ITEM-1", "issue" : "0364-152X", "issued" : { "date-parts" : [ [ "2014", "2", "20" ] ] }, "note" : "Very similar to my CH2. They place well pads, roads, and pipelines while adhering to regulatory constraints in Quebec. They look at forest fragmentation when only adhering to regulation vs trying to reduce forest impacts. No costs involved, but all the same kind of process (LCP) and analyses. ", "page" : "1-11", "title" : "A Framework to Predict the Impacts of Shale Gas Infrastructures on the Forest Fragmentation of an Agroforest Region.", "type" : "article-journal" }, "suppress-author" : 1, "uris" : [ "http://www.mendeley.com/documents/?uuid=aa73e88a-24a9-4b20-82a5-218aaf65bb2d" ] } ], "mendeley" : { "formattedCitation" : "(2014)", "plainTextFormattedCitation" : "(2014)", "previouslyFormattedCitation" : "(2014)" }, "properties" : { "noteIndex" : 0 }, "schema" : "https://github.com/citation-style-language/schema/raw/master/csl-citation.json" }</w:instrText>
      </w:r>
      <w:r w:rsidR="00F01773">
        <w:fldChar w:fldCharType="separate"/>
      </w:r>
      <w:r w:rsidRPr="00284C84">
        <w:rPr>
          <w:noProof/>
        </w:rPr>
        <w:t>(2014)</w:t>
      </w:r>
      <w:r w:rsidR="00F01773">
        <w:fldChar w:fldCharType="end"/>
      </w:r>
      <w:r>
        <w:t xml:space="preserve"> also analyzed the extent to which fairly simple ways of affecting development patterns in turn affected potential environmental impacts of that development. Our paper is novel in several ways. First, we look at impacts on a larger suite of environmental and human features, choosing to explore the broad spectrum of potential impacts since features will vary in importance from place to place. Second, we assess the synergies and tradeoffs among our suite of impacts and explore how our findings may affect more general planning of gas infrastructure. Third, we look at impacts over a large spatial extent, which may allow us to draw more general conclusions for the greater Appalachian region. Finally, we assess the relative effectiveness of simple planning practices across the suite of metrics, enabling us to see how simple practices may target one or several impacts.</w:t>
      </w:r>
    </w:p>
    <w:p w:rsidR="009663A3" w:rsidRDefault="00F40135">
      <w:pPr>
        <w:pStyle w:val="Heading2"/>
      </w:pPr>
      <w:bookmarkStart w:id="76" w:name="_Toc421352871"/>
      <w:r>
        <w:lastRenderedPageBreak/>
        <w:t>Methods and Materials</w:t>
      </w:r>
      <w:bookmarkEnd w:id="76"/>
    </w:p>
    <w:p w:rsidR="00284561" w:rsidRPr="00D3379C" w:rsidRDefault="00284561" w:rsidP="00D3379C">
      <w:pPr>
        <w:pStyle w:val="Heading3"/>
        <w:rPr>
          <w:szCs w:val="24"/>
        </w:rPr>
      </w:pPr>
      <w:bookmarkStart w:id="77" w:name="_Toc417646767"/>
      <w:r w:rsidRPr="00D3379C">
        <w:rPr>
          <w:szCs w:val="24"/>
        </w:rPr>
        <w:t>Shale Energy Industry Reference</w:t>
      </w:r>
      <w:bookmarkEnd w:id="77"/>
    </w:p>
    <w:p w:rsidR="00D3379C" w:rsidRDefault="00284561" w:rsidP="00D3379C">
      <w:r>
        <w:t>In planning surface infrastructure within our study sites, we attempted to follow the planning practices of the shale energy industry. Our main contact was Triana Energy, LLC, which is a privately held oil and gas exploration and production company based in Charleston, West Virginia, USA and operating in both West Virginia and Pennsylvania. We used Triana’s experience with shale energy development to inform the dimensions of production units, construction limits such as road grades, and surface infrastructure planning more generally.</w:t>
      </w:r>
    </w:p>
    <w:p w:rsidR="00284561" w:rsidRPr="00D3379C" w:rsidRDefault="00284561" w:rsidP="00D3379C">
      <w:pPr>
        <w:pStyle w:val="Heading3"/>
      </w:pPr>
      <w:bookmarkStart w:id="78" w:name="_Toc417646768"/>
      <w:r w:rsidRPr="00370CF6">
        <w:t>Study Site Selection</w:t>
      </w:r>
      <w:bookmarkEnd w:id="78"/>
    </w:p>
    <w:p w:rsidR="00B030BF" w:rsidRDefault="00284561" w:rsidP="00B030BF">
      <w:r w:rsidRPr="00E03005">
        <w:t xml:space="preserve">We chose twenty case study sites from the </w:t>
      </w:r>
      <w:r>
        <w:t>319</w:t>
      </w:r>
      <w:r w:rsidRPr="00E03005">
        <w:t xml:space="preserve"> </w:t>
      </w:r>
      <w:r>
        <w:t xml:space="preserve">State Forests, </w:t>
      </w:r>
      <w:r w:rsidRPr="00E03005">
        <w:t xml:space="preserve">State Parks, </w:t>
      </w:r>
      <w:r>
        <w:t xml:space="preserve">and </w:t>
      </w:r>
      <w:r w:rsidRPr="00E03005">
        <w:t>State Game Lands</w:t>
      </w:r>
      <w:r>
        <w:t xml:space="preserve"> underlain by Marcellus Shale in Pennsylvania (</w:t>
      </w:r>
      <w:r w:rsidR="00F01773">
        <w:fldChar w:fldCharType="begin"/>
      </w:r>
      <w:r w:rsidR="00285ECF">
        <w:instrText xml:space="preserve"> REF _Ref417464576 \h </w:instrText>
      </w:r>
      <w:r w:rsidR="00F01773">
        <w:fldChar w:fldCharType="separate"/>
      </w:r>
      <w:r w:rsidR="00867AA7" w:rsidRPr="00D3379C">
        <w:t xml:space="preserve">Fig. </w:t>
      </w:r>
      <w:r w:rsidR="00867AA7">
        <w:rPr>
          <w:noProof/>
        </w:rPr>
        <w:t>2</w:t>
      </w:r>
      <w:r w:rsidR="00867AA7">
        <w:t>.</w:t>
      </w:r>
      <w:r w:rsidR="00867AA7">
        <w:rPr>
          <w:noProof/>
        </w:rPr>
        <w:t>2</w:t>
      </w:r>
      <w:r w:rsidR="00F01773">
        <w:fldChar w:fldCharType="end"/>
      </w:r>
      <w:r w:rsidRPr="00E03005">
        <w:t xml:space="preserve">). </w:t>
      </w:r>
      <w:r>
        <w:t xml:space="preserve">Selection of study sites was done independently of current development status, severed mineral ownership, and the probability of future shale development. </w:t>
      </w:r>
      <w:r w:rsidRPr="00E03005">
        <w:t xml:space="preserve">We chose </w:t>
      </w:r>
      <w:r>
        <w:t xml:space="preserve">Pennsylvania state lands as </w:t>
      </w:r>
      <w:r w:rsidRPr="00E03005">
        <w:t xml:space="preserve">study sites for a few reasons. First, </w:t>
      </w:r>
      <w:r>
        <w:t xml:space="preserve">these </w:t>
      </w:r>
      <w:r w:rsidRPr="00E03005">
        <w:t xml:space="preserve">public lands are managed by the state and are large tracts of consolidated land, which makes large-scale planning for multiple pads and thus potential gains from our study larger than in other areas. At the same time, mineral rights are severed from surface ownership on some public lands in Pennsylvania, which means that shale gas development can and is occurring on these lands. </w:t>
      </w:r>
      <w:r>
        <w:t xml:space="preserve">In areas with intact surface and subsurface ownership, some state forest lands and state game lands have also been leased for shale gas development. </w:t>
      </w:r>
      <w:r w:rsidRPr="00E03005">
        <w:t>Finally, we chose to use highly forested public lands in a state with a large forest system because we wanted to highlight the potential impacts on relatively intact terrestrial habitats.</w:t>
      </w:r>
    </w:p>
    <w:p w:rsidR="00463757" w:rsidRDefault="00463757" w:rsidP="00463757">
      <w:pPr>
        <w:ind w:firstLine="720"/>
      </w:pPr>
      <w:r>
        <w:t>State</w:t>
      </w:r>
      <w:r w:rsidRPr="00E03005">
        <w:t xml:space="preserve"> lands were first buffered by 100 m to remove small gaps between otherwise contiguous lands. We then combined any buffered lands that overlapped. </w:t>
      </w:r>
      <w:r>
        <w:t>We reduced our</w:t>
      </w:r>
      <w:r w:rsidRPr="00E03005">
        <w:t xml:space="preserve"> set of lands to those that </w:t>
      </w:r>
      <w:r>
        <w:t>could</w:t>
      </w:r>
      <w:r w:rsidRPr="00E03005">
        <w:t xml:space="preserve"> support between one and five full-size </w:t>
      </w:r>
      <w:r>
        <w:t>production units. A production unit is not physical infrastructure, but represents the area drained of gas by the wells of a single well pad (</w:t>
      </w:r>
      <w:r w:rsidR="00F01773">
        <w:fldChar w:fldCharType="begin"/>
      </w:r>
      <w:r>
        <w:instrText xml:space="preserve"> REF _Ref417464536 \h </w:instrText>
      </w:r>
      <w:r w:rsidR="00F01773">
        <w:fldChar w:fldCharType="separate"/>
      </w:r>
      <w:r w:rsidR="00867AA7" w:rsidRPr="00C04103">
        <w:t xml:space="preserve">Fig. S </w:t>
      </w:r>
      <w:r w:rsidR="00867AA7">
        <w:rPr>
          <w:noProof/>
        </w:rPr>
        <w:t>2</w:t>
      </w:r>
      <w:r w:rsidR="00867AA7">
        <w:t>.</w:t>
      </w:r>
      <w:r w:rsidR="00867AA7">
        <w:rPr>
          <w:noProof/>
        </w:rPr>
        <w:t>1</w:t>
      </w:r>
      <w:r w:rsidR="00F01773">
        <w:fldChar w:fldCharType="end"/>
      </w:r>
      <w:r>
        <w:t>). To reduce the set of lands, we</w:t>
      </w:r>
      <w:r w:rsidRPr="00E03005">
        <w:t xml:space="preserve"> first reduced the set of combined lands to those between 3 km</w:t>
      </w:r>
      <w:r w:rsidRPr="00E03005">
        <w:rPr>
          <w:vertAlign w:val="superscript"/>
        </w:rPr>
        <w:t>2</w:t>
      </w:r>
      <w:r w:rsidRPr="00E03005">
        <w:t xml:space="preserve"> and 30 km</w:t>
      </w:r>
      <w:r w:rsidRPr="00E03005">
        <w:rPr>
          <w:vertAlign w:val="superscript"/>
        </w:rPr>
        <w:t>2</w:t>
      </w:r>
      <w:r w:rsidRPr="00E03005">
        <w:rPr>
          <w:vertAlign w:val="subscript"/>
        </w:rPr>
        <w:t xml:space="preserve"> </w:t>
      </w:r>
      <w:r w:rsidRPr="00E03005">
        <w:t xml:space="preserve">(n=216). Next, we maximally covered each buffered land with 914 </w:t>
      </w:r>
      <w:r w:rsidRPr="00E03005">
        <w:rPr>
          <w:rFonts w:hAnsi="Cambria Math"/>
        </w:rPr>
        <w:t>⨉</w:t>
      </w:r>
      <w:r w:rsidRPr="00E03005">
        <w:t xml:space="preserve"> 3352-m </w:t>
      </w:r>
      <w:r>
        <w:t xml:space="preserve">(3000 </w:t>
      </w:r>
      <w:r w:rsidRPr="00E03005">
        <w:rPr>
          <w:rFonts w:hAnsi="Cambria Math"/>
        </w:rPr>
        <w:t>⨉</w:t>
      </w:r>
      <w:r>
        <w:rPr>
          <w:rFonts w:hAnsi="Cambria Math"/>
        </w:rPr>
        <w:t xml:space="preserve"> 11,000-ft)</w:t>
      </w:r>
      <w:r>
        <w:t xml:space="preserve"> production unit</w:t>
      </w:r>
      <w:r w:rsidRPr="00E03005">
        <w:t>s rotated 27° (</w:t>
      </w:r>
      <w:r>
        <w:t xml:space="preserve">Triana Energy, LLC </w:t>
      </w:r>
      <w:r>
        <w:rPr>
          <w:i/>
        </w:rPr>
        <w:t>pers. comm.</w:t>
      </w:r>
      <w:r w:rsidRPr="00E03005">
        <w:t xml:space="preserve">); the size of the </w:t>
      </w:r>
      <w:r>
        <w:t>production unit</w:t>
      </w:r>
      <w:r w:rsidRPr="00E03005">
        <w:t xml:space="preserve">s is based on an assumption of 6 wells per pad. We considered a </w:t>
      </w:r>
      <w:r>
        <w:t>production unit</w:t>
      </w:r>
      <w:r w:rsidRPr="00E03005">
        <w:t xml:space="preserve"> economically feasible if at least 90% of its area was within the buffered land. </w:t>
      </w:r>
      <w:r>
        <w:t>Production unit</w:t>
      </w:r>
      <w:r w:rsidRPr="00E03005">
        <w:t xml:space="preserve"> placement was done visually and by hand. We </w:t>
      </w:r>
      <w:r w:rsidRPr="00E03005">
        <w:lastRenderedPageBreak/>
        <w:t xml:space="preserve">categorized the buffered lands into one of five size classes by the number of full-size </w:t>
      </w:r>
      <w:r>
        <w:t>production unit</w:t>
      </w:r>
      <w:r w:rsidRPr="00E03005">
        <w:t xml:space="preserve">s we estimated they would support. Finally, we chose at random four buffered lands from each size class as our study sites. We note that the number of </w:t>
      </w:r>
      <w:r>
        <w:t>production unit</w:t>
      </w:r>
      <w:r w:rsidRPr="00E03005">
        <w:t>s we visually estimated would fit in each buffered land is usually smaller than the total number we later placed when implementing our four siting practices.</w:t>
      </w:r>
      <w:r>
        <w:t xml:space="preserve"> All GIS analysis was done in ArcMap 10.1 (ESRI).</w:t>
      </w:r>
    </w:p>
    <w:p w:rsidR="00463757" w:rsidRDefault="00463757" w:rsidP="00463757">
      <w:pPr>
        <w:ind w:firstLine="720"/>
      </w:pPr>
      <w:r w:rsidRPr="00E03005">
        <w:t xml:space="preserve">Cultural features were mapped using 2008 National Agricultural Imagery Program aerial images. All non-industrial cultural features, such as homes, agricultural buildings, retail businesses, and recreational fields overlapping the 20 chosen sites were mapped with free-hand drawn </w:t>
      </w:r>
      <w:r>
        <w:t>polygons</w:t>
      </w:r>
      <w:r w:rsidRPr="00E03005">
        <w:t>. These were used to calculate distance to cultural features within the study sites.</w:t>
      </w:r>
      <w:r w:rsidR="003247C0" w:rsidRPr="003247C0">
        <w:t xml:space="preserve"> </w:t>
      </w:r>
      <w:r w:rsidR="00F01773">
        <w:pict>
          <v:shape id="_x0000_s1097" type="#_x0000_t202" style="width:6in;height:359.2pt;mso-position-horizontal-relative:char;mso-position-vertical-relative:line;v-text-anchor:middle" filled="f" stroked="f">
            <v:textbox style="mso-next-textbox:#_x0000_s1097">
              <w:txbxContent>
                <w:p w:rsidR="006A45E8" w:rsidRDefault="006A45E8" w:rsidP="003247C0">
                  <w:pPr>
                    <w:keepNext/>
                    <w:jc w:val="center"/>
                  </w:pPr>
                  <w:r w:rsidRPr="00D3379C">
                    <w:rPr>
                      <w:noProof/>
                    </w:rPr>
                    <w:drawing>
                      <wp:inline distT="0" distB="0" distL="0" distR="0">
                        <wp:extent cx="5249091" cy="3022588"/>
                        <wp:effectExtent l="0" t="0" r="8709" b="0"/>
                        <wp:docPr id="1" name="Picture 0" descr="chosen_sites_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sen_sites_fig.png"/>
                                <pic:cNvPicPr/>
                              </pic:nvPicPr>
                              <pic:blipFill>
                                <a:blip r:embed="rId49" cstate="print"/>
                                <a:stretch>
                                  <a:fillRect/>
                                </a:stretch>
                              </pic:blipFill>
                              <pic:spPr>
                                <a:xfrm>
                                  <a:off x="0" y="0"/>
                                  <a:ext cx="5251980" cy="3024252"/>
                                </a:xfrm>
                                <a:prstGeom prst="rect">
                                  <a:avLst/>
                                </a:prstGeom>
                              </pic:spPr>
                            </pic:pic>
                          </a:graphicData>
                        </a:graphic>
                      </wp:inline>
                    </w:drawing>
                  </w:r>
                </w:p>
                <w:p w:rsidR="006A45E8" w:rsidRPr="002B2090" w:rsidRDefault="006A45E8" w:rsidP="003247C0">
                  <w:pPr>
                    <w:pStyle w:val="Caption"/>
                    <w:rPr>
                      <w:vanish/>
                      <w:lang w:val="en-GB"/>
                      <w:specVanish/>
                    </w:rPr>
                  </w:pPr>
                  <w:bookmarkStart w:id="79" w:name="_Ref417464576"/>
                  <w:bookmarkStart w:id="80" w:name="_Toc421352908"/>
                  <w:bookmarkStart w:id="81" w:name="_Toc417647067"/>
                  <w:proofErr w:type="gramStart"/>
                  <w:r w:rsidRPr="00D3379C">
                    <w:t>Fig.</w:t>
                  </w:r>
                  <w:proofErr w:type="gramEnd"/>
                  <w:r w:rsidRPr="00D3379C">
                    <w:t xml:space="preserve"> </w:t>
                  </w:r>
                  <w:fldSimple w:instr=" STYLEREF 1 \s ">
                    <w:r>
                      <w:rPr>
                        <w:noProof/>
                      </w:rPr>
                      <w:t>2</w:t>
                    </w:r>
                  </w:fldSimple>
                  <w:r>
                    <w:t>.</w:t>
                  </w:r>
                  <w:fldSimple w:instr=" SEQ Fig. \* ARABIC \s 1 ">
                    <w:r>
                      <w:rPr>
                        <w:noProof/>
                      </w:rPr>
                      <w:t>2</w:t>
                    </w:r>
                  </w:fldSimple>
                  <w:bookmarkEnd w:id="79"/>
                  <w:r w:rsidRPr="00D3379C">
                    <w:t>. (</w:t>
                  </w:r>
                  <w:proofErr w:type="gramStart"/>
                  <w:r w:rsidRPr="00D3379C">
                    <w:t>large</w:t>
                  </w:r>
                  <w:proofErr w:type="gramEnd"/>
                  <w:r w:rsidRPr="00D3379C">
                    <w:t xml:space="preserve"> map) Pennsylvania State Forests, State Parks, and State Game Lands (green or darker gray) within the Marcellus gas formation (beige or lighter gray) serve as candidate lease areas</w:t>
                  </w:r>
                  <w:bookmarkEnd w:id="80"/>
                </w:p>
                <w:p w:rsidR="006A45E8" w:rsidRPr="00D3379C" w:rsidRDefault="006A45E8" w:rsidP="003247C0">
                  <w:pPr>
                    <w:pStyle w:val="Caption"/>
                  </w:pPr>
                  <w:r w:rsidRPr="00D3379C">
                    <w:t xml:space="preserve"> </w:t>
                  </w:r>
                  <w:proofErr w:type="gramStart"/>
                  <w:r w:rsidRPr="00D3379C">
                    <w:t>from</w:t>
                  </w:r>
                  <w:proofErr w:type="gramEnd"/>
                  <w:r w:rsidRPr="00D3379C">
                    <w:t xml:space="preserve"> which we chose twenty public lands (black outlines) for our analysis. We chose to use state lands that could support one to five full-size production units after buffering individual lands and combining overlapping lands. (</w:t>
                  </w:r>
                  <w:proofErr w:type="gramStart"/>
                  <w:r w:rsidRPr="00D3379C">
                    <w:t>small</w:t>
                  </w:r>
                  <w:proofErr w:type="gramEnd"/>
                  <w:r w:rsidRPr="00D3379C">
                    <w:t xml:space="preserve"> maps) chosen sites with numbers corresponding to large map and site areas in km</w:t>
                  </w:r>
                  <w:r w:rsidRPr="00D3379C">
                    <w:rPr>
                      <w:vertAlign w:val="superscript"/>
                    </w:rPr>
                    <w:t>2</w:t>
                  </w:r>
                  <w:r w:rsidRPr="00D3379C">
                    <w:t>.</w:t>
                  </w:r>
                  <w:bookmarkEnd w:id="81"/>
                </w:p>
              </w:txbxContent>
            </v:textbox>
            <w10:wrap type="none" anchorx="margin" anchory="margin"/>
            <w10:anchorlock/>
          </v:shape>
        </w:pict>
      </w:r>
    </w:p>
    <w:p w:rsidR="00284561" w:rsidRPr="00D018B2" w:rsidRDefault="00284561" w:rsidP="00284561">
      <w:pPr>
        <w:pStyle w:val="Heading3"/>
        <w:rPr>
          <w:rFonts w:cs="Times New Roman"/>
          <w:szCs w:val="24"/>
        </w:rPr>
      </w:pPr>
      <w:bookmarkStart w:id="82" w:name="_Toc417646769"/>
      <w:r w:rsidRPr="00D018B2">
        <w:t>Siting Practices</w:t>
      </w:r>
      <w:bookmarkEnd w:id="82"/>
    </w:p>
    <w:p w:rsidR="00284561" w:rsidRPr="00E03005" w:rsidRDefault="00284561" w:rsidP="00D018B2">
      <w:r w:rsidRPr="00E03005">
        <w:t xml:space="preserve">We chose to use four siting practices that are easy to understand, easy to implement, and that we expected to differentially achieve conservation goals. Our four siting practices are 1) site pads close to roads to reduce </w:t>
      </w:r>
      <w:r w:rsidRPr="00E03005">
        <w:lastRenderedPageBreak/>
        <w:t>the impacts of access roads, 2) site pads close to pipelines to reduce the impacts of gathering pipelines, 3) site infrastructure away from water to reduce risks to aquatic systems, and 4) site infrastructure in disturbed areas to reduce impacts on intact habitats. We sited infrastructure four times at each study site, once per siting practice.</w:t>
      </w:r>
      <w:r>
        <w:t xml:space="preserve"> In addition to following these practices, we adhered to existing regulatory and const</w:t>
      </w:r>
      <w:r w:rsidR="00B35E9C">
        <w:t>ruction constraints (Appendix</w:t>
      </w:r>
      <w:r>
        <w:t xml:space="preserve">). We also attempted to follow existing industry planning practices, which are to site well pads/production units first, then to select routes for access roads and gathering pipelines (Triana Energy, LLC, </w:t>
      </w:r>
      <w:r>
        <w:rPr>
          <w:i/>
        </w:rPr>
        <w:t>pers. comm.)</w:t>
      </w:r>
      <w:r>
        <w:t>.</w:t>
      </w:r>
    </w:p>
    <w:p w:rsidR="00284561" w:rsidRPr="00E03005" w:rsidRDefault="00284561" w:rsidP="00D018B2">
      <w:pPr>
        <w:ind w:firstLine="720"/>
      </w:pPr>
      <w:r w:rsidRPr="00E03005">
        <w:t xml:space="preserve">Before implementing a siting practice, we placed </w:t>
      </w:r>
      <w:r>
        <w:t>production unit</w:t>
      </w:r>
      <w:r w:rsidRPr="00E03005">
        <w:t xml:space="preserve">s to maximally cover the study site. We started by placing full-size </w:t>
      </w:r>
      <w:r>
        <w:t>production unit</w:t>
      </w:r>
      <w:r w:rsidRPr="00E03005">
        <w:t xml:space="preserve">s in the manner described in </w:t>
      </w:r>
      <w:r w:rsidRPr="00E03005">
        <w:rPr>
          <w:i/>
        </w:rPr>
        <w:t>Study Site Selection</w:t>
      </w:r>
      <w:r w:rsidRPr="00E03005">
        <w:t xml:space="preserve">. We then placed half-size </w:t>
      </w:r>
      <w:r>
        <w:t>production unit</w:t>
      </w:r>
      <w:r w:rsidRPr="00E03005">
        <w:t xml:space="preserve">s in the same fashion. There is subjectivity in exactly where </w:t>
      </w:r>
      <w:r>
        <w:t>production unit</w:t>
      </w:r>
      <w:r w:rsidRPr="00E03005">
        <w:t xml:space="preserve">s are placed, but we expect a human will </w:t>
      </w:r>
      <w:r>
        <w:t>find the maximum</w:t>
      </w:r>
      <w:r w:rsidRPr="00E03005">
        <w:t xml:space="preserve"> number of </w:t>
      </w:r>
      <w:r>
        <w:t>production unit</w:t>
      </w:r>
      <w:r w:rsidRPr="00E03005">
        <w:t xml:space="preserve">s and near-optimal locations. </w:t>
      </w:r>
    </w:p>
    <w:p w:rsidR="00284561" w:rsidRPr="00E03005" w:rsidRDefault="00284561" w:rsidP="00D018B2">
      <w:pPr>
        <w:ind w:firstLine="720"/>
      </w:pPr>
      <w:r w:rsidRPr="00E03005">
        <w:t xml:space="preserve">Next, well pads were placed within pad envelopes in the </w:t>
      </w:r>
      <w:r>
        <w:t>production unit</w:t>
      </w:r>
      <w:r w:rsidRPr="00E03005">
        <w:t xml:space="preserve">s. </w:t>
      </w:r>
      <w:r>
        <w:t>A pad envelope is a smaller area within a static production unit that represents potential locations for a well pad while still draining the production unit (</w:t>
      </w:r>
      <w:r w:rsidR="00F01773">
        <w:fldChar w:fldCharType="begin"/>
      </w:r>
      <w:r w:rsidR="00285ECF">
        <w:instrText xml:space="preserve"> REF _Ref417464536 \h </w:instrText>
      </w:r>
      <w:r w:rsidR="00F01773">
        <w:fldChar w:fldCharType="separate"/>
      </w:r>
      <w:r w:rsidR="00867AA7" w:rsidRPr="00C04103">
        <w:t xml:space="preserve">Fig. S </w:t>
      </w:r>
      <w:r w:rsidR="00867AA7">
        <w:rPr>
          <w:noProof/>
        </w:rPr>
        <w:t>2</w:t>
      </w:r>
      <w:r w:rsidR="00867AA7">
        <w:t>.</w:t>
      </w:r>
      <w:r w:rsidR="00867AA7">
        <w:rPr>
          <w:noProof/>
        </w:rPr>
        <w:t>1</w:t>
      </w:r>
      <w:r w:rsidR="00F01773">
        <w:fldChar w:fldCharType="end"/>
      </w:r>
      <w:r>
        <w:t xml:space="preserve">). Moving the pad within its envelope changes the routes of wells. </w:t>
      </w:r>
      <w:r w:rsidRPr="00E03005">
        <w:t xml:space="preserve">In a full-size </w:t>
      </w:r>
      <w:r>
        <w:t>production unit</w:t>
      </w:r>
      <w:r w:rsidRPr="00E03005">
        <w:t xml:space="preserve">, the pad envelopes are 1524 </w:t>
      </w:r>
      <w:r w:rsidRPr="00E03005">
        <w:rPr>
          <w:rFonts w:hAnsi="Cambria Math"/>
        </w:rPr>
        <w:t>⨉</w:t>
      </w:r>
      <w:r w:rsidRPr="00E03005">
        <w:t xml:space="preserve"> 122 m. In a half-size </w:t>
      </w:r>
      <w:r>
        <w:t>production unit</w:t>
      </w:r>
      <w:r w:rsidRPr="00E03005">
        <w:t xml:space="preserve">, pad envelopes are 122 </w:t>
      </w:r>
      <w:r w:rsidRPr="00E03005">
        <w:rPr>
          <w:rFonts w:hAnsi="Cambria Math"/>
        </w:rPr>
        <w:t>⨉</w:t>
      </w:r>
      <w:r w:rsidRPr="00E03005">
        <w:t xml:space="preserve"> 122 m. After restricting ourselves to the pad envelopes, we sited pad points (at the center of a raster pixel) to primarily adhere to the given siting practice. Secondarily, well pads were placed to center on the envelopes (or one envelope in the half-sized </w:t>
      </w:r>
      <w:r>
        <w:t>production unit</w:t>
      </w:r>
      <w:r w:rsidRPr="00E03005">
        <w:t>), which reflects the developer practice of making all lateral wells close to a desired length</w:t>
      </w:r>
      <w:r>
        <w:t xml:space="preserve"> (Triana Energy, LLC </w:t>
      </w:r>
      <w:r>
        <w:rPr>
          <w:i/>
        </w:rPr>
        <w:t>pers. comm.)</w:t>
      </w:r>
      <w:r w:rsidRPr="00E03005">
        <w:t>. Finally, if there were still options (especially in the case of half-</w:t>
      </w:r>
      <w:r>
        <w:t>production unit</w:t>
      </w:r>
      <w:r w:rsidRPr="00E03005">
        <w:t>s) we put the well pads in the location closest to the nearest pad (siting done by visual inspection). We also adhere to Pennsylvania regulatory setbacks for well pads and other infrastructure.</w:t>
      </w:r>
    </w:p>
    <w:p w:rsidR="00284561" w:rsidRPr="00E03005" w:rsidRDefault="00284561" w:rsidP="00D018B2">
      <w:pPr>
        <w:ind w:firstLine="720"/>
      </w:pPr>
      <w:r w:rsidRPr="00E03005">
        <w:t xml:space="preserve">In most </w:t>
      </w:r>
      <w:r>
        <w:t>production unit</w:t>
      </w:r>
      <w:r w:rsidRPr="00E03005">
        <w:t>s (63 of 93 or 68%), the “in disturbed areas” practice gave no direction about where to place well pads, because there were no cultivated or developed areas to bias placement. As such, most of the placement for these was done based on trying to center the pad in the envelope and/or put it near other pads. However, subsequent road and pipeline routes did depend on this practice.</w:t>
      </w:r>
    </w:p>
    <w:p w:rsidR="00284561" w:rsidRPr="00E07852" w:rsidRDefault="00284561" w:rsidP="00D018B2">
      <w:pPr>
        <w:ind w:firstLine="720"/>
        <w:rPr>
          <w:rFonts w:cs="Times New Roman"/>
          <w:i/>
        </w:rPr>
      </w:pPr>
      <w:r w:rsidRPr="00E03005">
        <w:t xml:space="preserve">Well pads were connected to the existing road network using a least cost path method </w:t>
      </w:r>
      <w:r w:rsidR="00F01773" w:rsidRPr="00E03005">
        <w:fldChar w:fldCharType="begin" w:fldLock="1"/>
      </w:r>
      <w:r>
        <w:instrText>ADDIN CSL_CITATION { "citationItems" : [ { "id" : "ITEM-1", "itemData" : { "author" : [ { "dropping-particle" : "", "family" : "ESRI", "given" : "", "non-dropping-particle" : "", "parse-names" : false, "suffix" : "" } ], "id" : "ITEM-1", "issued" : { "date-parts" : [ [ "2013" ] ] }, "note" : "From Duplicate 2 ( ", "number" : "10.0", "publisher-place" : "Redlands, CA", "title" : "ArcMap", "type" : "article" }, "uris" : [ "http://www.mendeley.com/documents/?uuid=1dbbc435-853c-47a4-8599-000e4a98adb5" ] } ], "mendeley" : { "formattedCitation" : "(ESRI 2013)", "plainTextFormattedCitation" : "(ESRI 2013)", "previouslyFormattedCitation" : "(ESRI 2013)" }, "properties" : { "noteIndex" : 0 }, "schema" : "https://github.com/citation-style-language/schema/raw/master/csl-citation.json" }</w:instrText>
      </w:r>
      <w:r w:rsidR="00F01773" w:rsidRPr="00E03005">
        <w:fldChar w:fldCharType="separate"/>
      </w:r>
      <w:r w:rsidRPr="009E2B41">
        <w:rPr>
          <w:noProof/>
        </w:rPr>
        <w:t>(ESRI 2013)</w:t>
      </w:r>
      <w:r w:rsidR="00F01773" w:rsidRPr="00E03005">
        <w:fldChar w:fldCharType="end"/>
      </w:r>
      <w:r w:rsidRPr="00E03005">
        <w:t xml:space="preserve">. The cost surface varied depending on the siting practice. When siting pads close to (1) existing roads or (2) existing pipelines, the road cost surface was determined by the distance, elevation, and slope over which the road was built. These two factors </w:t>
      </w:r>
      <w:r w:rsidRPr="00E03005">
        <w:lastRenderedPageBreak/>
        <w:t xml:space="preserve">reflect monetary costs of road construction materials and soil movement.  When siting infrastructure (3) away from water, the cost surface was the inverse of the Euclidean distance from the water, such that cost increased with proximity. Where the distance to water was 0, we set the inverse distance to </w:t>
      </w:r>
      <w:r>
        <w:t>be 100 times larger than the maximum value in the rest of the raster</w:t>
      </w:r>
      <w:r w:rsidRPr="00E03005">
        <w:t>. Finally, when siting infrastructure (4) in disturbed areas, we used the 2006 National Land Coverage Dataset to weight disturbed classes (Developed, Planted/Cultivated)</w:t>
      </w:r>
      <w:r w:rsidRPr="00E03005">
        <w:rPr>
          <w:color w:val="0070C0"/>
        </w:rPr>
        <w:t xml:space="preserve"> </w:t>
      </w:r>
      <w:r w:rsidRPr="00E03005">
        <w:t>as 100</w:t>
      </w:r>
      <w:r>
        <w:rPr>
          <w:rFonts w:hAnsi="Cambria Math"/>
        </w:rPr>
        <w:t xml:space="preserve"> times</w:t>
      </w:r>
      <w:r w:rsidRPr="00E03005">
        <w:t xml:space="preserve"> less costly than undisturbed classes and used that as the cost surface. Because the existing pipeline network is sparse, some study sites do not intersect with the network. We therefore buffered the study sites by 15 km – chosen to ensure every study site intersects with at least one pipeline – before creating the placement regions for the pipelines and roads. We then built pipelines and roads outside of study sites where needed to complete the line, but clipped them off at the study site boundary and measured impacts only inside the study site. Pipelines and roads were sited using the same methods. Finally, we note that because the least-cost path method checks for a spatially additive impact, there is an implicit assumption that placing more infrastructures is always more impacting. As such, the placement algorithm is biased towards shorter roads and pipelines. In reality, some impacts </w:t>
      </w:r>
      <w:r>
        <w:t xml:space="preserve">like </w:t>
      </w:r>
      <w:r>
        <w:rPr>
          <w:i/>
        </w:rPr>
        <w:t xml:space="preserve">forest </w:t>
      </w:r>
      <w:proofErr w:type="spellStart"/>
      <w:r>
        <w:rPr>
          <w:i/>
        </w:rPr>
        <w:t>frag</w:t>
      </w:r>
      <w:proofErr w:type="spellEnd"/>
      <w:r>
        <w:rPr>
          <w:i/>
        </w:rPr>
        <w:t xml:space="preserve"> 1 </w:t>
      </w:r>
      <w:r>
        <w:t xml:space="preserve">below </w:t>
      </w:r>
      <w:r w:rsidRPr="00E03005">
        <w:t xml:space="preserve">are spatially non-additive such that lower impacts </w:t>
      </w:r>
      <w:r w:rsidRPr="00E03005">
        <w:rPr>
          <w:i/>
        </w:rPr>
        <w:t>can</w:t>
      </w:r>
      <w:r w:rsidRPr="00E03005">
        <w:t xml:space="preserve"> be achieved with more </w:t>
      </w:r>
      <w:proofErr w:type="gramStart"/>
      <w:r w:rsidRPr="00E03005">
        <w:t>infrastructure</w:t>
      </w:r>
      <w:proofErr w:type="gramEnd"/>
      <w:r w:rsidRPr="00E03005">
        <w:t xml:space="preserve"> in some cases.</w:t>
      </w:r>
    </w:p>
    <w:p w:rsidR="00284561" w:rsidRPr="00D018B2" w:rsidRDefault="00284561" w:rsidP="00284561">
      <w:pPr>
        <w:pStyle w:val="Heading3"/>
      </w:pPr>
      <w:bookmarkStart w:id="83" w:name="_Toc417646770"/>
      <w:r w:rsidRPr="00E07852">
        <w:t>Environment Impact Metrics</w:t>
      </w:r>
      <w:bookmarkEnd w:id="83"/>
    </w:p>
    <w:p w:rsidR="00284561" w:rsidRPr="00E03005" w:rsidRDefault="00284561" w:rsidP="00D018B2">
      <w:r w:rsidRPr="00E03005">
        <w:t xml:space="preserve">For each infrastructure layout, we calculated several environmental and cultural impact metrics. Metrics were calculated on a rasterized version of the study area, where cells are 30x30 m. We calculated the following metrics after each siting practice was implemented in a study site: </w:t>
      </w:r>
      <w:r w:rsidRPr="00E03005">
        <w:br/>
      </w:r>
    </w:p>
    <w:p w:rsidR="00284561" w:rsidRPr="000501D1" w:rsidRDefault="00284561" w:rsidP="009B0E78">
      <w:pPr>
        <w:pStyle w:val="ListParagraph"/>
        <w:numPr>
          <w:ilvl w:val="0"/>
          <w:numId w:val="3"/>
        </w:numPr>
        <w:ind w:left="748"/>
      </w:pPr>
      <w:proofErr w:type="gramStart"/>
      <w:r w:rsidRPr="000501D1">
        <w:t>cultural</w:t>
      </w:r>
      <w:proofErr w:type="gramEnd"/>
      <w:r w:rsidRPr="000501D1">
        <w:t xml:space="preserve"> – risk to human cultural features; sum over the raster of proximity to cultural features, where proximity is defined as the inverse of the Euclidean distance </w:t>
      </w:r>
      <w:r>
        <w:t xml:space="preserve">of infrastructure </w:t>
      </w:r>
      <w:r w:rsidRPr="000501D1">
        <w:t xml:space="preserve">to the nearest mapped cultural feature. </w:t>
      </w:r>
      <w:r w:rsidRPr="000501D1">
        <w:br/>
      </w:r>
    </w:p>
    <w:p w:rsidR="00284561" w:rsidRPr="000501D1" w:rsidRDefault="00284561" w:rsidP="009B0E78">
      <w:pPr>
        <w:pStyle w:val="ListParagraph"/>
        <w:numPr>
          <w:ilvl w:val="0"/>
          <w:numId w:val="3"/>
        </w:numPr>
        <w:ind w:left="748"/>
      </w:pPr>
      <w:proofErr w:type="gramStart"/>
      <w:r w:rsidRPr="000501D1">
        <w:t>erosion</w:t>
      </w:r>
      <w:proofErr w:type="gramEnd"/>
      <w:r w:rsidRPr="000501D1">
        <w:t xml:space="preserve"> – erosion potential; sum over the slope raster of all cells occupied by infrastructure.</w:t>
      </w:r>
      <w:r w:rsidRPr="000501D1">
        <w:br/>
      </w:r>
    </w:p>
    <w:p w:rsidR="00284561" w:rsidRPr="000501D1" w:rsidRDefault="00284561" w:rsidP="009B0E78">
      <w:pPr>
        <w:pStyle w:val="ListParagraph"/>
        <w:numPr>
          <w:ilvl w:val="0"/>
          <w:numId w:val="3"/>
        </w:numPr>
        <w:ind w:left="748"/>
      </w:pPr>
      <w:r w:rsidRPr="000501D1">
        <w:t>forest loss – total number of previously forested cells in which infrastructure is developed</w:t>
      </w:r>
      <w:r w:rsidRPr="000501D1">
        <w:br/>
      </w:r>
    </w:p>
    <w:p w:rsidR="00284561" w:rsidRPr="000501D1" w:rsidRDefault="00284561" w:rsidP="009B0E78">
      <w:pPr>
        <w:pStyle w:val="ListParagraph"/>
        <w:numPr>
          <w:ilvl w:val="0"/>
          <w:numId w:val="3"/>
        </w:numPr>
        <w:ind w:left="748"/>
      </w:pPr>
      <w:r w:rsidRPr="000501D1">
        <w:t xml:space="preserve">forest </w:t>
      </w:r>
      <w:proofErr w:type="spellStart"/>
      <w:r w:rsidRPr="000501D1">
        <w:t>frag</w:t>
      </w:r>
      <w:proofErr w:type="spellEnd"/>
      <w:r w:rsidRPr="000501D1">
        <w:t xml:space="preserve"> 1 – effective mesh size; area of each patch if all the forest were combined and then divided into </w:t>
      </w:r>
      <w:r w:rsidRPr="000501D1">
        <w:rPr>
          <w:i/>
        </w:rPr>
        <w:t>S</w:t>
      </w:r>
      <w:r w:rsidRPr="000501D1">
        <w:t xml:space="preserve"> equally sized patches </w:t>
      </w:r>
      <w:r w:rsidRPr="000501D1">
        <w:lastRenderedPageBreak/>
        <w:t xml:space="preserve">with the same degree of landscape division as the original set of patches; similar to average patch size, but with more consistent responses to fragmentation </w:t>
      </w:r>
      <w:r w:rsidR="00F01773" w:rsidRPr="000501D1">
        <w:fldChar w:fldCharType="begin" w:fldLock="1"/>
      </w:r>
      <w:r>
        <w:instrText>ADDIN CSL_CITATION { "citationItems" : [ { "id" : "ITEM-1", "itemData" : { "abstract" : "Anthropogenic fragmentation of landscapes is known as a major reason for the loss of species in industrialized countries. Landscape fragmentation caused by roads, railway lines, extension of settlement areas, etc.,further enhances the dispersion of pollutants and acoustic emissions and affects local climatic conditions, water balance, scenery, and land use. In this study, three new measures of fragmentation are introduced: degree of landscape division (D), splitting index (S), and effective mesh size (m). They characterize the anthropogenic penetration of landscapes from a geometric point of view and are calculated from the distribution function of the remaining patch sizes. First, D, S,and m are defined, their mathematical properties are discussed, and their reactions to the six frag- mentation phases of perforation, incision, dissection, dissipation, shrinkage, and attrition are analysed. Then they are compared with five other known fragmentation indices with respect to nine suitability criteria such as intuitive interpretation, low sensivity to very small patches, monotonous reaction to different fragmentation phases, and detection of structural differences. Their ability to distinguish spatial patterns is illustrated by means of two series of model patterns. In particular, the effective mesh size (m), representing an intensive and area-proportionately additive measure, proves to be well suited for comparing the fragmentation of regions with differing total size.", "author" : [ { "dropping-particle" : "", "family" : "Jaeger", "given" : "Jochen A.G.", "non-dropping-particle" : "", "parse-names" : false, "suffix" : "" } ], "container-title" : "Landscape Ecology", "id" : "ITEM-1", "issued" : { "date-parts" : [ [ "2000" ] ] }, "page" : "115-130", "title" : "Landscape division, splitting index, and effective mesh size : new measures of landscape fragmentation", "type" : "article-journal", "volume" : "15" }, "uris" : [ "http://www.mendeley.com/documents/?uuid=ea6f479b-537a-48ee-8862-c9cc4b95f619" ] } ], "mendeley" : { "formattedCitation" : "(Jaeger 2000)", "plainTextFormattedCitation" : "(Jaeger 2000)", "previouslyFormattedCitation" : "(Jaeger 2000)" }, "properties" : { "noteIndex" : 0 }, "schema" : "https://github.com/citation-style-language/schema/raw/master/csl-citation.json" }</w:instrText>
      </w:r>
      <w:r w:rsidR="00F01773" w:rsidRPr="000501D1">
        <w:fldChar w:fldCharType="separate"/>
      </w:r>
      <w:r w:rsidRPr="000501D1">
        <w:rPr>
          <w:noProof/>
        </w:rPr>
        <w:t>(Jaeger 2000)</w:t>
      </w:r>
      <w:r w:rsidR="00F01773" w:rsidRPr="000501D1">
        <w:fldChar w:fldCharType="end"/>
      </w:r>
      <w:r w:rsidRPr="000501D1">
        <w:t>;</w:t>
      </w:r>
    </w:p>
    <w:p w:rsidR="00284561" w:rsidRPr="000501D1" w:rsidRDefault="00284561" w:rsidP="00370BEA">
      <w:pPr>
        <w:pStyle w:val="ListParagraph"/>
        <w:ind w:left="748"/>
        <w:rPr>
          <w:rFonts w:eastAsiaTheme="minorEastAsia"/>
        </w:rPr>
      </w:pPr>
      <w:r w:rsidRPr="000501D1">
        <w:br/>
      </w:r>
      <m:oMathPara>
        <m:oMath>
          <m:r>
            <w:rPr>
              <w:rFonts w:ascii="Cambria Math" w:hAnsi="Cambria Math"/>
            </w:rPr>
            <m:t>m</m:t>
          </m:r>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t</m:t>
                  </m:r>
                </m:sub>
              </m:sSub>
            </m:num>
            <m:den>
              <m:r>
                <w:rPr>
                  <w:rFonts w:ascii="Cambria Math" w:hAnsi="Cambria Math"/>
                </w:rPr>
                <m:t>S</m:t>
              </m:r>
            </m:den>
          </m:f>
          <m:r>
            <w:rPr>
              <w:rFonts w:ascii="Cambria Math"/>
            </w:rPr>
            <m:t>=</m:t>
          </m:r>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hAnsi="Cambria Math"/>
                    </w:rPr>
                    <m:t>A</m:t>
                  </m:r>
                </m:e>
                <m:sub>
                  <m:r>
                    <w:rPr>
                      <w:rFonts w:ascii="Cambria Math" w:hAnsi="Cambria Math"/>
                    </w:rPr>
                    <m:t>t</m:t>
                  </m:r>
                </m:sub>
              </m:sSub>
            </m:den>
          </m:f>
          <m:r>
            <w:rPr>
              <w:rFonts w:ascii="Cambria Math" w:hAnsi="Cambria Math"/>
            </w:rPr>
            <m:t>*</m:t>
          </m:r>
          <m:nary>
            <m:naryPr>
              <m:chr m:val="∑"/>
              <m:ctrlPr>
                <w:rPr>
                  <w:rFonts w:ascii="Cambria Math" w:hAnsi="Cambria Math"/>
                  <w:i/>
                </w:rPr>
              </m:ctrlPr>
            </m:naryPr>
            <m:sub>
              <m:r>
                <w:rPr>
                  <w:rFonts w:ascii="Cambria Math" w:hAnsi="Cambria Math"/>
                </w:rPr>
                <m:t>i</m:t>
              </m:r>
              <m:r>
                <w:rPr>
                  <w:rFonts w:ascii="Cambria Math"/>
                </w:rPr>
                <m:t>=1</m:t>
              </m:r>
            </m:sub>
            <m:sup>
              <m:r>
                <w:rPr>
                  <w:rFonts w:ascii="Cambria Math" w:hAnsi="Cambria Math"/>
                </w:rPr>
                <m:t>n</m:t>
              </m:r>
            </m:sup>
            <m:e>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rPr>
                    <m:t>2</m:t>
                  </m:r>
                </m:sup>
              </m:sSubSup>
            </m:e>
          </m:nary>
          <m:r>
            <m:rPr>
              <m:sty m:val="p"/>
            </m:rPr>
            <w:rPr>
              <w:rFonts w:ascii="Cambria Math" w:eastAsiaTheme="minorEastAsia"/>
            </w:rPr>
            <w:br/>
          </m:r>
        </m:oMath>
      </m:oMathPara>
    </w:p>
    <w:p w:rsidR="00284561" w:rsidRPr="000501D1" w:rsidRDefault="00284561" w:rsidP="000438E0">
      <w:pPr>
        <w:pStyle w:val="ListParagraph"/>
        <w:ind w:left="748"/>
        <w:rPr>
          <w:rFonts w:eastAsiaTheme="minorEastAsia"/>
        </w:rPr>
      </w:pPr>
      <w:proofErr w:type="gramStart"/>
      <w:r w:rsidRPr="000501D1">
        <w:t>where</w:t>
      </w:r>
      <w:proofErr w:type="gramEnd"/>
      <w:r w:rsidRPr="000501D1">
        <w:t xml:space="preserve"> </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Pr="000501D1">
        <w:rPr>
          <w:rFonts w:eastAsiaTheme="minorEastAsia"/>
        </w:rPr>
        <w:t xml:space="preserve"> is the number of cells in the analysis region, and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oMath>
      <w:r w:rsidRPr="000501D1">
        <w:rPr>
          <w:rFonts w:eastAsiaTheme="minorEastAsia"/>
        </w:rPr>
        <w:t xml:space="preserve"> is the area of each forest patch </w:t>
      </w:r>
      <w:r w:rsidRPr="000501D1">
        <w:rPr>
          <w:rFonts w:eastAsiaTheme="minorEastAsia"/>
          <w:i/>
        </w:rPr>
        <w:t xml:space="preserve">after </w:t>
      </w:r>
      <w:r w:rsidRPr="000501D1">
        <w:rPr>
          <w:rFonts w:eastAsiaTheme="minorEastAsia"/>
        </w:rPr>
        <w:t>fragmentation.</w:t>
      </w:r>
      <w:r w:rsidRPr="000501D1">
        <w:rPr>
          <w:rFonts w:eastAsiaTheme="minorEastAsia"/>
        </w:rPr>
        <w:br/>
      </w:r>
    </w:p>
    <w:p w:rsidR="00284561" w:rsidRPr="000501D1" w:rsidRDefault="00284561" w:rsidP="009B0E78">
      <w:pPr>
        <w:pStyle w:val="ListParagraph"/>
        <w:numPr>
          <w:ilvl w:val="0"/>
          <w:numId w:val="3"/>
        </w:numPr>
        <w:ind w:left="748"/>
      </w:pPr>
      <w:r w:rsidRPr="000501D1">
        <w:t xml:space="preserve">forest </w:t>
      </w:r>
      <w:proofErr w:type="spellStart"/>
      <w:r w:rsidRPr="000501D1">
        <w:t>frag</w:t>
      </w:r>
      <w:proofErr w:type="spellEnd"/>
      <w:r w:rsidRPr="000501D1">
        <w:t xml:space="preserve"> 2 – perimeter to area ratio; number of forest edge cells – those which border a non-forest cell – divided by total number of forest cells after development. </w:t>
      </w:r>
      <w:r w:rsidRPr="000501D1">
        <w:br/>
      </w:r>
    </w:p>
    <w:p w:rsidR="00284561" w:rsidRPr="000501D1" w:rsidRDefault="00284561" w:rsidP="00881F2F">
      <w:pPr>
        <w:pStyle w:val="ListParagraph"/>
        <w:numPr>
          <w:ilvl w:val="0"/>
          <w:numId w:val="3"/>
        </w:numPr>
        <w:ind w:left="720"/>
      </w:pPr>
      <w:proofErr w:type="gramStart"/>
      <w:r w:rsidRPr="000501D1">
        <w:t>rare</w:t>
      </w:r>
      <w:proofErr w:type="gramEnd"/>
      <w:r w:rsidRPr="000501D1">
        <w:t xml:space="preserve"> </w:t>
      </w:r>
      <w:proofErr w:type="spellStart"/>
      <w:r w:rsidRPr="000501D1">
        <w:t>spp</w:t>
      </w:r>
      <w:proofErr w:type="spellEnd"/>
      <w:r w:rsidRPr="000501D1">
        <w:t xml:space="preserve"> – risk of displacing rare or other target species; sum over raster of expected number of occurrences of known locations (EOs) of rare species. To create this surface, a map of habitat types from the Northeastern Terrestrial H</w:t>
      </w:r>
      <w:r>
        <w:t>abitat Mapping Project (</w:t>
      </w:r>
      <w:r w:rsidRPr="000501D1">
        <w:t>) was overlaid with EOs from the Pennsylvania Natural</w:t>
      </w:r>
      <w:r>
        <w:t xml:space="preserve"> Heritage Program</w:t>
      </w:r>
      <w:r w:rsidR="00473EE7">
        <w:t xml:space="preserve"> (</w:t>
      </w:r>
      <w:r w:rsidR="00F01773">
        <w:fldChar w:fldCharType="begin"/>
      </w:r>
      <w:r w:rsidR="00EC6A02">
        <w:instrText xml:space="preserve"> REF _Ref419727967 \h </w:instrText>
      </w:r>
      <w:r w:rsidR="00F01773">
        <w:fldChar w:fldCharType="separate"/>
      </w:r>
      <w:r w:rsidR="00867AA7">
        <w:t xml:space="preserve">Table S </w:t>
      </w:r>
      <w:r w:rsidR="00867AA7">
        <w:rPr>
          <w:noProof/>
        </w:rPr>
        <w:t>2</w:t>
      </w:r>
      <w:r w:rsidR="00867AA7">
        <w:t>.</w:t>
      </w:r>
      <w:r w:rsidR="00867AA7">
        <w:rPr>
          <w:noProof/>
        </w:rPr>
        <w:t>1</w:t>
      </w:r>
      <w:r w:rsidR="00F01773">
        <w:fldChar w:fldCharType="end"/>
      </w:r>
      <w:r w:rsidRPr="000501D1">
        <w:t>). Each habitat type was assigned the number of EOs it contained. This was done without regard to species identity. This number was then divided by the total area of the habitat type to reduce areal effects.</w:t>
      </w:r>
      <w:r>
        <w:t xml:space="preserve"> Finally, values were multiplied by one million to aid understanding.</w:t>
      </w:r>
    </w:p>
    <w:p w:rsidR="00284561" w:rsidRPr="00D45248" w:rsidRDefault="00284561" w:rsidP="00C0716E">
      <w:pPr>
        <w:pStyle w:val="ListParagraph"/>
        <w:ind w:left="748"/>
      </w:pPr>
    </w:p>
    <w:p w:rsidR="00284561" w:rsidRDefault="00284561" w:rsidP="009B0E78">
      <w:pPr>
        <w:pStyle w:val="ListParagraph"/>
        <w:numPr>
          <w:ilvl w:val="0"/>
          <w:numId w:val="3"/>
        </w:numPr>
        <w:ind w:left="748"/>
      </w:pPr>
      <w:proofErr w:type="gramStart"/>
      <w:r w:rsidRPr="00D45248">
        <w:t>water</w:t>
      </w:r>
      <w:proofErr w:type="gramEnd"/>
      <w:r w:rsidRPr="00D45248">
        <w:t xml:space="preserve"> 1 – reduction of stream connectivity; number of stream crossings; number of stream cells occupied by infrastructure.</w:t>
      </w:r>
      <w:r>
        <w:br/>
      </w:r>
    </w:p>
    <w:p w:rsidR="00284561" w:rsidRPr="00980C3D" w:rsidRDefault="00284561" w:rsidP="009B0E78">
      <w:pPr>
        <w:pStyle w:val="ListParagraph"/>
        <w:numPr>
          <w:ilvl w:val="0"/>
          <w:numId w:val="3"/>
        </w:numPr>
        <w:ind w:left="748"/>
      </w:pPr>
      <w:r w:rsidRPr="00D45248">
        <w:t>water 2 – risk to aquatic systems; sum over raster of proximity to water bodies, where proximity is defined as the inverse of the distance a liquid would flow from a cell over the surface to reach the first-encountered water body. This was calculated using ArcGIS’s Flow Direction tool.</w:t>
      </w:r>
    </w:p>
    <w:p w:rsidR="00284561" w:rsidRPr="00980C3D" w:rsidRDefault="00284561" w:rsidP="00284561">
      <w:pPr>
        <w:pStyle w:val="Heading3"/>
      </w:pPr>
      <w:bookmarkStart w:id="84" w:name="_Toc417646771"/>
      <w:r w:rsidRPr="00AB5A64">
        <w:t>Analyses</w:t>
      </w:r>
      <w:bookmarkEnd w:id="84"/>
    </w:p>
    <w:p w:rsidR="00284561" w:rsidRDefault="00284561" w:rsidP="00980C3D">
      <w:r>
        <w:t>We tested two</w:t>
      </w:r>
      <w:r w:rsidRPr="00E03005">
        <w:t xml:space="preserve"> major hypotheses:</w:t>
      </w:r>
    </w:p>
    <w:p w:rsidR="002C7021" w:rsidRPr="00E03005" w:rsidRDefault="002C7021" w:rsidP="00980C3D"/>
    <w:p w:rsidR="00284561" w:rsidRPr="00E03005" w:rsidRDefault="00284561" w:rsidP="009B0E78">
      <w:pPr>
        <w:pStyle w:val="ListParagraph"/>
        <w:numPr>
          <w:ilvl w:val="0"/>
          <w:numId w:val="4"/>
        </w:numPr>
        <w:ind w:left="720"/>
      </w:pPr>
      <w:r w:rsidRPr="00E03005">
        <w:t>Siting practices differentially affect metrics of impact.</w:t>
      </w:r>
      <w:r>
        <w:t xml:space="preserve"> The goals here were to assess whether the choice of practice is important and if some practices are more generally effective than others.</w:t>
      </w:r>
    </w:p>
    <w:p w:rsidR="00284561" w:rsidRPr="00E03005" w:rsidRDefault="00284561" w:rsidP="009B0E78">
      <w:pPr>
        <w:pStyle w:val="ListParagraph"/>
        <w:numPr>
          <w:ilvl w:val="0"/>
          <w:numId w:val="4"/>
        </w:numPr>
        <w:ind w:left="720"/>
      </w:pPr>
      <w:r w:rsidRPr="00E03005">
        <w:t>Impacts are correlated across sites and practices.</w:t>
      </w:r>
      <w:r>
        <w:t xml:space="preserve"> The goal here was to assess which impacts trade-off when planning infrastructure by simple planning guidelines.</w:t>
      </w:r>
    </w:p>
    <w:p w:rsidR="00284561" w:rsidRPr="00E03005" w:rsidRDefault="00284561" w:rsidP="00980C3D"/>
    <w:p w:rsidR="00284561" w:rsidRPr="00E03005" w:rsidRDefault="00284561" w:rsidP="00980C3D">
      <w:r w:rsidRPr="00E03005">
        <w:t>Before performing the tests bel</w:t>
      </w:r>
      <w:r>
        <w:t xml:space="preserve">ow, we square-root transformed </w:t>
      </w:r>
      <w:r w:rsidRPr="00383A1E">
        <w:rPr>
          <w:i/>
        </w:rPr>
        <w:t>forest loss</w:t>
      </w:r>
      <w:r w:rsidRPr="00E03005">
        <w:t xml:space="preserve"> and </w:t>
      </w:r>
      <w:r w:rsidRPr="00383A1E">
        <w:rPr>
          <w:i/>
        </w:rPr>
        <w:t>cultural</w:t>
      </w:r>
      <w:r w:rsidRPr="00E03005">
        <w:t xml:space="preserve"> and log</w:t>
      </w:r>
      <w:r w:rsidR="006119F8" w:rsidRPr="006119F8">
        <w:rPr>
          <w:vertAlign w:val="subscript"/>
        </w:rPr>
        <w:t>10</w:t>
      </w:r>
      <w:r w:rsidRPr="00E03005">
        <w:t xml:space="preserve"> transformed all other data to increase normality.</w:t>
      </w:r>
    </w:p>
    <w:p w:rsidR="00284561" w:rsidRPr="00E03005" w:rsidRDefault="00284561" w:rsidP="00980C3D">
      <w:r w:rsidRPr="00E03005">
        <w:t xml:space="preserve">To test the first hypothesis, we built </w:t>
      </w:r>
      <w:r>
        <w:t>eight</w:t>
      </w:r>
      <w:r w:rsidRPr="00E03005">
        <w:t xml:space="preserve"> repeated measures ANOVAs, one for each metric as the response, where the study site was the “individual” on which repeated measures were being taken. The “treatments” on each individual were the practices themselves, and the ANOVA was used to test if practices created significant variation in the impact response of the site. We then used a post-hoc Tukey HSD test to determine, for those significant models, which practices differentially affected each impact metric. The ANOVAs were carried out using </w:t>
      </w:r>
      <w:proofErr w:type="spellStart"/>
      <w:r w:rsidRPr="00E03005">
        <w:t>ezANOVA</w:t>
      </w:r>
      <w:proofErr w:type="spellEnd"/>
      <w:r w:rsidRPr="00E03005">
        <w:t xml:space="preserve"> in R (v3).</w:t>
      </w:r>
    </w:p>
    <w:p w:rsidR="00284561" w:rsidRPr="00E03005" w:rsidRDefault="00284561" w:rsidP="00980C3D">
      <w:pPr>
        <w:ind w:firstLine="720"/>
      </w:pPr>
      <w:r w:rsidRPr="00E03005">
        <w:t xml:space="preserve">To test the second hypothesis, we calculated Pearson’s correlation coefficient between each pair of impact metrics, within each practice. For instance, one correlation was between </w:t>
      </w:r>
      <w:r w:rsidRPr="00A93053">
        <w:rPr>
          <w:i/>
        </w:rPr>
        <w:t>forest loss</w:t>
      </w:r>
      <w:r w:rsidRPr="00E03005">
        <w:t xml:space="preserve"> and </w:t>
      </w:r>
      <w:r w:rsidRPr="00A93053">
        <w:rPr>
          <w:i/>
        </w:rPr>
        <w:t>erosion</w:t>
      </w:r>
      <w:r w:rsidRPr="00E03005">
        <w:t xml:space="preserve"> when siting infrastructure in disturbed areas. We used a Bonferroni corrected alpha of </w:t>
      </w:r>
      <w:r>
        <w:t xml:space="preserve">0.0018 </w:t>
      </w:r>
      <w:r w:rsidRPr="00E03005">
        <w:t>(alpha = 0.05/28 = 0.0018) to test significance.</w:t>
      </w:r>
      <w:r>
        <w:t xml:space="preserve"> We focused only on post-development correlations of impacts, but do explore the marginal change in impacts associated with following these simple p</w:t>
      </w:r>
      <w:r w:rsidR="00B35E9C">
        <w:t>lanning practices in Appendix</w:t>
      </w:r>
      <w:r>
        <w:t>.</w:t>
      </w:r>
    </w:p>
    <w:p w:rsidR="00284561" w:rsidRPr="00544273" w:rsidRDefault="00284561" w:rsidP="00284561">
      <w:pPr>
        <w:pStyle w:val="Heading2"/>
      </w:pPr>
      <w:bookmarkStart w:id="85" w:name="_Toc417646772"/>
      <w:bookmarkStart w:id="86" w:name="_Toc421352872"/>
      <w:r w:rsidRPr="00E03005">
        <w:t>Results</w:t>
      </w:r>
      <w:bookmarkEnd w:id="85"/>
      <w:bookmarkEnd w:id="86"/>
    </w:p>
    <w:p w:rsidR="002A20AA" w:rsidRDefault="00B56212" w:rsidP="002A20AA">
      <w:pPr>
        <w:ind w:firstLine="720"/>
      </w:pPr>
      <w:r>
        <w:t>Infrastructure layouts were qualitatively different based on which simple planning practice was followed (</w:t>
      </w:r>
      <w:fldSimple w:instr=" REF _Ref413076255 \h  \* MERGEFORMAT ">
        <w:r w:rsidR="00867AA7" w:rsidRPr="006B3DBF">
          <w:t xml:space="preserve">Fig. </w:t>
        </w:r>
        <w:r w:rsidR="00867AA7">
          <w:t>2.3</w:t>
        </w:r>
      </w:fldSimple>
      <w:r>
        <w:t xml:space="preserve">). For instance, </w:t>
      </w:r>
      <w:r w:rsidR="00F01773">
        <w:fldChar w:fldCharType="begin"/>
      </w:r>
      <w:r w:rsidR="00285ECF">
        <w:instrText xml:space="preserve"> REF _Ref413076255 \h </w:instrText>
      </w:r>
      <w:r w:rsidR="00F01773">
        <w:fldChar w:fldCharType="separate"/>
      </w:r>
      <w:r w:rsidR="00867AA7" w:rsidRPr="006B3DBF">
        <w:t xml:space="preserve">Fig. </w:t>
      </w:r>
      <w:r w:rsidR="00867AA7">
        <w:rPr>
          <w:noProof/>
        </w:rPr>
        <w:t>2</w:t>
      </w:r>
      <w:r w:rsidR="00867AA7">
        <w:t>.</w:t>
      </w:r>
      <w:r w:rsidR="00867AA7">
        <w:rPr>
          <w:noProof/>
        </w:rPr>
        <w:t>3</w:t>
      </w:r>
      <w:r w:rsidR="00F01773">
        <w:fldChar w:fldCharType="end"/>
      </w:r>
      <w:r>
        <w:t xml:space="preserve"> shows four layouts resulting from our four planning practices for one development site. Note especially the lengths of gathering pipelines and that their routes differed markedly based on the locations of well pads, which were themselves in markedly different locations based on the planning practice. These same patterns hold for the other development sites (</w:t>
      </w:r>
      <w:r w:rsidR="00F01773">
        <w:fldChar w:fldCharType="begin"/>
      </w:r>
      <w:r w:rsidR="002A6DE4">
        <w:instrText xml:space="preserve"> REF _Ref419722866 \h </w:instrText>
      </w:r>
      <w:r w:rsidR="00F01773">
        <w:fldChar w:fldCharType="separate"/>
      </w:r>
      <w:r w:rsidR="00867AA7">
        <w:t xml:space="preserve">Fig. S </w:t>
      </w:r>
      <w:r w:rsidR="00867AA7">
        <w:rPr>
          <w:noProof/>
        </w:rPr>
        <w:t>2</w:t>
      </w:r>
      <w:r w:rsidR="00867AA7">
        <w:t>.</w:t>
      </w:r>
      <w:r w:rsidR="00867AA7">
        <w:rPr>
          <w:noProof/>
        </w:rPr>
        <w:t>3</w:t>
      </w:r>
      <w:r w:rsidR="00F01773">
        <w:fldChar w:fldCharType="end"/>
      </w:r>
      <w:r w:rsidR="002A20AA">
        <w:t>).</w:t>
      </w:r>
    </w:p>
    <w:p w:rsidR="00B56212" w:rsidRDefault="002A20AA" w:rsidP="002A20AA">
      <w:pPr>
        <w:ind w:firstLine="720"/>
      </w:pPr>
      <w:r>
        <w:t>Differences in the locations of infrastructure led to varying impacts. While placing infrastructure away from water generally performed better across impacts than placing pads near existing roads or pipelines, or placing infrastructure in disturbed areas, no one practice was universally better across impacts than the others (</w:t>
      </w:r>
      <w:r w:rsidR="00F01773">
        <w:fldChar w:fldCharType="begin"/>
      </w:r>
      <w:r>
        <w:instrText xml:space="preserve"> REF _Ref417464824 \h </w:instrText>
      </w:r>
      <w:r w:rsidR="00F01773">
        <w:fldChar w:fldCharType="separate"/>
      </w:r>
      <w:r w:rsidR="00867AA7" w:rsidRPr="000C1FB4">
        <w:t xml:space="preserve">Fig. </w:t>
      </w:r>
      <w:r w:rsidR="00867AA7">
        <w:rPr>
          <w:noProof/>
        </w:rPr>
        <w:t>2</w:t>
      </w:r>
      <w:r w:rsidR="00867AA7">
        <w:t>.</w:t>
      </w:r>
      <w:r w:rsidR="00867AA7">
        <w:rPr>
          <w:noProof/>
        </w:rPr>
        <w:t>4</w:t>
      </w:r>
      <w:r w:rsidR="00F01773">
        <w:fldChar w:fldCharType="end"/>
      </w:r>
      <w:r>
        <w:t xml:space="preserve">). This should be expected since our simple practices purposefully target one or two objectives and cannot accommodate more without becoming intractable. Further, most impact metrics we measured were positively correlated, such that doing better at avoiding one impact meant doing </w:t>
      </w:r>
    </w:p>
    <w:p w:rsidR="00B56212" w:rsidRDefault="00B56212" w:rsidP="00544273">
      <w:pPr>
        <w:sectPr w:rsidR="00B56212" w:rsidSect="002115B4">
          <w:pgSz w:w="12240" w:h="15840" w:code="1"/>
          <w:pgMar w:top="1440" w:right="1800" w:bottom="1440" w:left="1800" w:header="720" w:footer="1440" w:gutter="0"/>
          <w:cols w:space="720"/>
          <w:noEndnote/>
          <w:docGrid w:linePitch="360"/>
        </w:sectPr>
      </w:pPr>
    </w:p>
    <w:p w:rsidR="00B56212" w:rsidRDefault="00F01773" w:rsidP="00544273">
      <w:pPr>
        <w:sectPr w:rsidR="00B56212" w:rsidSect="00C925BC">
          <w:pgSz w:w="12240" w:h="15840" w:code="1"/>
          <w:pgMar w:top="1440" w:right="1800" w:bottom="1440" w:left="1800" w:header="720" w:footer="1440" w:gutter="0"/>
          <w:cols w:space="720"/>
          <w:vAlign w:val="center"/>
          <w:noEndnote/>
          <w:docGrid w:linePitch="360"/>
        </w:sectPr>
      </w:pPr>
      <w:r>
        <w:pict>
          <v:shape id="_x0000_s1096" type="#_x0000_t202" style="width:6in;height:540pt;mso-position-horizontal-relative:char;mso-position-vertical-relative:line" filled="f" fillcolor="white [3212]" stroked="f">
            <v:textbox style="mso-next-textbox:#_x0000_s1096">
              <w:txbxContent>
                <w:p w:rsidR="006A45E8" w:rsidRDefault="006A45E8" w:rsidP="003335ED">
                  <w:pPr>
                    <w:jc w:val="center"/>
                  </w:pPr>
                  <w:r w:rsidRPr="0003511E">
                    <w:rPr>
                      <w:noProof/>
                    </w:rPr>
                    <w:drawing>
                      <wp:inline distT="0" distB="0" distL="0" distR="0">
                        <wp:extent cx="5319849" cy="5319849"/>
                        <wp:effectExtent l="19050" t="0" r="0" b="0"/>
                        <wp:docPr id="46" name="Picture 3" descr="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tif"/>
                                <pic:cNvPicPr/>
                              </pic:nvPicPr>
                              <pic:blipFill>
                                <a:blip r:embed="rId50" cstate="print"/>
                                <a:stretch>
                                  <a:fillRect/>
                                </a:stretch>
                              </pic:blipFill>
                              <pic:spPr>
                                <a:xfrm>
                                  <a:off x="0" y="0"/>
                                  <a:ext cx="5323123" cy="5323123"/>
                                </a:xfrm>
                                <a:prstGeom prst="rect">
                                  <a:avLst/>
                                </a:prstGeom>
                              </pic:spPr>
                            </pic:pic>
                          </a:graphicData>
                        </a:graphic>
                      </wp:inline>
                    </w:drawing>
                  </w:r>
                </w:p>
                <w:p w:rsidR="006A45E8" w:rsidRPr="002B2090" w:rsidRDefault="006A45E8" w:rsidP="00ED1197">
                  <w:pPr>
                    <w:pStyle w:val="Caption"/>
                    <w:rPr>
                      <w:vanish/>
                      <w:lang w:val="en-GB"/>
                      <w:specVanish/>
                    </w:rPr>
                  </w:pPr>
                  <w:bookmarkStart w:id="87" w:name="_Ref413076255"/>
                  <w:bookmarkStart w:id="88" w:name="_Toc421352909"/>
                  <w:bookmarkStart w:id="89" w:name="_Toc417647068"/>
                  <w:proofErr w:type="gramStart"/>
                  <w:r w:rsidRPr="006B3DBF">
                    <w:t>Fig.</w:t>
                  </w:r>
                  <w:proofErr w:type="gramEnd"/>
                  <w:r w:rsidRPr="006B3DBF">
                    <w:t xml:space="preserve"> </w:t>
                  </w:r>
                  <w:fldSimple w:instr=" STYLEREF 1 \s ">
                    <w:r>
                      <w:rPr>
                        <w:noProof/>
                      </w:rPr>
                      <w:t>2</w:t>
                    </w:r>
                  </w:fldSimple>
                  <w:r>
                    <w:t>.</w:t>
                  </w:r>
                  <w:fldSimple w:instr=" SEQ Fig. \* ARABIC \s 1 ">
                    <w:r>
                      <w:rPr>
                        <w:noProof/>
                      </w:rPr>
                      <w:t>3</w:t>
                    </w:r>
                  </w:fldSimple>
                  <w:bookmarkEnd w:id="87"/>
                  <w:r>
                    <w:t xml:space="preserve">. </w:t>
                  </w:r>
                  <w:proofErr w:type="gramStart"/>
                  <w:r w:rsidRPr="006B3DBF">
                    <w:t>Four layouts of well pads (■), roads (−), and pipelines (--) at one of our twenty sites (</w:t>
                  </w:r>
                  <w:r>
                    <w:t xml:space="preserve">medium </w:t>
                  </w:r>
                  <w:r w:rsidRPr="006B3DBF">
                    <w:t>gray</w:t>
                  </w:r>
                  <w:r>
                    <w:t xml:space="preserve"> --</w:t>
                  </w:r>
                  <w:r w:rsidRPr="006B3DBF">
                    <w:t>).</w:t>
                  </w:r>
                  <w:bookmarkEnd w:id="88"/>
                  <w:proofErr w:type="gramEnd"/>
                </w:p>
                <w:p w:rsidR="006A45E8" w:rsidRPr="0003511E" w:rsidRDefault="006A45E8" w:rsidP="00257830">
                  <w:pPr>
                    <w:pStyle w:val="Caption"/>
                    <w:rPr>
                      <w:b/>
                    </w:rPr>
                  </w:pPr>
                  <w:r w:rsidRPr="006B3DBF">
                    <w:t xml:space="preserve"> </w:t>
                  </w:r>
                  <w:r>
                    <w:t xml:space="preserve">Other layouts presented in the Appendix. </w:t>
                  </w:r>
                  <w:r w:rsidRPr="006B3DBF">
                    <w:t xml:space="preserve">Existing roads are </w:t>
                  </w:r>
                  <w:r>
                    <w:t>medium gray dots (…)</w:t>
                  </w:r>
                  <w:r w:rsidRPr="006B3DBF">
                    <w:t>; proposed infrastructure is black. Each layout is the result of following a different simple siting practice (</w:t>
                  </w:r>
                  <w:r>
                    <w:t>codes here</w:t>
                  </w:r>
                  <w:r w:rsidRPr="006B3DBF">
                    <w:t xml:space="preserve">). </w:t>
                  </w:r>
                  <w:proofErr w:type="gramStart"/>
                  <w:r w:rsidRPr="006B3DBF">
                    <w:t>Each layout, if developed, would result in different impacts on forests (green</w:t>
                  </w:r>
                  <w:r>
                    <w:t xml:space="preserve"> or light gray</w:t>
                  </w:r>
                  <w:r w:rsidRPr="006B3DBF">
                    <w:t>), aquatic habitats (blue</w:t>
                  </w:r>
                  <w:r>
                    <w:t xml:space="preserve"> or medium gray</w:t>
                  </w:r>
                  <w:r w:rsidRPr="006B3DBF">
                    <w:t>), erosion, and cultural features (orange</w:t>
                  </w:r>
                  <w:r>
                    <w:t xml:space="preserve"> or dark gray with black outline</w:t>
                  </w:r>
                  <w:r w:rsidRPr="006B3DBF">
                    <w:t>) (</w:t>
                  </w:r>
                  <w:r>
                    <w:fldChar w:fldCharType="begin"/>
                  </w:r>
                  <w:r>
                    <w:instrText xml:space="preserve"> REF _Ref419810317 \h </w:instrText>
                  </w:r>
                  <w:r>
                    <w:fldChar w:fldCharType="separate"/>
                  </w:r>
                  <w:r>
                    <w:t xml:space="preserve">Table S </w:t>
                  </w:r>
                  <w:r>
                    <w:rPr>
                      <w:noProof/>
                    </w:rPr>
                    <w:t>2</w:t>
                  </w:r>
                  <w:r>
                    <w:t>.</w:t>
                  </w:r>
                  <w:r>
                    <w:rPr>
                      <w:noProof/>
                    </w:rPr>
                    <w:t>2</w:t>
                  </w:r>
                  <w:r>
                    <w:fldChar w:fldCharType="end"/>
                  </w:r>
                  <w:r>
                    <w:t xml:space="preserve"> </w:t>
                  </w:r>
                  <w:r w:rsidRPr="006B3DBF">
                    <w:t>for values).</w:t>
                  </w:r>
                  <w:bookmarkEnd w:id="89"/>
                  <w:proofErr w:type="gramEnd"/>
                </w:p>
              </w:txbxContent>
            </v:textbox>
            <w10:wrap type="none" anchorx="margin" anchory="margin"/>
            <w10:anchorlock/>
          </v:shape>
        </w:pict>
      </w:r>
    </w:p>
    <w:p w:rsidR="002A20AA" w:rsidRDefault="002A20AA" w:rsidP="002A20AA">
      <w:proofErr w:type="gramStart"/>
      <w:r>
        <w:lastRenderedPageBreak/>
        <w:t>better</w:t>
      </w:r>
      <w:proofErr w:type="gramEnd"/>
      <w:r>
        <w:t xml:space="preserve"> with others. However, one measure of forest fragmentation had consistent tradeoffs with other impacts (</w:t>
      </w:r>
      <w:r w:rsidR="00F01773">
        <w:fldChar w:fldCharType="begin"/>
      </w:r>
      <w:r>
        <w:instrText xml:space="preserve"> REF _Ref417464824 \h </w:instrText>
      </w:r>
      <w:r w:rsidR="00F01773">
        <w:fldChar w:fldCharType="separate"/>
      </w:r>
      <w:r w:rsidR="00867AA7" w:rsidRPr="000C1FB4">
        <w:t xml:space="preserve">Fig. </w:t>
      </w:r>
      <w:r w:rsidR="00867AA7">
        <w:rPr>
          <w:noProof/>
        </w:rPr>
        <w:t>2</w:t>
      </w:r>
      <w:r w:rsidR="00867AA7">
        <w:t>.</w:t>
      </w:r>
      <w:r w:rsidR="00867AA7">
        <w:rPr>
          <w:noProof/>
        </w:rPr>
        <w:t>4</w:t>
      </w:r>
      <w:r w:rsidR="00F01773">
        <w:fldChar w:fldCharType="end"/>
      </w:r>
      <w:r>
        <w:t xml:space="preserve">). This is an important caveat for Pennsylvania, where potential forest fragmentation is large </w:t>
      </w:r>
      <w:r w:rsidR="00F01773">
        <w:fldChar w:fldCharType="begin" w:fldLock="1"/>
      </w:r>
      <w:r>
        <w:instrText>ADDIN CSL_CITATION { "citationItems" : [ { "id" : "ITEM-1", "itemData" : { "author" : [ { "dropping-particle" : "", "family" : "Johnson", "given" : "Nels", "non-dropping-particle" : "", "parse-names" : false, "suffix" : "" }, { "dropping-particle" : "", "family" : "Gagnolet", "given" : "Tamara", "non-dropping-particle" : "", "parse-names" : false, "suffix" : "" }, { "dropping-particle" : "", "family" : "Ralls", "given" : "Rachel", "non-dropping-particle" : "", "parse-names" : false, "suffix" : "" }, { "dropping-particle" : "", "family" : "Zimmerman", "given" : "Ephraim", "non-dropping-particle" : "", "parse-names" : false, "suffix" : "" }, { "dropping-particle" : "", "family" : "Eichelberger", "given" : "B.", "non-dropping-particle" : "", "parse-names" : false, "suffix" : "" }, { "dropping-particle" : "", "family" : "Tracey", "given" : "C.", "non-dropping-particle" : "", "parse-names" : false, "suffix" : "" }, { "dropping-particle" : "", "family" : "Kreitler", "given" : "G.", "non-dropping-particle" : "", "parse-names" : false, "suffix" : "" }, { "dropping-particle" : "", "family" : "Orndorff", "given" : "S.", "non-dropping-particle" : "", "parse-names" : false, "suffix" : "" }, { "dropping-particle" : "", "family" : "Tomlinson", "given" : "J.", "non-dropping-particle" : "", "parse-names" : false, "suffix" : "" }, { "dropping-particle" : "", "family" : "Bearer", "given" : "S.", "non-dropping-particle" : "", "parse-names" : false, "suffix" : "" }, { "dropping-particle" : "", "family" : "Sargent", "given" : "S", "non-dropping-particle" : "", "parse-names" : false, "suffix" : "" } ], "id" : "ITEM-1", "issued" : { "date-parts" : [ [ "2010" ] ] }, "publisher-place" : "Harrisburg, PA", "title" : "Pennsylvania Energy Impacts Assessment", "type" : "report" }, "uris" : [ "http://www.mendeley.com/documents/?uuid=d0e7d30a-ed7f-4214-8eae-c6090942392a" ] }, { "id" : "ITEM-2", "itemData" : { "DOI" : "10.1371/journal.pone.0089210", "abstract" : "Global demand for energy has increased by more than 50 percent in the last half-century, and a similar increase is projected by 2030. This demand will increasingly be met with alternative and unconventional energy sources. Development of these resources causes disturbances that strongly impact terrestrial and freshwater ecosystems. The Marcellus Shale gas play covers more than 160,934 km2 in an area that provides drinking water for over 22 million people in several of the largest metropolitan areas in the United States (e.g. New York City, Washington DC, Philadelphia &amp; Pittsburgh). Here we created probability surfaces representing development potential of wind and shale gas for portions of six states in the Central Appalachians. We used these predictions and published projections to model future energy build-out scenarios to quantify future potential impacts on surface drinking water. Our analysis predicts up to 106,004 new wells and 10,798 new wind turbines resulting up to 535,023 ha of impervious surface (3% of the study area) and upwards of 447,134 ha of impacted forest (2% of the study area). In light of this new energy future, mitigating the impacts of energy development will be one of the major challenges in the coming decades.", "author" : [ { "dropping-particle" : "", "family" : "Evans", "given" : "Jeffrey S", "non-dropping-particle" : "", "parse-names" : false, "suffix" : "" }, { "dropping-particle" : "", "family" : "Kiesecker", "given" : "Joseph M", "non-dropping-particle" : "", "parse-names" : false, "suffix" : "" } ], "container-title" : "PLoS ONE", "id" : "ITEM-2", "issue" : "2", "issued" : { "date-parts" : [ [ "2014" ] ] }, "page" : "e89210", "publisher" : "Public Library of Science", "title" : "Shale Gas, Wind and Water: Assessing the Potential Cumulative Impacts of Energy Development on Ecosystem Services within the Marcellus Play", "type" : "article-journal", "volume" : "9" }, "uris" : [ "http://www.mendeley.com/documents/?uuid=34501585-0cb4-4175-9e48-572eb514f0bb" ] } ], "mendeley" : { "formattedCitation" : "(Johnson &lt;i&gt;et al.&lt;/i&gt; 2010; Evans &amp; Kiesecker 2014)", "plainTextFormattedCitation" : "(Johnson et al. 2010; Evans &amp; Kiesecker 2014)", "previouslyFormattedCitation" : "(Johnson &lt;i&gt;et al.&lt;/i&gt; 2010; Evans &amp; Kiesecker 2014)" }, "properties" : { "noteIndex" : 0 }, "schema" : "https://github.com/citation-style-language/schema/raw/master/csl-citation.json" }</w:instrText>
      </w:r>
      <w:r w:rsidR="00F01773">
        <w:fldChar w:fldCharType="separate"/>
      </w:r>
      <w:r w:rsidRPr="00B32474">
        <w:rPr>
          <w:noProof/>
        </w:rPr>
        <w:t xml:space="preserve">(Johnson </w:t>
      </w:r>
      <w:r w:rsidRPr="00B32474">
        <w:rPr>
          <w:i/>
          <w:noProof/>
        </w:rPr>
        <w:t>et al.</w:t>
      </w:r>
      <w:r w:rsidRPr="00B32474">
        <w:rPr>
          <w:noProof/>
        </w:rPr>
        <w:t xml:space="preserve"> 2010; Evans &amp; Kiesecker 2014)</w:t>
      </w:r>
      <w:r w:rsidR="00F01773">
        <w:fldChar w:fldCharType="end"/>
      </w:r>
      <w:r>
        <w:t>.</w:t>
      </w:r>
    </w:p>
    <w:p w:rsidR="00695811" w:rsidRDefault="00284561" w:rsidP="00695811">
      <w:pPr>
        <w:ind w:firstLine="720"/>
      </w:pPr>
      <w:r>
        <w:t xml:space="preserve">We found that for this study region, set of impact metrics, and simple siting practices, impacts are more synergistic than antagonistic. This is revealed in </w:t>
      </w:r>
      <w:r w:rsidR="00F01773">
        <w:fldChar w:fldCharType="begin"/>
      </w:r>
      <w:r w:rsidR="00794277">
        <w:instrText xml:space="preserve"> REF _Ref417464824 \h </w:instrText>
      </w:r>
      <w:r w:rsidR="00F01773">
        <w:fldChar w:fldCharType="separate"/>
      </w:r>
      <w:r w:rsidR="00867AA7" w:rsidRPr="000C1FB4">
        <w:t xml:space="preserve">Fig. </w:t>
      </w:r>
      <w:r w:rsidR="00867AA7">
        <w:rPr>
          <w:noProof/>
        </w:rPr>
        <w:t>2</w:t>
      </w:r>
      <w:r w:rsidR="00867AA7">
        <w:t>.</w:t>
      </w:r>
      <w:r w:rsidR="00867AA7">
        <w:rPr>
          <w:noProof/>
        </w:rPr>
        <w:t>4</w:t>
      </w:r>
      <w:r w:rsidR="00F01773">
        <w:fldChar w:fldCharType="end"/>
      </w:r>
      <w:r>
        <w:t xml:space="preserve"> by the dominance of positive correlations (+) between impacts. The strongest and most numerous positive correlations occurred between the </w:t>
      </w:r>
      <w:r>
        <w:rPr>
          <w:i/>
        </w:rPr>
        <w:t xml:space="preserve">water 2 </w:t>
      </w:r>
      <w:r>
        <w:t>impact metric, a measure of proximity of infrastructure to water bodies, and other metrics. Conversely, there were no significant positive correlations between the</w:t>
      </w:r>
      <w:bookmarkStart w:id="90" w:name="_GoBack"/>
      <w:bookmarkEnd w:id="90"/>
      <w:r>
        <w:t xml:space="preserve"> </w:t>
      </w:r>
      <w:r>
        <w:rPr>
          <w:i/>
        </w:rPr>
        <w:t xml:space="preserve">rare </w:t>
      </w:r>
      <w:proofErr w:type="spellStart"/>
      <w:r>
        <w:rPr>
          <w:i/>
        </w:rPr>
        <w:t>spp</w:t>
      </w:r>
      <w:proofErr w:type="spellEnd"/>
      <w:r>
        <w:rPr>
          <w:i/>
        </w:rPr>
        <w:t xml:space="preserve"> </w:t>
      </w:r>
      <w:r>
        <w:t xml:space="preserve">metric and other metrics. However, there is a negative correlation between </w:t>
      </w:r>
      <w:r>
        <w:rPr>
          <w:i/>
        </w:rPr>
        <w:t xml:space="preserve">forest </w:t>
      </w:r>
      <w:proofErr w:type="spellStart"/>
      <w:r>
        <w:rPr>
          <w:i/>
        </w:rPr>
        <w:t>frag</w:t>
      </w:r>
      <w:proofErr w:type="spellEnd"/>
      <w:r>
        <w:rPr>
          <w:i/>
        </w:rPr>
        <w:t xml:space="preserve"> 1</w:t>
      </w:r>
      <w:r>
        <w:t>, a</w:t>
      </w:r>
      <w:r>
        <w:rPr>
          <w:i/>
        </w:rPr>
        <w:t xml:space="preserve"> </w:t>
      </w:r>
      <w:r>
        <w:t xml:space="preserve">measure of forest fragmentation, and both </w:t>
      </w:r>
      <w:r w:rsidRPr="00D62AE4">
        <w:rPr>
          <w:i/>
        </w:rPr>
        <w:t>forest loss</w:t>
      </w:r>
      <w:r>
        <w:t xml:space="preserve"> and </w:t>
      </w:r>
      <w:r w:rsidRPr="00D62AE4">
        <w:rPr>
          <w:i/>
        </w:rPr>
        <w:t>erosion</w:t>
      </w:r>
      <w:r>
        <w:t xml:space="preserve"> potential. There is also a less strong but persistent tradeoff with water impacts. Tradeoffs involving forest fragmentation are especially important in Pennsylvania, where there are large areas of intact forest. Thus, if we prioritize minimizing forest fragmentation, this may come at the cost of increasing forest loss, erosion, and stream impacts.</w:t>
      </w:r>
      <w:r w:rsidR="00695811" w:rsidRPr="00695811">
        <w:t xml:space="preserve"> </w:t>
      </w:r>
    </w:p>
    <w:p w:rsidR="00695811" w:rsidRPr="00043D07" w:rsidRDefault="00695811" w:rsidP="00695811">
      <w:pPr>
        <w:ind w:firstLine="720"/>
      </w:pPr>
      <w:r>
        <w:t xml:space="preserve">The bar charts and letters in the bottom of </w:t>
      </w:r>
      <w:r w:rsidR="00F01773">
        <w:fldChar w:fldCharType="begin"/>
      </w:r>
      <w:r>
        <w:instrText xml:space="preserve"> REF _Ref417464824 \h </w:instrText>
      </w:r>
      <w:r w:rsidR="00F01773">
        <w:fldChar w:fldCharType="separate"/>
      </w:r>
      <w:r w:rsidR="00867AA7" w:rsidRPr="000C1FB4">
        <w:t xml:space="preserve">Fig. </w:t>
      </w:r>
      <w:r w:rsidR="00867AA7">
        <w:rPr>
          <w:noProof/>
        </w:rPr>
        <w:t>2</w:t>
      </w:r>
      <w:r w:rsidR="00867AA7">
        <w:t>.</w:t>
      </w:r>
      <w:r w:rsidR="00867AA7">
        <w:rPr>
          <w:noProof/>
        </w:rPr>
        <w:t>4</w:t>
      </w:r>
      <w:r w:rsidR="00F01773">
        <w:fldChar w:fldCharType="end"/>
      </w:r>
      <w:r>
        <w:t xml:space="preserve"> reveal that while practices differ in how they affect each impact metric (different groups within each impact metric), no practice performed better (had lower means) than others across all impacts. This is expected, since our simple practices were chosen to achieve specific goals. For instance, putting infrastructure away from water (</w:t>
      </w:r>
      <w:r w:rsidR="00F01773">
        <w:fldChar w:fldCharType="begin"/>
      </w:r>
      <w:r>
        <w:instrText xml:space="preserve"> REF _Ref417464824 \h </w:instrText>
      </w:r>
      <w:r w:rsidR="00F01773">
        <w:fldChar w:fldCharType="separate"/>
      </w:r>
      <w:r w:rsidR="00867AA7" w:rsidRPr="000C1FB4">
        <w:t xml:space="preserve">Fig. </w:t>
      </w:r>
      <w:r w:rsidR="00867AA7">
        <w:rPr>
          <w:noProof/>
        </w:rPr>
        <w:t>2</w:t>
      </w:r>
      <w:r w:rsidR="00867AA7">
        <w:t>.</w:t>
      </w:r>
      <w:r w:rsidR="00867AA7">
        <w:rPr>
          <w:noProof/>
        </w:rPr>
        <w:t>4</w:t>
      </w:r>
      <w:r w:rsidR="00F01773">
        <w:fldChar w:fldCharType="end"/>
      </w:r>
      <w:r>
        <w:t xml:space="preserve"> “p1”) produced the lowest water impacts, but some higher forest impacts. That example also reveals that simple planning practices can be relatively effective at avoiding targeted impacts. Another example is that putting infrastructure in disturbed areas resulted in relatively lower levels of </w:t>
      </w:r>
      <w:r>
        <w:rPr>
          <w:i/>
        </w:rPr>
        <w:t xml:space="preserve">forest </w:t>
      </w:r>
      <w:proofErr w:type="spellStart"/>
      <w:r>
        <w:rPr>
          <w:i/>
        </w:rPr>
        <w:t>frag</w:t>
      </w:r>
      <w:proofErr w:type="spellEnd"/>
      <w:r>
        <w:rPr>
          <w:i/>
        </w:rPr>
        <w:t xml:space="preserve"> 2 </w:t>
      </w:r>
      <w:r>
        <w:t xml:space="preserve">and </w:t>
      </w:r>
      <w:r>
        <w:rPr>
          <w:i/>
        </w:rPr>
        <w:t>forest loss</w:t>
      </w:r>
      <w:r>
        <w:t>. Putting infrastructure close to (</w:t>
      </w:r>
      <w:r>
        <w:rPr>
          <w:i/>
        </w:rPr>
        <w:t>p2</w:t>
      </w:r>
      <w:r>
        <w:t>)</w:t>
      </w:r>
      <w:r>
        <w:rPr>
          <w:i/>
        </w:rPr>
        <w:t xml:space="preserve"> </w:t>
      </w:r>
      <w:r>
        <w:t>existing pipelines or (</w:t>
      </w:r>
      <w:r w:rsidRPr="007A0F08">
        <w:rPr>
          <w:i/>
        </w:rPr>
        <w:t>p3</w:t>
      </w:r>
      <w:r>
        <w:t>) existing roads did not produce clear patterns in impacts relative to the other practices. This may indicate that planning practices that do not clearly target an environmental feature like water or forest are less likely to be effective in a predictable manner. That said</w:t>
      </w:r>
      <w:proofErr w:type="gramStart"/>
      <w:r>
        <w:t>,</w:t>
      </w:r>
      <w:proofErr w:type="gramEnd"/>
      <w:r>
        <w:t xml:space="preserve"> both practices performed the best with regards to </w:t>
      </w:r>
      <w:r w:rsidRPr="00114B98">
        <w:rPr>
          <w:i/>
        </w:rPr>
        <w:t>erosion</w:t>
      </w:r>
      <w:r>
        <w:t xml:space="preserve"> potential. Finally, the blank bars in </w:t>
      </w:r>
      <w:r w:rsidR="00F01773">
        <w:fldChar w:fldCharType="begin"/>
      </w:r>
      <w:r>
        <w:instrText xml:space="preserve"> REF _Ref417464824 \h </w:instrText>
      </w:r>
      <w:r w:rsidR="00F01773">
        <w:fldChar w:fldCharType="separate"/>
      </w:r>
      <w:r w:rsidR="00867AA7" w:rsidRPr="000C1FB4">
        <w:t xml:space="preserve">Fig. </w:t>
      </w:r>
      <w:r w:rsidR="00867AA7">
        <w:rPr>
          <w:noProof/>
        </w:rPr>
        <w:t>2</w:t>
      </w:r>
      <w:r w:rsidR="00867AA7">
        <w:t>.</w:t>
      </w:r>
      <w:r w:rsidR="00867AA7">
        <w:rPr>
          <w:noProof/>
        </w:rPr>
        <w:t>4</w:t>
      </w:r>
      <w:r w:rsidR="00F01773">
        <w:fldChar w:fldCharType="end"/>
      </w:r>
      <w:r>
        <w:t xml:space="preserve"> show that there was no significant difference in performance of planning practices with regards to </w:t>
      </w:r>
      <w:r>
        <w:rPr>
          <w:i/>
        </w:rPr>
        <w:t xml:space="preserve">forest </w:t>
      </w:r>
      <w:proofErr w:type="spellStart"/>
      <w:r>
        <w:rPr>
          <w:i/>
        </w:rPr>
        <w:t>frag</w:t>
      </w:r>
      <w:proofErr w:type="spellEnd"/>
      <w:r>
        <w:rPr>
          <w:i/>
        </w:rPr>
        <w:t xml:space="preserve"> 1</w:t>
      </w:r>
      <w:r>
        <w:t xml:space="preserve"> or </w:t>
      </w:r>
      <w:r>
        <w:rPr>
          <w:i/>
        </w:rPr>
        <w:t>rare spp</w:t>
      </w:r>
      <w:r>
        <w:t xml:space="preserve">. Both </w:t>
      </w:r>
      <w:r>
        <w:rPr>
          <w:i/>
        </w:rPr>
        <w:t xml:space="preserve">forest </w:t>
      </w:r>
      <w:proofErr w:type="spellStart"/>
      <w:r>
        <w:rPr>
          <w:i/>
        </w:rPr>
        <w:t>frag</w:t>
      </w:r>
      <w:proofErr w:type="spellEnd"/>
      <w:r>
        <w:rPr>
          <w:i/>
        </w:rPr>
        <w:t xml:space="preserve"> 1</w:t>
      </w:r>
      <w:r>
        <w:t xml:space="preserve"> and </w:t>
      </w:r>
      <w:r>
        <w:rPr>
          <w:i/>
        </w:rPr>
        <w:t xml:space="preserve">rare </w:t>
      </w:r>
      <w:proofErr w:type="spellStart"/>
      <w:r>
        <w:rPr>
          <w:i/>
        </w:rPr>
        <w:t>spp</w:t>
      </w:r>
      <w:proofErr w:type="spellEnd"/>
      <w:r>
        <w:t xml:space="preserve"> are metrics that will respond to fairly large landscape changes. Effective mesh size (</w:t>
      </w:r>
      <w:r>
        <w:rPr>
          <w:i/>
        </w:rPr>
        <w:t xml:space="preserve">forest </w:t>
      </w:r>
      <w:proofErr w:type="spellStart"/>
      <w:r>
        <w:rPr>
          <w:i/>
        </w:rPr>
        <w:t>frag</w:t>
      </w:r>
      <w:proofErr w:type="spellEnd"/>
      <w:r>
        <w:rPr>
          <w:i/>
        </w:rPr>
        <w:t xml:space="preserve"> 1</w:t>
      </w:r>
      <w:r>
        <w:t xml:space="preserve">) responds most when large patches are divided, which is relatively unlikely in this context. The </w:t>
      </w:r>
      <w:r>
        <w:rPr>
          <w:i/>
        </w:rPr>
        <w:t xml:space="preserve">rare </w:t>
      </w:r>
      <w:proofErr w:type="spellStart"/>
      <w:r>
        <w:rPr>
          <w:i/>
        </w:rPr>
        <w:t>spp</w:t>
      </w:r>
      <w:proofErr w:type="spellEnd"/>
      <w:r>
        <w:t xml:space="preserve"> metric is a coarse resolution metric.</w:t>
      </w:r>
    </w:p>
    <w:p w:rsidR="00FF545D" w:rsidRDefault="00FF545D" w:rsidP="00544273">
      <w:pPr>
        <w:ind w:firstLine="720"/>
        <w:sectPr w:rsidR="00FF545D" w:rsidSect="002115B4">
          <w:pgSz w:w="12240" w:h="15840" w:code="1"/>
          <w:pgMar w:top="1440" w:right="1800" w:bottom="1440" w:left="1800" w:header="720" w:footer="1440" w:gutter="0"/>
          <w:cols w:space="720"/>
          <w:noEndnote/>
          <w:docGrid w:linePitch="360"/>
        </w:sectPr>
      </w:pPr>
    </w:p>
    <w:p w:rsidR="00284561" w:rsidRDefault="00F01773" w:rsidP="00544273">
      <w:pPr>
        <w:ind w:firstLine="720"/>
      </w:pPr>
      <w:bookmarkStart w:id="91" w:name="_Ref413076280"/>
      <w:r>
        <w:rPr>
          <w:noProof/>
        </w:rPr>
        <w:lastRenderedPageBreak/>
        <w:pict>
          <v:shape id="_x0000_s1049" type="#_x0000_t202" style="position:absolute;left:0;text-align:left;margin-left:0;margin-top:0;width:612pt;height:357.3pt;z-index:251652096;mso-position-horizontal:center;mso-position-horizontal-relative:margin;mso-position-vertical:center;mso-position-vertical-relative:margin" stroked="f">
            <v:textbox style="mso-next-textbox:#_x0000_s1049">
              <w:txbxContent>
                <w:p w:rsidR="006A45E8" w:rsidRDefault="006A45E8" w:rsidP="00FF545D">
                  <w:pPr>
                    <w:jc w:val="center"/>
                  </w:pPr>
                  <w:r w:rsidRPr="000C175C">
                    <w:rPr>
                      <w:noProof/>
                    </w:rPr>
                    <w:drawing>
                      <wp:inline distT="0" distB="0" distL="0" distR="0">
                        <wp:extent cx="7315200" cy="3173179"/>
                        <wp:effectExtent l="0" t="0" r="0" b="0"/>
                        <wp:docPr id="48" name="Picture 5" descr="Fi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png"/>
                                <pic:cNvPicPr/>
                              </pic:nvPicPr>
                              <pic:blipFill>
                                <a:blip r:embed="rId51" cstate="print"/>
                                <a:srcRect t="18192"/>
                                <a:stretch>
                                  <a:fillRect/>
                                </a:stretch>
                              </pic:blipFill>
                              <pic:spPr>
                                <a:xfrm>
                                  <a:off x="0" y="0"/>
                                  <a:ext cx="7315200" cy="3173179"/>
                                </a:xfrm>
                                <a:prstGeom prst="rect">
                                  <a:avLst/>
                                </a:prstGeom>
                              </pic:spPr>
                            </pic:pic>
                          </a:graphicData>
                        </a:graphic>
                      </wp:inline>
                    </w:drawing>
                  </w:r>
                </w:p>
                <w:p w:rsidR="006A45E8" w:rsidRPr="002B2090" w:rsidRDefault="006A45E8" w:rsidP="00ED1197">
                  <w:pPr>
                    <w:pStyle w:val="Caption"/>
                    <w:rPr>
                      <w:vanish/>
                      <w:lang w:val="en-GB"/>
                      <w:specVanish/>
                    </w:rPr>
                  </w:pPr>
                  <w:bookmarkStart w:id="92" w:name="_Ref417464824"/>
                  <w:bookmarkStart w:id="93" w:name="_Toc421352910"/>
                  <w:bookmarkStart w:id="94" w:name="_Toc417647069"/>
                  <w:proofErr w:type="gramStart"/>
                  <w:r w:rsidRPr="000C1FB4">
                    <w:t>Fig.</w:t>
                  </w:r>
                  <w:proofErr w:type="gramEnd"/>
                  <w:r w:rsidRPr="000C1FB4">
                    <w:t xml:space="preserve"> </w:t>
                  </w:r>
                  <w:fldSimple w:instr=" STYLEREF 1 \s ">
                    <w:r>
                      <w:rPr>
                        <w:noProof/>
                      </w:rPr>
                      <w:t>2</w:t>
                    </w:r>
                  </w:fldSimple>
                  <w:r>
                    <w:t>.</w:t>
                  </w:r>
                  <w:fldSimple w:instr=" SEQ Fig. \* ARABIC \s 1 ">
                    <w:r>
                      <w:rPr>
                        <w:noProof/>
                      </w:rPr>
                      <w:t>4</w:t>
                    </w:r>
                  </w:fldSimple>
                  <w:bookmarkEnd w:id="92"/>
                  <w:r w:rsidRPr="000C1FB4">
                    <w:t xml:space="preserve">. </w:t>
                  </w:r>
                  <w:proofErr w:type="gramStart"/>
                  <w:r w:rsidRPr="000C1FB4">
                    <w:t>Synergies and tradeoffs among impacts and practices.</w:t>
                  </w:r>
                  <w:bookmarkEnd w:id="93"/>
                  <w:proofErr w:type="gramEnd"/>
                  <w:r w:rsidRPr="00ED1197">
                    <w:rPr>
                      <w:vanish/>
                      <w:lang w:val="en-GB"/>
                      <w:specVanish/>
                    </w:rPr>
                    <w:t xml:space="preserve"> </w:t>
                  </w:r>
                </w:p>
                <w:p w:rsidR="006A45E8" w:rsidRDefault="006A45E8" w:rsidP="00FF545D">
                  <w:pPr>
                    <w:pStyle w:val="Caption"/>
                  </w:pPr>
                  <w:r w:rsidRPr="000C1FB4">
                    <w:t xml:space="preserve"> (</w:t>
                  </w:r>
                  <w:proofErr w:type="gramStart"/>
                  <w:r w:rsidRPr="000C1FB4">
                    <w:t>grid</w:t>
                  </w:r>
                  <w:proofErr w:type="gramEnd"/>
                  <w:r w:rsidRPr="000C1FB4">
                    <w:t xml:space="preserve">) </w:t>
                  </w:r>
                  <w:proofErr w:type="gramStart"/>
                  <w:r w:rsidRPr="000C1FB4">
                    <w:t>Correlations between impact metrics across all 20 sites.</w:t>
                  </w:r>
                  <w:proofErr w:type="gramEnd"/>
                  <w:r w:rsidRPr="000C1FB4">
                    <w:t xml:space="preserve"> Negative correlations (</w:t>
                  </w:r>
                  <w:r>
                    <w:t>-</w:t>
                  </w:r>
                  <w:r w:rsidRPr="000C1FB4">
                    <w:t>) are tradeoffs; synergies</w:t>
                  </w:r>
                  <w:r>
                    <w:t xml:space="preserve"> are +</w:t>
                  </w:r>
                  <w:r w:rsidRPr="000C1FB4">
                    <w:t xml:space="preserve">. </w:t>
                  </w:r>
                  <w:r>
                    <w:t xml:space="preserve">Symbol size reflects correlation magnitude. </w:t>
                  </w:r>
                  <w:r w:rsidRPr="000C1FB4">
                    <w:t>Significan</w:t>
                  </w:r>
                  <w:r>
                    <w:t>t correlations</w:t>
                  </w:r>
                  <w:r w:rsidRPr="000C1FB4">
                    <w:t xml:space="preserve"> (</w:t>
                  </w:r>
                  <w:r>
                    <w:t>black</w:t>
                  </w:r>
                  <w:r w:rsidRPr="000C1FB4">
                    <w:t xml:space="preserve">) </w:t>
                  </w:r>
                  <w:r>
                    <w:t>were</w:t>
                  </w:r>
                  <w:r w:rsidRPr="000C1FB4">
                    <w:t xml:space="preserve"> assessed with Bonferroni corrections. (</w:t>
                  </w:r>
                  <w:proofErr w:type="gramStart"/>
                  <w:r w:rsidRPr="000C1FB4">
                    <w:t>bar</w:t>
                  </w:r>
                  <w:proofErr w:type="gramEnd"/>
                  <w:r w:rsidRPr="000C1FB4">
                    <w:t xml:space="preserve"> charts) </w:t>
                  </w:r>
                  <w:proofErr w:type="gramStart"/>
                  <w:r w:rsidRPr="000C1FB4">
                    <w:t>Performance of practices.</w:t>
                  </w:r>
                  <w:proofErr w:type="gramEnd"/>
                  <w:r w:rsidRPr="000C1FB4">
                    <w:t xml:space="preserve"> Bars are mean values (+/- Tukey HSD</w:t>
                  </w:r>
                  <w:r>
                    <w:t xml:space="preserve"> </w:t>
                  </w:r>
                  <w:r w:rsidRPr="000C1FB4">
                    <w:t>confidence intervals) within the impact listed above on the diagonal</w:t>
                  </w:r>
                  <w:r>
                    <w:t xml:space="preserve">, e.g. the left set of bars corresponds to the </w:t>
                  </w:r>
                  <w:r>
                    <w:rPr>
                      <w:i/>
                    </w:rPr>
                    <w:t>cultural</w:t>
                  </w:r>
                  <w:r>
                    <w:t xml:space="preserve"> impact of different siting practices</w:t>
                  </w:r>
                  <w:r w:rsidRPr="000C1FB4">
                    <w:t>. Non-overlapping errors bars and group letters indicate significant differences. Values are sc</w:t>
                  </w:r>
                  <w:r>
                    <w:t xml:space="preserve">aled 0 to 1, where 1 is worst. </w:t>
                  </w:r>
                  <w:proofErr w:type="gramStart"/>
                  <w:r>
                    <w:rPr>
                      <w:i/>
                    </w:rPr>
                    <w:t>forest</w:t>
                  </w:r>
                  <w:proofErr w:type="gramEnd"/>
                  <w:r>
                    <w:rPr>
                      <w:i/>
                    </w:rPr>
                    <w:t xml:space="preserve"> </w:t>
                  </w:r>
                  <w:proofErr w:type="spellStart"/>
                  <w:r>
                    <w:rPr>
                      <w:i/>
                    </w:rPr>
                    <w:t>frag</w:t>
                  </w:r>
                  <w:proofErr w:type="spellEnd"/>
                  <w:r>
                    <w:rPr>
                      <w:i/>
                    </w:rPr>
                    <w:t xml:space="preserve"> 1</w:t>
                  </w:r>
                  <w:r w:rsidRPr="000C1FB4">
                    <w:t xml:space="preserve"> and </w:t>
                  </w:r>
                  <w:r>
                    <w:rPr>
                      <w:i/>
                    </w:rPr>
                    <w:t xml:space="preserve">rare </w:t>
                  </w:r>
                  <w:proofErr w:type="spellStart"/>
                  <w:r>
                    <w:rPr>
                      <w:i/>
                    </w:rPr>
                    <w:t>spp</w:t>
                  </w:r>
                  <w:proofErr w:type="spellEnd"/>
                  <w:r w:rsidRPr="000C1FB4">
                    <w:t xml:space="preserve"> repeated measures ANOVAs were not significant, so no Tukey HSD tests were performed.</w:t>
                  </w:r>
                  <w:bookmarkEnd w:id="94"/>
                </w:p>
              </w:txbxContent>
            </v:textbox>
            <w10:wrap type="square" anchorx="margin" anchory="margin"/>
          </v:shape>
        </w:pict>
      </w:r>
      <w:bookmarkEnd w:id="91"/>
    </w:p>
    <w:p w:rsidR="00FF545D" w:rsidRDefault="00FF545D" w:rsidP="00CA5F48">
      <w:pPr>
        <w:ind w:firstLine="720"/>
        <w:sectPr w:rsidR="00FF545D" w:rsidSect="002115B4">
          <w:pgSz w:w="15840" w:h="12240" w:orient="landscape" w:code="1"/>
          <w:pgMar w:top="1440" w:right="1800" w:bottom="1440" w:left="1800" w:header="720" w:footer="1440" w:gutter="0"/>
          <w:cols w:space="720"/>
          <w:noEndnote/>
          <w:docGrid w:linePitch="360"/>
        </w:sectPr>
      </w:pPr>
    </w:p>
    <w:p w:rsidR="00284561" w:rsidRDefault="00284561" w:rsidP="00284561">
      <w:pPr>
        <w:pStyle w:val="Heading2"/>
      </w:pPr>
      <w:bookmarkStart w:id="95" w:name="_Toc417646773"/>
      <w:bookmarkStart w:id="96" w:name="_Toc421352873"/>
      <w:r w:rsidRPr="00E03005">
        <w:lastRenderedPageBreak/>
        <w:t>Discussion</w:t>
      </w:r>
      <w:bookmarkEnd w:id="95"/>
      <w:bookmarkEnd w:id="96"/>
    </w:p>
    <w:p w:rsidR="00284561" w:rsidRDefault="00284561" w:rsidP="00544872">
      <w:r>
        <w:t>To inform the use of simple guidelines for planning shale gas surface infrastructure, we wanted to know if the use of such guidelines accompanies tradeoffs among environmental impacts. We also sought to assess the relative effectiveness of guidelines for avoiding impacts. Using Pennsylvania public lands as a case study, we sited well pads, access roads, and gathering pipelines according to four guidelines that are easy to understand and implement. We calculated and correlated eight proxies for environmental impacts that would result from developing such infrastructure.</w:t>
      </w:r>
    </w:p>
    <w:p w:rsidR="00284561" w:rsidRDefault="00284561" w:rsidP="00544872">
      <w:pPr>
        <w:ind w:firstLine="720"/>
      </w:pPr>
      <w:r>
        <w:t>We found mostly weak positive correlations between impacts, indicating that for our study area, multiple impacts could be avoided simultaneously with environmentally-oriented planning. More generally, some impacts will be negatively correlated – i.e. trade-off – in that trying to avoid one impact by changing the location of infrastructure necessarily leads to increasing another impact. In those cases, the best strategy to avoid impacts is to choose locations that balance antagonistic impacts. In this study, one measure of forest fragmentation - effective mesh size - was negatively correlated with several other impacts. This is likely due to both spatially intrinsic tradeoffs between impacts and the use of simplified planning guidelines (</w:t>
      </w:r>
      <w:r w:rsidR="00F01773">
        <w:rPr>
          <w:rFonts w:cs="Times New Roman"/>
        </w:rPr>
        <w:fldChar w:fldCharType="begin"/>
      </w:r>
      <w:r w:rsidR="00FF5247">
        <w:rPr>
          <w:rFonts w:cs="Times New Roman"/>
        </w:rPr>
        <w:instrText xml:space="preserve"> REF _Ref419725978 \h </w:instrText>
      </w:r>
      <w:r w:rsidR="00F01773">
        <w:rPr>
          <w:rFonts w:cs="Times New Roman"/>
        </w:rPr>
      </w:r>
      <w:r w:rsidR="00F01773">
        <w:rPr>
          <w:rFonts w:cs="Times New Roman"/>
        </w:rPr>
        <w:fldChar w:fldCharType="separate"/>
      </w:r>
      <w:r w:rsidR="00867AA7">
        <w:t xml:space="preserve">Fig. S </w:t>
      </w:r>
      <w:r w:rsidR="00867AA7">
        <w:rPr>
          <w:noProof/>
        </w:rPr>
        <w:t>2</w:t>
      </w:r>
      <w:r w:rsidR="00867AA7">
        <w:t>.</w:t>
      </w:r>
      <w:r w:rsidR="00867AA7">
        <w:rPr>
          <w:noProof/>
        </w:rPr>
        <w:t>2</w:t>
      </w:r>
      <w:r w:rsidR="00F01773">
        <w:rPr>
          <w:rFonts w:cs="Times New Roman"/>
        </w:rPr>
        <w:fldChar w:fldCharType="end"/>
      </w:r>
      <w:r>
        <w:t xml:space="preserve">). This result is important in Pennsylvania where reducing impacts on forest fragmentation are highly important and may come at the cost of increasing other impacts, regardless of planning practices. </w:t>
      </w:r>
      <w:r>
        <w:rPr>
          <w:rFonts w:cs="Times New Roman"/>
        </w:rPr>
        <w:t xml:space="preserve">These </w:t>
      </w:r>
      <w:r w:rsidRPr="000856E6">
        <w:rPr>
          <w:rFonts w:cs="Times New Roman"/>
        </w:rPr>
        <w:t>patterns</w:t>
      </w:r>
      <w:r>
        <w:rPr>
          <w:rFonts w:cs="Times New Roman"/>
        </w:rPr>
        <w:t xml:space="preserve"> generally</w:t>
      </w:r>
      <w:r w:rsidRPr="000856E6">
        <w:rPr>
          <w:rFonts w:cs="Times New Roman"/>
        </w:rPr>
        <w:t xml:space="preserve"> hold when looking</w:t>
      </w:r>
      <w:r>
        <w:rPr>
          <w:rFonts w:cs="Times New Roman"/>
        </w:rPr>
        <w:t xml:space="preserve"> at marginal – as opposed to absolute – changes </w:t>
      </w:r>
      <w:r w:rsidRPr="000856E6">
        <w:rPr>
          <w:rFonts w:cs="Times New Roman"/>
        </w:rPr>
        <w:t>brought on by development</w:t>
      </w:r>
      <w:r>
        <w:rPr>
          <w:rFonts w:cs="Times New Roman"/>
        </w:rPr>
        <w:t xml:space="preserve"> (</w:t>
      </w:r>
      <w:r w:rsidR="00F01773">
        <w:rPr>
          <w:rFonts w:cs="Times New Roman"/>
        </w:rPr>
        <w:fldChar w:fldCharType="begin"/>
      </w:r>
      <w:r w:rsidR="00FF5247">
        <w:rPr>
          <w:rFonts w:cs="Times New Roman"/>
        </w:rPr>
        <w:instrText xml:space="preserve"> REF _Ref419725978 \h </w:instrText>
      </w:r>
      <w:r w:rsidR="00F01773">
        <w:rPr>
          <w:rFonts w:cs="Times New Roman"/>
        </w:rPr>
      </w:r>
      <w:r w:rsidR="00F01773">
        <w:rPr>
          <w:rFonts w:cs="Times New Roman"/>
        </w:rPr>
        <w:fldChar w:fldCharType="separate"/>
      </w:r>
      <w:r w:rsidR="00867AA7">
        <w:t xml:space="preserve">Fig. S </w:t>
      </w:r>
      <w:r w:rsidR="00867AA7">
        <w:rPr>
          <w:noProof/>
        </w:rPr>
        <w:t>2</w:t>
      </w:r>
      <w:r w:rsidR="00867AA7">
        <w:t>.</w:t>
      </w:r>
      <w:r w:rsidR="00867AA7">
        <w:rPr>
          <w:noProof/>
        </w:rPr>
        <w:t>2</w:t>
      </w:r>
      <w:r w:rsidR="00F01773">
        <w:rPr>
          <w:rFonts w:cs="Times New Roman"/>
        </w:rPr>
        <w:fldChar w:fldCharType="end"/>
      </w:r>
      <w:r>
        <w:rPr>
          <w:rFonts w:cs="Times New Roman"/>
        </w:rPr>
        <w:t>).</w:t>
      </w:r>
    </w:p>
    <w:p w:rsidR="00284561" w:rsidRDefault="00284561" w:rsidP="00544872">
      <w:pPr>
        <w:ind w:firstLine="720"/>
      </w:pPr>
      <w:r>
        <w:t xml:space="preserve">We also found that simple guidelines for planning surface infrastructure can be relatively effective when focusing on one or a few impacts. For instance, our analysis revealed that, for this context, putting infrastructure away from water was more effective at avoiding water and cultural impacts than other simple planning guidelines. Unfortunately, no one simple guideline was universally better at avoiding impacts than all other guidelines. As such, when more targeted, site-specific planning is possible, simple planning guidelines that encompass the planning context may be good enough. </w:t>
      </w:r>
    </w:p>
    <w:p w:rsidR="00284561" w:rsidRDefault="00284561" w:rsidP="00544872">
      <w:pPr>
        <w:ind w:firstLine="720"/>
      </w:pPr>
      <w:r>
        <w:t>Since our results suggest that regulations targeting single impacts will not be universally effective, new regulations either need to be more comprehensive or site specific, e.g. through a review process similar to Pennsylvania’s Natural Diversity Inventory Environmental Review Tool (</w:t>
      </w:r>
      <w:hyperlink r:id="rId52" w:history="1">
        <w:r w:rsidRPr="004560BE">
          <w:rPr>
            <w:rStyle w:val="Hyperlink"/>
          </w:rPr>
          <w:t>http://www.gis.dcnr.state.pa.us/hgis-er/Login.aspx</w:t>
        </w:r>
      </w:hyperlink>
      <w:r>
        <w:t>). For i</w:t>
      </w:r>
      <w:r w:rsidR="000438E0">
        <w:t xml:space="preserve">nstance, our results indicate </w:t>
      </w:r>
      <w:r>
        <w:t xml:space="preserve">actions that target reductions in forest impacts by placing infrastructure in disturbed </w:t>
      </w:r>
      <w:r w:rsidRPr="005A149A">
        <w:rPr>
          <w:rFonts w:cs="Times New Roman"/>
        </w:rPr>
        <w:t>areas (e.g.</w:t>
      </w:r>
      <w:r w:rsidR="00794277">
        <w:rPr>
          <w:rFonts w:cs="Times New Roman"/>
        </w:rPr>
        <w:t xml:space="preserve"> </w:t>
      </w:r>
      <w:r w:rsidR="00F01773">
        <w:rPr>
          <w:rFonts w:cs="Times New Roman"/>
        </w:rPr>
        <w:fldChar w:fldCharType="begin"/>
      </w:r>
      <w:r w:rsidR="00794277">
        <w:rPr>
          <w:rFonts w:cs="Times New Roman"/>
        </w:rPr>
        <w:instrText xml:space="preserve"> REF _Ref413076255 \h </w:instrText>
      </w:r>
      <w:r w:rsidR="00F01773">
        <w:rPr>
          <w:rFonts w:cs="Times New Roman"/>
        </w:rPr>
      </w:r>
      <w:r w:rsidR="00F01773">
        <w:rPr>
          <w:rFonts w:cs="Times New Roman"/>
        </w:rPr>
        <w:fldChar w:fldCharType="separate"/>
      </w:r>
      <w:r w:rsidR="00867AA7" w:rsidRPr="006B3DBF">
        <w:t xml:space="preserve">Fig. </w:t>
      </w:r>
      <w:r w:rsidR="00867AA7">
        <w:rPr>
          <w:noProof/>
        </w:rPr>
        <w:t>2</w:t>
      </w:r>
      <w:r w:rsidR="00867AA7">
        <w:t>.</w:t>
      </w:r>
      <w:r w:rsidR="00867AA7">
        <w:rPr>
          <w:noProof/>
        </w:rPr>
        <w:t>3</w:t>
      </w:r>
      <w:r w:rsidR="00F01773">
        <w:rPr>
          <w:rFonts w:cs="Times New Roman"/>
        </w:rPr>
        <w:fldChar w:fldCharType="end"/>
      </w:r>
      <w:r w:rsidRPr="005A149A">
        <w:rPr>
          <w:rFonts w:cs="Times New Roman"/>
        </w:rPr>
        <w:t xml:space="preserve">) will actually increase erosion potential, stream crossings, and cultural impacts relative to alternative </w:t>
      </w:r>
      <w:r>
        <w:rPr>
          <w:rFonts w:cs="Times New Roman"/>
        </w:rPr>
        <w:t>strategies</w:t>
      </w:r>
      <w:r w:rsidRPr="005A149A">
        <w:rPr>
          <w:rFonts w:cs="Times New Roman"/>
        </w:rPr>
        <w:t xml:space="preserve"> (</w:t>
      </w:r>
      <w:r w:rsidR="00F01773">
        <w:rPr>
          <w:rFonts w:cs="Times New Roman"/>
        </w:rPr>
        <w:fldChar w:fldCharType="begin"/>
      </w:r>
      <w:r w:rsidR="00794277">
        <w:rPr>
          <w:rFonts w:cs="Times New Roman"/>
        </w:rPr>
        <w:instrText xml:space="preserve"> REF _Ref417464824 \h </w:instrText>
      </w:r>
      <w:r w:rsidR="00F01773">
        <w:rPr>
          <w:rFonts w:cs="Times New Roman"/>
        </w:rPr>
      </w:r>
      <w:r w:rsidR="00F01773">
        <w:rPr>
          <w:rFonts w:cs="Times New Roman"/>
        </w:rPr>
        <w:fldChar w:fldCharType="separate"/>
      </w:r>
      <w:r w:rsidR="00867AA7" w:rsidRPr="000C1FB4">
        <w:t xml:space="preserve">Fig. </w:t>
      </w:r>
      <w:r w:rsidR="00867AA7">
        <w:rPr>
          <w:noProof/>
        </w:rPr>
        <w:t>2</w:t>
      </w:r>
      <w:r w:rsidR="00867AA7">
        <w:t>.</w:t>
      </w:r>
      <w:r w:rsidR="00867AA7">
        <w:rPr>
          <w:noProof/>
        </w:rPr>
        <w:t>4</w:t>
      </w:r>
      <w:r w:rsidR="00F01773">
        <w:rPr>
          <w:rFonts w:cs="Times New Roman"/>
        </w:rPr>
        <w:fldChar w:fldCharType="end"/>
      </w:r>
      <w:r w:rsidRPr="005A149A">
        <w:rPr>
          <w:rFonts w:cs="Times New Roman"/>
        </w:rPr>
        <w:t>).</w:t>
      </w:r>
      <w:r>
        <w:t xml:space="preserve"> Actions that incentivize </w:t>
      </w:r>
      <w:r>
        <w:lastRenderedPageBreak/>
        <w:t>developers to take an impact-comprehensive planning approach could be more effective, but will be more challenging to design and implement than simpler, targeted ones. Alternatively, implementing a site-level review process where regulator and developer work together to identify potential impacts and avoid them could be effective, though at an increased time and resource commitment for both sides.</w:t>
      </w:r>
    </w:p>
    <w:p w:rsidR="00284561" w:rsidRDefault="00284561" w:rsidP="00544872">
      <w:pPr>
        <w:ind w:firstLine="720"/>
      </w:pPr>
      <w:r>
        <w:t xml:space="preserve">Our study joins the large and growing body of work on measuring and assessing the relationships between multiple indicators of environment and society for decision making. Increasingly common are studies of tradeoffs among ecosystem services </w:t>
      </w:r>
      <w:r w:rsidR="00F01773">
        <w:fldChar w:fldCharType="begin" w:fldLock="1"/>
      </w:r>
      <w:r w:rsidR="00B32474">
        <w:instrText>ADDIN CSL_CITATION { "citationItems" : [ { "id" : "ITEM-1", "itemData" : { "DOI" : "10.1111/1365-2664.12085", "ISSN" : "1365-2664", "abstract" : "\n\n\n\n* Understanding and quantifying constraints to multiple ecosystem service delivery and biodiversity is vital for developing management strategies for current and future human well-being. A particular challenge is to reconcile demand for increased food production with provision of other ecosystem services and biodiversity.\n\n\n* Using a spatially extensive data base (covering Great Britain) of co-located biophysical measurements (collected in the Countryside Survey), we explore the relationships between ecosystem service indicators and biodiversity across a temperate ecosystem productivity gradient.\n\n\n* Each service indicator has an individual response curve demonstrating that simultaneous analysis of multiple ecosystem services is essential for optimal service management. The shape of the response curve can be used to indicate whether \u2018land sharing\u2019 (provision of multiple services from the same land parcel) or \u2018land sparing\u2019 (single service prioritization) is the most appropriate option.\n\n\n* Soil carbon storage and above-ground net primary production indicators were found to define opposing ends of a primary gradient in service provision. Biodiversity and water quality indicators were highest at intermediate levels of both factors, consistent with a unimodal relationship along a productivity gradient.\n\n\n* Positive relationships occurred between multiple components of biodiversity, measured as taxon richness of all plants, bee and butterfly nectar plants, soil invertebrates and freshwater macroinvertebrates, indicating potential for management measures directed at one aspect of biodiversity to deliver wider ecosystem biodiversity.\n\n\n* We demonstrate that in temperate, human-dominated landscapes, ecosystem services are highly constrained by a fundamental productivity gradient. There are immediate trade-offs between productivity and soil carbon storage but potential synergies with services with different shaped relationships to production.\n\n\n* Synthesis and applications. Using techniques such as response curves to analyse multiple service interactions can inform the development of Spatial Decision Support tools and landscape-scale ecosystem service management options. At intermediate productivity, \u2018land-sharing\u2019 would optimize multiple services, however, to deliver significant soil carbon storage \u2018land-sparing\u2019 is required, that is, resources focused in low productivity areas with high carbon to maximize investment return. This study emphasizes that targ\u2026", "author" : [ { "dropping-particle" : "", "family" : "Maskell", "given" : "Lindsay C", "non-dropping-particle" : "", "parse-names" : false, "suffix" : "" }, { "dropping-particle" : "", "family" : "Crowe", "given" : "Andrew", "non-dropping-particle" : "", "parse-names" : false, "suffix" : "" }, { "dropping-particle" : "", "family" : "Dunbar", "given" : "Michael J", "non-dropping-particle" : "", "parse-names" : false, "suffix" : "" }, { "dropping-particle" : "", "family" : "Emmett", "given" : "Bridget", "non-dropping-particle" : "", "parse-names" : false, "suffix" : "" }, { "dropping-particle" : "", "family" : "Henrys", "given" : "Peter", "non-dropping-particle" : "", "parse-names" : false, "suffix" : "" }, { "dropping-particle" : "", "family" : "Keith", "given" : "Aidan M", "non-dropping-particle" : "", "parse-names" : false, "suffix" : "" }, { "dropping-particle" : "", "family" : "Norton", "given" : "Lisa R", "non-dropping-particle" : "", "parse-names" : false, "suffix" : "" }, { "dropping-particle" : "", "family" : "Scholefield", "given" : "Paul", "non-dropping-particle" : "", "parse-names" : false, "suffix" : "" }, { "dropping-particle" : "", "family" : "Clark", "given" : "Douglas B", "non-dropping-particle" : "", "parse-names" : false, "suffix" : "" }, { "dropping-particle" : "", "family" : "Simpson", "given" : "Ian C", "non-dropping-particle" : "", "parse-names" : false, "suffix" : "" }, { "dropping-particle" : "", "family" : "Smart", "given" : "Simon M", "non-dropping-particle" : "", "parse-names" : false, "suffix" : "" } ], "container-title" : "Journal of Applied Ecology", "id" : "ITEM-1", "issue" : "3", "issued" : { "date-parts" : [ [ "2013" ] ] }, "note" : "reference in ch2 multiple environmental and conservation metrics and tradeoffs", "page" : "561-571", "title" : "Exploring the ecological constraints to multiple ecosystem service delivery and biodiversity", "type" : "article-journal", "volume" : "50" }, "uris" : [ "http://www.mendeley.com/documents/?uuid=0a21e1a9-8c57-43eb-846a-38b6334fe41d" ] }, { "id" : "ITEM-2", "itemData" : { "DOI" : "10.1111/j.1461-0248.2009.01387.x", "ISSN" : "1461-0248", "abstract" : "Ecology Letters (2009) 12: 1394\u20131404AbstractEcosystem management that attempts to maximize the production of one ecosystem service often results in substantial declines in the provision of other ecosystem services. For this reason, recent studies have called for increased attention to development of a theoretical understanding behind the relationships among ecosystem services. Here, we review the literature on ecosystem services and propose a typology of relationships between ecosystem services based on the role of drivers and the interactions between services. We use this typology to develop three propositions to help drive ecological science towards a better understanding of the relationships among multiple ecosystem services. Research which aims to understand the relationships among multiple ecosystem services and the mechanisms behind these relationships will improve our ability to sustainably manage landscapes to provide multiple ecosystem services.", "author" : [ { "dropping-particle" : "", "family" : "Bennett", "given" : "Elena M", "non-dropping-particle" : "", "parse-names" : false, "suffix" : "" }, { "dropping-particle" : "", "family" : "Peterson", "given" : "Garry D", "non-dropping-particle" : "", "parse-names" : false, "suffix" : "" }, { "dropping-particle" : "", "family" : "Gordon", "given" : "Line J", "non-dropping-particle" : "", "parse-names" : false, "suffix" : "" } ], "container-title" : "Ecology Letters", "id" : "ITEM-2", "issue" : "12", "issued" : { "date-parts" : [ [ "2009" ] ] }, "note" : "reference ch2 multiple environmental metrics tradeoff conservation planning", "page" : "1394-1404", "publisher" : "Blackwell Publishing Ltd", "title" : "Understanding relationships among multiple ecosystem services", "type" : "article-journal", "volume" : "12" }, "uris" : [ "http://www.mendeley.com/documents/?uuid=c72b564f-0349-40bf-b6a0-25386b7ba809" ] }, { "id" : "ITEM-3", "itemData" : { "DOI" : "10.1073/pnas.0907284107", "abstract" : "A key challenge of ecosystem management is determining how to manage multiple ecosystem services across landscapes. Enhancing important provisioning ecosystem services, such as food and timber, often leads to tradeoffs between regulating and cultural ecosystem services, such as nutrient cycling, flood protection, and tourism. We developed a framework for analyzing the provision of multiple ecosystem services across landscapes and present an empirical demonstration of ecosystem service bundles, sets of services that appear together repeatedly. Ecosystem service bundles were identified by analyzing the spatial patterns of 12 ecosystem services in a mixed-use landscape consisting of 137 municipalities in Quebec, Canada. We identified six types of ecosystem service bundles and were able to link these bundles to areas on the landscape characterized by distinct social\u2013ecological dynamics. Our results show landscape-scale tradeoffs between provisioning and almost all regulating and cultural ecosystem services, and they show that a greater diversity of ecosystem services is positively correlated with the provision of regulating ecosystem services. Ecosystem service-bundle analysis can identify areas on a landscape where ecosystem management has produced exceptionally desirable or undesirable sets of ecosystem services. ", "author" : [ { "dropping-particle" : "", "family" : "Raudsepp-Hearne", "given" : "C", "non-dropping-particle" : "", "parse-names" : false, "suffix" : "" }, { "dropping-particle" : "", "family" : "Peterson", "given" : "G D", "non-dropping-particle" : "", "parse-names" : false, "suffix" : "" }, { "dropping-particle" : "", "family" : "Bennett", "given" : "E M", "non-dropping-particle" : "", "parse-names" : false, "suffix" : "" } ], "container-title" : "Proceedings of the National Academy of Sciences ", "id" : "ITEM-3", "issue" : "11 ", "issued" : { "date-parts" : [ [ "2010", "3", "16" ] ] }, "page" : "5242-5247", "title" : "Ecosystem service bundles for analyzing tradeoffs in diverse landscapes", "type" : "article-journal", "volume" : "107 " }, "uris" : [ "http://www.mendeley.com/documents/?uuid=535aa83b-d304-4917-b3cc-359295ca24e5" ] }, { "id" : "ITEM-4", "itemData" : { "DOI" : "10.1016/j.gloenvcha.2014.07.005", "ISSN" : "09593780", "abstract" : "Ecosystem services can provide a wide range of benefits for human well-being, including provisioning, regulating and cultural services and benefitting both private and public interests in different sectors of society. Biophysical, economic and social factors all make it unlikely that multiple needs will be met simultaneously without deliberate efforts, yet while there is still much interest in developing win-win outcomes there is little understanding of what is required for them to be achieved. We analysed outcomes in a wide range of case studies where ecosystem services had been used for human well-being. Using systematic mapping of the literature from 2000 to 2013, we identified 1324 potentially relevant reports, 92 of which were selected for the review, creating a database of 231 actual or potential recorded trade-offs and synergies. The analysis of these case studies highlighted significant gaps in the literature, including: a limited geographic distribution of case studies, a focus on provisioning as opposed to non-provisioning services and a lack of studies exploring the link between ecosystem service trade-offs or synergies and the ultimate impact on human well-being. Trade-offs are recorded almost three times as often as synergies and the analysis indicates that there are three significant indicators that a trade-off will occur: at least one of the stakeholders having a private interest in the natural resources available, the involvement of provisioning ecosystem services and at least one of the stakeholders acting at the local scale. There is not, however, a generalisable context for a win-win, indicating that these trade-off indicators, although highlighting where a trade-off may occur do not indicate that it is inevitable. Taking account of why trade-offs occur (e.g. from failures in management or a lack of accounting for all stakeholders) is more likely to create win-win situations than planning for a win-win from the outset. Consequently, taking a trade-offs as opposed to a win-win approach, by having an awareness of and accounting for factors that predict a trade-off (private interest, provisioning versus other ES, local stakeholder) and the reasons why trade-offs are often the outcome, it may be possible to create the synergies we seek to achieve.", "author" : [ { "dropping-particle" : "", "family" : "Howe", "given" : "Caroline", "non-dropping-particle" : "", "parse-names" : false, "suffix" : "" }, { "dropping-particle" : "", "family" : "Suich", "given" : "Helen", "non-dropping-particle" : "", "parse-names" : false, "suffix" : "" }, { "dropping-particle" : "", "family" : "Vira", "given" : "Bhaskar", "non-dropping-particle" : "", "parse-names" : false, "suffix" : "" }, { "dropping-particle" : "", "family" : "Mace", "given" : "Georgina M.", "non-dropping-particle" : "", "parse-names" : false, "suffix" : "" } ], "container-title" : "Global Environmental Change", "id" : "ITEM-4", "issued" : { "date-parts" : [ [ "2014", "9" ] ] }, "note" : "reference ch2 multiple environmental metrics tradeoff conservation planning", "page" : "263-275", "title" : "Creating win-wins from trade-offs? Ecosystem services for human well-being: A meta-analysis of ecosystem service trade-offs and synergies in the real world", "type" : "article-journal", "volume" : "28" }, "uris" : [ "http://www.mendeley.com/documents/?uuid=e067ac1a-76c6-4c71-bc79-24284250bc73" ] }, { "id" : "ITEM-5", "itemData" : { "DOI" : "10.1890/10-1865.1", "ISSN" : "1051-0761", "abstract" : "Pressure on ecosystems to provide various different and often conflicting services is immense and likely to increase. The impacts and success of conservation prioritization will be enhanced if the needs of competing land uses are recognized at the planning stage. We develop such methods and illustrate them with data about competing land uses in Great Britain, with the aim of developing a conservation priority ranking that balances between needs of biodiversity conservation, carbon storage, agricultural value, and urban development potential. While both carbon stocks and biodiversity are desirable features from the point of view of conservation, they compete with the needs of agriculture and urban development. In Britain the greatest conflicts exist between biodiversity and urban areas, while the largest carbon stocks occur mostly in Scotland in areas with low agricultural or urban pressure. In our application, we were able successfully to balance the spatial allocation of alternative land uses so that con...", "author" : [ { "dropping-particle" : "", "family" : "Moilanen", "given" : "Atte", "non-dropping-particle" : "", "parse-names" : false, "suffix" : "" }, { "dropping-particle" : "", "family" : "Anderson", "given" : "Barbara J.", "non-dropping-particle" : "", "parse-names" : false, "suffix" : "" }, { "dropping-particle" : "", "family" : "Eigenbrod", "given" : "Felix", "non-dropping-particle" : "", "parse-names" : false, "suffix" : "" }, { "dropping-particle" : "", "family" : "Heinemeyer", "given" : "Andreas", "non-dropping-particle" : "", "parse-names" : false, "suffix" : "" }, { "dropping-particle" : "", "family" : "Roy", "given" : "David B.", "non-dropping-particle" : "", "parse-names" : false, "suffix" : "" }, { "dropping-particle" : "", "family" : "Gillings", "given" : "Simon", "non-dropping-particle" : "", "parse-names" : false, "suffix" : "" }, { "dropping-particle" : "", "family" : "Armsworth", "given" : "Paul R.", "non-dropping-particle" : "", "parse-names" : false, "suffix" : "" }, { "dropping-particle" : "", "family" : "Gaston", "given" : "Kevin J.", "non-dropping-particle" : "", "parse-names" : false, "suffix" : "" }, { "dropping-particle" : "", "family" : "Thomas", "given" : "Chris D.", "non-dropping-particle" : "", "parse-names" : false, "suffix" : "" } ], "container-title" : "Ecological Applications", "id" : "ITEM-5", "issue" : "5", "issued" : { "date-parts" : [ [ "2011", "7", "13" ] ] }, "language" : "EN", "note" : "reference in SWAP as example of spatial prioritization in conseration", "page" : "1419-1426", "publisher" : "Ecological Society of America", "title" : "Balancing alternative land uses in conservation prioritization", "type" : "article-journal", "volume" : "21" }, "uris" : [ "http://www.mendeley.com/documents/?uuid=3d92c2a0-759b-4535-8905-c8d1cf5b5520" ] } ], "mendeley" : { "formattedCitation" : "(Bennett, Peterson &amp; Gordon 2009; Raudsepp-Hearne, Peterson &amp; Bennett 2010; Moilanen &lt;i&gt;et al.&lt;/i&gt; 2011; Maskell &lt;i&gt;et al.&lt;/i&gt; 2013; Howe &lt;i&gt;et al.&lt;/i&gt; 2014)", "plainTextFormattedCitation" : "(Bennett, Peterson &amp; Gordon 2009; Raudsepp-Hearne, Peterson &amp; Bennett 2010; Moilanen et al. 2011; Maskell et al. 2013; Howe et al. 2014)", "previouslyFormattedCitation" : "(Bennett, Peterson &amp; Gordon 2009; Raudsepp-Hearne, Peterson &amp; Bennett 2010; Moilanen &lt;i&gt;et al.&lt;/i&gt; 2011; Maskell &lt;i&gt;et al.&lt;/i&gt; 2013; Howe &lt;i&gt;et al.&lt;/i&gt; 2014)" }, "properties" : { "noteIndex" : 0 }, "schema" : "https://github.com/citation-style-language/schema/raw/master/csl-citation.json" }</w:instrText>
      </w:r>
      <w:r w:rsidR="00F01773">
        <w:fldChar w:fldCharType="separate"/>
      </w:r>
      <w:r w:rsidR="00B32474" w:rsidRPr="00B32474">
        <w:rPr>
          <w:noProof/>
          <w:lang w:val="fr-FR"/>
        </w:rPr>
        <w:t xml:space="preserve">(Bennett, Peterson &amp; Gordon 2009; Raudsepp-Hearne, Peterson &amp; Bennett 2010; Moilanen </w:t>
      </w:r>
      <w:r w:rsidR="00B32474" w:rsidRPr="00B32474">
        <w:rPr>
          <w:i/>
          <w:noProof/>
          <w:lang w:val="fr-FR"/>
        </w:rPr>
        <w:t>et al.</w:t>
      </w:r>
      <w:r w:rsidR="00B32474" w:rsidRPr="00B32474">
        <w:rPr>
          <w:noProof/>
          <w:lang w:val="fr-FR"/>
        </w:rPr>
        <w:t xml:space="preserve"> 2011; Maskell </w:t>
      </w:r>
      <w:r w:rsidR="00B32474" w:rsidRPr="00B32474">
        <w:rPr>
          <w:i/>
          <w:noProof/>
          <w:lang w:val="fr-FR"/>
        </w:rPr>
        <w:t>et al.</w:t>
      </w:r>
      <w:r w:rsidR="00B32474" w:rsidRPr="00B32474">
        <w:rPr>
          <w:noProof/>
          <w:lang w:val="fr-FR"/>
        </w:rPr>
        <w:t xml:space="preserve"> 2013; Howe </w:t>
      </w:r>
      <w:r w:rsidR="00B32474" w:rsidRPr="00B32474">
        <w:rPr>
          <w:i/>
          <w:noProof/>
          <w:lang w:val="fr-FR"/>
        </w:rPr>
        <w:t>et al.</w:t>
      </w:r>
      <w:r w:rsidR="00B32474" w:rsidRPr="00B32474">
        <w:rPr>
          <w:noProof/>
          <w:lang w:val="fr-FR"/>
        </w:rPr>
        <w:t xml:space="preserve"> 2014)</w:t>
      </w:r>
      <w:r w:rsidR="00F01773">
        <w:fldChar w:fldCharType="end"/>
      </w:r>
      <w:r w:rsidRPr="00AD4A6F">
        <w:rPr>
          <w:lang w:val="fr-FR"/>
        </w:rPr>
        <w:t xml:space="preserve">. </w:t>
      </w:r>
      <w:r>
        <w:t xml:space="preserve">At the same time, multi-objective planning is an essential part of conservation more generally </w:t>
      </w:r>
      <w:r w:rsidR="00F01773">
        <w:fldChar w:fldCharType="begin" w:fldLock="1"/>
      </w:r>
      <w:r w:rsidR="00B32474">
        <w:instrText>ADDIN CSL_CITATION { "citationItems" : [ { "id" : "ITEM-1", "itemData" : { "abstract" : "Many of the Nation\u2019s conservation programs use an index approach to prioritize environmental and cost objectives. In an index, objectives are weighted by relative importance. This report provides empirical evidence on the cost and environmental benefit tradeoffs of different weighting schemes in USDA\u2019s Conservation Reserve Program and considers how different weighting schemes encourage different sets of landowners to offer land for enrollment. The report finds that while small changes in index weights do not markedly affect levels of environmental benefits that can be achieved at a national level, larger changes can have a moderate impact.", "author" : [ { "dropping-particle" : "", "family" : "Cattaneo", "given" : "Andrea", "non-dropping-particle" : "", "parse-names" : false, "suffix" : "" }, { "dropping-particle" : "", "family" : "Hellerstein", "given" : "Daniel", "non-dropping-particle" : "", "parse-names" : false, "suffix" : "" }, { "dropping-particle" : "", "family" : "Nickerson", "given" : "Cynthia", "non-dropping-particle" : "", "parse-names" : false, "suffix" : "" }, { "dropping-particle" : "", "family" : "Myers", "given" : "Christina", "non-dropping-particle" : "", "parse-names" : false, "suffix" : "" } ], "id" : "ITEM-1", "issued" : { "date-parts" : [ [ "2006" ] ] }, "note" : "reference ch2 multiple environmental metrics tradeoff conservation planning", "title" : "Balancing the multiple objectives of conservation programs", "type" : "report" }, "uris" : [ "http://www.mendeley.com/documents/?uuid=2812b68c-cf68-409e-8f6b-a67e0a59aa0c" ] } ], "mendeley" : { "formattedCitation" : "(Cattaneo &lt;i&gt;et al.&lt;/i&gt; 2006)", "plainTextFormattedCitation" : "(Cattaneo et al. 2006)", "previouslyFormattedCitation" : "(Cattaneo &lt;i&gt;et al.&lt;/i&gt; 2006)" }, "properties" : { "noteIndex" : 0 }, "schema" : "https://github.com/citation-style-language/schema/raw/master/csl-citation.json" }</w:instrText>
      </w:r>
      <w:r w:rsidR="00F01773">
        <w:fldChar w:fldCharType="separate"/>
      </w:r>
      <w:r w:rsidR="00B32474" w:rsidRPr="00B32474">
        <w:rPr>
          <w:noProof/>
        </w:rPr>
        <w:t xml:space="preserve">(Cattaneo </w:t>
      </w:r>
      <w:r w:rsidR="00B32474" w:rsidRPr="00B32474">
        <w:rPr>
          <w:i/>
          <w:noProof/>
        </w:rPr>
        <w:t>et al.</w:t>
      </w:r>
      <w:r w:rsidR="00B32474" w:rsidRPr="00B32474">
        <w:rPr>
          <w:noProof/>
        </w:rPr>
        <w:t xml:space="preserve"> 2006)</w:t>
      </w:r>
      <w:r w:rsidR="00F01773">
        <w:fldChar w:fldCharType="end"/>
      </w:r>
      <w:r>
        <w:t xml:space="preserve">.  Our study incorporates elements of land use decision making, another arena in which ongoing research highlights that understanding the effects of land use on multiple indicators is important </w:t>
      </w:r>
      <w:r w:rsidR="00F01773">
        <w:fldChar w:fldCharType="begin" w:fldLock="1"/>
      </w:r>
      <w:r w:rsidR="00B32474">
        <w:instrText>ADDIN CSL_CITATION { "citationItems" : [ { "id" : "ITEM-1", "itemData" : { "DOI" : "10.1126/science.1208742", "abstract" : "The question of how to meet rising food demand at the least cost to biodiversity requires the evaluation of two contrasting alternatives: land sharing, which integrates both objectives on the same land; and land sparing, in which high-yield farming is combined with protecting natural habitats from conversion to agriculture. To test these alternatives, we compared crop yields and densities of bird and tree species across gradients of agricultural intensity in southwest Ghana and northern India. More species were negatively affected by agriculture than benefited from it, particularly among species with small global ranges. For both taxa in both countries, land sparing is a more promising strategy for minimizing negative impacts of food production, at both current and anticipated future levels of production. ", "author" : [ { "dropping-particle" : "", "family" : "Phalan", "given" : "Ben", "non-dropping-particle" : "", "parse-names" : false, "suffix" : "" }, { "dropping-particle" : "", "family" : "Onial", "given" : "Malvika", "non-dropping-particle" : "", "parse-names" : false, "suffix" : "" }, { "dropping-particle" : "", "family" : "Balmford", "given" : "Andrew", "non-dropping-particle" : "", "parse-names" : false, "suffix" : "" }, { "dropping-particle" : "", "family" : "Green", "given" : "Rhys E", "non-dropping-particle" : "", "parse-names" : false, "suffix" : "" } ], "container-title" : "Science ", "id" : "ITEM-1", "issue" : "6047 ", "issued" : { "date-parts" : [ [ "2011", "9", "2" ] ] }, "page" : "1289-1291", "title" : "Reconciling Food Production and Biodiversity Conservation: Land Sharing and Land Sparing Compared", "type" : "article-journal", "volume" : "333 " }, "uris" : [ "http://www.mendeley.com/documents/?uuid=5faab0c2-779c-4a67-815c-3de0dca34f7d" ] }, { "id" : "ITEM-2", "itemData" : { "DOI" : "10.1073/pnas.1210595110", "abstract" : "\u201cLandscape approaches\u201d seek to provide tools and concepts for allocating and managing land to achieve social, economic, and environmental objectives in areas where agriculture, mining, and other productive land uses compete with environmental and biodiversity goals. Here we synthesize the current consensus on landscape approaches. This is based on published literature and a consensus-building process to define good practice and is validated by a survey of practitioners. We find the landscape approach has been refined in response to increasing societal concerns about environment and development tradeoffs. Notably, there has been a shift from conservation-orientated perspectives toward increasing integration of poverty alleviation goals. We provide 10 summary principles to support implementation of a landscape approach as it is currently interpreted. These principles emphasize adaptive management, stakeholder involvement, and multiple objectives. Various constraints are recognized, with institutional and governance concerns identified as the most severe obstacles to implementation. We discuss how these principles differ from more traditional sectoral and project-based approaches. Although no panacea, we see few alternatives that are likely to address landscape challenges more effectively than an approach circumscribed by the principles outlined here. ", "author" : [ { "dropping-particle" : "", "family" : "Sayer", "given" : "Jeffrey", "non-dropping-particle" : "", "parse-names" : false, "suffix" : "" }, { "dropping-particle" : "", "family" : "Sunderland", "given" : "Terry", "non-dropping-particle" : "", "parse-names" : false, "suffix" : "" }, { "dropping-particle" : "", "family" : "Ghazoul", "given" : "Jaboury", "non-dropping-particle" : "", "parse-names" : false, "suffix" : "" }, { "dropping-particle" : "", "family" : "Pfund", "given" : "Jean-Laurent", "non-dropping-particle" : "", "parse-names" : false, "suffix" : "" }, { "dropping-particle" : "", "family" : "Sheil", "given" : "Douglas", "non-dropping-particle" : "", "parse-names" : false, "suffix" : "" }, { "dropping-particle" : "", "family" : "Meijaard", "given" : "Erik", "non-dropping-particle" : "", "parse-names" : false, "suffix" : "" }, { "dropping-particle" : "", "family" : "Venter", "given" : "Michelle", "non-dropping-particle" : "", "parse-names" : false, "suffix" : "" }, { "dropping-particle" : "", "family" : "Boedhihartono", "given" : "Agni Klintuni", "non-dropping-particle" : "", "parse-names" : false, "suffix" : "" }, { "dropping-particle" : "", "family" : "Day", "given" : "Michael", "non-dropping-particle" : "", "parse-names" : false, "suffix" : "" }, { "dropping-particle" : "", "family" : "Garcia", "given" : "Claude", "non-dropping-particle" : "", "parse-names" : false, "suffix" : "" }, { "dropping-particle" : "", "family" : "Oosten", "given" : "Cora", "non-dropping-particle" : "van", "parse-names" : false, "suffix" : "" }, { "dropping-particle" : "", "family" : "Buck", "given" : "Louise E", "non-dropping-particle" : "", "parse-names" : false, "suffix" : "" } ], "container-title" : "Proceedings of the National Academy of Sciences ", "id" : "ITEM-2", "issue" : "21 ", "issued" : { "date-parts" : [ [ "2013", "5", "21" ] ] }, "page" : "8349-8356", "title" : "Ten principles for a landscape approach to reconciling agriculture, conservation, and other competing land uses", "type" : "article-journal", "volume" : "110 " }, "uris" : [ "http://www.mendeley.com/documents/?uuid=09a9a290-2dd3-4122-8b86-f5307d113b5c" ] } ], "mendeley" : { "formattedCitation" : "(Phalan &lt;i&gt;et al.&lt;/i&gt; 2011; Sayer &lt;i&gt;et al.&lt;/i&gt; 2013)", "plainTextFormattedCitation" : "(Phalan et al. 2011; Sayer et al. 2013)", "previouslyFormattedCitation" : "(Phalan &lt;i&gt;et al.&lt;/i&gt; 2011; Sayer &lt;i&gt;et al.&lt;/i&gt; 2013)" }, "properties" : { "noteIndex" : 0 }, "schema" : "https://github.com/citation-style-language/schema/raw/master/csl-citation.json" }</w:instrText>
      </w:r>
      <w:r w:rsidR="00F01773">
        <w:fldChar w:fldCharType="separate"/>
      </w:r>
      <w:r w:rsidR="00B32474" w:rsidRPr="00B32474">
        <w:rPr>
          <w:noProof/>
        </w:rPr>
        <w:t xml:space="preserve">(Phalan </w:t>
      </w:r>
      <w:r w:rsidR="00B32474" w:rsidRPr="00B32474">
        <w:rPr>
          <w:i/>
          <w:noProof/>
        </w:rPr>
        <w:t>et al.</w:t>
      </w:r>
      <w:r w:rsidR="00B32474" w:rsidRPr="00B32474">
        <w:rPr>
          <w:noProof/>
        </w:rPr>
        <w:t xml:space="preserve"> 2011; Sayer </w:t>
      </w:r>
      <w:r w:rsidR="00B32474" w:rsidRPr="00B32474">
        <w:rPr>
          <w:i/>
          <w:noProof/>
        </w:rPr>
        <w:t>et al.</w:t>
      </w:r>
      <w:r w:rsidR="00B32474" w:rsidRPr="00B32474">
        <w:rPr>
          <w:noProof/>
        </w:rPr>
        <w:t xml:space="preserve"> 2013)</w:t>
      </w:r>
      <w:r w:rsidR="00F01773">
        <w:fldChar w:fldCharType="end"/>
      </w:r>
      <w:r>
        <w:t>.</w:t>
      </w:r>
    </w:p>
    <w:p w:rsidR="00284561" w:rsidRPr="000E3253" w:rsidRDefault="00284561" w:rsidP="00544872">
      <w:pPr>
        <w:ind w:firstLine="720"/>
        <w:rPr>
          <w:vertAlign w:val="superscript"/>
        </w:rPr>
      </w:pPr>
      <w:r>
        <w:t xml:space="preserve">We chose impact metrics to cover features and topics of concern to stakeholders and to illustrate synergies and tradeoffs between multiple objectives. These are clearly not exhaustive. We focused on impacts at one particular stage – site development – while impacts occur at all stages. In reality, impacts from surface infrastructure development extend beyond the scope of our study, and include both positive and negative effects. For instance, while we focus on known rare species, development also impacts common species and species not prioritized by conservation. We focus on known rare species because these are a greater focus for decision makers. Indeed, developers in Pennsylvania are required to avoid known locations of rare species through the Pennsylvania’s Natural Diversity Inventory Environmental Review process mentioned above. We also use a simple measure of impacts on humans that ignores some positive and negative socioeconomic effects of development </w:t>
      </w:r>
      <w:r w:rsidR="00F01773">
        <w:fldChar w:fldCharType="begin" w:fldLock="1"/>
      </w:r>
      <w:r w:rsidR="00B32474">
        <w:instrText>ADDIN CSL_CITATION { "citationItems" : [ { "id" : "ITEM-1", "itemData" : { "DOI" : "http://dx.doi.org/10.1016/j.rser.2014.04.068", "ISSN" : "1364-0321", "abstract" : "Abstract This study assesses the overall technical, economic, environmental, and social costs and benefits of the hydraulic fracturing (\u201cfracking\u201d) of natural gas. Drawn from a review of more than 100 studies looking at shale gas in the past 10 years, most of them peer-reviewed, this article begins by briefly explaining the process of hydrofracking and summarizing recent market trends up until late 2013. Then, the study discusses a series of advantages and disadvantages to hydrofracking. It notes that done properly, shale gas development can enhance energy security and the availability of energy fuels, lower natural gas prices, offer a cleaner environmental footprint than some other fossil fuels, and enable local economic development. However, done poorly production can be prone to accidents and leakage, contribute to environmental degradation, induce earthquakes, and, when externalities are accounted for, produce more net economic losses than profits. The study concludes that the pursuit and utilization of shale gas thus presents policymakers, planners, and investors with a series of pernicious tradeoffs and tough choices.", "author" : [ { "dropping-particle" : "", "family" : "Sovacool", "given" : "Benjamin K", "non-dropping-particle" : "", "parse-names" : false, "suffix" : "" } ], "container-title" : "Renewable and Sustainable Energy Reviews", "id" : "ITEM-1", "issue" : "0", "issued" : { "date-parts" : [ [ "2014", "9" ] ] }, "page" : "249-264", "title" : "Cornucopia or curse? Reviewing the costs and benefits of shale gas hydraulic fracturing (fracking)", "type" : "article-journal", "volume" : "37" }, "uris" : [ "http://www.mendeley.com/documents/?uuid=e4c72072-f6b4-4845-a4f6-0cd2ea2ef623" ] } ], "mendeley" : { "formattedCitation" : "(Sovacool 2014)", "plainTextFormattedCitation" : "(Sovacool 2014)", "previouslyFormattedCitation" : "(Sovacool 2014)" }, "properties" : { "noteIndex" : 0 }, "schema" : "https://github.com/citation-style-language/schema/raw/master/csl-citation.json" }</w:instrText>
      </w:r>
      <w:r w:rsidR="00F01773">
        <w:fldChar w:fldCharType="separate"/>
      </w:r>
      <w:r w:rsidRPr="00EA08E2">
        <w:rPr>
          <w:noProof/>
        </w:rPr>
        <w:t>(Sovacool 2014)</w:t>
      </w:r>
      <w:r w:rsidR="00F01773">
        <w:fldChar w:fldCharType="end"/>
      </w:r>
      <w:r>
        <w:t>.Many such effects play out over scales largely independent of the scale of analysis here, while others could form alternative or additional components of a more comprehensive analysis at this study’s scale. Regardless, we were able to identify some synergies and tradeoffs with the impacts we did include.</w:t>
      </w:r>
    </w:p>
    <w:p w:rsidR="00284561" w:rsidRDefault="00284561" w:rsidP="00544872">
      <w:pPr>
        <w:ind w:firstLine="720"/>
      </w:pPr>
      <w:r>
        <w:t xml:space="preserve">Future analyses similar to ours could benefit from a few methodological changes. First, while public lands served as an informative case study for testing impacts from development, shale gas is being extracted all over the Central Appalachian region, including private lands. Private lands tend to be more fragmented in ownership and land use, which would likely affect the resulting infrastructure layouts and impacts from that development. It is unclear how transferrable our results are to the private lands context. Second, we did not rigorously test the change in impact correlations before versus after surface infrastructure was placed, choosing to qualitatively assess the change in </w:t>
      </w:r>
      <w:r>
        <w:lastRenderedPageBreak/>
        <w:t>correlations (</w:t>
      </w:r>
      <w:r w:rsidR="00F01773">
        <w:rPr>
          <w:rFonts w:cs="Times New Roman"/>
        </w:rPr>
        <w:fldChar w:fldCharType="begin"/>
      </w:r>
      <w:r w:rsidR="00FF5247">
        <w:rPr>
          <w:rFonts w:cs="Times New Roman"/>
        </w:rPr>
        <w:instrText xml:space="preserve"> REF _Ref419725978 \h </w:instrText>
      </w:r>
      <w:r w:rsidR="00F01773">
        <w:rPr>
          <w:rFonts w:cs="Times New Roman"/>
        </w:rPr>
      </w:r>
      <w:r w:rsidR="00F01773">
        <w:rPr>
          <w:rFonts w:cs="Times New Roman"/>
        </w:rPr>
        <w:fldChar w:fldCharType="separate"/>
      </w:r>
      <w:r w:rsidR="00867AA7">
        <w:t xml:space="preserve">Fig. S </w:t>
      </w:r>
      <w:r w:rsidR="00867AA7">
        <w:rPr>
          <w:noProof/>
        </w:rPr>
        <w:t>2</w:t>
      </w:r>
      <w:r w:rsidR="00867AA7">
        <w:t>.</w:t>
      </w:r>
      <w:r w:rsidR="00867AA7">
        <w:rPr>
          <w:noProof/>
        </w:rPr>
        <w:t>2</w:t>
      </w:r>
      <w:r w:rsidR="00F01773">
        <w:rPr>
          <w:rFonts w:cs="Times New Roman"/>
        </w:rPr>
        <w:fldChar w:fldCharType="end"/>
      </w:r>
      <w:r>
        <w:t>). While this does not affect our practice-specific conclusions described above, it does affect our ability to say with statistical confidence whether simple guidelines induced tradeoffs and synergies among impacts.</w:t>
      </w:r>
    </w:p>
    <w:p w:rsidR="009663A3" w:rsidRDefault="00284561">
      <w:pPr>
        <w:ind w:firstLine="720"/>
      </w:pPr>
      <w:r>
        <w:t>Multiple routes can be taken to reduce impacts from development including regulation, land protection, and changing industry practices.</w:t>
      </w:r>
      <w:r w:rsidRPr="00CB6855">
        <w:t xml:space="preserve"> </w:t>
      </w:r>
      <w:r>
        <w:t>Each of these routes is currently underutilized in the Central Appalachian region, but we expect this study will help inform future actions in each. First, federal and state regulations exist to restrict the placement of surface infrastructure but do not address some important ecological impacts such as habitat fragmentation. Furthermore, most of Pennsylvania’s current setback requirements that aim to protect sensitive habitats potentially can be waived with a request and justification by the gas developer. Second, the efficacy of traditional land acquisition and easement is uncertain in shale gas development sites where surface and subsurface rights to land are sometimes separately owned. Our results suggest an effective strategy for conservation groups and landowners - in conjunction with willing gas industry partners - is to inform site-specific planning where priority environmental or biological features are present. Third and finally, the gas industry currently does not have strong incentives to go above and beyond regulation to further reduce impacts. Increasing environmentally-oriented planning will require some effort to lower the threshold of entry for the gas industry. Simple planning practices can be more easily assimilated into existing planning than more complex tools and practices. However, more advanced tools and methods may be needed to help industry planners incorporate environmental objectives into their planning, especially when tradeoffs exist among impacts.</w:t>
      </w:r>
    </w:p>
    <w:p w:rsidR="009663A3" w:rsidRDefault="00135C2E">
      <w:pPr>
        <w:pStyle w:val="Heading2"/>
      </w:pPr>
      <w:bookmarkStart w:id="97" w:name="_Toc421352874"/>
      <w:r>
        <w:t>Appendix</w:t>
      </w:r>
      <w:bookmarkEnd w:id="97"/>
    </w:p>
    <w:p w:rsidR="00B01B06" w:rsidRPr="009F2DA2" w:rsidRDefault="00B01B06" w:rsidP="00B01B06">
      <w:pPr>
        <w:pStyle w:val="Heading3"/>
      </w:pPr>
      <w:bookmarkStart w:id="98" w:name="_Toc417646777"/>
      <w:bookmarkStart w:id="99" w:name="_Toc289175843"/>
      <w:r>
        <w:t>Change in impacts due to development</w:t>
      </w:r>
      <w:bookmarkEnd w:id="98"/>
    </w:p>
    <w:p w:rsidR="00B01B06" w:rsidRDefault="00B01B06" w:rsidP="00DD4F14">
      <w:r w:rsidRPr="00BA04CC">
        <w:t xml:space="preserve">In the main text we focus on correlations between impact metrics </w:t>
      </w:r>
      <w:r w:rsidRPr="00BA04CC">
        <w:rPr>
          <w:i/>
        </w:rPr>
        <w:t>after</w:t>
      </w:r>
      <w:r w:rsidRPr="00BA04CC">
        <w:t xml:space="preserve"> development has occurred. </w:t>
      </w:r>
      <w:proofErr w:type="gramStart"/>
      <w:r w:rsidRPr="00BA04CC">
        <w:t>In doing so we put emphasis on the absolute tradeoffs/synergies between impacts and consequently take a more holistic approach to reducing impacts rather than focusing on the practice-specific effects of development on impact metrics.</w:t>
      </w:r>
      <w:proofErr w:type="gramEnd"/>
      <w:r w:rsidRPr="00BA04CC">
        <w:t xml:space="preserve"> Another relevant approach is to test the change in correlations between impacts induced by following our four simple planning practices. We briefly explored how correlations between impact metrics changed from before to after development occurred. </w:t>
      </w:r>
    </w:p>
    <w:p w:rsidR="00EC6A02" w:rsidRPr="00BA04CC" w:rsidRDefault="00EC6A02" w:rsidP="00EC6A02">
      <w:pPr>
        <w:ind w:firstLine="720"/>
      </w:pPr>
      <w:r w:rsidRPr="00BA04CC">
        <w:t xml:space="preserve">Our methods for measuring correlations before development were very similar to that presented in the </w:t>
      </w:r>
      <w:r w:rsidRPr="00BA04CC">
        <w:rPr>
          <w:i/>
        </w:rPr>
        <w:t xml:space="preserve">Analyses </w:t>
      </w:r>
      <w:r w:rsidRPr="00BA04CC">
        <w:t xml:space="preserve">section in the main text: we measured the values of our impact metrics at each of the twenty </w:t>
      </w:r>
      <w:r w:rsidRPr="00BA04CC">
        <w:lastRenderedPageBreak/>
        <w:t xml:space="preserve">development sites and assessed correlations between them. There are two important aspects that differ here. First, six of our eight impact metrics always have a value of 0 before development. Only </w:t>
      </w:r>
      <w:r w:rsidRPr="00BA04CC">
        <w:rPr>
          <w:i/>
        </w:rPr>
        <w:t xml:space="preserve">forest </w:t>
      </w:r>
      <w:proofErr w:type="spellStart"/>
      <w:r w:rsidRPr="00BA04CC">
        <w:rPr>
          <w:i/>
        </w:rPr>
        <w:t>frag</w:t>
      </w:r>
      <w:proofErr w:type="spellEnd"/>
      <w:r w:rsidRPr="00BA04CC">
        <w:rPr>
          <w:i/>
        </w:rPr>
        <w:t xml:space="preserve"> 1 </w:t>
      </w:r>
      <w:r w:rsidRPr="00BA04CC">
        <w:t xml:space="preserve">and </w:t>
      </w:r>
      <w:r w:rsidRPr="00BA04CC">
        <w:rPr>
          <w:i/>
        </w:rPr>
        <w:t xml:space="preserve">forest </w:t>
      </w:r>
      <w:proofErr w:type="spellStart"/>
      <w:r w:rsidRPr="00BA04CC">
        <w:rPr>
          <w:i/>
        </w:rPr>
        <w:t>frag</w:t>
      </w:r>
      <w:proofErr w:type="spellEnd"/>
      <w:r w:rsidRPr="00BA04CC">
        <w:rPr>
          <w:i/>
        </w:rPr>
        <w:t xml:space="preserve"> 2</w:t>
      </w:r>
      <w:r w:rsidRPr="00BA04CC">
        <w:t xml:space="preserve"> have a non-zero value before development. In order to measure correlations between impacts for the six other metrics, we calculated, for each development site, the average value of the impact surface raster, since those six metrics are just spatially additive functions of the surface rasters. For instance, for the </w:t>
      </w:r>
      <w:r w:rsidRPr="00BA04CC">
        <w:rPr>
          <w:i/>
        </w:rPr>
        <w:t xml:space="preserve">erosion </w:t>
      </w:r>
      <w:r w:rsidRPr="00BA04CC">
        <w:t>metric, we took the average value of the slope raster. We only included in the average those values in the raster that were feasible locations for roads since the feasible road area is an intermediate between the pad and pipeline areas and we wanted to include those areas that might actually be developed. The second difference from our main text analysis is we did not differentiate between planning practices before development, since there would be no difference anyway.</w:t>
      </w:r>
    </w:p>
    <w:p w:rsidR="00EC6A02" w:rsidRDefault="00EC6A02" w:rsidP="00EC6A02">
      <w:pPr>
        <w:ind w:firstLine="720"/>
      </w:pPr>
      <w:r w:rsidRPr="00BA04CC">
        <w:t>After calculating pre-development values and correlations, we looked at the difference in correlations between post and pre-development. Since we did not differentiate between planning practices before development, we combined the post-development metric values across planning practices so there is only a single comparison for each pair of metrics.</w:t>
      </w:r>
    </w:p>
    <w:p w:rsidR="000C4DAF" w:rsidRDefault="00F01773" w:rsidP="000C4DAF">
      <w:pPr>
        <w:ind w:firstLine="720"/>
        <w:rPr>
          <w:rFonts w:cs="Times New Roman"/>
        </w:rPr>
      </w:pPr>
      <w:r>
        <w:rPr>
          <w:rFonts w:cs="Times New Roman"/>
        </w:rPr>
        <w:fldChar w:fldCharType="begin"/>
      </w:r>
      <w:r w:rsidR="00EC6A02">
        <w:rPr>
          <w:rFonts w:cs="Times New Roman"/>
        </w:rPr>
        <w:instrText xml:space="preserve"> REF _Ref419725978 \h </w:instrText>
      </w:r>
      <w:r>
        <w:rPr>
          <w:rFonts w:cs="Times New Roman"/>
        </w:rPr>
      </w:r>
      <w:r>
        <w:rPr>
          <w:rFonts w:cs="Times New Roman"/>
        </w:rPr>
        <w:fldChar w:fldCharType="separate"/>
      </w:r>
      <w:r w:rsidR="00867AA7">
        <w:t xml:space="preserve">Fig. S </w:t>
      </w:r>
      <w:r w:rsidR="00867AA7">
        <w:rPr>
          <w:noProof/>
        </w:rPr>
        <w:t>2</w:t>
      </w:r>
      <w:r w:rsidR="00867AA7">
        <w:t>.</w:t>
      </w:r>
      <w:r w:rsidR="00867AA7">
        <w:rPr>
          <w:noProof/>
        </w:rPr>
        <w:t>2</w:t>
      </w:r>
      <w:r>
        <w:rPr>
          <w:rFonts w:cs="Times New Roman"/>
        </w:rPr>
        <w:fldChar w:fldCharType="end"/>
      </w:r>
      <w:r w:rsidR="00EC6A02">
        <w:rPr>
          <w:rFonts w:cs="Times New Roman"/>
        </w:rPr>
        <w:t xml:space="preserve"> summarizes the results of this analysis. </w:t>
      </w:r>
      <w:proofErr w:type="gramStart"/>
      <w:r w:rsidR="00EC6A02" w:rsidRPr="000856E6">
        <w:rPr>
          <w:rFonts w:cs="Times New Roman"/>
        </w:rPr>
        <w:t>Before development</w:t>
      </w:r>
      <w:r w:rsidR="00EC6A02">
        <w:rPr>
          <w:rFonts w:cs="Times New Roman"/>
        </w:rPr>
        <w:t xml:space="preserve"> (top of </w:t>
      </w:r>
      <w:r>
        <w:rPr>
          <w:rFonts w:cs="Times New Roman"/>
        </w:rPr>
        <w:fldChar w:fldCharType="begin"/>
      </w:r>
      <w:r w:rsidR="00EC6A02">
        <w:rPr>
          <w:rFonts w:cs="Times New Roman"/>
        </w:rPr>
        <w:instrText xml:space="preserve"> REF _Ref419725978 \h </w:instrText>
      </w:r>
      <w:r>
        <w:rPr>
          <w:rFonts w:cs="Times New Roman"/>
        </w:rPr>
      </w:r>
      <w:r>
        <w:rPr>
          <w:rFonts w:cs="Times New Roman"/>
        </w:rPr>
        <w:fldChar w:fldCharType="separate"/>
      </w:r>
      <w:r w:rsidR="00867AA7">
        <w:t xml:space="preserve">Fig. S </w:t>
      </w:r>
      <w:r w:rsidR="00867AA7">
        <w:rPr>
          <w:noProof/>
        </w:rPr>
        <w:t>2</w:t>
      </w:r>
      <w:r w:rsidR="00867AA7">
        <w:t>.</w:t>
      </w:r>
      <w:r w:rsidR="00867AA7">
        <w:rPr>
          <w:noProof/>
        </w:rPr>
        <w:t>2</w:t>
      </w:r>
      <w:r>
        <w:rPr>
          <w:rFonts w:cs="Times New Roman"/>
        </w:rPr>
        <w:fldChar w:fldCharType="end"/>
      </w:r>
      <w:r w:rsidR="00EC6A02">
        <w:rPr>
          <w:rFonts w:cs="Times New Roman"/>
        </w:rPr>
        <w:t>)</w:t>
      </w:r>
      <w:r w:rsidR="00EC6A02" w:rsidRPr="000856E6">
        <w:rPr>
          <w:rFonts w:cs="Times New Roman"/>
        </w:rPr>
        <w:t>, many impacts trade-off wi</w:t>
      </w:r>
      <w:r w:rsidR="00EC6A02">
        <w:rPr>
          <w:rFonts w:cs="Times New Roman"/>
        </w:rPr>
        <w:t>th one another, probably necessarily due to being affected in spatially disjoint areas</w:t>
      </w:r>
      <w:r w:rsidR="00EC6A02" w:rsidRPr="000856E6">
        <w:rPr>
          <w:rFonts w:cs="Times New Roman"/>
        </w:rPr>
        <w:t>.</w:t>
      </w:r>
      <w:proofErr w:type="gramEnd"/>
      <w:r w:rsidR="00EC6A02" w:rsidRPr="000856E6">
        <w:rPr>
          <w:rFonts w:cs="Times New Roman"/>
        </w:rPr>
        <w:t xml:space="preserve"> As</w:t>
      </w:r>
      <w:r w:rsidR="000C4DAF" w:rsidRPr="000C4DAF">
        <w:rPr>
          <w:rFonts w:cs="Times New Roman"/>
        </w:rPr>
        <w:t xml:space="preserve"> </w:t>
      </w:r>
      <w:r w:rsidR="000C4DAF" w:rsidRPr="000856E6">
        <w:rPr>
          <w:rFonts w:cs="Times New Roman"/>
        </w:rPr>
        <w:t>the Difference table reveals</w:t>
      </w:r>
      <w:r w:rsidR="000C4DAF">
        <w:rPr>
          <w:rFonts w:cs="Times New Roman"/>
        </w:rPr>
        <w:t xml:space="preserve"> (bottom of </w:t>
      </w:r>
      <w:r>
        <w:rPr>
          <w:rFonts w:cs="Times New Roman"/>
        </w:rPr>
        <w:fldChar w:fldCharType="begin"/>
      </w:r>
      <w:r w:rsidR="000C4DAF">
        <w:rPr>
          <w:rFonts w:cs="Times New Roman"/>
        </w:rPr>
        <w:instrText xml:space="preserve"> REF _Ref419725978 \h </w:instrText>
      </w:r>
      <w:r>
        <w:rPr>
          <w:rFonts w:cs="Times New Roman"/>
        </w:rPr>
      </w:r>
      <w:r>
        <w:rPr>
          <w:rFonts w:cs="Times New Roman"/>
        </w:rPr>
        <w:fldChar w:fldCharType="separate"/>
      </w:r>
      <w:r w:rsidR="00867AA7">
        <w:t xml:space="preserve">Fig. S </w:t>
      </w:r>
      <w:r w:rsidR="00867AA7">
        <w:rPr>
          <w:noProof/>
        </w:rPr>
        <w:t>2</w:t>
      </w:r>
      <w:r w:rsidR="00867AA7">
        <w:t>.</w:t>
      </w:r>
      <w:r w:rsidR="00867AA7">
        <w:rPr>
          <w:noProof/>
        </w:rPr>
        <w:t>2</w:t>
      </w:r>
      <w:r>
        <w:rPr>
          <w:rFonts w:cs="Times New Roman"/>
        </w:rPr>
        <w:fldChar w:fldCharType="end"/>
      </w:r>
      <w:r w:rsidR="000C4DAF">
        <w:rPr>
          <w:rFonts w:cs="Times New Roman"/>
        </w:rPr>
        <w:t>)</w:t>
      </w:r>
      <w:r w:rsidR="000C4DAF" w:rsidRPr="000856E6">
        <w:rPr>
          <w:rFonts w:cs="Times New Roman"/>
        </w:rPr>
        <w:t>, planned development would often increase synergies (red, positive correlations) between impacts (in 16 of 28 comparisons). At the same time, planned development would lead to relative tradeoffs (blue, negative correlations) between impacts (in 12 of 28 comparisons). For the most part, the general patterns th</w:t>
      </w:r>
      <w:r w:rsidR="000C4DAF">
        <w:rPr>
          <w:rFonts w:cs="Times New Roman"/>
        </w:rPr>
        <w:t>at we present in the main text (</w:t>
      </w:r>
      <w:r w:rsidR="000C4DAF" w:rsidRPr="000856E6">
        <w:rPr>
          <w:rFonts w:cs="Times New Roman"/>
        </w:rPr>
        <w:t xml:space="preserve">somewhat summarized in the </w:t>
      </w:r>
      <w:proofErr w:type="gramStart"/>
      <w:r w:rsidR="000C4DAF" w:rsidRPr="000856E6">
        <w:rPr>
          <w:rFonts w:cs="Times New Roman"/>
        </w:rPr>
        <w:t>After</w:t>
      </w:r>
      <w:proofErr w:type="gramEnd"/>
      <w:r w:rsidR="000C4DAF" w:rsidRPr="000856E6">
        <w:rPr>
          <w:rFonts w:cs="Times New Roman"/>
        </w:rPr>
        <w:t xml:space="preserve"> </w:t>
      </w:r>
      <w:r w:rsidR="000C4DAF">
        <w:rPr>
          <w:rFonts w:cs="Times New Roman"/>
        </w:rPr>
        <w:t>sub-</w:t>
      </w:r>
      <w:r w:rsidR="000C4DAF" w:rsidRPr="000856E6">
        <w:rPr>
          <w:rFonts w:cs="Times New Roman"/>
        </w:rPr>
        <w:t>table</w:t>
      </w:r>
      <w:r w:rsidR="000C4DAF">
        <w:rPr>
          <w:rFonts w:cs="Times New Roman"/>
        </w:rPr>
        <w:t xml:space="preserve"> in </w:t>
      </w:r>
      <w:r>
        <w:rPr>
          <w:rFonts w:cs="Times New Roman"/>
        </w:rPr>
        <w:fldChar w:fldCharType="begin"/>
      </w:r>
      <w:r w:rsidR="000C4DAF">
        <w:rPr>
          <w:rFonts w:cs="Times New Roman"/>
        </w:rPr>
        <w:instrText xml:space="preserve"> REF _Ref419725978 \h </w:instrText>
      </w:r>
      <w:r>
        <w:rPr>
          <w:rFonts w:cs="Times New Roman"/>
        </w:rPr>
      </w:r>
      <w:r>
        <w:rPr>
          <w:rFonts w:cs="Times New Roman"/>
        </w:rPr>
        <w:fldChar w:fldCharType="separate"/>
      </w:r>
      <w:r w:rsidR="00867AA7">
        <w:t xml:space="preserve">Fig. S </w:t>
      </w:r>
      <w:r w:rsidR="00867AA7">
        <w:rPr>
          <w:noProof/>
        </w:rPr>
        <w:t>2</w:t>
      </w:r>
      <w:r w:rsidR="00867AA7">
        <w:t>.</w:t>
      </w:r>
      <w:r w:rsidR="00867AA7">
        <w:rPr>
          <w:noProof/>
        </w:rPr>
        <w:t>2</w:t>
      </w:r>
      <w:r>
        <w:rPr>
          <w:rFonts w:cs="Times New Roman"/>
        </w:rPr>
        <w:fldChar w:fldCharType="end"/>
      </w:r>
      <w:r w:rsidR="000C4DAF" w:rsidRPr="000856E6">
        <w:rPr>
          <w:rFonts w:cs="Times New Roman"/>
        </w:rPr>
        <w:t xml:space="preserve">) hold when looking at marginal changes brought on by development (summarized in the Difference </w:t>
      </w:r>
      <w:r w:rsidR="000C4DAF">
        <w:rPr>
          <w:rFonts w:cs="Times New Roman"/>
        </w:rPr>
        <w:t>sub-</w:t>
      </w:r>
      <w:r w:rsidR="000C4DAF" w:rsidRPr="000856E6">
        <w:rPr>
          <w:rFonts w:cs="Times New Roman"/>
        </w:rPr>
        <w:t>table).</w:t>
      </w:r>
    </w:p>
    <w:p w:rsidR="000C4DAF" w:rsidRDefault="000C4DAF" w:rsidP="000C4DAF">
      <w:pPr>
        <w:ind w:firstLine="720"/>
        <w:rPr>
          <w:rFonts w:cs="Times New Roman"/>
        </w:rPr>
      </w:pPr>
      <w:r w:rsidRPr="000856E6">
        <w:rPr>
          <w:rFonts w:cs="Times New Roman"/>
        </w:rPr>
        <w:t xml:space="preserve">In some cases (e.g. forest </w:t>
      </w:r>
      <w:proofErr w:type="spellStart"/>
      <w:r w:rsidRPr="000856E6">
        <w:rPr>
          <w:rFonts w:cs="Times New Roman"/>
        </w:rPr>
        <w:t>frag</w:t>
      </w:r>
      <w:proofErr w:type="spellEnd"/>
      <w:r w:rsidRPr="000856E6">
        <w:rPr>
          <w:rFonts w:cs="Times New Roman"/>
        </w:rPr>
        <w:t xml:space="preserve"> 2 vs. forest loss), planned development could reverse the correlation between impacts (e.g. from -95 to +13</w:t>
      </w:r>
      <w:r w:rsidRPr="008E36A2">
        <w:rPr>
          <w:rFonts w:cs="Times New Roman"/>
        </w:rPr>
        <w:t>). Finally, the green, italicized numbers indicate that very few correlations were significant after Bonferroni correction. We did not do statistical testing for the significance of the Difference table values.</w:t>
      </w:r>
    </w:p>
    <w:p w:rsidR="000C4DAF" w:rsidRPr="001B166F" w:rsidRDefault="000C4DAF" w:rsidP="000C4DAF">
      <w:pPr>
        <w:pStyle w:val="Heading3"/>
      </w:pPr>
      <w:bookmarkStart w:id="100" w:name="_Toc417646778"/>
      <w:r>
        <w:t>Minimum Development</w:t>
      </w:r>
      <w:r w:rsidRPr="00813D96">
        <w:t xml:space="preserve"> Constraints</w:t>
      </w:r>
      <w:bookmarkEnd w:id="100"/>
    </w:p>
    <w:p w:rsidR="000C4DAF" w:rsidRPr="001B166F" w:rsidRDefault="000C4DAF" w:rsidP="000C4DAF">
      <w:r>
        <w:t>We adhered to existing regulatory and construction constraints on the placement of gas surface infrastructure. Namely,</w:t>
      </w:r>
    </w:p>
    <w:p w:rsidR="000C4DAF" w:rsidRPr="00BA04CC" w:rsidRDefault="000C4DAF" w:rsidP="000C4DAF"/>
    <w:p w:rsidR="00EC6A02" w:rsidRDefault="00EC6A02" w:rsidP="00EC6A02">
      <w:pPr>
        <w:ind w:firstLine="720"/>
        <w:rPr>
          <w:rFonts w:cs="Times New Roman"/>
        </w:rPr>
        <w:sectPr w:rsidR="00EC6A02" w:rsidSect="002115B4">
          <w:pgSz w:w="12240" w:h="15840" w:code="1"/>
          <w:pgMar w:top="1440" w:right="1800" w:bottom="1440" w:left="1800" w:header="720" w:footer="720" w:gutter="0"/>
          <w:cols w:space="720"/>
          <w:docGrid w:linePitch="360"/>
        </w:sectPr>
      </w:pPr>
    </w:p>
    <w:p w:rsidR="00EC6A02" w:rsidRDefault="00EC6A02" w:rsidP="00EC6A02">
      <w:pPr>
        <w:ind w:firstLine="720"/>
        <w:sectPr w:rsidR="00EC6A02" w:rsidSect="00EC6A02">
          <w:pgSz w:w="12240" w:h="15840" w:code="1"/>
          <w:pgMar w:top="1440" w:right="1800" w:bottom="1440" w:left="1800" w:header="720" w:footer="720" w:gutter="0"/>
          <w:cols w:space="720"/>
          <w:vAlign w:val="center"/>
          <w:docGrid w:linePitch="360"/>
        </w:sectPr>
      </w:pPr>
      <w:r w:rsidRPr="000856E6">
        <w:rPr>
          <w:rFonts w:cs="Times New Roman"/>
        </w:rPr>
        <w:lastRenderedPageBreak/>
        <w:t xml:space="preserve"> </w:t>
      </w:r>
      <w:r w:rsidR="00F01773" w:rsidRPr="00F01773">
        <w:pict>
          <v:shape id="_x0000_s1095" type="#_x0000_t202" style="width:6in;height:486pt;mso-position-horizontal-relative:char;mso-position-vertical-relative:line" filled="f" stroked="f">
            <v:textbox style="mso-next-textbox:#_x0000_s1095">
              <w:txbxContent>
                <w:p w:rsidR="006A45E8" w:rsidRDefault="006A45E8" w:rsidP="00EC6A02">
                  <w:pPr>
                    <w:keepNext/>
                    <w:jc w:val="center"/>
                  </w:pPr>
                  <w:r w:rsidRPr="00B10BAE">
                    <w:rPr>
                      <w:noProof/>
                    </w:rPr>
                    <w:drawing>
                      <wp:inline distT="0" distB="0" distL="0" distR="0">
                        <wp:extent cx="4248150" cy="4248150"/>
                        <wp:effectExtent l="19050" t="0" r="0" b="0"/>
                        <wp:docPr id="80" name="Picture 0" descr="Fig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tif"/>
                                <pic:cNvPicPr/>
                              </pic:nvPicPr>
                              <pic:blipFill>
                                <a:blip r:embed="rId53" cstate="print"/>
                                <a:stretch>
                                  <a:fillRect/>
                                </a:stretch>
                              </pic:blipFill>
                              <pic:spPr>
                                <a:xfrm>
                                  <a:off x="0" y="0"/>
                                  <a:ext cx="4262148" cy="4262148"/>
                                </a:xfrm>
                                <a:prstGeom prst="rect">
                                  <a:avLst/>
                                </a:prstGeom>
                              </pic:spPr>
                            </pic:pic>
                          </a:graphicData>
                        </a:graphic>
                      </wp:inline>
                    </w:drawing>
                  </w:r>
                </w:p>
                <w:p w:rsidR="006A45E8" w:rsidRPr="002B2090" w:rsidRDefault="006A45E8" w:rsidP="00EC6A02">
                  <w:pPr>
                    <w:pStyle w:val="Caption"/>
                    <w:rPr>
                      <w:vanish/>
                      <w:lang w:val="en-GB"/>
                      <w:specVanish/>
                    </w:rPr>
                  </w:pPr>
                  <w:bookmarkStart w:id="101" w:name="_Ref417464536"/>
                  <w:bookmarkStart w:id="102" w:name="_Toc421352922"/>
                  <w:bookmarkStart w:id="103" w:name="_Toc417647070"/>
                  <w:proofErr w:type="gramStart"/>
                  <w:r w:rsidRPr="00C04103">
                    <w:t xml:space="preserve">Fig. S </w:t>
                  </w:r>
                  <w:fldSimple w:instr=" STYLEREF 1 \s ">
                    <w:r>
                      <w:rPr>
                        <w:noProof/>
                      </w:rPr>
                      <w:t>2</w:t>
                    </w:r>
                  </w:fldSimple>
                  <w:r>
                    <w:t>.</w:t>
                  </w:r>
                  <w:proofErr w:type="gramEnd"/>
                  <w:r>
                    <w:fldChar w:fldCharType="begin"/>
                  </w:r>
                  <w:r>
                    <w:instrText xml:space="preserve"> SEQ Fig._S \* ARABIC \s 1 </w:instrText>
                  </w:r>
                  <w:r>
                    <w:fldChar w:fldCharType="separate"/>
                  </w:r>
                  <w:r>
                    <w:rPr>
                      <w:noProof/>
                    </w:rPr>
                    <w:t>1</w:t>
                  </w:r>
                  <w:r>
                    <w:fldChar w:fldCharType="end"/>
                  </w:r>
                  <w:bookmarkEnd w:id="101"/>
                  <w:r w:rsidRPr="00C04103">
                    <w:t xml:space="preserve">. </w:t>
                  </w:r>
                  <w:r w:rsidRPr="00C04103">
                    <w:rPr>
                      <w:szCs w:val="22"/>
                    </w:rPr>
                    <w:t>Illustration of production units (pink rectangles), pad envelopes</w:t>
                  </w:r>
                  <w:bookmarkEnd w:id="102"/>
                </w:p>
                <w:p w:rsidR="006A45E8" w:rsidRPr="00C04103" w:rsidRDefault="006A45E8" w:rsidP="00EC6A02">
                  <w:pPr>
                    <w:pStyle w:val="Caption"/>
                    <w:rPr>
                      <w:szCs w:val="22"/>
                    </w:rPr>
                  </w:pPr>
                  <w:r w:rsidRPr="00C04103">
                    <w:rPr>
                      <w:szCs w:val="22"/>
                    </w:rPr>
                    <w:t xml:space="preserve"> (</w:t>
                  </w:r>
                  <w:proofErr w:type="gramStart"/>
                  <w:r w:rsidRPr="00C04103">
                    <w:rPr>
                      <w:szCs w:val="22"/>
                    </w:rPr>
                    <w:t>white</w:t>
                  </w:r>
                  <w:proofErr w:type="gramEnd"/>
                  <w:r w:rsidRPr="00C04103">
                    <w:rPr>
                      <w:szCs w:val="22"/>
                    </w:rPr>
                    <w:t xml:space="preserve"> rectangles with black outline) and how they relate to the well pad (black squares) and associated well laterals (red lines) within a development site (dot-dash gray line). The larger, full-sized production unit has six wells, while the half-sized drainage unit has only three. As a result, the full-sized unit places the well pad in the center, while the half-sized unit places the well pad one of the ends. Note that regulations require wells to stay within the development site boundary, so one well from the full-sized unit is cut-off. We did not explicitly site well laterals, so the production unit boundaries do not correspond to what would be the final well trajectories. We include the well laterals here for illustration</w:t>
                  </w:r>
                  <w:bookmarkEnd w:id="103"/>
                  <w:r>
                    <w:rPr>
                      <w:szCs w:val="22"/>
                    </w:rPr>
                    <w:t>.</w:t>
                  </w:r>
                </w:p>
                <w:p w:rsidR="006A45E8" w:rsidRDefault="006A45E8" w:rsidP="00EC6A02"/>
              </w:txbxContent>
            </v:textbox>
            <w10:wrap type="none" anchorx="margin" anchory="margin"/>
            <w10:anchorlock/>
          </v:shape>
        </w:pict>
      </w:r>
    </w:p>
    <w:p w:rsidR="000C4DAF" w:rsidRPr="00E9510F" w:rsidRDefault="000C4DAF" w:rsidP="000C4DAF">
      <w:pPr>
        <w:pStyle w:val="Heading4"/>
      </w:pPr>
      <w:proofErr w:type="gramStart"/>
      <w:r w:rsidRPr="00E9510F">
        <w:lastRenderedPageBreak/>
        <w:t>pads</w:t>
      </w:r>
      <w:proofErr w:type="gramEnd"/>
    </w:p>
    <w:p w:rsidR="000C4DAF" w:rsidRDefault="000C4DAF" w:rsidP="000C4DAF">
      <w:pPr>
        <w:pStyle w:val="ListParagraph"/>
        <w:numPr>
          <w:ilvl w:val="0"/>
          <w:numId w:val="6"/>
        </w:numPr>
        <w:ind w:left="720"/>
      </w:pPr>
      <w:r>
        <w:t>0 m from lease boundary</w:t>
      </w:r>
    </w:p>
    <w:p w:rsidR="000C4DAF" w:rsidRDefault="000C4DAF" w:rsidP="000C4DAF">
      <w:pPr>
        <w:pStyle w:val="ListParagraph"/>
        <w:numPr>
          <w:ilvl w:val="0"/>
          <w:numId w:val="6"/>
        </w:numPr>
        <w:ind w:left="720"/>
      </w:pPr>
      <w:r>
        <w:t>0 m from pad zones</w:t>
      </w:r>
    </w:p>
    <w:p w:rsidR="000C4DAF" w:rsidRDefault="000C4DAF" w:rsidP="000C4DAF">
      <w:pPr>
        <w:pStyle w:val="ListParagraph"/>
        <w:numPr>
          <w:ilvl w:val="0"/>
          <w:numId w:val="6"/>
        </w:numPr>
        <w:ind w:left="720"/>
      </w:pPr>
      <w:r>
        <w:t>100 m from wetlands &gt; 1 acre</w:t>
      </w:r>
    </w:p>
    <w:p w:rsidR="000C4DAF" w:rsidRDefault="000C4DAF" w:rsidP="000C4DAF">
      <w:pPr>
        <w:pStyle w:val="ListParagraph"/>
        <w:numPr>
          <w:ilvl w:val="0"/>
          <w:numId w:val="6"/>
        </w:numPr>
        <w:ind w:left="720"/>
      </w:pPr>
      <w:r>
        <w:t>30 m from stream</w:t>
      </w:r>
    </w:p>
    <w:p w:rsidR="000C4DAF" w:rsidRDefault="000C4DAF" w:rsidP="000C4DAF">
      <w:pPr>
        <w:pStyle w:val="ListParagraph"/>
        <w:numPr>
          <w:ilvl w:val="0"/>
          <w:numId w:val="6"/>
        </w:numPr>
        <w:ind w:left="720"/>
      </w:pPr>
      <w:r>
        <w:t>152 m from cultural feature</w:t>
      </w:r>
    </w:p>
    <w:p w:rsidR="000C4DAF" w:rsidRDefault="000C4DAF" w:rsidP="000C4DAF">
      <w:pPr>
        <w:pStyle w:val="Heading4"/>
      </w:pPr>
      <w:proofErr w:type="gramStart"/>
      <w:r>
        <w:t>roads</w:t>
      </w:r>
      <w:proofErr w:type="gramEnd"/>
    </w:p>
    <w:p w:rsidR="000C4DAF" w:rsidRDefault="000C4DAF" w:rsidP="000C4DAF">
      <w:pPr>
        <w:pStyle w:val="ListParagraph"/>
        <w:numPr>
          <w:ilvl w:val="0"/>
          <w:numId w:val="7"/>
        </w:numPr>
        <w:ind w:left="720"/>
      </w:pPr>
      <w:r>
        <w:t>0 m (but not in) wetlands &gt; 1 acre</w:t>
      </w:r>
    </w:p>
    <w:p w:rsidR="000C4DAF" w:rsidRDefault="000C4DAF" w:rsidP="000C4DAF">
      <w:pPr>
        <w:pStyle w:val="ListParagraph"/>
        <w:numPr>
          <w:ilvl w:val="0"/>
          <w:numId w:val="7"/>
        </w:numPr>
        <w:ind w:left="720"/>
      </w:pPr>
      <w:proofErr w:type="gramStart"/>
      <w:r>
        <w:t>slope</w:t>
      </w:r>
      <w:proofErr w:type="gramEnd"/>
      <w:r>
        <w:t xml:space="preserve"> &lt; 10000%. Note that generally roads would not be graded to larger than 15% slope and in steep </w:t>
      </w:r>
      <w:proofErr w:type="gramStart"/>
      <w:r>
        <w:t>places,</w:t>
      </w:r>
      <w:proofErr w:type="gramEnd"/>
      <w:r>
        <w:t xml:space="preserve"> construction of roads on steep slopes would be accomplished by switchbacks, which the least-cost path algorithm in ArcMap is not able to accomplish. As such, a few planned roads in our analysis may have been unrealistically steep.</w:t>
      </w:r>
    </w:p>
    <w:p w:rsidR="000C4DAF" w:rsidRDefault="000C4DAF" w:rsidP="000C4DAF">
      <w:pPr>
        <w:pStyle w:val="Heading4"/>
      </w:pPr>
      <w:proofErr w:type="gramStart"/>
      <w:r>
        <w:t>pipes</w:t>
      </w:r>
      <w:proofErr w:type="gramEnd"/>
    </w:p>
    <w:p w:rsidR="000C4DAF" w:rsidRPr="001B166F" w:rsidRDefault="000C4DAF" w:rsidP="000C4DAF">
      <w:pPr>
        <w:pStyle w:val="NoSpacing"/>
        <w:numPr>
          <w:ilvl w:val="0"/>
          <w:numId w:val="5"/>
        </w:numPr>
      </w:pPr>
      <w:r>
        <w:t>0 m (but not in) wetlands &gt; 1 acre</w:t>
      </w:r>
    </w:p>
    <w:p w:rsidR="00651E4E" w:rsidRDefault="00651E4E" w:rsidP="00B01B06">
      <w:pPr>
        <w:spacing w:after="200" w:line="276" w:lineRule="auto"/>
        <w:sectPr w:rsidR="00651E4E" w:rsidSect="002115B4">
          <w:pgSz w:w="12240" w:h="15840" w:code="1"/>
          <w:pgMar w:top="1440" w:right="1800" w:bottom="1440" w:left="1800" w:header="720" w:footer="720" w:gutter="0"/>
          <w:cols w:space="720"/>
          <w:docGrid w:linePitch="360"/>
        </w:sectPr>
      </w:pPr>
    </w:p>
    <w:tbl>
      <w:tblPr>
        <w:tblW w:w="0" w:type="auto"/>
        <w:jc w:val="center"/>
        <w:tblInd w:w="93" w:type="dxa"/>
        <w:tblLook w:val="04A0"/>
      </w:tblPr>
      <w:tblGrid>
        <w:gridCol w:w="1148"/>
        <w:gridCol w:w="1071"/>
        <w:gridCol w:w="1407"/>
        <w:gridCol w:w="1628"/>
        <w:gridCol w:w="1628"/>
        <w:gridCol w:w="1191"/>
        <w:gridCol w:w="1090"/>
        <w:gridCol w:w="1090"/>
      </w:tblGrid>
      <w:tr w:rsidR="00B01B06" w:rsidRPr="00210FE7" w:rsidTr="00CD418D">
        <w:trPr>
          <w:trHeight w:val="300"/>
          <w:jc w:val="center"/>
        </w:trPr>
        <w:tc>
          <w:tcPr>
            <w:tcW w:w="0" w:type="auto"/>
            <w:tcBorders>
              <w:top w:val="single" w:sz="4" w:space="0" w:color="auto"/>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lastRenderedPageBreak/>
              <w:t>cultural</w:t>
            </w:r>
          </w:p>
        </w:tc>
        <w:tc>
          <w:tcPr>
            <w:tcW w:w="0" w:type="auto"/>
            <w:tcBorders>
              <w:top w:val="single" w:sz="4" w:space="0" w:color="auto"/>
              <w:left w:val="nil"/>
              <w:bottom w:val="nil"/>
              <w:right w:val="nil"/>
            </w:tcBorders>
            <w:shd w:val="clear" w:color="000000" w:fill="AAC2DF"/>
            <w:noWrap/>
            <w:vAlign w:val="bottom"/>
            <w:hideMark/>
          </w:tcPr>
          <w:p w:rsidR="00B01B06" w:rsidRPr="00210FE7" w:rsidRDefault="00B01B06" w:rsidP="00F06840">
            <w:pPr>
              <w:jc w:val="center"/>
              <w:rPr>
                <w:color w:val="000000"/>
              </w:rPr>
            </w:pPr>
            <w:r w:rsidRPr="00210FE7">
              <w:rPr>
                <w:color w:val="000000"/>
              </w:rPr>
              <w:t>-48</w:t>
            </w:r>
          </w:p>
        </w:tc>
        <w:tc>
          <w:tcPr>
            <w:tcW w:w="0" w:type="auto"/>
            <w:tcBorders>
              <w:top w:val="single" w:sz="4" w:space="0" w:color="auto"/>
              <w:left w:val="nil"/>
              <w:bottom w:val="nil"/>
              <w:right w:val="nil"/>
            </w:tcBorders>
            <w:shd w:val="clear" w:color="000000" w:fill="D8E3F0"/>
            <w:noWrap/>
            <w:vAlign w:val="bottom"/>
            <w:hideMark/>
          </w:tcPr>
          <w:p w:rsidR="00B01B06" w:rsidRPr="00210FE7" w:rsidRDefault="00B01B06" w:rsidP="00F06840">
            <w:pPr>
              <w:jc w:val="center"/>
              <w:rPr>
                <w:color w:val="000000"/>
              </w:rPr>
            </w:pPr>
            <w:r w:rsidRPr="00210FE7">
              <w:rPr>
                <w:color w:val="000000"/>
              </w:rPr>
              <w:t>-22</w:t>
            </w:r>
          </w:p>
        </w:tc>
        <w:tc>
          <w:tcPr>
            <w:tcW w:w="0" w:type="auto"/>
            <w:tcBorders>
              <w:top w:val="single" w:sz="4" w:space="0" w:color="auto"/>
              <w:left w:val="nil"/>
              <w:bottom w:val="nil"/>
              <w:right w:val="nil"/>
            </w:tcBorders>
            <w:shd w:val="clear" w:color="000000" w:fill="D78E8C"/>
            <w:noWrap/>
            <w:vAlign w:val="bottom"/>
            <w:hideMark/>
          </w:tcPr>
          <w:p w:rsidR="00B01B06" w:rsidRPr="00210FE7" w:rsidRDefault="00B01B06" w:rsidP="00F06840">
            <w:pPr>
              <w:jc w:val="center"/>
              <w:rPr>
                <w:color w:val="000000"/>
              </w:rPr>
            </w:pPr>
            <w:r w:rsidRPr="00210FE7">
              <w:rPr>
                <w:color w:val="000000"/>
              </w:rPr>
              <w:t>65</w:t>
            </w:r>
          </w:p>
        </w:tc>
        <w:tc>
          <w:tcPr>
            <w:tcW w:w="0" w:type="auto"/>
            <w:tcBorders>
              <w:top w:val="single" w:sz="4" w:space="0" w:color="auto"/>
              <w:left w:val="nil"/>
              <w:bottom w:val="nil"/>
              <w:right w:val="nil"/>
            </w:tcBorders>
            <w:shd w:val="clear" w:color="000000" w:fill="EDCCCB"/>
            <w:noWrap/>
            <w:vAlign w:val="bottom"/>
            <w:hideMark/>
          </w:tcPr>
          <w:p w:rsidR="00B01B06" w:rsidRPr="00210FE7" w:rsidRDefault="00B01B06" w:rsidP="00F06840">
            <w:pPr>
              <w:jc w:val="center"/>
              <w:rPr>
                <w:color w:val="000000"/>
              </w:rPr>
            </w:pPr>
            <w:r w:rsidRPr="00210FE7">
              <w:rPr>
                <w:color w:val="000000"/>
              </w:rPr>
              <w:t>30</w:t>
            </w:r>
          </w:p>
        </w:tc>
        <w:tc>
          <w:tcPr>
            <w:tcW w:w="0" w:type="auto"/>
            <w:tcBorders>
              <w:top w:val="single" w:sz="4" w:space="0" w:color="auto"/>
              <w:left w:val="nil"/>
              <w:bottom w:val="nil"/>
              <w:right w:val="nil"/>
            </w:tcBorders>
            <w:shd w:val="clear" w:color="000000" w:fill="DC9D9B"/>
            <w:noWrap/>
            <w:vAlign w:val="bottom"/>
            <w:hideMark/>
          </w:tcPr>
          <w:p w:rsidR="00B01B06" w:rsidRPr="00210FE7" w:rsidRDefault="00B01B06" w:rsidP="00F06840">
            <w:pPr>
              <w:jc w:val="center"/>
              <w:rPr>
                <w:color w:val="000000"/>
              </w:rPr>
            </w:pPr>
            <w:r w:rsidRPr="00210FE7">
              <w:rPr>
                <w:color w:val="000000"/>
              </w:rPr>
              <w:t>56</w:t>
            </w:r>
          </w:p>
        </w:tc>
        <w:tc>
          <w:tcPr>
            <w:tcW w:w="0" w:type="auto"/>
            <w:tcBorders>
              <w:top w:val="single" w:sz="4" w:space="0" w:color="auto"/>
              <w:left w:val="nil"/>
              <w:bottom w:val="nil"/>
              <w:right w:val="nil"/>
            </w:tcBorders>
            <w:shd w:val="clear" w:color="000000" w:fill="FAF0F0"/>
            <w:noWrap/>
            <w:vAlign w:val="bottom"/>
            <w:hideMark/>
          </w:tcPr>
          <w:p w:rsidR="00B01B06" w:rsidRPr="00210FE7" w:rsidRDefault="00B01B06" w:rsidP="00F06840">
            <w:pPr>
              <w:jc w:val="center"/>
              <w:rPr>
                <w:color w:val="000000"/>
              </w:rPr>
            </w:pPr>
            <w:r w:rsidRPr="00210FE7">
              <w:rPr>
                <w:color w:val="000000"/>
              </w:rPr>
              <w:t>9</w:t>
            </w:r>
          </w:p>
        </w:tc>
        <w:tc>
          <w:tcPr>
            <w:tcW w:w="0" w:type="auto"/>
            <w:tcBorders>
              <w:top w:val="single" w:sz="4" w:space="0" w:color="auto"/>
              <w:left w:val="nil"/>
              <w:bottom w:val="nil"/>
              <w:right w:val="single" w:sz="4" w:space="0" w:color="auto"/>
            </w:tcBorders>
            <w:shd w:val="clear" w:color="000000" w:fill="F8FAFC"/>
            <w:noWrap/>
            <w:vAlign w:val="bottom"/>
            <w:hideMark/>
          </w:tcPr>
          <w:p w:rsidR="00B01B06" w:rsidRPr="00210FE7" w:rsidRDefault="00B01B06" w:rsidP="00F06840">
            <w:pPr>
              <w:jc w:val="center"/>
              <w:rPr>
                <w:color w:val="000000"/>
              </w:rPr>
            </w:pPr>
            <w:r w:rsidRPr="00210FE7">
              <w:rPr>
                <w:color w:val="000000"/>
              </w:rPr>
              <w:t>-3</w:t>
            </w:r>
          </w:p>
        </w:tc>
      </w:tr>
      <w:tr w:rsidR="00B01B06" w:rsidRPr="00210FE7" w:rsidTr="00CD418D">
        <w:trPr>
          <w:trHeight w:val="300"/>
          <w:jc w:val="center"/>
        </w:trPr>
        <w:tc>
          <w:tcPr>
            <w:tcW w:w="0" w:type="auto"/>
            <w:tcBorders>
              <w:top w:val="nil"/>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 </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erosion</w:t>
            </w:r>
          </w:p>
        </w:tc>
        <w:tc>
          <w:tcPr>
            <w:tcW w:w="0" w:type="auto"/>
            <w:tcBorders>
              <w:top w:val="nil"/>
              <w:left w:val="nil"/>
              <w:bottom w:val="nil"/>
              <w:right w:val="nil"/>
            </w:tcBorders>
            <w:shd w:val="clear" w:color="000000" w:fill="F1D8D7"/>
            <w:noWrap/>
            <w:vAlign w:val="bottom"/>
            <w:hideMark/>
          </w:tcPr>
          <w:p w:rsidR="00B01B06" w:rsidRPr="00210FE7" w:rsidRDefault="00B01B06" w:rsidP="00F06840">
            <w:pPr>
              <w:jc w:val="center"/>
              <w:rPr>
                <w:color w:val="000000"/>
              </w:rPr>
            </w:pPr>
            <w:r w:rsidRPr="00210FE7">
              <w:rPr>
                <w:color w:val="000000"/>
              </w:rPr>
              <w:t>23</w:t>
            </w:r>
          </w:p>
        </w:tc>
        <w:tc>
          <w:tcPr>
            <w:tcW w:w="0" w:type="auto"/>
            <w:tcBorders>
              <w:top w:val="nil"/>
              <w:left w:val="nil"/>
              <w:bottom w:val="nil"/>
              <w:right w:val="nil"/>
            </w:tcBorders>
            <w:shd w:val="clear" w:color="000000" w:fill="D5E1EF"/>
            <w:noWrap/>
            <w:vAlign w:val="bottom"/>
            <w:hideMark/>
          </w:tcPr>
          <w:p w:rsidR="00B01B06" w:rsidRPr="00210FE7" w:rsidRDefault="00B01B06" w:rsidP="00F06840">
            <w:pPr>
              <w:jc w:val="center"/>
              <w:rPr>
                <w:color w:val="000000"/>
              </w:rPr>
            </w:pPr>
            <w:r w:rsidRPr="00210FE7">
              <w:rPr>
                <w:color w:val="000000"/>
              </w:rPr>
              <w:t>-24</w:t>
            </w:r>
          </w:p>
        </w:tc>
        <w:tc>
          <w:tcPr>
            <w:tcW w:w="0" w:type="auto"/>
            <w:tcBorders>
              <w:top w:val="nil"/>
              <w:left w:val="nil"/>
              <w:bottom w:val="nil"/>
              <w:right w:val="nil"/>
            </w:tcBorders>
            <w:shd w:val="clear" w:color="000000" w:fill="D4E0EF"/>
            <w:noWrap/>
            <w:vAlign w:val="bottom"/>
            <w:hideMark/>
          </w:tcPr>
          <w:p w:rsidR="00B01B06" w:rsidRPr="00210FE7" w:rsidRDefault="00B01B06" w:rsidP="00F06840">
            <w:pPr>
              <w:jc w:val="center"/>
              <w:rPr>
                <w:color w:val="000000"/>
              </w:rPr>
            </w:pPr>
            <w:r w:rsidRPr="00210FE7">
              <w:rPr>
                <w:color w:val="000000"/>
              </w:rPr>
              <w:t>-24</w:t>
            </w:r>
          </w:p>
        </w:tc>
        <w:tc>
          <w:tcPr>
            <w:tcW w:w="0" w:type="auto"/>
            <w:tcBorders>
              <w:top w:val="nil"/>
              <w:left w:val="nil"/>
              <w:bottom w:val="nil"/>
              <w:right w:val="nil"/>
            </w:tcBorders>
            <w:shd w:val="clear" w:color="000000" w:fill="81A5D0"/>
            <w:noWrap/>
            <w:vAlign w:val="bottom"/>
            <w:hideMark/>
          </w:tcPr>
          <w:p w:rsidR="00B01B06" w:rsidRPr="00210FE7" w:rsidRDefault="00B01B06" w:rsidP="00F06840">
            <w:pPr>
              <w:jc w:val="center"/>
              <w:rPr>
                <w:b/>
                <w:bCs/>
                <w:i/>
                <w:iCs/>
                <w:color w:val="4F6228"/>
              </w:rPr>
            </w:pPr>
            <w:r w:rsidRPr="00210FE7">
              <w:rPr>
                <w:b/>
                <w:bCs/>
                <w:i/>
                <w:iCs/>
                <w:color w:val="4F6228"/>
              </w:rPr>
              <w:t>-71</w:t>
            </w:r>
          </w:p>
        </w:tc>
        <w:tc>
          <w:tcPr>
            <w:tcW w:w="0" w:type="auto"/>
            <w:tcBorders>
              <w:top w:val="nil"/>
              <w:left w:val="nil"/>
              <w:bottom w:val="nil"/>
              <w:right w:val="nil"/>
            </w:tcBorders>
            <w:shd w:val="clear" w:color="000000" w:fill="EBC7C6"/>
            <w:noWrap/>
            <w:vAlign w:val="bottom"/>
            <w:hideMark/>
          </w:tcPr>
          <w:p w:rsidR="00B01B06" w:rsidRPr="00210FE7" w:rsidRDefault="00B01B06" w:rsidP="00F06840">
            <w:pPr>
              <w:jc w:val="center"/>
              <w:rPr>
                <w:color w:val="000000"/>
              </w:rPr>
            </w:pPr>
            <w:r w:rsidRPr="00210FE7">
              <w:rPr>
                <w:color w:val="000000"/>
              </w:rPr>
              <w:t>32</w:t>
            </w:r>
          </w:p>
        </w:tc>
        <w:tc>
          <w:tcPr>
            <w:tcW w:w="0" w:type="auto"/>
            <w:tcBorders>
              <w:top w:val="nil"/>
              <w:left w:val="nil"/>
              <w:bottom w:val="nil"/>
              <w:right w:val="single" w:sz="4" w:space="0" w:color="auto"/>
            </w:tcBorders>
            <w:shd w:val="clear" w:color="000000" w:fill="E1AAA9"/>
            <w:noWrap/>
            <w:vAlign w:val="bottom"/>
            <w:hideMark/>
          </w:tcPr>
          <w:p w:rsidR="00B01B06" w:rsidRPr="00210FE7" w:rsidRDefault="00B01B06" w:rsidP="00F06840">
            <w:pPr>
              <w:jc w:val="center"/>
              <w:rPr>
                <w:color w:val="000000"/>
              </w:rPr>
            </w:pPr>
            <w:r w:rsidRPr="00210FE7">
              <w:rPr>
                <w:color w:val="000000"/>
              </w:rPr>
              <w:t>49</w:t>
            </w:r>
          </w:p>
        </w:tc>
      </w:tr>
      <w:tr w:rsidR="00B01B06" w:rsidRPr="00210FE7" w:rsidTr="00CD418D">
        <w:trPr>
          <w:trHeight w:val="300"/>
          <w:jc w:val="center"/>
        </w:trPr>
        <w:tc>
          <w:tcPr>
            <w:tcW w:w="0" w:type="auto"/>
            <w:tcBorders>
              <w:top w:val="nil"/>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 </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forest loss</w:t>
            </w:r>
          </w:p>
        </w:tc>
        <w:tc>
          <w:tcPr>
            <w:tcW w:w="0" w:type="auto"/>
            <w:tcBorders>
              <w:top w:val="nil"/>
              <w:left w:val="nil"/>
              <w:bottom w:val="nil"/>
              <w:right w:val="nil"/>
            </w:tcBorders>
            <w:shd w:val="clear" w:color="000000" w:fill="CAD9EB"/>
            <w:noWrap/>
            <w:vAlign w:val="bottom"/>
            <w:hideMark/>
          </w:tcPr>
          <w:p w:rsidR="00B01B06" w:rsidRPr="00210FE7" w:rsidRDefault="00B01B06" w:rsidP="00F06840">
            <w:pPr>
              <w:jc w:val="center"/>
              <w:rPr>
                <w:color w:val="000000"/>
              </w:rPr>
            </w:pPr>
            <w:r w:rsidRPr="00210FE7">
              <w:rPr>
                <w:color w:val="000000"/>
              </w:rPr>
              <w:t>-30</w:t>
            </w:r>
          </w:p>
        </w:tc>
        <w:tc>
          <w:tcPr>
            <w:tcW w:w="0" w:type="auto"/>
            <w:tcBorders>
              <w:top w:val="nil"/>
              <w:left w:val="nil"/>
              <w:bottom w:val="nil"/>
              <w:right w:val="nil"/>
            </w:tcBorders>
            <w:shd w:val="clear" w:color="000000" w:fill="5887C0"/>
            <w:noWrap/>
            <w:vAlign w:val="bottom"/>
            <w:hideMark/>
          </w:tcPr>
          <w:p w:rsidR="00B01B06" w:rsidRPr="00210FE7" w:rsidRDefault="00B01B06" w:rsidP="00F06840">
            <w:pPr>
              <w:jc w:val="center"/>
              <w:rPr>
                <w:b/>
                <w:bCs/>
                <w:i/>
                <w:iCs/>
                <w:color w:val="4F6228"/>
              </w:rPr>
            </w:pPr>
            <w:r w:rsidRPr="00210FE7">
              <w:rPr>
                <w:b/>
                <w:bCs/>
                <w:i/>
                <w:iCs/>
                <w:color w:val="4F6228"/>
              </w:rPr>
              <w:t>-95</w:t>
            </w:r>
          </w:p>
        </w:tc>
        <w:tc>
          <w:tcPr>
            <w:tcW w:w="0" w:type="auto"/>
            <w:tcBorders>
              <w:top w:val="nil"/>
              <w:left w:val="nil"/>
              <w:bottom w:val="nil"/>
              <w:right w:val="nil"/>
            </w:tcBorders>
            <w:shd w:val="clear" w:color="000000" w:fill="F4DFDE"/>
            <w:noWrap/>
            <w:vAlign w:val="bottom"/>
            <w:hideMark/>
          </w:tcPr>
          <w:p w:rsidR="00B01B06" w:rsidRPr="00210FE7" w:rsidRDefault="00B01B06" w:rsidP="00F06840">
            <w:pPr>
              <w:jc w:val="center"/>
              <w:rPr>
                <w:color w:val="000000"/>
              </w:rPr>
            </w:pPr>
            <w:r w:rsidRPr="00210FE7">
              <w:rPr>
                <w:color w:val="000000"/>
              </w:rPr>
              <w:t>19</w:t>
            </w:r>
          </w:p>
        </w:tc>
        <w:tc>
          <w:tcPr>
            <w:tcW w:w="0" w:type="auto"/>
            <w:tcBorders>
              <w:top w:val="nil"/>
              <w:left w:val="nil"/>
              <w:bottom w:val="nil"/>
              <w:right w:val="nil"/>
            </w:tcBorders>
            <w:shd w:val="clear" w:color="000000" w:fill="B2C8E2"/>
            <w:noWrap/>
            <w:vAlign w:val="bottom"/>
            <w:hideMark/>
          </w:tcPr>
          <w:p w:rsidR="00B01B06" w:rsidRPr="00210FE7" w:rsidRDefault="00B01B06" w:rsidP="00F06840">
            <w:pPr>
              <w:jc w:val="center"/>
              <w:rPr>
                <w:color w:val="000000"/>
              </w:rPr>
            </w:pPr>
            <w:r w:rsidRPr="00210FE7">
              <w:rPr>
                <w:color w:val="000000"/>
              </w:rPr>
              <w:t>-43</w:t>
            </w:r>
          </w:p>
        </w:tc>
        <w:tc>
          <w:tcPr>
            <w:tcW w:w="0" w:type="auto"/>
            <w:tcBorders>
              <w:top w:val="nil"/>
              <w:left w:val="nil"/>
              <w:bottom w:val="nil"/>
              <w:right w:val="single" w:sz="4" w:space="0" w:color="auto"/>
            </w:tcBorders>
            <w:shd w:val="clear" w:color="000000" w:fill="D0DDED"/>
            <w:noWrap/>
            <w:vAlign w:val="bottom"/>
            <w:hideMark/>
          </w:tcPr>
          <w:p w:rsidR="00B01B06" w:rsidRPr="00210FE7" w:rsidRDefault="00B01B06" w:rsidP="00F06840">
            <w:pPr>
              <w:jc w:val="center"/>
              <w:rPr>
                <w:color w:val="000000"/>
              </w:rPr>
            </w:pPr>
            <w:r w:rsidRPr="00210FE7">
              <w:rPr>
                <w:color w:val="000000"/>
              </w:rPr>
              <w:t>-26</w:t>
            </w:r>
          </w:p>
        </w:tc>
      </w:tr>
      <w:tr w:rsidR="00B01B06" w:rsidRPr="00210FE7" w:rsidTr="00CD418D">
        <w:trPr>
          <w:trHeight w:val="300"/>
          <w:jc w:val="center"/>
        </w:trPr>
        <w:tc>
          <w:tcPr>
            <w:tcW w:w="0" w:type="auto"/>
            <w:tcBorders>
              <w:top w:val="nil"/>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 </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xml:space="preserve">forest </w:t>
            </w:r>
            <w:proofErr w:type="spellStart"/>
            <w:r w:rsidRPr="00210FE7">
              <w:rPr>
                <w:color w:val="000000"/>
              </w:rPr>
              <w:t>frag</w:t>
            </w:r>
            <w:proofErr w:type="spellEnd"/>
            <w:r w:rsidRPr="00210FE7">
              <w:rPr>
                <w:color w:val="000000"/>
              </w:rPr>
              <w:t xml:space="preserve"> 1</w:t>
            </w:r>
          </w:p>
        </w:tc>
        <w:tc>
          <w:tcPr>
            <w:tcW w:w="0" w:type="auto"/>
            <w:tcBorders>
              <w:top w:val="nil"/>
              <w:left w:val="nil"/>
              <w:bottom w:val="nil"/>
              <w:right w:val="nil"/>
            </w:tcBorders>
            <w:shd w:val="clear" w:color="000000" w:fill="EDCBCB"/>
            <w:noWrap/>
            <w:vAlign w:val="bottom"/>
            <w:hideMark/>
          </w:tcPr>
          <w:p w:rsidR="00B01B06" w:rsidRPr="00210FE7" w:rsidRDefault="00B01B06" w:rsidP="00F06840">
            <w:pPr>
              <w:jc w:val="center"/>
              <w:rPr>
                <w:color w:val="000000"/>
              </w:rPr>
            </w:pPr>
            <w:r w:rsidRPr="00210FE7">
              <w:rPr>
                <w:color w:val="000000"/>
              </w:rPr>
              <w:t>30</w:t>
            </w:r>
          </w:p>
        </w:tc>
        <w:tc>
          <w:tcPr>
            <w:tcW w:w="0" w:type="auto"/>
            <w:tcBorders>
              <w:top w:val="nil"/>
              <w:left w:val="nil"/>
              <w:bottom w:val="nil"/>
              <w:right w:val="nil"/>
            </w:tcBorders>
            <w:shd w:val="clear" w:color="000000" w:fill="EDCDCC"/>
            <w:noWrap/>
            <w:vAlign w:val="bottom"/>
            <w:hideMark/>
          </w:tcPr>
          <w:p w:rsidR="00B01B06" w:rsidRPr="00210FE7" w:rsidRDefault="00B01B06" w:rsidP="00F06840">
            <w:pPr>
              <w:jc w:val="center"/>
              <w:rPr>
                <w:color w:val="000000"/>
              </w:rPr>
            </w:pPr>
            <w:r w:rsidRPr="00210FE7">
              <w:rPr>
                <w:color w:val="000000"/>
              </w:rPr>
              <w:t>29</w:t>
            </w:r>
          </w:p>
        </w:tc>
        <w:tc>
          <w:tcPr>
            <w:tcW w:w="0" w:type="auto"/>
            <w:tcBorders>
              <w:top w:val="nil"/>
              <w:left w:val="nil"/>
              <w:bottom w:val="nil"/>
              <w:right w:val="nil"/>
            </w:tcBorders>
            <w:shd w:val="clear" w:color="000000" w:fill="F7E9E9"/>
            <w:noWrap/>
            <w:vAlign w:val="bottom"/>
            <w:hideMark/>
          </w:tcPr>
          <w:p w:rsidR="00B01B06" w:rsidRPr="00210FE7" w:rsidRDefault="00B01B06" w:rsidP="00F06840">
            <w:pPr>
              <w:jc w:val="center"/>
              <w:rPr>
                <w:color w:val="000000"/>
              </w:rPr>
            </w:pPr>
            <w:r w:rsidRPr="00210FE7">
              <w:rPr>
                <w:color w:val="000000"/>
              </w:rPr>
              <w:t>13</w:t>
            </w:r>
          </w:p>
        </w:tc>
        <w:tc>
          <w:tcPr>
            <w:tcW w:w="0" w:type="auto"/>
            <w:tcBorders>
              <w:top w:val="nil"/>
              <w:left w:val="nil"/>
              <w:bottom w:val="nil"/>
              <w:right w:val="single" w:sz="4" w:space="0" w:color="auto"/>
            </w:tcBorders>
            <w:shd w:val="clear" w:color="000000" w:fill="FAFBFD"/>
            <w:noWrap/>
            <w:vAlign w:val="bottom"/>
            <w:hideMark/>
          </w:tcPr>
          <w:p w:rsidR="00B01B06" w:rsidRPr="00210FE7" w:rsidRDefault="00B01B06" w:rsidP="00F06840">
            <w:pPr>
              <w:jc w:val="center"/>
              <w:rPr>
                <w:color w:val="000000"/>
              </w:rPr>
            </w:pPr>
            <w:r w:rsidRPr="00210FE7">
              <w:rPr>
                <w:color w:val="000000"/>
              </w:rPr>
              <w:t>-3</w:t>
            </w:r>
          </w:p>
        </w:tc>
      </w:tr>
      <w:tr w:rsidR="00B01B06" w:rsidRPr="00210FE7" w:rsidTr="00CD418D">
        <w:trPr>
          <w:trHeight w:val="300"/>
          <w:jc w:val="center"/>
        </w:trPr>
        <w:tc>
          <w:tcPr>
            <w:tcW w:w="0" w:type="auto"/>
            <w:tcBorders>
              <w:top w:val="nil"/>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 </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xml:space="preserve">forest </w:t>
            </w:r>
            <w:proofErr w:type="spellStart"/>
            <w:r w:rsidRPr="00210FE7">
              <w:rPr>
                <w:color w:val="000000"/>
              </w:rPr>
              <w:t>frag</w:t>
            </w:r>
            <w:proofErr w:type="spellEnd"/>
            <w:r w:rsidRPr="00210FE7">
              <w:rPr>
                <w:color w:val="000000"/>
              </w:rPr>
              <w:t xml:space="preserve"> 2</w:t>
            </w:r>
          </w:p>
        </w:tc>
        <w:tc>
          <w:tcPr>
            <w:tcW w:w="0" w:type="auto"/>
            <w:tcBorders>
              <w:top w:val="nil"/>
              <w:left w:val="nil"/>
              <w:bottom w:val="nil"/>
              <w:right w:val="nil"/>
            </w:tcBorders>
            <w:shd w:val="clear" w:color="000000" w:fill="F0F4F9"/>
            <w:noWrap/>
            <w:vAlign w:val="bottom"/>
            <w:hideMark/>
          </w:tcPr>
          <w:p w:rsidR="00B01B06" w:rsidRPr="00210FE7" w:rsidRDefault="00B01B06" w:rsidP="00F06840">
            <w:pPr>
              <w:jc w:val="center"/>
              <w:rPr>
                <w:color w:val="000000"/>
              </w:rPr>
            </w:pPr>
            <w:r w:rsidRPr="00210FE7">
              <w:rPr>
                <w:color w:val="000000"/>
              </w:rPr>
              <w:t>-8</w:t>
            </w:r>
          </w:p>
        </w:tc>
        <w:tc>
          <w:tcPr>
            <w:tcW w:w="0" w:type="auto"/>
            <w:tcBorders>
              <w:top w:val="nil"/>
              <w:left w:val="nil"/>
              <w:bottom w:val="nil"/>
              <w:right w:val="nil"/>
            </w:tcBorders>
            <w:shd w:val="clear" w:color="000000" w:fill="E0A9A7"/>
            <w:noWrap/>
            <w:vAlign w:val="bottom"/>
            <w:hideMark/>
          </w:tcPr>
          <w:p w:rsidR="00B01B06" w:rsidRPr="00210FE7" w:rsidRDefault="00B01B06" w:rsidP="00F06840">
            <w:pPr>
              <w:jc w:val="center"/>
              <w:rPr>
                <w:color w:val="000000"/>
              </w:rPr>
            </w:pPr>
            <w:r w:rsidRPr="00210FE7">
              <w:rPr>
                <w:color w:val="000000"/>
              </w:rPr>
              <w:t>49</w:t>
            </w:r>
          </w:p>
        </w:tc>
        <w:tc>
          <w:tcPr>
            <w:tcW w:w="0" w:type="auto"/>
            <w:tcBorders>
              <w:top w:val="nil"/>
              <w:left w:val="nil"/>
              <w:bottom w:val="nil"/>
              <w:right w:val="single" w:sz="4" w:space="0" w:color="auto"/>
            </w:tcBorders>
            <w:shd w:val="clear" w:color="000000" w:fill="E9C0BF"/>
            <w:noWrap/>
            <w:vAlign w:val="bottom"/>
            <w:hideMark/>
          </w:tcPr>
          <w:p w:rsidR="00B01B06" w:rsidRPr="00210FE7" w:rsidRDefault="00B01B06" w:rsidP="00F06840">
            <w:pPr>
              <w:jc w:val="center"/>
              <w:rPr>
                <w:color w:val="000000"/>
              </w:rPr>
            </w:pPr>
            <w:r w:rsidRPr="00210FE7">
              <w:rPr>
                <w:color w:val="000000"/>
              </w:rPr>
              <w:t>36</w:t>
            </w:r>
          </w:p>
        </w:tc>
      </w:tr>
      <w:tr w:rsidR="00B01B06" w:rsidRPr="00210FE7" w:rsidTr="00CD418D">
        <w:trPr>
          <w:trHeight w:val="300"/>
          <w:jc w:val="center"/>
        </w:trPr>
        <w:tc>
          <w:tcPr>
            <w:tcW w:w="0" w:type="auto"/>
            <w:tcBorders>
              <w:top w:val="nil"/>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 </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xml:space="preserve">rare </w:t>
            </w:r>
            <w:proofErr w:type="spellStart"/>
            <w:r w:rsidRPr="00210FE7">
              <w:rPr>
                <w:color w:val="000000"/>
              </w:rPr>
              <w:t>spp</w:t>
            </w:r>
            <w:proofErr w:type="spellEnd"/>
          </w:p>
        </w:tc>
        <w:tc>
          <w:tcPr>
            <w:tcW w:w="0" w:type="auto"/>
            <w:tcBorders>
              <w:top w:val="nil"/>
              <w:left w:val="nil"/>
              <w:bottom w:val="nil"/>
              <w:right w:val="nil"/>
            </w:tcBorders>
            <w:shd w:val="clear" w:color="000000" w:fill="B9CDE5"/>
            <w:noWrap/>
            <w:vAlign w:val="bottom"/>
            <w:hideMark/>
          </w:tcPr>
          <w:p w:rsidR="00B01B06" w:rsidRPr="00210FE7" w:rsidRDefault="00B01B06" w:rsidP="00F06840">
            <w:pPr>
              <w:jc w:val="center"/>
              <w:rPr>
                <w:b/>
                <w:bCs/>
                <w:i/>
                <w:iCs/>
                <w:color w:val="4F6228"/>
              </w:rPr>
            </w:pPr>
            <w:r w:rsidRPr="00210FE7">
              <w:rPr>
                <w:b/>
                <w:bCs/>
                <w:i/>
                <w:iCs/>
                <w:color w:val="4F6228"/>
              </w:rPr>
              <w:t>-39</w:t>
            </w:r>
          </w:p>
        </w:tc>
        <w:tc>
          <w:tcPr>
            <w:tcW w:w="0" w:type="auto"/>
            <w:tcBorders>
              <w:top w:val="nil"/>
              <w:left w:val="nil"/>
              <w:bottom w:val="nil"/>
              <w:right w:val="single" w:sz="4" w:space="0" w:color="auto"/>
            </w:tcBorders>
            <w:shd w:val="clear" w:color="000000" w:fill="B6CAE3"/>
            <w:noWrap/>
            <w:vAlign w:val="bottom"/>
            <w:hideMark/>
          </w:tcPr>
          <w:p w:rsidR="00B01B06" w:rsidRPr="00210FE7" w:rsidRDefault="00B01B06" w:rsidP="00F06840">
            <w:pPr>
              <w:jc w:val="center"/>
              <w:rPr>
                <w:color w:val="000000"/>
              </w:rPr>
            </w:pPr>
            <w:r w:rsidRPr="00210FE7">
              <w:rPr>
                <w:color w:val="000000"/>
              </w:rPr>
              <w:t>-41</w:t>
            </w:r>
          </w:p>
        </w:tc>
      </w:tr>
      <w:tr w:rsidR="00B01B06" w:rsidRPr="00210FE7" w:rsidTr="00CD418D">
        <w:trPr>
          <w:trHeight w:val="300"/>
          <w:jc w:val="center"/>
        </w:trPr>
        <w:tc>
          <w:tcPr>
            <w:tcW w:w="0" w:type="auto"/>
            <w:gridSpan w:val="2"/>
            <w:vMerge w:val="restart"/>
            <w:tcBorders>
              <w:top w:val="nil"/>
              <w:left w:val="single" w:sz="4" w:space="0" w:color="auto"/>
              <w:right w:val="nil"/>
            </w:tcBorders>
            <w:shd w:val="clear" w:color="auto" w:fill="auto"/>
            <w:noWrap/>
            <w:vAlign w:val="center"/>
            <w:hideMark/>
          </w:tcPr>
          <w:p w:rsidR="00F77805" w:rsidRDefault="006119F8">
            <w:pPr>
              <w:jc w:val="center"/>
              <w:rPr>
                <w:color w:val="000000"/>
              </w:rPr>
            </w:pPr>
            <w:r w:rsidRPr="006119F8">
              <w:rPr>
                <w:color w:val="000000"/>
                <w:szCs w:val="28"/>
              </w:rPr>
              <w:t>BEFORE</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xml:space="preserve">water 1 </w:t>
            </w:r>
          </w:p>
        </w:tc>
        <w:tc>
          <w:tcPr>
            <w:tcW w:w="0" w:type="auto"/>
            <w:tcBorders>
              <w:top w:val="nil"/>
              <w:left w:val="nil"/>
              <w:bottom w:val="nil"/>
              <w:right w:val="single" w:sz="4" w:space="0" w:color="auto"/>
            </w:tcBorders>
            <w:shd w:val="clear" w:color="000000" w:fill="C6615E"/>
            <w:noWrap/>
            <w:vAlign w:val="bottom"/>
            <w:hideMark/>
          </w:tcPr>
          <w:p w:rsidR="00B01B06" w:rsidRPr="00210FE7" w:rsidRDefault="00B01B06" w:rsidP="00F06840">
            <w:pPr>
              <w:jc w:val="center"/>
              <w:rPr>
                <w:b/>
                <w:bCs/>
                <w:i/>
                <w:iCs/>
                <w:color w:val="4F6228"/>
              </w:rPr>
            </w:pPr>
            <w:r w:rsidRPr="00210FE7">
              <w:rPr>
                <w:b/>
                <w:bCs/>
                <w:i/>
                <w:iCs/>
                <w:color w:val="4F6228"/>
              </w:rPr>
              <w:t>91</w:t>
            </w:r>
          </w:p>
        </w:tc>
      </w:tr>
      <w:tr w:rsidR="00B01B06" w:rsidRPr="00210FE7" w:rsidTr="00CD418D">
        <w:trPr>
          <w:trHeight w:val="300"/>
          <w:jc w:val="center"/>
        </w:trPr>
        <w:tc>
          <w:tcPr>
            <w:tcW w:w="0" w:type="auto"/>
            <w:gridSpan w:val="2"/>
            <w:vMerge/>
            <w:tcBorders>
              <w:left w:val="single" w:sz="4" w:space="0" w:color="auto"/>
              <w:bottom w:val="single" w:sz="4" w:space="0" w:color="auto"/>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single" w:sz="4" w:space="0" w:color="auto"/>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w:t>
            </w:r>
          </w:p>
        </w:tc>
        <w:tc>
          <w:tcPr>
            <w:tcW w:w="0" w:type="auto"/>
            <w:tcBorders>
              <w:top w:val="nil"/>
              <w:left w:val="nil"/>
              <w:bottom w:val="single" w:sz="4" w:space="0" w:color="auto"/>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w:t>
            </w:r>
          </w:p>
        </w:tc>
        <w:tc>
          <w:tcPr>
            <w:tcW w:w="0" w:type="auto"/>
            <w:tcBorders>
              <w:top w:val="nil"/>
              <w:left w:val="nil"/>
              <w:bottom w:val="single" w:sz="4" w:space="0" w:color="auto"/>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w:t>
            </w:r>
          </w:p>
        </w:tc>
        <w:tc>
          <w:tcPr>
            <w:tcW w:w="0" w:type="auto"/>
            <w:tcBorders>
              <w:top w:val="nil"/>
              <w:left w:val="nil"/>
              <w:bottom w:val="single" w:sz="4" w:space="0" w:color="auto"/>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w:t>
            </w:r>
          </w:p>
        </w:tc>
        <w:tc>
          <w:tcPr>
            <w:tcW w:w="0" w:type="auto"/>
            <w:tcBorders>
              <w:top w:val="nil"/>
              <w:left w:val="nil"/>
              <w:bottom w:val="single" w:sz="4" w:space="0" w:color="auto"/>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B01B06" w:rsidRPr="00210FE7" w:rsidRDefault="00B01B06" w:rsidP="00F06840">
            <w:pPr>
              <w:jc w:val="center"/>
              <w:rPr>
                <w:color w:val="000000"/>
              </w:rPr>
            </w:pPr>
            <w:r w:rsidRPr="00210FE7">
              <w:rPr>
                <w:color w:val="000000"/>
              </w:rPr>
              <w:t>water 2</w:t>
            </w:r>
          </w:p>
        </w:tc>
      </w:tr>
      <w:tr w:rsidR="00B01B06" w:rsidRPr="00210FE7" w:rsidTr="00CD418D">
        <w:trPr>
          <w:trHeight w:val="300"/>
          <w:jc w:val="center"/>
        </w:trPr>
        <w:tc>
          <w:tcPr>
            <w:tcW w:w="0" w:type="auto"/>
            <w:tcBorders>
              <w:top w:val="nil"/>
              <w:left w:val="nil"/>
              <w:bottom w:val="nil"/>
              <w:right w:val="nil"/>
            </w:tcBorders>
            <w:shd w:val="clear" w:color="auto" w:fill="auto"/>
            <w:noWrap/>
            <w:vAlign w:val="bottom"/>
            <w:hideMark/>
          </w:tcPr>
          <w:p w:rsidR="00B01B06" w:rsidRPr="00210FE7" w:rsidRDefault="00B01B06" w:rsidP="00F06840">
            <w:pP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r>
      <w:tr w:rsidR="00B01B06" w:rsidRPr="00210FE7" w:rsidTr="00CD418D">
        <w:trPr>
          <w:trHeight w:val="300"/>
          <w:jc w:val="center"/>
        </w:trPr>
        <w:tc>
          <w:tcPr>
            <w:tcW w:w="0" w:type="auto"/>
            <w:tcBorders>
              <w:top w:val="single" w:sz="4" w:space="0" w:color="auto"/>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cultural</w:t>
            </w:r>
          </w:p>
        </w:tc>
        <w:tc>
          <w:tcPr>
            <w:tcW w:w="0" w:type="auto"/>
            <w:tcBorders>
              <w:top w:val="single" w:sz="4" w:space="0" w:color="auto"/>
              <w:left w:val="nil"/>
              <w:bottom w:val="nil"/>
              <w:right w:val="nil"/>
            </w:tcBorders>
            <w:shd w:val="clear" w:color="000000" w:fill="D99392"/>
            <w:noWrap/>
            <w:vAlign w:val="bottom"/>
            <w:hideMark/>
          </w:tcPr>
          <w:p w:rsidR="00B01B06" w:rsidRPr="00210FE7" w:rsidRDefault="00B01B06" w:rsidP="00F06840">
            <w:pPr>
              <w:jc w:val="center"/>
              <w:rPr>
                <w:color w:val="000000"/>
              </w:rPr>
            </w:pPr>
            <w:r w:rsidRPr="00210FE7">
              <w:rPr>
                <w:color w:val="000000"/>
              </w:rPr>
              <w:t>62</w:t>
            </w:r>
          </w:p>
        </w:tc>
        <w:tc>
          <w:tcPr>
            <w:tcW w:w="0" w:type="auto"/>
            <w:tcBorders>
              <w:top w:val="single" w:sz="4" w:space="0" w:color="auto"/>
              <w:left w:val="nil"/>
              <w:bottom w:val="nil"/>
              <w:right w:val="nil"/>
            </w:tcBorders>
            <w:shd w:val="clear" w:color="000000" w:fill="DEA2A0"/>
            <w:noWrap/>
            <w:vAlign w:val="bottom"/>
            <w:hideMark/>
          </w:tcPr>
          <w:p w:rsidR="00B01B06" w:rsidRPr="00210FE7" w:rsidRDefault="00B01B06" w:rsidP="00F06840">
            <w:pPr>
              <w:jc w:val="center"/>
              <w:rPr>
                <w:color w:val="000000"/>
              </w:rPr>
            </w:pPr>
            <w:r w:rsidRPr="00210FE7">
              <w:rPr>
                <w:color w:val="000000"/>
              </w:rPr>
              <w:t>53</w:t>
            </w:r>
          </w:p>
        </w:tc>
        <w:tc>
          <w:tcPr>
            <w:tcW w:w="0" w:type="auto"/>
            <w:tcBorders>
              <w:top w:val="single" w:sz="4" w:space="0" w:color="auto"/>
              <w:left w:val="nil"/>
              <w:bottom w:val="nil"/>
              <w:right w:val="nil"/>
            </w:tcBorders>
            <w:shd w:val="clear" w:color="000000" w:fill="E0E8F3"/>
            <w:noWrap/>
            <w:vAlign w:val="bottom"/>
            <w:hideMark/>
          </w:tcPr>
          <w:p w:rsidR="00B01B06" w:rsidRPr="00210FE7" w:rsidRDefault="00B01B06" w:rsidP="00F06840">
            <w:pPr>
              <w:jc w:val="center"/>
              <w:rPr>
                <w:color w:val="000000"/>
              </w:rPr>
            </w:pPr>
            <w:r w:rsidRPr="00210FE7">
              <w:rPr>
                <w:color w:val="000000"/>
              </w:rPr>
              <w:t>-18</w:t>
            </w:r>
          </w:p>
        </w:tc>
        <w:tc>
          <w:tcPr>
            <w:tcW w:w="0" w:type="auto"/>
            <w:tcBorders>
              <w:top w:val="single" w:sz="4" w:space="0" w:color="auto"/>
              <w:left w:val="nil"/>
              <w:bottom w:val="nil"/>
              <w:right w:val="nil"/>
            </w:tcBorders>
            <w:shd w:val="clear" w:color="000000" w:fill="DFA5A4"/>
            <w:noWrap/>
            <w:vAlign w:val="bottom"/>
            <w:hideMark/>
          </w:tcPr>
          <w:p w:rsidR="00B01B06" w:rsidRPr="00210FE7" w:rsidRDefault="00B01B06" w:rsidP="00F06840">
            <w:pPr>
              <w:jc w:val="center"/>
              <w:rPr>
                <w:color w:val="000000"/>
              </w:rPr>
            </w:pPr>
            <w:r w:rsidRPr="00210FE7">
              <w:rPr>
                <w:color w:val="000000"/>
              </w:rPr>
              <w:t>52</w:t>
            </w:r>
          </w:p>
        </w:tc>
        <w:tc>
          <w:tcPr>
            <w:tcW w:w="0" w:type="auto"/>
            <w:tcBorders>
              <w:top w:val="single" w:sz="4" w:space="0" w:color="auto"/>
              <w:left w:val="nil"/>
              <w:bottom w:val="nil"/>
              <w:right w:val="nil"/>
            </w:tcBorders>
            <w:shd w:val="clear" w:color="000000" w:fill="DEA2A1"/>
            <w:noWrap/>
            <w:vAlign w:val="bottom"/>
            <w:hideMark/>
          </w:tcPr>
          <w:p w:rsidR="00B01B06" w:rsidRPr="00210FE7" w:rsidRDefault="00B01B06" w:rsidP="00F06840">
            <w:pPr>
              <w:jc w:val="center"/>
              <w:rPr>
                <w:color w:val="000000"/>
              </w:rPr>
            </w:pPr>
            <w:r w:rsidRPr="00210FE7">
              <w:rPr>
                <w:color w:val="000000"/>
              </w:rPr>
              <w:t>53</w:t>
            </w:r>
          </w:p>
        </w:tc>
        <w:tc>
          <w:tcPr>
            <w:tcW w:w="0" w:type="auto"/>
            <w:tcBorders>
              <w:top w:val="single" w:sz="4" w:space="0" w:color="auto"/>
              <w:left w:val="nil"/>
              <w:bottom w:val="nil"/>
              <w:right w:val="nil"/>
            </w:tcBorders>
            <w:shd w:val="clear" w:color="000000" w:fill="DFA5A4"/>
            <w:noWrap/>
            <w:vAlign w:val="bottom"/>
            <w:hideMark/>
          </w:tcPr>
          <w:p w:rsidR="00B01B06" w:rsidRPr="00210FE7" w:rsidRDefault="00B01B06" w:rsidP="00F06840">
            <w:pPr>
              <w:jc w:val="center"/>
              <w:rPr>
                <w:color w:val="000000"/>
              </w:rPr>
            </w:pPr>
            <w:r w:rsidRPr="00210FE7">
              <w:rPr>
                <w:color w:val="000000"/>
              </w:rPr>
              <w:t>52</w:t>
            </w:r>
          </w:p>
        </w:tc>
        <w:tc>
          <w:tcPr>
            <w:tcW w:w="0" w:type="auto"/>
            <w:tcBorders>
              <w:top w:val="single" w:sz="4" w:space="0" w:color="auto"/>
              <w:left w:val="nil"/>
              <w:bottom w:val="nil"/>
              <w:right w:val="single" w:sz="4" w:space="0" w:color="auto"/>
            </w:tcBorders>
            <w:shd w:val="clear" w:color="000000" w:fill="D17E7C"/>
            <w:noWrap/>
            <w:vAlign w:val="bottom"/>
            <w:hideMark/>
          </w:tcPr>
          <w:p w:rsidR="00B01B06" w:rsidRPr="00210FE7" w:rsidRDefault="00B01B06" w:rsidP="00F06840">
            <w:pPr>
              <w:jc w:val="center"/>
              <w:rPr>
                <w:b/>
                <w:bCs/>
                <w:i/>
                <w:iCs/>
                <w:color w:val="4F6228"/>
              </w:rPr>
            </w:pPr>
            <w:r w:rsidRPr="00210FE7">
              <w:rPr>
                <w:b/>
                <w:bCs/>
                <w:i/>
                <w:iCs/>
                <w:color w:val="4F6228"/>
              </w:rPr>
              <w:t>74</w:t>
            </w:r>
          </w:p>
        </w:tc>
      </w:tr>
      <w:tr w:rsidR="00B01B06" w:rsidRPr="00210FE7" w:rsidTr="00CD418D">
        <w:trPr>
          <w:trHeight w:val="300"/>
          <w:jc w:val="center"/>
        </w:trPr>
        <w:tc>
          <w:tcPr>
            <w:tcW w:w="0" w:type="auto"/>
            <w:tcBorders>
              <w:top w:val="nil"/>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 </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erosion</w:t>
            </w:r>
          </w:p>
        </w:tc>
        <w:tc>
          <w:tcPr>
            <w:tcW w:w="0" w:type="auto"/>
            <w:tcBorders>
              <w:top w:val="nil"/>
              <w:left w:val="nil"/>
              <w:bottom w:val="nil"/>
              <w:right w:val="nil"/>
            </w:tcBorders>
            <w:shd w:val="clear" w:color="000000" w:fill="D7908E"/>
            <w:noWrap/>
            <w:vAlign w:val="bottom"/>
            <w:hideMark/>
          </w:tcPr>
          <w:p w:rsidR="00B01B06" w:rsidRPr="00210FE7" w:rsidRDefault="00B01B06" w:rsidP="00F06840">
            <w:pPr>
              <w:jc w:val="center"/>
              <w:rPr>
                <w:color w:val="000000"/>
              </w:rPr>
            </w:pPr>
            <w:r w:rsidRPr="00210FE7">
              <w:rPr>
                <w:color w:val="000000"/>
              </w:rPr>
              <w:t>64</w:t>
            </w:r>
          </w:p>
        </w:tc>
        <w:tc>
          <w:tcPr>
            <w:tcW w:w="0" w:type="auto"/>
            <w:tcBorders>
              <w:top w:val="nil"/>
              <w:left w:val="nil"/>
              <w:bottom w:val="nil"/>
              <w:right w:val="nil"/>
            </w:tcBorders>
            <w:shd w:val="clear" w:color="000000" w:fill="A7C0DE"/>
            <w:noWrap/>
            <w:vAlign w:val="bottom"/>
            <w:hideMark/>
          </w:tcPr>
          <w:p w:rsidR="00B01B06" w:rsidRPr="00210FE7" w:rsidRDefault="00B01B06" w:rsidP="00F06840">
            <w:pPr>
              <w:jc w:val="center"/>
              <w:rPr>
                <w:color w:val="000000"/>
              </w:rPr>
            </w:pPr>
            <w:r w:rsidRPr="00210FE7">
              <w:rPr>
                <w:color w:val="000000"/>
              </w:rPr>
              <w:t>-50</w:t>
            </w:r>
          </w:p>
        </w:tc>
        <w:tc>
          <w:tcPr>
            <w:tcW w:w="0" w:type="auto"/>
            <w:tcBorders>
              <w:top w:val="nil"/>
              <w:left w:val="nil"/>
              <w:bottom w:val="nil"/>
              <w:right w:val="nil"/>
            </w:tcBorders>
            <w:shd w:val="clear" w:color="000000" w:fill="F6E5E5"/>
            <w:noWrap/>
            <w:vAlign w:val="bottom"/>
            <w:hideMark/>
          </w:tcPr>
          <w:p w:rsidR="00B01B06" w:rsidRPr="00210FE7" w:rsidRDefault="00B01B06" w:rsidP="00F06840">
            <w:pPr>
              <w:jc w:val="center"/>
              <w:rPr>
                <w:color w:val="000000"/>
              </w:rPr>
            </w:pPr>
            <w:r w:rsidRPr="00210FE7">
              <w:rPr>
                <w:color w:val="000000"/>
              </w:rPr>
              <w:t>15</w:t>
            </w:r>
          </w:p>
        </w:tc>
        <w:tc>
          <w:tcPr>
            <w:tcW w:w="0" w:type="auto"/>
            <w:tcBorders>
              <w:top w:val="nil"/>
              <w:left w:val="nil"/>
              <w:bottom w:val="nil"/>
              <w:right w:val="nil"/>
            </w:tcBorders>
            <w:shd w:val="clear" w:color="000000" w:fill="F7E7E7"/>
            <w:noWrap/>
            <w:vAlign w:val="bottom"/>
            <w:hideMark/>
          </w:tcPr>
          <w:p w:rsidR="00B01B06" w:rsidRPr="00210FE7" w:rsidRDefault="00B01B06" w:rsidP="00F06840">
            <w:pPr>
              <w:jc w:val="center"/>
              <w:rPr>
                <w:color w:val="000000"/>
              </w:rPr>
            </w:pPr>
            <w:r w:rsidRPr="00210FE7">
              <w:rPr>
                <w:color w:val="000000"/>
              </w:rPr>
              <w:t>14</w:t>
            </w:r>
          </w:p>
        </w:tc>
        <w:tc>
          <w:tcPr>
            <w:tcW w:w="0" w:type="auto"/>
            <w:tcBorders>
              <w:top w:val="nil"/>
              <w:left w:val="nil"/>
              <w:bottom w:val="nil"/>
              <w:right w:val="nil"/>
            </w:tcBorders>
            <w:shd w:val="clear" w:color="000000" w:fill="EDCDCD"/>
            <w:noWrap/>
            <w:vAlign w:val="bottom"/>
            <w:hideMark/>
          </w:tcPr>
          <w:p w:rsidR="00B01B06" w:rsidRPr="00210FE7" w:rsidRDefault="00B01B06" w:rsidP="00F06840">
            <w:pPr>
              <w:jc w:val="center"/>
              <w:rPr>
                <w:color w:val="000000"/>
              </w:rPr>
            </w:pPr>
            <w:r w:rsidRPr="00210FE7">
              <w:rPr>
                <w:color w:val="000000"/>
              </w:rPr>
              <w:t>29</w:t>
            </w:r>
          </w:p>
        </w:tc>
        <w:tc>
          <w:tcPr>
            <w:tcW w:w="0" w:type="auto"/>
            <w:tcBorders>
              <w:top w:val="nil"/>
              <w:left w:val="nil"/>
              <w:bottom w:val="nil"/>
              <w:right w:val="single" w:sz="4" w:space="0" w:color="auto"/>
            </w:tcBorders>
            <w:shd w:val="clear" w:color="000000" w:fill="D68C8A"/>
            <w:noWrap/>
            <w:vAlign w:val="bottom"/>
            <w:hideMark/>
          </w:tcPr>
          <w:p w:rsidR="00B01B06" w:rsidRPr="00210FE7" w:rsidRDefault="00B01B06" w:rsidP="00F06840">
            <w:pPr>
              <w:jc w:val="center"/>
              <w:rPr>
                <w:b/>
                <w:bCs/>
                <w:i/>
                <w:iCs/>
                <w:color w:val="4F6228"/>
              </w:rPr>
            </w:pPr>
            <w:r w:rsidRPr="00210FE7">
              <w:rPr>
                <w:b/>
                <w:bCs/>
                <w:i/>
                <w:iCs/>
                <w:color w:val="4F6228"/>
              </w:rPr>
              <w:t>66</w:t>
            </w:r>
          </w:p>
        </w:tc>
      </w:tr>
      <w:tr w:rsidR="00B01B06" w:rsidRPr="00210FE7" w:rsidTr="00CD418D">
        <w:trPr>
          <w:trHeight w:val="300"/>
          <w:jc w:val="center"/>
        </w:trPr>
        <w:tc>
          <w:tcPr>
            <w:tcW w:w="0" w:type="auto"/>
            <w:tcBorders>
              <w:top w:val="nil"/>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 </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forest loss</w:t>
            </w:r>
          </w:p>
        </w:tc>
        <w:tc>
          <w:tcPr>
            <w:tcW w:w="0" w:type="auto"/>
            <w:tcBorders>
              <w:top w:val="nil"/>
              <w:left w:val="nil"/>
              <w:bottom w:val="nil"/>
              <w:right w:val="nil"/>
            </w:tcBorders>
            <w:shd w:val="clear" w:color="000000" w:fill="94B2D6"/>
            <w:noWrap/>
            <w:vAlign w:val="bottom"/>
            <w:hideMark/>
          </w:tcPr>
          <w:p w:rsidR="00B01B06" w:rsidRPr="00210FE7" w:rsidRDefault="00B01B06" w:rsidP="00F06840">
            <w:pPr>
              <w:jc w:val="center"/>
              <w:rPr>
                <w:color w:val="000000"/>
              </w:rPr>
            </w:pPr>
            <w:r w:rsidRPr="00210FE7">
              <w:rPr>
                <w:color w:val="000000"/>
              </w:rPr>
              <w:t>-61</w:t>
            </w:r>
          </w:p>
        </w:tc>
        <w:tc>
          <w:tcPr>
            <w:tcW w:w="0" w:type="auto"/>
            <w:tcBorders>
              <w:top w:val="nil"/>
              <w:left w:val="nil"/>
              <w:bottom w:val="nil"/>
              <w:right w:val="nil"/>
            </w:tcBorders>
            <w:shd w:val="clear" w:color="000000" w:fill="F7E9E9"/>
            <w:noWrap/>
            <w:vAlign w:val="bottom"/>
            <w:hideMark/>
          </w:tcPr>
          <w:p w:rsidR="00B01B06" w:rsidRPr="00210FE7" w:rsidRDefault="00B01B06" w:rsidP="00F06840">
            <w:pPr>
              <w:jc w:val="center"/>
              <w:rPr>
                <w:color w:val="000000"/>
              </w:rPr>
            </w:pPr>
            <w:r w:rsidRPr="00210FE7">
              <w:rPr>
                <w:color w:val="000000"/>
              </w:rPr>
              <w:t>13</w:t>
            </w:r>
          </w:p>
        </w:tc>
        <w:tc>
          <w:tcPr>
            <w:tcW w:w="0" w:type="auto"/>
            <w:tcBorders>
              <w:top w:val="nil"/>
              <w:left w:val="nil"/>
              <w:bottom w:val="nil"/>
              <w:right w:val="nil"/>
            </w:tcBorders>
            <w:shd w:val="clear" w:color="000000" w:fill="EFD1D0"/>
            <w:noWrap/>
            <w:vAlign w:val="bottom"/>
            <w:hideMark/>
          </w:tcPr>
          <w:p w:rsidR="00B01B06" w:rsidRPr="00210FE7" w:rsidRDefault="00B01B06" w:rsidP="00F06840">
            <w:pPr>
              <w:jc w:val="center"/>
              <w:rPr>
                <w:color w:val="000000"/>
              </w:rPr>
            </w:pPr>
            <w:r w:rsidRPr="00210FE7">
              <w:rPr>
                <w:color w:val="000000"/>
              </w:rPr>
              <w:t>27</w:t>
            </w:r>
          </w:p>
        </w:tc>
        <w:tc>
          <w:tcPr>
            <w:tcW w:w="0" w:type="auto"/>
            <w:tcBorders>
              <w:top w:val="nil"/>
              <w:left w:val="nil"/>
              <w:bottom w:val="nil"/>
              <w:right w:val="nil"/>
            </w:tcBorders>
            <w:shd w:val="clear" w:color="000000" w:fill="E8BEBD"/>
            <w:noWrap/>
            <w:vAlign w:val="bottom"/>
            <w:hideMark/>
          </w:tcPr>
          <w:p w:rsidR="00B01B06" w:rsidRPr="00210FE7" w:rsidRDefault="00B01B06" w:rsidP="00F06840">
            <w:pPr>
              <w:jc w:val="center"/>
              <w:rPr>
                <w:color w:val="000000"/>
              </w:rPr>
            </w:pPr>
            <w:r w:rsidRPr="00210FE7">
              <w:rPr>
                <w:color w:val="000000"/>
              </w:rPr>
              <w:t>37</w:t>
            </w:r>
          </w:p>
        </w:tc>
        <w:tc>
          <w:tcPr>
            <w:tcW w:w="0" w:type="auto"/>
            <w:tcBorders>
              <w:top w:val="nil"/>
              <w:left w:val="nil"/>
              <w:bottom w:val="nil"/>
              <w:right w:val="single" w:sz="4" w:space="0" w:color="auto"/>
            </w:tcBorders>
            <w:shd w:val="clear" w:color="000000" w:fill="DB9A98"/>
            <w:noWrap/>
            <w:vAlign w:val="bottom"/>
            <w:hideMark/>
          </w:tcPr>
          <w:p w:rsidR="00B01B06" w:rsidRPr="00210FE7" w:rsidRDefault="00B01B06" w:rsidP="00F06840">
            <w:pPr>
              <w:jc w:val="center"/>
              <w:rPr>
                <w:color w:val="000000"/>
              </w:rPr>
            </w:pPr>
            <w:r w:rsidRPr="00210FE7">
              <w:rPr>
                <w:color w:val="000000"/>
              </w:rPr>
              <w:t>58</w:t>
            </w:r>
          </w:p>
        </w:tc>
      </w:tr>
      <w:tr w:rsidR="00B01B06" w:rsidRPr="00210FE7" w:rsidTr="00CD418D">
        <w:trPr>
          <w:trHeight w:val="300"/>
          <w:jc w:val="center"/>
        </w:trPr>
        <w:tc>
          <w:tcPr>
            <w:tcW w:w="0" w:type="auto"/>
            <w:tcBorders>
              <w:top w:val="nil"/>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 </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xml:space="preserve">forest </w:t>
            </w:r>
            <w:proofErr w:type="spellStart"/>
            <w:r w:rsidRPr="00210FE7">
              <w:rPr>
                <w:color w:val="000000"/>
              </w:rPr>
              <w:t>frag</w:t>
            </w:r>
            <w:proofErr w:type="spellEnd"/>
            <w:r w:rsidRPr="00210FE7">
              <w:rPr>
                <w:color w:val="000000"/>
              </w:rPr>
              <w:t xml:space="preserve"> 1</w:t>
            </w:r>
          </w:p>
        </w:tc>
        <w:tc>
          <w:tcPr>
            <w:tcW w:w="0" w:type="auto"/>
            <w:tcBorders>
              <w:top w:val="nil"/>
              <w:left w:val="nil"/>
              <w:bottom w:val="nil"/>
              <w:right w:val="nil"/>
            </w:tcBorders>
            <w:shd w:val="clear" w:color="000000" w:fill="EDCDCC"/>
            <w:noWrap/>
            <w:vAlign w:val="bottom"/>
            <w:hideMark/>
          </w:tcPr>
          <w:p w:rsidR="00B01B06" w:rsidRPr="00210FE7" w:rsidRDefault="00B01B06" w:rsidP="00F06840">
            <w:pPr>
              <w:jc w:val="center"/>
              <w:rPr>
                <w:color w:val="000000"/>
              </w:rPr>
            </w:pPr>
            <w:r w:rsidRPr="00210FE7">
              <w:rPr>
                <w:color w:val="000000"/>
              </w:rPr>
              <w:t>29</w:t>
            </w:r>
          </w:p>
        </w:tc>
        <w:tc>
          <w:tcPr>
            <w:tcW w:w="0" w:type="auto"/>
            <w:tcBorders>
              <w:top w:val="nil"/>
              <w:left w:val="nil"/>
              <w:bottom w:val="nil"/>
              <w:right w:val="nil"/>
            </w:tcBorders>
            <w:shd w:val="clear" w:color="000000" w:fill="F5E1E1"/>
            <w:noWrap/>
            <w:vAlign w:val="bottom"/>
            <w:hideMark/>
          </w:tcPr>
          <w:p w:rsidR="00B01B06" w:rsidRPr="00210FE7" w:rsidRDefault="00B01B06" w:rsidP="00F06840">
            <w:pPr>
              <w:jc w:val="center"/>
              <w:rPr>
                <w:color w:val="000000"/>
              </w:rPr>
            </w:pPr>
            <w:r w:rsidRPr="00210FE7">
              <w:rPr>
                <w:color w:val="000000"/>
              </w:rPr>
              <w:t>17</w:t>
            </w:r>
          </w:p>
        </w:tc>
        <w:tc>
          <w:tcPr>
            <w:tcW w:w="0" w:type="auto"/>
            <w:tcBorders>
              <w:top w:val="nil"/>
              <w:left w:val="nil"/>
              <w:bottom w:val="nil"/>
              <w:right w:val="nil"/>
            </w:tcBorders>
            <w:shd w:val="clear" w:color="000000" w:fill="D5E1EF"/>
            <w:noWrap/>
            <w:vAlign w:val="bottom"/>
            <w:hideMark/>
          </w:tcPr>
          <w:p w:rsidR="00B01B06" w:rsidRPr="00210FE7" w:rsidRDefault="00B01B06" w:rsidP="00F06840">
            <w:pPr>
              <w:jc w:val="center"/>
              <w:rPr>
                <w:color w:val="000000"/>
              </w:rPr>
            </w:pPr>
            <w:r w:rsidRPr="00210FE7">
              <w:rPr>
                <w:color w:val="000000"/>
              </w:rPr>
              <w:t>-24</w:t>
            </w:r>
          </w:p>
        </w:tc>
        <w:tc>
          <w:tcPr>
            <w:tcW w:w="0" w:type="auto"/>
            <w:tcBorders>
              <w:top w:val="nil"/>
              <w:left w:val="nil"/>
              <w:bottom w:val="nil"/>
              <w:right w:val="single" w:sz="4" w:space="0" w:color="auto"/>
            </w:tcBorders>
            <w:shd w:val="clear" w:color="000000" w:fill="BBCEE5"/>
            <w:noWrap/>
            <w:vAlign w:val="bottom"/>
            <w:hideMark/>
          </w:tcPr>
          <w:p w:rsidR="00B01B06" w:rsidRPr="00210FE7" w:rsidRDefault="00B01B06" w:rsidP="00F06840">
            <w:pPr>
              <w:jc w:val="center"/>
              <w:rPr>
                <w:color w:val="000000"/>
              </w:rPr>
            </w:pPr>
            <w:r w:rsidRPr="00210FE7">
              <w:rPr>
                <w:color w:val="000000"/>
              </w:rPr>
              <w:t>-39</w:t>
            </w:r>
          </w:p>
        </w:tc>
      </w:tr>
      <w:tr w:rsidR="00B01B06" w:rsidRPr="00210FE7" w:rsidTr="00CD418D">
        <w:trPr>
          <w:trHeight w:val="300"/>
          <w:jc w:val="center"/>
        </w:trPr>
        <w:tc>
          <w:tcPr>
            <w:tcW w:w="0" w:type="auto"/>
            <w:tcBorders>
              <w:top w:val="nil"/>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 </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xml:space="preserve">forest </w:t>
            </w:r>
            <w:proofErr w:type="spellStart"/>
            <w:r w:rsidRPr="00210FE7">
              <w:rPr>
                <w:color w:val="000000"/>
              </w:rPr>
              <w:t>frag</w:t>
            </w:r>
            <w:proofErr w:type="spellEnd"/>
            <w:r w:rsidRPr="00210FE7">
              <w:rPr>
                <w:color w:val="000000"/>
              </w:rPr>
              <w:t xml:space="preserve"> 2</w:t>
            </w:r>
          </w:p>
        </w:tc>
        <w:tc>
          <w:tcPr>
            <w:tcW w:w="0" w:type="auto"/>
            <w:tcBorders>
              <w:top w:val="nil"/>
              <w:left w:val="nil"/>
              <w:bottom w:val="nil"/>
              <w:right w:val="nil"/>
            </w:tcBorders>
            <w:shd w:val="clear" w:color="000000" w:fill="E4B3B1"/>
            <w:noWrap/>
            <w:vAlign w:val="bottom"/>
            <w:hideMark/>
          </w:tcPr>
          <w:p w:rsidR="00B01B06" w:rsidRPr="00210FE7" w:rsidRDefault="00B01B06" w:rsidP="00F06840">
            <w:pPr>
              <w:jc w:val="center"/>
              <w:rPr>
                <w:color w:val="000000"/>
              </w:rPr>
            </w:pPr>
            <w:r w:rsidRPr="00210FE7">
              <w:rPr>
                <w:color w:val="000000"/>
              </w:rPr>
              <w:t>44</w:t>
            </w:r>
          </w:p>
        </w:tc>
        <w:tc>
          <w:tcPr>
            <w:tcW w:w="0" w:type="auto"/>
            <w:tcBorders>
              <w:top w:val="nil"/>
              <w:left w:val="nil"/>
              <w:bottom w:val="nil"/>
              <w:right w:val="nil"/>
            </w:tcBorders>
            <w:shd w:val="clear" w:color="000000" w:fill="F0D5D5"/>
            <w:noWrap/>
            <w:vAlign w:val="bottom"/>
            <w:hideMark/>
          </w:tcPr>
          <w:p w:rsidR="00B01B06" w:rsidRPr="00210FE7" w:rsidRDefault="00B01B06" w:rsidP="00F06840">
            <w:pPr>
              <w:jc w:val="center"/>
              <w:rPr>
                <w:color w:val="000000"/>
              </w:rPr>
            </w:pPr>
            <w:r w:rsidRPr="00210FE7">
              <w:rPr>
                <w:color w:val="000000"/>
              </w:rPr>
              <w:t>24</w:t>
            </w:r>
          </w:p>
        </w:tc>
        <w:tc>
          <w:tcPr>
            <w:tcW w:w="0" w:type="auto"/>
            <w:tcBorders>
              <w:top w:val="nil"/>
              <w:left w:val="nil"/>
              <w:bottom w:val="nil"/>
              <w:right w:val="single" w:sz="4" w:space="0" w:color="auto"/>
            </w:tcBorders>
            <w:shd w:val="clear" w:color="000000" w:fill="EAC5C4"/>
            <w:noWrap/>
            <w:vAlign w:val="bottom"/>
            <w:hideMark/>
          </w:tcPr>
          <w:p w:rsidR="00B01B06" w:rsidRPr="00210FE7" w:rsidRDefault="00B01B06" w:rsidP="00F06840">
            <w:pPr>
              <w:jc w:val="center"/>
              <w:rPr>
                <w:color w:val="000000"/>
              </w:rPr>
            </w:pPr>
            <w:r w:rsidRPr="00210FE7">
              <w:rPr>
                <w:color w:val="000000"/>
              </w:rPr>
              <w:t>33</w:t>
            </w:r>
          </w:p>
        </w:tc>
      </w:tr>
      <w:tr w:rsidR="00B01B06" w:rsidRPr="00210FE7" w:rsidTr="00CD418D">
        <w:trPr>
          <w:trHeight w:val="300"/>
          <w:jc w:val="center"/>
        </w:trPr>
        <w:tc>
          <w:tcPr>
            <w:tcW w:w="0" w:type="auto"/>
            <w:tcBorders>
              <w:top w:val="nil"/>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 </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xml:space="preserve">rare </w:t>
            </w:r>
            <w:proofErr w:type="spellStart"/>
            <w:r w:rsidRPr="00210FE7">
              <w:rPr>
                <w:color w:val="000000"/>
              </w:rPr>
              <w:t>spp</w:t>
            </w:r>
            <w:proofErr w:type="spellEnd"/>
          </w:p>
        </w:tc>
        <w:tc>
          <w:tcPr>
            <w:tcW w:w="0" w:type="auto"/>
            <w:tcBorders>
              <w:top w:val="nil"/>
              <w:left w:val="nil"/>
              <w:bottom w:val="nil"/>
              <w:right w:val="nil"/>
            </w:tcBorders>
            <w:shd w:val="clear" w:color="000000" w:fill="F1D8D7"/>
            <w:noWrap/>
            <w:vAlign w:val="bottom"/>
            <w:hideMark/>
          </w:tcPr>
          <w:p w:rsidR="00B01B06" w:rsidRPr="00210FE7" w:rsidRDefault="00B01B06" w:rsidP="00F06840">
            <w:pPr>
              <w:jc w:val="center"/>
              <w:rPr>
                <w:b/>
                <w:bCs/>
                <w:i/>
                <w:iCs/>
                <w:color w:val="4F6228"/>
              </w:rPr>
            </w:pPr>
            <w:r w:rsidRPr="00210FE7">
              <w:rPr>
                <w:b/>
                <w:bCs/>
                <w:i/>
                <w:iCs/>
                <w:color w:val="4F6228"/>
              </w:rPr>
              <w:t>23</w:t>
            </w:r>
          </w:p>
        </w:tc>
        <w:tc>
          <w:tcPr>
            <w:tcW w:w="0" w:type="auto"/>
            <w:tcBorders>
              <w:top w:val="nil"/>
              <w:left w:val="nil"/>
              <w:bottom w:val="nil"/>
              <w:right w:val="single" w:sz="4" w:space="0" w:color="auto"/>
            </w:tcBorders>
            <w:shd w:val="clear" w:color="000000" w:fill="E9C1C0"/>
            <w:noWrap/>
            <w:vAlign w:val="bottom"/>
            <w:hideMark/>
          </w:tcPr>
          <w:p w:rsidR="00B01B06" w:rsidRPr="00210FE7" w:rsidRDefault="00B01B06" w:rsidP="00F06840">
            <w:pPr>
              <w:jc w:val="center"/>
              <w:rPr>
                <w:color w:val="000000"/>
              </w:rPr>
            </w:pPr>
            <w:r w:rsidRPr="00210FE7">
              <w:rPr>
                <w:color w:val="000000"/>
              </w:rPr>
              <w:t>36</w:t>
            </w:r>
          </w:p>
        </w:tc>
      </w:tr>
      <w:tr w:rsidR="00B01B06" w:rsidRPr="00210FE7" w:rsidTr="00CD418D">
        <w:trPr>
          <w:trHeight w:val="300"/>
          <w:jc w:val="center"/>
        </w:trPr>
        <w:tc>
          <w:tcPr>
            <w:tcW w:w="0" w:type="auto"/>
            <w:gridSpan w:val="2"/>
            <w:vMerge w:val="restart"/>
            <w:tcBorders>
              <w:top w:val="nil"/>
              <w:left w:val="single" w:sz="4" w:space="0" w:color="auto"/>
              <w:right w:val="nil"/>
            </w:tcBorders>
            <w:shd w:val="clear" w:color="auto" w:fill="auto"/>
            <w:noWrap/>
            <w:vAlign w:val="center"/>
            <w:hideMark/>
          </w:tcPr>
          <w:p w:rsidR="00F77805" w:rsidRDefault="006119F8">
            <w:pPr>
              <w:jc w:val="center"/>
              <w:rPr>
                <w:color w:val="000000"/>
              </w:rPr>
            </w:pPr>
            <w:r w:rsidRPr="006119F8">
              <w:rPr>
                <w:color w:val="000000"/>
                <w:szCs w:val="28"/>
              </w:rPr>
              <w:t>AFTER</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xml:space="preserve">water 1 </w:t>
            </w:r>
          </w:p>
        </w:tc>
        <w:tc>
          <w:tcPr>
            <w:tcW w:w="0" w:type="auto"/>
            <w:tcBorders>
              <w:top w:val="nil"/>
              <w:left w:val="nil"/>
              <w:bottom w:val="nil"/>
              <w:right w:val="single" w:sz="4" w:space="0" w:color="auto"/>
            </w:tcBorders>
            <w:shd w:val="clear" w:color="000000" w:fill="CB6D6B"/>
            <w:noWrap/>
            <w:vAlign w:val="bottom"/>
            <w:hideMark/>
          </w:tcPr>
          <w:p w:rsidR="00B01B06" w:rsidRPr="00210FE7" w:rsidRDefault="00B01B06" w:rsidP="00F06840">
            <w:pPr>
              <w:jc w:val="center"/>
              <w:rPr>
                <w:b/>
                <w:bCs/>
                <w:i/>
                <w:iCs/>
                <w:color w:val="4F6228"/>
              </w:rPr>
            </w:pPr>
            <w:r w:rsidRPr="00210FE7">
              <w:rPr>
                <w:b/>
                <w:bCs/>
                <w:i/>
                <w:iCs/>
                <w:color w:val="4F6228"/>
              </w:rPr>
              <w:t>84</w:t>
            </w:r>
          </w:p>
        </w:tc>
      </w:tr>
      <w:tr w:rsidR="00B01B06" w:rsidRPr="00210FE7" w:rsidTr="00CD418D">
        <w:trPr>
          <w:trHeight w:val="300"/>
          <w:jc w:val="center"/>
        </w:trPr>
        <w:tc>
          <w:tcPr>
            <w:tcW w:w="0" w:type="auto"/>
            <w:gridSpan w:val="2"/>
            <w:vMerge/>
            <w:tcBorders>
              <w:left w:val="single" w:sz="4" w:space="0" w:color="auto"/>
              <w:bottom w:val="single" w:sz="4" w:space="0" w:color="auto"/>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single" w:sz="4" w:space="0" w:color="auto"/>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w:t>
            </w:r>
          </w:p>
        </w:tc>
        <w:tc>
          <w:tcPr>
            <w:tcW w:w="0" w:type="auto"/>
            <w:tcBorders>
              <w:top w:val="nil"/>
              <w:left w:val="nil"/>
              <w:bottom w:val="single" w:sz="4" w:space="0" w:color="auto"/>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w:t>
            </w:r>
          </w:p>
        </w:tc>
        <w:tc>
          <w:tcPr>
            <w:tcW w:w="0" w:type="auto"/>
            <w:tcBorders>
              <w:top w:val="nil"/>
              <w:left w:val="nil"/>
              <w:bottom w:val="single" w:sz="4" w:space="0" w:color="auto"/>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w:t>
            </w:r>
          </w:p>
        </w:tc>
        <w:tc>
          <w:tcPr>
            <w:tcW w:w="0" w:type="auto"/>
            <w:tcBorders>
              <w:top w:val="nil"/>
              <w:left w:val="nil"/>
              <w:bottom w:val="single" w:sz="4" w:space="0" w:color="auto"/>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w:t>
            </w:r>
          </w:p>
        </w:tc>
        <w:tc>
          <w:tcPr>
            <w:tcW w:w="0" w:type="auto"/>
            <w:tcBorders>
              <w:top w:val="nil"/>
              <w:left w:val="nil"/>
              <w:bottom w:val="single" w:sz="4" w:space="0" w:color="auto"/>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B01B06" w:rsidRPr="00210FE7" w:rsidRDefault="00B01B06" w:rsidP="00F06840">
            <w:pPr>
              <w:jc w:val="center"/>
              <w:rPr>
                <w:color w:val="000000"/>
              </w:rPr>
            </w:pPr>
            <w:r w:rsidRPr="00210FE7">
              <w:rPr>
                <w:color w:val="000000"/>
              </w:rPr>
              <w:t>water 2</w:t>
            </w:r>
          </w:p>
        </w:tc>
      </w:tr>
      <w:tr w:rsidR="00B01B06" w:rsidRPr="00210FE7" w:rsidTr="00CD418D">
        <w:trPr>
          <w:trHeight w:val="300"/>
          <w:jc w:val="center"/>
        </w:trPr>
        <w:tc>
          <w:tcPr>
            <w:tcW w:w="0" w:type="auto"/>
            <w:tcBorders>
              <w:top w:val="nil"/>
              <w:left w:val="nil"/>
              <w:bottom w:val="nil"/>
              <w:right w:val="nil"/>
            </w:tcBorders>
            <w:shd w:val="clear" w:color="auto" w:fill="auto"/>
            <w:noWrap/>
            <w:vAlign w:val="bottom"/>
            <w:hideMark/>
          </w:tcPr>
          <w:p w:rsidR="00B01B06" w:rsidRPr="00210FE7" w:rsidRDefault="00B01B06" w:rsidP="00F06840">
            <w:pP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r>
      <w:tr w:rsidR="00B01B06" w:rsidRPr="00210FE7" w:rsidTr="00CD418D">
        <w:trPr>
          <w:trHeight w:val="300"/>
          <w:jc w:val="center"/>
        </w:trPr>
        <w:tc>
          <w:tcPr>
            <w:tcW w:w="0" w:type="auto"/>
            <w:tcBorders>
              <w:top w:val="single" w:sz="4" w:space="0" w:color="auto"/>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cultural</w:t>
            </w:r>
          </w:p>
        </w:tc>
        <w:tc>
          <w:tcPr>
            <w:tcW w:w="0" w:type="auto"/>
            <w:tcBorders>
              <w:top w:val="single" w:sz="4" w:space="0" w:color="auto"/>
              <w:left w:val="nil"/>
              <w:bottom w:val="nil"/>
              <w:right w:val="nil"/>
            </w:tcBorders>
            <w:shd w:val="clear" w:color="000000" w:fill="C0504D"/>
            <w:noWrap/>
            <w:vAlign w:val="bottom"/>
            <w:hideMark/>
          </w:tcPr>
          <w:p w:rsidR="00B01B06" w:rsidRPr="00210FE7" w:rsidRDefault="00B01B06" w:rsidP="00F06840">
            <w:pPr>
              <w:jc w:val="center"/>
              <w:rPr>
                <w:color w:val="000000"/>
              </w:rPr>
            </w:pPr>
            <w:r w:rsidRPr="00210FE7">
              <w:rPr>
                <w:color w:val="000000"/>
              </w:rPr>
              <w:t>110</w:t>
            </w:r>
          </w:p>
        </w:tc>
        <w:tc>
          <w:tcPr>
            <w:tcW w:w="0" w:type="auto"/>
            <w:tcBorders>
              <w:top w:val="single" w:sz="4" w:space="0" w:color="auto"/>
              <w:left w:val="nil"/>
              <w:bottom w:val="nil"/>
              <w:right w:val="nil"/>
            </w:tcBorders>
            <w:shd w:val="clear" w:color="000000" w:fill="D07B79"/>
            <w:noWrap/>
            <w:vAlign w:val="bottom"/>
            <w:hideMark/>
          </w:tcPr>
          <w:p w:rsidR="00B01B06" w:rsidRPr="00210FE7" w:rsidRDefault="00B01B06" w:rsidP="00F06840">
            <w:pPr>
              <w:jc w:val="center"/>
              <w:rPr>
                <w:color w:val="000000"/>
              </w:rPr>
            </w:pPr>
            <w:r w:rsidRPr="00210FE7">
              <w:rPr>
                <w:color w:val="000000"/>
              </w:rPr>
              <w:t>75</w:t>
            </w:r>
          </w:p>
        </w:tc>
        <w:tc>
          <w:tcPr>
            <w:tcW w:w="0" w:type="auto"/>
            <w:tcBorders>
              <w:top w:val="single" w:sz="4" w:space="0" w:color="auto"/>
              <w:left w:val="nil"/>
              <w:bottom w:val="nil"/>
              <w:right w:val="nil"/>
            </w:tcBorders>
            <w:shd w:val="clear" w:color="000000" w:fill="6D97C8"/>
            <w:noWrap/>
            <w:vAlign w:val="bottom"/>
            <w:hideMark/>
          </w:tcPr>
          <w:p w:rsidR="00B01B06" w:rsidRPr="00210FE7" w:rsidRDefault="00B01B06" w:rsidP="00F06840">
            <w:pPr>
              <w:jc w:val="center"/>
              <w:rPr>
                <w:color w:val="000000"/>
              </w:rPr>
            </w:pPr>
            <w:r w:rsidRPr="00210FE7">
              <w:rPr>
                <w:color w:val="000000"/>
              </w:rPr>
              <w:t>-82</w:t>
            </w:r>
          </w:p>
        </w:tc>
        <w:tc>
          <w:tcPr>
            <w:tcW w:w="0" w:type="auto"/>
            <w:tcBorders>
              <w:top w:val="single" w:sz="4" w:space="0" w:color="auto"/>
              <w:left w:val="nil"/>
              <w:bottom w:val="nil"/>
              <w:right w:val="nil"/>
            </w:tcBorders>
            <w:shd w:val="clear" w:color="000000" w:fill="F2D9D8"/>
            <w:noWrap/>
            <w:vAlign w:val="bottom"/>
            <w:hideMark/>
          </w:tcPr>
          <w:p w:rsidR="00B01B06" w:rsidRPr="00210FE7" w:rsidRDefault="00B01B06" w:rsidP="00F06840">
            <w:pPr>
              <w:jc w:val="center"/>
              <w:rPr>
                <w:color w:val="000000"/>
              </w:rPr>
            </w:pPr>
            <w:r w:rsidRPr="00210FE7">
              <w:rPr>
                <w:color w:val="000000"/>
              </w:rPr>
              <w:t>22</w:t>
            </w:r>
          </w:p>
        </w:tc>
        <w:tc>
          <w:tcPr>
            <w:tcW w:w="0" w:type="auto"/>
            <w:tcBorders>
              <w:top w:val="single" w:sz="4" w:space="0" w:color="auto"/>
              <w:left w:val="nil"/>
              <w:bottom w:val="nil"/>
              <w:right w:val="nil"/>
            </w:tcBorders>
            <w:shd w:val="clear" w:color="000000" w:fill="F9FAFC"/>
            <w:noWrap/>
            <w:vAlign w:val="bottom"/>
            <w:hideMark/>
          </w:tcPr>
          <w:p w:rsidR="00B01B06" w:rsidRPr="00210FE7" w:rsidRDefault="00B01B06" w:rsidP="00F06840">
            <w:pPr>
              <w:jc w:val="center"/>
              <w:rPr>
                <w:color w:val="000000"/>
              </w:rPr>
            </w:pPr>
            <w:r w:rsidRPr="00210FE7">
              <w:rPr>
                <w:color w:val="000000"/>
              </w:rPr>
              <w:t>-3</w:t>
            </w:r>
          </w:p>
        </w:tc>
        <w:tc>
          <w:tcPr>
            <w:tcW w:w="0" w:type="auto"/>
            <w:tcBorders>
              <w:top w:val="single" w:sz="4" w:space="0" w:color="auto"/>
              <w:left w:val="nil"/>
              <w:bottom w:val="nil"/>
              <w:right w:val="nil"/>
            </w:tcBorders>
            <w:shd w:val="clear" w:color="000000" w:fill="E5B5B3"/>
            <w:noWrap/>
            <w:vAlign w:val="bottom"/>
            <w:hideMark/>
          </w:tcPr>
          <w:p w:rsidR="00B01B06" w:rsidRPr="00210FE7" w:rsidRDefault="00B01B06" w:rsidP="00F06840">
            <w:pPr>
              <w:jc w:val="center"/>
              <w:rPr>
                <w:color w:val="000000"/>
              </w:rPr>
            </w:pPr>
            <w:r w:rsidRPr="00210FE7">
              <w:rPr>
                <w:color w:val="000000"/>
              </w:rPr>
              <w:t>43</w:t>
            </w:r>
          </w:p>
        </w:tc>
        <w:tc>
          <w:tcPr>
            <w:tcW w:w="0" w:type="auto"/>
            <w:tcBorders>
              <w:top w:val="single" w:sz="4" w:space="0" w:color="auto"/>
              <w:left w:val="nil"/>
              <w:bottom w:val="nil"/>
              <w:right w:val="single" w:sz="4" w:space="0" w:color="auto"/>
            </w:tcBorders>
            <w:shd w:val="clear" w:color="000000" w:fill="CF7876"/>
            <w:noWrap/>
            <w:vAlign w:val="bottom"/>
            <w:hideMark/>
          </w:tcPr>
          <w:p w:rsidR="00B01B06" w:rsidRPr="00210FE7" w:rsidRDefault="00B01B06" w:rsidP="00F06840">
            <w:pPr>
              <w:jc w:val="center"/>
              <w:rPr>
                <w:color w:val="000000"/>
              </w:rPr>
            </w:pPr>
            <w:r w:rsidRPr="00210FE7">
              <w:rPr>
                <w:color w:val="000000"/>
              </w:rPr>
              <w:t>78</w:t>
            </w:r>
          </w:p>
        </w:tc>
      </w:tr>
      <w:tr w:rsidR="00B01B06" w:rsidRPr="00210FE7" w:rsidTr="00CD418D">
        <w:trPr>
          <w:trHeight w:val="300"/>
          <w:jc w:val="center"/>
        </w:trPr>
        <w:tc>
          <w:tcPr>
            <w:tcW w:w="0" w:type="auto"/>
            <w:tcBorders>
              <w:top w:val="nil"/>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 </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erosion</w:t>
            </w:r>
          </w:p>
        </w:tc>
        <w:tc>
          <w:tcPr>
            <w:tcW w:w="0" w:type="auto"/>
            <w:tcBorders>
              <w:top w:val="nil"/>
              <w:left w:val="nil"/>
              <w:bottom w:val="nil"/>
              <w:right w:val="nil"/>
            </w:tcBorders>
            <w:shd w:val="clear" w:color="000000" w:fill="E6B8B7"/>
            <w:noWrap/>
            <w:vAlign w:val="bottom"/>
            <w:hideMark/>
          </w:tcPr>
          <w:p w:rsidR="00B01B06" w:rsidRPr="00210FE7" w:rsidRDefault="00B01B06" w:rsidP="00F06840">
            <w:pPr>
              <w:jc w:val="center"/>
              <w:rPr>
                <w:color w:val="000000"/>
              </w:rPr>
            </w:pPr>
            <w:r w:rsidRPr="00210FE7">
              <w:rPr>
                <w:color w:val="000000"/>
              </w:rPr>
              <w:t>41</w:t>
            </w:r>
          </w:p>
        </w:tc>
        <w:tc>
          <w:tcPr>
            <w:tcW w:w="0" w:type="auto"/>
            <w:tcBorders>
              <w:top w:val="nil"/>
              <w:left w:val="nil"/>
              <w:bottom w:val="nil"/>
              <w:right w:val="nil"/>
            </w:tcBorders>
            <w:shd w:val="clear" w:color="000000" w:fill="D1DEED"/>
            <w:noWrap/>
            <w:vAlign w:val="bottom"/>
            <w:hideMark/>
          </w:tcPr>
          <w:p w:rsidR="00B01B06" w:rsidRPr="00210FE7" w:rsidRDefault="00B01B06" w:rsidP="00F06840">
            <w:pPr>
              <w:jc w:val="center"/>
              <w:rPr>
                <w:color w:val="000000"/>
              </w:rPr>
            </w:pPr>
            <w:r w:rsidRPr="00210FE7">
              <w:rPr>
                <w:color w:val="000000"/>
              </w:rPr>
              <w:t>-26</w:t>
            </w:r>
          </w:p>
        </w:tc>
        <w:tc>
          <w:tcPr>
            <w:tcW w:w="0" w:type="auto"/>
            <w:tcBorders>
              <w:top w:val="nil"/>
              <w:left w:val="nil"/>
              <w:bottom w:val="nil"/>
              <w:right w:val="nil"/>
            </w:tcBorders>
            <w:shd w:val="clear" w:color="000000" w:fill="E7BBBA"/>
            <w:noWrap/>
            <w:vAlign w:val="bottom"/>
            <w:hideMark/>
          </w:tcPr>
          <w:p w:rsidR="00B01B06" w:rsidRPr="00210FE7" w:rsidRDefault="00B01B06" w:rsidP="00F06840">
            <w:pPr>
              <w:jc w:val="center"/>
              <w:rPr>
                <w:color w:val="000000"/>
              </w:rPr>
            </w:pPr>
            <w:r w:rsidRPr="00210FE7">
              <w:rPr>
                <w:color w:val="000000"/>
              </w:rPr>
              <w:t>39</w:t>
            </w:r>
          </w:p>
        </w:tc>
        <w:tc>
          <w:tcPr>
            <w:tcW w:w="0" w:type="auto"/>
            <w:tcBorders>
              <w:top w:val="nil"/>
              <w:left w:val="nil"/>
              <w:bottom w:val="nil"/>
              <w:right w:val="nil"/>
            </w:tcBorders>
            <w:shd w:val="clear" w:color="000000" w:fill="CA6B68"/>
            <w:noWrap/>
            <w:vAlign w:val="bottom"/>
            <w:hideMark/>
          </w:tcPr>
          <w:p w:rsidR="00B01B06" w:rsidRPr="00210FE7" w:rsidRDefault="00B01B06" w:rsidP="00F06840">
            <w:pPr>
              <w:jc w:val="center"/>
              <w:rPr>
                <w:color w:val="000000"/>
              </w:rPr>
            </w:pPr>
            <w:r w:rsidRPr="00210FE7">
              <w:rPr>
                <w:color w:val="000000"/>
              </w:rPr>
              <w:t>85</w:t>
            </w:r>
          </w:p>
        </w:tc>
        <w:tc>
          <w:tcPr>
            <w:tcW w:w="0" w:type="auto"/>
            <w:tcBorders>
              <w:top w:val="nil"/>
              <w:left w:val="nil"/>
              <w:bottom w:val="nil"/>
              <w:right w:val="nil"/>
            </w:tcBorders>
            <w:shd w:val="clear" w:color="000000" w:fill="F8FAFC"/>
            <w:noWrap/>
            <w:vAlign w:val="bottom"/>
            <w:hideMark/>
          </w:tcPr>
          <w:p w:rsidR="00B01B06" w:rsidRPr="00210FE7" w:rsidRDefault="00B01B06" w:rsidP="00F06840">
            <w:pPr>
              <w:jc w:val="center"/>
              <w:rPr>
                <w:color w:val="000000"/>
              </w:rPr>
            </w:pPr>
            <w:r w:rsidRPr="00210FE7">
              <w:rPr>
                <w:color w:val="000000"/>
              </w:rPr>
              <w:t>-4</w:t>
            </w:r>
          </w:p>
        </w:tc>
        <w:tc>
          <w:tcPr>
            <w:tcW w:w="0" w:type="auto"/>
            <w:tcBorders>
              <w:top w:val="nil"/>
              <w:left w:val="nil"/>
              <w:bottom w:val="nil"/>
              <w:right w:val="single" w:sz="4" w:space="0" w:color="auto"/>
            </w:tcBorders>
            <w:shd w:val="clear" w:color="000000" w:fill="F4E1E0"/>
            <w:noWrap/>
            <w:vAlign w:val="bottom"/>
            <w:hideMark/>
          </w:tcPr>
          <w:p w:rsidR="00B01B06" w:rsidRPr="00210FE7" w:rsidRDefault="00B01B06" w:rsidP="00F06840">
            <w:pPr>
              <w:jc w:val="center"/>
              <w:rPr>
                <w:color w:val="000000"/>
              </w:rPr>
            </w:pPr>
            <w:r w:rsidRPr="00210FE7">
              <w:rPr>
                <w:color w:val="000000"/>
              </w:rPr>
              <w:t>17</w:t>
            </w:r>
          </w:p>
        </w:tc>
      </w:tr>
      <w:tr w:rsidR="00B01B06" w:rsidRPr="00210FE7" w:rsidTr="00CD418D">
        <w:trPr>
          <w:trHeight w:val="300"/>
          <w:jc w:val="center"/>
        </w:trPr>
        <w:tc>
          <w:tcPr>
            <w:tcW w:w="0" w:type="auto"/>
            <w:tcBorders>
              <w:top w:val="nil"/>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 </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forest loss</w:t>
            </w:r>
          </w:p>
        </w:tc>
        <w:tc>
          <w:tcPr>
            <w:tcW w:w="0" w:type="auto"/>
            <w:tcBorders>
              <w:top w:val="nil"/>
              <w:left w:val="nil"/>
              <w:bottom w:val="nil"/>
              <w:right w:val="nil"/>
            </w:tcBorders>
            <w:shd w:val="clear" w:color="000000" w:fill="C8D7EA"/>
            <w:noWrap/>
            <w:vAlign w:val="bottom"/>
            <w:hideMark/>
          </w:tcPr>
          <w:p w:rsidR="00B01B06" w:rsidRPr="00210FE7" w:rsidRDefault="00B01B06" w:rsidP="00F06840">
            <w:pPr>
              <w:jc w:val="center"/>
              <w:rPr>
                <w:color w:val="000000"/>
              </w:rPr>
            </w:pPr>
            <w:r w:rsidRPr="00210FE7">
              <w:rPr>
                <w:color w:val="000000"/>
              </w:rPr>
              <w:t>-31</w:t>
            </w:r>
          </w:p>
        </w:tc>
        <w:tc>
          <w:tcPr>
            <w:tcW w:w="0" w:type="auto"/>
            <w:tcBorders>
              <w:top w:val="nil"/>
              <w:left w:val="nil"/>
              <w:bottom w:val="nil"/>
              <w:right w:val="nil"/>
            </w:tcBorders>
            <w:shd w:val="clear" w:color="000000" w:fill="C0504D"/>
            <w:noWrap/>
            <w:vAlign w:val="bottom"/>
            <w:hideMark/>
          </w:tcPr>
          <w:p w:rsidR="00B01B06" w:rsidRPr="00210FE7" w:rsidRDefault="00B01B06" w:rsidP="00F06840">
            <w:pPr>
              <w:jc w:val="center"/>
              <w:rPr>
                <w:color w:val="000000"/>
              </w:rPr>
            </w:pPr>
            <w:r w:rsidRPr="00210FE7">
              <w:rPr>
                <w:color w:val="000000"/>
              </w:rPr>
              <w:t>107</w:t>
            </w:r>
          </w:p>
        </w:tc>
        <w:tc>
          <w:tcPr>
            <w:tcW w:w="0" w:type="auto"/>
            <w:tcBorders>
              <w:top w:val="nil"/>
              <w:left w:val="nil"/>
              <w:bottom w:val="nil"/>
              <w:right w:val="nil"/>
            </w:tcBorders>
            <w:shd w:val="clear" w:color="000000" w:fill="FBF2F1"/>
            <w:noWrap/>
            <w:vAlign w:val="bottom"/>
            <w:hideMark/>
          </w:tcPr>
          <w:p w:rsidR="00B01B06" w:rsidRPr="00210FE7" w:rsidRDefault="00B01B06" w:rsidP="00F06840">
            <w:pPr>
              <w:jc w:val="center"/>
              <w:rPr>
                <w:color w:val="000000"/>
              </w:rPr>
            </w:pPr>
            <w:r w:rsidRPr="00210FE7">
              <w:rPr>
                <w:color w:val="000000"/>
              </w:rPr>
              <w:t>8</w:t>
            </w:r>
          </w:p>
        </w:tc>
        <w:tc>
          <w:tcPr>
            <w:tcW w:w="0" w:type="auto"/>
            <w:tcBorders>
              <w:top w:val="nil"/>
              <w:left w:val="nil"/>
              <w:bottom w:val="nil"/>
              <w:right w:val="nil"/>
            </w:tcBorders>
            <w:shd w:val="clear" w:color="000000" w:fill="CD7370"/>
            <w:noWrap/>
            <w:vAlign w:val="bottom"/>
            <w:hideMark/>
          </w:tcPr>
          <w:p w:rsidR="00B01B06" w:rsidRPr="00210FE7" w:rsidRDefault="00B01B06" w:rsidP="00F06840">
            <w:pPr>
              <w:jc w:val="center"/>
              <w:rPr>
                <w:color w:val="000000"/>
              </w:rPr>
            </w:pPr>
            <w:r w:rsidRPr="00210FE7">
              <w:rPr>
                <w:color w:val="000000"/>
              </w:rPr>
              <w:t>80</w:t>
            </w:r>
          </w:p>
        </w:tc>
        <w:tc>
          <w:tcPr>
            <w:tcW w:w="0" w:type="auto"/>
            <w:tcBorders>
              <w:top w:val="nil"/>
              <w:left w:val="nil"/>
              <w:bottom w:val="nil"/>
              <w:right w:val="single" w:sz="4" w:space="0" w:color="auto"/>
            </w:tcBorders>
            <w:shd w:val="clear" w:color="000000" w:fill="CA6C6A"/>
            <w:noWrap/>
            <w:vAlign w:val="bottom"/>
            <w:hideMark/>
          </w:tcPr>
          <w:p w:rsidR="00B01B06" w:rsidRPr="00210FE7" w:rsidRDefault="00B01B06" w:rsidP="00F06840">
            <w:pPr>
              <w:jc w:val="center"/>
              <w:rPr>
                <w:color w:val="000000"/>
              </w:rPr>
            </w:pPr>
            <w:r w:rsidRPr="00210FE7">
              <w:rPr>
                <w:color w:val="000000"/>
              </w:rPr>
              <w:t>84</w:t>
            </w:r>
          </w:p>
        </w:tc>
      </w:tr>
      <w:tr w:rsidR="00B01B06" w:rsidRPr="00210FE7" w:rsidTr="00CD418D">
        <w:trPr>
          <w:trHeight w:val="300"/>
          <w:jc w:val="center"/>
        </w:trPr>
        <w:tc>
          <w:tcPr>
            <w:tcW w:w="0" w:type="auto"/>
            <w:tcBorders>
              <w:top w:val="nil"/>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 </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xml:space="preserve">forest </w:t>
            </w:r>
            <w:proofErr w:type="spellStart"/>
            <w:r w:rsidRPr="00210FE7">
              <w:rPr>
                <w:color w:val="000000"/>
              </w:rPr>
              <w:t>frag</w:t>
            </w:r>
            <w:proofErr w:type="spellEnd"/>
            <w:r w:rsidRPr="00210FE7">
              <w:rPr>
                <w:color w:val="000000"/>
              </w:rPr>
              <w:t xml:space="preserve"> 1</w:t>
            </w:r>
          </w:p>
        </w:tc>
        <w:tc>
          <w:tcPr>
            <w:tcW w:w="0" w:type="auto"/>
            <w:tcBorders>
              <w:top w:val="nil"/>
              <w:left w:val="nil"/>
              <w:bottom w:val="nil"/>
              <w:right w:val="nil"/>
            </w:tcBorders>
            <w:shd w:val="clear" w:color="000000" w:fill="FDFDFE"/>
            <w:noWrap/>
            <w:vAlign w:val="bottom"/>
            <w:hideMark/>
          </w:tcPr>
          <w:p w:rsidR="00B01B06" w:rsidRPr="00210FE7" w:rsidRDefault="00B01B06" w:rsidP="00F06840">
            <w:pPr>
              <w:jc w:val="center"/>
              <w:rPr>
                <w:color w:val="000000"/>
              </w:rPr>
            </w:pPr>
            <w:r w:rsidRPr="00210FE7">
              <w:rPr>
                <w:color w:val="000000"/>
              </w:rPr>
              <w:t>-1</w:t>
            </w:r>
          </w:p>
        </w:tc>
        <w:tc>
          <w:tcPr>
            <w:tcW w:w="0" w:type="auto"/>
            <w:tcBorders>
              <w:top w:val="nil"/>
              <w:left w:val="nil"/>
              <w:bottom w:val="nil"/>
              <w:right w:val="nil"/>
            </w:tcBorders>
            <w:shd w:val="clear" w:color="000000" w:fill="EAF0F7"/>
            <w:noWrap/>
            <w:vAlign w:val="bottom"/>
            <w:hideMark/>
          </w:tcPr>
          <w:p w:rsidR="00B01B06" w:rsidRPr="00210FE7" w:rsidRDefault="00B01B06" w:rsidP="00F06840">
            <w:pPr>
              <w:jc w:val="center"/>
              <w:rPr>
                <w:color w:val="000000"/>
              </w:rPr>
            </w:pPr>
            <w:r w:rsidRPr="00210FE7">
              <w:rPr>
                <w:color w:val="000000"/>
              </w:rPr>
              <w:t>-12</w:t>
            </w:r>
          </w:p>
        </w:tc>
        <w:tc>
          <w:tcPr>
            <w:tcW w:w="0" w:type="auto"/>
            <w:tcBorders>
              <w:top w:val="nil"/>
              <w:left w:val="nil"/>
              <w:bottom w:val="nil"/>
              <w:right w:val="nil"/>
            </w:tcBorders>
            <w:shd w:val="clear" w:color="000000" w:fill="BFD1E7"/>
            <w:noWrap/>
            <w:vAlign w:val="bottom"/>
            <w:hideMark/>
          </w:tcPr>
          <w:p w:rsidR="00B01B06" w:rsidRPr="00210FE7" w:rsidRDefault="00B01B06" w:rsidP="00F06840">
            <w:pPr>
              <w:jc w:val="center"/>
              <w:rPr>
                <w:color w:val="000000"/>
              </w:rPr>
            </w:pPr>
            <w:r w:rsidRPr="00210FE7">
              <w:rPr>
                <w:color w:val="000000"/>
              </w:rPr>
              <w:t>-36</w:t>
            </w:r>
          </w:p>
        </w:tc>
        <w:tc>
          <w:tcPr>
            <w:tcW w:w="0" w:type="auto"/>
            <w:tcBorders>
              <w:top w:val="nil"/>
              <w:left w:val="nil"/>
              <w:bottom w:val="nil"/>
              <w:right w:val="single" w:sz="4" w:space="0" w:color="auto"/>
            </w:tcBorders>
            <w:shd w:val="clear" w:color="000000" w:fill="BFD1E7"/>
            <w:noWrap/>
            <w:vAlign w:val="bottom"/>
            <w:hideMark/>
          </w:tcPr>
          <w:p w:rsidR="00B01B06" w:rsidRPr="00210FE7" w:rsidRDefault="00B01B06" w:rsidP="00F06840">
            <w:pPr>
              <w:jc w:val="center"/>
              <w:rPr>
                <w:color w:val="000000"/>
              </w:rPr>
            </w:pPr>
            <w:r w:rsidRPr="00210FE7">
              <w:rPr>
                <w:color w:val="000000"/>
              </w:rPr>
              <w:t>-36</w:t>
            </w:r>
          </w:p>
        </w:tc>
      </w:tr>
      <w:tr w:rsidR="00B01B06" w:rsidRPr="00210FE7" w:rsidTr="00CD418D">
        <w:trPr>
          <w:trHeight w:val="300"/>
          <w:jc w:val="center"/>
        </w:trPr>
        <w:tc>
          <w:tcPr>
            <w:tcW w:w="0" w:type="auto"/>
            <w:tcBorders>
              <w:top w:val="nil"/>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 </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xml:space="preserve">forest </w:t>
            </w:r>
            <w:proofErr w:type="spellStart"/>
            <w:r w:rsidRPr="00210FE7">
              <w:rPr>
                <w:color w:val="000000"/>
              </w:rPr>
              <w:t>frag</w:t>
            </w:r>
            <w:proofErr w:type="spellEnd"/>
            <w:r w:rsidRPr="00210FE7">
              <w:rPr>
                <w:color w:val="000000"/>
              </w:rPr>
              <w:t xml:space="preserve"> 2</w:t>
            </w:r>
          </w:p>
        </w:tc>
        <w:tc>
          <w:tcPr>
            <w:tcW w:w="0" w:type="auto"/>
            <w:tcBorders>
              <w:top w:val="nil"/>
              <w:left w:val="nil"/>
              <w:bottom w:val="nil"/>
              <w:right w:val="nil"/>
            </w:tcBorders>
            <w:shd w:val="clear" w:color="000000" w:fill="DFA4A3"/>
            <w:noWrap/>
            <w:vAlign w:val="bottom"/>
            <w:hideMark/>
          </w:tcPr>
          <w:p w:rsidR="00B01B06" w:rsidRPr="00210FE7" w:rsidRDefault="00B01B06" w:rsidP="00F06840">
            <w:pPr>
              <w:jc w:val="center"/>
              <w:rPr>
                <w:color w:val="000000"/>
              </w:rPr>
            </w:pPr>
            <w:r w:rsidRPr="00210FE7">
              <w:rPr>
                <w:color w:val="000000"/>
              </w:rPr>
              <w:t>52</w:t>
            </w:r>
          </w:p>
        </w:tc>
        <w:tc>
          <w:tcPr>
            <w:tcW w:w="0" w:type="auto"/>
            <w:tcBorders>
              <w:top w:val="nil"/>
              <w:left w:val="nil"/>
              <w:bottom w:val="nil"/>
              <w:right w:val="nil"/>
            </w:tcBorders>
            <w:shd w:val="clear" w:color="000000" w:fill="D2DFEE"/>
            <w:noWrap/>
            <w:vAlign w:val="bottom"/>
            <w:hideMark/>
          </w:tcPr>
          <w:p w:rsidR="00B01B06" w:rsidRPr="00210FE7" w:rsidRDefault="00B01B06" w:rsidP="00F06840">
            <w:pPr>
              <w:jc w:val="center"/>
              <w:rPr>
                <w:color w:val="000000"/>
              </w:rPr>
            </w:pPr>
            <w:r w:rsidRPr="00210FE7">
              <w:rPr>
                <w:color w:val="000000"/>
              </w:rPr>
              <w:t>-25</w:t>
            </w:r>
          </w:p>
        </w:tc>
        <w:tc>
          <w:tcPr>
            <w:tcW w:w="0" w:type="auto"/>
            <w:tcBorders>
              <w:top w:val="nil"/>
              <w:left w:val="nil"/>
              <w:bottom w:val="nil"/>
              <w:right w:val="single" w:sz="4" w:space="0" w:color="auto"/>
            </w:tcBorders>
            <w:shd w:val="clear" w:color="000000" w:fill="FAFBFD"/>
            <w:noWrap/>
            <w:vAlign w:val="bottom"/>
            <w:hideMark/>
          </w:tcPr>
          <w:p w:rsidR="00B01B06" w:rsidRPr="00210FE7" w:rsidRDefault="00B01B06" w:rsidP="00F06840">
            <w:pPr>
              <w:jc w:val="center"/>
              <w:rPr>
                <w:color w:val="000000"/>
              </w:rPr>
            </w:pPr>
            <w:r w:rsidRPr="00210FE7">
              <w:rPr>
                <w:color w:val="000000"/>
              </w:rPr>
              <w:t>-3</w:t>
            </w:r>
          </w:p>
        </w:tc>
      </w:tr>
      <w:tr w:rsidR="00B01B06" w:rsidRPr="00210FE7" w:rsidTr="00CD418D">
        <w:trPr>
          <w:trHeight w:val="300"/>
          <w:jc w:val="center"/>
        </w:trPr>
        <w:tc>
          <w:tcPr>
            <w:tcW w:w="0" w:type="auto"/>
            <w:tcBorders>
              <w:top w:val="nil"/>
              <w:left w:val="single" w:sz="4" w:space="0" w:color="auto"/>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 </w:t>
            </w: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xml:space="preserve">rare </w:t>
            </w:r>
            <w:proofErr w:type="spellStart"/>
            <w:r w:rsidRPr="00210FE7">
              <w:rPr>
                <w:color w:val="000000"/>
              </w:rPr>
              <w:t>spp</w:t>
            </w:r>
            <w:proofErr w:type="spellEnd"/>
          </w:p>
        </w:tc>
        <w:tc>
          <w:tcPr>
            <w:tcW w:w="0" w:type="auto"/>
            <w:tcBorders>
              <w:top w:val="nil"/>
              <w:left w:val="nil"/>
              <w:bottom w:val="nil"/>
              <w:right w:val="nil"/>
            </w:tcBorders>
            <w:shd w:val="clear" w:color="000000" w:fill="D89391"/>
            <w:noWrap/>
            <w:vAlign w:val="bottom"/>
            <w:hideMark/>
          </w:tcPr>
          <w:p w:rsidR="00B01B06" w:rsidRPr="00210FE7" w:rsidRDefault="00B01B06" w:rsidP="00F06840">
            <w:pPr>
              <w:jc w:val="center"/>
              <w:rPr>
                <w:color w:val="000000"/>
              </w:rPr>
            </w:pPr>
            <w:r w:rsidRPr="00210FE7">
              <w:rPr>
                <w:color w:val="000000"/>
              </w:rPr>
              <w:t>62</w:t>
            </w:r>
          </w:p>
        </w:tc>
        <w:tc>
          <w:tcPr>
            <w:tcW w:w="0" w:type="auto"/>
            <w:tcBorders>
              <w:top w:val="nil"/>
              <w:left w:val="nil"/>
              <w:bottom w:val="nil"/>
              <w:right w:val="single" w:sz="4" w:space="0" w:color="auto"/>
            </w:tcBorders>
            <w:shd w:val="clear" w:color="000000" w:fill="CF7976"/>
            <w:noWrap/>
            <w:vAlign w:val="bottom"/>
            <w:hideMark/>
          </w:tcPr>
          <w:p w:rsidR="00B01B06" w:rsidRPr="00210FE7" w:rsidRDefault="00B01B06" w:rsidP="00F06840">
            <w:pPr>
              <w:jc w:val="center"/>
              <w:rPr>
                <w:color w:val="000000"/>
              </w:rPr>
            </w:pPr>
            <w:r w:rsidRPr="00210FE7">
              <w:rPr>
                <w:color w:val="000000"/>
              </w:rPr>
              <w:t>77</w:t>
            </w:r>
          </w:p>
        </w:tc>
      </w:tr>
      <w:tr w:rsidR="00B01B06" w:rsidRPr="00210FE7" w:rsidTr="00CD418D">
        <w:trPr>
          <w:trHeight w:val="300"/>
          <w:jc w:val="center"/>
        </w:trPr>
        <w:tc>
          <w:tcPr>
            <w:tcW w:w="0" w:type="auto"/>
            <w:gridSpan w:val="3"/>
            <w:vMerge w:val="restart"/>
            <w:tcBorders>
              <w:top w:val="nil"/>
              <w:left w:val="single" w:sz="4" w:space="0" w:color="auto"/>
              <w:right w:val="nil"/>
            </w:tcBorders>
            <w:shd w:val="clear" w:color="auto" w:fill="auto"/>
            <w:noWrap/>
            <w:vAlign w:val="center"/>
            <w:hideMark/>
          </w:tcPr>
          <w:p w:rsidR="00F77805" w:rsidRDefault="006119F8">
            <w:pPr>
              <w:jc w:val="center"/>
              <w:rPr>
                <w:color w:val="000000"/>
              </w:rPr>
            </w:pPr>
            <w:r w:rsidRPr="006119F8">
              <w:rPr>
                <w:color w:val="000000"/>
                <w:szCs w:val="28"/>
              </w:rPr>
              <w:t>DIFFERENCE</w:t>
            </w:r>
          </w:p>
        </w:tc>
        <w:tc>
          <w:tcPr>
            <w:tcW w:w="0" w:type="auto"/>
            <w:tcBorders>
              <w:top w:val="nil"/>
              <w:left w:val="nil"/>
              <w:bottom w:val="nil"/>
              <w:right w:val="nil"/>
            </w:tcBorders>
            <w:shd w:val="clear" w:color="auto" w:fill="auto"/>
            <w:noWrap/>
            <w:vAlign w:val="bottom"/>
            <w:hideMark/>
          </w:tcPr>
          <w:p w:rsidR="00B01B06" w:rsidRPr="00210FE7" w:rsidRDefault="00B01B06" w:rsidP="00F06840">
            <w:pP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rPr>
                <w:color w:val="000000"/>
              </w:rPr>
            </w:pPr>
          </w:p>
        </w:tc>
        <w:tc>
          <w:tcPr>
            <w:tcW w:w="0" w:type="auto"/>
            <w:tcBorders>
              <w:top w:val="nil"/>
              <w:left w:val="nil"/>
              <w:bottom w:val="nil"/>
              <w:right w:val="nil"/>
            </w:tcBorders>
            <w:shd w:val="clear" w:color="auto" w:fill="auto"/>
            <w:noWrap/>
            <w:vAlign w:val="bottom"/>
            <w:hideMark/>
          </w:tcPr>
          <w:p w:rsidR="00B01B06" w:rsidRPr="00210FE7" w:rsidRDefault="00B01B06" w:rsidP="00F06840">
            <w:pPr>
              <w:rPr>
                <w:color w:val="000000"/>
              </w:rPr>
            </w:pPr>
            <w:r w:rsidRPr="00210FE7">
              <w:rPr>
                <w:color w:val="000000"/>
              </w:rPr>
              <w:t xml:space="preserve">water 1 </w:t>
            </w:r>
          </w:p>
        </w:tc>
        <w:tc>
          <w:tcPr>
            <w:tcW w:w="0" w:type="auto"/>
            <w:tcBorders>
              <w:top w:val="nil"/>
              <w:left w:val="nil"/>
              <w:bottom w:val="nil"/>
              <w:right w:val="single" w:sz="4" w:space="0" w:color="auto"/>
            </w:tcBorders>
            <w:shd w:val="clear" w:color="000000" w:fill="F2F6FA"/>
            <w:noWrap/>
            <w:vAlign w:val="bottom"/>
            <w:hideMark/>
          </w:tcPr>
          <w:p w:rsidR="00B01B06" w:rsidRPr="00210FE7" w:rsidRDefault="00B01B06" w:rsidP="00F06840">
            <w:pPr>
              <w:jc w:val="center"/>
              <w:rPr>
                <w:color w:val="000000"/>
              </w:rPr>
            </w:pPr>
            <w:r w:rsidRPr="00210FE7">
              <w:rPr>
                <w:color w:val="000000"/>
              </w:rPr>
              <w:t>-7</w:t>
            </w:r>
          </w:p>
        </w:tc>
      </w:tr>
      <w:tr w:rsidR="00B01B06" w:rsidRPr="00210FE7" w:rsidTr="00CD418D">
        <w:trPr>
          <w:trHeight w:val="300"/>
          <w:jc w:val="center"/>
        </w:trPr>
        <w:tc>
          <w:tcPr>
            <w:tcW w:w="0" w:type="auto"/>
            <w:gridSpan w:val="3"/>
            <w:vMerge/>
            <w:tcBorders>
              <w:left w:val="single" w:sz="4" w:space="0" w:color="auto"/>
              <w:bottom w:val="single" w:sz="4" w:space="0" w:color="auto"/>
              <w:right w:val="nil"/>
            </w:tcBorders>
            <w:shd w:val="clear" w:color="auto" w:fill="auto"/>
            <w:noWrap/>
            <w:vAlign w:val="bottom"/>
            <w:hideMark/>
          </w:tcPr>
          <w:p w:rsidR="00B01B06" w:rsidRPr="00210FE7" w:rsidRDefault="00B01B06" w:rsidP="00F06840">
            <w:pPr>
              <w:jc w:val="center"/>
              <w:rPr>
                <w:color w:val="000000"/>
              </w:rPr>
            </w:pPr>
          </w:p>
        </w:tc>
        <w:tc>
          <w:tcPr>
            <w:tcW w:w="0" w:type="auto"/>
            <w:tcBorders>
              <w:top w:val="nil"/>
              <w:left w:val="nil"/>
              <w:bottom w:val="single" w:sz="4" w:space="0" w:color="auto"/>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w:t>
            </w:r>
          </w:p>
        </w:tc>
        <w:tc>
          <w:tcPr>
            <w:tcW w:w="0" w:type="auto"/>
            <w:tcBorders>
              <w:top w:val="nil"/>
              <w:left w:val="nil"/>
              <w:bottom w:val="single" w:sz="4" w:space="0" w:color="auto"/>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w:t>
            </w:r>
          </w:p>
        </w:tc>
        <w:tc>
          <w:tcPr>
            <w:tcW w:w="0" w:type="auto"/>
            <w:tcBorders>
              <w:top w:val="nil"/>
              <w:left w:val="nil"/>
              <w:bottom w:val="single" w:sz="4" w:space="0" w:color="auto"/>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w:t>
            </w:r>
          </w:p>
        </w:tc>
        <w:tc>
          <w:tcPr>
            <w:tcW w:w="0" w:type="auto"/>
            <w:tcBorders>
              <w:top w:val="nil"/>
              <w:left w:val="nil"/>
              <w:bottom w:val="single" w:sz="4" w:space="0" w:color="auto"/>
              <w:right w:val="nil"/>
            </w:tcBorders>
            <w:shd w:val="clear" w:color="auto" w:fill="auto"/>
            <w:noWrap/>
            <w:vAlign w:val="bottom"/>
            <w:hideMark/>
          </w:tcPr>
          <w:p w:rsidR="00B01B06" w:rsidRPr="00210FE7" w:rsidRDefault="00B01B06" w:rsidP="00F06840">
            <w:pPr>
              <w:jc w:val="center"/>
              <w:rPr>
                <w:color w:val="000000"/>
              </w:rPr>
            </w:pPr>
            <w:r w:rsidRPr="00210FE7">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B01B06" w:rsidRPr="00210FE7" w:rsidRDefault="00B01B06" w:rsidP="00F95317">
            <w:pPr>
              <w:keepNext/>
              <w:jc w:val="center"/>
              <w:rPr>
                <w:color w:val="000000"/>
              </w:rPr>
            </w:pPr>
            <w:r w:rsidRPr="00210FE7">
              <w:rPr>
                <w:color w:val="000000"/>
              </w:rPr>
              <w:t>water 2</w:t>
            </w:r>
          </w:p>
        </w:tc>
      </w:tr>
    </w:tbl>
    <w:p w:rsidR="00F95317" w:rsidRPr="002B2090" w:rsidRDefault="00F95317" w:rsidP="00F95317">
      <w:pPr>
        <w:pStyle w:val="Caption"/>
        <w:rPr>
          <w:vanish/>
          <w:lang w:val="en-GB"/>
          <w:specVanish/>
        </w:rPr>
      </w:pPr>
      <w:bookmarkStart w:id="104" w:name="_Ref419725978"/>
      <w:bookmarkStart w:id="105" w:name="_Toc421352923"/>
      <w:proofErr w:type="gramStart"/>
      <w:r>
        <w:t xml:space="preserve">Fig. S </w:t>
      </w:r>
      <w:r w:rsidR="00F01773">
        <w:fldChar w:fldCharType="begin"/>
      </w:r>
      <w:r w:rsidR="00B819A9">
        <w:instrText xml:space="preserve"> STYLEREF 1 \s </w:instrText>
      </w:r>
      <w:r w:rsidR="00F01773">
        <w:fldChar w:fldCharType="separate"/>
      </w:r>
      <w:r w:rsidR="00867AA7">
        <w:rPr>
          <w:noProof/>
        </w:rPr>
        <w:t>2</w:t>
      </w:r>
      <w:r w:rsidR="00F01773">
        <w:rPr>
          <w:noProof/>
        </w:rPr>
        <w:fldChar w:fldCharType="end"/>
      </w:r>
      <w:r>
        <w:t>.</w:t>
      </w:r>
      <w:proofErr w:type="gramEnd"/>
      <w:r w:rsidR="00F01773">
        <w:fldChar w:fldCharType="begin"/>
      </w:r>
      <w:r>
        <w:instrText xml:space="preserve"> SEQ Fig._S \* ARABIC \s 1 </w:instrText>
      </w:r>
      <w:r w:rsidR="00F01773">
        <w:fldChar w:fldCharType="separate"/>
      </w:r>
      <w:r w:rsidR="00867AA7">
        <w:rPr>
          <w:noProof/>
        </w:rPr>
        <w:t>2</w:t>
      </w:r>
      <w:r w:rsidR="00F01773">
        <w:fldChar w:fldCharType="end"/>
      </w:r>
      <w:bookmarkEnd w:id="104"/>
      <w:r>
        <w:t xml:space="preserve">. </w:t>
      </w:r>
      <w:r w:rsidRPr="001B166F">
        <w:t>Results of comparison of impact correlations before and after development</w:t>
      </w:r>
      <w:bookmarkEnd w:id="105"/>
    </w:p>
    <w:p w:rsidR="00B01B06" w:rsidRDefault="00F95317" w:rsidP="00FF5247">
      <w:pPr>
        <w:pStyle w:val="Caption"/>
        <w:jc w:val="left"/>
        <w:sectPr w:rsidR="00B01B06" w:rsidSect="00EE4776">
          <w:pgSz w:w="15840" w:h="12240" w:orient="landscape" w:code="1"/>
          <w:pgMar w:top="1728" w:right="1440" w:bottom="1728" w:left="1440" w:header="720" w:footer="720" w:gutter="0"/>
          <w:cols w:space="720"/>
          <w:docGrid w:linePitch="360"/>
        </w:sectPr>
      </w:pPr>
      <w:r w:rsidRPr="001B166F">
        <w:t xml:space="preserve">. Red cells are positive correlations. Blue cells are negative correlations. Bold, green, italicized text denotes significance at the 95% confidence level. Correlation coefficients are multiplied </w:t>
      </w:r>
      <w:r w:rsidR="00EC6A02">
        <w:t>by 100 for ease of presentation</w:t>
      </w:r>
    </w:p>
    <w:p w:rsidR="005E7C16" w:rsidRPr="002B2090" w:rsidRDefault="000F17FC" w:rsidP="005E7C16">
      <w:pPr>
        <w:pStyle w:val="Caption"/>
        <w:rPr>
          <w:vanish/>
          <w:lang w:val="en-GB"/>
          <w:specVanish/>
        </w:rPr>
      </w:pPr>
      <w:bookmarkStart w:id="106" w:name="_Ref417465085"/>
      <w:bookmarkStart w:id="107" w:name="_Ref419727967"/>
      <w:bookmarkStart w:id="108" w:name="_Toc421352899"/>
      <w:bookmarkStart w:id="109" w:name="_Toc417647072"/>
      <w:r>
        <w:lastRenderedPageBreak/>
        <w:t xml:space="preserve">Table S </w:t>
      </w:r>
      <w:r w:rsidR="00F01773">
        <w:fldChar w:fldCharType="begin"/>
      </w:r>
      <w:r w:rsidR="00B819A9">
        <w:instrText xml:space="preserve"> STYLEREF 1 \s </w:instrText>
      </w:r>
      <w:r w:rsidR="00F01773">
        <w:fldChar w:fldCharType="separate"/>
      </w:r>
      <w:r w:rsidR="00867AA7">
        <w:rPr>
          <w:noProof/>
        </w:rPr>
        <w:t>2</w:t>
      </w:r>
      <w:r w:rsidR="00F01773">
        <w:rPr>
          <w:noProof/>
        </w:rPr>
        <w:fldChar w:fldCharType="end"/>
      </w:r>
      <w:r w:rsidR="00BA7201">
        <w:t>.</w:t>
      </w:r>
      <w:r w:rsidR="00F01773">
        <w:fldChar w:fldCharType="begin"/>
      </w:r>
      <w:r w:rsidR="00B819A9">
        <w:instrText xml:space="preserve"> SEQ Table_S \* ARABIC \s 1 </w:instrText>
      </w:r>
      <w:r w:rsidR="00F01773">
        <w:fldChar w:fldCharType="separate"/>
      </w:r>
      <w:r w:rsidR="00867AA7">
        <w:rPr>
          <w:noProof/>
        </w:rPr>
        <w:t>1</w:t>
      </w:r>
      <w:r w:rsidR="00F01773">
        <w:rPr>
          <w:noProof/>
        </w:rPr>
        <w:fldChar w:fldCharType="end"/>
      </w:r>
      <w:bookmarkEnd w:id="106"/>
      <w:bookmarkEnd w:id="107"/>
      <w:r>
        <w:t xml:space="preserve">. </w:t>
      </w:r>
      <w:r w:rsidRPr="00322818">
        <w:rPr>
          <w:sz w:val="22"/>
          <w:szCs w:val="22"/>
        </w:rPr>
        <w:t>Datasets used to place infrastructure and calculate impact metrics</w:t>
      </w:r>
      <w:bookmarkEnd w:id="108"/>
    </w:p>
    <w:p w:rsidR="000F17FC" w:rsidRPr="000F17FC" w:rsidRDefault="000F17FC" w:rsidP="000F17FC">
      <w:pPr>
        <w:pStyle w:val="Caption"/>
        <w:rPr>
          <w:b/>
          <w:sz w:val="22"/>
          <w:szCs w:val="22"/>
        </w:rPr>
      </w:pPr>
      <w:r w:rsidRPr="00322818">
        <w:rPr>
          <w:sz w:val="22"/>
          <w:szCs w:val="22"/>
        </w:rPr>
        <w:t>.</w:t>
      </w:r>
      <w:bookmarkEnd w:id="109"/>
    </w:p>
    <w:tbl>
      <w:tblPr>
        <w:tblStyle w:val="TableGrid"/>
        <w:tblW w:w="0" w:type="auto"/>
        <w:tblLook w:val="04A0"/>
      </w:tblPr>
      <w:tblGrid>
        <w:gridCol w:w="1592"/>
        <w:gridCol w:w="1581"/>
        <w:gridCol w:w="5683"/>
      </w:tblGrid>
      <w:tr w:rsidR="00B01B06" w:rsidTr="00F030AA">
        <w:tc>
          <w:tcPr>
            <w:tcW w:w="0" w:type="auto"/>
          </w:tcPr>
          <w:p w:rsidR="00B01B06" w:rsidRDefault="00B01B06" w:rsidP="00F06840">
            <w:pPr>
              <w:pStyle w:val="NoSpacing"/>
            </w:pPr>
            <w:r>
              <w:t>Dataset</w:t>
            </w:r>
          </w:p>
        </w:tc>
        <w:tc>
          <w:tcPr>
            <w:tcW w:w="0" w:type="auto"/>
          </w:tcPr>
          <w:p w:rsidR="00B01B06" w:rsidRDefault="00B01B06" w:rsidP="00F06840">
            <w:pPr>
              <w:pStyle w:val="NoSpacing"/>
            </w:pPr>
            <w:r>
              <w:t>Used for</w:t>
            </w:r>
          </w:p>
        </w:tc>
        <w:tc>
          <w:tcPr>
            <w:tcW w:w="0" w:type="auto"/>
          </w:tcPr>
          <w:p w:rsidR="00B01B06" w:rsidRDefault="00B01B06" w:rsidP="00F06840">
            <w:pPr>
              <w:pStyle w:val="NoSpacing"/>
            </w:pPr>
            <w:r>
              <w:t>Source</w:t>
            </w:r>
          </w:p>
        </w:tc>
      </w:tr>
      <w:tr w:rsidR="00B01B06" w:rsidTr="00F030AA">
        <w:tc>
          <w:tcPr>
            <w:tcW w:w="0" w:type="auto"/>
          </w:tcPr>
          <w:p w:rsidR="00B01B06" w:rsidRDefault="00B01B06" w:rsidP="00F06840">
            <w:pPr>
              <w:pStyle w:val="NoSpacing"/>
            </w:pPr>
            <w:r>
              <w:t>contiguous forest patches</w:t>
            </w:r>
          </w:p>
        </w:tc>
        <w:tc>
          <w:tcPr>
            <w:tcW w:w="0" w:type="auto"/>
          </w:tcPr>
          <w:p w:rsidR="00B01B06" w:rsidRDefault="00B01B06" w:rsidP="00F06840">
            <w:pPr>
              <w:pStyle w:val="NoSpacing"/>
            </w:pPr>
            <w:r>
              <w:t>siting infrastructure, forest metrics</w:t>
            </w:r>
          </w:p>
        </w:tc>
        <w:tc>
          <w:tcPr>
            <w:tcW w:w="0" w:type="auto"/>
          </w:tcPr>
          <w:p w:rsidR="00B01B06" w:rsidRDefault="00B01B06" w:rsidP="00F06840">
            <w:pPr>
              <w:pStyle w:val="NoSpacing"/>
            </w:pPr>
            <w:r>
              <w:t xml:space="preserve">National Land Cover Dataset 2006 (classes 41, 42, 43, 90): </w:t>
            </w:r>
            <w:hyperlink r:id="rId54" w:history="1">
              <w:r>
                <w:rPr>
                  <w:rStyle w:val="Hyperlink"/>
                </w:rPr>
                <w:t>http://www.mrlc.gov/nlcd06_data.php</w:t>
              </w:r>
            </w:hyperlink>
          </w:p>
        </w:tc>
      </w:tr>
      <w:tr w:rsidR="00B01B06" w:rsidTr="00F030AA">
        <w:tc>
          <w:tcPr>
            <w:tcW w:w="0" w:type="auto"/>
          </w:tcPr>
          <w:p w:rsidR="00B01B06" w:rsidRDefault="00B01B06" w:rsidP="00F06840">
            <w:pPr>
              <w:pStyle w:val="NoSpacing"/>
            </w:pPr>
            <w:r>
              <w:t>Wetlands in PA</w:t>
            </w:r>
          </w:p>
        </w:tc>
        <w:tc>
          <w:tcPr>
            <w:tcW w:w="0" w:type="auto"/>
          </w:tcPr>
          <w:p w:rsidR="00B01B06" w:rsidRDefault="00B01B06" w:rsidP="00F06840">
            <w:pPr>
              <w:pStyle w:val="NoSpacing"/>
            </w:pPr>
            <w:r>
              <w:t>restricting infrastructure, siting infrastructure, water 2 metric</w:t>
            </w:r>
          </w:p>
        </w:tc>
        <w:tc>
          <w:tcPr>
            <w:tcW w:w="0" w:type="auto"/>
          </w:tcPr>
          <w:p w:rsidR="00B01B06" w:rsidRDefault="00B01B06" w:rsidP="00F06840">
            <w:pPr>
              <w:pStyle w:val="NoSpacing"/>
            </w:pPr>
            <w:r>
              <w:t>National Wetlands Inventory:</w:t>
            </w:r>
          </w:p>
          <w:p w:rsidR="00B01B06" w:rsidRDefault="00F01773" w:rsidP="00F06840">
            <w:pPr>
              <w:pStyle w:val="NoSpacing"/>
            </w:pPr>
            <w:hyperlink r:id="rId55" w:history="1">
              <w:r w:rsidR="00B01B06">
                <w:rPr>
                  <w:rStyle w:val="Hyperlink"/>
                </w:rPr>
                <w:t>http://www.fws.gov/wetlands/Data/Data-Download.html</w:t>
              </w:r>
            </w:hyperlink>
          </w:p>
        </w:tc>
      </w:tr>
      <w:tr w:rsidR="00B01B06" w:rsidTr="00F030AA">
        <w:tc>
          <w:tcPr>
            <w:tcW w:w="0" w:type="auto"/>
          </w:tcPr>
          <w:p w:rsidR="00B01B06" w:rsidRDefault="00B01B06" w:rsidP="00F06840">
            <w:pPr>
              <w:pStyle w:val="NoSpacing"/>
            </w:pPr>
            <w:r w:rsidRPr="00AA548A">
              <w:rPr>
                <w:lang w:val="fr-FR"/>
              </w:rPr>
              <w:t>habitat classifications for NE USA</w:t>
            </w:r>
          </w:p>
        </w:tc>
        <w:tc>
          <w:tcPr>
            <w:tcW w:w="0" w:type="auto"/>
          </w:tcPr>
          <w:p w:rsidR="00B01B06" w:rsidRPr="00AA548A" w:rsidRDefault="00B01B06" w:rsidP="00F06840">
            <w:pPr>
              <w:pStyle w:val="NoSpacing"/>
              <w:rPr>
                <w:lang w:val="fr-FR"/>
              </w:rPr>
            </w:pPr>
            <w:r>
              <w:rPr>
                <w:lang w:val="fr-FR"/>
              </w:rPr>
              <w:t xml:space="preserve">rare </w:t>
            </w:r>
            <w:proofErr w:type="spellStart"/>
            <w:r>
              <w:rPr>
                <w:lang w:val="fr-FR"/>
              </w:rPr>
              <w:t>spp</w:t>
            </w:r>
            <w:proofErr w:type="spellEnd"/>
            <w:r>
              <w:rPr>
                <w:lang w:val="fr-FR"/>
              </w:rPr>
              <w:t xml:space="preserve"> </w:t>
            </w:r>
            <w:proofErr w:type="spellStart"/>
            <w:r>
              <w:rPr>
                <w:lang w:val="fr-FR"/>
              </w:rPr>
              <w:t>metric</w:t>
            </w:r>
            <w:proofErr w:type="spellEnd"/>
          </w:p>
        </w:tc>
        <w:tc>
          <w:tcPr>
            <w:tcW w:w="0" w:type="auto"/>
          </w:tcPr>
          <w:p w:rsidR="00B01B06" w:rsidRDefault="00B01B06" w:rsidP="00F06840">
            <w:pPr>
              <w:pStyle w:val="NoSpacing"/>
            </w:pPr>
            <w:r>
              <w:t xml:space="preserve">Northeastern Terrestrial Habitat Mapping Project: </w:t>
            </w:r>
            <w:hyperlink r:id="rId56" w:history="1">
              <w:r>
                <w:rPr>
                  <w:rStyle w:val="Hyperlink"/>
                </w:rPr>
                <w:t>http://conserveonline.org/workspaces/ecs/documents/ne-terrestrial-habitat-mapping-project</w:t>
              </w:r>
            </w:hyperlink>
          </w:p>
        </w:tc>
      </w:tr>
      <w:tr w:rsidR="00B01B06" w:rsidTr="00F030AA">
        <w:tc>
          <w:tcPr>
            <w:tcW w:w="0" w:type="auto"/>
          </w:tcPr>
          <w:p w:rsidR="00B01B06" w:rsidRDefault="00B01B06" w:rsidP="00F06840">
            <w:pPr>
              <w:pStyle w:val="NoSpacing"/>
            </w:pPr>
            <w:r>
              <w:t>Spatial locations of rare species observations in PA</w:t>
            </w:r>
          </w:p>
        </w:tc>
        <w:tc>
          <w:tcPr>
            <w:tcW w:w="0" w:type="auto"/>
          </w:tcPr>
          <w:p w:rsidR="00B01B06" w:rsidRDefault="00B01B06" w:rsidP="00F06840">
            <w:pPr>
              <w:pStyle w:val="NoSpacing"/>
            </w:pPr>
            <w:r>
              <w:t xml:space="preserve">rare </w:t>
            </w:r>
            <w:proofErr w:type="spellStart"/>
            <w:r>
              <w:t>spp</w:t>
            </w:r>
            <w:proofErr w:type="spellEnd"/>
            <w:r>
              <w:t xml:space="preserve"> metric</w:t>
            </w:r>
          </w:p>
        </w:tc>
        <w:tc>
          <w:tcPr>
            <w:tcW w:w="0" w:type="auto"/>
          </w:tcPr>
          <w:p w:rsidR="00B01B06" w:rsidRDefault="00B01B06" w:rsidP="00F06840">
            <w:pPr>
              <w:pStyle w:val="NoSpacing"/>
            </w:pPr>
            <w:r>
              <w:t>Pennsylvania Natural Heritage Program data request. Data only available through PNHP formal request.</w:t>
            </w:r>
          </w:p>
        </w:tc>
      </w:tr>
      <w:tr w:rsidR="00B01B06" w:rsidTr="00F030AA">
        <w:tc>
          <w:tcPr>
            <w:tcW w:w="0" w:type="auto"/>
          </w:tcPr>
          <w:p w:rsidR="00B01B06" w:rsidRDefault="00B01B06" w:rsidP="00F06840">
            <w:pPr>
              <w:pStyle w:val="NoSpacing"/>
            </w:pPr>
            <w:r>
              <w:t>Streams, rivers, lakes</w:t>
            </w:r>
          </w:p>
        </w:tc>
        <w:tc>
          <w:tcPr>
            <w:tcW w:w="0" w:type="auto"/>
          </w:tcPr>
          <w:p w:rsidR="00B01B06" w:rsidRDefault="00B01B06" w:rsidP="00F06840">
            <w:pPr>
              <w:pStyle w:val="NoSpacing"/>
            </w:pPr>
            <w:r>
              <w:t>restricting infrastructure, siting infrastructure, water metrics</w:t>
            </w:r>
          </w:p>
        </w:tc>
        <w:tc>
          <w:tcPr>
            <w:tcW w:w="0" w:type="auto"/>
          </w:tcPr>
          <w:p w:rsidR="00B01B06" w:rsidRDefault="00B01B06" w:rsidP="00F06840">
            <w:pPr>
              <w:pStyle w:val="NoSpacing"/>
            </w:pPr>
            <w:r>
              <w:t xml:space="preserve">Pennsylvania State University (via PASDA): </w:t>
            </w:r>
            <w:r w:rsidRPr="00D30FB3">
              <w:t>Networked streams of Pennsylvania</w:t>
            </w:r>
          </w:p>
          <w:p w:rsidR="00B01B06" w:rsidRDefault="00F01773" w:rsidP="00F06840">
            <w:pPr>
              <w:pStyle w:val="NoSpacing"/>
            </w:pPr>
            <w:hyperlink r:id="rId57" w:history="1">
              <w:r w:rsidR="00B01B06" w:rsidRPr="00EC52B9">
                <w:rPr>
                  <w:rStyle w:val="Hyperlink"/>
                </w:rPr>
                <w:t>http://www.pasda.psu.edu/default.asp</w:t>
              </w:r>
            </w:hyperlink>
            <w:r w:rsidR="00B01B06">
              <w:t xml:space="preserve"> </w:t>
            </w:r>
          </w:p>
        </w:tc>
      </w:tr>
      <w:tr w:rsidR="00B01B06" w:rsidTr="00F030AA">
        <w:tc>
          <w:tcPr>
            <w:tcW w:w="0" w:type="auto"/>
          </w:tcPr>
          <w:p w:rsidR="00B01B06" w:rsidRDefault="00B01B06" w:rsidP="00F06840">
            <w:pPr>
              <w:pStyle w:val="NoSpacing"/>
            </w:pPr>
            <w:r>
              <w:t>Digital Elevation Model, elevation at a point in raster format</w:t>
            </w:r>
          </w:p>
        </w:tc>
        <w:tc>
          <w:tcPr>
            <w:tcW w:w="0" w:type="auto"/>
          </w:tcPr>
          <w:p w:rsidR="00B01B06" w:rsidRDefault="00B01B06" w:rsidP="00F06840">
            <w:pPr>
              <w:pStyle w:val="NoSpacing"/>
            </w:pPr>
            <w:r>
              <w:t>restricting infrastructure, siting infrastructure, erosion metric</w:t>
            </w:r>
          </w:p>
        </w:tc>
        <w:tc>
          <w:tcPr>
            <w:tcW w:w="0" w:type="auto"/>
          </w:tcPr>
          <w:p w:rsidR="00B01B06" w:rsidRDefault="00B01B06" w:rsidP="00F06840">
            <w:pPr>
              <w:pStyle w:val="NoSpacing"/>
            </w:pPr>
            <w:r>
              <w:t xml:space="preserve">USGS (1 arc second ~30 m): </w:t>
            </w:r>
            <w:hyperlink r:id="rId58" w:history="1">
              <w:r>
                <w:rPr>
                  <w:rStyle w:val="Hyperlink"/>
                </w:rPr>
                <w:t>http://ned.usgs.gov/</w:t>
              </w:r>
            </w:hyperlink>
          </w:p>
        </w:tc>
      </w:tr>
      <w:tr w:rsidR="00B01B06" w:rsidTr="00F030AA">
        <w:tc>
          <w:tcPr>
            <w:tcW w:w="0" w:type="auto"/>
          </w:tcPr>
          <w:p w:rsidR="00B01B06" w:rsidRDefault="00B01B06" w:rsidP="00F06840">
            <w:pPr>
              <w:pStyle w:val="NoSpacing"/>
            </w:pPr>
            <w:r>
              <w:t>“cultural” features, i.e. schools, recreational fields, dwellings, reservations, etc.</w:t>
            </w:r>
          </w:p>
        </w:tc>
        <w:tc>
          <w:tcPr>
            <w:tcW w:w="0" w:type="auto"/>
          </w:tcPr>
          <w:p w:rsidR="00B01B06" w:rsidRDefault="00B01B06" w:rsidP="00F06840">
            <w:pPr>
              <w:pStyle w:val="NoSpacing"/>
            </w:pPr>
            <w:r>
              <w:t>restricting infrastructure, cultural metric</w:t>
            </w:r>
          </w:p>
        </w:tc>
        <w:tc>
          <w:tcPr>
            <w:tcW w:w="0" w:type="auto"/>
          </w:tcPr>
          <w:p w:rsidR="00B01B06" w:rsidRDefault="00B01B06" w:rsidP="00F06840">
            <w:pPr>
              <w:pStyle w:val="NoSpacing"/>
            </w:pPr>
            <w:r>
              <w:t xml:space="preserve">Pennsylvania National Agricultural Imagery Program 2008, 1m resolution aerial imagery </w:t>
            </w:r>
          </w:p>
          <w:p w:rsidR="00B01B06" w:rsidRDefault="00F01773" w:rsidP="00F06840">
            <w:pPr>
              <w:pStyle w:val="NoSpacing"/>
            </w:pPr>
            <w:hyperlink r:id="rId59" w:history="1">
              <w:r w:rsidR="00B01B06" w:rsidRPr="00EC52B9">
                <w:rPr>
                  <w:rStyle w:val="Hyperlink"/>
                </w:rPr>
                <w:t>http://www.pasda.psu.edu/default.asp</w:t>
              </w:r>
            </w:hyperlink>
          </w:p>
        </w:tc>
      </w:tr>
      <w:tr w:rsidR="00B01B06" w:rsidTr="00F030AA">
        <w:tc>
          <w:tcPr>
            <w:tcW w:w="0" w:type="auto"/>
          </w:tcPr>
          <w:p w:rsidR="00B01B06" w:rsidRDefault="00B01B06" w:rsidP="00F06840">
            <w:pPr>
              <w:pStyle w:val="NoSpacing"/>
            </w:pPr>
            <w:r>
              <w:t>existing roads</w:t>
            </w:r>
          </w:p>
        </w:tc>
        <w:tc>
          <w:tcPr>
            <w:tcW w:w="0" w:type="auto"/>
          </w:tcPr>
          <w:p w:rsidR="00B01B06" w:rsidRDefault="00B01B06" w:rsidP="00F06840">
            <w:pPr>
              <w:pStyle w:val="NoSpacing"/>
            </w:pPr>
            <w:r>
              <w:t>siting infrastructure</w:t>
            </w:r>
          </w:p>
        </w:tc>
        <w:tc>
          <w:tcPr>
            <w:tcW w:w="0" w:type="auto"/>
          </w:tcPr>
          <w:p w:rsidR="00B01B06" w:rsidRDefault="00B01B06" w:rsidP="00F06840">
            <w:pPr>
              <w:pStyle w:val="NoSpacing"/>
            </w:pPr>
            <w:r>
              <w:t xml:space="preserve">US Census Bureau TIGER/Line 2008 (all counties All Lines RDFLAG = “Y”): </w:t>
            </w:r>
            <w:hyperlink r:id="rId60" w:history="1">
              <w:r w:rsidRPr="00EC52B9">
                <w:rPr>
                  <w:rStyle w:val="Hyperlink"/>
                </w:rPr>
                <w:t>http://www.pasda.psu.edu/default.asp</w:t>
              </w:r>
            </w:hyperlink>
          </w:p>
        </w:tc>
      </w:tr>
      <w:tr w:rsidR="00B01B06" w:rsidTr="00F030AA">
        <w:tc>
          <w:tcPr>
            <w:tcW w:w="0" w:type="auto"/>
          </w:tcPr>
          <w:p w:rsidR="00B01B06" w:rsidRDefault="00B01B06" w:rsidP="00F06840">
            <w:pPr>
              <w:pStyle w:val="NoSpacing"/>
            </w:pPr>
            <w:r>
              <w:t>existing pipelines</w:t>
            </w:r>
          </w:p>
        </w:tc>
        <w:tc>
          <w:tcPr>
            <w:tcW w:w="0" w:type="auto"/>
          </w:tcPr>
          <w:p w:rsidR="00B01B06" w:rsidRDefault="00B01B06" w:rsidP="00F06840">
            <w:pPr>
              <w:pStyle w:val="NoSpacing"/>
            </w:pPr>
            <w:r>
              <w:t>siting infrastructure</w:t>
            </w:r>
          </w:p>
        </w:tc>
        <w:tc>
          <w:tcPr>
            <w:tcW w:w="0" w:type="auto"/>
          </w:tcPr>
          <w:p w:rsidR="00B01B06" w:rsidRDefault="00B01B06" w:rsidP="00F06840">
            <w:pPr>
              <w:pStyle w:val="NoSpacing"/>
            </w:pPr>
            <w:proofErr w:type="spellStart"/>
            <w:r>
              <w:t>MapSearch</w:t>
            </w:r>
            <w:proofErr w:type="spellEnd"/>
            <w:r>
              <w:t xml:space="preserve"> pipelines. Propriety data.</w:t>
            </w:r>
          </w:p>
        </w:tc>
      </w:tr>
      <w:tr w:rsidR="00B01B06" w:rsidTr="00F030AA">
        <w:tc>
          <w:tcPr>
            <w:tcW w:w="0" w:type="auto"/>
          </w:tcPr>
          <w:p w:rsidR="00B01B06" w:rsidRDefault="00B01B06" w:rsidP="00F06840">
            <w:pPr>
              <w:pStyle w:val="NoSpacing"/>
            </w:pPr>
            <w:r>
              <w:t>conservation lands in PA</w:t>
            </w:r>
          </w:p>
        </w:tc>
        <w:tc>
          <w:tcPr>
            <w:tcW w:w="0" w:type="auto"/>
          </w:tcPr>
          <w:p w:rsidR="00B01B06" w:rsidRDefault="00B01B06" w:rsidP="00F06840">
            <w:pPr>
              <w:pStyle w:val="NoSpacing"/>
            </w:pPr>
            <w:r>
              <w:t>choosing sites, siting infrastructure</w:t>
            </w:r>
          </w:p>
        </w:tc>
        <w:tc>
          <w:tcPr>
            <w:tcW w:w="0" w:type="auto"/>
          </w:tcPr>
          <w:p w:rsidR="00B01B06" w:rsidRDefault="00B01B06" w:rsidP="00F06840">
            <w:pPr>
              <w:pStyle w:val="NoSpacing"/>
            </w:pPr>
            <w:r w:rsidRPr="001D4F07">
              <w:t>PASDA-Pennsylvania Conservation Stewardship</w:t>
            </w:r>
            <w:r>
              <w:t xml:space="preserve"> (1998): </w:t>
            </w:r>
            <w:hyperlink r:id="rId61" w:history="1">
              <w:r w:rsidRPr="00EC52B9">
                <w:rPr>
                  <w:rStyle w:val="Hyperlink"/>
                </w:rPr>
                <w:t>http://www.pasda.psu.edu/default.asp</w:t>
              </w:r>
            </w:hyperlink>
          </w:p>
        </w:tc>
      </w:tr>
    </w:tbl>
    <w:p w:rsidR="00F77805" w:rsidRDefault="009B564E">
      <w:pPr>
        <w:pStyle w:val="Caption"/>
        <w:rPr>
          <w:vanish/>
          <w:lang w:val="en-GB"/>
          <w:specVanish/>
        </w:rPr>
      </w:pPr>
      <w:bookmarkStart w:id="110" w:name="_Ref419722866"/>
      <w:bookmarkStart w:id="111" w:name="_Toc421352924"/>
      <w:proofErr w:type="gramStart"/>
      <w:r>
        <w:lastRenderedPageBreak/>
        <w:t xml:space="preserve">Fig. S </w:t>
      </w:r>
      <w:r w:rsidR="00F01773">
        <w:fldChar w:fldCharType="begin"/>
      </w:r>
      <w:r w:rsidR="00B819A9">
        <w:instrText xml:space="preserve"> STYLEREF 1 \s </w:instrText>
      </w:r>
      <w:r w:rsidR="00F01773">
        <w:fldChar w:fldCharType="separate"/>
      </w:r>
      <w:r w:rsidR="00867AA7">
        <w:rPr>
          <w:noProof/>
        </w:rPr>
        <w:t>2</w:t>
      </w:r>
      <w:r w:rsidR="00F01773">
        <w:rPr>
          <w:noProof/>
        </w:rPr>
        <w:fldChar w:fldCharType="end"/>
      </w:r>
      <w:r w:rsidR="00F95317">
        <w:t>.</w:t>
      </w:r>
      <w:proofErr w:type="gramEnd"/>
      <w:r w:rsidR="00F01773">
        <w:fldChar w:fldCharType="begin"/>
      </w:r>
      <w:r w:rsidR="00F95317">
        <w:instrText xml:space="preserve"> SEQ Fig._S \* ARABIC \s 1 </w:instrText>
      </w:r>
      <w:r w:rsidR="00F01773">
        <w:fldChar w:fldCharType="separate"/>
      </w:r>
      <w:r w:rsidR="00867AA7">
        <w:rPr>
          <w:noProof/>
        </w:rPr>
        <w:t>3</w:t>
      </w:r>
      <w:r w:rsidR="00F01773">
        <w:fldChar w:fldCharType="end"/>
      </w:r>
      <w:bookmarkEnd w:id="110"/>
      <w:r>
        <w:t xml:space="preserve">. </w:t>
      </w:r>
      <w:r w:rsidRPr="009E31B8">
        <w:t>In this series of figures we show the infrastructure configurations created for 3 representative development s</w:t>
      </w:r>
      <w:r>
        <w:t>ites</w:t>
      </w:r>
      <w:bookmarkEnd w:id="111"/>
    </w:p>
    <w:p w:rsidR="00F77805" w:rsidRDefault="009B564E">
      <w:pPr>
        <w:pStyle w:val="Caption"/>
      </w:pPr>
      <w:r w:rsidRPr="009E31B8">
        <w:t>. Each figure contains four layouts of well pads (</w:t>
      </w:r>
      <w:r w:rsidRPr="009E31B8">
        <w:rPr>
          <w:rFonts w:ascii="Times New Roman" w:hAnsi="Times New Roman" w:cs="Times New Roman"/>
        </w:rPr>
        <w:t>■</w:t>
      </w:r>
      <w:r w:rsidRPr="009E31B8">
        <w:rPr>
          <w:rFonts w:cs="Bookman"/>
        </w:rPr>
        <w:t>), roads (</w:t>
      </w:r>
      <w:r w:rsidRPr="009E31B8">
        <w:rPr>
          <w:rFonts w:ascii="Times New Roman" w:hAnsi="Times New Roman" w:cs="Times New Roman"/>
        </w:rPr>
        <w:t>−</w:t>
      </w:r>
      <w:r w:rsidRPr="009E31B8">
        <w:rPr>
          <w:rFonts w:cs="Bookman"/>
        </w:rPr>
        <w:t>), and pipelines (--) at one of our twenty sites (gray). Existing roads and pipelines are brown; proposed infrastructure is black. Each layout is the result of following a different simple sitin</w:t>
      </w:r>
      <w:r w:rsidRPr="009E31B8">
        <w:t>g practice. Each layout, if developed, would result in different impacts on forests (green), aquatic habitats (blue), erosion, and cultural features (orange).</w:t>
      </w:r>
      <w:r>
        <w:br w:type="page"/>
      </w:r>
    </w:p>
    <w:p w:rsidR="00857937" w:rsidRDefault="00B01B06" w:rsidP="00857937">
      <w:pPr>
        <w:keepNext/>
        <w:spacing w:after="200"/>
        <w:jc w:val="center"/>
      </w:pPr>
      <w:r>
        <w:rPr>
          <w:noProof/>
        </w:rPr>
        <w:lastRenderedPageBreak/>
        <w:drawing>
          <wp:inline distT="0" distB="0" distL="0" distR="0">
            <wp:extent cx="3658262" cy="3657600"/>
            <wp:effectExtent l="19050" t="0" r="0" b="0"/>
            <wp:docPr id="54" name="Picture 4"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62" cstate="print"/>
                    <a:stretch>
                      <a:fillRect/>
                    </a:stretch>
                  </pic:blipFill>
                  <pic:spPr>
                    <a:xfrm>
                      <a:off x="0" y="0"/>
                      <a:ext cx="3658262" cy="3657600"/>
                    </a:xfrm>
                    <a:prstGeom prst="rect">
                      <a:avLst/>
                    </a:prstGeom>
                  </pic:spPr>
                </pic:pic>
              </a:graphicData>
            </a:graphic>
          </wp:inline>
        </w:drawing>
      </w:r>
    </w:p>
    <w:p w:rsidR="00857937" w:rsidRDefault="00B01B06" w:rsidP="00857937">
      <w:pPr>
        <w:keepNext/>
        <w:spacing w:after="200"/>
        <w:jc w:val="center"/>
      </w:pPr>
      <w:r>
        <w:rPr>
          <w:noProof/>
        </w:rPr>
        <w:drawing>
          <wp:inline distT="0" distB="0" distL="0" distR="0">
            <wp:extent cx="3658110" cy="3657600"/>
            <wp:effectExtent l="19050" t="0" r="0" b="0"/>
            <wp:docPr id="55" name="Picture 11" de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63" cstate="print"/>
                    <a:stretch>
                      <a:fillRect/>
                    </a:stretch>
                  </pic:blipFill>
                  <pic:spPr>
                    <a:xfrm>
                      <a:off x="0" y="0"/>
                      <a:ext cx="3658110" cy="3657600"/>
                    </a:xfrm>
                    <a:prstGeom prst="rect">
                      <a:avLst/>
                    </a:prstGeom>
                  </pic:spPr>
                </pic:pic>
              </a:graphicData>
            </a:graphic>
          </wp:inline>
        </w:drawing>
      </w:r>
    </w:p>
    <w:p w:rsidR="009B564E" w:rsidRDefault="00F01773" w:rsidP="00857937">
      <w:pPr>
        <w:keepNext/>
        <w:spacing w:after="200"/>
        <w:jc w:val="center"/>
      </w:pPr>
      <w:r>
        <w:fldChar w:fldCharType="begin"/>
      </w:r>
      <w:r w:rsidR="009B564E">
        <w:instrText xml:space="preserve"> REF _Ref419722866 \h </w:instrText>
      </w:r>
      <w:r>
        <w:fldChar w:fldCharType="separate"/>
      </w:r>
      <w:r w:rsidR="00867AA7">
        <w:t xml:space="preserve">Fig. S </w:t>
      </w:r>
      <w:r w:rsidR="00867AA7">
        <w:rPr>
          <w:noProof/>
        </w:rPr>
        <w:t>2</w:t>
      </w:r>
      <w:r w:rsidR="00867AA7">
        <w:t>.</w:t>
      </w:r>
      <w:r w:rsidR="00867AA7">
        <w:rPr>
          <w:noProof/>
        </w:rPr>
        <w:t>3</w:t>
      </w:r>
      <w:r>
        <w:fldChar w:fldCharType="end"/>
      </w:r>
      <w:r w:rsidR="009B564E">
        <w:t xml:space="preserve"> Continued</w:t>
      </w:r>
    </w:p>
    <w:p w:rsidR="000C23C6" w:rsidRDefault="00B01B06" w:rsidP="00857937">
      <w:pPr>
        <w:keepNext/>
        <w:spacing w:after="200"/>
        <w:jc w:val="center"/>
      </w:pPr>
      <w:r>
        <w:rPr>
          <w:noProof/>
        </w:rPr>
        <w:lastRenderedPageBreak/>
        <w:drawing>
          <wp:inline distT="0" distB="0" distL="0" distR="0">
            <wp:extent cx="3658110" cy="3657600"/>
            <wp:effectExtent l="19050" t="0" r="0" b="0"/>
            <wp:docPr id="56" name="Picture 13"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64" cstate="print"/>
                    <a:stretch>
                      <a:fillRect/>
                    </a:stretch>
                  </pic:blipFill>
                  <pic:spPr>
                    <a:xfrm>
                      <a:off x="0" y="0"/>
                      <a:ext cx="3658110" cy="3657600"/>
                    </a:xfrm>
                    <a:prstGeom prst="rect">
                      <a:avLst/>
                    </a:prstGeom>
                  </pic:spPr>
                </pic:pic>
              </a:graphicData>
            </a:graphic>
          </wp:inline>
        </w:drawing>
      </w:r>
    </w:p>
    <w:p w:rsidR="00F77805" w:rsidRDefault="00F01773">
      <w:pPr>
        <w:keepNext/>
        <w:spacing w:after="200"/>
        <w:jc w:val="center"/>
      </w:pPr>
      <w:r>
        <w:fldChar w:fldCharType="begin"/>
      </w:r>
      <w:r w:rsidR="009B564E">
        <w:instrText xml:space="preserve"> REF _Ref419722866 \h </w:instrText>
      </w:r>
      <w:r>
        <w:fldChar w:fldCharType="separate"/>
      </w:r>
      <w:r w:rsidR="00867AA7">
        <w:t xml:space="preserve">Fig. S </w:t>
      </w:r>
      <w:r w:rsidR="00867AA7">
        <w:rPr>
          <w:noProof/>
        </w:rPr>
        <w:t>2</w:t>
      </w:r>
      <w:r w:rsidR="00867AA7">
        <w:t>.</w:t>
      </w:r>
      <w:r w:rsidR="00867AA7">
        <w:rPr>
          <w:noProof/>
        </w:rPr>
        <w:t>3</w:t>
      </w:r>
      <w:r>
        <w:fldChar w:fldCharType="end"/>
      </w:r>
      <w:r w:rsidR="009B564E">
        <w:t xml:space="preserve"> Continued</w:t>
      </w:r>
    </w:p>
    <w:p w:rsidR="00B01B06" w:rsidRDefault="00B01B06" w:rsidP="00B01B06">
      <w:pPr>
        <w:spacing w:after="200" w:line="276" w:lineRule="auto"/>
        <w:rPr>
          <w:rFonts w:cs="Times New Roman"/>
          <w:b/>
          <w:i/>
          <w:sz w:val="32"/>
        </w:rPr>
      </w:pPr>
    </w:p>
    <w:p w:rsidR="00B01B06" w:rsidRDefault="00B01B06" w:rsidP="00B01B06">
      <w:pPr>
        <w:pStyle w:val="NoSpacing"/>
        <w:rPr>
          <w:b/>
          <w:i/>
          <w:sz w:val="32"/>
          <w:szCs w:val="24"/>
        </w:rPr>
        <w:sectPr w:rsidR="00B01B06" w:rsidSect="002115B4">
          <w:pgSz w:w="12240" w:h="15840" w:code="1"/>
          <w:pgMar w:top="1440" w:right="1800" w:bottom="1440" w:left="1800" w:header="720" w:footer="720" w:gutter="0"/>
          <w:cols w:space="720"/>
          <w:docGrid w:linePitch="360"/>
        </w:sectPr>
      </w:pPr>
    </w:p>
    <w:p w:rsidR="00B01B06" w:rsidRPr="00E97E5E" w:rsidRDefault="00B01B06" w:rsidP="00B01B06">
      <w:pPr>
        <w:pStyle w:val="Heading3"/>
      </w:pPr>
      <w:bookmarkStart w:id="112" w:name="_Toc417646781"/>
      <w:r w:rsidRPr="00C1667F">
        <w:lastRenderedPageBreak/>
        <w:t>Analyses Results</w:t>
      </w:r>
      <w:bookmarkEnd w:id="112"/>
    </w:p>
    <w:p w:rsidR="00C53A02" w:rsidRPr="002B2090" w:rsidRDefault="00BA7201" w:rsidP="00C53A02">
      <w:pPr>
        <w:pStyle w:val="Caption"/>
        <w:rPr>
          <w:vanish/>
          <w:lang w:val="en-GB"/>
          <w:specVanish/>
        </w:rPr>
      </w:pPr>
      <w:bookmarkStart w:id="113" w:name="_Ref419810317"/>
      <w:bookmarkStart w:id="114" w:name="_Toc421352900"/>
      <w:r>
        <w:t xml:space="preserve">Table S </w:t>
      </w:r>
      <w:r w:rsidR="00F01773">
        <w:fldChar w:fldCharType="begin"/>
      </w:r>
      <w:r w:rsidR="00B819A9">
        <w:instrText xml:space="preserve"> STYLEREF 1 \s </w:instrText>
      </w:r>
      <w:r w:rsidR="00F01773">
        <w:fldChar w:fldCharType="separate"/>
      </w:r>
      <w:r w:rsidR="00867AA7">
        <w:rPr>
          <w:noProof/>
        </w:rPr>
        <w:t>2</w:t>
      </w:r>
      <w:r w:rsidR="00F01773">
        <w:rPr>
          <w:noProof/>
        </w:rPr>
        <w:fldChar w:fldCharType="end"/>
      </w:r>
      <w:r>
        <w:t>.</w:t>
      </w:r>
      <w:r w:rsidR="00F01773">
        <w:fldChar w:fldCharType="begin"/>
      </w:r>
      <w:r w:rsidR="00B819A9">
        <w:instrText xml:space="preserve"> SEQ Table_S \* ARABIC \s 1 </w:instrText>
      </w:r>
      <w:r w:rsidR="00F01773">
        <w:fldChar w:fldCharType="separate"/>
      </w:r>
      <w:r w:rsidR="00867AA7">
        <w:rPr>
          <w:noProof/>
        </w:rPr>
        <w:t>2</w:t>
      </w:r>
      <w:r w:rsidR="00F01773">
        <w:rPr>
          <w:noProof/>
        </w:rPr>
        <w:fldChar w:fldCharType="end"/>
      </w:r>
      <w:bookmarkEnd w:id="113"/>
      <w:r w:rsidR="00C53A02">
        <w:t xml:space="preserve">. </w:t>
      </w:r>
      <w:r w:rsidR="00C53A02" w:rsidRPr="009E31B8">
        <w:t>Impact metric values for each of the layouts shown above and including the “no-development” scenario</w:t>
      </w:r>
      <w:bookmarkEnd w:id="114"/>
    </w:p>
    <w:p w:rsidR="00BA7201" w:rsidRDefault="00C53A02" w:rsidP="00BA7201">
      <w:pPr>
        <w:pStyle w:val="Caption"/>
      </w:pPr>
      <w:r w:rsidRPr="009E31B8">
        <w:t xml:space="preserve"> (</w:t>
      </w:r>
      <w:proofErr w:type="gramStart"/>
      <w:r w:rsidRPr="009E31B8">
        <w:t>practice</w:t>
      </w:r>
      <w:proofErr w:type="gramEnd"/>
      <w:r w:rsidRPr="009E31B8">
        <w:t xml:space="preserve"> “pre”). Note the pre-development values are not measured the same way as post-development values (see Additional Methods above). These are untransformed values.</w:t>
      </w:r>
    </w:p>
    <w:tbl>
      <w:tblPr>
        <w:tblW w:w="0" w:type="auto"/>
        <w:jc w:val="center"/>
        <w:tblLayout w:type="fixed"/>
        <w:tblLook w:val="04A0"/>
      </w:tblPr>
      <w:tblGrid>
        <w:gridCol w:w="732"/>
        <w:gridCol w:w="1196"/>
        <w:gridCol w:w="1164"/>
        <w:gridCol w:w="1272"/>
        <w:gridCol w:w="1378"/>
        <w:gridCol w:w="1620"/>
        <w:gridCol w:w="1620"/>
        <w:gridCol w:w="1396"/>
        <w:gridCol w:w="1124"/>
        <w:gridCol w:w="1124"/>
      </w:tblGrid>
      <w:tr w:rsidR="00C53A02" w:rsidRPr="004108C0" w:rsidTr="00F77805">
        <w:trPr>
          <w:trHeight w:val="300"/>
          <w:tblHeader/>
          <w:jc w:val="center"/>
        </w:trPr>
        <w:tc>
          <w:tcPr>
            <w:tcW w:w="732" w:type="dxa"/>
            <w:shd w:val="clear" w:color="auto" w:fill="auto"/>
            <w:noWrap/>
            <w:vAlign w:val="bottom"/>
            <w:hideMark/>
          </w:tcPr>
          <w:p w:rsidR="00C53A02" w:rsidRPr="004108C0" w:rsidRDefault="00C53A02" w:rsidP="00F06840">
            <w:pPr>
              <w:jc w:val="center"/>
              <w:rPr>
                <w:b/>
                <w:bCs/>
                <w:color w:val="000000"/>
                <w:sz w:val="20"/>
                <w:szCs w:val="20"/>
              </w:rPr>
            </w:pPr>
          </w:p>
        </w:tc>
        <w:tc>
          <w:tcPr>
            <w:tcW w:w="1196" w:type="dxa"/>
            <w:shd w:val="clear" w:color="auto" w:fill="auto"/>
            <w:noWrap/>
            <w:vAlign w:val="bottom"/>
            <w:hideMark/>
          </w:tcPr>
          <w:p w:rsidR="00C53A02" w:rsidRPr="004108C0" w:rsidRDefault="00C53A02" w:rsidP="00F06840">
            <w:pPr>
              <w:jc w:val="center"/>
              <w:rPr>
                <w:b/>
                <w:bCs/>
                <w:color w:val="000000"/>
                <w:sz w:val="20"/>
                <w:szCs w:val="20"/>
              </w:rPr>
            </w:pPr>
          </w:p>
        </w:tc>
        <w:tc>
          <w:tcPr>
            <w:tcW w:w="10698" w:type="dxa"/>
            <w:gridSpan w:val="8"/>
            <w:shd w:val="clear" w:color="auto" w:fill="auto"/>
            <w:noWrap/>
            <w:vAlign w:val="bottom"/>
            <w:hideMark/>
          </w:tcPr>
          <w:p w:rsidR="00C53A02" w:rsidRPr="004108C0" w:rsidRDefault="00C53A02" w:rsidP="00F06840">
            <w:pPr>
              <w:jc w:val="center"/>
              <w:rPr>
                <w:b/>
                <w:bCs/>
                <w:color w:val="000000"/>
                <w:sz w:val="20"/>
                <w:szCs w:val="20"/>
              </w:rPr>
            </w:pPr>
            <w:r>
              <w:rPr>
                <w:b/>
                <w:bCs/>
                <w:color w:val="000000"/>
                <w:sz w:val="20"/>
                <w:szCs w:val="20"/>
              </w:rPr>
              <w:t>Table S 2.3. Continued</w:t>
            </w:r>
          </w:p>
        </w:tc>
      </w:tr>
      <w:tr w:rsidR="00C53A02" w:rsidRPr="004108C0" w:rsidTr="00F77805">
        <w:trPr>
          <w:trHeight w:val="300"/>
          <w:tblHeader/>
          <w:jc w:val="center"/>
        </w:trPr>
        <w:tc>
          <w:tcPr>
            <w:tcW w:w="732" w:type="dxa"/>
            <w:tcBorders>
              <w:top w:val="single" w:sz="4" w:space="0" w:color="auto"/>
              <w:left w:val="single" w:sz="4" w:space="0" w:color="auto"/>
              <w:right w:val="nil"/>
            </w:tcBorders>
            <w:shd w:val="clear" w:color="auto" w:fill="auto"/>
            <w:noWrap/>
            <w:vAlign w:val="bottom"/>
            <w:hideMark/>
          </w:tcPr>
          <w:p w:rsidR="00C53A02" w:rsidRPr="004108C0" w:rsidRDefault="00C53A02" w:rsidP="00F06840">
            <w:pPr>
              <w:jc w:val="center"/>
              <w:rPr>
                <w:b/>
                <w:bCs/>
                <w:color w:val="000000"/>
                <w:sz w:val="20"/>
                <w:szCs w:val="20"/>
              </w:rPr>
            </w:pPr>
          </w:p>
        </w:tc>
        <w:tc>
          <w:tcPr>
            <w:tcW w:w="1196" w:type="dxa"/>
            <w:tcBorders>
              <w:top w:val="single" w:sz="4" w:space="0" w:color="auto"/>
              <w:left w:val="nil"/>
              <w:right w:val="nil"/>
            </w:tcBorders>
            <w:shd w:val="clear" w:color="auto" w:fill="auto"/>
            <w:noWrap/>
            <w:vAlign w:val="bottom"/>
            <w:hideMark/>
          </w:tcPr>
          <w:p w:rsidR="00C53A02" w:rsidRPr="004108C0" w:rsidRDefault="00C53A02" w:rsidP="00F06840">
            <w:pPr>
              <w:jc w:val="center"/>
              <w:rPr>
                <w:b/>
                <w:bCs/>
                <w:color w:val="000000"/>
                <w:sz w:val="20"/>
                <w:szCs w:val="20"/>
              </w:rPr>
            </w:pPr>
          </w:p>
        </w:tc>
        <w:tc>
          <w:tcPr>
            <w:tcW w:w="10698" w:type="dxa"/>
            <w:gridSpan w:val="8"/>
            <w:tcBorders>
              <w:top w:val="single" w:sz="4" w:space="0" w:color="auto"/>
              <w:left w:val="single" w:sz="4" w:space="0" w:color="auto"/>
              <w:right w:val="single" w:sz="4" w:space="0" w:color="auto"/>
            </w:tcBorders>
            <w:shd w:val="clear" w:color="auto" w:fill="auto"/>
            <w:noWrap/>
            <w:vAlign w:val="bottom"/>
            <w:hideMark/>
          </w:tcPr>
          <w:p w:rsidR="00C53A02" w:rsidRPr="004108C0" w:rsidRDefault="00C53A02" w:rsidP="00F06840">
            <w:pPr>
              <w:jc w:val="center"/>
              <w:rPr>
                <w:b/>
                <w:bCs/>
                <w:color w:val="000000"/>
                <w:sz w:val="20"/>
                <w:szCs w:val="20"/>
              </w:rPr>
            </w:pPr>
            <w:r>
              <w:rPr>
                <w:b/>
                <w:bCs/>
                <w:color w:val="000000"/>
                <w:sz w:val="20"/>
                <w:szCs w:val="20"/>
              </w:rPr>
              <w:t>impact metrics</w:t>
            </w:r>
          </w:p>
        </w:tc>
      </w:tr>
      <w:tr w:rsidR="00C47354" w:rsidRPr="004108C0" w:rsidTr="00C53A02">
        <w:trPr>
          <w:trHeight w:val="300"/>
          <w:tblHeader/>
          <w:jc w:val="center"/>
        </w:trPr>
        <w:tc>
          <w:tcPr>
            <w:tcW w:w="732" w:type="dxa"/>
            <w:tcBorders>
              <w:left w:val="single" w:sz="4" w:space="0" w:color="auto"/>
              <w:bottom w:val="single" w:sz="4" w:space="0" w:color="auto"/>
              <w:right w:val="nil"/>
            </w:tcBorders>
            <w:shd w:val="clear" w:color="auto" w:fill="auto"/>
            <w:noWrap/>
            <w:vAlign w:val="bottom"/>
            <w:hideMark/>
          </w:tcPr>
          <w:p w:rsidR="00B01B06" w:rsidRPr="004108C0" w:rsidRDefault="00B01B06" w:rsidP="00F06840">
            <w:pPr>
              <w:jc w:val="center"/>
              <w:rPr>
                <w:b/>
                <w:bCs/>
                <w:color w:val="000000"/>
                <w:sz w:val="20"/>
                <w:szCs w:val="20"/>
              </w:rPr>
            </w:pPr>
            <w:r w:rsidRPr="004108C0">
              <w:rPr>
                <w:b/>
                <w:bCs/>
                <w:color w:val="000000"/>
                <w:sz w:val="20"/>
                <w:szCs w:val="20"/>
              </w:rPr>
              <w:t>site</w:t>
            </w:r>
          </w:p>
        </w:tc>
        <w:tc>
          <w:tcPr>
            <w:tcW w:w="1196" w:type="dxa"/>
            <w:tcBorders>
              <w:left w:val="nil"/>
              <w:bottom w:val="single" w:sz="4" w:space="0" w:color="auto"/>
              <w:right w:val="nil"/>
            </w:tcBorders>
            <w:shd w:val="clear" w:color="auto" w:fill="auto"/>
            <w:noWrap/>
            <w:vAlign w:val="bottom"/>
            <w:hideMark/>
          </w:tcPr>
          <w:p w:rsidR="00B01B06" w:rsidRPr="004108C0" w:rsidRDefault="00B01B06" w:rsidP="00F06840">
            <w:pPr>
              <w:jc w:val="center"/>
              <w:rPr>
                <w:b/>
                <w:bCs/>
                <w:color w:val="000000"/>
                <w:sz w:val="20"/>
                <w:szCs w:val="20"/>
              </w:rPr>
            </w:pPr>
            <w:r w:rsidRPr="004108C0">
              <w:rPr>
                <w:b/>
                <w:bCs/>
                <w:color w:val="000000"/>
                <w:sz w:val="20"/>
                <w:szCs w:val="20"/>
              </w:rPr>
              <w:t>practice</w:t>
            </w:r>
          </w:p>
        </w:tc>
        <w:tc>
          <w:tcPr>
            <w:tcW w:w="1164" w:type="dxa"/>
            <w:tcBorders>
              <w:left w:val="single" w:sz="4" w:space="0" w:color="auto"/>
              <w:bottom w:val="single" w:sz="4" w:space="0" w:color="auto"/>
              <w:right w:val="nil"/>
            </w:tcBorders>
            <w:shd w:val="clear" w:color="auto" w:fill="auto"/>
            <w:noWrap/>
            <w:vAlign w:val="bottom"/>
            <w:hideMark/>
          </w:tcPr>
          <w:p w:rsidR="00B01B06" w:rsidRPr="004108C0" w:rsidRDefault="00B01B06" w:rsidP="00F06840">
            <w:pPr>
              <w:jc w:val="center"/>
              <w:rPr>
                <w:b/>
                <w:bCs/>
                <w:color w:val="000000"/>
                <w:sz w:val="20"/>
                <w:szCs w:val="20"/>
              </w:rPr>
            </w:pPr>
            <w:r w:rsidRPr="004108C0">
              <w:rPr>
                <w:b/>
                <w:bCs/>
                <w:color w:val="000000"/>
                <w:sz w:val="20"/>
                <w:szCs w:val="20"/>
              </w:rPr>
              <w:t>cultural</w:t>
            </w:r>
          </w:p>
        </w:tc>
        <w:tc>
          <w:tcPr>
            <w:tcW w:w="1272" w:type="dxa"/>
            <w:tcBorders>
              <w:left w:val="nil"/>
              <w:bottom w:val="single" w:sz="4" w:space="0" w:color="auto"/>
              <w:right w:val="nil"/>
            </w:tcBorders>
            <w:shd w:val="clear" w:color="auto" w:fill="auto"/>
            <w:noWrap/>
            <w:vAlign w:val="bottom"/>
            <w:hideMark/>
          </w:tcPr>
          <w:p w:rsidR="00B01B06" w:rsidRPr="004108C0" w:rsidRDefault="00B01B06" w:rsidP="00F06840">
            <w:pPr>
              <w:jc w:val="center"/>
              <w:rPr>
                <w:b/>
                <w:bCs/>
                <w:color w:val="000000"/>
                <w:sz w:val="20"/>
                <w:szCs w:val="20"/>
              </w:rPr>
            </w:pPr>
            <w:r w:rsidRPr="004108C0">
              <w:rPr>
                <w:b/>
                <w:bCs/>
                <w:color w:val="000000"/>
                <w:sz w:val="20"/>
                <w:szCs w:val="20"/>
              </w:rPr>
              <w:t>erosion</w:t>
            </w:r>
          </w:p>
        </w:tc>
        <w:tc>
          <w:tcPr>
            <w:tcW w:w="1378" w:type="dxa"/>
            <w:tcBorders>
              <w:left w:val="nil"/>
              <w:bottom w:val="single" w:sz="4" w:space="0" w:color="auto"/>
              <w:right w:val="nil"/>
            </w:tcBorders>
            <w:shd w:val="clear" w:color="auto" w:fill="auto"/>
            <w:noWrap/>
            <w:vAlign w:val="bottom"/>
            <w:hideMark/>
          </w:tcPr>
          <w:p w:rsidR="00B01B06" w:rsidRPr="004108C0" w:rsidRDefault="00B01B06" w:rsidP="00F06840">
            <w:pPr>
              <w:jc w:val="center"/>
              <w:rPr>
                <w:b/>
                <w:bCs/>
                <w:color w:val="000000"/>
                <w:sz w:val="20"/>
                <w:szCs w:val="20"/>
              </w:rPr>
            </w:pPr>
            <w:r w:rsidRPr="004108C0">
              <w:rPr>
                <w:b/>
                <w:bCs/>
                <w:color w:val="000000"/>
                <w:sz w:val="20"/>
                <w:szCs w:val="20"/>
              </w:rPr>
              <w:t>forest loss</w:t>
            </w:r>
          </w:p>
        </w:tc>
        <w:tc>
          <w:tcPr>
            <w:tcW w:w="1620" w:type="dxa"/>
            <w:tcBorders>
              <w:left w:val="nil"/>
              <w:bottom w:val="single" w:sz="4" w:space="0" w:color="auto"/>
              <w:right w:val="nil"/>
            </w:tcBorders>
            <w:shd w:val="clear" w:color="auto" w:fill="auto"/>
            <w:noWrap/>
            <w:vAlign w:val="bottom"/>
            <w:hideMark/>
          </w:tcPr>
          <w:p w:rsidR="00B01B06" w:rsidRPr="004108C0" w:rsidRDefault="00B01B06" w:rsidP="00F06840">
            <w:pPr>
              <w:jc w:val="center"/>
              <w:rPr>
                <w:b/>
                <w:bCs/>
                <w:color w:val="000000"/>
                <w:sz w:val="20"/>
                <w:szCs w:val="20"/>
              </w:rPr>
            </w:pPr>
            <w:r w:rsidRPr="004108C0">
              <w:rPr>
                <w:b/>
                <w:bCs/>
                <w:color w:val="000000"/>
                <w:sz w:val="20"/>
                <w:szCs w:val="20"/>
              </w:rPr>
              <w:t xml:space="preserve">forest </w:t>
            </w:r>
            <w:proofErr w:type="spellStart"/>
            <w:r w:rsidRPr="004108C0">
              <w:rPr>
                <w:b/>
                <w:bCs/>
                <w:color w:val="000000"/>
                <w:sz w:val="20"/>
                <w:szCs w:val="20"/>
              </w:rPr>
              <w:t>frag</w:t>
            </w:r>
            <w:proofErr w:type="spellEnd"/>
            <w:r w:rsidRPr="004108C0">
              <w:rPr>
                <w:b/>
                <w:bCs/>
                <w:color w:val="000000"/>
                <w:sz w:val="20"/>
                <w:szCs w:val="20"/>
              </w:rPr>
              <w:t xml:space="preserve"> 1</w:t>
            </w:r>
          </w:p>
        </w:tc>
        <w:tc>
          <w:tcPr>
            <w:tcW w:w="1620" w:type="dxa"/>
            <w:tcBorders>
              <w:left w:val="nil"/>
              <w:bottom w:val="single" w:sz="4" w:space="0" w:color="auto"/>
              <w:right w:val="nil"/>
            </w:tcBorders>
            <w:shd w:val="clear" w:color="auto" w:fill="auto"/>
            <w:noWrap/>
            <w:vAlign w:val="bottom"/>
            <w:hideMark/>
          </w:tcPr>
          <w:p w:rsidR="00B01B06" w:rsidRPr="004108C0" w:rsidRDefault="00B01B06" w:rsidP="00F06840">
            <w:pPr>
              <w:jc w:val="center"/>
              <w:rPr>
                <w:b/>
                <w:bCs/>
                <w:color w:val="000000"/>
                <w:sz w:val="20"/>
                <w:szCs w:val="20"/>
              </w:rPr>
            </w:pPr>
            <w:r w:rsidRPr="004108C0">
              <w:rPr>
                <w:b/>
                <w:bCs/>
                <w:color w:val="000000"/>
                <w:sz w:val="20"/>
                <w:szCs w:val="20"/>
              </w:rPr>
              <w:t xml:space="preserve">forest </w:t>
            </w:r>
            <w:proofErr w:type="spellStart"/>
            <w:r w:rsidRPr="004108C0">
              <w:rPr>
                <w:b/>
                <w:bCs/>
                <w:color w:val="000000"/>
                <w:sz w:val="20"/>
                <w:szCs w:val="20"/>
              </w:rPr>
              <w:t>frag</w:t>
            </w:r>
            <w:proofErr w:type="spellEnd"/>
            <w:r w:rsidRPr="004108C0">
              <w:rPr>
                <w:b/>
                <w:bCs/>
                <w:color w:val="000000"/>
                <w:sz w:val="20"/>
                <w:szCs w:val="20"/>
              </w:rPr>
              <w:t xml:space="preserve"> 2</w:t>
            </w:r>
          </w:p>
        </w:tc>
        <w:tc>
          <w:tcPr>
            <w:tcW w:w="1396" w:type="dxa"/>
            <w:tcBorders>
              <w:left w:val="nil"/>
              <w:bottom w:val="single" w:sz="4" w:space="0" w:color="auto"/>
              <w:right w:val="nil"/>
            </w:tcBorders>
            <w:shd w:val="clear" w:color="auto" w:fill="auto"/>
            <w:noWrap/>
            <w:vAlign w:val="bottom"/>
            <w:hideMark/>
          </w:tcPr>
          <w:p w:rsidR="00B01B06" w:rsidRPr="004108C0" w:rsidRDefault="00B01B06" w:rsidP="00F06840">
            <w:pPr>
              <w:jc w:val="center"/>
              <w:rPr>
                <w:b/>
                <w:bCs/>
                <w:color w:val="000000"/>
                <w:sz w:val="20"/>
                <w:szCs w:val="20"/>
              </w:rPr>
            </w:pPr>
            <w:r w:rsidRPr="004108C0">
              <w:rPr>
                <w:b/>
                <w:bCs/>
                <w:color w:val="000000"/>
                <w:sz w:val="20"/>
                <w:szCs w:val="20"/>
              </w:rPr>
              <w:t xml:space="preserve">rare </w:t>
            </w:r>
            <w:proofErr w:type="spellStart"/>
            <w:r w:rsidRPr="004108C0">
              <w:rPr>
                <w:b/>
                <w:bCs/>
                <w:color w:val="000000"/>
                <w:sz w:val="20"/>
                <w:szCs w:val="20"/>
              </w:rPr>
              <w:t>spp</w:t>
            </w:r>
            <w:proofErr w:type="spellEnd"/>
          </w:p>
        </w:tc>
        <w:tc>
          <w:tcPr>
            <w:tcW w:w="1124" w:type="dxa"/>
            <w:tcBorders>
              <w:left w:val="nil"/>
              <w:bottom w:val="single" w:sz="4" w:space="0" w:color="auto"/>
              <w:right w:val="nil"/>
            </w:tcBorders>
            <w:shd w:val="clear" w:color="auto" w:fill="auto"/>
            <w:noWrap/>
            <w:vAlign w:val="bottom"/>
            <w:hideMark/>
          </w:tcPr>
          <w:p w:rsidR="00B01B06" w:rsidRPr="004108C0" w:rsidRDefault="00B01B06" w:rsidP="00F06840">
            <w:pPr>
              <w:jc w:val="center"/>
              <w:rPr>
                <w:b/>
                <w:bCs/>
                <w:color w:val="000000"/>
                <w:sz w:val="20"/>
                <w:szCs w:val="20"/>
              </w:rPr>
            </w:pPr>
            <w:r w:rsidRPr="004108C0">
              <w:rPr>
                <w:b/>
                <w:bCs/>
                <w:color w:val="000000"/>
                <w:sz w:val="20"/>
                <w:szCs w:val="20"/>
              </w:rPr>
              <w:t>water 1</w:t>
            </w:r>
          </w:p>
        </w:tc>
        <w:tc>
          <w:tcPr>
            <w:tcW w:w="1124" w:type="dxa"/>
            <w:tcBorders>
              <w:left w:val="nil"/>
              <w:bottom w:val="single" w:sz="4" w:space="0" w:color="auto"/>
              <w:right w:val="single" w:sz="4" w:space="0" w:color="auto"/>
            </w:tcBorders>
            <w:shd w:val="clear" w:color="auto" w:fill="auto"/>
            <w:noWrap/>
            <w:vAlign w:val="bottom"/>
            <w:hideMark/>
          </w:tcPr>
          <w:p w:rsidR="00B01B06" w:rsidRPr="004108C0" w:rsidRDefault="00B01B06" w:rsidP="00F06840">
            <w:pPr>
              <w:jc w:val="center"/>
              <w:rPr>
                <w:b/>
                <w:bCs/>
                <w:color w:val="000000"/>
                <w:sz w:val="20"/>
                <w:szCs w:val="20"/>
              </w:rPr>
            </w:pPr>
            <w:r w:rsidRPr="004108C0">
              <w:rPr>
                <w:b/>
                <w:bCs/>
                <w:color w:val="000000"/>
                <w:sz w:val="20"/>
                <w:szCs w:val="20"/>
              </w:rPr>
              <w:t>water 2</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0.74</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9511.66</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317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21739.13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0.256</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6241.51</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0.97</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0.62</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3630.59</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189</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21739.13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0.251</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2545.89</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67</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2.10</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1.30</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4000.03</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249</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21739.13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0.252</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2145.84</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3.59</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8078.43</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21739.13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0.250</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2277.06</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82</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3.55</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18.796</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0.478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22222.22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0.248</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2.894</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0.056</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0.007</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0.22</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2401.26</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159</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15151.52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0.111</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2061.91</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0.30</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2045.48</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14492.75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0.111</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1869.36</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0.40</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1602.99</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202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14925.37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0.116</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2540.80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34</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1.57</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0.49</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2466.99</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15151.52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0.103</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2173.17</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0.84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10.317</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0.810</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15384.62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0.088</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5.434</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0.026</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12048.07</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519</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52631.58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0.163</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3350.06</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1.83</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6698.81</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542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52631.58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0.164</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4812.26</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251</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4.35</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1.74</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6857.29</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499</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52631.58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0.162</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2980.85</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249</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3.58</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1.91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13684.22</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340</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52631.58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0.153</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2313.02</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85</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5.55</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18.063</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0.676</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52631.58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0.146</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2.363</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0.047</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0.006</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1.09</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2875.96</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211</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16129.03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0.189</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4421.34</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0.42</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1.19</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2456.47</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233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15873.02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0.190</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4311.15</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0.97</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0.80</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3845.82</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315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16949.15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0.199</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5655.39</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78</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1.53</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0.90</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3884.77</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15873.02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0.178</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2227.30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1.32</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14.505</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0.595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17543.86</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0.172</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3.250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0.042</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0.006</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lastRenderedPageBreak/>
              <w:t>5</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0.70</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5258.18</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286</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4424.78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0.277</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1974.14</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0.81</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1.18</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1764.74</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184</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4347.83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0.264</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2001.67</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48</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1.72</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1.36</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2051.58</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288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4366.81</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0.273</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647381.94</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84</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3.45</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0.98</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4700.61</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4310.34</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0.255</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216134.83</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24</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2.31</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0.002</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8.333</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0.444</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4545.45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0.249</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3.203</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0.052</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0.005</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0.14</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3020.49</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81</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13333.33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0.124</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655.23</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0.12</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0.07</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598.92</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13157.89</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0.123</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1339.40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1055.46</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13333.33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0.124</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1030.55</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0.15</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0.10</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1894.63</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13333.33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0.120</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184.30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0.65</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14.574</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0.717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13333.33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0.120</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4.975</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0.038</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0.005</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0.41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2799.89</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340</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35714.29</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0.169</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6299.90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0.62</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0.42</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2563.12</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350</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35714.29</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0.171</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22066.97</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0.94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0.48</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3034.22</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361</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35714.29</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0.170</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82877.62</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24</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1.45</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1.64</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7882.51</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35714.29</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0.160</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77877.20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3.06</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9.227</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0.664</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37037.04</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0.155</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5.241</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0.040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0.005</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1.02</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3084.90</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220</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7518.80</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0.284</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18796.90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0.55</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0.96</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1034.21</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156</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7692.31</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0.280</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353768.56</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1.10</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1.26</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1445.75</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197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7692.31</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0.285</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370628.50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52</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1.41</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0.95</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5759.22</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111</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5952.38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0.270</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170054.69</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21</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3.11</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0.002</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9.944</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0.516</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7874.02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0.266</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3.827</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0.048</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0.006</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0.13</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3450.25</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10101.01</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0.110</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1829.85</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0.15</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0.04</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973.69</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60</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10204.08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0.098</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757.35</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0.32</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0.12</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1132.58</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74</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10204.08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0.102</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1333.76</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0.61</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0.04</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1223.11</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10204.08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0.098</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660.54</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0.22</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0.002</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14.545</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0.797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10309.28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0.090</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5.222</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0.034</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0.005</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lastRenderedPageBreak/>
              <w:t>10</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0.16</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1961.45</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202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23255.81</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0.135</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3519.31</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0.31</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0.15</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1620.88</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232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23255.81</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0.138</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3556.95</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38</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1.38</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0.17</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1713.43</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23809.52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0.134</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2609.62</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0.94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0.20</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2591.10</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190</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23255.81</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0.134</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2181.54</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0.99</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8.693</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0.718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23809.52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0.124</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6.660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0.041</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0.006</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0.19</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1664.89</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169</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41666.67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0.075</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2359.23</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0.47</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0.15</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1641.51</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41666.67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0.073</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2017.07</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22</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0.78</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0.25</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1429.56</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41666.67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0.073</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1140.00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43</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0.87</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0.15</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3040.84</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41666.67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0.072</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801.58</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1.43</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8.208</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0.851</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41666.67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0.067</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6.698</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0.035</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0.005</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0.44</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12666.93</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485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25641.03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0.114</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2431.98</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1.16</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0.50</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5597.44</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458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25641.03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0.102</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1365.40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2.49</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0.53</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4871.99</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374</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25641.03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0.095</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1091.21</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138</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2.54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0.28</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10429.01</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224</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25641.03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0.085</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289.85</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34</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2.90</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25.140</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0.872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26315.79</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0.069</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0.762</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0.046</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0.006</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0.09</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1059.29</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12500.00</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0.122</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1832.60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0.23</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1348.39</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215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12345.68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0.132</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5484.25</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21</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0.86</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881.23</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166</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12345.68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0.127</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2872.77</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0.29</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1.53</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3905.93</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12345.68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0.119</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3148.98</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0.002</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8.363</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0.753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12658.23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0.108</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6.427</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0.030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0.44</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11737.51</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617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58823.53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0.102</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8313.79</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1.11</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0.58</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8949.48</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685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58823.53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0.105</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9147.52</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83</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3.41</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0.74</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7990.75</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684</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58823.53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0.106</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9351.45</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112</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3.82</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1.74</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17552.61</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557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40000.00</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0.101</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18896.08</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68</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5.48</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16.131</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0.805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58823.53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0.080</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1.990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0.035</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0.005</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lastRenderedPageBreak/>
              <w:t>15</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0.45</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8437.78</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446</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66666.67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0.149</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790.53</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1.57</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0.78</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6223.11</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704</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66666.67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0.156</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745.11</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96</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3.59</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0.53</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4550.11</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551</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66666.67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0.152</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572.20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89</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2.23</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0.99</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9245.37</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66666.67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0.146</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745.94</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32</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3.52</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0.000</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16.526</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0.698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71428.57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0.137</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0.825</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0.048</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0.006</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2.29</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12147.42</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963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29411.76</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0.150</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18662.62</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1.76</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1.57</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5443.25</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615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28571.43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0.136</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24734.86</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54</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3.60</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1.89</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5108.42</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713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29411.76</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0.140</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25629.98</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91</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4.65</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2.89</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8104.22</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365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29411.76</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0.125</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126910.11</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22</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3.44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8.541</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0.719</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30303.03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0.116</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6.552</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0.021</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0.17</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4283.59</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365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20000.00</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0.111</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4162.54</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0.48</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0.16</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1700.87</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335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20000.00</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0.108</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5030.55</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0.46</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0.18</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2199.23</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20000.00</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0.110</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5172.63</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0.56</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0.51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8496.39</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260</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10526.32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0.102</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32221.05</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23</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2.68</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18.599</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0.747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20408.16</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0.088</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1.540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0.024</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0.67</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7658.05</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508</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30303.03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0.242</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5762.46</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1.13</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1.36</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5157.50</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573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28571.43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0.245</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78492.70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190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4.58</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1.44</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5279.11</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742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27027.03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0.256</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2969.75</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326</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6.60</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1.02</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9820.28</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249</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29411.76</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0.227</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18051.86</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27</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4.18</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18</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9.923</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0.481</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30303.03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0.217</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2.988</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0.028</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19</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0.65</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6139.97</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477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43478.26</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0.172</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6276.80</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0.79</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19</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1.08</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3558.60</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510</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43478.26</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0.174</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34686.67</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84</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2.33</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19</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1.11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4106.18</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582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41666.67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0.177</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66242.91</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170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3.41</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19</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1.23</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7077.80</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353</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43478.26</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0.164</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50512.85</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27</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3.66</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19</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0.001</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9.296</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0.655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43478.26</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0.151</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4.238</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0.028</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lastRenderedPageBreak/>
              <w:t>20</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p1</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0.44</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3992.51</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301</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22727.27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0.253</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3108.47</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0.64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20</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p2</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0.77</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3079.36</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344</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22222.22</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0.255</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4552.39</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125</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3.04</w:t>
            </w:r>
          </w:p>
        </w:tc>
      </w:tr>
      <w:tr w:rsidR="00C47354" w:rsidRPr="004108C0" w:rsidTr="00C47354">
        <w:trPr>
          <w:trHeight w:val="300"/>
          <w:jc w:val="center"/>
        </w:trPr>
        <w:tc>
          <w:tcPr>
            <w:tcW w:w="732"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20</w:t>
            </w:r>
          </w:p>
        </w:tc>
        <w:tc>
          <w:tcPr>
            <w:tcW w:w="11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p3</w:t>
            </w:r>
          </w:p>
        </w:tc>
        <w:tc>
          <w:tcPr>
            <w:tcW w:w="1164" w:type="dxa"/>
            <w:tcBorders>
              <w:top w:val="nil"/>
              <w:left w:val="single" w:sz="4" w:space="0" w:color="auto"/>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0.70</w:t>
            </w:r>
          </w:p>
        </w:tc>
        <w:tc>
          <w:tcPr>
            <w:tcW w:w="1272"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2865.79</w:t>
            </w:r>
          </w:p>
        </w:tc>
        <w:tc>
          <w:tcPr>
            <w:tcW w:w="1378"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345</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22727.27</w:t>
            </w:r>
          </w:p>
        </w:tc>
        <w:tc>
          <w:tcPr>
            <w:tcW w:w="1620"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0.255</w:t>
            </w:r>
          </w:p>
        </w:tc>
        <w:tc>
          <w:tcPr>
            <w:tcW w:w="1396"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3511.98</w:t>
            </w:r>
          </w:p>
        </w:tc>
        <w:tc>
          <w:tcPr>
            <w:tcW w:w="1124" w:type="dxa"/>
            <w:tcBorders>
              <w:top w:val="nil"/>
              <w:left w:val="nil"/>
              <w:bottom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146</w:t>
            </w:r>
          </w:p>
        </w:tc>
        <w:tc>
          <w:tcPr>
            <w:tcW w:w="1124" w:type="dxa"/>
            <w:tcBorders>
              <w:top w:val="nil"/>
              <w:left w:val="nil"/>
              <w:bottom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3.11</w:t>
            </w:r>
          </w:p>
        </w:tc>
      </w:tr>
      <w:tr w:rsidR="00C47354" w:rsidRPr="004108C0" w:rsidTr="00C47354">
        <w:trPr>
          <w:trHeight w:val="300"/>
          <w:jc w:val="center"/>
        </w:trPr>
        <w:tc>
          <w:tcPr>
            <w:tcW w:w="732" w:type="dxa"/>
            <w:tcBorders>
              <w:top w:val="nil"/>
              <w:left w:val="single" w:sz="4" w:space="0" w:color="auto"/>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20</w:t>
            </w:r>
          </w:p>
        </w:tc>
        <w:tc>
          <w:tcPr>
            <w:tcW w:w="1196" w:type="dxa"/>
            <w:tcBorders>
              <w:top w:val="nil"/>
              <w:left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p4</w:t>
            </w:r>
          </w:p>
        </w:tc>
        <w:tc>
          <w:tcPr>
            <w:tcW w:w="1164" w:type="dxa"/>
            <w:tcBorders>
              <w:top w:val="nil"/>
              <w:left w:val="single" w:sz="4" w:space="0" w:color="auto"/>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0.85</w:t>
            </w:r>
          </w:p>
        </w:tc>
        <w:tc>
          <w:tcPr>
            <w:tcW w:w="1272" w:type="dxa"/>
            <w:tcBorders>
              <w:top w:val="nil"/>
              <w:left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7910.96</w:t>
            </w:r>
          </w:p>
        </w:tc>
        <w:tc>
          <w:tcPr>
            <w:tcW w:w="1378" w:type="dxa"/>
            <w:tcBorders>
              <w:top w:val="nil"/>
              <w:left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160</w:t>
            </w:r>
          </w:p>
        </w:tc>
        <w:tc>
          <w:tcPr>
            <w:tcW w:w="1620" w:type="dxa"/>
            <w:tcBorders>
              <w:top w:val="nil"/>
              <w:left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22727.27</w:t>
            </w:r>
          </w:p>
        </w:tc>
        <w:tc>
          <w:tcPr>
            <w:tcW w:w="1620" w:type="dxa"/>
            <w:tcBorders>
              <w:top w:val="nil"/>
              <w:left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0.244</w:t>
            </w:r>
          </w:p>
        </w:tc>
        <w:tc>
          <w:tcPr>
            <w:tcW w:w="1396" w:type="dxa"/>
            <w:tcBorders>
              <w:top w:val="nil"/>
              <w:left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1394.25</w:t>
            </w:r>
          </w:p>
        </w:tc>
        <w:tc>
          <w:tcPr>
            <w:tcW w:w="1124" w:type="dxa"/>
            <w:tcBorders>
              <w:top w:val="nil"/>
              <w:left w:val="nil"/>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81</w:t>
            </w:r>
          </w:p>
        </w:tc>
        <w:tc>
          <w:tcPr>
            <w:tcW w:w="1124" w:type="dxa"/>
            <w:tcBorders>
              <w:top w:val="nil"/>
              <w:left w:val="nil"/>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5.04</w:t>
            </w:r>
          </w:p>
        </w:tc>
      </w:tr>
      <w:tr w:rsidR="00C47354" w:rsidRPr="004108C0" w:rsidTr="00C47354">
        <w:trPr>
          <w:trHeight w:val="300"/>
          <w:jc w:val="center"/>
        </w:trPr>
        <w:tc>
          <w:tcPr>
            <w:tcW w:w="732" w:type="dxa"/>
            <w:tcBorders>
              <w:top w:val="nil"/>
              <w:left w:val="single" w:sz="4" w:space="0" w:color="auto"/>
              <w:bottom w:val="single" w:sz="4" w:space="0" w:color="auto"/>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20</w:t>
            </w:r>
          </w:p>
        </w:tc>
        <w:tc>
          <w:tcPr>
            <w:tcW w:w="1196" w:type="dxa"/>
            <w:tcBorders>
              <w:top w:val="nil"/>
              <w:left w:val="nil"/>
              <w:bottom w:val="single" w:sz="4" w:space="0" w:color="auto"/>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pre</w:t>
            </w:r>
          </w:p>
        </w:tc>
        <w:tc>
          <w:tcPr>
            <w:tcW w:w="1164" w:type="dxa"/>
            <w:tcBorders>
              <w:top w:val="nil"/>
              <w:left w:val="single" w:sz="4" w:space="0" w:color="auto"/>
              <w:bottom w:val="single" w:sz="4" w:space="0" w:color="auto"/>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0.001</w:t>
            </w:r>
          </w:p>
        </w:tc>
        <w:tc>
          <w:tcPr>
            <w:tcW w:w="1272" w:type="dxa"/>
            <w:tcBorders>
              <w:top w:val="nil"/>
              <w:left w:val="nil"/>
              <w:bottom w:val="single" w:sz="4" w:space="0" w:color="auto"/>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10.247</w:t>
            </w:r>
          </w:p>
        </w:tc>
        <w:tc>
          <w:tcPr>
            <w:tcW w:w="1378" w:type="dxa"/>
            <w:tcBorders>
              <w:top w:val="nil"/>
              <w:left w:val="nil"/>
              <w:bottom w:val="single" w:sz="4" w:space="0" w:color="auto"/>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0.366</w:t>
            </w:r>
          </w:p>
        </w:tc>
        <w:tc>
          <w:tcPr>
            <w:tcW w:w="1620" w:type="dxa"/>
            <w:tcBorders>
              <w:top w:val="nil"/>
              <w:left w:val="nil"/>
              <w:bottom w:val="single" w:sz="4" w:space="0" w:color="auto"/>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23255.81</w:t>
            </w:r>
          </w:p>
        </w:tc>
        <w:tc>
          <w:tcPr>
            <w:tcW w:w="1620" w:type="dxa"/>
            <w:tcBorders>
              <w:top w:val="nil"/>
              <w:left w:val="nil"/>
              <w:bottom w:val="single" w:sz="4" w:space="0" w:color="auto"/>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0.240</w:t>
            </w:r>
          </w:p>
        </w:tc>
        <w:tc>
          <w:tcPr>
            <w:tcW w:w="1396" w:type="dxa"/>
            <w:tcBorders>
              <w:top w:val="nil"/>
              <w:left w:val="nil"/>
              <w:bottom w:val="single" w:sz="4" w:space="0" w:color="auto"/>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1.446</w:t>
            </w:r>
          </w:p>
        </w:tc>
        <w:tc>
          <w:tcPr>
            <w:tcW w:w="1124" w:type="dxa"/>
            <w:tcBorders>
              <w:top w:val="nil"/>
              <w:left w:val="nil"/>
              <w:bottom w:val="single" w:sz="4" w:space="0" w:color="auto"/>
              <w:right w:val="nil"/>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0.043</w:t>
            </w:r>
          </w:p>
        </w:tc>
        <w:tc>
          <w:tcPr>
            <w:tcW w:w="1124" w:type="dxa"/>
            <w:tcBorders>
              <w:top w:val="nil"/>
              <w:left w:val="nil"/>
              <w:bottom w:val="single" w:sz="4" w:space="0" w:color="auto"/>
              <w:right w:val="single" w:sz="4" w:space="0" w:color="auto"/>
            </w:tcBorders>
            <w:shd w:val="clear" w:color="auto" w:fill="auto"/>
            <w:noWrap/>
            <w:vAlign w:val="bottom"/>
            <w:hideMark/>
          </w:tcPr>
          <w:p w:rsidR="00B01B06" w:rsidRPr="004108C0" w:rsidRDefault="00B01B06" w:rsidP="00F06840">
            <w:pPr>
              <w:jc w:val="center"/>
              <w:rPr>
                <w:color w:val="000000"/>
                <w:sz w:val="20"/>
                <w:szCs w:val="20"/>
              </w:rPr>
            </w:pPr>
            <w:r w:rsidRPr="004108C0">
              <w:rPr>
                <w:color w:val="000000"/>
                <w:sz w:val="20"/>
                <w:szCs w:val="20"/>
              </w:rPr>
              <w:t>0.005</w:t>
            </w:r>
          </w:p>
        </w:tc>
      </w:tr>
    </w:tbl>
    <w:p w:rsidR="00B01B06" w:rsidRDefault="00B01B06" w:rsidP="00B01B06">
      <w:pPr>
        <w:pStyle w:val="Caption"/>
        <w:ind w:right="605"/>
        <w:rPr>
          <w:b/>
          <w:sz w:val="22"/>
          <w:szCs w:val="22"/>
        </w:rPr>
        <w:sectPr w:rsidR="00B01B06" w:rsidSect="00AA5D80">
          <w:pgSz w:w="15840" w:h="12240" w:orient="landscape" w:code="1"/>
          <w:pgMar w:top="1800" w:right="1440" w:bottom="1800" w:left="1440" w:header="720" w:footer="720" w:gutter="0"/>
          <w:cols w:space="720"/>
          <w:docGrid w:linePitch="360"/>
        </w:sectPr>
      </w:pPr>
    </w:p>
    <w:p w:rsidR="00207C13" w:rsidRDefault="00B01B06" w:rsidP="00207C13">
      <w:pPr>
        <w:pStyle w:val="NoSpacing"/>
        <w:keepNext/>
      </w:pPr>
      <w:r>
        <w:rPr>
          <w:b/>
          <w:noProof/>
          <w:szCs w:val="24"/>
        </w:rPr>
        <w:lastRenderedPageBreak/>
        <w:drawing>
          <wp:inline distT="0" distB="0" distL="0" distR="0">
            <wp:extent cx="8225110" cy="2489763"/>
            <wp:effectExtent l="0" t="0" r="0" b="0"/>
            <wp:docPr id="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lations.png"/>
                    <pic:cNvPicPr/>
                  </pic:nvPicPr>
                  <pic:blipFill rotWithShape="1">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8769" b="31266"/>
                    <a:stretch/>
                  </pic:blipFill>
                  <pic:spPr bwMode="auto">
                    <a:xfrm>
                      <a:off x="0" y="0"/>
                      <a:ext cx="8234011" cy="24924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46509" w:rsidRDefault="00207C13">
      <w:pPr>
        <w:pStyle w:val="Caption"/>
        <w:jc w:val="left"/>
        <w:rPr>
          <w:vanish/>
          <w:specVanish/>
        </w:rPr>
      </w:pPr>
      <w:bookmarkStart w:id="115" w:name="_Toc421352925"/>
      <w:bookmarkStart w:id="116" w:name="_Toc417647075"/>
      <w:proofErr w:type="gramStart"/>
      <w:r w:rsidRPr="002629AD">
        <w:t xml:space="preserve">Fig. S </w:t>
      </w:r>
      <w:r w:rsidR="00F01773">
        <w:fldChar w:fldCharType="begin"/>
      </w:r>
      <w:r w:rsidR="00B819A9">
        <w:instrText xml:space="preserve"> STYLEREF 1 \s </w:instrText>
      </w:r>
      <w:r w:rsidR="00F01773">
        <w:fldChar w:fldCharType="separate"/>
      </w:r>
      <w:r w:rsidR="00867AA7">
        <w:rPr>
          <w:noProof/>
        </w:rPr>
        <w:t>2</w:t>
      </w:r>
      <w:r w:rsidR="00F01773">
        <w:rPr>
          <w:noProof/>
        </w:rPr>
        <w:fldChar w:fldCharType="end"/>
      </w:r>
      <w:r w:rsidR="00F95317">
        <w:t>.</w:t>
      </w:r>
      <w:proofErr w:type="gramEnd"/>
      <w:r w:rsidR="00F01773">
        <w:fldChar w:fldCharType="begin"/>
      </w:r>
      <w:r w:rsidR="00F95317">
        <w:instrText xml:space="preserve"> SEQ Fig._S \* ARABIC \s 1 </w:instrText>
      </w:r>
      <w:r w:rsidR="00F01773">
        <w:fldChar w:fldCharType="separate"/>
      </w:r>
      <w:r w:rsidR="00867AA7">
        <w:rPr>
          <w:noProof/>
        </w:rPr>
        <w:t>4</w:t>
      </w:r>
      <w:r w:rsidR="00F01773">
        <w:fldChar w:fldCharType="end"/>
      </w:r>
      <w:r w:rsidRPr="002629AD">
        <w:t xml:space="preserve">. </w:t>
      </w:r>
      <w:r w:rsidR="00B01B06" w:rsidRPr="002629AD">
        <w:t>(</w:t>
      </w:r>
      <w:proofErr w:type="gramStart"/>
      <w:r w:rsidR="00B01B06" w:rsidRPr="002629AD">
        <w:t>above</w:t>
      </w:r>
      <w:proofErr w:type="gramEnd"/>
      <w:r w:rsidR="00B01B06" w:rsidRPr="002629AD">
        <w:t xml:space="preserve"> diagonal) Pearson’s correlations between impacts within practices</w:t>
      </w:r>
      <w:bookmarkEnd w:id="115"/>
    </w:p>
    <w:p w:rsidR="009663A3" w:rsidRDefault="00B01B06">
      <w:pPr>
        <w:pStyle w:val="Caption"/>
        <w:jc w:val="left"/>
        <w:rPr>
          <w:b/>
          <w:sz w:val="22"/>
          <w:szCs w:val="22"/>
        </w:rPr>
      </w:pPr>
      <w:r w:rsidRPr="002629AD">
        <w:t>. Each correlation is taken across all 20 sites. Colors correspond to the strength and direction of the correlation. Numbers are correlation coefficients multiplied by 100. Significance of correlations was computed using a Bonferroni correction where k = 28. Significant correlations are in bold. (</w:t>
      </w:r>
      <w:proofErr w:type="gramStart"/>
      <w:r w:rsidRPr="002629AD">
        <w:t>below</w:t>
      </w:r>
      <w:proofErr w:type="gramEnd"/>
      <w:r w:rsidRPr="002629AD">
        <w:t xml:space="preserve"> diagonal) Scatter plots of impacts within practices and impacts. These were used to create the correlation coefficients above the diagonal. Practice codes are p1: put infrastructure away from water, p2: put pads close to existing pipelines, p3: put pads close to existing roads, p4: put infrastructure in disturbed areas.</w:t>
      </w:r>
      <w:bookmarkEnd w:id="116"/>
      <w:r w:rsidRPr="00207C13">
        <w:br/>
      </w:r>
    </w:p>
    <w:p w:rsidR="00B01B06" w:rsidRPr="00207C13" w:rsidRDefault="00B01B06" w:rsidP="00207C13">
      <w:pPr>
        <w:sectPr w:rsidR="00B01B06" w:rsidRPr="00207C13" w:rsidSect="00C6740E">
          <w:pgSz w:w="15840" w:h="12240" w:orient="landscape" w:code="1"/>
          <w:pgMar w:top="1800" w:right="1440" w:bottom="1800" w:left="1440" w:header="720" w:footer="720" w:gutter="0"/>
          <w:cols w:space="720"/>
          <w:vAlign w:val="center"/>
          <w:docGrid w:linePitch="360"/>
        </w:sectPr>
      </w:pPr>
    </w:p>
    <w:p w:rsidR="005E7C16" w:rsidRPr="002B2090" w:rsidRDefault="009B2AB6" w:rsidP="005E7C16">
      <w:pPr>
        <w:pStyle w:val="Caption"/>
        <w:rPr>
          <w:vanish/>
          <w:lang w:val="en-GB"/>
          <w:specVanish/>
        </w:rPr>
      </w:pPr>
      <w:bookmarkStart w:id="117" w:name="_Ref419724549"/>
      <w:bookmarkStart w:id="118" w:name="_Toc421352901"/>
      <w:bookmarkStart w:id="119" w:name="_Toc417647076"/>
      <w:r w:rsidRPr="00363F59">
        <w:lastRenderedPageBreak/>
        <w:t xml:space="preserve">Table S </w:t>
      </w:r>
      <w:r w:rsidR="00F01773">
        <w:fldChar w:fldCharType="begin"/>
      </w:r>
      <w:r w:rsidR="00B819A9">
        <w:instrText xml:space="preserve"> STYLEREF 1 \s </w:instrText>
      </w:r>
      <w:r w:rsidR="00F01773">
        <w:fldChar w:fldCharType="separate"/>
      </w:r>
      <w:r w:rsidR="00867AA7">
        <w:rPr>
          <w:noProof/>
        </w:rPr>
        <w:t>2</w:t>
      </w:r>
      <w:r w:rsidR="00F01773">
        <w:rPr>
          <w:noProof/>
        </w:rPr>
        <w:fldChar w:fldCharType="end"/>
      </w:r>
      <w:r w:rsidR="00BA7201">
        <w:t>.</w:t>
      </w:r>
      <w:r w:rsidR="00F01773">
        <w:fldChar w:fldCharType="begin"/>
      </w:r>
      <w:r w:rsidR="00B819A9">
        <w:instrText xml:space="preserve"> SEQ Table_S \* ARABIC \s 1 </w:instrText>
      </w:r>
      <w:r w:rsidR="00F01773">
        <w:fldChar w:fldCharType="separate"/>
      </w:r>
      <w:r w:rsidR="00867AA7">
        <w:rPr>
          <w:noProof/>
        </w:rPr>
        <w:t>3</w:t>
      </w:r>
      <w:r w:rsidR="00F01773">
        <w:rPr>
          <w:noProof/>
        </w:rPr>
        <w:fldChar w:fldCharType="end"/>
      </w:r>
      <w:bookmarkEnd w:id="117"/>
      <w:r w:rsidRPr="00363F59">
        <w:t>. Results of repeated measures ANOVAs and Tukey HSD tests for practices within impacts</w:t>
      </w:r>
      <w:bookmarkEnd w:id="118"/>
    </w:p>
    <w:p w:rsidR="009B2AB6" w:rsidRPr="00363F59" w:rsidRDefault="009B2AB6" w:rsidP="00363F59">
      <w:pPr>
        <w:pStyle w:val="Caption"/>
      </w:pPr>
      <w:r w:rsidRPr="00363F59">
        <w:t xml:space="preserve">. Note, for “forest </w:t>
      </w:r>
      <w:proofErr w:type="spellStart"/>
      <w:r w:rsidRPr="00363F59">
        <w:t>frag</w:t>
      </w:r>
      <w:proofErr w:type="spellEnd"/>
      <w:r w:rsidRPr="00363F59">
        <w:t xml:space="preserve"> 1” and “rare </w:t>
      </w:r>
      <w:proofErr w:type="spellStart"/>
      <w:r w:rsidRPr="00363F59">
        <w:t>spp</w:t>
      </w:r>
      <w:proofErr w:type="spellEnd"/>
      <w:r w:rsidRPr="00363F59">
        <w:t>,” the non-significant ANOVA does not mean that development had no effect on those metrics. It only means that different practices did not differentially affect the metric.</w:t>
      </w:r>
      <w:bookmarkEnd w:id="119"/>
    </w:p>
    <w:tbl>
      <w:tblPr>
        <w:tblW w:w="0" w:type="auto"/>
        <w:jc w:val="center"/>
        <w:tblInd w:w="93" w:type="dxa"/>
        <w:tblLayout w:type="fixed"/>
        <w:tblLook w:val="04A0"/>
      </w:tblPr>
      <w:tblGrid>
        <w:gridCol w:w="375"/>
        <w:gridCol w:w="180"/>
        <w:gridCol w:w="1530"/>
        <w:gridCol w:w="1260"/>
        <w:gridCol w:w="90"/>
        <w:gridCol w:w="1350"/>
        <w:gridCol w:w="90"/>
        <w:gridCol w:w="900"/>
      </w:tblGrid>
      <w:tr w:rsidR="00B01B06" w:rsidRPr="004605B3" w:rsidTr="00F06840">
        <w:trPr>
          <w:trHeight w:val="315"/>
          <w:jc w:val="center"/>
        </w:trPr>
        <w:tc>
          <w:tcPr>
            <w:tcW w:w="375" w:type="dxa"/>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71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Metric</w:t>
            </w: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SS Error</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p-value</w:t>
            </w: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cultural</w:t>
            </w: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1.48</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9.31E-04</w:t>
            </w: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15"/>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single" w:sz="4" w:space="0" w:color="auto"/>
              <w:left w:val="single" w:sz="4" w:space="0" w:color="auto"/>
              <w:bottom w:val="single" w:sz="4" w:space="0" w:color="auto"/>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mean</w:t>
            </w:r>
          </w:p>
        </w:tc>
        <w:tc>
          <w:tcPr>
            <w:tcW w:w="1260" w:type="dxa"/>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2.5% CL†</w:t>
            </w:r>
          </w:p>
        </w:tc>
        <w:tc>
          <w:tcPr>
            <w:tcW w:w="144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97.5% CL†</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Group</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p1</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0.71</w:t>
            </w:r>
          </w:p>
        </w:tc>
        <w:tc>
          <w:tcPr>
            <w:tcW w:w="1260" w:type="dxa"/>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0.65</w:t>
            </w:r>
          </w:p>
        </w:tc>
        <w:tc>
          <w:tcPr>
            <w:tcW w:w="144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0.78</w:t>
            </w:r>
          </w:p>
        </w:tc>
        <w:tc>
          <w:tcPr>
            <w:tcW w:w="990" w:type="dxa"/>
            <w:gridSpan w:val="2"/>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a</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p2</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0.74</w:t>
            </w: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0.67</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0.81</w:t>
            </w:r>
          </w:p>
        </w:tc>
        <w:tc>
          <w:tcPr>
            <w:tcW w:w="990" w:type="dxa"/>
            <w:gridSpan w:val="2"/>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a</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p3</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0.81</w:t>
            </w: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0.74</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0.87</w:t>
            </w:r>
          </w:p>
        </w:tc>
        <w:tc>
          <w:tcPr>
            <w:tcW w:w="990" w:type="dxa"/>
            <w:gridSpan w:val="2"/>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proofErr w:type="spellStart"/>
            <w:r w:rsidRPr="004605B3">
              <w:rPr>
                <w:color w:val="000000"/>
                <w:sz w:val="22"/>
              </w:rPr>
              <w:t>ab</w:t>
            </w:r>
            <w:proofErr w:type="spellEnd"/>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p4</w:t>
            </w:r>
          </w:p>
        </w:tc>
        <w:tc>
          <w:tcPr>
            <w:tcW w:w="1530" w:type="dxa"/>
            <w:tcBorders>
              <w:top w:val="nil"/>
              <w:left w:val="single" w:sz="4" w:space="0" w:color="auto"/>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0.92</w:t>
            </w:r>
          </w:p>
        </w:tc>
        <w:tc>
          <w:tcPr>
            <w:tcW w:w="1260" w:type="dxa"/>
            <w:tcBorders>
              <w:top w:val="nil"/>
              <w:left w:val="nil"/>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0.85</w:t>
            </w:r>
          </w:p>
        </w:tc>
        <w:tc>
          <w:tcPr>
            <w:tcW w:w="1440" w:type="dxa"/>
            <w:gridSpan w:val="2"/>
            <w:tcBorders>
              <w:top w:val="nil"/>
              <w:left w:val="nil"/>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0.98</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b</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r>
      <w:tr w:rsidR="00B01B06" w:rsidRPr="004605B3" w:rsidTr="00F06840">
        <w:trPr>
          <w:trHeight w:val="315"/>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Metric</w:t>
            </w: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SS Error</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p-value</w:t>
            </w: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erosion</w:t>
            </w: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0.95</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1.37E-12</w:t>
            </w: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15"/>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single" w:sz="4" w:space="0" w:color="auto"/>
              <w:left w:val="single" w:sz="4" w:space="0" w:color="auto"/>
              <w:bottom w:val="single" w:sz="4" w:space="0" w:color="auto"/>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mean</w:t>
            </w:r>
          </w:p>
        </w:tc>
        <w:tc>
          <w:tcPr>
            <w:tcW w:w="1260" w:type="dxa"/>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2.5% CL†</w:t>
            </w:r>
          </w:p>
        </w:tc>
        <w:tc>
          <w:tcPr>
            <w:tcW w:w="144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97.5% CL†</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Group</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p1</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3.66</w:t>
            </w:r>
          </w:p>
        </w:tc>
        <w:tc>
          <w:tcPr>
            <w:tcW w:w="1260" w:type="dxa"/>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3.61</w:t>
            </w:r>
          </w:p>
        </w:tc>
        <w:tc>
          <w:tcPr>
            <w:tcW w:w="144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3.71</w:t>
            </w:r>
          </w:p>
        </w:tc>
        <w:tc>
          <w:tcPr>
            <w:tcW w:w="990" w:type="dxa"/>
            <w:gridSpan w:val="2"/>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b</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p2</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3.41</w:t>
            </w: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3.36</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3.47</w:t>
            </w:r>
          </w:p>
        </w:tc>
        <w:tc>
          <w:tcPr>
            <w:tcW w:w="990" w:type="dxa"/>
            <w:gridSpan w:val="2"/>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a</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p3</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3.43</w:t>
            </w: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3.38</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3.49</w:t>
            </w:r>
          </w:p>
        </w:tc>
        <w:tc>
          <w:tcPr>
            <w:tcW w:w="990" w:type="dxa"/>
            <w:gridSpan w:val="2"/>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a</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p4</w:t>
            </w:r>
          </w:p>
        </w:tc>
        <w:tc>
          <w:tcPr>
            <w:tcW w:w="1530" w:type="dxa"/>
            <w:tcBorders>
              <w:top w:val="nil"/>
              <w:left w:val="single" w:sz="4" w:space="0" w:color="auto"/>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3.75</w:t>
            </w:r>
          </w:p>
        </w:tc>
        <w:tc>
          <w:tcPr>
            <w:tcW w:w="1260" w:type="dxa"/>
            <w:tcBorders>
              <w:top w:val="nil"/>
              <w:left w:val="nil"/>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3.70</w:t>
            </w:r>
          </w:p>
        </w:tc>
        <w:tc>
          <w:tcPr>
            <w:tcW w:w="1440" w:type="dxa"/>
            <w:gridSpan w:val="2"/>
            <w:tcBorders>
              <w:top w:val="nil"/>
              <w:left w:val="nil"/>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3.80</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b</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r>
      <w:tr w:rsidR="00B01B06" w:rsidRPr="004605B3" w:rsidTr="00F06840">
        <w:trPr>
          <w:trHeight w:val="315"/>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Metric</w:t>
            </w: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SS Error</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p-value</w:t>
            </w: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forest loss</w:t>
            </w: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173.03</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9.76E-11</w:t>
            </w: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15"/>
          <w:jc w:val="center"/>
        </w:trPr>
        <w:tc>
          <w:tcPr>
            <w:tcW w:w="555" w:type="dxa"/>
            <w:gridSpan w:val="2"/>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single" w:sz="4" w:space="0" w:color="auto"/>
              <w:left w:val="nil"/>
              <w:bottom w:val="single" w:sz="4" w:space="0" w:color="auto"/>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mean</w:t>
            </w:r>
          </w:p>
        </w:tc>
        <w:tc>
          <w:tcPr>
            <w:tcW w:w="1260" w:type="dxa"/>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2.5% CL†</w:t>
            </w:r>
          </w:p>
        </w:tc>
        <w:tc>
          <w:tcPr>
            <w:tcW w:w="144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97.5% CL†</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Group</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p1</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17.84</w:t>
            </w:r>
          </w:p>
        </w:tc>
        <w:tc>
          <w:tcPr>
            <w:tcW w:w="1260" w:type="dxa"/>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17.11</w:t>
            </w:r>
          </w:p>
        </w:tc>
        <w:tc>
          <w:tcPr>
            <w:tcW w:w="144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18.57</w:t>
            </w:r>
          </w:p>
        </w:tc>
        <w:tc>
          <w:tcPr>
            <w:tcW w:w="990" w:type="dxa"/>
            <w:gridSpan w:val="2"/>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a</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p2</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17.49</w:t>
            </w: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16.76</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18.22</w:t>
            </w:r>
          </w:p>
        </w:tc>
        <w:tc>
          <w:tcPr>
            <w:tcW w:w="990" w:type="dxa"/>
            <w:gridSpan w:val="2"/>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a</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p3</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18.01</w:t>
            </w: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17.28</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18.74</w:t>
            </w:r>
          </w:p>
        </w:tc>
        <w:tc>
          <w:tcPr>
            <w:tcW w:w="990" w:type="dxa"/>
            <w:gridSpan w:val="2"/>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a</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p4</w:t>
            </w:r>
          </w:p>
        </w:tc>
        <w:tc>
          <w:tcPr>
            <w:tcW w:w="1530" w:type="dxa"/>
            <w:tcBorders>
              <w:top w:val="nil"/>
              <w:left w:val="single" w:sz="4" w:space="0" w:color="auto"/>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13.83</w:t>
            </w:r>
          </w:p>
        </w:tc>
        <w:tc>
          <w:tcPr>
            <w:tcW w:w="1260" w:type="dxa"/>
            <w:tcBorders>
              <w:top w:val="nil"/>
              <w:left w:val="nil"/>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13.10</w:t>
            </w:r>
          </w:p>
        </w:tc>
        <w:tc>
          <w:tcPr>
            <w:tcW w:w="1440" w:type="dxa"/>
            <w:gridSpan w:val="2"/>
            <w:tcBorders>
              <w:top w:val="nil"/>
              <w:left w:val="nil"/>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14.55</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b</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r>
      <w:tr w:rsidR="00B01B06" w:rsidRPr="004605B3" w:rsidTr="00F06840">
        <w:trPr>
          <w:trHeight w:val="315"/>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Metric</w:t>
            </w: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SS Error</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p-value</w:t>
            </w: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 xml:space="preserve">forest </w:t>
            </w:r>
            <w:proofErr w:type="spellStart"/>
            <w:r w:rsidRPr="004605B3">
              <w:rPr>
                <w:color w:val="000000"/>
                <w:sz w:val="22"/>
              </w:rPr>
              <w:t>frag</w:t>
            </w:r>
            <w:proofErr w:type="spellEnd"/>
            <w:r w:rsidRPr="004605B3">
              <w:rPr>
                <w:color w:val="000000"/>
                <w:sz w:val="22"/>
              </w:rPr>
              <w:t xml:space="preserve"> 1</w:t>
            </w:r>
          </w:p>
        </w:tc>
        <w:tc>
          <w:tcPr>
            <w:tcW w:w="126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0.08</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5.78E-02</w:t>
            </w: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15"/>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single" w:sz="4" w:space="0" w:color="auto"/>
              <w:left w:val="single" w:sz="4" w:space="0" w:color="auto"/>
              <w:bottom w:val="single" w:sz="4" w:space="0" w:color="auto"/>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mean</w:t>
            </w:r>
          </w:p>
        </w:tc>
        <w:tc>
          <w:tcPr>
            <w:tcW w:w="1260" w:type="dxa"/>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2.5% CL†</w:t>
            </w:r>
          </w:p>
        </w:tc>
        <w:tc>
          <w:tcPr>
            <w:tcW w:w="144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97.5% CL†</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Group</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p1</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4.35</w:t>
            </w:r>
          </w:p>
        </w:tc>
        <w:tc>
          <w:tcPr>
            <w:tcW w:w="3690" w:type="dxa"/>
            <w:gridSpan w:val="5"/>
            <w:vMerge w:val="restart"/>
            <w:tcBorders>
              <w:top w:val="single" w:sz="4" w:space="0" w:color="auto"/>
              <w:left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model was not significant, so</w:t>
            </w:r>
            <w:r>
              <w:rPr>
                <w:color w:val="000000"/>
                <w:sz w:val="22"/>
              </w:rPr>
              <w:t xml:space="preserve"> </w:t>
            </w:r>
            <w:r w:rsidRPr="004605B3">
              <w:rPr>
                <w:color w:val="000000"/>
                <w:sz w:val="22"/>
              </w:rPr>
              <w:t>no Tukey HSD test performed</w:t>
            </w:r>
          </w:p>
          <w:p w:rsidR="00B01B06" w:rsidRPr="004605B3" w:rsidRDefault="00B01B06" w:rsidP="00F06840">
            <w:pPr>
              <w:jc w:val="center"/>
              <w:rPr>
                <w:color w:val="000000"/>
                <w:sz w:val="22"/>
              </w:rPr>
            </w:pPr>
          </w:p>
          <w:p w:rsidR="00B01B06" w:rsidRPr="004605B3" w:rsidRDefault="00B01B06" w:rsidP="00F06840">
            <w:pPr>
              <w:jc w:val="center"/>
              <w:rPr>
                <w:color w:val="000000"/>
                <w:sz w:val="22"/>
              </w:rPr>
            </w:pP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p2</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4.35</w:t>
            </w:r>
          </w:p>
        </w:tc>
        <w:tc>
          <w:tcPr>
            <w:tcW w:w="3690" w:type="dxa"/>
            <w:gridSpan w:val="5"/>
            <w:vMerge/>
            <w:tcBorders>
              <w:left w:val="nil"/>
              <w:right w:val="single" w:sz="4" w:space="0" w:color="auto"/>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p3</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4.35</w:t>
            </w:r>
          </w:p>
        </w:tc>
        <w:tc>
          <w:tcPr>
            <w:tcW w:w="3690" w:type="dxa"/>
            <w:gridSpan w:val="5"/>
            <w:vMerge/>
            <w:tcBorders>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p4</w:t>
            </w:r>
          </w:p>
        </w:tc>
        <w:tc>
          <w:tcPr>
            <w:tcW w:w="1530" w:type="dxa"/>
            <w:tcBorders>
              <w:top w:val="nil"/>
              <w:left w:val="single" w:sz="4" w:space="0" w:color="auto"/>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4.32</w:t>
            </w:r>
          </w:p>
        </w:tc>
        <w:tc>
          <w:tcPr>
            <w:tcW w:w="1350" w:type="dxa"/>
            <w:gridSpan w:val="2"/>
            <w:tcBorders>
              <w:top w:val="nil"/>
              <w:left w:val="nil"/>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p>
        </w:tc>
        <w:tc>
          <w:tcPr>
            <w:tcW w:w="1350" w:type="dxa"/>
            <w:tcBorders>
              <w:top w:val="nil"/>
              <w:left w:val="nil"/>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p>
        </w:tc>
        <w:tc>
          <w:tcPr>
            <w:tcW w:w="990" w:type="dxa"/>
            <w:gridSpan w:val="2"/>
            <w:tcBorders>
              <w:top w:val="nil"/>
              <w:left w:val="nil"/>
              <w:bottom w:val="single" w:sz="4" w:space="0" w:color="auto"/>
              <w:right w:val="single" w:sz="4" w:space="0" w:color="auto"/>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350" w:type="dxa"/>
            <w:tcBorders>
              <w:top w:val="nil"/>
              <w:left w:val="nil"/>
              <w:bottom w:val="nil"/>
              <w:right w:val="nil"/>
            </w:tcBorders>
            <w:shd w:val="clear" w:color="auto" w:fill="auto"/>
            <w:noWrap/>
            <w:vAlign w:val="bottom"/>
            <w:hideMark/>
          </w:tcPr>
          <w:p w:rsidR="00B01B06" w:rsidRDefault="00B01B06" w:rsidP="00F06840">
            <w:pPr>
              <w:jc w:val="center"/>
              <w:rPr>
                <w:rFonts w:ascii="Times" w:hAnsi="Times" w:cs="Times"/>
                <w:color w:val="000000"/>
              </w:rPr>
            </w:pPr>
          </w:p>
          <w:p w:rsidR="002F319F" w:rsidRPr="004605B3" w:rsidRDefault="002F319F" w:rsidP="00F06840">
            <w:pPr>
              <w:jc w:val="center"/>
              <w:rPr>
                <w:rFonts w:ascii="Times" w:hAnsi="Times" w:cs="Times"/>
                <w:color w:val="000000"/>
              </w:rPr>
            </w:pP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r>
      <w:tr w:rsidR="002F319F" w:rsidRPr="004605B3" w:rsidTr="00F77805">
        <w:trPr>
          <w:trHeight w:val="315"/>
          <w:jc w:val="center"/>
        </w:trPr>
        <w:tc>
          <w:tcPr>
            <w:tcW w:w="555" w:type="dxa"/>
            <w:gridSpan w:val="2"/>
            <w:tcBorders>
              <w:top w:val="nil"/>
              <w:left w:val="nil"/>
              <w:bottom w:val="nil"/>
              <w:right w:val="nil"/>
            </w:tcBorders>
            <w:shd w:val="clear" w:color="auto" w:fill="auto"/>
            <w:noWrap/>
            <w:vAlign w:val="bottom"/>
            <w:hideMark/>
          </w:tcPr>
          <w:p w:rsidR="002F319F" w:rsidRPr="004605B3" w:rsidRDefault="002F319F" w:rsidP="00F06840">
            <w:pPr>
              <w:jc w:val="center"/>
              <w:rPr>
                <w:rFonts w:ascii="Times" w:hAnsi="Times" w:cs="Times"/>
                <w:color w:val="000000"/>
              </w:rPr>
            </w:pPr>
          </w:p>
        </w:tc>
        <w:tc>
          <w:tcPr>
            <w:tcW w:w="5220" w:type="dxa"/>
            <w:gridSpan w:val="6"/>
            <w:tcBorders>
              <w:top w:val="nil"/>
              <w:left w:val="nil"/>
              <w:bottom w:val="nil"/>
              <w:right w:val="nil"/>
            </w:tcBorders>
            <w:shd w:val="clear" w:color="auto" w:fill="auto"/>
            <w:noWrap/>
            <w:vAlign w:val="bottom"/>
            <w:hideMark/>
          </w:tcPr>
          <w:p w:rsidR="002F319F" w:rsidRPr="004605B3" w:rsidRDefault="00F01773" w:rsidP="00F06840">
            <w:pPr>
              <w:jc w:val="center"/>
              <w:rPr>
                <w:color w:val="000000"/>
                <w:sz w:val="22"/>
              </w:rPr>
            </w:pPr>
            <w:r>
              <w:rPr>
                <w:b/>
                <w:bCs/>
                <w:color w:val="000000"/>
                <w:sz w:val="22"/>
              </w:rPr>
              <w:fldChar w:fldCharType="begin"/>
            </w:r>
            <w:r w:rsidR="002F319F">
              <w:rPr>
                <w:b/>
                <w:bCs/>
                <w:color w:val="000000"/>
                <w:sz w:val="22"/>
              </w:rPr>
              <w:instrText xml:space="preserve"> REF _Ref419724549 \h </w:instrText>
            </w:r>
            <w:r>
              <w:rPr>
                <w:b/>
                <w:bCs/>
                <w:color w:val="000000"/>
                <w:sz w:val="22"/>
              </w:rPr>
            </w:r>
            <w:r>
              <w:rPr>
                <w:b/>
                <w:bCs/>
                <w:color w:val="000000"/>
                <w:sz w:val="22"/>
              </w:rPr>
              <w:fldChar w:fldCharType="separate"/>
            </w:r>
            <w:r w:rsidR="00867AA7" w:rsidRPr="00363F59">
              <w:t xml:space="preserve">Table S </w:t>
            </w:r>
            <w:r w:rsidR="00867AA7">
              <w:rPr>
                <w:noProof/>
              </w:rPr>
              <w:t>2</w:t>
            </w:r>
            <w:r w:rsidR="00867AA7">
              <w:t>.</w:t>
            </w:r>
            <w:r w:rsidR="00867AA7">
              <w:rPr>
                <w:noProof/>
              </w:rPr>
              <w:t>3</w:t>
            </w:r>
            <w:r>
              <w:rPr>
                <w:b/>
                <w:bCs/>
                <w:color w:val="000000"/>
                <w:sz w:val="22"/>
              </w:rPr>
              <w:fldChar w:fldCharType="end"/>
            </w:r>
            <w:r w:rsidR="002F319F">
              <w:rPr>
                <w:b/>
                <w:bCs/>
                <w:color w:val="000000"/>
                <w:sz w:val="22"/>
              </w:rPr>
              <w:t xml:space="preserve"> </w:t>
            </w:r>
            <w:r w:rsidR="002F319F" w:rsidRPr="002F319F">
              <w:rPr>
                <w:bCs/>
                <w:color w:val="000000"/>
                <w:sz w:val="22"/>
              </w:rPr>
              <w:t>Continued</w:t>
            </w:r>
          </w:p>
        </w:tc>
      </w:tr>
      <w:tr w:rsidR="00B01B06" w:rsidRPr="004605B3" w:rsidTr="00F06840">
        <w:trPr>
          <w:trHeight w:val="315"/>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Metric</w:t>
            </w: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SS Error</w:t>
            </w:r>
          </w:p>
        </w:tc>
        <w:tc>
          <w:tcPr>
            <w:tcW w:w="1350" w:type="dxa"/>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p-value</w:t>
            </w: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 xml:space="preserve">forest </w:t>
            </w:r>
            <w:proofErr w:type="spellStart"/>
            <w:r w:rsidRPr="004605B3">
              <w:rPr>
                <w:color w:val="000000"/>
                <w:sz w:val="22"/>
              </w:rPr>
              <w:t>frag</w:t>
            </w:r>
            <w:proofErr w:type="spellEnd"/>
            <w:r w:rsidRPr="004605B3">
              <w:rPr>
                <w:color w:val="000000"/>
                <w:sz w:val="22"/>
              </w:rPr>
              <w:t xml:space="preserve"> 2</w:t>
            </w: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0.01</w:t>
            </w:r>
          </w:p>
        </w:tc>
        <w:tc>
          <w:tcPr>
            <w:tcW w:w="135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3.12E-08</w:t>
            </w: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15"/>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p1</w:t>
            </w:r>
          </w:p>
        </w:tc>
        <w:tc>
          <w:tcPr>
            <w:tcW w:w="1530" w:type="dxa"/>
            <w:tcBorders>
              <w:top w:val="single" w:sz="4" w:space="0" w:color="auto"/>
              <w:left w:val="single" w:sz="4" w:space="0" w:color="auto"/>
              <w:bottom w:val="single" w:sz="4" w:space="0" w:color="auto"/>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mean</w:t>
            </w:r>
          </w:p>
        </w:tc>
        <w:tc>
          <w:tcPr>
            <w:tcW w:w="135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2.5% CL†</w:t>
            </w:r>
          </w:p>
        </w:tc>
        <w:tc>
          <w:tcPr>
            <w:tcW w:w="1350" w:type="dxa"/>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97.5% CL†</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Group</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p2</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-0.81</w:t>
            </w:r>
          </w:p>
        </w:tc>
        <w:tc>
          <w:tcPr>
            <w:tcW w:w="135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-0.82</w:t>
            </w:r>
          </w:p>
        </w:tc>
        <w:tc>
          <w:tcPr>
            <w:tcW w:w="1350" w:type="dxa"/>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-0.81</w:t>
            </w:r>
          </w:p>
        </w:tc>
        <w:tc>
          <w:tcPr>
            <w:tcW w:w="990" w:type="dxa"/>
            <w:gridSpan w:val="2"/>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a</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p3</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-0.82</w:t>
            </w: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-0.82</w:t>
            </w:r>
          </w:p>
        </w:tc>
        <w:tc>
          <w:tcPr>
            <w:tcW w:w="135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-0.81</w:t>
            </w:r>
          </w:p>
        </w:tc>
        <w:tc>
          <w:tcPr>
            <w:tcW w:w="990" w:type="dxa"/>
            <w:gridSpan w:val="2"/>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a</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p4</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-0.81</w:t>
            </w: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-0.82</w:t>
            </w:r>
          </w:p>
        </w:tc>
        <w:tc>
          <w:tcPr>
            <w:tcW w:w="135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-0.81</w:t>
            </w:r>
          </w:p>
        </w:tc>
        <w:tc>
          <w:tcPr>
            <w:tcW w:w="990" w:type="dxa"/>
            <w:gridSpan w:val="2"/>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a</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single" w:sz="4" w:space="0" w:color="auto"/>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-0.84</w:t>
            </w:r>
          </w:p>
        </w:tc>
        <w:tc>
          <w:tcPr>
            <w:tcW w:w="1350" w:type="dxa"/>
            <w:gridSpan w:val="2"/>
            <w:tcBorders>
              <w:top w:val="nil"/>
              <w:left w:val="nil"/>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-0.85</w:t>
            </w:r>
          </w:p>
        </w:tc>
        <w:tc>
          <w:tcPr>
            <w:tcW w:w="1350" w:type="dxa"/>
            <w:tcBorders>
              <w:top w:val="nil"/>
              <w:left w:val="nil"/>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-0.83</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b</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350" w:type="dxa"/>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r>
      <w:tr w:rsidR="00B01B06" w:rsidRPr="004605B3" w:rsidTr="00F06840">
        <w:trPr>
          <w:trHeight w:val="315"/>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Metric</w:t>
            </w: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SS Error</w:t>
            </w:r>
          </w:p>
        </w:tc>
        <w:tc>
          <w:tcPr>
            <w:tcW w:w="1350" w:type="dxa"/>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p-value</w:t>
            </w: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 xml:space="preserve">rare </w:t>
            </w:r>
            <w:proofErr w:type="spellStart"/>
            <w:r w:rsidRPr="004605B3">
              <w:rPr>
                <w:color w:val="000000"/>
                <w:sz w:val="22"/>
              </w:rPr>
              <w:t>spp</w:t>
            </w:r>
            <w:proofErr w:type="spellEnd"/>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11.11</w:t>
            </w:r>
          </w:p>
        </w:tc>
        <w:tc>
          <w:tcPr>
            <w:tcW w:w="135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3.02E-01</w:t>
            </w:r>
          </w:p>
        </w:tc>
        <w:tc>
          <w:tcPr>
            <w:tcW w:w="99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15"/>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single" w:sz="4" w:space="0" w:color="auto"/>
              <w:left w:val="single" w:sz="4" w:space="0" w:color="auto"/>
              <w:bottom w:val="single" w:sz="4" w:space="0" w:color="auto"/>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mean</w:t>
            </w:r>
          </w:p>
        </w:tc>
        <w:tc>
          <w:tcPr>
            <w:tcW w:w="135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2.5% CL†</w:t>
            </w:r>
          </w:p>
        </w:tc>
        <w:tc>
          <w:tcPr>
            <w:tcW w:w="1350" w:type="dxa"/>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97.5% CL†</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Group</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p1</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3.55</w:t>
            </w:r>
          </w:p>
        </w:tc>
        <w:tc>
          <w:tcPr>
            <w:tcW w:w="3690" w:type="dxa"/>
            <w:gridSpan w:val="5"/>
            <w:vMerge w:val="restart"/>
            <w:tcBorders>
              <w:top w:val="single" w:sz="4" w:space="0" w:color="auto"/>
              <w:left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 xml:space="preserve">model </w:t>
            </w:r>
            <w:r>
              <w:rPr>
                <w:color w:val="000000"/>
                <w:sz w:val="22"/>
              </w:rPr>
              <w:t>p-value is &gt;0.05, so</w:t>
            </w:r>
            <w:r w:rsidRPr="004605B3">
              <w:rPr>
                <w:color w:val="000000"/>
                <w:sz w:val="22"/>
              </w:rPr>
              <w:t xml:space="preserve"> no Tukey HSD test performed</w:t>
            </w:r>
          </w:p>
          <w:p w:rsidR="00B01B06" w:rsidRPr="004605B3" w:rsidRDefault="00B01B06" w:rsidP="00F06840">
            <w:pPr>
              <w:jc w:val="center"/>
              <w:rPr>
                <w:color w:val="000000"/>
                <w:sz w:val="22"/>
              </w:rPr>
            </w:pPr>
          </w:p>
          <w:p w:rsidR="00B01B06" w:rsidRPr="004605B3" w:rsidRDefault="00B01B06" w:rsidP="00F06840">
            <w:pPr>
              <w:jc w:val="center"/>
              <w:rPr>
                <w:color w:val="000000"/>
                <w:sz w:val="22"/>
              </w:rPr>
            </w:pP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p2</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3.75</w:t>
            </w:r>
          </w:p>
        </w:tc>
        <w:tc>
          <w:tcPr>
            <w:tcW w:w="3690" w:type="dxa"/>
            <w:gridSpan w:val="5"/>
            <w:vMerge/>
            <w:tcBorders>
              <w:left w:val="nil"/>
              <w:right w:val="single" w:sz="4" w:space="0" w:color="auto"/>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p3</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3.80</w:t>
            </w:r>
          </w:p>
        </w:tc>
        <w:tc>
          <w:tcPr>
            <w:tcW w:w="3690" w:type="dxa"/>
            <w:gridSpan w:val="5"/>
            <w:vMerge/>
            <w:tcBorders>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p4</w:t>
            </w:r>
          </w:p>
        </w:tc>
        <w:tc>
          <w:tcPr>
            <w:tcW w:w="1530" w:type="dxa"/>
            <w:tcBorders>
              <w:top w:val="nil"/>
              <w:left w:val="single" w:sz="4" w:space="0" w:color="auto"/>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3.75</w:t>
            </w:r>
          </w:p>
        </w:tc>
        <w:tc>
          <w:tcPr>
            <w:tcW w:w="1350" w:type="dxa"/>
            <w:gridSpan w:val="2"/>
            <w:tcBorders>
              <w:top w:val="nil"/>
              <w:left w:val="nil"/>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p>
        </w:tc>
        <w:tc>
          <w:tcPr>
            <w:tcW w:w="1440" w:type="dxa"/>
            <w:gridSpan w:val="2"/>
            <w:tcBorders>
              <w:top w:val="nil"/>
              <w:left w:val="nil"/>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p>
        </w:tc>
        <w:tc>
          <w:tcPr>
            <w:tcW w:w="900" w:type="dxa"/>
            <w:tcBorders>
              <w:top w:val="nil"/>
              <w:left w:val="nil"/>
              <w:bottom w:val="single" w:sz="4" w:space="0" w:color="auto"/>
              <w:right w:val="single" w:sz="4" w:space="0" w:color="auto"/>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900" w:type="dxa"/>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r>
      <w:tr w:rsidR="00B01B06" w:rsidRPr="004605B3" w:rsidTr="00F06840">
        <w:trPr>
          <w:trHeight w:val="315"/>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Metric</w:t>
            </w: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SS Error</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p-value</w:t>
            </w:r>
          </w:p>
        </w:tc>
        <w:tc>
          <w:tcPr>
            <w:tcW w:w="90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water 1</w:t>
            </w: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8.95</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3.51E-16</w:t>
            </w:r>
          </w:p>
        </w:tc>
        <w:tc>
          <w:tcPr>
            <w:tcW w:w="90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15"/>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single" w:sz="4" w:space="0" w:color="auto"/>
              <w:left w:val="single" w:sz="4" w:space="0" w:color="auto"/>
              <w:bottom w:val="single" w:sz="4" w:space="0" w:color="auto"/>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mean</w:t>
            </w:r>
          </w:p>
        </w:tc>
        <w:tc>
          <w:tcPr>
            <w:tcW w:w="135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2.5% CL†</w:t>
            </w:r>
          </w:p>
        </w:tc>
        <w:tc>
          <w:tcPr>
            <w:tcW w:w="144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97.5% CL†</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Group</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p1</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0.24</w:t>
            </w:r>
          </w:p>
        </w:tc>
        <w:tc>
          <w:tcPr>
            <w:tcW w:w="135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0.07</w:t>
            </w:r>
          </w:p>
        </w:tc>
        <w:tc>
          <w:tcPr>
            <w:tcW w:w="144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0.40</w:t>
            </w:r>
          </w:p>
        </w:tc>
        <w:tc>
          <w:tcPr>
            <w:tcW w:w="900" w:type="dxa"/>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b</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p2</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1.45</w:t>
            </w: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1.29</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1.62</w:t>
            </w:r>
          </w:p>
        </w:tc>
        <w:tc>
          <w:tcPr>
            <w:tcW w:w="900" w:type="dxa"/>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a</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p3</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1.64</w:t>
            </w: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1.47</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1.81</w:t>
            </w:r>
          </w:p>
        </w:tc>
        <w:tc>
          <w:tcPr>
            <w:tcW w:w="900" w:type="dxa"/>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a</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p4</w:t>
            </w:r>
          </w:p>
        </w:tc>
        <w:tc>
          <w:tcPr>
            <w:tcW w:w="1530" w:type="dxa"/>
            <w:tcBorders>
              <w:top w:val="nil"/>
              <w:left w:val="single" w:sz="4" w:space="0" w:color="auto"/>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1.34</w:t>
            </w:r>
          </w:p>
        </w:tc>
        <w:tc>
          <w:tcPr>
            <w:tcW w:w="1350" w:type="dxa"/>
            <w:gridSpan w:val="2"/>
            <w:tcBorders>
              <w:top w:val="nil"/>
              <w:left w:val="nil"/>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1.18</w:t>
            </w:r>
          </w:p>
        </w:tc>
        <w:tc>
          <w:tcPr>
            <w:tcW w:w="1440" w:type="dxa"/>
            <w:gridSpan w:val="2"/>
            <w:tcBorders>
              <w:top w:val="nil"/>
              <w:left w:val="nil"/>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1.51</w:t>
            </w:r>
          </w:p>
        </w:tc>
        <w:tc>
          <w:tcPr>
            <w:tcW w:w="900" w:type="dxa"/>
            <w:tcBorders>
              <w:top w:val="nil"/>
              <w:left w:val="nil"/>
              <w:bottom w:val="single" w:sz="4" w:space="0" w:color="auto"/>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a</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900" w:type="dxa"/>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r>
      <w:tr w:rsidR="00B01B06" w:rsidRPr="004605B3" w:rsidTr="00F06840">
        <w:trPr>
          <w:trHeight w:val="315"/>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Metric</w:t>
            </w: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SS Error</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p-value</w:t>
            </w:r>
          </w:p>
        </w:tc>
        <w:tc>
          <w:tcPr>
            <w:tcW w:w="90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water 2</w:t>
            </w: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1.66</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3.40E-14</w:t>
            </w:r>
          </w:p>
        </w:tc>
        <w:tc>
          <w:tcPr>
            <w:tcW w:w="900" w:type="dxa"/>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p>
        </w:tc>
      </w:tr>
      <w:tr w:rsidR="00B01B06" w:rsidRPr="004605B3" w:rsidTr="00F06840">
        <w:trPr>
          <w:trHeight w:val="315"/>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p>
        </w:tc>
        <w:tc>
          <w:tcPr>
            <w:tcW w:w="1530" w:type="dxa"/>
            <w:tcBorders>
              <w:top w:val="single" w:sz="4" w:space="0" w:color="auto"/>
              <w:left w:val="single" w:sz="4" w:space="0" w:color="auto"/>
              <w:bottom w:val="single" w:sz="4" w:space="0" w:color="auto"/>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mean</w:t>
            </w:r>
          </w:p>
        </w:tc>
        <w:tc>
          <w:tcPr>
            <w:tcW w:w="135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2.5% CL†</w:t>
            </w:r>
          </w:p>
        </w:tc>
        <w:tc>
          <w:tcPr>
            <w:tcW w:w="144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97.5% CL†</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B01B06" w:rsidRPr="004605B3" w:rsidRDefault="00B01B06" w:rsidP="00F06840">
            <w:pPr>
              <w:jc w:val="center"/>
              <w:rPr>
                <w:b/>
                <w:bCs/>
                <w:color w:val="000000"/>
                <w:sz w:val="22"/>
              </w:rPr>
            </w:pPr>
            <w:r w:rsidRPr="004605B3">
              <w:rPr>
                <w:b/>
                <w:bCs/>
                <w:color w:val="000000"/>
                <w:sz w:val="22"/>
              </w:rPr>
              <w:t>Group</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p1</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-0.23</w:t>
            </w:r>
          </w:p>
        </w:tc>
        <w:tc>
          <w:tcPr>
            <w:tcW w:w="135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-0.30</w:t>
            </w:r>
          </w:p>
        </w:tc>
        <w:tc>
          <w:tcPr>
            <w:tcW w:w="1440" w:type="dxa"/>
            <w:gridSpan w:val="2"/>
            <w:tcBorders>
              <w:top w:val="single" w:sz="4" w:space="0" w:color="auto"/>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-0.16</w:t>
            </w:r>
          </w:p>
        </w:tc>
        <w:tc>
          <w:tcPr>
            <w:tcW w:w="900" w:type="dxa"/>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b</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p2</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0.12</w:t>
            </w: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0.05</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0.19</w:t>
            </w:r>
          </w:p>
        </w:tc>
        <w:tc>
          <w:tcPr>
            <w:tcW w:w="900" w:type="dxa"/>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a</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p3</w:t>
            </w:r>
          </w:p>
        </w:tc>
        <w:tc>
          <w:tcPr>
            <w:tcW w:w="1530" w:type="dxa"/>
            <w:tcBorders>
              <w:top w:val="nil"/>
              <w:left w:val="single" w:sz="4" w:space="0" w:color="auto"/>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0.21</w:t>
            </w:r>
          </w:p>
        </w:tc>
        <w:tc>
          <w:tcPr>
            <w:tcW w:w="135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0.14</w:t>
            </w:r>
          </w:p>
        </w:tc>
        <w:tc>
          <w:tcPr>
            <w:tcW w:w="1440"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0.29</w:t>
            </w:r>
          </w:p>
        </w:tc>
        <w:tc>
          <w:tcPr>
            <w:tcW w:w="900" w:type="dxa"/>
            <w:tcBorders>
              <w:top w:val="nil"/>
              <w:left w:val="nil"/>
              <w:bottom w:val="nil"/>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a</w:t>
            </w:r>
          </w:p>
        </w:tc>
      </w:tr>
      <w:tr w:rsidR="00B01B06" w:rsidRPr="004605B3" w:rsidTr="00F06840">
        <w:trPr>
          <w:trHeight w:val="300"/>
          <w:jc w:val="center"/>
        </w:trPr>
        <w:tc>
          <w:tcPr>
            <w:tcW w:w="555" w:type="dxa"/>
            <w:gridSpan w:val="2"/>
            <w:tcBorders>
              <w:top w:val="nil"/>
              <w:left w:val="nil"/>
              <w:bottom w:val="nil"/>
              <w:right w:val="nil"/>
            </w:tcBorders>
            <w:shd w:val="clear" w:color="auto" w:fill="auto"/>
            <w:noWrap/>
            <w:vAlign w:val="bottom"/>
            <w:hideMark/>
          </w:tcPr>
          <w:p w:rsidR="00B01B06" w:rsidRPr="004605B3" w:rsidRDefault="00B01B06" w:rsidP="00F06840">
            <w:pPr>
              <w:jc w:val="center"/>
              <w:rPr>
                <w:rFonts w:ascii="Times" w:hAnsi="Times" w:cs="Times"/>
                <w:color w:val="000000"/>
              </w:rPr>
            </w:pPr>
            <w:r w:rsidRPr="004605B3">
              <w:rPr>
                <w:rFonts w:ascii="Times" w:hAnsi="Times" w:cs="Times"/>
                <w:color w:val="000000"/>
              </w:rPr>
              <w:t>p4</w:t>
            </w:r>
          </w:p>
        </w:tc>
        <w:tc>
          <w:tcPr>
            <w:tcW w:w="1530" w:type="dxa"/>
            <w:tcBorders>
              <w:top w:val="nil"/>
              <w:left w:val="single" w:sz="4" w:space="0" w:color="auto"/>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0.33</w:t>
            </w:r>
          </w:p>
        </w:tc>
        <w:tc>
          <w:tcPr>
            <w:tcW w:w="1350" w:type="dxa"/>
            <w:gridSpan w:val="2"/>
            <w:tcBorders>
              <w:top w:val="nil"/>
              <w:left w:val="nil"/>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0.26</w:t>
            </w:r>
          </w:p>
        </w:tc>
        <w:tc>
          <w:tcPr>
            <w:tcW w:w="1440" w:type="dxa"/>
            <w:gridSpan w:val="2"/>
            <w:tcBorders>
              <w:top w:val="nil"/>
              <w:left w:val="nil"/>
              <w:bottom w:val="single" w:sz="4" w:space="0" w:color="auto"/>
              <w:right w:val="nil"/>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0.40</w:t>
            </w:r>
          </w:p>
        </w:tc>
        <w:tc>
          <w:tcPr>
            <w:tcW w:w="900" w:type="dxa"/>
            <w:tcBorders>
              <w:top w:val="nil"/>
              <w:left w:val="nil"/>
              <w:bottom w:val="single" w:sz="4" w:space="0" w:color="auto"/>
              <w:right w:val="single" w:sz="4" w:space="0" w:color="auto"/>
            </w:tcBorders>
            <w:shd w:val="clear" w:color="auto" w:fill="auto"/>
            <w:noWrap/>
            <w:vAlign w:val="bottom"/>
            <w:hideMark/>
          </w:tcPr>
          <w:p w:rsidR="00B01B06" w:rsidRPr="004605B3" w:rsidRDefault="00B01B06" w:rsidP="00F06840">
            <w:pPr>
              <w:jc w:val="center"/>
              <w:rPr>
                <w:color w:val="000000"/>
                <w:sz w:val="22"/>
              </w:rPr>
            </w:pPr>
            <w:r w:rsidRPr="004605B3">
              <w:rPr>
                <w:color w:val="000000"/>
                <w:sz w:val="22"/>
              </w:rPr>
              <w:t>a</w:t>
            </w:r>
          </w:p>
        </w:tc>
      </w:tr>
    </w:tbl>
    <w:p w:rsidR="00FE6ACE" w:rsidRDefault="00FE6ACE" w:rsidP="00FE6ACE">
      <w:pPr>
        <w:pStyle w:val="Caption"/>
      </w:pPr>
      <w:bookmarkStart w:id="120" w:name="_Toc417647077"/>
      <w:r w:rsidRPr="004605B3">
        <w:t xml:space="preserve">† These confidence limits are derived from the Tukey HSD test. They represent half the confidence interval based on the standardized error of the repeated measures ANOVA and the critical value from the studentized range distribution, which depends on the critical p value (0.05), the number of degrees of freedom in the model error (57), and the number of practices being compared (4). The Tukey HSD test could produce different confidence ranges for each pair of practices being compared, but all confidence ranges </w:t>
      </w:r>
      <w:r w:rsidRPr="004605B3">
        <w:lastRenderedPageBreak/>
        <w:t>are the same in this case because we have equal sample sizes (n=20) across all practices.</w:t>
      </w:r>
      <w:r>
        <w:t xml:space="preserve"> </w:t>
      </w:r>
      <w:proofErr w:type="gramStart"/>
      <w:r>
        <w:t>The relationship between the model mean squared error (SS Error / 57 [deg. freedom]) and the confidence intervals when comparing two practices is.</w:t>
      </w:r>
      <w:bookmarkEnd w:id="120"/>
      <w:proofErr w:type="gramEnd"/>
    </w:p>
    <w:p w:rsidR="000D6462" w:rsidRPr="000D6462" w:rsidRDefault="00F01773" w:rsidP="000D6462">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j</m:t>
              </m:r>
            </m:sub>
          </m:sSub>
          <m:r>
            <w:rPr>
              <w:rFonts w:ascii="Cambria Math" w:hAnsi="Cambria Math"/>
            </w:rPr>
            <m:t>±q</m:t>
          </m:r>
          <m:d>
            <m:dPr>
              <m:ctrlPr>
                <w:rPr>
                  <w:rFonts w:ascii="Cambria Math" w:hAnsi="Cambria Math"/>
                  <w:i/>
                </w:rPr>
              </m:ctrlPr>
            </m:dPr>
            <m:e>
              <m:r>
                <w:rPr>
                  <w:rFonts w:ascii="Cambria Math" w:hAnsi="Cambria Math"/>
                </w:rPr>
                <m:t>α,r,d</m:t>
              </m:r>
              <m:sSub>
                <m:sSubPr>
                  <m:ctrlPr>
                    <w:rPr>
                      <w:rFonts w:ascii="Cambria Math" w:hAnsi="Cambria Math"/>
                      <w:i/>
                    </w:rPr>
                  </m:ctrlPr>
                </m:sSubPr>
                <m:e>
                  <m:r>
                    <w:rPr>
                      <w:rFonts w:ascii="Cambria Math" w:hAnsi="Cambria Math"/>
                    </w:rPr>
                    <m:t>f</m:t>
                  </m:r>
                </m:e>
                <m:sub>
                  <m:r>
                    <w:rPr>
                      <w:rFonts w:ascii="Cambria Math" w:hAnsi="Cambria Math"/>
                    </w:rPr>
                    <m:t>w</m:t>
                  </m:r>
                </m:sub>
              </m:sSub>
            </m:e>
          </m:d>
          <m:rad>
            <m:radPr>
              <m:degHide m:val="on"/>
              <m:ctrlPr>
                <w:rPr>
                  <w:rFonts w:ascii="Cambria Math" w:hAnsi="Cambria Math"/>
                  <w:i/>
                </w:rPr>
              </m:ctrlPr>
            </m:radPr>
            <m:deg/>
            <m:e>
              <m:f>
                <m:fPr>
                  <m:ctrlPr>
                    <w:rPr>
                      <w:rFonts w:ascii="Cambria Math" w:hAnsi="Cambria Math"/>
                      <w:i/>
                    </w:rPr>
                  </m:ctrlPr>
                </m:fPr>
                <m:num>
                  <m:r>
                    <w:rPr>
                      <w:rFonts w:ascii="Cambria Math" w:hAnsi="Cambria Math"/>
                    </w:rPr>
                    <m:t>M</m:t>
                  </m:r>
                  <m:sSub>
                    <m:sSubPr>
                      <m:ctrlPr>
                        <w:rPr>
                          <w:rFonts w:ascii="Cambria Math" w:hAnsi="Cambria Math"/>
                          <w:i/>
                        </w:rPr>
                      </m:ctrlPr>
                    </m:sSubPr>
                    <m:e>
                      <m:r>
                        <w:rPr>
                          <w:rFonts w:ascii="Cambria Math" w:hAnsi="Cambria Math"/>
                        </w:rPr>
                        <m:t>S</m:t>
                      </m:r>
                    </m:e>
                    <m:sub>
                      <m:r>
                        <w:rPr>
                          <w:rFonts w:ascii="Cambria Math" w:hAnsi="Cambria Math"/>
                        </w:rPr>
                        <m:t>w</m:t>
                      </m:r>
                    </m:sub>
                  </m:sSub>
                </m:num>
                <m:den>
                  <m:r>
                    <w:rPr>
                      <w:rFonts w:ascii="Cambria Math" w:hAnsi="Cambria Math"/>
                    </w:rPr>
                    <m:t>2</m:t>
                  </m:r>
                </m:den>
              </m:f>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n</m:t>
                          </m:r>
                        </m:e>
                        <m:sub>
                          <m:r>
                            <w:rPr>
                              <w:rFonts w:ascii="Cambria Math" w:hAnsi="Cambria Math"/>
                            </w:rPr>
                            <m:t>i</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n</m:t>
                          </m:r>
                        </m:e>
                        <m:sub>
                          <m:r>
                            <w:rPr>
                              <w:rFonts w:ascii="Cambria Math" w:hAnsi="Cambria Math"/>
                            </w:rPr>
                            <m:t>j</m:t>
                          </m:r>
                        </m:sub>
                      </m:sSub>
                    </m:den>
                  </m:f>
                </m:e>
              </m:d>
            </m:e>
          </m:rad>
        </m:oMath>
      </m:oMathPara>
    </w:p>
    <w:p w:rsidR="00B24457" w:rsidRDefault="00FE6ACE" w:rsidP="006D0CA9">
      <w:pPr>
        <w:pStyle w:val="Caption"/>
      </w:pPr>
      <w:r>
        <w:t xml:space="preserve"> </w:t>
      </w:r>
      <w:bookmarkStart w:id="121" w:name="_Toc417647078"/>
      <w:proofErr w:type="gramStart"/>
      <w:r>
        <w:t>where</w:t>
      </w:r>
      <w:proofErr w:type="gramEnd"/>
      <w:r>
        <w:t xml:space="preserv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i</m:t>
                </m:r>
              </m:sub>
            </m:sSub>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r>
          <w:rPr>
            <w:rFonts w:ascii="Cambria Math" w:hAnsi="Cambria Math"/>
          </w:rPr>
          <m:t xml:space="preserve"> </m:t>
        </m:r>
      </m:oMath>
      <w:r>
        <w:rPr>
          <w:rFonts w:eastAsiaTheme="minorEastAsia"/>
        </w:rPr>
        <w:t xml:space="preserve">are the means of impact values for practices </w:t>
      </w:r>
      <m:oMath>
        <m:r>
          <w:rPr>
            <w:rFonts w:ascii="Cambria Math" w:eastAsiaTheme="minorEastAsia" w:hAnsi="Cambria Math"/>
          </w:rPr>
          <m:t>i</m:t>
        </m:r>
      </m:oMath>
      <w:r>
        <w:rPr>
          <w:rFonts w:eastAsiaTheme="minorEastAsia"/>
        </w:rPr>
        <w:t xml:space="preserve"> and </w:t>
      </w:r>
      <m:oMath>
        <m:r>
          <w:rPr>
            <w:rFonts w:ascii="Cambria Math" w:eastAsiaTheme="minorEastAsia" w:hAnsi="Cambria Math"/>
          </w:rPr>
          <m:t>j</m:t>
        </m:r>
      </m:oMath>
      <w:r>
        <w:rPr>
          <w:rFonts w:eastAsiaTheme="minorEastAsia"/>
        </w:rPr>
        <w:t xml:space="preserve">, q is the critical value from the studentized range distribution, </w:t>
      </w:r>
      <m:oMath>
        <m:r>
          <w:rPr>
            <w:rFonts w:ascii="Cambria Math" w:eastAsiaTheme="minorEastAsia" w:hAnsi="Cambria Math"/>
          </w:rPr>
          <m:t>M</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w</m:t>
            </m:r>
          </m:sub>
        </m:sSub>
      </m:oMath>
      <w:r>
        <w:rPr>
          <w:rFonts w:eastAsiaTheme="minorEastAsia"/>
        </w:rPr>
        <w:t xml:space="preserve"> is the mean squared error of the within-groups mean squared error,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j</m:t>
            </m:r>
          </m:sub>
        </m:sSub>
      </m:oMath>
      <w:r>
        <w:rPr>
          <w:rFonts w:eastAsiaTheme="minorEastAsia"/>
        </w:rPr>
        <w:t xml:space="preserve"> are the number of data points from practices </w:t>
      </w:r>
      <m:oMath>
        <m:r>
          <w:rPr>
            <w:rFonts w:ascii="Cambria Math" w:eastAsiaTheme="minorEastAsia" w:hAnsi="Cambria Math"/>
          </w:rPr>
          <m:t>i, j</m:t>
        </m:r>
      </m:oMath>
      <w:r>
        <w:rPr>
          <w:rFonts w:eastAsiaTheme="minorEastAsia"/>
        </w:rPr>
        <w:t>.</w:t>
      </w:r>
      <w:bookmarkEnd w:id="121"/>
      <w:r w:rsidR="00B24457">
        <w:br w:type="page"/>
      </w:r>
    </w:p>
    <w:p w:rsidR="00A22A3B" w:rsidRDefault="00A22A3B" w:rsidP="00A22A3B">
      <w:pPr>
        <w:pStyle w:val="Heading1"/>
      </w:pPr>
      <w:bookmarkStart w:id="122" w:name="_Toc417646782"/>
      <w:bookmarkStart w:id="123" w:name="_Toc417815117"/>
      <w:bookmarkStart w:id="124" w:name="_Toc421352875"/>
      <w:bookmarkEnd w:id="122"/>
      <w:r>
        <w:lastRenderedPageBreak/>
        <w:t>The cost of avoiding environmental impacts from shale gas</w:t>
      </w:r>
      <w:r w:rsidR="00B67611">
        <w:t xml:space="preserve"> surface</w:t>
      </w:r>
      <w:r>
        <w:t xml:space="preserve"> infrastructure at the lease-hold level</w:t>
      </w:r>
      <w:bookmarkEnd w:id="123"/>
      <w:bookmarkEnd w:id="124"/>
    </w:p>
    <w:p w:rsidR="00A22A3B" w:rsidRDefault="00A22A3B">
      <w:pPr>
        <w:rPr>
          <w:b/>
          <w:sz w:val="28"/>
          <w:lang w:val="en-CA"/>
        </w:rPr>
      </w:pPr>
      <w:r>
        <w:br w:type="page"/>
      </w:r>
    </w:p>
    <w:p w:rsidR="00A22A3B" w:rsidRDefault="00031B59" w:rsidP="004C4466">
      <w:r>
        <w:lastRenderedPageBreak/>
        <w:t xml:space="preserve">A version of this article will be submitted </w:t>
      </w:r>
      <w:r w:rsidR="00E76E3D">
        <w:t>for peer reviewed publication.</w:t>
      </w:r>
    </w:p>
    <w:p w:rsidR="00031B59" w:rsidRDefault="00031B59" w:rsidP="00031B59">
      <w:pPr>
        <w:ind w:firstLine="720"/>
      </w:pPr>
      <w:proofErr w:type="gramStart"/>
      <w:r>
        <w:t>Austin W. Milt, Tamara D. Gagnolet, and Paul R. Armsworth.</w:t>
      </w:r>
      <w:proofErr w:type="gramEnd"/>
      <w:r>
        <w:t xml:space="preserve"> </w:t>
      </w:r>
      <w:proofErr w:type="gramStart"/>
      <w:r>
        <w:t xml:space="preserve">“The cost of avoiding environmental impacts from shale gas </w:t>
      </w:r>
      <w:r w:rsidR="004474C5">
        <w:t xml:space="preserve">surface </w:t>
      </w:r>
      <w:r>
        <w:t>infrastructure at the lease-hold level.”</w:t>
      </w:r>
      <w:proofErr w:type="gramEnd"/>
    </w:p>
    <w:p w:rsidR="004C4466" w:rsidRDefault="004C4466" w:rsidP="004C4466"/>
    <w:p w:rsidR="004C4466" w:rsidRPr="00695AB5" w:rsidRDefault="004C4466" w:rsidP="004C4466">
      <w:r w:rsidRPr="00695AB5">
        <w:t xml:space="preserve">Austin Milt performed the secondary data collection, data processing, analysis, interpretation, and writing for this article. </w:t>
      </w:r>
      <w:r>
        <w:t>Tamara Gagnolet assisted in data collection, and both co-authors contrib</w:t>
      </w:r>
      <w:r w:rsidRPr="00695AB5">
        <w:t xml:space="preserve">uted intellectually to the design, interpretation, and revision of the article. </w:t>
      </w:r>
    </w:p>
    <w:p w:rsidR="004C4466" w:rsidRDefault="00E65936" w:rsidP="00E65936">
      <w:pPr>
        <w:pStyle w:val="Heading2"/>
      </w:pPr>
      <w:bookmarkStart w:id="125" w:name="_Toc417646783"/>
      <w:bookmarkStart w:id="126" w:name="_Toc421352876"/>
      <w:r>
        <w:t>Abstract</w:t>
      </w:r>
      <w:bookmarkEnd w:id="125"/>
      <w:bookmarkEnd w:id="126"/>
    </w:p>
    <w:p w:rsidR="00E65936" w:rsidRDefault="00E65936" w:rsidP="00E65936">
      <w:r>
        <w:t>Shale energy development is receiving increasing attention due to its potential to supply short term domestic fossil energy and due to concerns about its environmental impacts. All energy development harms the environment, but surface impacts from shale energy development might be minimized through careful spatial planning of infrastructure at the lease-hold level. Doing so would come at some financial cost. Here we estimate the</w:t>
      </w:r>
      <w:r w:rsidR="004474C5">
        <w:t xml:space="preserve"> relative</w:t>
      </w:r>
      <w:r>
        <w:t xml:space="preserve"> financial cost of reducing impacts on forests, wetlands, rare species, and flowing freshwater from shale energy development within lease-hold</w:t>
      </w:r>
      <w:r w:rsidR="00FB4FB5">
        <w:t xml:space="preserve"> </w:t>
      </w:r>
      <w:r>
        <w:t xml:space="preserve">scale sites. </w:t>
      </w:r>
      <w:r w:rsidR="00804D87">
        <w:t xml:space="preserve">At a median site, up to 40% of impacts could be avoided before further avoidance became cost prohibitive. </w:t>
      </w:r>
      <w:r w:rsidR="00546147">
        <w:t xml:space="preserve">However, this aggregation conceals considerable variation among sites. </w:t>
      </w:r>
      <w:r>
        <w:t>Low-cost reductions in impacts are possible in many areas and not others</w:t>
      </w:r>
      <w:r w:rsidR="00546147">
        <w:t>, such that increasingly ambitious commitments to avoiding potential impacts could drive many sites out of production</w:t>
      </w:r>
      <w:r>
        <w:t xml:space="preserve">. </w:t>
      </w:r>
      <w:r w:rsidR="000D641F">
        <w:t xml:space="preserve">Feasible regulations may be able to target one or two impacts that dominate aggregate impacts, though this depends on the choice of metrics and expected impacts in a region. </w:t>
      </w:r>
      <w:r>
        <w:t xml:space="preserve">Our results indicate that regulations seeking to reduce impacts from future development may be possible for moderate reductions in impacts and doing so may be relatively inexpensive, though not extremely so. </w:t>
      </w:r>
      <w:r w:rsidR="00546147">
        <w:t xml:space="preserve">Cost effective regulations will need to account for heterogeneity in the ability </w:t>
      </w:r>
      <w:r w:rsidR="002B708B">
        <w:t xml:space="preserve">of </w:t>
      </w:r>
      <w:r w:rsidR="00546147">
        <w:t xml:space="preserve">and relative cost </w:t>
      </w:r>
      <w:r w:rsidR="002B708B">
        <w:t>at</w:t>
      </w:r>
      <w:r w:rsidR="00546147">
        <w:t xml:space="preserve"> sites to avoid impacts. </w:t>
      </w:r>
      <w:r>
        <w:t xml:space="preserve"> Our analysis is unique in its combination of scale, comprehensiveness in surface infrastructure planning, and explicit consideration of the tradeoffs between reducing impacts and increasing construction costs. As such, we are uniquely able to inform the implications of reducing environmental impacts from shale gas surface infrastructure and regulations that seek to do so.</w:t>
      </w:r>
    </w:p>
    <w:p w:rsidR="00F23D46" w:rsidRDefault="00F23D46" w:rsidP="00F23D46">
      <w:pPr>
        <w:pStyle w:val="Heading2"/>
      </w:pPr>
      <w:bookmarkStart w:id="127" w:name="_Toc417646784"/>
      <w:bookmarkStart w:id="128" w:name="_Toc421352877"/>
      <w:r>
        <w:t>Introduction</w:t>
      </w:r>
      <w:bookmarkEnd w:id="127"/>
      <w:bookmarkEnd w:id="128"/>
    </w:p>
    <w:p w:rsidR="00F23D46" w:rsidRDefault="00F23D46" w:rsidP="00F23D46">
      <w:r>
        <w:t xml:space="preserve">Shale gas production in the U.S. has grown markedly since the start of the boom around 2008  and as of 2012 made up a larger portion of </w:t>
      </w:r>
      <w:r>
        <w:lastRenderedPageBreak/>
        <w:t xml:space="preserve">overall gas production than any other source </w:t>
      </w:r>
      <w:r w:rsidR="00F01773">
        <w:fldChar w:fldCharType="begin" w:fldLock="1"/>
      </w:r>
      <w:r w:rsidR="00B32474">
        <w:instrText>ADDIN CSL_CITATION { "citationItems" : [ { "id" : "ITEM-1", "itemData" : { "id" : "ITEM-1", "issued" : { "date-parts" : [ [ "2014" ] ] }, "publisher-place" : "Washington, DC", "title" : "Annual Energy Outlook 2014", "type" : "report" }, "uris" : [ "http://www.mendeley.com/documents/?uuid=1e2a2d78-613d-43f4-ab66-d8f892b2a40c" ] } ], "mendeley" : { "formattedCitation" : "(&lt;i&gt;Annual Energy Outlook 2014&lt;/i&gt; 2014)", "plainTextFormattedCitation" : "(Annual Energy Outlook 2014 2014)", "previouslyFormattedCitation" : "(&lt;i&gt;Annual Energy Outlook 2014&lt;/i&gt; 2014)" }, "properties" : { "noteIndex" : 0 }, "schema" : "https://github.com/citation-style-language/schema/raw/master/csl-citation.json" }</w:instrText>
      </w:r>
      <w:r w:rsidR="00F01773">
        <w:fldChar w:fldCharType="separate"/>
      </w:r>
      <w:r w:rsidR="00B32474" w:rsidRPr="00B32474">
        <w:rPr>
          <w:noProof/>
        </w:rPr>
        <w:t>(</w:t>
      </w:r>
      <w:r w:rsidR="00B32474" w:rsidRPr="00B32474">
        <w:rPr>
          <w:i/>
          <w:noProof/>
        </w:rPr>
        <w:t>Annual Energy Outlook 2014</w:t>
      </w:r>
      <w:r w:rsidR="00B32474" w:rsidRPr="00B32474">
        <w:rPr>
          <w:noProof/>
        </w:rPr>
        <w:t xml:space="preserve"> 2014)</w:t>
      </w:r>
      <w:r w:rsidR="00F01773">
        <w:fldChar w:fldCharType="end"/>
      </w:r>
      <w:r>
        <w:t xml:space="preserve">. Countries other than the U.S., most notably the U.K. </w:t>
      </w:r>
      <w:r w:rsidR="00F01773">
        <w:fldChar w:fldCharType="begin" w:fldLock="1"/>
      </w:r>
      <w:r w:rsidR="00B32474">
        <w:instrText>ADDIN CSL_CITATION { "citationItems" : [ { "id" : "ITEM-1", "itemData" : { "DOI" : "10.1016/j.scitotenv.2015.01.004", "ISSN" : "1879-1026", "PMID" : "25613768", "abstract" : "The United States shale gas boom has precipitated global interest in the development of unconventional oil and gas resources. Recently, government ministers in the United Kingdom started granting licenses that will enable companies to begin initial exploration for shale gas. Meanwhile, concern is increasing among the scientific community about the potential impacts of shale gas and other types of unconventional natural gas development (UGD) on human health and the environment. Although significant data gaps remain, there has been a surge in the number of articles appearing in the scientific literature, nearly three-quarters of which has been published since the beginning of 2013. Important lessons can be drawn from the UGD experience in the United States. Here we explore these considerations and argue that shale gas development policies in the UK and elsewhere should be informed by empirical evidence generated on environmental, public health, and social risks. Additionally, policy decisions should take into account the measured effectiveness of harm reduction strategies as opposed to hypothetical scenarios and purported best practices that lack empirical support.", "author" : [ { "dropping-particle" : "", "family" : "Hays", "given" : "Jake", "non-dropping-particle" : "", "parse-names" : false, "suffix" : "" }, { "dropping-particle" : "", "family" : "Finkel", "given" : "Madelon L", "non-dropping-particle" : "", "parse-names" : false, "suffix" : "" }, { "dropping-particle" : "", "family" : "Depledge", "given" : "Michael", "non-dropping-particle" : "", "parse-names" : false, "suffix" : "" }, { "dropping-particle" : "", "family" : "Law", "given" : "Adam", "non-dropping-particle" : "", "parse-names" : false, "suffix" : "" }, { "dropping-particle" : "", "family" : "Shonkoff", "given" : "Seth B C", "non-dropping-particle" : "", "parse-names" : false, "suffix" : "" } ], "container-title" : "The Science of the total environment", "id" : "ITEM-1", "issued" : { "date-parts" : [ [ "2015", "1", "19" ] ] }, "note" : "review of environmental, social, human health, and economic issues from shale gas development, mostly in the US, but with implications for the U.K.", "page" : "36-42", "title" : "Considerations for the development of shale gas in the United Kingdom.", "type" : "article-journal", "volume" : "512-513C" }, "uris" : [ "http://www.mendeley.com/documents/?uuid=ed5d6cb7-9251-4e18-8bea-8711de4eb4b0" ] } ], "mendeley" : { "formattedCitation" : "(Hays &lt;i&gt;et al.&lt;/i&gt; 2015)", "plainTextFormattedCitation" : "(Hays et al. 2015)", "previouslyFormattedCitation" : "(Hays &lt;i&gt;et al.&lt;/i&gt; 2015)" }, "properties" : { "noteIndex" : 0 }, "schema" : "https://github.com/citation-style-language/schema/raw/master/csl-citation.json" }</w:instrText>
      </w:r>
      <w:r w:rsidR="00F01773">
        <w:fldChar w:fldCharType="separate"/>
      </w:r>
      <w:r w:rsidR="00B32474" w:rsidRPr="00B32474">
        <w:rPr>
          <w:noProof/>
        </w:rPr>
        <w:t xml:space="preserve">(Hays </w:t>
      </w:r>
      <w:r w:rsidR="00B32474" w:rsidRPr="00B32474">
        <w:rPr>
          <w:i/>
          <w:noProof/>
        </w:rPr>
        <w:t>et al.</w:t>
      </w:r>
      <w:r w:rsidR="00B32474" w:rsidRPr="00B32474">
        <w:rPr>
          <w:noProof/>
        </w:rPr>
        <w:t xml:space="preserve"> 2015)</w:t>
      </w:r>
      <w:r w:rsidR="00F01773">
        <w:fldChar w:fldCharType="end"/>
      </w:r>
      <w:r>
        <w:t xml:space="preserve"> and China, are currently deciding on how to proceed with their own unconventional gas development. Rising with shale gas production and exploration are concerns about its environmental, human health, social, and economic consequences </w:t>
      </w:r>
      <w:r w:rsidR="00F01773">
        <w:fldChar w:fldCharType="begin" w:fldLock="1"/>
      </w:r>
      <w:r w:rsidR="00B32474">
        <w:instrText>ADDIN CSL_CITATION { "citationItems" : [ { "id" : "ITEM-1", "itemData" : { "DOI" : "10.1016/j.scitotenv.2015.01.004", "ISSN" : "1879-1026", "PMID" : "25613768", "abstract" : "The United States shale gas boom has precipitated global interest in the development of unconventional oil and gas resources. Recently, government ministers in the United Kingdom started granting licenses that will enable companies to begin initial exploration for shale gas. Meanwhile, concern is increasing among the scientific community about the potential impacts of shale gas and other types of unconventional natural gas development (UGD) on human health and the environment. Although significant data gaps remain, there has been a surge in the number of articles appearing in the scientific literature, nearly three-quarters of which has been published since the beginning of 2013. Important lessons can be drawn from the UGD experience in the United States. Here we explore these considerations and argue that shale gas development policies in the UK and elsewhere should be informed by empirical evidence generated on environmental, public health, and social risks. Additionally, policy decisions should take into account the measured effectiveness of harm reduction strategies as opposed to hypothetical scenarios and purported best practices that lack empirical support.", "author" : [ { "dropping-particle" : "", "family" : "Hays", "given" : "Jake", "non-dropping-particle" : "", "parse-names" : false, "suffix" : "" }, { "dropping-particle" : "", "family" : "Finkel", "given" : "Madelon L", "non-dropping-particle" : "", "parse-names" : false, "suffix" : "" }, { "dropping-particle" : "", "family" : "Depledge", "given" : "Michael", "non-dropping-particle" : "", "parse-names" : false, "suffix" : "" }, { "dropping-particle" : "", "family" : "Law", "given" : "Adam", "non-dropping-particle" : "", "parse-names" : false, "suffix" : "" }, { "dropping-particle" : "", "family" : "Shonkoff", "given" : "Seth B C", "non-dropping-particle" : "", "parse-names" : false, "suffix" : "" } ], "container-title" : "The Science of the total environment", "id" : "ITEM-1", "issued" : { "date-parts" : [ [ "2015", "1", "19" ] ] }, "note" : "review of environmental, social, human health, and economic issues from shale gas development, mostly in the US, but with implications for the U.K.", "page" : "36-42", "title" : "Considerations for the development of shale gas in the United Kingdom.", "type" : "article-journal", "volume" : "512-513C" }, "uris" : [ "http://www.mendeley.com/documents/?uuid=ed5d6cb7-9251-4e18-8bea-8711de4eb4b0" ] } ], "mendeley" : { "formattedCitation" : "(Hays &lt;i&gt;et al.&lt;/i&gt; 2015)", "plainTextFormattedCitation" : "(Hays et al. 2015)", "previouslyFormattedCitation" : "(Hays &lt;i&gt;et al.&lt;/i&gt; 2015)" }, "properties" : { "noteIndex" : 0 }, "schema" : "https://github.com/citation-style-language/schema/raw/master/csl-citation.json" }</w:instrText>
      </w:r>
      <w:r w:rsidR="00F01773">
        <w:fldChar w:fldCharType="separate"/>
      </w:r>
      <w:r w:rsidR="00B32474" w:rsidRPr="00B32474">
        <w:rPr>
          <w:noProof/>
        </w:rPr>
        <w:t xml:space="preserve">(Hays </w:t>
      </w:r>
      <w:r w:rsidR="00B32474" w:rsidRPr="00B32474">
        <w:rPr>
          <w:i/>
          <w:noProof/>
        </w:rPr>
        <w:t>et al.</w:t>
      </w:r>
      <w:r w:rsidR="00B32474" w:rsidRPr="00B32474">
        <w:rPr>
          <w:noProof/>
        </w:rPr>
        <w:t xml:space="preserve"> 2015)</w:t>
      </w:r>
      <w:r w:rsidR="00F01773">
        <w:fldChar w:fldCharType="end"/>
      </w:r>
      <w:r>
        <w:t xml:space="preserve">. Unconventional gas surface infrastructure can negatively affect terrestrial and freshwater biodiversity through habitat loss and fragmentation </w:t>
      </w:r>
      <w:r w:rsidR="00F01773">
        <w:fldChar w:fldCharType="begin" w:fldLock="1"/>
      </w:r>
      <w:r w:rsidR="00B32474">
        <w:instrText>ADDIN CSL_CITATION { "citationItems" : [ { "id" : "ITEM-1", "itemData" : { "DOI" : "10.1002/ece3.884", "ISSN" : "2045-7758", "abstract" : "Habitat degradation through anthropogenic development is a key driver of biodiversity loss. One way to compensate losses is \u201cbiodiversity offsetting\u201d (wherein biodiversity impacted is \u201creplaced\u201d through restoration elsewhere). A challenge in implementing offsets, which has received scant attention in the literature, is the accurate determination of residual biodiversity losses. We explore this challenge for offsetting gas extraction in the Ustyurt Plateau, Uzbekistan. Our goal was to determine the landscape extent of habitat impacts, particularly how the footprint of \u201clinear\u201d infrastructure (i.e. roads, pipelines), often disregarded in compensation calculations, compares with \u201chub\u201d infrastructure (i.e. extraction facilities). We measured vegetation cover and plant species richness using the line-intercept method, along transects running from infrastructure/control sites outward for 500\u00a0m, accounting for wind direction to identify dust deposition impacts. Findings from 24 transects were extrapolated to the broader plateau by mapping total landscape infrastructure network using GPS data and satellite imagery. Vegetation cover and species richness were significantly lower at development sites than controls. These differences disappeared within 25\u00a0m of the edge of the area physically occupied by infrastructure. The current habitat footprint of gas infrastructure is 220\u00a0\u00b1\u00a019\u00a0km2 across the Ustyurt (total ~ 100,000\u00a0km2), 37\u00a0\u00b1\u00a06% of which is linear infrastructure. Vegetation impacts diminish rapidly with increasing distance from infrastructure, and localized dust deposition does not conspicuously extend the disturbance footprint. Habitat losses from gas extraction infrastructure cover 0.2% of the study area, but this reflects directly eliminated vegetation only. Impacts upon fauna pose a more difficult determination, as these require accounting for behavioral and demographic responses to disturbance by elusive mammals, including threatened species. This study demonstrates that impacts of linear infrastructure in regions such as the Ustyurt should be accounted for not just with respect to development sites but also associated transportation and delivery routes.", "author" : [ { "dropping-particle" : "", "family" : "Jones", "given" : "Isabel L", "non-dropping-particle" : "", "parse-names" : false, "suffix" : "" }, { "dropping-particle" : "", "family" : "Bull", "given" : "Joseph W", "non-dropping-particle" : "", "parse-names" : false, "suffix" : "" }, { "dropping-particle" : "", "family" : "Milner-Gulland", "given" : "Eleanor J", "non-dropping-particle" : "", "parse-names" : false, "suffix" : "" }, { "dropping-particle" : "V", "family" : "Esipov", "given" : "Alexander", "non-dropping-particle" : "", "parse-names" : false, "suffix" : "" }, { "dropping-particle" : "", "family" : "Suttle", "given" : "Kenwyn B", "non-dropping-particle" : "", "parse-names" : false, "suffix" : "" } ], "container-title" : "Ecology and Evolution", "id" : "ITEM-1", "issue" : "1", "issued" : { "date-parts" : [ [ "2014" ] ] }, "page" : "79-90", "title" : "Quantifying habitat impacts of natural gas infrastructure to facilitate biodiversity offsetting", "type" : "article-journal", "volume" : "4" }, "uris" : [ "http://www.mendeley.com/documents/?uuid=6f3376e7-5f03-4bb8-9b46-2daad2474849" ] }, { "id" : "ITEM-2", "itemData" : { "DOI" : "10.1111/nyas.12146", "ISSN" : "1749-6632", "abstract" : "High-volume horizontal hydraulic fracturing (HVHHF) for mining natural gas from the Marcellus and Utica shales is widespread in Pennsylvania and potentially throughout approximately 280,000 km2 of the Appalachian Basin. Physical and chemical impacts of HVHHF include pollution by toxic synthetic chemicals, salt, and radionuclides, landscape fragmentation by wellpads, pipelines, and roads, alteration of stream and wetland hydrology, and increased truck traffic. Despite concerns about human health, there has been little study of the impacts on habitats and biota. Taxa and guilds potentially sensitive to HVHHF impacts include freshwater organisms (e.g., brook trout, freshwater mussels), fragmentation-sensitive biota (e.g., forest-interior breeding birds, forest orchids), and species with restricted geographic ranges (e.g., Wehrle's salamander, tongue-tied minnow). Impacts are potentially serious due to the rapid development of HVHHF over a large region.", "author" : [ { "dropping-particle" : "", "family" : "Kiviat", "given" : "Erik", "non-dropping-particle" : "", "parse-names" : false, "suffix" : "" } ], "container-title" : "Annals of the New York Academy of Sciences", "id" : "ITEM-2", "issue" : "1", "issued" : { "date-parts" : [ [ "2013" ] ] }, "page" : "1-14", "title" : "Risks to biodiversity from hydraulic fracturing for natural gas in the Marcellus and Utica shales", "type" : "article-journal", "volume" : "1286" }, "uris" : [ "http://www.mendeley.com/documents/?uuid=de072248-90b3-4eb0-950e-36ff3daf88dc" ] }, { "id" : "ITEM-3", "itemData" : { "ISBN" : "1466046612000", "ISSN" : "1466-0474", "author" : [ { "dropping-particle" : "", "family" : "Gillen", "given" : "Jennifer L.", "non-dropping-particle" : "", "parse-names" : false, "suffix" : "" }, { "dropping-particle" : "", "family" : "Kiviat", "given" : "Erik", "non-dropping-particle" : "", "parse-names" : false, "suffix" : "" } ], "container-title" : "Environmental Practice", "id" : "ITEM-3", "issue" : "04", "issued" : { "date-parts" : [ [ "2012" ] ] }, "language" : "English", "note" : "From Duplicate 2 ( ENVIRONMENTAL REVIEWS AND CASE STUDIES: Hydraulic Fracturing Threats to Species with Restricted Geographic Ranges in the Eastern United States - Gillen, Jennifer L.; Kiviat, Erik )", "page" : "320-331", "title" : "Hydraulic Fracturing Threats to Species with Restricted Geographic Ranges in the Eastern United States", "type" : "article-journal", "volume" : "14" }, "uris" : [ "http://www.mendeley.com/documents/?uuid=874a42d1-98bc-4ac3-a0a9-fab25e078d12" ] } ], "mendeley" : { "formattedCitation" : "(Gillen &amp; Kiviat 2012; Kiviat 2013; Jones &lt;i&gt;et al.&lt;/i&gt; 2014)", "plainTextFormattedCitation" : "(Gillen &amp; Kiviat 2012; Kiviat 2013; Jones et al. 2014)", "previouslyFormattedCitation" : "(Gillen &amp; Kiviat 2012; Kiviat 2013; Jones &lt;i&gt;et al.&lt;/i&gt; 2014)" }, "properties" : { "noteIndex" : 0 }, "schema" : "https://github.com/citation-style-language/schema/raw/master/csl-citation.json" }</w:instrText>
      </w:r>
      <w:r w:rsidR="00F01773">
        <w:fldChar w:fldCharType="separate"/>
      </w:r>
      <w:r w:rsidR="00B32474" w:rsidRPr="00B32474">
        <w:rPr>
          <w:noProof/>
        </w:rPr>
        <w:t xml:space="preserve">(Gillen &amp; Kiviat 2012; Kiviat 2013; Jones </w:t>
      </w:r>
      <w:r w:rsidR="00B32474" w:rsidRPr="00B32474">
        <w:rPr>
          <w:i/>
          <w:noProof/>
        </w:rPr>
        <w:t>et al.</w:t>
      </w:r>
      <w:r w:rsidR="00B32474" w:rsidRPr="00B32474">
        <w:rPr>
          <w:noProof/>
        </w:rPr>
        <w:t xml:space="preserve"> 2014)</w:t>
      </w:r>
      <w:r w:rsidR="00F01773">
        <w:fldChar w:fldCharType="end"/>
      </w:r>
      <w:r>
        <w:t xml:space="preserve"> and pollution and sedimentation </w:t>
      </w:r>
      <w:r w:rsidR="00F01773">
        <w:fldChar w:fldCharType="begin" w:fldLock="1"/>
      </w:r>
      <w:r w:rsidR="00B32474">
        <w:instrText>ADDIN CSL_CITATION { "citationItems" : [ { "id" : "ITEM-1", "itemData" : { "DOI" : "10.1210/en.2013-1697", "ISSN" : "0013-7227", "abstract" : "The rapid rise in natural gas extraction using hydraulic fracturing increases the potential for contamination of surface and ground water from chemicals used throughout the process. Hundreds of products containing more than 750 chemicals and components are potentially used throughout the extraction process, including more than 100 known or suspected endocrine-disrupting chemicals. We hypothesized that a selected subset of chemicals used in natural gas drilling operations and also surface and ground water samples collected in a drilling-dense region of Garfield County, Colorado, would exhibit estrogen and androgen receptor activities. Water samples were collected, solid-phase extracted, and measured for estrogen and androgen receptor activities using reporter gene assays in human cell lines. Of the 39 unique water samples, 89%, 41%, 12%, and 46% exhibited estrogenic, antiestrogenic, androgenic, and antiandrogenic activities, respectively. Testing of a subset of natural gas drilling chemicals revealed novel antiestrogenic, novel antiandrogenic, and limited estrogenic activities. The Colorado River, the drainage basin for this region, exhibited moderate levels of estrogenic, antiestrogenic, and antiandrogenic activities, suggesting that higher localized activity at sites with known natural gas?related spills surrounding the river might be contributing to the multiple receptor activities observed in this water source. The majority of water samples collected from sites in a drilling-dense region of Colorado exhibited more estrogenic, antiestrogenic, or antiandrogenic activities than reference sites with limited nearby drilling operations. Our data suggest that natural gas drilling operations may result in elevated endocrine-disrupting chemical activity in surface and ground water.", "author" : [ { "dropping-particle" : "", "family" : "Kassotis", "given" : "Christopher D", "non-dropping-particle" : "", "parse-names" : false, "suffix" : "" }, { "dropping-particle" : "", "family" : "Tillitt", "given" : "Donald E", "non-dropping-particle" : "", "parse-names" : false, "suffix" : "" }, { "dropping-particle" : "", "family" : "Davis", "given" : "J Wade", "non-dropping-particle" : "", "parse-names" : false, "suffix" : "" }, { "dropping-particle" : "", "family" : "Hormann", "given" : "Annette M", "non-dropping-particle" : "", "parse-names" : false, "suffix" : "" }, { "dropping-particle" : "", "family" : "Nagel", "given" : "Susan C", "non-dropping-particle" : "", "parse-names" : false, "suffix" : "" } ], "container-title" : "Endocrinology", "id" : "ITEM-1", "issue" : "3", "issued" : { "date-parts" : [ [ "2013", "1", "1" ] ] }, "note" : "doi: 10.1210/en.2013-1697", "page" : "897-907", "publisher" : "The Endocrine Society", "title" : "Estrogen and Androgen Receptor Activities of Hydraulic Fracturing Chemicals and Surface and Ground Water in a Drilling-Dense Region", "type" : "article-journal", "volume" : "155" }, "uris" : [ "http://www.mendeley.com/documents/?uuid=e8110b70-c48d-435d-b1f2-c04669615cbf" ] }, { "id" : "ITEM-2", "itemData" : { "DOI" : "10.1073/pnas.1213871110", "ISSN" : "1091-6490", "PMID" : "23479604", "abstract" : "Concern has been raised in the scientific literature about the environmental implications of extracting natural gas from deep shale formations, and published studies suggest that shale gas development may affect local groundwater quality. The potential for surface water quality degradation has been discussed in prior work, although no empirical analysis of this issue has been published. The potential for large-scale surface water quality degradation has affected regulatory approaches to shale gas development in some US states, despite the dearth of evidence. This paper conducts a large-scale examination of the extent to which shale gas development activities affect surface water quality. Focusing on the Marcellus Shale in Pennsylvania, we estimate the effect of shale gas wells and the release of treated shale gas waste by permitted treatment facilities on observed downstream concentrations of chloride (Cl-) and total suspended solids (TSS), controlling for other factors. Results suggest that (i) the treatment of shale gas waste by treatment plants in a watershed raises downstream Cl- concentrations but not TSS concentrations, and (ii) the presence of shale gas wells in a watershed raises downstream TSS concentrations but not Cl- concentrations. These results can inform future voluntary measures taken by shale gas operators and policy approaches taken by regulators to protect surface water quality as the scale of this economically important activity increases.", "author" : [ { "dropping-particle" : "", "family" : "Olmstead", "given" : "Sheila M", "non-dropping-particle" : "", "parse-names" : false, "suffix" : "" }, { "dropping-particle" : "", "family" : "Muehlenbachs", "given" : "Lucija A", "non-dropping-particle" : "", "parse-names" : false, "suffix" : "" }, { "dropping-particle" : "", "family" : "Shih", "given" : "Jhih-Shyang", "non-dropping-particle" : "", "parse-names" : false, "suffix" : "" }, { "dropping-particle" : "", "family" : "Chu", "given" : "Ziyan", "non-dropping-particle" : "", "parse-names" : false, "suffix" : "" }, { "dropping-particle" : "", "family" : "Krupnick", "given" : "Alan J", "non-dropping-particle" : "", "parse-names" : false, "suffix" : "" } ], "container-title" : "Proceedings of the National Academy of Sciences of the United States of America", "id" : "ITEM-2", "issue" : "13", "issued" : { "date-parts" : [ [ "2013", "3", "11" ] ] }, "note" : "changes in surface water quality indicators downstream from natural gas effluent processing plants", "page" : "4962-4967", "title" : "Shale gas development impacts on surface water quality in Pennsylvania.", "type" : "article-journal", "volume" : "110" }, "uris" : [ "http://www.mendeley.com/documents/?uuid=0c80d11c-a4bb-4381-b8da-a8af8c809bd2" ] } ], "mendeley" : { "formattedCitation" : "(Kassotis &lt;i&gt;et al.&lt;/i&gt; 2013; Olmstead &lt;i&gt;et al.&lt;/i&gt; 2013)", "plainTextFormattedCitation" : "(Kassotis et al. 2013; Olmstead et al. 2013)", "previouslyFormattedCitation" : "(Kassotis &lt;i&gt;et al.&lt;/i&gt; 2013; Olmstead &lt;i&gt;et al.&lt;/i&gt; 2013)" }, "properties" : { "noteIndex" : 0 }, "schema" : "https://github.com/citation-style-language/schema/raw/master/csl-citation.json" }</w:instrText>
      </w:r>
      <w:r w:rsidR="00F01773">
        <w:fldChar w:fldCharType="separate"/>
      </w:r>
      <w:r w:rsidR="00B32474" w:rsidRPr="00B32474">
        <w:rPr>
          <w:noProof/>
        </w:rPr>
        <w:t xml:space="preserve">(Kassotis </w:t>
      </w:r>
      <w:r w:rsidR="00B32474" w:rsidRPr="00B32474">
        <w:rPr>
          <w:i/>
          <w:noProof/>
        </w:rPr>
        <w:t>et al.</w:t>
      </w:r>
      <w:r w:rsidR="00B32474" w:rsidRPr="00B32474">
        <w:rPr>
          <w:noProof/>
        </w:rPr>
        <w:t xml:space="preserve"> 2013; Olmstead </w:t>
      </w:r>
      <w:r w:rsidR="00B32474" w:rsidRPr="00B32474">
        <w:rPr>
          <w:i/>
          <w:noProof/>
        </w:rPr>
        <w:t>et al.</w:t>
      </w:r>
      <w:r w:rsidR="00B32474" w:rsidRPr="00B32474">
        <w:rPr>
          <w:noProof/>
        </w:rPr>
        <w:t xml:space="preserve"> 2013)</w:t>
      </w:r>
      <w:r w:rsidR="00F01773">
        <w:fldChar w:fldCharType="end"/>
      </w:r>
      <w:r>
        <w:t xml:space="preserve">. </w:t>
      </w:r>
    </w:p>
    <w:p w:rsidR="00F23D46" w:rsidRDefault="00F23D46" w:rsidP="00F23D46">
      <w:pPr>
        <w:ind w:firstLine="720"/>
      </w:pPr>
      <w:r>
        <w:t xml:space="preserve">All energy infrastructure development produces environmental impacts, but the amount of impact and ability to avoid impacts are important factors in determining how much development, if any, is permissible. Types and amounts of impact will be context specific. Here, we focus on the surface terrestrial and freshwater impacts of well pads, access roads, and gathering pipelines accompanying directional drilling and hydraulic fracturing at the lease-hold level. Lease-holds are aggregations of tens of adjacent mineral and/or other subsurface rights of land parcel size into single planning units. Our sites are approximations of lease-holds. More specifically, we quantify and plan infrastructure to avoid forest loss and fragmentation, reductions in stream quality, wetland encroachment, and risk to rare species. </w:t>
      </w:r>
      <w:r w:rsidR="004C63A0">
        <w:t>Because we suspect most readers have not visited shale gas construction sites</w:t>
      </w:r>
      <w:r w:rsidR="004474C5">
        <w:t xml:space="preserve"> (</w:t>
      </w:r>
      <w:r w:rsidR="00F01773">
        <w:fldChar w:fldCharType="begin"/>
      </w:r>
      <w:r w:rsidR="004474C5">
        <w:instrText xml:space="preserve"> REF _Ref417547661 \h </w:instrText>
      </w:r>
      <w:r w:rsidR="00F01773">
        <w:fldChar w:fldCharType="separate"/>
      </w:r>
      <w:r w:rsidR="00867AA7" w:rsidRPr="003E56C3">
        <w:t xml:space="preserve">Fig. </w:t>
      </w:r>
      <w:r w:rsidR="00867AA7">
        <w:rPr>
          <w:noProof/>
        </w:rPr>
        <w:t>3</w:t>
      </w:r>
      <w:r w:rsidR="00867AA7">
        <w:t>.</w:t>
      </w:r>
      <w:r w:rsidR="00867AA7">
        <w:rPr>
          <w:noProof/>
        </w:rPr>
        <w:t>1</w:t>
      </w:r>
      <w:r w:rsidR="00F01773">
        <w:fldChar w:fldCharType="end"/>
      </w:r>
      <w:r w:rsidR="004474C5">
        <w:t>)</w:t>
      </w:r>
      <w:r w:rsidR="004C63A0">
        <w:t xml:space="preserve">, we </w:t>
      </w:r>
      <w:r w:rsidR="004474C5">
        <w:t xml:space="preserve">invite the reader to imagine them as similar </w:t>
      </w:r>
      <w:r w:rsidR="004C63A0">
        <w:t xml:space="preserve">rural home development. </w:t>
      </w:r>
      <w:r>
        <w:t xml:space="preserve">Well pads are dispersed in space, separated by hundreds to thousands of meters. </w:t>
      </w:r>
      <w:proofErr w:type="gramStart"/>
      <w:r>
        <w:t>Access roads, which connect well pads to the existing road network, are generally short (~0.1 km here), narrow (12 m here), gravel roads.</w:t>
      </w:r>
      <w:proofErr w:type="gramEnd"/>
      <w:r>
        <w:t xml:space="preserve"> And gathering pipelines, which allow gas to be transported off-site, are similar in corridor size and straightness to buried electrical transmission lines.</w:t>
      </w:r>
    </w:p>
    <w:p w:rsidR="00D77AE1" w:rsidRDefault="00D77AE1" w:rsidP="00F23D46">
      <w:pPr>
        <w:ind w:firstLine="720"/>
      </w:pPr>
      <w:r>
        <w:t>When relatively large areas are planned as a single unit, there may be scope to move planned well pads, access roads, and gathering pipelines to partially avoid local impacts. The spatial planning problem this presents is not trivial to solve. A cost- or impact-minimizing configuration of wells, well pads, access roads, gathering pipelines, and other infrastructure requires the spatial coordination of all these infrastructures. Here, we present an analysis using spatial optimization software that plans surface infrastructure locations with the interdependence of infrastructure in mind, and does so while reducing potential impacts on the environment.</w:t>
      </w:r>
    </w:p>
    <w:p w:rsidR="00D77AE1" w:rsidRDefault="00D77AE1" w:rsidP="00890F5A">
      <w:pPr>
        <w:ind w:firstLine="720"/>
        <w:sectPr w:rsidR="00D77AE1" w:rsidSect="002115B4">
          <w:pgSz w:w="12240" w:h="15840" w:code="1"/>
          <w:pgMar w:top="1440" w:right="1800" w:bottom="1440" w:left="1800" w:header="720" w:footer="1440" w:gutter="0"/>
          <w:cols w:space="720"/>
          <w:noEndnote/>
          <w:docGrid w:linePitch="360"/>
        </w:sectPr>
      </w:pPr>
    </w:p>
    <w:p w:rsidR="00D77AE1" w:rsidRDefault="00F01773" w:rsidP="00D77AE1">
      <w:pPr>
        <w:sectPr w:rsidR="00D77AE1" w:rsidSect="00D77AE1">
          <w:pgSz w:w="12240" w:h="15840" w:code="1"/>
          <w:pgMar w:top="1440" w:right="1800" w:bottom="1440" w:left="1800" w:header="720" w:footer="1440" w:gutter="0"/>
          <w:cols w:space="720"/>
          <w:vAlign w:val="center"/>
          <w:noEndnote/>
          <w:docGrid w:linePitch="360"/>
        </w:sectPr>
      </w:pPr>
      <w:r>
        <w:pict>
          <v:shape id="_x0000_s1094" type="#_x0000_t202" style="width:438pt;height:344.6pt;mso-position-horizontal-relative:char;mso-position-vertical-relative:line" filled="f" stroked="f">
            <v:textbox style="mso-next-textbox:#_x0000_s1094">
              <w:txbxContent>
                <w:p w:rsidR="006A45E8" w:rsidRDefault="006A45E8" w:rsidP="00D77AE1">
                  <w:pPr>
                    <w:keepNext/>
                    <w:jc w:val="center"/>
                  </w:pPr>
                  <w:r w:rsidRPr="003E56C3">
                    <w:rPr>
                      <w:noProof/>
                    </w:rPr>
                    <w:drawing>
                      <wp:inline distT="0" distB="0" distL="0" distR="0">
                        <wp:extent cx="5403669" cy="3219326"/>
                        <wp:effectExtent l="19050" t="0" r="6531" b="0"/>
                        <wp:docPr id="83" name="Picture 0" descr="F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tif"/>
                                <pic:cNvPicPr/>
                              </pic:nvPicPr>
                              <pic:blipFill>
                                <a:blip r:embed="rId66" cstate="print"/>
                                <a:stretch>
                                  <a:fillRect/>
                                </a:stretch>
                              </pic:blipFill>
                              <pic:spPr>
                                <a:xfrm>
                                  <a:off x="0" y="0"/>
                                  <a:ext cx="5416140" cy="3226756"/>
                                </a:xfrm>
                                <a:prstGeom prst="rect">
                                  <a:avLst/>
                                </a:prstGeom>
                              </pic:spPr>
                            </pic:pic>
                          </a:graphicData>
                        </a:graphic>
                      </wp:inline>
                    </w:drawing>
                  </w:r>
                </w:p>
                <w:p w:rsidR="006A45E8" w:rsidRPr="002B2090" w:rsidRDefault="006A45E8" w:rsidP="00D77AE1">
                  <w:pPr>
                    <w:pStyle w:val="Caption"/>
                    <w:rPr>
                      <w:vanish/>
                      <w:lang w:val="en-GB"/>
                      <w:specVanish/>
                    </w:rPr>
                  </w:pPr>
                  <w:bookmarkStart w:id="129" w:name="_Ref417547661"/>
                  <w:bookmarkStart w:id="130" w:name="_Toc421352911"/>
                  <w:bookmarkStart w:id="131" w:name="_Toc417647079"/>
                  <w:proofErr w:type="gramStart"/>
                  <w:r w:rsidRPr="003E56C3">
                    <w:t>Fig.</w:t>
                  </w:r>
                  <w:proofErr w:type="gramEnd"/>
                  <w:r w:rsidRPr="003E56C3">
                    <w:t xml:space="preserve"> </w:t>
                  </w:r>
                  <w:fldSimple w:instr=" STYLEREF 1 \s ">
                    <w:r>
                      <w:rPr>
                        <w:noProof/>
                      </w:rPr>
                      <w:t>3</w:t>
                    </w:r>
                  </w:fldSimple>
                  <w:r>
                    <w:t>.</w:t>
                  </w:r>
                  <w:fldSimple w:instr=" SEQ Fig. \* ARABIC \s 1 ">
                    <w:r>
                      <w:rPr>
                        <w:noProof/>
                      </w:rPr>
                      <w:t>1</w:t>
                    </w:r>
                  </w:fldSimple>
                  <w:bookmarkEnd w:id="129"/>
                  <w:r w:rsidRPr="003E56C3">
                    <w:t>. Well pads (rectangular clearings), access roads (linear clearings in bottom-right), and gathering pipelines</w:t>
                  </w:r>
                  <w:bookmarkEnd w:id="130"/>
                </w:p>
                <w:p w:rsidR="006A45E8" w:rsidRPr="003E56C3" w:rsidRDefault="006A45E8" w:rsidP="00D77AE1">
                  <w:pPr>
                    <w:pStyle w:val="Caption"/>
                  </w:pPr>
                  <w:r w:rsidRPr="003E56C3">
                    <w:t xml:space="preserve"> (</w:t>
                  </w:r>
                  <w:proofErr w:type="gramStart"/>
                  <w:r w:rsidRPr="003E56C3">
                    <w:t>other</w:t>
                  </w:r>
                  <w:proofErr w:type="gramEnd"/>
                  <w:r w:rsidRPr="003E56C3">
                    <w:t xml:space="preserve"> linear clearings) pose many impacts on habitats in the Marcellus formation, including forest and wetland loss and fragmentation, displacement of species of conservation concern, erosion, and freshwater sedimentation and fragmentation. Courtesy of M. Godfrey, </w:t>
                  </w:r>
                  <w:proofErr w:type="gramStart"/>
                  <w:r w:rsidRPr="003E56C3">
                    <w:t>The</w:t>
                  </w:r>
                  <w:proofErr w:type="gramEnd"/>
                  <w:r w:rsidRPr="003E56C3">
                    <w:t xml:space="preserve"> Nature Conservancy.</w:t>
                  </w:r>
                  <w:bookmarkEnd w:id="131"/>
                </w:p>
              </w:txbxContent>
            </v:textbox>
            <w10:wrap type="none" anchorx="margin" anchory="margin"/>
            <w10:anchorlock/>
          </v:shape>
        </w:pict>
      </w:r>
    </w:p>
    <w:p w:rsidR="00812304" w:rsidRDefault="00812304" w:rsidP="00D77AE1">
      <w:pPr>
        <w:ind w:firstLine="720"/>
      </w:pPr>
      <w:r>
        <w:lastRenderedPageBreak/>
        <w:t xml:space="preserve">Reducing impacts from surface infrastructure is likely to increase construction costs. While infrastructure planning practices will vary by place and planner, planning is unlikely to fully assimilate environmental objectives. Further, costs and impacts may be negatively correlated in space, such that reducing one increases the others, as is commonly the case with multiple spatial objectives </w:t>
      </w:r>
      <w:r w:rsidR="00F01773">
        <w:fldChar w:fldCharType="begin" w:fldLock="1"/>
      </w:r>
      <w:r>
        <w:instrText>ADDIN CSL_CITATION { "citationItems" : [ { "id" : "ITEM-1", "itemData" : { "DOI" : "10.1073/pnas.0907284107", "abstract" : "A key challenge of ecosystem management is determining how to manage multiple ecosystem services across landscapes. Enhancing important provisioning ecosystem services, such as food and timber, often leads to tradeoffs between regulating and cultural ecosystem services, such as nutrient cycling, flood protection, and tourism. We developed a framework for analyzing the provision of multiple ecosystem services across landscapes and present an empirical demonstration of ecosystem service bundles, sets of services that appear together repeatedly. Ecosystem service bundles were identified by analyzing the spatial patterns of 12 ecosystem services in a mixed-use landscape consisting of 137 municipalities in Quebec, Canada. We identified six types of ecosystem service bundles and were able to link these bundles to areas on the landscape characterized by distinct social\u2013ecological dynamics. Our results show landscape-scale tradeoffs between provisioning and almost all regulating and cultural ecosystem services, and they show that a greater diversity of ecosystem services is positively correlated with the provision of regulating ecosystem services. Ecosystem service-bundle analysis can identify areas on a landscape where ecosystem management has produced exceptionally desirable or undesirable sets of ecosystem services. ", "author" : [ { "dropping-particle" : "", "family" : "Raudsepp-Hearne", "given" : "C", "non-dropping-particle" : "", "parse-names" : false, "suffix" : "" }, { "dropping-particle" : "", "family" : "Peterson", "given" : "G D", "non-dropping-particle" : "", "parse-names" : false, "suffix" : "" }, { "dropping-particle" : "", "family" : "Bennett", "given" : "E M", "non-dropping-particle" : "", "parse-names" : false, "suffix" : "" } ], "container-title" : "Proceedings of the National Academy of Sciences ", "id" : "ITEM-1", "issue" : "11 ", "issued" : { "date-parts" : [ [ "2010", "3", "16" ] ] }, "page" : "5242-5247", "title" : "Ecosystem service bundles for analyzing tradeoffs in diverse landscapes", "type" : "article-journal", "volume" : "107 " }, "prefix" : "e.g.", "uris" : [ "http://www.mendeley.com/documents/?uuid=535aa83b-d304-4917-b3cc-359295ca24e5" ] }, { "id" : "ITEM-2", "itemData" : { "DOI" : "http://dx.doi.org/10.1016/j.ecoser.2013.04.002", "ISSN" : "2212-0416", "abstract" : "Abstract In this paper we assess trade-offs between ecosystem services in a spatially explicit manner. From a supply side perspective, we estimate opportunity costs, which reflect in monetary terms the trade-offs between ecosystem services due to a marginal land use change. These are based on estimation of the frontier function, which gives the feasible bundles of ecosystem services that can be generated. For this, a two-stage semi-parametric method is applied and spatial data are used on agricultural revenues, cultural services, carbon sequestration and biodiversity for 18 Central and Eastern European countries. Based on the estimates, we assess which regions are most suitable for expanding any of the ecosystem services. Where opportunity costs are low, a further expansion of any of the ecosystem services is cost-effective. If areas are targeted carefully, joint improvement of several ecosystem services can be reached. If carbon sequestration levels are to be increased, it is best to focus on areas already having high sequestration levels because opportunity costs of carbon sequestration decrease with increasing sequestration levels. For biodiversity and cultural services the pattern is less clear as low opportunity cost were found both in areas rich and poor with these services.", "author" : [ { "dropping-particle" : "", "family" : "Ruijs", "given" : "A", "non-dropping-particle" : "", "parse-names" : false, "suffix" : "" }, { "dropping-particle" : "", "family" : "Wossink", "given" : "A", "non-dropping-particle" : "", "parse-names" : false, "suffix" : "" }, { "dropping-particle" : "", "family" : "Kortelainen", "given" : "M", "non-dropping-particle" : "", "parse-names" : false, "suffix" : "" }, { "dropping-particle" : "", "family" : "Alkemade", "given" : "R", "non-dropping-particle" : "", "parse-names" : false, "suffix" : "" }, { "dropping-particle" : "", "family" : "Schulp", "given" : "C J E", "non-dropping-particle" : "", "parse-names" : false, "suffix" : "" } ], "container-title" : "Ecosystem Services", "id" : "ITEM-2", "issue" : "0", "issued" : { "date-parts" : [ [ "2013", "6" ] ] }, "page" : "82-94", "title" : "Trade-off analysis of ecosystem services in Eastern Europe", "type" : "article-journal", "volume" : "4" }, "uris" : [ "http://www.mendeley.com/documents/?uuid=ccfdaa5f-87df-4816-b2ee-fb452539f90f" ] }, { "id" : "ITEM-3", "itemData" : { "DOI" : "10.1073/pnas.1310539110", "abstract" : "Understanding spatial distributions, synergies, and tradeoffs of multiple ecosystem services (benefits people derive from ecosystems) remains challenging. We analyzed the supply of 10 ecosystem services for 2006 across a large urbanizing agricultural watershed in the Upper Midwest of the United States, and asked the following: (i) Where are areas of high and low supply of individual ecosystem services, and are these areas spatially concordant across services? (ii) Where on the landscape are the strongest tradeoffs and synergies among ecosystem services located? (iii) For ecosystem service pairs that experience tradeoffs, what distinguishes locations that are \u201cwin\u2013win\u201d exceptions from other locations? Spatial patterns of high supply for multiple ecosystem services often were not coincident; locations where six or more services were produced at high levels (upper 20th percentile) occupied only 3.3% of the landscape. Most relationships among ecosystem services were synergies, but tradeoffs occurred between crop production and water quality. Ecosystem services related to water quality and quantity separated into three different groups, indicating that management to sustain freshwater services along with other ecosystem services will not be simple. Despite overall tradeoffs between crop production and water quality, some locations were positive for both, suggesting that tradeoffs are not inevitable everywhere and might be ameliorated in some locations. Overall, we found that different areas of the landscape supplied different suites of ecosystem services, and their lack of spatial concordance suggests the importance of managing over large areas to sustain multiple ecosystem services. ", "author" : [ { "dropping-particle" : "", "family" : "Qiu", "given" : "Jiangxiao", "non-dropping-particle" : "", "parse-names" : false, "suffix" : "" }, { "dropping-particle" : "", "family" : "Turner", "given" : "Monica G", "non-dropping-particle" : "", "parse-names" : false, "suffix" : "" } ], "container-title" : "Proceedings of the National Academy of Sciences ", "id" : "ITEM-3", "issue" : "29 ", "issued" : { "date-parts" : [ [ "2013", "7", "16" ] ] }, "note" : "10.1073/pnas.1310539110", "page" : "12149-12154", "title" : "Spatial interactions among ecosystem services in an urbanizing agricultural watershed", "type" : "article-journal", "volume" : "110 " }, "uris" : [ "http://www.mendeley.com/documents/?uuid=09688761-7313-4b59-ad0e-48c6681a811f" ] } ], "mendeley" : { "formattedCitation" : "(e.g. Raudsepp-Hearne, Peterson &amp; Bennett 2010; Ruijs &lt;i&gt;et al.&lt;/i&gt; 2013; Qiu &amp; Turner 2013)", "plainTextFormattedCitation" : "(e.g. Raudsepp-Hearne, Peterson &amp; Bennett 2010; Ruijs et al. 2013; Qiu &amp; Turner 2013)", "previouslyFormattedCitation" : "(e.g. Raudsepp-Hearne, Peterson &amp; Bennett 2010; Ruijs &lt;i&gt;et al.&lt;/i&gt; 2013; Qiu &amp; Turner 2013)" }, "properties" : { "noteIndex" : 0 }, "schema" : "https://github.com/citation-style-language/schema/raw/master/csl-citation.json" }</w:instrText>
      </w:r>
      <w:r w:rsidR="00F01773">
        <w:fldChar w:fldCharType="separate"/>
      </w:r>
      <w:r w:rsidRPr="00B32474">
        <w:rPr>
          <w:noProof/>
        </w:rPr>
        <w:t xml:space="preserve">(e.g. Raudsepp-Hearne, Peterson &amp; Bennett 2010; Ruijs </w:t>
      </w:r>
      <w:r w:rsidRPr="00B32474">
        <w:rPr>
          <w:i/>
          <w:noProof/>
        </w:rPr>
        <w:t>et al.</w:t>
      </w:r>
      <w:r w:rsidRPr="00B32474">
        <w:rPr>
          <w:noProof/>
        </w:rPr>
        <w:t xml:space="preserve"> 2013; Qiu &amp; Turner 2013)</w:t>
      </w:r>
      <w:r w:rsidR="00F01773">
        <w:fldChar w:fldCharType="end"/>
      </w:r>
      <w:r>
        <w:t xml:space="preserve">. As with other financially focused endeavors, infrastructure planning will focus on minimizing costs while adhering to constraints imposed by regulation and construction limitations, some of which are oriented towards protecting the environment. More environmentally-oriented planning will move the gas industry away from the financial bottom-line. Therefore, quantifying the costs of reducing environmental impacts may be vital to changing industry practice. In Pennsylvania where our study concentrates, directional drilling and hydraulic fracturing are the most expensive parts of development </w:t>
      </w:r>
      <w:r w:rsidR="00F01773">
        <w:fldChar w:fldCharType="begin" w:fldLock="1"/>
      </w:r>
      <w:r>
        <w:instrText>ADDIN CSL_CITATION { "citationItems" : [ { "id" : "ITEM-1", "itemData" : { "DOI" : "10.1007/978-3-319-11499-6_2", "ISBN" : "978-3-319-11498-9", "author" : [ { "dropping-particle" : "", "family" : "Hefley", "given" : "WilliamE.", "non-dropping-particle" : "", "parse-names" : false, "suffix" : "" }, { "dropping-particle" : "", "family" : "Seydor", "given" : "ShaunM.", "non-dropping-particle" : "", "parse-names" : false, "suffix" : "" } ], "collection-title" : "Natural Resource Management and Policy", "container-title" : "Economics of Unconventional Shale Gas Development SE - 2", "editor" : [ { "dropping-particle" : "", "family" : "Hefley", "given" : "William E", "non-dropping-particle" : "", "parse-names" : false, "suffix" : "" }, { "dropping-particle" : "", "family" : "Wang", "given" : "Yongsheng", "non-dropping-particle" : "", "parse-names" : false, "suffix" : "" } ], "id" : "ITEM-1", "issued" : { "date-parts" : [ [ "2015" ] ] }, "language" : "English", "page" : "15-45", "publisher" : "Springer International Publishing", "title" : "Direct Economic Impact of the Value Chain of a Marcellus Shale Gas Well", "type" : "chapter", "volume" : "45" }, "uris" : [ "http://www.mendeley.com/documents/?uuid=1e148bf8-4b9b-4c95-bb3b-a4a3ec8dc846" ] } ], "mendeley" : { "formattedCitation" : "(Hefley &amp; Seydor 2015)", "plainTextFormattedCitation" : "(Hefley &amp; Seydor 2015)", "previouslyFormattedCitation" : "(Hefley &amp; Seydor 2015)" }, "properties" : { "noteIndex" : 0 }, "schema" : "https://github.com/citation-style-language/schema/raw/master/csl-citation.json" }</w:instrText>
      </w:r>
      <w:r w:rsidR="00F01773">
        <w:fldChar w:fldCharType="separate"/>
      </w:r>
      <w:r w:rsidRPr="00B32474">
        <w:rPr>
          <w:noProof/>
        </w:rPr>
        <w:t>(Hefley &amp; Seydor 2015)</w:t>
      </w:r>
      <w:r w:rsidR="00F01773">
        <w:fldChar w:fldCharType="end"/>
      </w:r>
      <w:r>
        <w:t xml:space="preserve">, but these costs do not vary much in space under normal development conditions. We concentrate on major costs that vary with the spatial locations of surface infrastructure: moving earth, clearing land, stream crossing infrastructure, and construction materials plus any associated labor (Triana energy, </w:t>
      </w:r>
      <w:r>
        <w:rPr>
          <w:i/>
        </w:rPr>
        <w:t>pers. comm.</w:t>
      </w:r>
      <w:r>
        <w:t>).</w:t>
      </w:r>
    </w:p>
    <w:p w:rsidR="00890F5A" w:rsidRDefault="00890F5A" w:rsidP="00D77AE1">
      <w:pPr>
        <w:ind w:firstLine="720"/>
      </w:pPr>
      <w:r>
        <w:t>With the quantification of site-level costs of reducing environmental impacts as a goal, we present a case study of environmentally-oriented shale energy surface infrastructure planning in Pennsylvania. In particular, we (1) developed a novel, advanced spatial optimization algorithm to plan well pad locations and access road and pipeline routes at 84 sites in 5 counties in Pennsylvania (</w:t>
      </w:r>
      <w:r w:rsidR="00F01773">
        <w:fldChar w:fldCharType="begin"/>
      </w:r>
      <w:r w:rsidR="00460479">
        <w:instrText xml:space="preserve"> REF _Ref417547679 \h </w:instrText>
      </w:r>
      <w:r w:rsidR="00F01773">
        <w:fldChar w:fldCharType="separate"/>
      </w:r>
      <w:r w:rsidR="00867AA7" w:rsidRPr="001C291B">
        <w:t xml:space="preserve">Fig. </w:t>
      </w:r>
      <w:r w:rsidR="00867AA7">
        <w:rPr>
          <w:noProof/>
        </w:rPr>
        <w:t>3</w:t>
      </w:r>
      <w:r w:rsidR="00867AA7">
        <w:t>.</w:t>
      </w:r>
      <w:r w:rsidR="00867AA7">
        <w:rPr>
          <w:noProof/>
        </w:rPr>
        <w:t>2</w:t>
      </w:r>
      <w:r w:rsidR="00F01773">
        <w:fldChar w:fldCharType="end"/>
      </w:r>
      <w:r>
        <w:t xml:space="preserve">), and (2) quantified the tradeoff between reducing environmental impacts and increasing construction costs of alternative development plans. We aggregated the site-level tradeoffs between impacts and costs to arrive at a general tradeoff graph for our Pennsylvania sites that shows the relative cost of reducing impacts by a specific amount. </w:t>
      </w:r>
    </w:p>
    <w:p w:rsidR="00D77AE1" w:rsidRDefault="00890F5A" w:rsidP="00890F5A">
      <w:pPr>
        <w:ind w:firstLine="720"/>
        <w:sectPr w:rsidR="00D77AE1" w:rsidSect="002115B4">
          <w:pgSz w:w="12240" w:h="15840" w:code="1"/>
          <w:pgMar w:top="1440" w:right="1800" w:bottom="1440" w:left="1800" w:header="720" w:footer="1440" w:gutter="0"/>
          <w:cols w:space="720"/>
          <w:noEndnote/>
          <w:docGrid w:linePitch="360"/>
        </w:sectPr>
      </w:pPr>
      <w:r>
        <w:t>When the results of our analysis revealed</w:t>
      </w:r>
      <w:r w:rsidR="000E3253">
        <w:t xml:space="preserve"> overall </w:t>
      </w:r>
      <w:r w:rsidR="000438E0">
        <w:t>promising</w:t>
      </w:r>
      <w:r w:rsidR="000E3253">
        <w:t xml:space="preserve"> but heterogeneous potential to reduce impacts</w:t>
      </w:r>
      <w:r>
        <w:t xml:space="preserve"> at reasonable costs, we further explored causes for site-level differences in cost-impact tradeoffs. There are many possible sources of heterogeneity of costs and impacts across sites, all of which play out by affecting two things: the cost of moving infrastructure relative to the resulting change in impacts and the number of alternative configurations of infrastructure. For instance, larger sites may have more potential locations for infrastructure and thus increase the amount </w:t>
      </w:r>
      <w:r w:rsidR="00FB4FB5">
        <w:t>that impacts can be avoided</w:t>
      </w:r>
      <w:r>
        <w:t xml:space="preserve">. Some impacts may dominate others in a site, but may be limited in </w:t>
      </w:r>
      <w:r w:rsidR="00FB4FB5">
        <w:t>the potential to avoid them</w:t>
      </w:r>
      <w:r>
        <w:t xml:space="preserve">, and this would result in little scope to reduce impacts. Some impacts may trade off with others, such that moving infrastructure has </w:t>
      </w:r>
    </w:p>
    <w:p w:rsidR="00D77AE1" w:rsidRDefault="00F01773" w:rsidP="00D77AE1">
      <w:pPr>
        <w:sectPr w:rsidR="00D77AE1" w:rsidSect="00D77AE1">
          <w:pgSz w:w="12240" w:h="15840" w:code="1"/>
          <w:pgMar w:top="1440" w:right="1800" w:bottom="1440" w:left="1800" w:header="720" w:footer="1440" w:gutter="0"/>
          <w:cols w:space="720"/>
          <w:vAlign w:val="center"/>
          <w:noEndnote/>
          <w:docGrid w:linePitch="360"/>
        </w:sectPr>
      </w:pPr>
      <w:r>
        <w:pict>
          <v:shape id="_x0000_s1093" type="#_x0000_t202" style="width:430.8pt;height:344pt;mso-position-horizontal-relative:char;mso-position-vertical-relative:line" stroked="f">
            <v:textbox style="mso-next-textbox:#_x0000_s1093">
              <w:txbxContent>
                <w:p w:rsidR="006A45E8" w:rsidRDefault="006A45E8" w:rsidP="00D77AE1">
                  <w:pPr>
                    <w:keepNext/>
                    <w:jc w:val="center"/>
                  </w:pPr>
                  <w:r w:rsidRPr="001C291B">
                    <w:rPr>
                      <w:noProof/>
                    </w:rPr>
                    <w:drawing>
                      <wp:inline distT="0" distB="0" distL="0" distR="0">
                        <wp:extent cx="5192486" cy="3461657"/>
                        <wp:effectExtent l="19050" t="0" r="8164" b="0"/>
                        <wp:docPr id="89" name="Picture 2" descr="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png"/>
                                <pic:cNvPicPr/>
                              </pic:nvPicPr>
                              <pic:blipFill>
                                <a:blip r:embed="rId67" cstate="print"/>
                                <a:stretch>
                                  <a:fillRect/>
                                </a:stretch>
                              </pic:blipFill>
                              <pic:spPr>
                                <a:xfrm>
                                  <a:off x="0" y="0"/>
                                  <a:ext cx="5198649" cy="3465765"/>
                                </a:xfrm>
                                <a:prstGeom prst="rect">
                                  <a:avLst/>
                                </a:prstGeom>
                              </pic:spPr>
                            </pic:pic>
                          </a:graphicData>
                        </a:graphic>
                      </wp:inline>
                    </w:drawing>
                  </w:r>
                </w:p>
                <w:p w:rsidR="006A45E8" w:rsidRPr="002B2090" w:rsidRDefault="006A45E8" w:rsidP="00D77AE1">
                  <w:pPr>
                    <w:pStyle w:val="Caption"/>
                    <w:rPr>
                      <w:vanish/>
                      <w:lang w:val="en-GB"/>
                      <w:specVanish/>
                    </w:rPr>
                  </w:pPr>
                  <w:bookmarkStart w:id="132" w:name="_Ref417547679"/>
                  <w:bookmarkStart w:id="133" w:name="_Toc421352912"/>
                  <w:bookmarkStart w:id="134" w:name="_Toc417647080"/>
                  <w:proofErr w:type="gramStart"/>
                  <w:r w:rsidRPr="001C291B">
                    <w:t>Fig.</w:t>
                  </w:r>
                  <w:proofErr w:type="gramEnd"/>
                  <w:r w:rsidRPr="001C291B">
                    <w:t xml:space="preserve"> </w:t>
                  </w:r>
                  <w:fldSimple w:instr=" STYLEREF 1 \s ">
                    <w:r>
                      <w:rPr>
                        <w:noProof/>
                      </w:rPr>
                      <w:t>3</w:t>
                    </w:r>
                  </w:fldSimple>
                  <w:r>
                    <w:t>.</w:t>
                  </w:r>
                  <w:fldSimple w:instr=" SEQ Fig. \* ARABIC \s 1 ">
                    <w:r>
                      <w:rPr>
                        <w:noProof/>
                      </w:rPr>
                      <w:t>2</w:t>
                    </w:r>
                  </w:fldSimple>
                  <w:bookmarkEnd w:id="132"/>
                  <w:r>
                    <w:t>. Development sites (</w:t>
                  </w:r>
                  <w:r w:rsidRPr="00405FD2">
                    <w:t>green</w:t>
                  </w:r>
                  <w:r>
                    <w:rPr>
                      <w:color w:val="FF0000"/>
                    </w:rPr>
                    <w:t xml:space="preserve"> </w:t>
                  </w:r>
                  <w:r>
                    <w:t>polygons), with grouped well permits (gray) and the Marcellus shale play (beige)</w:t>
                  </w:r>
                  <w:bookmarkEnd w:id="133"/>
                  <w:r w:rsidRPr="00ED1197">
                    <w:rPr>
                      <w:vanish/>
                      <w:lang w:val="en-GB"/>
                      <w:specVanish/>
                    </w:rPr>
                    <w:t xml:space="preserve"> </w:t>
                  </w:r>
                </w:p>
                <w:p w:rsidR="006A45E8" w:rsidRDefault="006A45E8" w:rsidP="00D77AE1">
                  <w:pPr>
                    <w:pStyle w:val="Caption"/>
                  </w:pPr>
                  <w:r>
                    <w:t>. Sites were derived by overlaying production units on existing well permits and taking contiguous land parcels under those production units by a single operator. In all, 84 sites were developed.</w:t>
                  </w:r>
                  <w:bookmarkEnd w:id="134"/>
                </w:p>
              </w:txbxContent>
            </v:textbox>
            <w10:wrap type="none" anchorx="margin" anchory="margin"/>
            <w10:anchorlock/>
          </v:shape>
        </w:pict>
      </w:r>
    </w:p>
    <w:p w:rsidR="00890F5A" w:rsidRDefault="00812304" w:rsidP="00D77AE1">
      <w:proofErr w:type="gramStart"/>
      <w:r>
        <w:lastRenderedPageBreak/>
        <w:t>little</w:t>
      </w:r>
      <w:proofErr w:type="gramEnd"/>
      <w:r>
        <w:t xml:space="preserve"> effect on aggregate impacts. Finally, there may be attributes of the financial bottom-line configuration of infrastructure that prevent large reductions in potential impacts, such as that configuration is already in </w:t>
      </w:r>
      <w:r w:rsidR="00890F5A">
        <w:t>a low-impact area. We explore all these possibilities and others.</w:t>
      </w:r>
      <w:r w:rsidR="00D77AE1" w:rsidRPr="00D77AE1">
        <w:t xml:space="preserve"> </w:t>
      </w:r>
    </w:p>
    <w:p w:rsidR="008506DD" w:rsidRDefault="008506DD" w:rsidP="008506DD">
      <w:pPr>
        <w:pStyle w:val="Heading2"/>
      </w:pPr>
      <w:bookmarkStart w:id="135" w:name="_Toc421352878"/>
      <w:r>
        <w:t>Methods</w:t>
      </w:r>
      <w:bookmarkEnd w:id="135"/>
    </w:p>
    <w:p w:rsidR="008506DD" w:rsidRDefault="008506DD" w:rsidP="004B213E">
      <w:r>
        <w:t xml:space="preserve">We used Pennsylvania as a representative state for shale energy development in the eastern U.S. Over 9,620 horizontal wells were drilled in Pennsylvania between 2008 and 2014 according to the Pennsylvania Department of Environmental Protection’s permit reporting database. </w:t>
      </w:r>
      <w:r w:rsidR="003D6FDE">
        <w:t>As we discuss in Chapter 2, Pennsylvania is an ideal state to study development because of the large amount of development that has occurred, especially since it overlaps with areas of high conservation priority.</w:t>
      </w:r>
    </w:p>
    <w:p w:rsidR="008506DD" w:rsidRDefault="008506DD" w:rsidP="008506DD">
      <w:pPr>
        <w:ind w:firstLine="720"/>
      </w:pPr>
      <w:r>
        <w:t>We planned and analyzed shale energy development at the lease-hold scale. This is the scale at which well pads, access roads, and gathering pipelines are currently planned. As such, it is the planning scale which most directly affects the terrestrial and freshwater environment. The lease-hold scale is larger than parcel scale and tends to be several hundred to 10,000 hectares.</w:t>
      </w:r>
    </w:p>
    <w:p w:rsidR="008506DD" w:rsidRDefault="008506DD" w:rsidP="008506DD">
      <w:pPr>
        <w:ind w:firstLine="720"/>
      </w:pPr>
      <w:r>
        <w:t>Our sites were derived from locations of horizontal wells drilled from 2008-2013 (</w:t>
      </w:r>
      <w:r w:rsidR="00F01773">
        <w:fldChar w:fldCharType="begin"/>
      </w:r>
      <w:r>
        <w:instrText xml:space="preserve"> REF _Ref417549202 \h </w:instrText>
      </w:r>
      <w:r w:rsidR="00F01773">
        <w:fldChar w:fldCharType="separate"/>
      </w:r>
      <w:r w:rsidR="00867AA7">
        <w:t xml:space="preserve">Table S </w:t>
      </w:r>
      <w:r w:rsidR="00867AA7">
        <w:rPr>
          <w:noProof/>
        </w:rPr>
        <w:t>3</w:t>
      </w:r>
      <w:r w:rsidR="00867AA7">
        <w:t>.</w:t>
      </w:r>
      <w:r w:rsidR="00867AA7">
        <w:rPr>
          <w:noProof/>
        </w:rPr>
        <w:t>2</w:t>
      </w:r>
      <w:r w:rsidR="00F01773">
        <w:fldChar w:fldCharType="end"/>
      </w:r>
      <w:r>
        <w:t>). Grouped well points were merged into a single point to estimate locations of well pads. Each well pad point was overlaid with a 6-well production unit 3352.8 m tall by 914.4 m wide</w:t>
      </w:r>
      <w:r w:rsidR="00E300E4">
        <w:t xml:space="preserve"> (3000 by 1</w:t>
      </w:r>
      <w:r w:rsidR="00752236">
        <w:t>1</w:t>
      </w:r>
      <w:r w:rsidR="00E300E4">
        <w:t>000 ft)</w:t>
      </w:r>
      <w:r>
        <w:t xml:space="preserve"> and rotated 27</w:t>
      </w:r>
      <w:r>
        <w:rPr>
          <w:rFonts w:ascii="Cambria Math" w:hAnsi="Cambria Math"/>
        </w:rPr>
        <w:t>°</w:t>
      </w:r>
      <w:r>
        <w:t xml:space="preserve"> counter-clockwise (Triana Energy, LLC, </w:t>
      </w:r>
      <w:r>
        <w:rPr>
          <w:i/>
        </w:rPr>
        <w:t>pers. comm.</w:t>
      </w:r>
      <w:r>
        <w:t>). The Production Unit is the area under each well pad that can be drained of its gas when using a six-well configuration.  The angle of rotation matches the grain of the shale. Though this angle changes from place to place, it takes geologic surveys to know what the angle should be, and so we use an angle representative of examples we have seen from the gas industry. Production units were overlaid on land parcels. The set of contiguous land parcels shared by the production units of a single operator became one site. In all, this process produced 176 sites, 84 of which the software was successfully able to place infrastructure in (</w:t>
      </w:r>
      <w:r w:rsidR="00F01773">
        <w:fldChar w:fldCharType="begin"/>
      </w:r>
      <w:r>
        <w:instrText xml:space="preserve"> REF _Ref417547679 \h </w:instrText>
      </w:r>
      <w:r w:rsidR="00F01773">
        <w:fldChar w:fldCharType="separate"/>
      </w:r>
      <w:r w:rsidR="00867AA7" w:rsidRPr="001C291B">
        <w:t xml:space="preserve">Fig. </w:t>
      </w:r>
      <w:r w:rsidR="00867AA7">
        <w:rPr>
          <w:noProof/>
        </w:rPr>
        <w:t>3</w:t>
      </w:r>
      <w:r w:rsidR="00867AA7">
        <w:t>.</w:t>
      </w:r>
      <w:r w:rsidR="00867AA7">
        <w:rPr>
          <w:noProof/>
        </w:rPr>
        <w:t>2</w:t>
      </w:r>
      <w:r w:rsidR="00F01773">
        <w:fldChar w:fldCharType="end"/>
      </w:r>
      <w:r>
        <w:t>). Those areas which the software failed to place infrastructure in typically had no feasible layouts possible because of lack of road or pipeline access to potential well sites or existing road and pipeline networks.</w:t>
      </w:r>
    </w:p>
    <w:p w:rsidR="008506DD" w:rsidRDefault="008506DD" w:rsidP="008506DD">
      <w:pPr>
        <w:ind w:firstLine="720"/>
      </w:pPr>
      <w:r>
        <w:t>Several additional datasets are needed to place infrastructure in a site, including environmental data that inform infrastructure constraints, impacts, and construction costs (</w:t>
      </w:r>
      <w:r w:rsidR="00F01773">
        <w:fldChar w:fldCharType="begin"/>
      </w:r>
      <w:r>
        <w:instrText xml:space="preserve"> REF _Ref417549202 \h </w:instrText>
      </w:r>
      <w:r w:rsidR="00F01773">
        <w:fldChar w:fldCharType="separate"/>
      </w:r>
      <w:r w:rsidR="00867AA7">
        <w:t xml:space="preserve">Table S </w:t>
      </w:r>
      <w:r w:rsidR="00867AA7">
        <w:rPr>
          <w:noProof/>
        </w:rPr>
        <w:t>3</w:t>
      </w:r>
      <w:r w:rsidR="00867AA7">
        <w:t>.</w:t>
      </w:r>
      <w:r w:rsidR="00867AA7">
        <w:rPr>
          <w:noProof/>
        </w:rPr>
        <w:t>2</w:t>
      </w:r>
      <w:r w:rsidR="00F01773">
        <w:fldChar w:fldCharType="end"/>
      </w:r>
      <w:r>
        <w:t xml:space="preserve">). One such dataset is the existing pipeline network, which serves as connection points for gathering pipelines. In our experience, there are no sufficiently complete </w:t>
      </w:r>
      <w:r>
        <w:lastRenderedPageBreak/>
        <w:t>pipeline datasets that can be acquired for a state-wide, multi-company, site-level analysis such as ours. Instead, we used an admittedly sparse pipeline dataset and rather than force gathering pipelines to connect to existing pipelines far outside of the development boundary, we required they connect to a portion of the development boundary in the direction of the nearest existing pipeline. This served our analysis well, since our focus is on costs and impacts within single sites.</w:t>
      </w:r>
    </w:p>
    <w:p w:rsidR="008506DD" w:rsidRDefault="008506DD" w:rsidP="008506DD">
      <w:pPr>
        <w:ind w:firstLine="720"/>
      </w:pPr>
      <w:r>
        <w:t xml:space="preserve">The </w:t>
      </w:r>
      <w:r w:rsidRPr="00011CFC">
        <w:rPr>
          <w:i/>
        </w:rPr>
        <w:t>Impact Score</w:t>
      </w:r>
      <w:r>
        <w:t xml:space="preserve"> of a layout is a weighted sum of individual, normalized impact metrics (p. </w:t>
      </w:r>
      <w:r w:rsidR="00F01773">
        <w:fldChar w:fldCharType="begin"/>
      </w:r>
      <w:r>
        <w:instrText xml:space="preserve"> PAGEREF _Ref417550175 \h </w:instrText>
      </w:r>
      <w:r w:rsidR="00F01773">
        <w:fldChar w:fldCharType="separate"/>
      </w:r>
      <w:r w:rsidR="00867AA7">
        <w:rPr>
          <w:noProof/>
        </w:rPr>
        <w:t>102</w:t>
      </w:r>
      <w:r w:rsidR="00F01773">
        <w:fldChar w:fldCharType="end"/>
      </w:r>
      <w:r>
        <w:t>)</w:t>
      </w:r>
      <w:r w:rsidR="009A167A">
        <w:t xml:space="preserve"> </w:t>
      </w:r>
      <w:r w:rsidR="00C129F0">
        <w:t xml:space="preserve">and </w:t>
      </w:r>
      <w:r w:rsidR="009A167A">
        <w:t>which we used to place infrastructure</w:t>
      </w:r>
      <w:r>
        <w:t>. We used five metrics in our planning and analyses. First we calculated the amount of forest acreage lost (</w:t>
      </w:r>
      <w:r>
        <w:rPr>
          <w:i/>
        </w:rPr>
        <w:t>forest loss</w:t>
      </w:r>
      <w:r>
        <w:t>) by development of forest pixels. Second, we calculated the total edge-to-area ratio (</w:t>
      </w:r>
      <w:r>
        <w:rPr>
          <w:i/>
        </w:rPr>
        <w:t xml:space="preserve">forest </w:t>
      </w:r>
      <w:proofErr w:type="spellStart"/>
      <w:r>
        <w:rPr>
          <w:i/>
        </w:rPr>
        <w:t>frag</w:t>
      </w:r>
      <w:proofErr w:type="spellEnd"/>
      <w:r>
        <w:rPr>
          <w:i/>
        </w:rPr>
        <w:t>.</w:t>
      </w:r>
      <w:r>
        <w:t>) of forest after construction as one measure of forest fragmentation. Third, we calculated wetland encroachment (</w:t>
      </w:r>
      <w:r>
        <w:rPr>
          <w:i/>
        </w:rPr>
        <w:t>wetlands</w:t>
      </w:r>
      <w:r>
        <w:t>) as the percent of a 61-91 m (200-300 ft) buffer around wetlands occupied by infrastructure. Fourth, we calculated potential sedimentation in water bodies (</w:t>
      </w:r>
      <w:r w:rsidRPr="006C01FA">
        <w:rPr>
          <w:i/>
        </w:rPr>
        <w:t>sediment</w:t>
      </w:r>
      <w:r>
        <w:t xml:space="preserve">; p. </w:t>
      </w:r>
      <w:r w:rsidR="00F01773">
        <w:fldChar w:fldCharType="begin"/>
      </w:r>
      <w:r>
        <w:instrText xml:space="preserve"> PAGEREF _Ref417550202 \h </w:instrText>
      </w:r>
      <w:r w:rsidR="00F01773">
        <w:fldChar w:fldCharType="separate"/>
      </w:r>
      <w:r w:rsidR="00867AA7">
        <w:rPr>
          <w:noProof/>
        </w:rPr>
        <w:t>106</w:t>
      </w:r>
      <w:r w:rsidR="00F01773">
        <w:fldChar w:fldCharType="end"/>
      </w:r>
      <w:r>
        <w:t>). Fifth and finally, we calculated the expected impact on rare species (</w:t>
      </w:r>
      <w:r>
        <w:rPr>
          <w:i/>
        </w:rPr>
        <w:t>rare spp.</w:t>
      </w:r>
      <w:r>
        <w:t xml:space="preserve">) as the expected number of known rare species occurrences impacted by infrastructure based on habitat associations across the state. </w:t>
      </w:r>
      <w:r w:rsidR="003D6FDE">
        <w:t>For this analysis</w:t>
      </w:r>
      <w:r>
        <w:t xml:space="preserve">, impact metrics were weighted equally, except for forest acreage lost and forest perimeter to area ratio. Each of these received </w:t>
      </w:r>
      <w:r w:rsidR="004474C5">
        <w:t>half the weight of the others such that</w:t>
      </w:r>
      <w:r>
        <w:t xml:space="preserve"> each category of impacted features was given equal weight. We describe how impact metrics were normalized on p. </w:t>
      </w:r>
      <w:r w:rsidR="00F01773">
        <w:fldChar w:fldCharType="begin"/>
      </w:r>
      <w:r>
        <w:instrText xml:space="preserve"> PAGEREF _Ref409777969 \h </w:instrText>
      </w:r>
      <w:r w:rsidR="00F01773">
        <w:fldChar w:fldCharType="separate"/>
      </w:r>
      <w:r w:rsidR="00867AA7">
        <w:rPr>
          <w:noProof/>
        </w:rPr>
        <w:t>117</w:t>
      </w:r>
      <w:r w:rsidR="00F01773">
        <w:fldChar w:fldCharType="end"/>
      </w:r>
      <w:r>
        <w:t xml:space="preserve">. </w:t>
      </w:r>
      <w:r w:rsidR="003D6FDE">
        <w:t xml:space="preserve">Bungee – </w:t>
      </w:r>
      <w:r w:rsidR="000438E0">
        <w:t>spatial</w:t>
      </w:r>
      <w:r w:rsidR="003D6FDE">
        <w:t xml:space="preserve"> planning software described in the next paragraph – allows users to adjust the weights of impact metrics, thereby tailoring the behavior of the tool to the priorities of stakeholders in the planning area. Such weights could come from valuation exercises or other studies</w:t>
      </w:r>
      <w:r w:rsidR="000E3253">
        <w:t xml:space="preserve"> </w:t>
      </w:r>
      <w:r w:rsidR="00F01773">
        <w:fldChar w:fldCharType="begin" w:fldLock="1"/>
      </w:r>
      <w:r w:rsidR="001710CD">
        <w:instrText>ADDIN CSL_CITATION { "citationItems" : [ { "id" : "ITEM-1", "itemData" : { "author" : [ { "dropping-particle" : "", "family" : "Banzhaf", "given" : "H Spencer", "non-dropping-particle" : "", "parse-names" : false, "suffix" : "" }, { "dropping-particle" : "", "family" : "Burtraw", "given" : "Dallas", "non-dropping-particle" : "", "parse-names" : false, "suffix" : "" }, { "dropping-particle" : "", "family" : "Chung", "given" : "Susie", "non-dropping-particle" : "", "parse-names" : false, "suffix" : "" }, { "dropping-particle" : "", "family" : "Evans", "given" : "David A", "non-dropping-particle" : "", "parse-names" : false, "suffix" : "" }, { "dropping-particle" : "", "family" : "Krupnick", "given" : "Alan", "non-dropping-particle" : "", "parse-names" : false, "suffix" : "" }, { "dropping-particle" : "", "family" : "Siikamaki", "given" : "Juha", "non-dropping-particle" : "", "parse-names" : false, "suffix" : "" } ], "container-title" : "Resources For the Future, RFF DP", "id" : "ITEM-1", "issued" : { "date-parts" : [ [ "2014" ] ] }, "page" : "14-16", "title" : "Valuation of Ecosystem Services in the Southern Appalachian Mountains", "type" : "article-journal" }, "prefix" : "e.g.", "uris" : [ "http://www.mendeley.com/documents/?uuid=890155ce-ce62-4947-8a12-0da0e8ba14ce" ] } ], "mendeley" : { "formattedCitation" : "(e.g. Banzhaf &lt;i&gt;et al.&lt;/i&gt; 2014)", "plainTextFormattedCitation" : "(e.g. Banzhaf et al. 2014)", "previouslyFormattedCitation" : "(e.g. Banzhaf &lt;i&gt;et al.&lt;/i&gt; 2014)" }, "properties" : { "noteIndex" : 0 }, "schema" : "https://github.com/citation-style-language/schema/raw/master/csl-citation.json" }</w:instrText>
      </w:r>
      <w:r w:rsidR="00F01773">
        <w:fldChar w:fldCharType="separate"/>
      </w:r>
      <w:r w:rsidR="000E3253" w:rsidRPr="000E3253">
        <w:rPr>
          <w:noProof/>
        </w:rPr>
        <w:t xml:space="preserve">(e.g. Banzhaf </w:t>
      </w:r>
      <w:r w:rsidR="000E3253" w:rsidRPr="000E3253">
        <w:rPr>
          <w:i/>
          <w:noProof/>
        </w:rPr>
        <w:t>et al.</w:t>
      </w:r>
      <w:r w:rsidR="000E3253" w:rsidRPr="000E3253">
        <w:rPr>
          <w:noProof/>
        </w:rPr>
        <w:t xml:space="preserve"> 2014)</w:t>
      </w:r>
      <w:r w:rsidR="00F01773">
        <w:fldChar w:fldCharType="end"/>
      </w:r>
      <w:r w:rsidR="003D6FDE">
        <w:t>.</w:t>
      </w:r>
    </w:p>
    <w:p w:rsidR="00CD2B00" w:rsidRDefault="00023E71" w:rsidP="004210AC">
      <w:pPr>
        <w:ind w:firstLine="720"/>
        <w:rPr>
          <w:rFonts w:cs="Times New Roman"/>
        </w:rPr>
        <w:sectPr w:rsidR="00CD2B00" w:rsidSect="002115B4">
          <w:pgSz w:w="12240" w:h="15840" w:code="1"/>
          <w:pgMar w:top="1440" w:right="1800" w:bottom="1440" w:left="1800" w:header="720" w:footer="1440" w:gutter="0"/>
          <w:cols w:space="720"/>
          <w:noEndnote/>
          <w:docGrid w:linePitch="360"/>
        </w:sectPr>
      </w:pPr>
      <w:r>
        <w:t xml:space="preserve">We developed novel spatial planning software – Bungee – with the chief aim of informing the gas industry of ways to reduce environmental impacts from surface infrastructure at reasonable costs. </w:t>
      </w:r>
      <w:r w:rsidR="004474C5">
        <w:t xml:space="preserve">Bungee stands for “Balancing Unconventional Natural Gas Extraction and the Environment,” but we use it colloquially without capitalization. </w:t>
      </w:r>
      <w:r>
        <w:t xml:space="preserve">Bungee performs spatial optimization of surface infrastructure at the lease-hold level (p. </w:t>
      </w:r>
      <w:r w:rsidR="00F01773">
        <w:fldChar w:fldCharType="begin"/>
      </w:r>
      <w:r>
        <w:instrText xml:space="preserve"> PAGEREF _Ref417550356 \h </w:instrText>
      </w:r>
      <w:r w:rsidR="00F01773">
        <w:fldChar w:fldCharType="separate"/>
      </w:r>
      <w:r w:rsidR="00867AA7">
        <w:rPr>
          <w:noProof/>
        </w:rPr>
        <w:t>116</w:t>
      </w:r>
      <w:r w:rsidR="00F01773">
        <w:fldChar w:fldCharType="end"/>
      </w:r>
      <w:r>
        <w:t xml:space="preserve">). Bungee attempts to minimize environmental impacts from infrastructure while limiting the total construction budget. For a single site, Bungee proposes multiple alternative layouts – configurations of well pad locations and access road and gathering pipeline routes – that differ in their impacts and costs (e.g. </w:t>
      </w:r>
      <w:r w:rsidR="00F01773">
        <w:fldChar w:fldCharType="begin"/>
      </w:r>
      <w:r>
        <w:instrText xml:space="preserve"> REF _Ref417547689 \h </w:instrText>
      </w:r>
      <w:r w:rsidR="00F01773">
        <w:fldChar w:fldCharType="separate"/>
      </w:r>
      <w:r w:rsidR="00867AA7">
        <w:t xml:space="preserve">Fig. </w:t>
      </w:r>
      <w:r w:rsidR="00867AA7">
        <w:rPr>
          <w:noProof/>
        </w:rPr>
        <w:t>3</w:t>
      </w:r>
      <w:r w:rsidR="00867AA7">
        <w:t>.</w:t>
      </w:r>
      <w:r w:rsidR="00867AA7">
        <w:rPr>
          <w:noProof/>
        </w:rPr>
        <w:t>3</w:t>
      </w:r>
      <w:r w:rsidR="00F01773">
        <w:fldChar w:fldCharType="end"/>
      </w:r>
      <w:r>
        <w:t xml:space="preserve">). Associated with an infrastructure layout are summary statistics about the individual impact metrics over which the software optimized as well as the estimated </w:t>
      </w:r>
    </w:p>
    <w:p w:rsidR="00CD2B00" w:rsidRDefault="00F01773" w:rsidP="00CD2B00">
      <w:pPr>
        <w:sectPr w:rsidR="00CD2B00" w:rsidSect="00CD2B00">
          <w:pgSz w:w="12240" w:h="15840" w:code="1"/>
          <w:pgMar w:top="1440" w:right="1800" w:bottom="1440" w:left="1800" w:header="720" w:footer="1440" w:gutter="0"/>
          <w:cols w:space="720"/>
          <w:vAlign w:val="center"/>
          <w:noEndnote/>
          <w:docGrid w:linePitch="360"/>
        </w:sectPr>
      </w:pPr>
      <w:r>
        <w:pict>
          <v:shape id="_x0000_s1092" type="#_x0000_t202" style="width:6in;height:459pt;mso-position-horizontal-relative:char;mso-position-vertical-relative:line" filled="f" stroked="f">
            <v:textbox style="mso-next-textbox:#_x0000_s1092">
              <w:txbxContent>
                <w:p w:rsidR="006A45E8" w:rsidRDefault="006A45E8" w:rsidP="00CD2B00">
                  <w:pPr>
                    <w:pStyle w:val="Caption"/>
                    <w:jc w:val="center"/>
                  </w:pPr>
                  <w:r w:rsidRPr="00237B41">
                    <w:rPr>
                      <w:noProof/>
                    </w:rPr>
                    <w:drawing>
                      <wp:inline distT="0" distB="0" distL="0" distR="0">
                        <wp:extent cx="5534841" cy="3604965"/>
                        <wp:effectExtent l="19050" t="0" r="0" b="0"/>
                        <wp:docPr id="92" name="Picture 6" descr="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png"/>
                                <pic:cNvPicPr/>
                              </pic:nvPicPr>
                              <pic:blipFill>
                                <a:blip r:embed="rId68"/>
                                <a:stretch>
                                  <a:fillRect/>
                                </a:stretch>
                              </pic:blipFill>
                              <pic:spPr>
                                <a:xfrm>
                                  <a:off x="0" y="0"/>
                                  <a:ext cx="5542714" cy="3610093"/>
                                </a:xfrm>
                                <a:prstGeom prst="rect">
                                  <a:avLst/>
                                </a:prstGeom>
                              </pic:spPr>
                            </pic:pic>
                          </a:graphicData>
                        </a:graphic>
                      </wp:inline>
                    </w:drawing>
                  </w:r>
                </w:p>
                <w:p w:rsidR="006A45E8" w:rsidRPr="002B2090" w:rsidRDefault="006A45E8" w:rsidP="00CD2B00">
                  <w:pPr>
                    <w:pStyle w:val="Caption"/>
                    <w:rPr>
                      <w:vanish/>
                      <w:lang w:val="en-GB"/>
                      <w:specVanish/>
                    </w:rPr>
                  </w:pPr>
                  <w:bookmarkStart w:id="136" w:name="_Ref417547689"/>
                  <w:bookmarkStart w:id="137" w:name="_Toc421352913"/>
                  <w:bookmarkStart w:id="138" w:name="_Toc417647081"/>
                  <w:proofErr w:type="gramStart"/>
                  <w:r>
                    <w:t>Fig.</w:t>
                  </w:r>
                  <w:proofErr w:type="gramEnd"/>
                  <w:r>
                    <w:t xml:space="preserve"> </w:t>
                  </w:r>
                  <w:fldSimple w:instr=" STYLEREF 1 \s ">
                    <w:r>
                      <w:rPr>
                        <w:noProof/>
                      </w:rPr>
                      <w:t>3</w:t>
                    </w:r>
                  </w:fldSimple>
                  <w:r>
                    <w:t>.</w:t>
                  </w:r>
                  <w:fldSimple w:instr=" SEQ Fig. \* ARABIC \s 1 ">
                    <w:r>
                      <w:rPr>
                        <w:noProof/>
                      </w:rPr>
                      <w:t>3</w:t>
                    </w:r>
                  </w:fldSimple>
                  <w:bookmarkEnd w:id="136"/>
                  <w:r>
                    <w:t>. Example layouts and their estimated impacts produced by our infrastructure planning software</w:t>
                  </w:r>
                  <w:bookmarkEnd w:id="137"/>
                </w:p>
                <w:p w:rsidR="006A45E8" w:rsidRDefault="006A45E8" w:rsidP="00CD2B00">
                  <w:pPr>
                    <w:pStyle w:val="Caption"/>
                  </w:pPr>
                  <w:r>
                    <w:t>. The choice of layouts was made to illustrate how layouts differ spatially when going from (left column) lower costs and higher impacts to (right column) higher costs and lower impacts. (</w:t>
                  </w:r>
                  <w:proofErr w:type="gramStart"/>
                  <w:r>
                    <w:t>table</w:t>
                  </w:r>
                  <w:proofErr w:type="gramEnd"/>
                  <w:r>
                    <w:t xml:space="preserve">) Spatial differences in layouts lead to differences in impact and costs. Individual impact metrics (p. </w:t>
                  </w:r>
                  <w:r>
                    <w:fldChar w:fldCharType="begin"/>
                  </w:r>
                  <w:r>
                    <w:instrText xml:space="preserve"> PAGEREF _Ref417550337 \h </w:instrText>
                  </w:r>
                  <w:r>
                    <w:fldChar w:fldCharType="separate"/>
                  </w:r>
                  <w:r>
                    <w:rPr>
                      <w:noProof/>
                    </w:rPr>
                    <w:t>102</w:t>
                  </w:r>
                  <w:r>
                    <w:fldChar w:fldCharType="end"/>
                  </w:r>
                  <w:r>
                    <w:t xml:space="preserve">) are </w:t>
                  </w:r>
                  <w:r>
                    <w:rPr>
                      <w:i/>
                    </w:rPr>
                    <w:t xml:space="preserve">rare spp. </w:t>
                  </w:r>
                  <w:r>
                    <w:t xml:space="preserve">– expected number of known rare species locations encountered, </w:t>
                  </w:r>
                  <w:r>
                    <w:rPr>
                      <w:i/>
                    </w:rPr>
                    <w:t xml:space="preserve">wetlands </w:t>
                  </w:r>
                  <w:r>
                    <w:t xml:space="preserve">– percent of buffer around wetlands occupied by infrastructure, </w:t>
                  </w:r>
                  <w:r>
                    <w:rPr>
                      <w:i/>
                    </w:rPr>
                    <w:t xml:space="preserve">sediment </w:t>
                  </w:r>
                  <w:r w:rsidRPr="004A390C">
                    <w:softHyphen/>
                  </w:r>
                  <w:r w:rsidRPr="004A390C">
                    <w:softHyphen/>
                  </w:r>
                  <w:r>
                    <w:t xml:space="preserve">– sediment load in moving water bodies by disturbing soil, </w:t>
                  </w:r>
                  <w:r>
                    <w:rPr>
                      <w:i/>
                    </w:rPr>
                    <w:t xml:space="preserve">forest loss </w:t>
                  </w:r>
                  <w:r>
                    <w:t xml:space="preserve">– area of forest cleared, </w:t>
                  </w:r>
                  <w:r>
                    <w:rPr>
                      <w:i/>
                    </w:rPr>
                    <w:t xml:space="preserve">forest </w:t>
                  </w:r>
                  <w:proofErr w:type="spellStart"/>
                  <w:r>
                    <w:rPr>
                      <w:i/>
                    </w:rPr>
                    <w:t>frag</w:t>
                  </w:r>
                  <w:proofErr w:type="spellEnd"/>
                  <w:r>
                    <w:rPr>
                      <w:i/>
                    </w:rPr>
                    <w:t>.</w:t>
                  </w:r>
                  <w:r>
                    <w:t xml:space="preserve"> – </w:t>
                  </w:r>
                  <w:proofErr w:type="gramStart"/>
                  <w:r>
                    <w:t>forest</w:t>
                  </w:r>
                  <w:proofErr w:type="gramEnd"/>
                  <w:r>
                    <w:t xml:space="preserve"> edge-to-area ratio after development. </w:t>
                  </w:r>
                  <w:r>
                    <w:rPr>
                      <w:i/>
                    </w:rPr>
                    <w:t xml:space="preserve">Impact </w:t>
                  </w:r>
                  <w:r w:rsidRPr="001D5C61">
                    <w:rPr>
                      <w:i/>
                    </w:rPr>
                    <w:t>Score</w:t>
                  </w:r>
                  <w:r>
                    <w:t xml:space="preserve"> is an aggregate of the individual impact metrics. </w:t>
                  </w:r>
                  <w:r w:rsidRPr="004A390C">
                    <w:rPr>
                      <w:i/>
                    </w:rPr>
                    <w:t>Impact Scores</w:t>
                  </w:r>
                  <w:r>
                    <w:t xml:space="preserve"> at different sites are not comparable. We use a monotonic, non-linear color scaling on the impact surface to enhance heterogeneity of impact values.</w:t>
                  </w:r>
                  <w:bookmarkEnd w:id="138"/>
                </w:p>
              </w:txbxContent>
            </v:textbox>
            <w10:wrap type="none" anchorx="margin" anchory="margin"/>
            <w10:anchorlock/>
          </v:shape>
        </w:pict>
      </w:r>
    </w:p>
    <w:p w:rsidR="00023E71" w:rsidRPr="00023E71" w:rsidRDefault="00C130A2" w:rsidP="00CD2B00">
      <w:pPr>
        <w:rPr>
          <w:rFonts w:cs="Times New Roman"/>
        </w:rPr>
      </w:pPr>
      <w:proofErr w:type="gramStart"/>
      <w:r>
        <w:lastRenderedPageBreak/>
        <w:t>construction</w:t>
      </w:r>
      <w:proofErr w:type="gramEnd"/>
      <w:r>
        <w:t xml:space="preserve"> costs. Impact metric values and costs are based on GIS layers and consultation with The Nature Conservancy and the gas industry. Our main gas industry contact for this study was </w:t>
      </w:r>
      <w:r>
        <w:rPr>
          <w:rFonts w:cs="Times New Roman"/>
        </w:rPr>
        <w:t xml:space="preserve">Triana Energy, LLC, which is a privately held oil and gas exploration and production company based in Charleston, West Virginia, USA and </w:t>
      </w:r>
      <w:r w:rsidR="00023E71">
        <w:rPr>
          <w:rFonts w:cs="Times New Roman"/>
        </w:rPr>
        <w:t>operating in both West Virginia and Pennsylvania. We used Triana’s experience with shale energy development to inform the dimensions of production units, construction limits such as road grades, and surface infrastructure planning more generally.</w:t>
      </w:r>
      <w:r w:rsidR="00CD2B00" w:rsidRPr="00CD2B00">
        <w:t xml:space="preserve"> </w:t>
      </w:r>
    </w:p>
    <w:p w:rsidR="008506DD" w:rsidRDefault="008506DD" w:rsidP="008506DD">
      <w:pPr>
        <w:ind w:firstLine="720"/>
      </w:pPr>
      <w:r>
        <w:t xml:space="preserve">Infrastructure layouts were planned using our hierarchical, heuristic, least-cost based spatial optimization software, Bungee. Before placing well pads, access roads, and gathering pipelines, Bungee determines both the number and approximate locations of well pads in a site by maximally packing production units within the site polygon. As such, the final number and locations of well pads was not directly determined by the existing well permits. To pack production units into sites, Bungee iteratively adds production units to the site and uses a simulated annealing algorithm to make room for new production units. Production units were allowed to partially overlap other production units as well as go outside the site as long as the total unused area of each production unit did not exceed 20%. We further explain the packing process on p. </w:t>
      </w:r>
      <w:r w:rsidR="00F01773">
        <w:fldChar w:fldCharType="begin"/>
      </w:r>
      <w:r>
        <w:instrText xml:space="preserve"> PAGEREF _Ref410048421 \h </w:instrText>
      </w:r>
      <w:r w:rsidR="00F01773">
        <w:fldChar w:fldCharType="separate"/>
      </w:r>
      <w:r w:rsidR="00867AA7">
        <w:rPr>
          <w:noProof/>
        </w:rPr>
        <w:t>118</w:t>
      </w:r>
      <w:r w:rsidR="00F01773">
        <w:fldChar w:fldCharType="end"/>
      </w:r>
      <w:r>
        <w:t xml:space="preserve"> and Bungee documentation</w:t>
      </w:r>
      <w:r w:rsidR="00110723">
        <w:t xml:space="preserve"> (available upon request)</w:t>
      </w:r>
      <w:r>
        <w:t>.</w:t>
      </w:r>
    </w:p>
    <w:p w:rsidR="008506DD" w:rsidRDefault="008506DD" w:rsidP="008506DD">
      <w:pPr>
        <w:ind w:firstLine="720"/>
      </w:pPr>
      <w:r>
        <w:t xml:space="preserve">Infrastructure layouts were placed after production units, which determine the approximate areas where well pads will go. Each infrastructure layout consists of a set of pad locations, access road connection routes, and gathering pipeline connection routes (e.g. </w:t>
      </w:r>
      <w:r w:rsidR="00F01773">
        <w:fldChar w:fldCharType="begin"/>
      </w:r>
      <w:r>
        <w:instrText xml:space="preserve"> REF _Ref417547689 \h </w:instrText>
      </w:r>
      <w:r w:rsidR="00F01773">
        <w:fldChar w:fldCharType="separate"/>
      </w:r>
      <w:r w:rsidR="00867AA7">
        <w:t xml:space="preserve">Fig. </w:t>
      </w:r>
      <w:r w:rsidR="00867AA7">
        <w:rPr>
          <w:noProof/>
        </w:rPr>
        <w:t>3</w:t>
      </w:r>
      <w:r w:rsidR="00867AA7">
        <w:t>.</w:t>
      </w:r>
      <w:r w:rsidR="00867AA7">
        <w:rPr>
          <w:noProof/>
        </w:rPr>
        <w:t>3</w:t>
      </w:r>
      <w:r w:rsidR="00F01773">
        <w:fldChar w:fldCharType="end"/>
      </w:r>
      <w:r>
        <w:t xml:space="preserve">). The infrastructure layout creation portion of Bungee relies on (1) feasible locations for infrastructure, (2) an impact objective, and (3) cost constraints. The first of these requirements is determined by regulatory setbacks and technological constraints. The impact objective is the </w:t>
      </w:r>
      <w:r w:rsidRPr="004A390C">
        <w:rPr>
          <w:i/>
        </w:rPr>
        <w:t>Impact Score</w:t>
      </w:r>
      <w:r>
        <w:t>, which we have already described. The third requirement is determined by the cost of an estimated least-monetary-cost layout. All layouts are produced by first proposing locations of well pads. Once locations are chosen, well pads become terminals for roads and pipelines. Roads and pipelines are routed using a least-cost path algorithm that is a modified version of Dijkstra’s algorithm</w:t>
      </w:r>
      <w:r w:rsidR="001710CD">
        <w:t xml:space="preserve"> </w:t>
      </w:r>
      <w:r w:rsidR="00F01773">
        <w:fldChar w:fldCharType="begin" w:fldLock="1"/>
      </w:r>
      <w:r w:rsidR="00560194">
        <w:instrText>ADDIN CSL_CITATION { "citationItems" : [ { "id" : "ITEM-1", "itemData" : { "author" : [ { "dropping-particle" : "", "family" : "Dijkstra", "given" : "E W", "non-dropping-particle" : "", "parse-names" : false, "suffix" : "" } ], "container-title" : "Numerische Mathematik", "id" : "ITEM-1", "issue" : "1", "issued" : { "date-parts" : [ [ "1959" ] ] }, "page" : "269-271", "title" : "A Note on Two Problems in Connexion with Graphs", "type" : "article-journal", "volume" : "1" }, "uris" : [ "http://www.mendeley.com/documents/?uuid=0c1979ca-555a-40a3-b289-c79a71c51a17" ] } ], "mendeley" : { "formattedCitation" : "(Dijkstra 1959)", "plainTextFormattedCitation" : "(Dijkstra 1959)", "previouslyFormattedCitation" : "(Dijkstra 1959)" }, "properties" : { "noteIndex" : 0 }, "schema" : "https://github.com/citation-style-language/schema/raw/master/csl-citation.json" }</w:instrText>
      </w:r>
      <w:r w:rsidR="00F01773">
        <w:fldChar w:fldCharType="separate"/>
      </w:r>
      <w:r w:rsidR="001710CD" w:rsidRPr="001710CD">
        <w:rPr>
          <w:noProof/>
        </w:rPr>
        <w:t>(Dijkstra 1959)</w:t>
      </w:r>
      <w:r w:rsidR="00F01773">
        <w:fldChar w:fldCharType="end"/>
      </w:r>
      <w:r>
        <w:t xml:space="preserve">. The surface over which access roads and pipelines are routed is a spatially additive approximation of the </w:t>
      </w:r>
      <w:r w:rsidRPr="00011CFC">
        <w:rPr>
          <w:i/>
        </w:rPr>
        <w:t>Impact Score</w:t>
      </w:r>
      <w:r>
        <w:t xml:space="preserve">, which is non-additive in nature. Access roads and gathering pipelines must connect to their respective existing infrastructure networks. Each layout must adhere to a monetary construction budget which is iteratively relaxed to trace the tradeoff curve for a site. The optimal layout at one construction budget is determined by a genetic algorithm optimization of the locations of well pads and order of construction of linear infrastructure (p. </w:t>
      </w:r>
      <w:r w:rsidR="00F01773">
        <w:fldChar w:fldCharType="begin"/>
      </w:r>
      <w:r>
        <w:instrText xml:space="preserve"> PAGEREF _Ref417550279 \h </w:instrText>
      </w:r>
      <w:r w:rsidR="00F01773">
        <w:fldChar w:fldCharType="separate"/>
      </w:r>
      <w:r w:rsidR="00867AA7">
        <w:rPr>
          <w:noProof/>
        </w:rPr>
        <w:t>116</w:t>
      </w:r>
      <w:r w:rsidR="00F01773">
        <w:fldChar w:fldCharType="end"/>
      </w:r>
      <w:r>
        <w:t xml:space="preserve">). </w:t>
      </w:r>
      <w:r>
        <w:lastRenderedPageBreak/>
        <w:t xml:space="preserve">This method will likely produce local (rather than global) optima, so we planned layouts five times for each site and took those layouts that were not simultaneously more impacting and more costly than any other layout, i.e. they are </w:t>
      </w:r>
      <w:r w:rsidR="001710CD">
        <w:t xml:space="preserve">closer to the </w:t>
      </w:r>
      <w:r>
        <w:t>Pareto-</w:t>
      </w:r>
      <w:r w:rsidR="001710CD">
        <w:t>frontier</w:t>
      </w:r>
      <w:r>
        <w:t>.</w:t>
      </w:r>
    </w:p>
    <w:p w:rsidR="00C051C9" w:rsidRPr="00C051C9" w:rsidRDefault="00382C4C" w:rsidP="008506DD">
      <w:pPr>
        <w:pStyle w:val="Heading2"/>
      </w:pPr>
      <w:bookmarkStart w:id="139" w:name="_Toc418527424"/>
      <w:bookmarkStart w:id="140" w:name="_Toc417646785"/>
      <w:bookmarkStart w:id="141" w:name="_Toc421352879"/>
      <w:bookmarkEnd w:id="139"/>
      <w:r>
        <w:t>Results</w:t>
      </w:r>
      <w:bookmarkEnd w:id="140"/>
      <w:bookmarkEnd w:id="141"/>
    </w:p>
    <w:p w:rsidR="00C051C9" w:rsidRDefault="00C051C9" w:rsidP="00C051C9">
      <w:pPr>
        <w:pStyle w:val="Heading3"/>
      </w:pPr>
      <w:bookmarkStart w:id="142" w:name="_Toc417646787"/>
      <w:r>
        <w:t>Infrastructure Layouts</w:t>
      </w:r>
      <w:bookmarkEnd w:id="142"/>
    </w:p>
    <w:p w:rsidR="00C051C9" w:rsidRDefault="00C051C9" w:rsidP="00C051C9">
      <w:r>
        <w:t>Using existing well locations to approximate lease-hold scale site boundaries, we planned shale energy surface infrastructure in 84 sites in 5 counties in Pennsylvania (</w:t>
      </w:r>
      <w:r w:rsidR="00F01773">
        <w:fldChar w:fldCharType="begin"/>
      </w:r>
      <w:r w:rsidR="00460479">
        <w:instrText xml:space="preserve"> REF _Ref417547679 \h </w:instrText>
      </w:r>
      <w:r w:rsidR="00F01773">
        <w:fldChar w:fldCharType="separate"/>
      </w:r>
      <w:r w:rsidR="00867AA7" w:rsidRPr="001C291B">
        <w:t xml:space="preserve">Fig. </w:t>
      </w:r>
      <w:r w:rsidR="00867AA7">
        <w:rPr>
          <w:noProof/>
        </w:rPr>
        <w:t>3</w:t>
      </w:r>
      <w:r w:rsidR="00867AA7">
        <w:t>.</w:t>
      </w:r>
      <w:r w:rsidR="00867AA7">
        <w:rPr>
          <w:noProof/>
        </w:rPr>
        <w:t>2</w:t>
      </w:r>
      <w:r w:rsidR="00F01773">
        <w:fldChar w:fldCharType="end"/>
      </w:r>
      <w:r>
        <w:t xml:space="preserve">). We were limited to five counties with shale energy development because of limits on parcel data. At each site, we used Bungee to automatically assess the tradeoffs between reducing environmental impacts and increasing construction costs. The software produced 2-20 layouts at each site. This number varies because (1) the software is heuristic, (2) the flexibility of planning at each site differs, and (3) the shape of the tradeoff </w:t>
      </w:r>
      <w:r w:rsidR="004D5CF6">
        <w:t>curve</w:t>
      </w:r>
      <w:r>
        <w:t xml:space="preserve"> varies by site. </w:t>
      </w:r>
    </w:p>
    <w:p w:rsidR="003E56C3" w:rsidRDefault="00C051C9" w:rsidP="001A2E9C">
      <w:pPr>
        <w:ind w:firstLine="720"/>
      </w:pPr>
      <w:r>
        <w:t>There are spatial patterns in layouts across sites (</w:t>
      </w:r>
      <w:r w:rsidR="00F01773">
        <w:fldChar w:fldCharType="begin"/>
      </w:r>
      <w:r w:rsidR="00460479">
        <w:instrText xml:space="preserve"> REF _Ref417547689 \h </w:instrText>
      </w:r>
      <w:r w:rsidR="00F01773">
        <w:fldChar w:fldCharType="separate"/>
      </w:r>
      <w:r w:rsidR="00867AA7">
        <w:t xml:space="preserve">Fig. </w:t>
      </w:r>
      <w:r w:rsidR="00867AA7">
        <w:rPr>
          <w:noProof/>
        </w:rPr>
        <w:t>3</w:t>
      </w:r>
      <w:r w:rsidR="00867AA7">
        <w:t>.</w:t>
      </w:r>
      <w:r w:rsidR="00867AA7">
        <w:rPr>
          <w:noProof/>
        </w:rPr>
        <w:t>3</w:t>
      </w:r>
      <w:r w:rsidR="00F01773">
        <w:fldChar w:fldCharType="end"/>
      </w:r>
      <w:r>
        <w:t>). At low costs, access roads and pipelines tend to be straight (</w:t>
      </w:r>
      <w:r w:rsidR="00F01773">
        <w:fldChar w:fldCharType="begin"/>
      </w:r>
      <w:r w:rsidR="00460479">
        <w:instrText xml:space="preserve"> REF _Ref417547689 \h </w:instrText>
      </w:r>
      <w:r w:rsidR="00F01773">
        <w:fldChar w:fldCharType="separate"/>
      </w:r>
      <w:r w:rsidR="00867AA7">
        <w:t xml:space="preserve">Fig. </w:t>
      </w:r>
      <w:r w:rsidR="00867AA7">
        <w:rPr>
          <w:noProof/>
        </w:rPr>
        <w:t>3</w:t>
      </w:r>
      <w:r w:rsidR="00867AA7">
        <w:t>.</w:t>
      </w:r>
      <w:r w:rsidR="00867AA7">
        <w:rPr>
          <w:noProof/>
        </w:rPr>
        <w:t>3</w:t>
      </w:r>
      <w:r w:rsidR="00F01773">
        <w:fldChar w:fldCharType="end"/>
      </w:r>
      <w:r>
        <w:t>a</w:t>
      </w:r>
      <w:proofErr w:type="gramStart"/>
      <w:r>
        <w:t>,c</w:t>
      </w:r>
      <w:proofErr w:type="gramEnd"/>
      <w:r>
        <w:t>) and short. As the amount spent increases, the routes of linear infrastructure begin to meander as the software tracks the lower-impact areas (</w:t>
      </w:r>
      <w:r w:rsidR="00F01773">
        <w:fldChar w:fldCharType="begin"/>
      </w:r>
      <w:r w:rsidR="00460479">
        <w:instrText xml:space="preserve"> REF _Ref417547689 \h </w:instrText>
      </w:r>
      <w:r w:rsidR="00F01773">
        <w:fldChar w:fldCharType="separate"/>
      </w:r>
      <w:r w:rsidR="00867AA7">
        <w:t xml:space="preserve">Fig. </w:t>
      </w:r>
      <w:r w:rsidR="00867AA7">
        <w:rPr>
          <w:noProof/>
        </w:rPr>
        <w:t>3</w:t>
      </w:r>
      <w:r w:rsidR="00867AA7">
        <w:t>.</w:t>
      </w:r>
      <w:r w:rsidR="00867AA7">
        <w:rPr>
          <w:noProof/>
        </w:rPr>
        <w:t>3</w:t>
      </w:r>
      <w:r w:rsidR="00F01773">
        <w:fldChar w:fldCharType="end"/>
      </w:r>
      <w:r>
        <w:t>b</w:t>
      </w:r>
      <w:proofErr w:type="gramStart"/>
      <w:r>
        <w:t>,d</w:t>
      </w:r>
      <w:proofErr w:type="gramEnd"/>
      <w:r>
        <w:t xml:space="preserve">). These differences between layouts are often subtle, but even subtle differences can greatly affect impacts and costs. For instance, in the table in </w:t>
      </w:r>
      <w:r w:rsidR="00F01773">
        <w:fldChar w:fldCharType="begin"/>
      </w:r>
      <w:r w:rsidR="00460479">
        <w:instrText xml:space="preserve"> REF _Ref417547689 \h </w:instrText>
      </w:r>
      <w:r w:rsidR="00F01773">
        <w:fldChar w:fldCharType="separate"/>
      </w:r>
      <w:r w:rsidR="00867AA7">
        <w:t xml:space="preserve">Fig. </w:t>
      </w:r>
      <w:r w:rsidR="00867AA7">
        <w:rPr>
          <w:noProof/>
        </w:rPr>
        <w:t>3</w:t>
      </w:r>
      <w:r w:rsidR="00867AA7">
        <w:t>.</w:t>
      </w:r>
      <w:r w:rsidR="00867AA7">
        <w:rPr>
          <w:noProof/>
        </w:rPr>
        <w:t>3</w:t>
      </w:r>
      <w:r w:rsidR="00F01773">
        <w:fldChar w:fldCharType="end"/>
      </w:r>
      <w:r w:rsidR="00460479">
        <w:t xml:space="preserve"> </w:t>
      </w:r>
      <w:r>
        <w:t xml:space="preserve">we show how the </w:t>
      </w:r>
      <w:proofErr w:type="gramStart"/>
      <w:r>
        <w:t>differences in layouts (a) and (b) increase costs</w:t>
      </w:r>
      <w:proofErr w:type="gramEnd"/>
      <w:r>
        <w:t xml:space="preserve"> by ~1.5</w:t>
      </w:r>
      <w:r w:rsidR="00AB057B">
        <w:t xml:space="preserve"> million USD</w:t>
      </w:r>
      <w:r>
        <w:t xml:space="preserve"> while reducing most impacts, but increasing impacts on wetlands. Sites differ by the number of pads since sites have different sizes and shapes. All layouts within a site are constrained to have the same number of pads.</w:t>
      </w:r>
    </w:p>
    <w:p w:rsidR="00F6722F" w:rsidRPr="004C649F" w:rsidRDefault="00F6722F" w:rsidP="00F6722F">
      <w:pPr>
        <w:pStyle w:val="Heading3"/>
      </w:pPr>
      <w:bookmarkStart w:id="143" w:name="_Toc417646788"/>
      <w:r>
        <w:t>Tradeoff Curves</w:t>
      </w:r>
      <w:bookmarkEnd w:id="143"/>
    </w:p>
    <w:p w:rsidR="00CD2B00" w:rsidRDefault="00F6722F" w:rsidP="00857AFB">
      <w:pPr>
        <w:tabs>
          <w:tab w:val="left" w:pos="5760"/>
        </w:tabs>
        <w:sectPr w:rsidR="00CD2B00" w:rsidSect="002115B4">
          <w:pgSz w:w="12240" w:h="15840" w:code="1"/>
          <w:pgMar w:top="1440" w:right="1800" w:bottom="1440" w:left="1800" w:header="720" w:footer="1440" w:gutter="0"/>
          <w:cols w:space="720"/>
          <w:noEndnote/>
          <w:docGrid w:linePitch="360"/>
        </w:sectPr>
      </w:pPr>
      <w:r>
        <w:t>We used an aggregate meas</w:t>
      </w:r>
      <w:r w:rsidR="00857AFB">
        <w:t xml:space="preserve">ure of environmental impact (p. </w:t>
      </w:r>
      <w:r w:rsidR="00F01773">
        <w:fldChar w:fldCharType="begin"/>
      </w:r>
      <w:r w:rsidR="00857AFB">
        <w:instrText xml:space="preserve"> PAGEREF _Ref407982808 \h </w:instrText>
      </w:r>
      <w:r w:rsidR="00F01773">
        <w:fldChar w:fldCharType="separate"/>
      </w:r>
      <w:r w:rsidR="00867AA7">
        <w:rPr>
          <w:noProof/>
        </w:rPr>
        <w:t>108</w:t>
      </w:r>
      <w:r w:rsidR="00F01773">
        <w:fldChar w:fldCharType="end"/>
      </w:r>
      <w:r>
        <w:t>)</w:t>
      </w:r>
      <w:r w:rsidR="00FF6D91">
        <w:t xml:space="preserve"> </w:t>
      </w:r>
      <w:r>
        <w:t xml:space="preserve">along with estimated construction costs of each layout to produce </w:t>
      </w:r>
      <w:r w:rsidR="001A3AF2">
        <w:t xml:space="preserve">a </w:t>
      </w:r>
      <w:r>
        <w:t>tradeoff curve for a site (</w:t>
      </w:r>
      <w:r w:rsidR="00F01773">
        <w:fldChar w:fldCharType="begin"/>
      </w:r>
      <w:r w:rsidR="00460479">
        <w:instrText xml:space="preserve"> REF _Ref417547744 \h </w:instrText>
      </w:r>
      <w:r w:rsidR="00F01773">
        <w:fldChar w:fldCharType="separate"/>
      </w:r>
      <w:r w:rsidR="00867AA7">
        <w:t xml:space="preserve">Fig. </w:t>
      </w:r>
      <w:r w:rsidR="00867AA7">
        <w:rPr>
          <w:noProof/>
        </w:rPr>
        <w:t>3</w:t>
      </w:r>
      <w:r w:rsidR="00867AA7">
        <w:t>.</w:t>
      </w:r>
      <w:r w:rsidR="00867AA7">
        <w:rPr>
          <w:noProof/>
        </w:rPr>
        <w:t>4</w:t>
      </w:r>
      <w:r w:rsidR="00F01773">
        <w:fldChar w:fldCharType="end"/>
      </w:r>
      <w:r>
        <w:t xml:space="preserve">). We linearly interpolated between points corresponding to the infrastructure layouts to construct each site’s tradeoff curve. Although tradeoff curves are generally thought of as smoothly concave or convex, our tradeoff curves are by nature of their construction </w:t>
      </w:r>
      <w:r w:rsidR="003B3EE1">
        <w:t xml:space="preserve">not smooth </w:t>
      </w:r>
      <w:r>
        <w:t xml:space="preserve">and vary in their convexity. </w:t>
      </w:r>
      <w:r w:rsidR="001A3AF2">
        <w:t xml:space="preserve">Discontinuity is created by the discreteness of layouts, which produce the points used to construct the tradeoff curves. </w:t>
      </w:r>
      <w:r w:rsidR="0017753C">
        <w:t xml:space="preserve">The set of </w:t>
      </w:r>
      <w:r w:rsidR="00D32E84">
        <w:t>Pareto</w:t>
      </w:r>
      <w:r w:rsidR="0017753C">
        <w:t>-improved layouts within a site tend to be separable into subsets, where each subset contains similarly planned infrastructure. Smal</w:t>
      </w:r>
      <w:r w:rsidR="00C130A2">
        <w:t>l variations on layouts produce</w:t>
      </w:r>
    </w:p>
    <w:p w:rsidR="00CD2B00" w:rsidRDefault="00F01773" w:rsidP="00857AFB">
      <w:pPr>
        <w:tabs>
          <w:tab w:val="left" w:pos="5760"/>
        </w:tabs>
        <w:sectPr w:rsidR="00CD2B00" w:rsidSect="00CD2B00">
          <w:pgSz w:w="12240" w:h="15840" w:code="1"/>
          <w:pgMar w:top="1440" w:right="1800" w:bottom="1440" w:left="1800" w:header="720" w:footer="1440" w:gutter="0"/>
          <w:cols w:space="720"/>
          <w:vAlign w:val="center"/>
          <w:noEndnote/>
          <w:docGrid w:linePitch="360"/>
        </w:sectPr>
      </w:pPr>
      <w:r>
        <w:pict>
          <v:shape id="_x0000_s1091" type="#_x0000_t202" style="width:6in;height:547.4pt;mso-position-horizontal-relative:char;mso-position-vertical-relative:line" filled="f" stroked="f">
            <v:textbox style="mso-next-textbox:#_x0000_s1091">
              <w:txbxContent>
                <w:p w:rsidR="006A45E8" w:rsidRDefault="006A45E8" w:rsidP="00CD2B00">
                  <w:pPr>
                    <w:keepNext/>
                    <w:jc w:val="center"/>
                  </w:pPr>
                  <w:r w:rsidRPr="00A22A7F">
                    <w:rPr>
                      <w:noProof/>
                    </w:rPr>
                    <w:drawing>
                      <wp:inline distT="0" distB="0" distL="0" distR="0">
                        <wp:extent cx="5249636" cy="5249636"/>
                        <wp:effectExtent l="19050" t="0" r="8164" b="0"/>
                        <wp:docPr id="95" name="Picture 3" descr="Fi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png"/>
                                <pic:cNvPicPr/>
                              </pic:nvPicPr>
                              <pic:blipFill>
                                <a:blip r:embed="rId69" cstate="print"/>
                                <a:stretch>
                                  <a:fillRect/>
                                </a:stretch>
                              </pic:blipFill>
                              <pic:spPr>
                                <a:xfrm>
                                  <a:off x="0" y="0"/>
                                  <a:ext cx="5255523" cy="5255523"/>
                                </a:xfrm>
                                <a:prstGeom prst="rect">
                                  <a:avLst/>
                                </a:prstGeom>
                              </pic:spPr>
                            </pic:pic>
                          </a:graphicData>
                        </a:graphic>
                      </wp:inline>
                    </w:drawing>
                  </w:r>
                </w:p>
                <w:p w:rsidR="006A45E8" w:rsidRPr="002B2090" w:rsidRDefault="006A45E8" w:rsidP="00CD2B00">
                  <w:pPr>
                    <w:pStyle w:val="Caption"/>
                    <w:rPr>
                      <w:vanish/>
                      <w:lang w:val="en-GB"/>
                      <w:specVanish/>
                    </w:rPr>
                  </w:pPr>
                  <w:bookmarkStart w:id="144" w:name="_Ref417547744"/>
                  <w:bookmarkStart w:id="145" w:name="_Toc421352914"/>
                  <w:bookmarkStart w:id="146" w:name="_Toc417647082"/>
                  <w:proofErr w:type="gramStart"/>
                  <w:r>
                    <w:t>Fig.</w:t>
                  </w:r>
                  <w:proofErr w:type="gramEnd"/>
                  <w:r>
                    <w:t xml:space="preserve"> </w:t>
                  </w:r>
                  <w:fldSimple w:instr=" STYLEREF 1 \s ">
                    <w:r>
                      <w:rPr>
                        <w:noProof/>
                      </w:rPr>
                      <w:t>3</w:t>
                    </w:r>
                  </w:fldSimple>
                  <w:r>
                    <w:t>.</w:t>
                  </w:r>
                  <w:fldSimple w:instr=" SEQ Fig. \* ARABIC \s 1 ">
                    <w:r>
                      <w:rPr>
                        <w:noProof/>
                      </w:rPr>
                      <w:t>4</w:t>
                    </w:r>
                  </w:fldSimple>
                  <w:bookmarkEnd w:id="144"/>
                  <w:r>
                    <w:t>.</w:t>
                  </w:r>
                  <w:r w:rsidRPr="00A22A7F">
                    <w:t xml:space="preserve"> </w:t>
                  </w:r>
                  <w:r>
                    <w:t>Cost of reducing impacts at the development-area scale as the commitment to reducing impact increases</w:t>
                  </w:r>
                  <w:bookmarkEnd w:id="145"/>
                </w:p>
                <w:p w:rsidR="006A45E8" w:rsidRDefault="006A45E8" w:rsidP="00CD2B00">
                  <w:pPr>
                    <w:pStyle w:val="Caption"/>
                  </w:pPr>
                  <w:r>
                    <w:t>. (</w:t>
                  </w:r>
                  <w:proofErr w:type="gramStart"/>
                  <w:r>
                    <w:t>gray</w:t>
                  </w:r>
                  <w:proofErr w:type="gramEnd"/>
                  <w:r>
                    <w:t xml:space="preserve"> lines) Tradeoff curves for individual sites, illustrating that the general shape of tradeoff curves, the maximum reduction in </w:t>
                  </w:r>
                  <w:r w:rsidRPr="004A390C">
                    <w:rPr>
                      <w:i/>
                    </w:rPr>
                    <w:t>Impact Score</w:t>
                  </w:r>
                  <w:r>
                    <w:t xml:space="preserve"> and the resulting increase in construction costs all vary across sites. The lines are interpolated between individual layouts and are shown for clarity, while in reality the tradeoff curves will not be smooth. (</w:t>
                  </w:r>
                  <w:proofErr w:type="gramStart"/>
                  <w:r>
                    <w:t>blue</w:t>
                  </w:r>
                  <w:proofErr w:type="gramEnd"/>
                  <w:r>
                    <w:t xml:space="preserve"> line) Median of the tradeoff curves where truncated curves are given a very high cost at higher levels of impact reduction. This illustrates the overall cost of reducing the </w:t>
                  </w:r>
                  <w:r w:rsidRPr="004A390C">
                    <w:rPr>
                      <w:i/>
                    </w:rPr>
                    <w:t>Impact Score</w:t>
                  </w:r>
                  <w:r>
                    <w:t xml:space="preserve"> by some amount when using one type of uniform policy across sites.</w:t>
                  </w:r>
                  <w:bookmarkEnd w:id="146"/>
                </w:p>
              </w:txbxContent>
            </v:textbox>
            <w10:wrap type="none" anchorx="margin" anchory="margin"/>
            <w10:anchorlock/>
          </v:shape>
        </w:pict>
      </w:r>
    </w:p>
    <w:p w:rsidR="00F6722F" w:rsidRDefault="00C130A2" w:rsidP="00857AFB">
      <w:pPr>
        <w:tabs>
          <w:tab w:val="left" w:pos="5760"/>
        </w:tabs>
      </w:pPr>
      <w:proofErr w:type="gramStart"/>
      <w:r>
        <w:lastRenderedPageBreak/>
        <w:t>small</w:t>
      </w:r>
      <w:proofErr w:type="gramEnd"/>
      <w:r>
        <w:t xml:space="preserve"> Pareto-improvements, such that points in the tradeoff curve for similar layouts are close together. Spatial differences between subsets of layouts tend to be large and result in large changes in Pareto-optimality. Thus, tradeoff curves tend to be characterized by clusters of points separated by large gaps, i.e. are not smooth. Variations in tradeoff curve convexity arise from a complex combination of the spatial relationship </w:t>
      </w:r>
      <w:r w:rsidR="00E94A5D">
        <w:t xml:space="preserve">between costs and impacts in a site, as well as environmental, developmental, and regulatory constraints on infrastructure placement, which in combination are difficult to tease apart. </w:t>
      </w:r>
      <w:r w:rsidR="00F6722F">
        <w:t xml:space="preserve">In order to compare across sites, which may have very different costs and impacts, we calculated the percent increase in construction costs and percent reduction in </w:t>
      </w:r>
      <w:r w:rsidR="00F6722F" w:rsidRPr="004A390C">
        <w:rPr>
          <w:i/>
        </w:rPr>
        <w:t>Impact Score</w:t>
      </w:r>
      <w:r w:rsidR="00F6722F">
        <w:t xml:space="preserve"> relative to the least-cost layout; the ratio of the first value to the second gives the impact elasticity of cost for a particular layout. As such, the dotted line in </w:t>
      </w:r>
      <w:r w:rsidR="00F01773">
        <w:fldChar w:fldCharType="begin"/>
      </w:r>
      <w:r w:rsidR="00460479">
        <w:instrText xml:space="preserve"> REF _Ref417547744 \h </w:instrText>
      </w:r>
      <w:r w:rsidR="00F01773">
        <w:fldChar w:fldCharType="separate"/>
      </w:r>
      <w:r w:rsidR="00867AA7">
        <w:t xml:space="preserve">Fig. </w:t>
      </w:r>
      <w:r w:rsidR="00867AA7">
        <w:rPr>
          <w:noProof/>
        </w:rPr>
        <w:t>3</w:t>
      </w:r>
      <w:r w:rsidR="00867AA7">
        <w:t>.</w:t>
      </w:r>
      <w:r w:rsidR="00867AA7">
        <w:rPr>
          <w:noProof/>
        </w:rPr>
        <w:t>4</w:t>
      </w:r>
      <w:r w:rsidR="00F01773">
        <w:fldChar w:fldCharType="end"/>
      </w:r>
      <w:r w:rsidR="00460479">
        <w:t xml:space="preserve"> </w:t>
      </w:r>
      <w:r w:rsidR="00F6722F">
        <w:t xml:space="preserve">is the line of unit elasticity, along which a 1% decrease in the </w:t>
      </w:r>
      <w:r w:rsidR="00F6722F" w:rsidRPr="004A390C">
        <w:rPr>
          <w:i/>
        </w:rPr>
        <w:t>Impact Score</w:t>
      </w:r>
      <w:r w:rsidR="00F6722F">
        <w:t xml:space="preserve"> requires a 1% increase in construction costs. Layouts above the unit elasticity line are proportionally more expensive than the resulting reduction in impact, while layouts below are proportionally cheaper for the impact reduction. As </w:t>
      </w:r>
      <w:r w:rsidR="00F01773">
        <w:fldChar w:fldCharType="begin"/>
      </w:r>
      <w:r w:rsidR="00460479">
        <w:instrText xml:space="preserve"> REF _Ref417547744 \h </w:instrText>
      </w:r>
      <w:r w:rsidR="00F01773">
        <w:fldChar w:fldCharType="separate"/>
      </w:r>
      <w:r w:rsidR="00867AA7">
        <w:t xml:space="preserve">Fig. </w:t>
      </w:r>
      <w:r w:rsidR="00867AA7">
        <w:rPr>
          <w:noProof/>
        </w:rPr>
        <w:t>3</w:t>
      </w:r>
      <w:r w:rsidR="00867AA7">
        <w:t>.</w:t>
      </w:r>
      <w:r w:rsidR="00867AA7">
        <w:rPr>
          <w:noProof/>
        </w:rPr>
        <w:t>4</w:t>
      </w:r>
      <w:r w:rsidR="00F01773">
        <w:fldChar w:fldCharType="end"/>
      </w:r>
      <w:r w:rsidR="00460479">
        <w:t xml:space="preserve"> </w:t>
      </w:r>
      <w:r w:rsidR="00F6722F">
        <w:t>shows, sites varied markedly by the shape of their tradeoff curves. Some curves lie primarily above the unit elasticity, while most lie below. Some curves are concave overall, while most are convex. The variation in the shapes of the tradeoff curves is</w:t>
      </w:r>
      <w:r w:rsidR="00FB574D">
        <w:t xml:space="preserve"> to be expected</w:t>
      </w:r>
      <w:r w:rsidR="00F6722F">
        <w:t>, since our sites may differ by how constrained infrastructure locations are, to what degree impacts and costs vary over the site, and the relative magnitude of change in impacts and costs brought on by moving infrastructure (i.e. % change). Below we do more analyses to understand what caused the general patterns we observed.</w:t>
      </w:r>
    </w:p>
    <w:p w:rsidR="00F6722F" w:rsidRPr="004C649F" w:rsidRDefault="00F6722F" w:rsidP="00F6722F">
      <w:pPr>
        <w:pStyle w:val="Heading3"/>
      </w:pPr>
      <w:bookmarkStart w:id="147" w:name="_Toc417646789"/>
      <w:r>
        <w:t>Cost of Reducing Impacts</w:t>
      </w:r>
      <w:bookmarkEnd w:id="147"/>
    </w:p>
    <w:p w:rsidR="00F6722F" w:rsidRDefault="00FB574D" w:rsidP="00F6722F">
      <w:r>
        <w:t xml:space="preserve">On average, we </w:t>
      </w:r>
      <w:r w:rsidR="00F6722F">
        <w:t xml:space="preserve">found that although large reductions in </w:t>
      </w:r>
      <w:r w:rsidR="00F6722F" w:rsidRPr="004A390C">
        <w:rPr>
          <w:i/>
        </w:rPr>
        <w:t>Impact Score</w:t>
      </w:r>
      <w:r w:rsidR="00F6722F">
        <w:t xml:space="preserve"> can often be achieved for little cost, this was </w:t>
      </w:r>
      <w:r>
        <w:t>true only for some sites</w:t>
      </w:r>
      <w:r w:rsidR="00F6722F">
        <w:t xml:space="preserve">. In </w:t>
      </w:r>
      <w:r w:rsidR="00F01773">
        <w:fldChar w:fldCharType="begin"/>
      </w:r>
      <w:r w:rsidR="00460479">
        <w:instrText xml:space="preserve"> REF _Ref417547744 \h </w:instrText>
      </w:r>
      <w:r w:rsidR="00F01773">
        <w:fldChar w:fldCharType="separate"/>
      </w:r>
      <w:r w:rsidR="00867AA7">
        <w:t xml:space="preserve">Fig. </w:t>
      </w:r>
      <w:r w:rsidR="00867AA7">
        <w:rPr>
          <w:noProof/>
        </w:rPr>
        <w:t>3</w:t>
      </w:r>
      <w:r w:rsidR="00867AA7">
        <w:t>.</w:t>
      </w:r>
      <w:r w:rsidR="00867AA7">
        <w:rPr>
          <w:noProof/>
        </w:rPr>
        <w:t>4</w:t>
      </w:r>
      <w:r w:rsidR="00F01773">
        <w:fldChar w:fldCharType="end"/>
      </w:r>
      <w:r w:rsidR="00460479">
        <w:t xml:space="preserve"> </w:t>
      </w:r>
      <w:r w:rsidR="00F6722F">
        <w:t xml:space="preserve">(gray lines), we plot the distribution of tradeoff curves showing the cost of reducing the </w:t>
      </w:r>
      <w:r w:rsidR="00F6722F" w:rsidRPr="004A390C">
        <w:rPr>
          <w:i/>
        </w:rPr>
        <w:t>Impact Score</w:t>
      </w:r>
      <w:r w:rsidR="00F6722F">
        <w:t xml:space="preserve"> by a specific amount. We also plot a summary tradeoff curve that aggregates across sites. The blue line in </w:t>
      </w:r>
      <w:r w:rsidR="00F01773">
        <w:fldChar w:fldCharType="begin"/>
      </w:r>
      <w:r w:rsidR="00460479">
        <w:instrText xml:space="preserve"> REF _Ref417547744 \h </w:instrText>
      </w:r>
      <w:r w:rsidR="00F01773">
        <w:fldChar w:fldCharType="separate"/>
      </w:r>
      <w:r w:rsidR="00867AA7">
        <w:t xml:space="preserve">Fig. </w:t>
      </w:r>
      <w:r w:rsidR="00867AA7">
        <w:rPr>
          <w:noProof/>
        </w:rPr>
        <w:t>3</w:t>
      </w:r>
      <w:r w:rsidR="00867AA7">
        <w:t>.</w:t>
      </w:r>
      <w:r w:rsidR="00867AA7">
        <w:rPr>
          <w:noProof/>
        </w:rPr>
        <w:t>4</w:t>
      </w:r>
      <w:r w:rsidR="00F01773">
        <w:fldChar w:fldCharType="end"/>
      </w:r>
      <w:r w:rsidR="00460479">
        <w:t xml:space="preserve"> </w:t>
      </w:r>
      <w:r w:rsidR="00F6722F">
        <w:t xml:space="preserve">shows the median value of the cost of reducing the </w:t>
      </w:r>
      <w:r w:rsidR="00F6722F" w:rsidRPr="004A390C">
        <w:rPr>
          <w:i/>
        </w:rPr>
        <w:t>Impact Score</w:t>
      </w:r>
      <w:r w:rsidR="00F6722F">
        <w:t xml:space="preserve"> when we artificially assign a very high cost to reducing impacts for curves that have no layout at the current impact reduction. This line represents overall costs of reducing impacts when using a median-based uniform regulation across sites. The median increase in construction cost increases almost linearly up to ~38%, such that a given percent reduction in the </w:t>
      </w:r>
      <w:r w:rsidR="00F6722F" w:rsidRPr="004A390C">
        <w:rPr>
          <w:i/>
        </w:rPr>
        <w:t>Impact Score</w:t>
      </w:r>
      <w:r w:rsidR="00F6722F">
        <w:t xml:space="preserve"> requires half that percent increase in costs. The median escalates quickly around 40% reduction in the </w:t>
      </w:r>
      <w:r w:rsidR="00F6722F" w:rsidRPr="004A390C">
        <w:rPr>
          <w:i/>
        </w:rPr>
        <w:t>Impact Score</w:t>
      </w:r>
      <w:r w:rsidR="00F6722F">
        <w:t xml:space="preserve">. Further reductions in the </w:t>
      </w:r>
      <w:r w:rsidR="00F6722F" w:rsidRPr="004A390C">
        <w:rPr>
          <w:i/>
        </w:rPr>
        <w:t>Impact Score</w:t>
      </w:r>
      <w:r w:rsidR="00F6722F">
        <w:t xml:space="preserve"> would require an inordinate </w:t>
      </w:r>
      <w:r w:rsidR="00F6722F">
        <w:lastRenderedPageBreak/>
        <w:t>amount of money</w:t>
      </w:r>
      <w:r w:rsidR="00CF20F2">
        <w:t xml:space="preserve"> on the median site</w:t>
      </w:r>
      <w:r w:rsidR="00F6722F">
        <w:t xml:space="preserve">. In other words, the impact elasticity of costs is about one-half up to ~38% and becomes almost perfectly elastic after 40%. </w:t>
      </w:r>
      <w:r>
        <w:t xml:space="preserve">Of our 84 sites, </w:t>
      </w:r>
      <w:r w:rsidR="000141B9">
        <w:t>43</w:t>
      </w:r>
      <w:r>
        <w:t xml:space="preserve"> could achieve this 40% reducti</w:t>
      </w:r>
      <w:r w:rsidR="000141B9">
        <w:t>on in impact at a cost of 0.8-3.8 million USD</w:t>
      </w:r>
      <w:r w:rsidR="00C56E95">
        <w:t xml:space="preserve"> per </w:t>
      </w:r>
      <w:r w:rsidR="000141B9">
        <w:t>pad</w:t>
      </w:r>
      <w:r>
        <w:t>.</w:t>
      </w:r>
    </w:p>
    <w:p w:rsidR="00CF20F2" w:rsidRDefault="00DB291F" w:rsidP="00411F78">
      <w:pPr>
        <w:ind w:firstLine="720"/>
      </w:pPr>
      <w:r>
        <w:t xml:space="preserve">There was considerable variation in site-level ability to and relative cost of reducing potential impacts. Note that raw </w:t>
      </w:r>
      <w:r w:rsidRPr="00E208E2">
        <w:rPr>
          <w:i/>
        </w:rPr>
        <w:t>Impact Scores</w:t>
      </w:r>
      <w:r>
        <w:t xml:space="preserve"> cannot be directly compared across sites, so we summarize by percentage changes relative to the least-cost layout. </w:t>
      </w:r>
      <w:r w:rsidR="003A3DEC">
        <w:t xml:space="preserve">The site with the largest potential to avoid impacts could reduce the </w:t>
      </w:r>
      <w:r w:rsidR="003A3DEC">
        <w:rPr>
          <w:i/>
        </w:rPr>
        <w:t>Impact Score</w:t>
      </w:r>
      <w:r w:rsidR="003A3DEC">
        <w:t xml:space="preserve"> up to 75% for</w:t>
      </w:r>
      <w:r w:rsidR="00D230F5">
        <w:t xml:space="preserve"> 4.1 million USD (1 million USD per pad). At the other extreme, </w:t>
      </w:r>
      <w:r w:rsidR="003A3DEC">
        <w:t xml:space="preserve">another site could reduce the </w:t>
      </w:r>
      <w:r w:rsidR="003A3DEC">
        <w:rPr>
          <w:i/>
        </w:rPr>
        <w:t xml:space="preserve">Impact Score </w:t>
      </w:r>
      <w:r w:rsidR="00D230F5">
        <w:t>only 2% at a cost of 7.7 million USD (1.1 million USD per pad).</w:t>
      </w:r>
      <w:r w:rsidR="004E391A">
        <w:t xml:space="preserve"> </w:t>
      </w:r>
      <w:r w:rsidR="005C0229">
        <w:t>Most</w:t>
      </w:r>
      <w:r w:rsidR="004E391A">
        <w:t xml:space="preserve"> sites</w:t>
      </w:r>
      <w:r w:rsidR="005C0229">
        <w:t xml:space="preserve"> (75 of 84 or 89%)</w:t>
      </w:r>
      <w:r w:rsidR="004E391A">
        <w:t xml:space="preserve"> had tradeoff curves mostly below the line of unit elasticity</w:t>
      </w:r>
      <w:r w:rsidR="005C0229">
        <w:t xml:space="preserve">, indicating it is relatively cheaper to reduce potential impacts by some amount in those sites. However, as can be seen in </w:t>
      </w:r>
      <w:r w:rsidR="00F01773">
        <w:fldChar w:fldCharType="begin"/>
      </w:r>
      <w:r w:rsidR="005C0229">
        <w:instrText xml:space="preserve"> REF _Ref417547744 \h </w:instrText>
      </w:r>
      <w:r w:rsidR="00F01773">
        <w:fldChar w:fldCharType="separate"/>
      </w:r>
      <w:r w:rsidR="00867AA7">
        <w:t xml:space="preserve">Fig. </w:t>
      </w:r>
      <w:r w:rsidR="00867AA7">
        <w:rPr>
          <w:noProof/>
        </w:rPr>
        <w:t>3</w:t>
      </w:r>
      <w:r w:rsidR="00867AA7">
        <w:t>.</w:t>
      </w:r>
      <w:r w:rsidR="00867AA7">
        <w:rPr>
          <w:noProof/>
        </w:rPr>
        <w:t>4</w:t>
      </w:r>
      <w:r w:rsidR="00F01773">
        <w:fldChar w:fldCharType="end"/>
      </w:r>
      <w:r w:rsidR="005C0229">
        <w:t>, curves below the line of unit elasticity are fairly evenly distributed in their overall shape</w:t>
      </w:r>
      <w:r w:rsidR="001918C0">
        <w:t>s.</w:t>
      </w:r>
    </w:p>
    <w:p w:rsidR="00F6722F" w:rsidRDefault="00CF20F2" w:rsidP="00CF20F2">
      <w:pPr>
        <w:pStyle w:val="Heading3"/>
      </w:pPr>
      <w:r>
        <w:t>Understanding Causes of Heterogeneity of Tradeoff Curves</w:t>
      </w:r>
    </w:p>
    <w:p w:rsidR="00F06840" w:rsidRDefault="00F06840" w:rsidP="00411F78">
      <w:pPr>
        <w:ind w:firstLine="720"/>
      </w:pPr>
      <w:r>
        <w:t>What site-level differences distinguish those sites with short versus long tradeoff curves and cheap versus expensive reductions in impacts, and which, in aggregate, lead to the median line in</w:t>
      </w:r>
      <w:r w:rsidR="00460479">
        <w:t xml:space="preserve"> </w:t>
      </w:r>
      <w:r w:rsidR="00F01773">
        <w:fldChar w:fldCharType="begin"/>
      </w:r>
      <w:r w:rsidR="00460479">
        <w:instrText xml:space="preserve"> REF _Ref417547744 \h </w:instrText>
      </w:r>
      <w:r w:rsidR="00F01773">
        <w:fldChar w:fldCharType="separate"/>
      </w:r>
      <w:r w:rsidR="00867AA7">
        <w:t xml:space="preserve">Fig. </w:t>
      </w:r>
      <w:r w:rsidR="00867AA7">
        <w:rPr>
          <w:noProof/>
        </w:rPr>
        <w:t>3</w:t>
      </w:r>
      <w:r w:rsidR="00867AA7">
        <w:t>.</w:t>
      </w:r>
      <w:r w:rsidR="00867AA7">
        <w:rPr>
          <w:noProof/>
        </w:rPr>
        <w:t>4</w:t>
      </w:r>
      <w:r w:rsidR="00F01773">
        <w:fldChar w:fldCharType="end"/>
      </w:r>
      <w:r>
        <w:t xml:space="preserve">? We chose to explore our results in three additional ways. First, we explored how site characteristics might influence our results. Second, we looked at the breakdown of impact metrics contributing to reductions in the </w:t>
      </w:r>
      <w:r w:rsidRPr="004A390C">
        <w:rPr>
          <w:i/>
        </w:rPr>
        <w:t>Impact Score</w:t>
      </w:r>
      <w:r>
        <w:t xml:space="preserve"> to see which impacts are responding the most to moving infrastructure. Third, we qualitatively assessed the spatial characteristics of impact surfaces and least-cost layouts at sites to determine the amount of reduction likely at a site and thus the shape of the site’s tradeoff curve.</w:t>
      </w:r>
    </w:p>
    <w:p w:rsidR="00F06840" w:rsidRDefault="00F06840" w:rsidP="00F06840">
      <w:pPr>
        <w:ind w:firstLine="720"/>
      </w:pPr>
      <w:r>
        <w:t>Simple ordinary least-square regression revealed tenuous support that site attributes reflecting the flexibility of planning can predict the amou</w:t>
      </w:r>
      <w:r w:rsidR="008329FB">
        <w:t xml:space="preserve">nt that impacts can be avoided </w:t>
      </w:r>
      <w:r>
        <w:t xml:space="preserve">or a combination of the </w:t>
      </w:r>
      <w:r w:rsidR="008329FB">
        <w:t>cost and impact</w:t>
      </w:r>
      <w:r>
        <w:t xml:space="preserve"> without </w:t>
      </w:r>
      <w:r w:rsidR="00857AFB">
        <w:t xml:space="preserve">planning infrastructure (p. </w:t>
      </w:r>
      <w:r w:rsidR="00F01773">
        <w:fldChar w:fldCharType="begin"/>
      </w:r>
      <w:r w:rsidR="00857AFB">
        <w:instrText xml:space="preserve"> PAGEREF _Ref417549966 \h </w:instrText>
      </w:r>
      <w:r w:rsidR="00F01773">
        <w:fldChar w:fldCharType="separate"/>
      </w:r>
      <w:r w:rsidR="00867AA7">
        <w:rPr>
          <w:noProof/>
        </w:rPr>
        <w:t>100</w:t>
      </w:r>
      <w:r w:rsidR="00F01773">
        <w:fldChar w:fldCharType="end"/>
      </w:r>
      <w:r>
        <w:t xml:space="preserve">). The strongest of these results relied on site-level cost and impact surfaces. The cost surfaces are pixel-by-pixel estimates of construction cost at a site, with one cost surface for each type of infrastructure. The impact surfaces are pixel-by-pixel approximations of the </w:t>
      </w:r>
      <w:r w:rsidRPr="00011CFC">
        <w:rPr>
          <w:i/>
        </w:rPr>
        <w:t>Impact Score</w:t>
      </w:r>
      <w:r>
        <w:t xml:space="preserve"> made by assuming each pixel is developed </w:t>
      </w:r>
      <w:r w:rsidR="00857AFB">
        <w:t xml:space="preserve">independently of others (p. </w:t>
      </w:r>
      <w:r w:rsidR="00F01773">
        <w:fldChar w:fldCharType="begin"/>
      </w:r>
      <w:r w:rsidR="00857AFB">
        <w:instrText xml:space="preserve"> PAGEREF _Ref409795717 \h </w:instrText>
      </w:r>
      <w:r w:rsidR="00F01773">
        <w:fldChar w:fldCharType="separate"/>
      </w:r>
      <w:r w:rsidR="00867AA7">
        <w:rPr>
          <w:noProof/>
        </w:rPr>
        <w:t>117</w:t>
      </w:r>
      <w:r w:rsidR="00F01773">
        <w:fldChar w:fldCharType="end"/>
      </w:r>
      <w:r>
        <w:t xml:space="preserve">). We found that higher variation in the impact surface as well as higher variation in the ratio of impact to cost (return on investment; ROI) surfaces </w:t>
      </w:r>
      <w:r w:rsidR="00402819">
        <w:t>explained</w:t>
      </w:r>
      <w:r>
        <w:t xml:space="preserve"> larger impact reductions and lower relativ</w:t>
      </w:r>
      <w:r w:rsidR="00857AFB">
        <w:t xml:space="preserve">e costs of avoiding impacts (p. </w:t>
      </w:r>
      <w:r w:rsidR="00F01773">
        <w:fldChar w:fldCharType="begin"/>
      </w:r>
      <w:r w:rsidR="00857AFB">
        <w:instrText xml:space="preserve"> PAGEREF _Ref417549966 \h </w:instrText>
      </w:r>
      <w:r w:rsidR="00F01773">
        <w:fldChar w:fldCharType="separate"/>
      </w:r>
      <w:r w:rsidR="00867AA7">
        <w:rPr>
          <w:noProof/>
        </w:rPr>
        <w:t>100</w:t>
      </w:r>
      <w:r w:rsidR="00F01773">
        <w:fldChar w:fldCharType="end"/>
      </w:r>
      <w:r w:rsidR="001C6B07">
        <w:t xml:space="preserve"> and </w:t>
      </w:r>
      <w:r w:rsidR="00F01773">
        <w:fldChar w:fldCharType="begin"/>
      </w:r>
      <w:r w:rsidR="001C6B07">
        <w:instrText xml:space="preserve"> REF _Ref417547092 \h </w:instrText>
      </w:r>
      <w:r w:rsidR="00F01773">
        <w:fldChar w:fldCharType="separate"/>
      </w:r>
      <w:r w:rsidR="00867AA7">
        <w:t xml:space="preserve">Table S </w:t>
      </w:r>
      <w:r w:rsidR="00867AA7">
        <w:rPr>
          <w:noProof/>
        </w:rPr>
        <w:t>3</w:t>
      </w:r>
      <w:r w:rsidR="00867AA7">
        <w:t>.</w:t>
      </w:r>
      <w:r w:rsidR="00867AA7">
        <w:rPr>
          <w:noProof/>
        </w:rPr>
        <w:t>1</w:t>
      </w:r>
      <w:r w:rsidR="00F01773">
        <w:fldChar w:fldCharType="end"/>
      </w:r>
      <w:r>
        <w:t xml:space="preserve">). </w:t>
      </w:r>
      <w:r w:rsidR="001C6B07">
        <w:t>With R</w:t>
      </w:r>
      <w:r w:rsidR="001C6B07">
        <w:rPr>
          <w:vertAlign w:val="superscript"/>
        </w:rPr>
        <w:t>2</w:t>
      </w:r>
      <w:r w:rsidR="001C6B07">
        <w:t>=15% for both models, v</w:t>
      </w:r>
      <w:r>
        <w:t xml:space="preserve">ariation in the impact </w:t>
      </w:r>
      <w:r>
        <w:lastRenderedPageBreak/>
        <w:t xml:space="preserve">surface </w:t>
      </w:r>
      <w:r w:rsidR="00402819">
        <w:t>explained most of th</w:t>
      </w:r>
      <w:r w:rsidR="001C6B07">
        <w:t>e variation in our two responses (p&lt;0.001)</w:t>
      </w:r>
      <w:r>
        <w:t>.</w:t>
      </w:r>
      <w:r w:rsidR="0002415B">
        <w:t xml:space="preserve"> However, there was obvious uneven sampling over the range of values of the variation in the impact surface </w:t>
      </w:r>
      <w:r w:rsidR="00E155AE">
        <w:t>(</w:t>
      </w:r>
      <w:r w:rsidR="00F01773">
        <w:fldChar w:fldCharType="begin"/>
      </w:r>
      <w:r w:rsidR="0002415B">
        <w:instrText xml:space="preserve"> REF _Ref417548106 \h </w:instrText>
      </w:r>
      <w:r w:rsidR="00F01773">
        <w:fldChar w:fldCharType="separate"/>
      </w:r>
      <w:r w:rsidR="00867AA7" w:rsidRPr="006F22B8">
        <w:t xml:space="preserve">Fig. S </w:t>
      </w:r>
      <w:r w:rsidR="00867AA7">
        <w:rPr>
          <w:noProof/>
        </w:rPr>
        <w:t>3</w:t>
      </w:r>
      <w:r w:rsidR="00867AA7">
        <w:t>.</w:t>
      </w:r>
      <w:r w:rsidR="00867AA7">
        <w:rPr>
          <w:noProof/>
        </w:rPr>
        <w:t>2</w:t>
      </w:r>
      <w:r w:rsidR="00F01773">
        <w:fldChar w:fldCharType="end"/>
      </w:r>
      <w:r w:rsidR="00E155AE">
        <w:t>)</w:t>
      </w:r>
      <w:r w:rsidR="0002415B">
        <w:t>. We accounted for this by splitting the data into two parts with even sampling</w:t>
      </w:r>
      <w:r w:rsidR="00CE27C8">
        <w:t xml:space="preserve"> and </w:t>
      </w:r>
      <w:r w:rsidR="0002415B">
        <w:t>modeling the parts separately</w:t>
      </w:r>
      <w:r w:rsidR="00CE27C8">
        <w:t>.</w:t>
      </w:r>
      <w:r w:rsidR="00CE27C8" w:rsidRPr="00CE27C8">
        <w:t xml:space="preserve"> </w:t>
      </w:r>
      <w:r w:rsidR="00CE27C8">
        <w:t>We then compared the original one- an</w:t>
      </w:r>
      <w:r w:rsidR="00E155AE">
        <w:t>d new two-part models using AICc</w:t>
      </w:r>
      <w:r w:rsidR="00CE27C8">
        <w:t xml:space="preserve"> competition, which evaluates the parsimony of models by rewarding models for higher explanation of variance and punishes them for using more parameters </w:t>
      </w:r>
      <w:r w:rsidR="00F01773">
        <w:fldChar w:fldCharType="begin" w:fldLock="1"/>
      </w:r>
      <w:r w:rsidR="00CE27C8">
        <w:instrText>ADDIN CSL_CITATION { "citationItems" : [ { "id" : "ITEM-1", "itemData" : { "PMID" : "16455229", "abstract" : "The high-level language of R is recognized as one of the most powerful and flexible statistical software environments, and is rapidly becoming the standard setting for quantitative analysis, statistics and graphics. R provides free access to unrivalled coverage and cutting-edge applications, enabling the user to apply numerous statistical methods ranging from simple regression to time series or multivariate analysis. Building on the success of the authors bestselling Statistics: An Introduction using R, The R Book is packed with worked examples, providing an all inclusive guide to R, ideal for novice and more accomplished users alike. The book assumes no background in statistics or computing and introduces the advantages of the R environment, detailing its applications in a wide range of disciplines. Provides the first comprehensive reference manual for the R language, including practical guidance and full coverage of the graphics facilities. Introduces all the statistical models covered by R, beginning with simple classical tests such as chi-square and t-test. Proceeds to examine more advance methods, from regression and analysis of variance, through to generalized linear models, generalized mixed models, time series, spatial statistics, multivariate statistics and much more. The R Book is aimed at undergraduates, postgraduates and professionals in science, engineering and medicine. It is also ideal for students and professionals in statistics, economics, geography and the social sciences.", "author" : [ { "dropping-particle" : "", "family" : "Crawley", "given" : "Michael J.", "non-dropping-particle" : "", "parse-names" : false, "suffix" : "" } ], "container-title" : "The R Book", "id" : "ITEM-1", "issued" : { "date-parts" : [ [ "2007" ] ] }, "number-of-pages" : "1-942", "publisher" : "John Wiley &amp; Sons, Ltd", "title" : "The R Book", "type" : "book" }, "uris" : [ "http://www.mendeley.com/documents/?uuid=a12f344b-a680-483f-b1cb-fbbb6d3d7027" ] } ], "mendeley" : { "formattedCitation" : "(Crawley 2007)", "plainTextFormattedCitation" : "(Crawley 2007)", "previouslyFormattedCitation" : "(Crawley 2007)" }, "properties" : { "noteIndex" : 0 }, "schema" : "https://github.com/citation-style-language/schema/raw/master/csl-citation.json" }</w:instrText>
      </w:r>
      <w:r w:rsidR="00F01773">
        <w:fldChar w:fldCharType="separate"/>
      </w:r>
      <w:r w:rsidR="00CE27C8" w:rsidRPr="000132D5">
        <w:rPr>
          <w:noProof/>
        </w:rPr>
        <w:t>(Crawley 2007)</w:t>
      </w:r>
      <w:r w:rsidR="00F01773">
        <w:fldChar w:fldCharType="end"/>
      </w:r>
      <w:r w:rsidR="0002415B">
        <w:t>. Model competition supported the two-part model, which was non-significant.</w:t>
      </w:r>
      <w:r>
        <w:t xml:space="preserve"> </w:t>
      </w:r>
      <w:r w:rsidR="00E155AE">
        <w:t xml:space="preserve">This result weakens support that variation in the impact surface can be used to explain our responses. </w:t>
      </w:r>
      <w:r>
        <w:t>Variation</w:t>
      </w:r>
      <w:r w:rsidR="00155D48">
        <w:t xml:space="preserve"> in the ROI surface explained 9%</w:t>
      </w:r>
      <w:r>
        <w:t xml:space="preserve"> of the v</w:t>
      </w:r>
      <w:r w:rsidR="00155D48">
        <w:t>ariation in our responses (p</w:t>
      </w:r>
      <w:r w:rsidR="00155D48">
        <w:rPr>
          <w:rFonts w:ascii="Cambria Math" w:hAnsi="Cambria Math"/>
        </w:rPr>
        <w:t>≈</w:t>
      </w:r>
      <w:r w:rsidR="00155D48">
        <w:t>0.004</w:t>
      </w:r>
      <w:r>
        <w:t>).</w:t>
      </w:r>
      <w:r w:rsidR="00123724">
        <w:t xml:space="preserve"> Bonferroni correction for multiple comparisons did not reverse the significance of the ROI models.</w:t>
      </w:r>
      <w:r>
        <w:t xml:space="preserve"> </w:t>
      </w:r>
      <w:r w:rsidR="00082C43">
        <w:t>Thus, areas with higher variation in</w:t>
      </w:r>
      <w:r w:rsidR="00CA0908">
        <w:t xml:space="preserve"> </w:t>
      </w:r>
      <w:r w:rsidR="00082C43">
        <w:t>ROI will, on average, be able to reduce impacts further and at lower relative costs</w:t>
      </w:r>
      <w:r w:rsidR="00CA0908">
        <w:t>.</w:t>
      </w:r>
      <w:r w:rsidR="00FD2FB5">
        <w:t xml:space="preserve"> </w:t>
      </w:r>
      <w:r>
        <w:t>Other site attributes, including site area, number of well pads, the slope and correlation between impact and cost surfaces, and existing road and pipeline density were unrelated to our responses</w:t>
      </w:r>
      <w:r w:rsidR="00082C43">
        <w:t xml:space="preserve"> (</w:t>
      </w:r>
      <w:r w:rsidR="00F01773">
        <w:fldChar w:fldCharType="begin"/>
      </w:r>
      <w:r w:rsidR="00082C43">
        <w:instrText xml:space="preserve"> REF _Ref417547092 \h </w:instrText>
      </w:r>
      <w:r w:rsidR="00F01773">
        <w:fldChar w:fldCharType="separate"/>
      </w:r>
      <w:r w:rsidR="00867AA7">
        <w:t xml:space="preserve">Table S </w:t>
      </w:r>
      <w:r w:rsidR="00867AA7">
        <w:rPr>
          <w:noProof/>
        </w:rPr>
        <w:t>3</w:t>
      </w:r>
      <w:r w:rsidR="00867AA7">
        <w:t>.</w:t>
      </w:r>
      <w:r w:rsidR="00867AA7">
        <w:rPr>
          <w:noProof/>
        </w:rPr>
        <w:t>1</w:t>
      </w:r>
      <w:r w:rsidR="00F01773">
        <w:fldChar w:fldCharType="end"/>
      </w:r>
      <w:r w:rsidR="00082C43">
        <w:t>)</w:t>
      </w:r>
      <w:r>
        <w:t>.</w:t>
      </w:r>
      <w:r w:rsidDel="00073CF1">
        <w:t xml:space="preserve"> </w:t>
      </w:r>
    </w:p>
    <w:p w:rsidR="00F06840" w:rsidRDefault="00F06840" w:rsidP="00F06840">
      <w:pPr>
        <w:ind w:firstLine="720"/>
      </w:pPr>
      <w:r>
        <w:t xml:space="preserve">Individual impact metrics differentially contributed to reductions in the </w:t>
      </w:r>
      <w:r w:rsidRPr="00011CFC">
        <w:rPr>
          <w:i/>
        </w:rPr>
        <w:t>Impact Score</w:t>
      </w:r>
      <w:r>
        <w:t xml:space="preserve"> relative t</w:t>
      </w:r>
      <w:r w:rsidR="00857AFB">
        <w:t>o the least-cost layout (</w:t>
      </w:r>
      <w:r w:rsidR="00F01773">
        <w:fldChar w:fldCharType="begin"/>
      </w:r>
      <w:r w:rsidR="00867487">
        <w:instrText xml:space="preserve"> REF _Ref417548733 \h </w:instrText>
      </w:r>
      <w:r w:rsidR="00F01773">
        <w:fldChar w:fldCharType="separate"/>
      </w:r>
      <w:r w:rsidR="00867AA7">
        <w:t xml:space="preserve">Fig. S </w:t>
      </w:r>
      <w:r w:rsidR="00867AA7">
        <w:rPr>
          <w:noProof/>
        </w:rPr>
        <w:t>3</w:t>
      </w:r>
      <w:r w:rsidR="00867AA7">
        <w:t>.</w:t>
      </w:r>
      <w:r w:rsidR="00867AA7">
        <w:rPr>
          <w:noProof/>
        </w:rPr>
        <w:t>3</w:t>
      </w:r>
      <w:r w:rsidR="00F01773">
        <w:fldChar w:fldCharType="end"/>
      </w:r>
      <w:r>
        <w:t xml:space="preserve">). Since the </w:t>
      </w:r>
      <w:r w:rsidRPr="00011CFC">
        <w:rPr>
          <w:i/>
        </w:rPr>
        <w:t>Impact Score</w:t>
      </w:r>
      <w:r>
        <w:t xml:space="preserve"> is a sum of the (normalized) impact metrics, we can attribute changes to the </w:t>
      </w:r>
      <w:r w:rsidRPr="00011CFC">
        <w:rPr>
          <w:i/>
        </w:rPr>
        <w:t>Impact Score</w:t>
      </w:r>
      <w:r>
        <w:t xml:space="preserve"> to changes in each of the impact metrics. Reductions in the </w:t>
      </w:r>
      <w:r>
        <w:rPr>
          <w:i/>
        </w:rPr>
        <w:t xml:space="preserve">rare spp. </w:t>
      </w:r>
      <w:r>
        <w:t>metric</w:t>
      </w:r>
      <w:r w:rsidR="00E44854">
        <w:t xml:space="preserve"> contributed to 40% </w:t>
      </w:r>
      <w:r>
        <w:t xml:space="preserve">+/- 5% (mean +/- std. err.) reduction in the </w:t>
      </w:r>
      <w:r w:rsidRPr="00011CFC">
        <w:rPr>
          <w:i/>
        </w:rPr>
        <w:t>Impact Score</w:t>
      </w:r>
      <w:r>
        <w:t xml:space="preserve"> across sites (</w:t>
      </w:r>
      <w:r w:rsidR="00F01773">
        <w:fldChar w:fldCharType="begin"/>
      </w:r>
      <w:r w:rsidR="00723FED">
        <w:instrText xml:space="preserve"> REF _Ref417548733 \h </w:instrText>
      </w:r>
      <w:r w:rsidR="00F01773">
        <w:fldChar w:fldCharType="separate"/>
      </w:r>
      <w:r w:rsidR="00867AA7">
        <w:t xml:space="preserve">Fig. S </w:t>
      </w:r>
      <w:r w:rsidR="00867AA7">
        <w:rPr>
          <w:noProof/>
        </w:rPr>
        <w:t>3</w:t>
      </w:r>
      <w:r w:rsidR="00867AA7">
        <w:t>.</w:t>
      </w:r>
      <w:r w:rsidR="00867AA7">
        <w:rPr>
          <w:noProof/>
        </w:rPr>
        <w:t>3</w:t>
      </w:r>
      <w:r w:rsidR="00F01773">
        <w:fldChar w:fldCharType="end"/>
      </w:r>
      <w:r>
        <w:t xml:space="preserve">). Following </w:t>
      </w:r>
      <w:r>
        <w:rPr>
          <w:i/>
        </w:rPr>
        <w:t>rare spp.</w:t>
      </w:r>
      <w:r>
        <w:t xml:space="preserve"> were </w:t>
      </w:r>
      <w:r>
        <w:rPr>
          <w:i/>
        </w:rPr>
        <w:t xml:space="preserve">sediment yield </w:t>
      </w:r>
      <w:r>
        <w:t xml:space="preserve">(25% +/- 5%), </w:t>
      </w:r>
      <w:r w:rsidRPr="00AB67F0">
        <w:rPr>
          <w:i/>
        </w:rPr>
        <w:t>forest loss</w:t>
      </w:r>
      <w:r>
        <w:rPr>
          <w:i/>
        </w:rPr>
        <w:t xml:space="preserve"> </w:t>
      </w:r>
      <w:r>
        <w:t xml:space="preserve">(19% +/- 3%), </w:t>
      </w:r>
      <w:r>
        <w:rPr>
          <w:i/>
        </w:rPr>
        <w:t xml:space="preserve">forest p2a </w:t>
      </w:r>
      <w:r>
        <w:t xml:space="preserve">(-0.1 % +/- 0.2%), and </w:t>
      </w:r>
      <w:r>
        <w:rPr>
          <w:i/>
        </w:rPr>
        <w:t xml:space="preserve">wetlands </w:t>
      </w:r>
      <w:r>
        <w:t xml:space="preserve">(-1.2% +/- 0.8%). Three things explain the variable contributions of impact metrics to reductions in the </w:t>
      </w:r>
      <w:r w:rsidRPr="00011CFC">
        <w:rPr>
          <w:i/>
        </w:rPr>
        <w:t>Impact Score</w:t>
      </w:r>
      <w:r>
        <w:t xml:space="preserve">. First and foremost, the disparity between </w:t>
      </w:r>
      <w:r>
        <w:rPr>
          <w:i/>
        </w:rPr>
        <w:t xml:space="preserve">rare spp. </w:t>
      </w:r>
      <w:r>
        <w:t xml:space="preserve">and other metrics is likely due to the large variance of </w:t>
      </w:r>
      <w:r>
        <w:rPr>
          <w:i/>
        </w:rPr>
        <w:t xml:space="preserve">rare spp. </w:t>
      </w:r>
      <w:r>
        <w:t xml:space="preserve">over small spatial scales. The pixel values of </w:t>
      </w:r>
      <w:r>
        <w:rPr>
          <w:i/>
        </w:rPr>
        <w:t>rare spp.</w:t>
      </w:r>
      <w:r>
        <w:t xml:space="preserve"> may vary </w:t>
      </w:r>
      <w:r w:rsidR="00867487">
        <w:t xml:space="preserve">multiple </w:t>
      </w:r>
      <w:r>
        <w:t xml:space="preserve">orders of magnitude between adjacent pixels, such that a small shift in infrastructure results in a large reduction in impacts. Couple this with the lack of a direct cost analog to the </w:t>
      </w:r>
      <w:r>
        <w:rPr>
          <w:i/>
        </w:rPr>
        <w:t xml:space="preserve">rare spp. </w:t>
      </w:r>
      <w:r>
        <w:t xml:space="preserve">metric – unlike </w:t>
      </w:r>
      <w:r w:rsidRPr="00AB67F0">
        <w:rPr>
          <w:i/>
        </w:rPr>
        <w:t>forest loss</w:t>
      </w:r>
      <w:r>
        <w:t xml:space="preserve">, whose cost analog is forest clearing costs – and relatively inexpensive reductions to </w:t>
      </w:r>
      <w:r>
        <w:rPr>
          <w:i/>
        </w:rPr>
        <w:t xml:space="preserve">rare spp. </w:t>
      </w:r>
      <w:r>
        <w:t xml:space="preserve">can be made with small changes to infrastructure. Similarly, some of the contribution of </w:t>
      </w:r>
      <w:r w:rsidRPr="00AB67F0">
        <w:rPr>
          <w:i/>
        </w:rPr>
        <w:t>forest loss</w:t>
      </w:r>
      <w:r>
        <w:rPr>
          <w:i/>
        </w:rPr>
        <w:t xml:space="preserve"> </w:t>
      </w:r>
      <w:r>
        <w:t xml:space="preserve">can be attributed to high variance over small scales, though it has a cost analog, such that the least-cost layout already avoids those areas to some extent. </w:t>
      </w:r>
      <w:r w:rsidRPr="00702596">
        <w:t>Second,</w:t>
      </w:r>
      <w:r>
        <w:t xml:space="preserve"> some </w:t>
      </w:r>
      <w:r w:rsidRPr="00702596">
        <w:t>impacts are small in the least-cost layout, such that there is little scope to reduce those impacts further</w:t>
      </w:r>
      <w:r>
        <w:t xml:space="preserve">. The </w:t>
      </w:r>
      <w:r>
        <w:rPr>
          <w:i/>
        </w:rPr>
        <w:t>wetlands encroachment</w:t>
      </w:r>
      <w:r>
        <w:t xml:space="preserve"> metric is restricted to areas surrounding wetlands, which are relatively sparse. As a result, </w:t>
      </w:r>
      <w:r>
        <w:rPr>
          <w:i/>
        </w:rPr>
        <w:t xml:space="preserve">wetlands encroachment </w:t>
      </w:r>
      <w:r>
        <w:t xml:space="preserve">impacts from the least-cost layout tend to be small and as a result impact-reducing layouts have little scope to reduce this metric. Finally, but rarely, </w:t>
      </w:r>
      <w:r>
        <w:lastRenderedPageBreak/>
        <w:t xml:space="preserve">reductions in one impact metric resulted in increases in another relative to the least-cost layout, which explains why, on average, </w:t>
      </w:r>
      <w:r>
        <w:rPr>
          <w:i/>
        </w:rPr>
        <w:t xml:space="preserve">wetlands </w:t>
      </w:r>
      <w:r w:rsidRPr="0009390F">
        <w:rPr>
          <w:i/>
        </w:rPr>
        <w:t>encroachment</w:t>
      </w:r>
      <w:r>
        <w:rPr>
          <w:i/>
        </w:rPr>
        <w:t xml:space="preserve"> </w:t>
      </w:r>
      <w:r>
        <w:t xml:space="preserve">had a negative contribution to reductions in the </w:t>
      </w:r>
      <w:r w:rsidRPr="00011CFC">
        <w:rPr>
          <w:i/>
        </w:rPr>
        <w:t>Impact Score</w:t>
      </w:r>
      <w:r>
        <w:t>.</w:t>
      </w:r>
    </w:p>
    <w:p w:rsidR="00F06840" w:rsidRDefault="00F06840" w:rsidP="00F06840">
      <w:pPr>
        <w:ind w:firstLine="720"/>
      </w:pPr>
      <w:r>
        <w:t xml:space="preserve">In most cases, the difference between sites that could achieve large reductions in the </w:t>
      </w:r>
      <w:r w:rsidRPr="00011CFC">
        <w:rPr>
          <w:i/>
        </w:rPr>
        <w:t>Impact Score</w:t>
      </w:r>
      <w:r>
        <w:t xml:space="preserve"> for little cost (25 of 84 or 29%), i.e. those with tradeoff curves in the lower right of</w:t>
      </w:r>
      <w:r w:rsidR="00723FED">
        <w:t xml:space="preserve"> </w:t>
      </w:r>
      <w:r w:rsidR="00F01773">
        <w:fldChar w:fldCharType="begin"/>
      </w:r>
      <w:r w:rsidR="00723FED">
        <w:instrText xml:space="preserve"> REF _Ref417547744 \h </w:instrText>
      </w:r>
      <w:r w:rsidR="00F01773">
        <w:fldChar w:fldCharType="separate"/>
      </w:r>
      <w:r w:rsidR="00867AA7">
        <w:t xml:space="preserve">Fig. </w:t>
      </w:r>
      <w:r w:rsidR="00867AA7">
        <w:rPr>
          <w:noProof/>
        </w:rPr>
        <w:t>3</w:t>
      </w:r>
      <w:r w:rsidR="00867AA7">
        <w:t>.</w:t>
      </w:r>
      <w:r w:rsidR="00867AA7">
        <w:rPr>
          <w:noProof/>
        </w:rPr>
        <w:t>4</w:t>
      </w:r>
      <w:r w:rsidR="00F01773">
        <w:fldChar w:fldCharType="end"/>
      </w:r>
      <w:r>
        <w:t xml:space="preserve">, and those sites which could do very little (17 of 84 or 20 %), could be explained by visually comparing layouts overlaid on the spatially additive impact surface. The spatially-additive impact surface approximates the </w:t>
      </w:r>
      <w:r w:rsidRPr="00011CFC">
        <w:rPr>
          <w:i/>
        </w:rPr>
        <w:t>Impact Score</w:t>
      </w:r>
      <w:r>
        <w:t xml:space="preserve"> on a per-pixel basis, while the true </w:t>
      </w:r>
      <w:r w:rsidRPr="00011CFC">
        <w:rPr>
          <w:i/>
        </w:rPr>
        <w:t>Impact Score</w:t>
      </w:r>
      <w:r>
        <w:t xml:space="preserve"> depends on the entire layout. From this exercise, two conditions distinguish the aforementioned groups: first, whether the least-cost layout has at least some infrastructure in high-impact areas, and second, whether there are lower-impact areas for infrastructure to be placed. Those 25 sites in the first group tended to have roads or pipelines in high-impact areas in the least-cost layout (21 of 25 sites). Much less often (4 of 25 sites) well pads, but not roads or pipelines, were in high-impact areas in the least-cost layout. Those 17 sites in the second group, which achieved either no large or very costly reductions in the </w:t>
      </w:r>
      <w:r w:rsidRPr="00011CFC">
        <w:rPr>
          <w:i/>
        </w:rPr>
        <w:t>Impact Score</w:t>
      </w:r>
      <w:r>
        <w:t xml:space="preserve">, tended to be constrained by impacts in one way or another. Many sites (9 of 17) were constrained by a lack of low-impact alternatives for pipelines and pads. Often, sparse existing pipeline infrastructure, to which gathering pipelines had to connect, forced gathering pipelines through high-impact areas. Alternatively or in addition, feasible well pad locations, from which gathering pipelines start and well pads are located, were in high-impact areas. In other sites (6 of 17), reductions in some impacts led to increases in others, such that the </w:t>
      </w:r>
      <w:r w:rsidR="00CE6D58">
        <w:t>aggregate</w:t>
      </w:r>
      <w:r>
        <w:t xml:space="preserve"> </w:t>
      </w:r>
      <w:r w:rsidRPr="00011CFC">
        <w:rPr>
          <w:i/>
        </w:rPr>
        <w:t>Impact Score</w:t>
      </w:r>
      <w:r>
        <w:t xml:space="preserve"> did not change much. Finally, in 3 of 17 sites, the least-cost layout was already in a low-impact area such that there was little scope to reduce impacts further.</w:t>
      </w:r>
    </w:p>
    <w:p w:rsidR="00F06840" w:rsidRDefault="00382C4C" w:rsidP="00F06840">
      <w:pPr>
        <w:pStyle w:val="Heading2"/>
      </w:pPr>
      <w:bookmarkStart w:id="148" w:name="_Toc417646790"/>
      <w:bookmarkStart w:id="149" w:name="_Toc421352880"/>
      <w:r>
        <w:t>Discussion</w:t>
      </w:r>
      <w:bookmarkEnd w:id="148"/>
      <w:bookmarkEnd w:id="149"/>
    </w:p>
    <w:p w:rsidR="00F06840" w:rsidRDefault="00F06840" w:rsidP="00F06840">
      <w:r>
        <w:t xml:space="preserve">Shale gas development will continue worldwide, but there are opportunities to reduce potential impacts through environmentally oriented planning. Here we presented an analysis that looks at the monetary cost of such planning at the site level, and found scope to reduce impacts, though doing so is not generally cheap. More specifically, we found that most sites do not have the scope to reduce the </w:t>
      </w:r>
      <w:r w:rsidRPr="00011CFC">
        <w:rPr>
          <w:i/>
        </w:rPr>
        <w:t>Impact Score</w:t>
      </w:r>
      <w:r>
        <w:t xml:space="preserve"> more than ~40%. For those sites, reducing the </w:t>
      </w:r>
      <w:r w:rsidRPr="00011CFC">
        <w:rPr>
          <w:i/>
        </w:rPr>
        <w:t>Impact Score</w:t>
      </w:r>
      <w:r>
        <w:t xml:space="preserve"> up to ~38% requires &lt;20% additional investment, but further reductions become very expensive. For many of those sites that can achieve larger reductions in impact at reasonable costs, doing so is inexpensive. For instance, a reduction in the </w:t>
      </w:r>
      <w:r w:rsidRPr="00011CFC">
        <w:rPr>
          <w:i/>
        </w:rPr>
        <w:t>Impact Score</w:t>
      </w:r>
      <w:r>
        <w:t xml:space="preserve"> of up to 60% required &lt;5% </w:t>
      </w:r>
      <w:r>
        <w:lastRenderedPageBreak/>
        <w:t>increase in costs at several sites (</w:t>
      </w:r>
      <w:r w:rsidR="00F01773">
        <w:fldChar w:fldCharType="begin"/>
      </w:r>
      <w:r w:rsidR="00723FED">
        <w:instrText xml:space="preserve"> REF _Ref417547744 \h </w:instrText>
      </w:r>
      <w:r w:rsidR="00F01773">
        <w:fldChar w:fldCharType="separate"/>
      </w:r>
      <w:r w:rsidR="00867AA7">
        <w:t xml:space="preserve">Fig. </w:t>
      </w:r>
      <w:r w:rsidR="00867AA7">
        <w:rPr>
          <w:noProof/>
        </w:rPr>
        <w:t>3</w:t>
      </w:r>
      <w:r w:rsidR="00867AA7">
        <w:t>.</w:t>
      </w:r>
      <w:r w:rsidR="00867AA7">
        <w:rPr>
          <w:noProof/>
        </w:rPr>
        <w:t>4</w:t>
      </w:r>
      <w:r w:rsidR="00F01773">
        <w:fldChar w:fldCharType="end"/>
      </w:r>
      <w:r>
        <w:t xml:space="preserve">). There was only marginal support that </w:t>
      </w:r>
      <w:r w:rsidR="00D329CB">
        <w:t>simple statist</w:t>
      </w:r>
      <w:r w:rsidR="00CF20F2">
        <w:t>ics</w:t>
      </w:r>
      <w:r w:rsidR="00D329CB">
        <w:t xml:space="preserve"> on the </w:t>
      </w:r>
      <w:r>
        <w:t>spatial variation of impacts</w:t>
      </w:r>
      <w:r w:rsidR="00D329CB">
        <w:t xml:space="preserve"> and costs</w:t>
      </w:r>
      <w:r>
        <w:t xml:space="preserve"> within a site can be used </w:t>
      </w:r>
      <w:r w:rsidR="00D329CB">
        <w:t xml:space="preserve">alone </w:t>
      </w:r>
      <w:r>
        <w:t xml:space="preserve">to partially predict the nature of tradeoffs in a site, while other site characteristics do not appear to be informative. Some impact metrics dominated others in their contribution to avoiding </w:t>
      </w:r>
      <w:r w:rsidR="00CE6D58">
        <w:t>aggregate</w:t>
      </w:r>
      <w:r>
        <w:t xml:space="preserve"> impacts.</w:t>
      </w:r>
    </w:p>
    <w:p w:rsidR="00F06840" w:rsidRDefault="00F06840" w:rsidP="00F06840">
      <w:pPr>
        <w:ind w:firstLine="720"/>
      </w:pPr>
      <w:r>
        <w:t xml:space="preserve">Our results can be used most directly by policy makers. There is scope to reduce the </w:t>
      </w:r>
      <w:r w:rsidR="00CE6D58">
        <w:t>aggregate</w:t>
      </w:r>
      <w:r>
        <w:t xml:space="preserve"> </w:t>
      </w:r>
      <w:r w:rsidRPr="00011CFC">
        <w:rPr>
          <w:i/>
        </w:rPr>
        <w:t>Impact Score</w:t>
      </w:r>
      <w:r>
        <w:t xml:space="preserve"> up to ~38% with ~20% increase in costs when following a median-based uniform policy. However, a 20% increase in costs is not small, requiring ~400,000</w:t>
      </w:r>
      <w:r w:rsidR="00AB057B">
        <w:t xml:space="preserve"> USD</w:t>
      </w:r>
      <w:r>
        <w:t xml:space="preserve"> per well pad to reduce impacts by 38% in our case study. That said, the construction costs represented here are for surface infrastructure alone, so total costs to a developer would increase by less than 20%. As such, regulations that target a 38% reduction in </w:t>
      </w:r>
      <w:r w:rsidR="00CE6D58">
        <w:t>aggregate</w:t>
      </w:r>
      <w:r>
        <w:t xml:space="preserve"> impacts without compensating developers need not result in a 20% increase in gas prices.</w:t>
      </w:r>
    </w:p>
    <w:p w:rsidR="00F06840" w:rsidRDefault="00F06840" w:rsidP="00F06840">
      <w:r>
        <w:t xml:space="preserve">Regulations that target </w:t>
      </w:r>
      <w:r w:rsidR="00CF20F2">
        <w:t>one or two</w:t>
      </w:r>
      <w:r>
        <w:t xml:space="preserve"> impacts independently may do fairly well at reducing </w:t>
      </w:r>
      <w:r w:rsidR="00CE6D58">
        <w:t>aggregate</w:t>
      </w:r>
      <w:r>
        <w:t xml:space="preserve"> impacts. We found that ~65% of reductions across sites in the </w:t>
      </w:r>
      <w:r w:rsidRPr="00011CFC">
        <w:rPr>
          <w:i/>
        </w:rPr>
        <w:t>Impact Score</w:t>
      </w:r>
      <w:r>
        <w:t xml:space="preserve"> over the least-cost baseline were attributable to just two impact metrics, which measured impacts on high-quality habitats and freshwater sedimentation</w:t>
      </w:r>
      <w:r w:rsidR="008218B9">
        <w:t xml:space="preserve"> (</w:t>
      </w:r>
      <w:r w:rsidR="00F01773">
        <w:fldChar w:fldCharType="begin"/>
      </w:r>
      <w:r w:rsidR="008218B9">
        <w:instrText xml:space="preserve"> REF _Ref417548733 \h </w:instrText>
      </w:r>
      <w:r w:rsidR="00F01773">
        <w:fldChar w:fldCharType="separate"/>
      </w:r>
      <w:r w:rsidR="00867AA7">
        <w:t xml:space="preserve">Fig. S </w:t>
      </w:r>
      <w:r w:rsidR="00867AA7">
        <w:rPr>
          <w:noProof/>
        </w:rPr>
        <w:t>3</w:t>
      </w:r>
      <w:r w:rsidR="00867AA7">
        <w:t>.</w:t>
      </w:r>
      <w:r w:rsidR="00867AA7">
        <w:rPr>
          <w:noProof/>
        </w:rPr>
        <w:t>3</w:t>
      </w:r>
      <w:r w:rsidR="00F01773">
        <w:fldChar w:fldCharType="end"/>
      </w:r>
      <w:r w:rsidR="008218B9">
        <w:t>)</w:t>
      </w:r>
      <w:r>
        <w:t xml:space="preserve">. Further, only very rarely did impacts trade-off with one another when compared to the least-cost layout. </w:t>
      </w:r>
      <w:r w:rsidR="00CF20F2">
        <w:t xml:space="preserve">This is a qualitatively similar result to Chapter 2 even though the assessment and set of impacts differ somewhat. </w:t>
      </w:r>
      <w:r>
        <w:t xml:space="preserve">As such, it is possible that regulations could target one or two metrics to reduce </w:t>
      </w:r>
      <w:r w:rsidR="00CE6D58">
        <w:t>aggregate</w:t>
      </w:r>
      <w:r>
        <w:t xml:space="preserve"> impacts in a predictable way up to a point. In Pennsylvania, for instance, restrictions on the amount of infrastructure placed in high-quality habitats and high-slope areas could be feasibly implemented, since these data can be at least partially remotely sensed and impacts assessed by overlaying planned infrastructure with these data. There is already a minimum setback requirement for infrastructure placed in high-quality watersheds in Pennsylvania. Outside of our study area, it will be important to assess potential impacts before implementing such a regulation, since the necessary qualities of the impacts here may not extend elsewhere.</w:t>
      </w:r>
      <w:r w:rsidR="008218B9">
        <w:t xml:space="preserve"> Finally, we </w:t>
      </w:r>
      <w:r w:rsidR="00DC6833">
        <w:t xml:space="preserve">found </w:t>
      </w:r>
      <w:r w:rsidR="008218B9">
        <w:t>that some site attributes partially explain the ability to reduce impacts at a site as well as the relative cost of doing so</w:t>
      </w:r>
      <w:r w:rsidR="00DC6833">
        <w:t>. However</w:t>
      </w:r>
      <w:r w:rsidR="000438E0">
        <w:t>, the</w:t>
      </w:r>
      <w:r w:rsidR="008218B9">
        <w:t xml:space="preserve"> low (R</w:t>
      </w:r>
      <w:r w:rsidR="008218B9">
        <w:rPr>
          <w:vertAlign w:val="superscript"/>
        </w:rPr>
        <w:t>2</w:t>
      </w:r>
      <w:r w:rsidR="0042251E">
        <w:t>~9</w:t>
      </w:r>
      <w:r w:rsidR="008218B9">
        <w:t>%) explanatory power of these attributes likely precludes them from being</w:t>
      </w:r>
      <w:r w:rsidR="00DC6833">
        <w:t xml:space="preserve"> used </w:t>
      </w:r>
      <w:r w:rsidR="008218B9">
        <w:t xml:space="preserve">independently </w:t>
      </w:r>
      <w:r w:rsidR="008933BF">
        <w:t xml:space="preserve">from other analyses </w:t>
      </w:r>
      <w:r w:rsidR="008218B9">
        <w:t xml:space="preserve">to predict </w:t>
      </w:r>
      <w:r w:rsidR="0042472E">
        <w:t>potential</w:t>
      </w:r>
      <w:r w:rsidR="008218B9">
        <w:t xml:space="preserve"> tradeoffs at a site.</w:t>
      </w:r>
    </w:p>
    <w:p w:rsidR="00981FE0" w:rsidRDefault="00F06840" w:rsidP="00F06840">
      <w:pPr>
        <w:ind w:firstLine="720"/>
      </w:pPr>
      <w:r>
        <w:t xml:space="preserve">It may be possible to regulate </w:t>
      </w:r>
      <w:r w:rsidR="00CE6D58">
        <w:t>aggregate</w:t>
      </w:r>
      <w:r>
        <w:t xml:space="preserve"> impacts efficiently</w:t>
      </w:r>
      <w:r w:rsidR="00CF20F2">
        <w:t>, i.e. to simultaneously reduce multiple distinct impacts with a single regulation</w:t>
      </w:r>
      <w:r>
        <w:t xml:space="preserve">. If this can be done, it presents two major advantages. First, regulating </w:t>
      </w:r>
      <w:r w:rsidR="00CE6D58">
        <w:t>aggregate</w:t>
      </w:r>
      <w:r>
        <w:t xml:space="preserve"> impacts enables regulators and/or developers to tailor individual impacts at the site level rather than be forced to focus on impacts they may not be able to avoid. Second, a general regulatory tool </w:t>
      </w:r>
      <w:r>
        <w:lastRenderedPageBreak/>
        <w:t xml:space="preserve">for </w:t>
      </w:r>
      <w:r w:rsidR="00CE6D58">
        <w:t>aggregate</w:t>
      </w:r>
      <w:r>
        <w:t xml:space="preserve"> impacts could work in multiple regions where regulating single impacts might not. As our results show (</w:t>
      </w:r>
      <w:r w:rsidR="00F01773">
        <w:fldChar w:fldCharType="begin"/>
      </w:r>
      <w:r w:rsidR="00723FED">
        <w:instrText xml:space="preserve"> REF _Ref417547744 \h </w:instrText>
      </w:r>
      <w:r w:rsidR="00F01773">
        <w:fldChar w:fldCharType="separate"/>
      </w:r>
      <w:r w:rsidR="00867AA7">
        <w:t xml:space="preserve">Fig. </w:t>
      </w:r>
      <w:r w:rsidR="00867AA7">
        <w:rPr>
          <w:noProof/>
        </w:rPr>
        <w:t>3</w:t>
      </w:r>
      <w:r w:rsidR="00867AA7">
        <w:t>.</w:t>
      </w:r>
      <w:r w:rsidR="00867AA7">
        <w:rPr>
          <w:noProof/>
        </w:rPr>
        <w:t>4</w:t>
      </w:r>
      <w:r w:rsidR="00F01773">
        <w:fldChar w:fldCharType="end"/>
      </w:r>
      <w:r>
        <w:t>), uniform policies</w:t>
      </w:r>
      <w:r w:rsidR="00981FE0">
        <w:t>,</w:t>
      </w:r>
      <w:r>
        <w:t xml:space="preserve"> e.g. that require all sites reduce impacts by a certain amount</w:t>
      </w:r>
      <w:r w:rsidR="00981FE0">
        <w:t>,</w:t>
      </w:r>
      <w:r>
        <w:t xml:space="preserve"> may be unnecessarily costly. </w:t>
      </w:r>
      <w:r w:rsidR="00CF20F2">
        <w:t xml:space="preserve">More flexible </w:t>
      </w:r>
      <w:r>
        <w:t xml:space="preserve">regulations may be able to take advantage of the heterogeneity of </w:t>
      </w:r>
      <w:r w:rsidR="00CF20F2">
        <w:t xml:space="preserve">site-level </w:t>
      </w:r>
      <w:r>
        <w:t>tradeoffs</w:t>
      </w:r>
      <w:r w:rsidR="00CF20F2">
        <w:t xml:space="preserve"> between cost and impact</w:t>
      </w:r>
      <w:r>
        <w:t xml:space="preserve"> to reduce impacts across all sites. There are many economic tools and existing programs that can cost efficiently allocate single impacts across sites and can serve as a basis in this context </w:t>
      </w:r>
      <w:r w:rsidR="00F01773">
        <w:fldChar w:fldCharType="begin" w:fldLock="1"/>
      </w:r>
      <w:r w:rsidR="00B32474">
        <w:instrText>ADDIN CSL_CITATION { "citationItems" : [ { "id" : "ITEM-1", "itemData" : { "DOI" : "http://dx.doi.org/10.1016/j.ecolecon.2007.07.029", "ISSN" : "0921-8009", "abstract" : "In contractual relationships involving payments for environmental services, conservation buyers know less than landowners know about the costs of contractual compliance. Landowners in such circumstances use their private information as a source of market power to extract informational rents from conservation agents. Reducing informational rents is an important task for buyers of environmental services who wish to maximize the services obtained from their limited budgets. Reducing informational rents also mitigates concerns about the \u201cadditionality\u201d of PES contracts because low-cost landowners are least likely to provide different levels of services in the absence of a contract. Paying low-cost landowners less thus makes resources available for contracts with higher opportunity cost landowners, who are more likely to provide substantially different levels of services in the absence of a contract. To reduce informational rents to landowners, conservation agents can take three approaches: (1) acquire information on observable landowner attributes that are correlated with compliance costs; (2) offer landowners a menu of screening contracts; and (3) allocate contracts through procurement auctions. Each approach differs in terms of its institutional, informational and technical complexity, as well as in its ability to reduce informational rents without distorting the level of environmental services provided. No single approach dominates in all environments. Current theory and empirical work provides practitioners with insights into the relative merits of each approach. However, more theoretical work and experimentation in the laboratory and the field are necessary before definitive conclusions about the superiority of one or more of these approaches can be drawn.", "author" : [ { "dropping-particle" : "", "family" : "Ferraro", "given" : "Paul J", "non-dropping-particle" : "", "parse-names" : false, "suffix" : "" } ], "container-title" : "Ecological Economics", "id" : "ITEM-1", "issue" : "4", "issued" : { "date-parts" : [ [ "2008", "5", "1" ] ] }, "page" : "810-821", "title" : "Asymmetric information and contract design for payments for environmental services", "type" : "article-journal", "volume" : "65" }, "uris" : [ "http://www.mendeley.com/documents/?uuid=49348635-f445-46ca-816d-faa6ac0f26fc" ] } ], "mendeley" : { "formattedCitation" : "(Ferraro 2008)", "plainTextFormattedCitation" : "(Ferraro 2008)", "previouslyFormattedCitation" : "(Ferraro 2008)" }, "properties" : { "noteIndex" : 0 }, "schema" : "https://github.com/citation-style-language/schema/raw/master/csl-citation.json" }</w:instrText>
      </w:r>
      <w:r w:rsidR="00F01773">
        <w:fldChar w:fldCharType="separate"/>
      </w:r>
      <w:r w:rsidR="00B32474" w:rsidRPr="00B32474">
        <w:rPr>
          <w:noProof/>
        </w:rPr>
        <w:t>(Ferraro 2008)</w:t>
      </w:r>
      <w:r w:rsidR="00F01773">
        <w:fldChar w:fldCharType="end"/>
      </w:r>
      <w:r>
        <w:t xml:space="preserve">. </w:t>
      </w:r>
      <w:r w:rsidR="00981FE0">
        <w:t xml:space="preserve">Market-based mechanisms such as cap and trade can exploit heterogeneity across sties, incentivizing those who cannot reduce impacts by much or for cheap to compensate those who can and will. We explore this further in Chapter 4. </w:t>
      </w:r>
    </w:p>
    <w:p w:rsidR="00F06840" w:rsidRDefault="00F06840" w:rsidP="00F06840">
      <w:pPr>
        <w:ind w:firstLine="720"/>
      </w:pPr>
      <w:r>
        <w:t xml:space="preserve">There are two major barriers to implementing any </w:t>
      </w:r>
      <w:r w:rsidR="00CE6D58">
        <w:t>aggregate</w:t>
      </w:r>
      <w:r>
        <w:t xml:space="preserve"> impact regulation in this context. First, there must be some information exchange between regulators and developers. We think at minimum that regulators must share their environmental priorities in order for developers to assess alternative infrastructure layouts that may reduce </w:t>
      </w:r>
      <w:r w:rsidR="00CE6D58">
        <w:t>aggregate</w:t>
      </w:r>
      <w:r>
        <w:t xml:space="preserve"> impacts. Existing command-and-control regulations do this to some degree by restricting infrastructure in areas of high environmental value. To avoid </w:t>
      </w:r>
      <w:r w:rsidR="00CE6D58">
        <w:t>aggregate</w:t>
      </w:r>
      <w:r>
        <w:t xml:space="preserve"> impacts, regulators would need to make explicit how infrastructure layouts are used to evaluate </w:t>
      </w:r>
      <w:r w:rsidR="00CE6D58">
        <w:t>aggregate</w:t>
      </w:r>
      <w:r>
        <w:t xml:space="preserve"> impacts. In addition to sharing environmental objectives, we think developers will need to share some layouts, which is already done for other permits. Regulators need such layouts to estimate impacts in the absence of additional regulations so they can effectively limit impacts. In the </w:t>
      </w:r>
      <w:r w:rsidR="000326F1">
        <w:t>cap and trade system we explore in Chapter 4</w:t>
      </w:r>
      <w:r>
        <w:t>, regulators would not need to know construction costs, though this additional information may be helpful. Bungee, the planning software we presented here, provides an existing system for this information exchange and is set up in such a way that planning and monitoring would be very inexpensive.</w:t>
      </w:r>
    </w:p>
    <w:p w:rsidR="008506DD" w:rsidRDefault="00F06840" w:rsidP="008506DD">
      <w:pPr>
        <w:ind w:firstLine="720"/>
      </w:pPr>
      <w:r>
        <w:t xml:space="preserve">The second barrier to implementing a regulation of </w:t>
      </w:r>
      <w:r w:rsidR="00CE6D58">
        <w:t>aggregate</w:t>
      </w:r>
      <w:r>
        <w:t xml:space="preserve"> impacts is the difficulty of finding and using a metric of </w:t>
      </w:r>
      <w:r w:rsidR="00CE6D58">
        <w:t>aggregate</w:t>
      </w:r>
      <w:r>
        <w:t xml:space="preserve"> impact. The </w:t>
      </w:r>
      <w:r w:rsidRPr="00011CFC">
        <w:rPr>
          <w:i/>
        </w:rPr>
        <w:t>Impact Score</w:t>
      </w:r>
      <w:r>
        <w:t xml:space="preserve"> – the measure of </w:t>
      </w:r>
      <w:r w:rsidR="00CE6D58">
        <w:t>aggregate</w:t>
      </w:r>
      <w:r>
        <w:t xml:space="preserve"> impact we use here – is a site-specific metric. It lends itself well to optimization at the site-level and could be used to implement a uniform policy such as described above, but it could not be used in its present form to allocate allowed impacts across sites. </w:t>
      </w:r>
      <w:r w:rsidR="000326F1">
        <w:t xml:space="preserve">We return to this point in Chapter 4, </w:t>
      </w:r>
      <w:r w:rsidR="007D6AA6">
        <w:t xml:space="preserve">in </w:t>
      </w:r>
      <w:r w:rsidR="000326F1">
        <w:t>which</w:t>
      </w:r>
      <w:r w:rsidR="007D6AA6">
        <w:t xml:space="preserve"> we</w:t>
      </w:r>
      <w:r w:rsidR="000326F1">
        <w:t xml:space="preserve"> faced this</w:t>
      </w:r>
      <w:r w:rsidR="007D6AA6">
        <w:t xml:space="preserve"> issue</w:t>
      </w:r>
      <w:r w:rsidR="000326F1">
        <w:t xml:space="preserve">. </w:t>
      </w:r>
      <w:r>
        <w:t xml:space="preserve">One example of a </w:t>
      </w:r>
      <w:r w:rsidR="00CE6D58">
        <w:t>aggregate</w:t>
      </w:r>
      <w:r>
        <w:t xml:space="preserve"> score currently used to allocate conservation funds is the Conservation Reserve Program’s Environmental Benefits Index </w:t>
      </w:r>
      <w:r w:rsidR="00F01773">
        <w:fldChar w:fldCharType="begin" w:fldLock="1"/>
      </w:r>
      <w:r w:rsidR="00B32474">
        <w:instrText>ADDIN CSL_CITATION { "citationItems" : [ { "id" : "ITEM-1", "itemData" : { "author" : [ { "dropping-particle" : "", "family" : "United States Department of Agriculture Farm Service Agency", "given" : "", "non-dropping-particle" : "", "parse-names" : false, "suffix" : "" } ], "id" : "ITEM-1", "issued" : { "date-parts" : [ [ "2011" ] ] }, "publisher" : "United States Department of Agriculture", "publisher-place" : "United States", "title" : "Conservation Reserve Program Sign-Up 41 Environmental Benefits Index (EBI)", "type" : "article" }, "uris" : [ "http://www.mendeley.com/documents/?uuid=16713971-8d0b-4291-b524-e736deaaf489" ] } ], "mendeley" : { "formattedCitation" : "(United States Department of Agriculture Farm Service Agency 2011)", "plainTextFormattedCitation" : "(United States Department of Agriculture Farm Service Agency 2011)", "previouslyFormattedCitation" : "(United States Department of Agriculture Farm Service Agency 2011)" }, "properties" : { "noteIndex" : 0 }, "schema" : "https://github.com/citation-style-language/schema/raw/master/csl-citation.json" }</w:instrText>
      </w:r>
      <w:r w:rsidR="00F01773">
        <w:fldChar w:fldCharType="separate"/>
      </w:r>
      <w:r w:rsidR="00B32474" w:rsidRPr="00B32474">
        <w:rPr>
          <w:noProof/>
        </w:rPr>
        <w:t>(United States Department of Agriculture Farm Service Agency 2011)</w:t>
      </w:r>
      <w:r w:rsidR="00F01773">
        <w:fldChar w:fldCharType="end"/>
      </w:r>
      <w:r>
        <w:t>. The Environmental Benefits Index is measured qualitatively and is used to rank applicants, whereas a metric better suited to our system would be calculated directly from estimated impacts and that could be traded or allocated continuously across sites</w:t>
      </w:r>
      <w:r w:rsidR="009A75E1">
        <w:t>.</w:t>
      </w:r>
    </w:p>
    <w:p w:rsidR="008506DD" w:rsidRDefault="008506DD" w:rsidP="008506DD">
      <w:pPr>
        <w:ind w:firstLine="720"/>
      </w:pPr>
      <w:r>
        <w:lastRenderedPageBreak/>
        <w:t>Bungee can be used by regulators, policy makers, conservation NGOs, large land owners, and the shale energy industry to reduce potential impacts from future development. Regulators whose job it is to assess development plans for permits could use our software to evaluate the relative impacts of a proposed infrastructure layout to a lower-impact, more “ideal” layout. Then, threshold allowances could be applied to judge with some objectivity if the proposed layout meets environmental standards. Policy makers could use the software to estimate potential gains from new regulations. Applied in a new context, Bungee could inform the magnitude of subsidies or taxes to affect a target level of impact avoidance by the shale energy industry. Conservation groups who are working in collaboration with the gas industry can use Bungee to inform planning practices at a site. Such collaborations between conservation and industry may be necessary since conservation groups will be better informed about the important impacts in an area and how to evaluate them. Large landowners who have access to ArcGIS can use our software to propose alternative layouts when shale development plans clash with site features the landowner wants protected. That said, our experience has been that the shale energy industry is attuned to such conflicts and, when well informed, wants to avoid them. Finally, the gas industry is perhaps the best positioned to benefit from the use of our software. The scale at which it operates, its flexibility in use, and its incorporation of costs mean that Bungee can be an effective tool for going above and beyond for a progressive company.</w:t>
      </w:r>
    </w:p>
    <w:p w:rsidR="00F06840" w:rsidRDefault="00F06840" w:rsidP="00542B7E">
      <w:pPr>
        <w:ind w:firstLine="720"/>
      </w:pPr>
      <w:r>
        <w:t>Our study is a novel contribution to the shale energy policy literature. In addition, Bungee is a novel planning software in multiple regards. Our methods focus on site-level planning, which is the scale at which decisions about shale gas development most directly affect the environment. As such, we are uniquely able to inform policies and actions at this scale. Bungee attempts to simultaneously site multiple types of infrastructure with very different planning characteristics. The spatial optimization problem it solves and the methods used to do so have, to our knowledge, never been so comprehensively attempted in conservation planning. While the software is specialized to work in the shale gas planning context, the methods could be easily transferred to other development problems that involve connecting potential development sites to infrastructure networks while considering costs and impacts.</w:t>
      </w:r>
    </w:p>
    <w:p w:rsidR="008506DD" w:rsidRDefault="008506DD" w:rsidP="00542B7E">
      <w:pPr>
        <w:ind w:firstLine="720"/>
      </w:pPr>
      <w:r>
        <w:t xml:space="preserve">Several steps could be taken to improve future analyses such as ours. First, we feel that a more informative analysis would explicitly compare existing shale gas development to proposed layouts at the development-area scale. Such an analysis would require having site boundaries from many shale energy companies as well as more complete pipeline data. Both datasets are difficult to come by and cannot be easily </w:t>
      </w:r>
      <w:r>
        <w:lastRenderedPageBreak/>
        <w:t xml:space="preserve">derived from available remotely sensed data. As a compromise, we used publicly available well permit locations and our knowledge of drilling practices to estimate development boundaries. This enabled us to plan in locations where development has occurred, but not to compare to existing development directly. Second, the planning framework and methods in Bungee are advanced, but the software performs a fairly narrow heuristic search for potential infrastructure layouts. We were forced to compromise known optimality for reasonable run speeds. Our results must therefore be interpreted as </w:t>
      </w:r>
      <w:proofErr w:type="gramStart"/>
      <w:r>
        <w:t>conservative,</w:t>
      </w:r>
      <w:proofErr w:type="gramEnd"/>
      <w:r>
        <w:t xml:space="preserve"> since it is likely the layouts produced are not Pareto-optimal. Improvements to the optimization method could improve the optimality of results without prohibitively increasing the run time.</w:t>
      </w:r>
    </w:p>
    <w:p w:rsidR="00F06840" w:rsidRDefault="00382C4C" w:rsidP="00F06840">
      <w:pPr>
        <w:pStyle w:val="Heading2"/>
      </w:pPr>
      <w:bookmarkStart w:id="150" w:name="_Toc417646791"/>
      <w:bookmarkStart w:id="151" w:name="_Toc421352881"/>
      <w:r>
        <w:t>Conclusion</w:t>
      </w:r>
      <w:bookmarkEnd w:id="150"/>
      <w:bookmarkEnd w:id="151"/>
    </w:p>
    <w:p w:rsidR="001A2E9C" w:rsidRDefault="00F06840" w:rsidP="008506DD">
      <w:r>
        <w:t>Shale energy development will likely play an increasingly important role in energy production over the coming decades. Our study and others like it can contribute to a conservation oriented development paradigm, in which the cost of impacting the environment is explicitly accounted for and which factors into decision making on a large scale.</w:t>
      </w:r>
    </w:p>
    <w:p w:rsidR="009663A3" w:rsidRDefault="002629AC">
      <w:pPr>
        <w:pStyle w:val="Heading2"/>
        <w:divId w:val="1156410474"/>
      </w:pPr>
      <w:bookmarkStart w:id="152" w:name="_Toc418409687"/>
      <w:bookmarkStart w:id="153" w:name="_Toc418409822"/>
      <w:bookmarkStart w:id="154" w:name="_Toc418411243"/>
      <w:bookmarkStart w:id="155" w:name="_Toc418411280"/>
      <w:bookmarkStart w:id="156" w:name="_Toc418411377"/>
      <w:bookmarkStart w:id="157" w:name="_Toc418527429"/>
      <w:bookmarkStart w:id="158" w:name="_Toc418409688"/>
      <w:bookmarkStart w:id="159" w:name="_Toc418409823"/>
      <w:bookmarkStart w:id="160" w:name="_Toc418411244"/>
      <w:bookmarkStart w:id="161" w:name="_Toc418411281"/>
      <w:bookmarkStart w:id="162" w:name="_Toc418411378"/>
      <w:bookmarkStart w:id="163" w:name="_Toc418527430"/>
      <w:bookmarkStart w:id="164" w:name="_Toc417646795"/>
      <w:bookmarkStart w:id="165" w:name="Appendix3"/>
      <w:bookmarkStart w:id="166" w:name="_Toc417979144"/>
      <w:bookmarkStart w:id="167" w:name="_Toc417979170"/>
      <w:bookmarkStart w:id="168" w:name="_Toc417981325"/>
      <w:bookmarkStart w:id="169" w:name="_Toc421352882"/>
      <w:bookmarkEnd w:id="152"/>
      <w:bookmarkEnd w:id="153"/>
      <w:bookmarkEnd w:id="154"/>
      <w:bookmarkEnd w:id="155"/>
      <w:bookmarkEnd w:id="156"/>
      <w:bookmarkEnd w:id="157"/>
      <w:bookmarkEnd w:id="158"/>
      <w:bookmarkEnd w:id="159"/>
      <w:bookmarkEnd w:id="160"/>
      <w:bookmarkEnd w:id="161"/>
      <w:bookmarkEnd w:id="162"/>
      <w:bookmarkEnd w:id="163"/>
      <w:r>
        <w:t>Appendix</w:t>
      </w:r>
      <w:bookmarkEnd w:id="164"/>
      <w:bookmarkEnd w:id="165"/>
      <w:bookmarkEnd w:id="166"/>
      <w:bookmarkEnd w:id="167"/>
      <w:bookmarkEnd w:id="168"/>
      <w:bookmarkEnd w:id="169"/>
    </w:p>
    <w:p w:rsidR="00C30D4F" w:rsidRDefault="00C30D4F" w:rsidP="006A3F57">
      <w:pPr>
        <w:pStyle w:val="Heading3"/>
      </w:pPr>
      <w:bookmarkStart w:id="170" w:name="_Toc417646796"/>
      <w:bookmarkStart w:id="171" w:name="Appendix31"/>
      <w:r>
        <w:t>Additional/Detailed Methods and Results</w:t>
      </w:r>
      <w:bookmarkEnd w:id="170"/>
    </w:p>
    <w:p w:rsidR="00C30D4F" w:rsidRDefault="00C30D4F" w:rsidP="006A3F57">
      <w:pPr>
        <w:pStyle w:val="Heading4"/>
      </w:pPr>
      <w:bookmarkStart w:id="172" w:name="_Ref417549966"/>
      <w:bookmarkEnd w:id="171"/>
      <w:r>
        <w:t>Regressions to explain impact reductions</w:t>
      </w:r>
      <w:bookmarkEnd w:id="172"/>
    </w:p>
    <w:p w:rsidR="00C30D4F" w:rsidRDefault="00C30D4F" w:rsidP="00C30D4F">
      <w:r>
        <w:t xml:space="preserve">We wanted to know if site attributes related to the flexibility of infrastructure planning would explain how much impacts could be reduced, what this would cost, or a combination of the two. In other words, can we predict the end-points of the tradeoff curves in </w:t>
      </w:r>
      <w:r w:rsidR="00F01773">
        <w:fldChar w:fldCharType="begin"/>
      </w:r>
      <w:r w:rsidR="00723FED">
        <w:instrText xml:space="preserve"> REF _Ref417547744 \h </w:instrText>
      </w:r>
      <w:r w:rsidR="00F01773">
        <w:fldChar w:fldCharType="separate"/>
      </w:r>
      <w:r w:rsidR="00867AA7">
        <w:t xml:space="preserve">Fig. </w:t>
      </w:r>
      <w:r w:rsidR="00867AA7">
        <w:rPr>
          <w:noProof/>
        </w:rPr>
        <w:t>3</w:t>
      </w:r>
      <w:r w:rsidR="00867AA7">
        <w:t>.</w:t>
      </w:r>
      <w:r w:rsidR="00867AA7">
        <w:rPr>
          <w:noProof/>
        </w:rPr>
        <w:t>4</w:t>
      </w:r>
      <w:r w:rsidR="00F01773">
        <w:fldChar w:fldCharType="end"/>
      </w:r>
      <w:r w:rsidR="00723FED">
        <w:t xml:space="preserve"> </w:t>
      </w:r>
      <w:r>
        <w:t>without planning infrastructure? Addressing this question would allow us to understand what makes some sites able to avoid impacts cheaply as opposed to not being able to avoid impacts at all or for it to be very expensive to do so.</w:t>
      </w:r>
    </w:p>
    <w:p w:rsidR="00C30D4F" w:rsidRDefault="00C30D4F" w:rsidP="006A3F57">
      <w:pPr>
        <w:ind w:firstLine="720"/>
      </w:pPr>
      <w:r>
        <w:t xml:space="preserve">To answer the above question, we identified several predictors related to the flexibility of planning of infrastructure. We define flexible sites as those where there are many feasible, spatially distinct infrastructure layouts with a wide range of </w:t>
      </w:r>
      <w:r>
        <w:rPr>
          <w:i/>
        </w:rPr>
        <w:t>Impact Scores</w:t>
      </w:r>
      <w:r>
        <w:t xml:space="preserve">. An inflexible site is one where feasible layouts are tightly constrained to specific areas or where there is little heterogeneity in impacts and costs. First and second, we used the density of existing road and pipeline networks as predictors since larger/denser existing infrastructure provides more </w:t>
      </w:r>
      <w:r>
        <w:lastRenderedPageBreak/>
        <w:t>connection points for proposed infrastructure. This was calculated as the number of pixels of existing road (or pipeline) infrastructure per pixel of the site. Third, we used the variation of the pipeline impact surface</w:t>
      </w:r>
      <w:r w:rsidR="007B74BC">
        <w:t xml:space="preserve"> across pixels</w:t>
      </w:r>
      <w:r>
        <w:t xml:space="preserve"> (see </w:t>
      </w:r>
      <w:r w:rsidR="00F01773">
        <w:fldChar w:fldCharType="begin"/>
      </w:r>
      <w:r>
        <w:instrText xml:space="preserve"> REF _Ref409795717 \r \h </w:instrText>
      </w:r>
      <w:r w:rsidR="00F01773">
        <w:fldChar w:fldCharType="separate"/>
      </w:r>
      <w:r w:rsidR="00867AA7">
        <w:t>3.7.7.5</w:t>
      </w:r>
      <w:r w:rsidR="00F01773">
        <w:fldChar w:fldCharType="end"/>
      </w:r>
      <w:r>
        <w:t xml:space="preserve"> </w:t>
      </w:r>
      <w:r w:rsidR="00F01773">
        <w:fldChar w:fldCharType="begin"/>
      </w:r>
      <w:r>
        <w:instrText xml:space="preserve"> REF _Ref409795717 \h </w:instrText>
      </w:r>
      <w:r w:rsidR="00F01773">
        <w:fldChar w:fldCharType="separate"/>
      </w:r>
      <w:r w:rsidR="00867AA7" w:rsidRPr="00A9073F">
        <w:t>Estimate additive impact surfaces</w:t>
      </w:r>
      <w:r w:rsidR="00F01773">
        <w:fldChar w:fldCharType="end"/>
      </w:r>
      <w:r>
        <w:t xml:space="preserve">), since higher variation of impacts might create more alternative routes for pipelines and roads. This was calculated </w:t>
      </w:r>
      <w:proofErr w:type="gramStart"/>
      <w:r>
        <w:t xml:space="preserve">as </w:t>
      </w:r>
      <m:oMath>
        <w:proofErr w:type="gramEnd"/>
        <m:r>
          <w:rPr>
            <w:rFonts w:ascii="Cambria Math" w:hAnsi="Cambria Math"/>
          </w:rPr>
          <m:t>CV(I)=</m:t>
        </m:r>
        <m:sSub>
          <m:sSubPr>
            <m:ctrlPr>
              <w:rPr>
                <w:rFonts w:ascii="Cambria Math" w:hAnsi="Cambria Math"/>
                <w:i/>
              </w:rPr>
            </m:ctrlPr>
          </m:sSubPr>
          <m:e>
            <m:r>
              <w:rPr>
                <w:rFonts w:ascii="Cambria Math" w:hAnsi="Cambria Math"/>
              </w:rPr>
              <m:t>σ</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I</m:t>
            </m:r>
          </m:e>
        </m:acc>
      </m:oMath>
      <w:r>
        <w:t xml:space="preserve">. We used the pipeline impact surface because it covered the entire site and the spatial </w:t>
      </w:r>
      <w:proofErr w:type="gramStart"/>
      <w:r>
        <w:t>structure of the impact surfaces are</w:t>
      </w:r>
      <w:proofErr w:type="gramEnd"/>
      <w:r>
        <w:t xml:space="preserve"> very similar across types of infrastructure. Fourth, we use the variation of the pipeline cost surface for a similar reason to the pipeline impact surface and calculated the same way. Fifth, we used variation in the ROI surface, which is the ratio of the impact surface to the cost surface. We expected the ROI surface to be the strongest predictor since Bungee is planning according to impacts and costs (see </w:t>
      </w:r>
      <w:r w:rsidR="00F01773">
        <w:fldChar w:fldCharType="begin"/>
      </w:r>
      <w:r>
        <w:instrText xml:space="preserve"> REF _Ref408140730 \r \h </w:instrText>
      </w:r>
      <w:r w:rsidR="00F01773">
        <w:fldChar w:fldCharType="separate"/>
      </w:r>
      <w:r w:rsidR="00867AA7">
        <w:t>3.7.7.6</w:t>
      </w:r>
      <w:r w:rsidR="00F01773">
        <w:fldChar w:fldCharType="end"/>
      </w:r>
      <w:r>
        <w:t xml:space="preserve"> </w:t>
      </w:r>
      <w:r w:rsidR="00F01773">
        <w:fldChar w:fldCharType="begin"/>
      </w:r>
      <w:r>
        <w:instrText xml:space="preserve"> REF _Ref408140730 \h </w:instrText>
      </w:r>
      <w:r w:rsidR="00F01773">
        <w:fldChar w:fldCharType="separate"/>
      </w:r>
      <w:r w:rsidR="00867AA7" w:rsidRPr="00A9073F">
        <w:t>Create final layouts</w:t>
      </w:r>
      <w:r w:rsidR="00F01773">
        <w:fldChar w:fldCharType="end"/>
      </w:r>
      <w:r>
        <w:t xml:space="preserve"> and </w:t>
      </w:r>
      <w:r w:rsidR="00F01773">
        <w:fldChar w:fldCharType="begin"/>
      </w:r>
      <w:r>
        <w:instrText xml:space="preserve"> REF _Ref409529030 \r \h </w:instrText>
      </w:r>
      <w:r w:rsidR="00F01773">
        <w:fldChar w:fldCharType="separate"/>
      </w:r>
      <w:r w:rsidR="00867AA7">
        <w:t>3.7.9.3</w:t>
      </w:r>
      <w:r w:rsidR="00F01773">
        <w:fldChar w:fldCharType="end"/>
      </w:r>
      <w:r>
        <w:t xml:space="preserve"> </w:t>
      </w:r>
      <w:r w:rsidR="00F01773">
        <w:fldChar w:fldCharType="begin"/>
      </w:r>
      <w:r>
        <w:instrText xml:space="preserve"> REF _Ref409529030 \h </w:instrText>
      </w:r>
      <w:r w:rsidR="00F01773">
        <w:fldChar w:fldCharType="separate"/>
      </w:r>
      <w:proofErr w:type="gramStart"/>
      <w:r w:rsidR="00867AA7">
        <w:t>Linear</w:t>
      </w:r>
      <w:proofErr w:type="gramEnd"/>
      <w:r w:rsidR="00867AA7">
        <w:t xml:space="preserve"> infrastructure route optimization</w:t>
      </w:r>
      <w:r w:rsidR="00F01773">
        <w:fldChar w:fldCharType="end"/>
      </w:r>
      <w:r>
        <w:t>). Sixth, we used the correlation between the impact and cost surfaces. Highly negatively correlated impact and cost surfaces might lead to costly avoidance of impacts, whereas highly positively correlated surfaces might lead to an inability to reduce impacts since the least-cost layout would already be in low-impact areas</w:t>
      </w:r>
      <w:r w:rsidR="007B74BC">
        <w:t xml:space="preserve"> </w:t>
      </w:r>
      <w:r w:rsidR="00F01773">
        <w:fldChar w:fldCharType="begin" w:fldLock="1"/>
      </w:r>
      <w:r w:rsidR="00F407AC">
        <w:instrText>ADDIN CSL_CITATION { "citationItems" : [ { "id" : "ITEM-1", "itemData" : { "DOI" : "10.2307/3147171", "ISSN" : "00237639", "abstract" : "Use of suboptimal targeting tools to acquire environmental benefits is more the norm than the exception. We analyze how the joint spatial distribution of costs and environmental benefits affect efficiency losses from following targeting rules based on cost or benefits, rather than based on the benefit to cost ratio. Using analytical and numerical models, we demonstrate that the relative variability of costs and benefits and the correlation between the two are primary determinants of efficiency losses. We apply our framework to renewal of Conservation Reserve Program contracts and estimate how well alternative targeting tools obtain environmental benefits under reduced budgets. CR  - Copyright &amp;#169; 1997 The Board of Regents of the University of Wisconsin System", "author" : [ { "dropping-particle" : "", "family" : "Babcock", "given" : "Bruce A", "non-dropping-particle" : "", "parse-names" : false, "suffix" : "" }, { "dropping-particle" : "", "family" : "Lakshminarayan", "given" : "P G", "non-dropping-particle" : "", "parse-names" : false, "suffix" : "" }, { "dropping-particle" : "", "family" : "Wu", "given" : "JunJie", "non-dropping-particle" : "", "parse-names" : false, "suffix" : "" }, { "dropping-particle" : "", "family" : "Zilberman", "given" : "David", "non-dropping-particle" : "", "parse-names" : false, "suffix" : "" } ], "container-title" : "Land Economics", "id" : "ITEM-1", "issue" : "3", "issued" : { "date-parts" : [ [ "1997", "8", "1" ] ] }, "page" : "325-339", "publisher" : "University of Wisconsin Press", "title" : "Targeting Tools for the Purchase of Environmental Amenities", "type" : "article-journal", "volume" : "73" }, "uris" : [ "http://www.mendeley.com/documents/?uuid=e5d3cbf8-3555-4748-9f47-f2fac8161321" ] } ], "mendeley" : { "formattedCitation" : "(Babcock &lt;i&gt;et al.&lt;/i&gt; 1997)", "plainTextFormattedCitation" : "(Babcock et al. 1997)", "previouslyFormattedCitation" : "(Babcock &lt;i&gt;et al.&lt;/i&gt; 1997)" }, "properties" : { "noteIndex" : 0 }, "schema" : "https://github.com/citation-style-language/schema/raw/master/csl-citation.json" }</w:instrText>
      </w:r>
      <w:r w:rsidR="00F01773">
        <w:fldChar w:fldCharType="separate"/>
      </w:r>
      <w:r w:rsidR="007B74BC" w:rsidRPr="007B74BC">
        <w:rPr>
          <w:noProof/>
        </w:rPr>
        <w:t xml:space="preserve">(Babcock </w:t>
      </w:r>
      <w:r w:rsidR="007B74BC" w:rsidRPr="007B74BC">
        <w:rPr>
          <w:i/>
          <w:noProof/>
        </w:rPr>
        <w:t>et al.</w:t>
      </w:r>
      <w:r w:rsidR="007B74BC" w:rsidRPr="007B74BC">
        <w:rPr>
          <w:noProof/>
        </w:rPr>
        <w:t xml:space="preserve"> 1997)</w:t>
      </w:r>
      <w:r w:rsidR="00F01773">
        <w:fldChar w:fldCharType="end"/>
      </w:r>
      <w:r>
        <w:t>. Seventh and eighth, we used the size (in hectares and number of well pads) of sites, since larger areas, by definition, have more locations for infrastructure to be placed.</w:t>
      </w:r>
    </w:p>
    <w:p w:rsidR="00C30D4F" w:rsidRDefault="00F01773" w:rsidP="006A3F57">
      <w:pPr>
        <w:ind w:firstLine="720"/>
      </w:pPr>
      <w:r>
        <w:rPr>
          <w:noProof/>
        </w:rPr>
        <w:pict>
          <v:shape id="_x0000_s1065" type="#_x0000_t202" style="position:absolute;left:0;text-align:left;margin-left:0;margin-top:0;width:6in;height:243pt;z-index:251659264;mso-position-horizontal:center;mso-position-horizontal-relative:margin;mso-position-vertical:top;mso-position-vertical-relative:margin" stroked="f">
            <v:textbox style="mso-next-textbox:#_x0000_s1065">
              <w:txbxContent>
                <w:p w:rsidR="006A45E8" w:rsidRDefault="006A45E8" w:rsidP="004D0467">
                  <w:pPr>
                    <w:keepNext/>
                    <w:jc w:val="center"/>
                  </w:pPr>
                  <w:r>
                    <w:rPr>
                      <w:noProof/>
                    </w:rPr>
                    <w:drawing>
                      <wp:inline distT="0" distB="0" distL="0" distR="0">
                        <wp:extent cx="2860302" cy="2241376"/>
                        <wp:effectExtent l="19050" t="0" r="0" b="0"/>
                        <wp:docPr id="251" name="Picture 224" descr="FigS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_1.png"/>
                                <pic:cNvPicPr/>
                              </pic:nvPicPr>
                              <pic:blipFill>
                                <a:blip r:embed="rId70"/>
                                <a:stretch>
                                  <a:fillRect/>
                                </a:stretch>
                              </pic:blipFill>
                              <pic:spPr>
                                <a:xfrm>
                                  <a:off x="0" y="0"/>
                                  <a:ext cx="2860302" cy="2241376"/>
                                </a:xfrm>
                                <a:prstGeom prst="rect">
                                  <a:avLst/>
                                </a:prstGeom>
                              </pic:spPr>
                            </pic:pic>
                          </a:graphicData>
                        </a:graphic>
                      </wp:inline>
                    </w:drawing>
                  </w:r>
                </w:p>
                <w:p w:rsidR="006A45E8" w:rsidRPr="002B2090" w:rsidRDefault="006A45E8" w:rsidP="00D47860">
                  <w:pPr>
                    <w:pStyle w:val="Caption"/>
                    <w:rPr>
                      <w:vanish/>
                      <w:lang w:val="en-GB"/>
                      <w:specVanish/>
                    </w:rPr>
                  </w:pPr>
                  <w:bookmarkStart w:id="173" w:name="_Ref417481748"/>
                  <w:bookmarkStart w:id="174" w:name="_Toc421352926"/>
                  <w:bookmarkStart w:id="175" w:name="_Toc417647083"/>
                  <w:proofErr w:type="gramStart"/>
                  <w:r>
                    <w:t xml:space="preserve">Fig. S </w:t>
                  </w:r>
                  <w:fldSimple w:instr=" STYLEREF 1 \s ">
                    <w:r>
                      <w:rPr>
                        <w:noProof/>
                      </w:rPr>
                      <w:t>3</w:t>
                    </w:r>
                  </w:fldSimple>
                  <w:r>
                    <w:t>.</w:t>
                  </w:r>
                  <w:proofErr w:type="gramEnd"/>
                  <w:r>
                    <w:fldChar w:fldCharType="begin"/>
                  </w:r>
                  <w:r>
                    <w:instrText xml:space="preserve"> SEQ Fig._S \* ARABIC \s 1 </w:instrText>
                  </w:r>
                  <w:r>
                    <w:fldChar w:fldCharType="separate"/>
                  </w:r>
                  <w:r>
                    <w:rPr>
                      <w:noProof/>
                    </w:rPr>
                    <w:t>1</w:t>
                  </w:r>
                  <w:r>
                    <w:fldChar w:fldCharType="end"/>
                  </w:r>
                  <w:bookmarkEnd w:id="173"/>
                  <w:r>
                    <w:t>. Example showing how response variables for regressions were derived</w:t>
                  </w:r>
                  <w:bookmarkEnd w:id="174"/>
                </w:p>
                <w:p w:rsidR="006A45E8" w:rsidRDefault="006A45E8" w:rsidP="004D0467">
                  <w:pPr>
                    <w:pStyle w:val="Caption"/>
                    <w:jc w:val="left"/>
                  </w:pPr>
                  <w:r>
                    <w:t>. The relative cost (Y) and impact reduction (X) of the least-impact layout are calculated proportionally to the least-cost layout represented by (0, 0).</w:t>
                  </w:r>
                  <w:bookmarkEnd w:id="175"/>
                </w:p>
                <w:p w:rsidR="006A45E8" w:rsidRDefault="006A45E8" w:rsidP="004D0467"/>
              </w:txbxContent>
            </v:textbox>
            <w10:wrap type="square" anchorx="margin" anchory="margin"/>
          </v:shape>
        </w:pict>
      </w:r>
      <w:r w:rsidR="007B74BC">
        <w:t>For the regressions, t</w:t>
      </w:r>
      <w:r w:rsidR="00D601A7">
        <w:t>wo</w:t>
      </w:r>
      <w:r w:rsidR="00C30D4F">
        <w:t xml:space="preserve"> response</w:t>
      </w:r>
      <w:r w:rsidR="007B74BC">
        <w:t xml:space="preserve"> variables</w:t>
      </w:r>
      <w:r w:rsidR="00C30D4F">
        <w:t xml:space="preserve"> were identified that describe attribu</w:t>
      </w:r>
      <w:r w:rsidR="00443115">
        <w:t xml:space="preserve">tes of the least-impact layout </w:t>
      </w:r>
      <w:r w:rsidR="00C30D4F">
        <w:t>relativ</w:t>
      </w:r>
      <w:r w:rsidR="00443115">
        <w:t>e to the least-cost layout</w:t>
      </w:r>
      <w:r w:rsidR="00C30D4F">
        <w:t xml:space="preserve">. These two layouts form the end-points of the tradeoff curves in </w:t>
      </w:r>
      <w:r>
        <w:fldChar w:fldCharType="begin"/>
      </w:r>
      <w:r w:rsidR="00723FED">
        <w:instrText xml:space="preserve"> REF _Ref417547744 \h </w:instrText>
      </w:r>
      <w:r>
        <w:fldChar w:fldCharType="separate"/>
      </w:r>
      <w:r w:rsidR="00867AA7">
        <w:t xml:space="preserve">Fig. </w:t>
      </w:r>
      <w:r w:rsidR="00867AA7">
        <w:rPr>
          <w:noProof/>
        </w:rPr>
        <w:t>3</w:t>
      </w:r>
      <w:r w:rsidR="00867AA7">
        <w:t>.</w:t>
      </w:r>
      <w:r w:rsidR="00867AA7">
        <w:rPr>
          <w:noProof/>
        </w:rPr>
        <w:t>4</w:t>
      </w:r>
      <w:r>
        <w:fldChar w:fldCharType="end"/>
      </w:r>
      <w:r w:rsidR="00723FED">
        <w:t xml:space="preserve"> </w:t>
      </w:r>
      <w:r w:rsidR="004D0467">
        <w:t xml:space="preserve">(see </w:t>
      </w:r>
      <w:r>
        <w:fldChar w:fldCharType="begin"/>
      </w:r>
      <w:r w:rsidR="00723FED">
        <w:instrText xml:space="preserve"> REF _Ref417481748 \h </w:instrText>
      </w:r>
      <w:r>
        <w:fldChar w:fldCharType="separate"/>
      </w:r>
      <w:r w:rsidR="00867AA7">
        <w:t xml:space="preserve">Fig. S </w:t>
      </w:r>
      <w:r w:rsidR="00867AA7">
        <w:rPr>
          <w:noProof/>
        </w:rPr>
        <w:t>3</w:t>
      </w:r>
      <w:r w:rsidR="00867AA7">
        <w:t>.</w:t>
      </w:r>
      <w:r w:rsidR="00867AA7">
        <w:rPr>
          <w:noProof/>
        </w:rPr>
        <w:t>1</w:t>
      </w:r>
      <w:r>
        <w:fldChar w:fldCharType="end"/>
      </w:r>
      <w:r w:rsidR="00723FED">
        <w:t xml:space="preserve"> </w:t>
      </w:r>
      <w:r w:rsidR="004D0467">
        <w:t>for example)</w:t>
      </w:r>
      <w:r w:rsidR="00C30D4F">
        <w:t xml:space="preserve">. First, we used the impact reduction of the </w:t>
      </w:r>
      <w:r w:rsidR="00443115">
        <w:t>least-impact layout</w:t>
      </w:r>
      <w:r w:rsidR="00C30D4F">
        <w:t xml:space="preserve"> measured as</w:t>
      </w:r>
      <w:r w:rsidR="00443115">
        <w:t xml:space="preserve"> the X position of the least-impact </w:t>
      </w:r>
      <w:r w:rsidR="00443115">
        <w:lastRenderedPageBreak/>
        <w:t>layout</w:t>
      </w:r>
      <w:r w:rsidR="00C4678F">
        <w:t xml:space="preserve"> (</w:t>
      </w:r>
      <w:r>
        <w:fldChar w:fldCharType="begin"/>
      </w:r>
      <w:r w:rsidR="00C4678F">
        <w:instrText xml:space="preserve"> REF _Ref417481748 \h </w:instrText>
      </w:r>
      <w:r>
        <w:fldChar w:fldCharType="separate"/>
      </w:r>
      <w:r w:rsidR="00867AA7">
        <w:t xml:space="preserve">Fig. S </w:t>
      </w:r>
      <w:r w:rsidR="00867AA7">
        <w:rPr>
          <w:noProof/>
        </w:rPr>
        <w:t>3</w:t>
      </w:r>
      <w:r w:rsidR="00867AA7">
        <w:t>.</w:t>
      </w:r>
      <w:r w:rsidR="00867AA7">
        <w:rPr>
          <w:noProof/>
        </w:rPr>
        <w:t>1</w:t>
      </w:r>
      <w:r>
        <w:fldChar w:fldCharType="end"/>
      </w:r>
      <w:r w:rsidR="00C4678F">
        <w:t>)</w:t>
      </w:r>
      <w:r w:rsidR="00C30D4F">
        <w:t xml:space="preserve">. </w:t>
      </w:r>
      <w:r w:rsidR="00D601A7">
        <w:t>Second</w:t>
      </w:r>
      <w:r w:rsidR="00C30D4F">
        <w:t xml:space="preserve">, we calculated the ratio of the cost increase and impact reduction of the </w:t>
      </w:r>
      <w:r w:rsidR="008344BA">
        <w:t>least-impact layout</w:t>
      </w:r>
      <w:r w:rsidR="00C30D4F">
        <w:t xml:space="preserve">, also known as the impact elasticity of cost of the </w:t>
      </w:r>
      <w:r w:rsidR="008344BA">
        <w:t>least-impact layout</w:t>
      </w:r>
      <w:r w:rsidR="00757237">
        <w:t xml:space="preserve"> (Y/X in </w:t>
      </w:r>
      <w:r>
        <w:fldChar w:fldCharType="begin"/>
      </w:r>
      <w:r w:rsidR="00757237">
        <w:instrText xml:space="preserve"> REF _Ref417481748 \h </w:instrText>
      </w:r>
      <w:r>
        <w:fldChar w:fldCharType="separate"/>
      </w:r>
      <w:r w:rsidR="00867AA7">
        <w:t xml:space="preserve">Fig. S </w:t>
      </w:r>
      <w:r w:rsidR="00867AA7">
        <w:rPr>
          <w:noProof/>
        </w:rPr>
        <w:t>3</w:t>
      </w:r>
      <w:r w:rsidR="00867AA7">
        <w:t>.</w:t>
      </w:r>
      <w:r w:rsidR="00867AA7">
        <w:rPr>
          <w:noProof/>
        </w:rPr>
        <w:t>1</w:t>
      </w:r>
      <w:r>
        <w:fldChar w:fldCharType="end"/>
      </w:r>
      <w:r w:rsidR="00757237">
        <w:t>)</w:t>
      </w:r>
      <w:r w:rsidR="00865D59">
        <w:t>.</w:t>
      </w:r>
    </w:p>
    <w:p w:rsidR="00C130A2" w:rsidRDefault="00C30D4F" w:rsidP="00C130A2">
      <w:r>
        <w:t xml:space="preserve">As </w:t>
      </w:r>
      <w:r w:rsidR="00F01773">
        <w:fldChar w:fldCharType="begin"/>
      </w:r>
      <w:r w:rsidR="008E6F0E">
        <w:instrText xml:space="preserve"> REF _Ref417547092 \h </w:instrText>
      </w:r>
      <w:r w:rsidR="00F01773">
        <w:fldChar w:fldCharType="separate"/>
      </w:r>
      <w:r w:rsidR="00867AA7">
        <w:t xml:space="preserve">Table S </w:t>
      </w:r>
      <w:r w:rsidR="00867AA7">
        <w:rPr>
          <w:noProof/>
        </w:rPr>
        <w:t>3</w:t>
      </w:r>
      <w:r w:rsidR="00867AA7">
        <w:t>.</w:t>
      </w:r>
      <w:r w:rsidR="00867AA7">
        <w:rPr>
          <w:noProof/>
        </w:rPr>
        <w:t>1</w:t>
      </w:r>
      <w:r w:rsidR="00F01773">
        <w:fldChar w:fldCharType="end"/>
      </w:r>
      <w:r w:rsidR="008E6F0E">
        <w:t xml:space="preserve"> </w:t>
      </w:r>
      <w:r>
        <w:t xml:space="preserve">below shows, </w:t>
      </w:r>
      <w:r w:rsidR="00E1439D">
        <w:t xml:space="preserve">four models were significant (p&lt;0.05). </w:t>
      </w:r>
      <w:r>
        <w:t xml:space="preserve">Visual inspection of </w:t>
      </w:r>
      <w:r w:rsidR="0094221F">
        <w:t xml:space="preserve">the plots using </w:t>
      </w:r>
      <w:proofErr w:type="gramStart"/>
      <w:r w:rsidR="0094221F" w:rsidRPr="00F6777E">
        <w:rPr>
          <w:i/>
        </w:rPr>
        <w:t>log</w:t>
      </w:r>
      <w:r w:rsidR="0094221F" w:rsidRPr="00F6777E">
        <w:rPr>
          <w:i/>
          <w:vertAlign w:val="subscript"/>
        </w:rPr>
        <w:t>10</w:t>
      </w:r>
      <w:r w:rsidR="0094221F" w:rsidRPr="00F6777E">
        <w:rPr>
          <w:i/>
        </w:rPr>
        <w:t>(</w:t>
      </w:r>
      <w:proofErr w:type="gramEnd"/>
      <w:r w:rsidR="0094221F" w:rsidRPr="00254951">
        <w:rPr>
          <w:i/>
        </w:rPr>
        <w:t>CV</w:t>
      </w:r>
      <w:r w:rsidR="0094221F" w:rsidRPr="00F6777E">
        <w:rPr>
          <w:i/>
        </w:rPr>
        <w:t>(</w:t>
      </w:r>
      <w:r w:rsidR="0094221F">
        <w:rPr>
          <w:i/>
        </w:rPr>
        <w:t>impact))</w:t>
      </w:r>
      <w:r w:rsidR="0094221F">
        <w:t xml:space="preserve"> as a predictor (</w:t>
      </w:r>
      <w:r w:rsidR="00F01773">
        <w:fldChar w:fldCharType="begin"/>
      </w:r>
      <w:r w:rsidR="0094221F">
        <w:instrText xml:space="preserve"> REF _Ref417548106 \h </w:instrText>
      </w:r>
      <w:r w:rsidR="00F01773">
        <w:fldChar w:fldCharType="separate"/>
      </w:r>
      <w:r w:rsidR="00867AA7" w:rsidRPr="006F22B8">
        <w:t xml:space="preserve">Fig. S </w:t>
      </w:r>
      <w:r w:rsidR="00867AA7">
        <w:rPr>
          <w:noProof/>
        </w:rPr>
        <w:t>3</w:t>
      </w:r>
      <w:r w:rsidR="00867AA7">
        <w:t>.</w:t>
      </w:r>
      <w:r w:rsidR="00867AA7">
        <w:rPr>
          <w:noProof/>
        </w:rPr>
        <w:t>2</w:t>
      </w:r>
      <w:r w:rsidR="00F01773">
        <w:fldChar w:fldCharType="end"/>
      </w:r>
      <w:r w:rsidR="0094221F">
        <w:t xml:space="preserve">) show uneven sampling across the values of </w:t>
      </w:r>
      <w:r w:rsidR="0094221F" w:rsidRPr="00F6777E">
        <w:rPr>
          <w:i/>
        </w:rPr>
        <w:t>log</w:t>
      </w:r>
      <w:r w:rsidR="0094221F" w:rsidRPr="00F6777E">
        <w:rPr>
          <w:i/>
          <w:vertAlign w:val="subscript"/>
        </w:rPr>
        <w:t>10</w:t>
      </w:r>
      <w:r w:rsidR="0094221F" w:rsidRPr="00F6777E">
        <w:rPr>
          <w:i/>
        </w:rPr>
        <w:t>(</w:t>
      </w:r>
      <w:r w:rsidR="0094221F" w:rsidRPr="00254951">
        <w:rPr>
          <w:i/>
        </w:rPr>
        <w:t>CV</w:t>
      </w:r>
      <w:r w:rsidR="0094221F" w:rsidRPr="00F6777E">
        <w:rPr>
          <w:i/>
        </w:rPr>
        <w:t>(</w:t>
      </w:r>
      <w:r w:rsidR="0094221F">
        <w:rPr>
          <w:i/>
        </w:rPr>
        <w:t>impact))</w:t>
      </w:r>
      <w:r w:rsidR="0094221F">
        <w:t xml:space="preserve">. We </w:t>
      </w:r>
      <w:r w:rsidR="00C130A2">
        <w:t xml:space="preserve">explored the effects of treating the dataset as composed of two parts, each with even sampling across </w:t>
      </w:r>
      <w:proofErr w:type="gramStart"/>
      <w:r w:rsidR="00C130A2" w:rsidRPr="00F6777E">
        <w:rPr>
          <w:i/>
        </w:rPr>
        <w:t>log</w:t>
      </w:r>
      <w:r w:rsidR="00C130A2" w:rsidRPr="00F6777E">
        <w:rPr>
          <w:i/>
          <w:vertAlign w:val="subscript"/>
        </w:rPr>
        <w:t>10</w:t>
      </w:r>
      <w:r w:rsidR="00C130A2" w:rsidRPr="00F6777E">
        <w:rPr>
          <w:i/>
        </w:rPr>
        <w:t>(</w:t>
      </w:r>
      <w:proofErr w:type="gramEnd"/>
      <w:r w:rsidR="00C130A2" w:rsidRPr="00254951">
        <w:rPr>
          <w:i/>
        </w:rPr>
        <w:t>CV</w:t>
      </w:r>
      <w:r w:rsidR="00C130A2" w:rsidRPr="00F6777E">
        <w:rPr>
          <w:i/>
        </w:rPr>
        <w:t>(</w:t>
      </w:r>
      <w:r w:rsidR="00C130A2">
        <w:rPr>
          <w:i/>
        </w:rPr>
        <w:t>impact))</w:t>
      </w:r>
      <w:r w:rsidR="00C130A2">
        <w:t xml:space="preserve">. To do so, we split the dataset at </w:t>
      </w:r>
      <w:proofErr w:type="gramStart"/>
      <w:r w:rsidR="00C130A2" w:rsidRPr="00F6777E">
        <w:rPr>
          <w:i/>
        </w:rPr>
        <w:t>log</w:t>
      </w:r>
      <w:r w:rsidR="00C130A2" w:rsidRPr="00F6777E">
        <w:rPr>
          <w:i/>
          <w:vertAlign w:val="subscript"/>
        </w:rPr>
        <w:t>10</w:t>
      </w:r>
      <w:r w:rsidR="00C130A2" w:rsidRPr="00F6777E">
        <w:rPr>
          <w:i/>
        </w:rPr>
        <w:t>(</w:t>
      </w:r>
      <w:proofErr w:type="gramEnd"/>
      <w:r w:rsidR="00C130A2" w:rsidRPr="00254951">
        <w:rPr>
          <w:i/>
        </w:rPr>
        <w:t>CV</w:t>
      </w:r>
      <w:r w:rsidR="00C130A2" w:rsidRPr="00F6777E">
        <w:rPr>
          <w:i/>
        </w:rPr>
        <w:t>(</w:t>
      </w:r>
      <w:r w:rsidR="00C130A2">
        <w:rPr>
          <w:i/>
        </w:rPr>
        <w:t>impact))</w:t>
      </w:r>
      <w:r w:rsidR="00C130A2">
        <w:t xml:space="preserve"> = -1.0 and ran separate ordinary least-squares regressions on each part.  In both cases, the two-part model had an AICc score more than five units below the one-part model (titles in </w:t>
      </w:r>
      <w:r w:rsidR="00F01773">
        <w:fldChar w:fldCharType="begin"/>
      </w:r>
      <w:r w:rsidR="00C130A2">
        <w:instrText xml:space="preserve"> REF _Ref417548106 \h </w:instrText>
      </w:r>
      <w:r w:rsidR="00F01773">
        <w:fldChar w:fldCharType="separate"/>
      </w:r>
      <w:r w:rsidR="00867AA7" w:rsidRPr="006F22B8">
        <w:t xml:space="preserve">Fig. S </w:t>
      </w:r>
      <w:r w:rsidR="00867AA7">
        <w:rPr>
          <w:noProof/>
        </w:rPr>
        <w:t>3</w:t>
      </w:r>
      <w:r w:rsidR="00867AA7">
        <w:t>.</w:t>
      </w:r>
      <w:r w:rsidR="00867AA7">
        <w:rPr>
          <w:noProof/>
        </w:rPr>
        <w:t>2</w:t>
      </w:r>
      <w:r w:rsidR="00F01773">
        <w:fldChar w:fldCharType="end"/>
      </w:r>
      <w:r w:rsidR="00C130A2">
        <w:t xml:space="preserve">), indicating a two-part model is more parsimonious. Combined with the non-significance of the two-part model, this result weakens support that </w:t>
      </w:r>
      <w:proofErr w:type="gramStart"/>
      <w:r w:rsidR="00C130A2" w:rsidRPr="00F6777E">
        <w:rPr>
          <w:i/>
        </w:rPr>
        <w:t>log</w:t>
      </w:r>
      <w:r w:rsidR="00C130A2" w:rsidRPr="00F6777E">
        <w:rPr>
          <w:i/>
          <w:vertAlign w:val="subscript"/>
        </w:rPr>
        <w:t>10</w:t>
      </w:r>
      <w:r w:rsidR="00C130A2" w:rsidRPr="00F6777E">
        <w:rPr>
          <w:i/>
        </w:rPr>
        <w:t>(</w:t>
      </w:r>
      <w:proofErr w:type="gramEnd"/>
      <w:r w:rsidR="00C130A2" w:rsidRPr="00254951">
        <w:rPr>
          <w:i/>
        </w:rPr>
        <w:t>CV</w:t>
      </w:r>
      <w:r w:rsidR="00C130A2" w:rsidRPr="00F6777E">
        <w:rPr>
          <w:i/>
        </w:rPr>
        <w:t>(</w:t>
      </w:r>
      <w:r w:rsidR="00C130A2">
        <w:rPr>
          <w:i/>
        </w:rPr>
        <w:t>impact))</w:t>
      </w:r>
      <w:r w:rsidR="00C130A2">
        <w:t xml:space="preserve"> explains variation in our responses.</w:t>
      </w:r>
    </w:p>
    <w:p w:rsidR="00C130A2" w:rsidRPr="00971E02" w:rsidRDefault="00C130A2" w:rsidP="00C130A2">
      <w:pPr>
        <w:pStyle w:val="Heading4"/>
      </w:pPr>
      <w:r w:rsidRPr="00971E02">
        <w:t>Summary of metric contributions to reductions in Impact Score</w:t>
      </w:r>
    </w:p>
    <w:p w:rsidR="00C130A2" w:rsidRDefault="00C130A2" w:rsidP="00C130A2">
      <w:pPr>
        <w:keepNext/>
      </w:pPr>
      <w:r>
        <w:t>We wanted to see if reductions in the Impact Score relative to the least-cost layout were being driven mainly by one or a few impact metrics. If so, then regulations concentrating on those most responsive metrics could reduce aggregate impacts. In addition, if there was little scope to reduce one of those metrics at a site, then there may be little scope to reduce the Impact Score. We also wanted to see if some metrics tended to trade off with others, which would reduce the effectiveness of some impact-specific regulations and would explain why some sites have short tradeoff curves.</w:t>
      </w:r>
    </w:p>
    <w:p w:rsidR="00C130A2" w:rsidRDefault="00C130A2" w:rsidP="00C130A2">
      <w:pPr>
        <w:ind w:firstLine="720"/>
      </w:pPr>
      <w:r>
        <w:t xml:space="preserve">To address these interests, we broke down the Impact Score for each infrastructure layout into its weighted, normalized impact metric constituents. We calculated the proportional change of a metric in each layout from the least-cost layout. Next, we divided this proportional change for each metric by the total change across metrics for the layout to get each metric’s contribution to the reduction in Impact Score. To partially control for site differences, we averaged across layouts within a site to get the site’s mean contribution to reductions in the Impact Score (gray circles in </w:t>
      </w:r>
      <w:r w:rsidR="00F01773">
        <w:fldChar w:fldCharType="begin"/>
      </w:r>
      <w:r>
        <w:instrText xml:space="preserve"> REF _Ref417548733 \h </w:instrText>
      </w:r>
      <w:r w:rsidR="00F01773">
        <w:fldChar w:fldCharType="separate"/>
      </w:r>
      <w:r w:rsidR="00867AA7">
        <w:t xml:space="preserve">Fig. S </w:t>
      </w:r>
      <w:r w:rsidR="00867AA7">
        <w:rPr>
          <w:noProof/>
        </w:rPr>
        <w:t>3</w:t>
      </w:r>
      <w:r w:rsidR="00867AA7">
        <w:t>.</w:t>
      </w:r>
      <w:r w:rsidR="00867AA7">
        <w:rPr>
          <w:noProof/>
        </w:rPr>
        <w:t>3</w:t>
      </w:r>
      <w:r w:rsidR="00F01773">
        <w:fldChar w:fldCharType="end"/>
      </w:r>
      <w:r>
        <w:t xml:space="preserve">). We then averaged across sites to get the mean contribution of each impact metric across all sites (bars in </w:t>
      </w:r>
      <w:r w:rsidR="00F01773">
        <w:fldChar w:fldCharType="begin"/>
      </w:r>
      <w:r>
        <w:instrText xml:space="preserve"> REF _Ref417548733 \h </w:instrText>
      </w:r>
      <w:r w:rsidR="00F01773">
        <w:fldChar w:fldCharType="separate"/>
      </w:r>
      <w:r w:rsidR="00867AA7">
        <w:t xml:space="preserve">Fig. S </w:t>
      </w:r>
      <w:r w:rsidR="00867AA7">
        <w:rPr>
          <w:noProof/>
        </w:rPr>
        <w:t>3</w:t>
      </w:r>
      <w:r w:rsidR="00867AA7">
        <w:t>.</w:t>
      </w:r>
      <w:r w:rsidR="00867AA7">
        <w:rPr>
          <w:noProof/>
        </w:rPr>
        <w:t>3</w:t>
      </w:r>
      <w:r w:rsidR="00F01773">
        <w:fldChar w:fldCharType="end"/>
      </w:r>
      <w:r>
        <w:t>).</w:t>
      </w:r>
    </w:p>
    <w:p w:rsidR="00C130A2" w:rsidRDefault="00C130A2" w:rsidP="00C130A2">
      <w:pPr>
        <w:pStyle w:val="Heading3"/>
      </w:pPr>
      <w:bookmarkStart w:id="176" w:name="_Ref417550175"/>
      <w:bookmarkStart w:id="177" w:name="_Ref417550337"/>
      <w:bookmarkStart w:id="178" w:name="_Toc417646797"/>
      <w:r>
        <w:t>Impact Metrics</w:t>
      </w:r>
      <w:bookmarkEnd w:id="176"/>
      <w:bookmarkEnd w:id="177"/>
      <w:bookmarkEnd w:id="178"/>
    </w:p>
    <w:p w:rsidR="008B4769" w:rsidRDefault="00C130A2" w:rsidP="00C130A2">
      <w:r>
        <w:t xml:space="preserve">This section contains detailed descriptions of each impact metric used in the analysis, including how each metric is calculated. Metrics were </w:t>
      </w:r>
    </w:p>
    <w:p w:rsidR="008B4769" w:rsidRDefault="008B4769" w:rsidP="00CD2B00">
      <w:pPr>
        <w:ind w:firstLine="720"/>
        <w:sectPr w:rsidR="008B4769" w:rsidSect="002115B4">
          <w:pgSz w:w="12240" w:h="15840" w:code="1"/>
          <w:pgMar w:top="1440" w:right="1800" w:bottom="1440" w:left="1800" w:header="720" w:footer="1440" w:gutter="0"/>
          <w:cols w:space="720"/>
          <w:noEndnote/>
          <w:docGrid w:linePitch="360"/>
        </w:sectPr>
      </w:pPr>
    </w:p>
    <w:p w:rsidR="005E7C16" w:rsidRPr="002B2090" w:rsidRDefault="00161C0B" w:rsidP="005E7C16">
      <w:pPr>
        <w:pStyle w:val="Caption"/>
        <w:rPr>
          <w:vanish/>
          <w:lang w:val="en-GB"/>
          <w:specVanish/>
        </w:rPr>
      </w:pPr>
      <w:bookmarkStart w:id="179" w:name="_Ref417547092"/>
      <w:bookmarkStart w:id="180" w:name="_Toc421352902"/>
      <w:bookmarkStart w:id="181" w:name="_Toc417647084"/>
      <w:r>
        <w:lastRenderedPageBreak/>
        <w:t xml:space="preserve">Table S </w:t>
      </w:r>
      <w:r w:rsidR="00F01773">
        <w:fldChar w:fldCharType="begin"/>
      </w:r>
      <w:r w:rsidR="00B819A9">
        <w:instrText xml:space="preserve"> STYLEREF 1 \s </w:instrText>
      </w:r>
      <w:r w:rsidR="00F01773">
        <w:fldChar w:fldCharType="separate"/>
      </w:r>
      <w:r w:rsidR="00867AA7">
        <w:rPr>
          <w:noProof/>
        </w:rPr>
        <w:t>3</w:t>
      </w:r>
      <w:r w:rsidR="00F01773">
        <w:rPr>
          <w:noProof/>
        </w:rPr>
        <w:fldChar w:fldCharType="end"/>
      </w:r>
      <w:r w:rsidR="00BA7201">
        <w:t>.</w:t>
      </w:r>
      <w:r w:rsidR="00F01773">
        <w:fldChar w:fldCharType="begin"/>
      </w:r>
      <w:r w:rsidR="00B819A9">
        <w:instrText xml:space="preserve"> SEQ Table_S \* ARABIC \s 1 </w:instrText>
      </w:r>
      <w:r w:rsidR="00F01773">
        <w:fldChar w:fldCharType="separate"/>
      </w:r>
      <w:r w:rsidR="00867AA7">
        <w:rPr>
          <w:noProof/>
        </w:rPr>
        <w:t>1</w:t>
      </w:r>
      <w:r w:rsidR="00F01773">
        <w:rPr>
          <w:noProof/>
        </w:rPr>
        <w:fldChar w:fldCharType="end"/>
      </w:r>
      <w:bookmarkEnd w:id="179"/>
      <w:r>
        <w:t>. Simple ordinary least-squares regressions of attributes of the least-impacting layout relative to the least-cost layout against site attributes</w:t>
      </w:r>
      <w:bookmarkEnd w:id="180"/>
    </w:p>
    <w:p w:rsidR="00161C0B" w:rsidRDefault="00161C0B" w:rsidP="00161C0B">
      <w:pPr>
        <w:pStyle w:val="Caption"/>
      </w:pPr>
      <w:r>
        <w:t xml:space="preserve">. Predictors are </w:t>
      </w:r>
      <w:proofErr w:type="gramStart"/>
      <w:r w:rsidRPr="008563E7">
        <w:rPr>
          <w:i/>
        </w:rPr>
        <w:t>log</w:t>
      </w:r>
      <w:r w:rsidRPr="008563E7">
        <w:rPr>
          <w:i/>
          <w:vertAlign w:val="subscript"/>
        </w:rPr>
        <w:t>10</w:t>
      </w:r>
      <w:r w:rsidRPr="008563E7">
        <w:rPr>
          <w:i/>
        </w:rPr>
        <w:t>(</w:t>
      </w:r>
      <w:proofErr w:type="gramEnd"/>
      <w:r w:rsidRPr="008563E7">
        <w:rPr>
          <w:i/>
        </w:rPr>
        <w:t>CV(impact))</w:t>
      </w:r>
      <w:r>
        <w:t xml:space="preserve"> = log-transformed coefficient of variation of the pipe impact surface, </w:t>
      </w:r>
      <w:r w:rsidRPr="008563E7">
        <w:rPr>
          <w:i/>
        </w:rPr>
        <w:t>CV(ROI)</w:t>
      </w:r>
      <w:r>
        <w:t xml:space="preserve"> = coefficient of variation of ROI surface, and </w:t>
      </w:r>
      <w:r w:rsidRPr="008563E7">
        <w:rPr>
          <w:i/>
        </w:rPr>
        <w:t>CV(cost)</w:t>
      </w:r>
      <w:r>
        <w:t xml:space="preserve"> = coefficient of variation of cost surface. Responses are </w:t>
      </w:r>
      <w:r w:rsidRPr="008563E7">
        <w:rPr>
          <w:i/>
        </w:rPr>
        <w:t>impact reduction</w:t>
      </w:r>
      <w:r>
        <w:t xml:space="preserve"> = percent impact reduction of least-impact layout as in </w:t>
      </w:r>
      <w:r w:rsidR="00F01773">
        <w:fldChar w:fldCharType="begin"/>
      </w:r>
      <w:r w:rsidR="00723FED">
        <w:instrText xml:space="preserve"> REF _Ref417547744 \h </w:instrText>
      </w:r>
      <w:r w:rsidR="00F01773">
        <w:fldChar w:fldCharType="separate"/>
      </w:r>
      <w:r w:rsidR="00867AA7">
        <w:t xml:space="preserve">Fig. </w:t>
      </w:r>
      <w:r w:rsidR="00867AA7">
        <w:rPr>
          <w:noProof/>
        </w:rPr>
        <w:t>3</w:t>
      </w:r>
      <w:r w:rsidR="00867AA7">
        <w:t>.</w:t>
      </w:r>
      <w:r w:rsidR="00867AA7">
        <w:rPr>
          <w:noProof/>
        </w:rPr>
        <w:t>4</w:t>
      </w:r>
      <w:r w:rsidR="00F01773">
        <w:fldChar w:fldCharType="end"/>
      </w:r>
      <w:r>
        <w:t xml:space="preserve">, </w:t>
      </w:r>
      <w:r w:rsidRPr="008563E7">
        <w:rPr>
          <w:i/>
        </w:rPr>
        <w:t>log</w:t>
      </w:r>
      <w:r w:rsidRPr="008563E7">
        <w:rPr>
          <w:i/>
          <w:vertAlign w:val="subscript"/>
        </w:rPr>
        <w:t>10</w:t>
      </w:r>
      <w:r w:rsidRPr="008563E7">
        <w:rPr>
          <w:i/>
        </w:rPr>
        <w:t>(</w:t>
      </w:r>
      <w:proofErr w:type="spellStart"/>
      <w:r w:rsidRPr="008563E7">
        <w:rPr>
          <w:i/>
        </w:rPr>
        <w:t>elast</w:t>
      </w:r>
      <w:proofErr w:type="spellEnd"/>
      <w:r w:rsidRPr="008563E7">
        <w:rPr>
          <w:i/>
        </w:rPr>
        <w:t>(impact, cost))</w:t>
      </w:r>
      <w:r>
        <w:t xml:space="preserve"> = log-transformed ratio of least-impact layout cost to least-impact layout impact relative to least-cost layout in </w:t>
      </w:r>
      <w:r w:rsidR="00F01773">
        <w:fldChar w:fldCharType="begin"/>
      </w:r>
      <w:r w:rsidR="00723FED">
        <w:instrText xml:space="preserve"> REF _Ref417547744 \h </w:instrText>
      </w:r>
      <w:r w:rsidR="00F01773">
        <w:fldChar w:fldCharType="separate"/>
      </w:r>
      <w:r w:rsidR="00867AA7">
        <w:t xml:space="preserve">Fig. </w:t>
      </w:r>
      <w:r w:rsidR="00867AA7">
        <w:rPr>
          <w:noProof/>
        </w:rPr>
        <w:t>3</w:t>
      </w:r>
      <w:r w:rsidR="00867AA7">
        <w:t>.</w:t>
      </w:r>
      <w:r w:rsidR="00867AA7">
        <w:rPr>
          <w:noProof/>
        </w:rPr>
        <w:t>4</w:t>
      </w:r>
      <w:r w:rsidR="00F01773">
        <w:fldChar w:fldCharType="end"/>
      </w:r>
      <w:r>
        <w:t xml:space="preserve">, </w:t>
      </w:r>
      <w:r>
        <w:rPr>
          <w:i/>
        </w:rPr>
        <w:t>cost increase</w:t>
      </w:r>
      <w:r>
        <w:t xml:space="preserve"> = percent cost increase of least-impact layout as in </w:t>
      </w:r>
      <w:r w:rsidR="00F01773">
        <w:fldChar w:fldCharType="begin"/>
      </w:r>
      <w:r w:rsidR="00723FED">
        <w:instrText xml:space="preserve"> REF _Ref417547744 \h </w:instrText>
      </w:r>
      <w:r w:rsidR="00F01773">
        <w:fldChar w:fldCharType="separate"/>
      </w:r>
      <w:r w:rsidR="00867AA7">
        <w:t xml:space="preserve">Fig. </w:t>
      </w:r>
      <w:r w:rsidR="00867AA7">
        <w:rPr>
          <w:noProof/>
        </w:rPr>
        <w:t>3</w:t>
      </w:r>
      <w:r w:rsidR="00867AA7">
        <w:t>.</w:t>
      </w:r>
      <w:r w:rsidR="00867AA7">
        <w:rPr>
          <w:noProof/>
        </w:rPr>
        <w:t>4</w:t>
      </w:r>
      <w:r w:rsidR="00F01773">
        <w:fldChar w:fldCharType="end"/>
      </w:r>
      <w:r>
        <w:t xml:space="preserve">, </w:t>
      </w:r>
      <w:proofErr w:type="spellStart"/>
      <w:r w:rsidRPr="004C3A6B">
        <w:rPr>
          <w:i/>
        </w:rPr>
        <w:t>corr</w:t>
      </w:r>
      <w:proofErr w:type="spellEnd"/>
      <w:r w:rsidRPr="004C3A6B">
        <w:rPr>
          <w:i/>
        </w:rPr>
        <w:t>(impact, cost)</w:t>
      </w:r>
      <w:r>
        <w:t xml:space="preserve"> = Pear</w:t>
      </w:r>
      <w:r w:rsidR="00B81027">
        <w:t>s</w:t>
      </w:r>
      <w:r>
        <w:t xml:space="preserve">on’s correlation of the pipe impact surface with the pipe cost surface, </w:t>
      </w:r>
      <w:r w:rsidRPr="004C3A6B">
        <w:rPr>
          <w:i/>
        </w:rPr>
        <w:t>CV(cost)</w:t>
      </w:r>
      <w:r>
        <w:t xml:space="preserve"> = coefficient of variation of the pipe cost surface, </w:t>
      </w:r>
      <w:r>
        <w:rPr>
          <w:i/>
        </w:rPr>
        <w:t xml:space="preserve">pipe density </w:t>
      </w:r>
      <w:r>
        <w:t xml:space="preserve">= density of existing pipeline network (# pipe pixels / area of site in pixels), </w:t>
      </w:r>
      <w:r>
        <w:rPr>
          <w:i/>
        </w:rPr>
        <w:t xml:space="preserve">road density </w:t>
      </w:r>
      <w:r>
        <w:t xml:space="preserve">= density of existing road network (# road pixels / area of site in pixels), </w:t>
      </w:r>
      <w:r>
        <w:rPr>
          <w:i/>
        </w:rPr>
        <w:t>log</w:t>
      </w:r>
      <w:r>
        <w:rPr>
          <w:i/>
          <w:vertAlign w:val="subscript"/>
        </w:rPr>
        <w:t>10</w:t>
      </w:r>
      <w:r>
        <w:rPr>
          <w:i/>
        </w:rPr>
        <w:t>(# pads)</w:t>
      </w:r>
      <w:r>
        <w:t xml:space="preserve"> = log-transformed number of well pads in site, and </w:t>
      </w:r>
      <w:r>
        <w:rPr>
          <w:i/>
        </w:rPr>
        <w:t>log</w:t>
      </w:r>
      <w:r>
        <w:rPr>
          <w:i/>
          <w:vertAlign w:val="subscript"/>
        </w:rPr>
        <w:t>10</w:t>
      </w:r>
      <w:r>
        <w:rPr>
          <w:i/>
        </w:rPr>
        <w:t>(area)</w:t>
      </w:r>
      <w:r>
        <w:t xml:space="preserve"> = log-transformed area of site in hectares.</w:t>
      </w:r>
      <w:r>
        <w:rPr>
          <w:i/>
        </w:rPr>
        <w:t xml:space="preserve"> </w:t>
      </w:r>
      <w:r>
        <w:t>Several variables were log-transformed to increase normality of regression residuals.</w:t>
      </w:r>
      <w:bookmarkEnd w:id="181"/>
    </w:p>
    <w:tbl>
      <w:tblPr>
        <w:tblStyle w:val="Table3Deffects3"/>
        <w:tblW w:w="5000" w:type="pct"/>
        <w:tblLayout w:type="fixed"/>
        <w:tblLook w:val="04A0"/>
      </w:tblPr>
      <w:tblGrid>
        <w:gridCol w:w="2090"/>
        <w:gridCol w:w="2743"/>
        <w:gridCol w:w="3916"/>
        <w:gridCol w:w="959"/>
        <w:gridCol w:w="962"/>
        <w:gridCol w:w="717"/>
        <w:gridCol w:w="1069"/>
      </w:tblGrid>
      <w:tr w:rsidR="00D350AC" w:rsidRPr="0018666E" w:rsidTr="00C60244">
        <w:trPr>
          <w:cnfStyle w:val="100000000000"/>
          <w:trHeight w:val="288"/>
        </w:trPr>
        <w:tc>
          <w:tcPr>
            <w:cnfStyle w:val="001000000000"/>
            <w:tcW w:w="839" w:type="pct"/>
            <w:tcBorders>
              <w:top w:val="single" w:sz="4" w:space="0" w:color="auto"/>
              <w:bottom w:val="single" w:sz="4" w:space="0" w:color="auto"/>
              <w:right w:val="none" w:sz="0" w:space="0" w:color="auto"/>
            </w:tcBorders>
            <w:noWrap/>
            <w:vAlign w:val="bottom"/>
            <w:hideMark/>
          </w:tcPr>
          <w:p w:rsidR="00D350AC" w:rsidRPr="0018666E" w:rsidRDefault="00D350AC" w:rsidP="00630770">
            <w:pPr>
              <w:jc w:val="center"/>
            </w:pPr>
            <w:r w:rsidRPr="0018666E">
              <w:t>Predictor</w:t>
            </w:r>
          </w:p>
        </w:tc>
        <w:tc>
          <w:tcPr>
            <w:tcW w:w="1101" w:type="pct"/>
            <w:tcBorders>
              <w:top w:val="single" w:sz="4" w:space="0" w:color="auto"/>
              <w:bottom w:val="single" w:sz="4" w:space="0" w:color="auto"/>
            </w:tcBorders>
            <w:noWrap/>
            <w:vAlign w:val="bottom"/>
            <w:hideMark/>
          </w:tcPr>
          <w:p w:rsidR="00D350AC" w:rsidRPr="0018666E" w:rsidRDefault="00D350AC" w:rsidP="00630770">
            <w:pPr>
              <w:jc w:val="center"/>
              <w:cnfStyle w:val="100000000000"/>
            </w:pPr>
            <w:r w:rsidRPr="0018666E">
              <w:t>Response</w:t>
            </w:r>
          </w:p>
        </w:tc>
        <w:tc>
          <w:tcPr>
            <w:tcW w:w="1572" w:type="pct"/>
            <w:tcBorders>
              <w:top w:val="single" w:sz="4" w:space="0" w:color="auto"/>
              <w:bottom w:val="single" w:sz="4" w:space="0" w:color="auto"/>
            </w:tcBorders>
            <w:vAlign w:val="bottom"/>
          </w:tcPr>
          <w:p w:rsidR="00D350AC" w:rsidRPr="0018666E" w:rsidRDefault="00D350AC" w:rsidP="00630770">
            <w:pPr>
              <w:jc w:val="center"/>
              <w:cnfStyle w:val="100000000000"/>
            </w:pPr>
            <w:r>
              <w:t>Rationale</w:t>
            </w:r>
          </w:p>
        </w:tc>
        <w:tc>
          <w:tcPr>
            <w:tcW w:w="385" w:type="pct"/>
            <w:tcBorders>
              <w:top w:val="single" w:sz="4" w:space="0" w:color="auto"/>
              <w:bottom w:val="single" w:sz="4" w:space="0" w:color="auto"/>
            </w:tcBorders>
            <w:noWrap/>
            <w:vAlign w:val="bottom"/>
            <w:hideMark/>
          </w:tcPr>
          <w:p w:rsidR="00D350AC" w:rsidRPr="0018666E" w:rsidRDefault="00D350AC" w:rsidP="00D350AC">
            <w:pPr>
              <w:jc w:val="center"/>
              <w:cnfStyle w:val="100000000000"/>
            </w:pPr>
            <w:r w:rsidRPr="0018666E">
              <w:t>Slope</w:t>
            </w:r>
          </w:p>
        </w:tc>
        <w:tc>
          <w:tcPr>
            <w:tcW w:w="386" w:type="pct"/>
            <w:tcBorders>
              <w:top w:val="single" w:sz="4" w:space="0" w:color="auto"/>
              <w:bottom w:val="single" w:sz="4" w:space="0" w:color="auto"/>
            </w:tcBorders>
            <w:noWrap/>
            <w:vAlign w:val="bottom"/>
            <w:hideMark/>
          </w:tcPr>
          <w:p w:rsidR="00D350AC" w:rsidRDefault="00D350AC" w:rsidP="00D350AC">
            <w:pPr>
              <w:jc w:val="center"/>
              <w:cnfStyle w:val="100000000000"/>
            </w:pPr>
            <w:r>
              <w:t>Std.</w:t>
            </w:r>
          </w:p>
          <w:p w:rsidR="00D350AC" w:rsidRPr="0018666E" w:rsidRDefault="00D350AC" w:rsidP="00D350AC">
            <w:pPr>
              <w:jc w:val="center"/>
              <w:cnfStyle w:val="100000000000"/>
            </w:pPr>
            <w:r w:rsidRPr="0018666E">
              <w:t>Error</w:t>
            </w:r>
          </w:p>
        </w:tc>
        <w:tc>
          <w:tcPr>
            <w:tcW w:w="288" w:type="pct"/>
            <w:tcBorders>
              <w:top w:val="single" w:sz="4" w:space="0" w:color="auto"/>
              <w:bottom w:val="single" w:sz="4" w:space="0" w:color="auto"/>
            </w:tcBorders>
            <w:noWrap/>
            <w:vAlign w:val="bottom"/>
            <w:hideMark/>
          </w:tcPr>
          <w:p w:rsidR="00D350AC" w:rsidRPr="0022401C" w:rsidRDefault="00D350AC" w:rsidP="00D350AC">
            <w:pPr>
              <w:jc w:val="center"/>
              <w:cnfStyle w:val="100000000000"/>
              <w:rPr>
                <w:vertAlign w:val="superscript"/>
              </w:rPr>
            </w:pPr>
            <w:r w:rsidRPr="0018666E">
              <w:t>R</w:t>
            </w:r>
            <w:r>
              <w:rPr>
                <w:vertAlign w:val="superscript"/>
              </w:rPr>
              <w:t>2</w:t>
            </w:r>
          </w:p>
        </w:tc>
        <w:tc>
          <w:tcPr>
            <w:tcW w:w="429" w:type="pct"/>
            <w:tcBorders>
              <w:top w:val="single" w:sz="4" w:space="0" w:color="auto"/>
              <w:bottom w:val="single" w:sz="4" w:space="0" w:color="auto"/>
            </w:tcBorders>
            <w:noWrap/>
            <w:vAlign w:val="bottom"/>
            <w:hideMark/>
          </w:tcPr>
          <w:p w:rsidR="00D350AC" w:rsidRPr="0018666E" w:rsidRDefault="00D350AC" w:rsidP="00D350AC">
            <w:pPr>
              <w:jc w:val="center"/>
              <w:cnfStyle w:val="100000000000"/>
            </w:pPr>
            <w:r w:rsidRPr="0018666E">
              <w:t>p</w:t>
            </w:r>
          </w:p>
        </w:tc>
      </w:tr>
      <w:tr w:rsidR="00D350AC" w:rsidRPr="0018666E" w:rsidTr="00C60244">
        <w:trPr>
          <w:cnfStyle w:val="000000100000"/>
          <w:trHeight w:val="288"/>
        </w:trPr>
        <w:tc>
          <w:tcPr>
            <w:cnfStyle w:val="001000000000"/>
            <w:tcW w:w="839" w:type="pct"/>
            <w:tcBorders>
              <w:top w:val="single" w:sz="4" w:space="0" w:color="auto"/>
              <w:bottom w:val="single" w:sz="4" w:space="0" w:color="BFBFBF" w:themeColor="background1" w:themeShade="BF"/>
              <w:right w:val="none" w:sz="0" w:space="0" w:color="auto"/>
            </w:tcBorders>
            <w:noWrap/>
            <w:hideMark/>
          </w:tcPr>
          <w:p w:rsidR="00D350AC" w:rsidRPr="00116A68" w:rsidRDefault="00D350AC" w:rsidP="003C0234">
            <w:pPr>
              <w:rPr>
                <w:b/>
                <w:sz w:val="22"/>
                <w:szCs w:val="22"/>
              </w:rPr>
            </w:pPr>
            <w:r w:rsidRPr="00116A68">
              <w:rPr>
                <w:sz w:val="22"/>
                <w:szCs w:val="22"/>
              </w:rPr>
              <w:t>log</w:t>
            </w:r>
            <w:r w:rsidRPr="00116A68">
              <w:rPr>
                <w:sz w:val="22"/>
                <w:szCs w:val="22"/>
                <w:vertAlign w:val="subscript"/>
              </w:rPr>
              <w:t>10</w:t>
            </w:r>
            <w:r w:rsidRPr="00116A68">
              <w:rPr>
                <w:sz w:val="22"/>
                <w:szCs w:val="22"/>
              </w:rPr>
              <w:t>(CV(impact))</w:t>
            </w:r>
          </w:p>
        </w:tc>
        <w:tc>
          <w:tcPr>
            <w:tcW w:w="1101" w:type="pct"/>
            <w:tcBorders>
              <w:top w:val="single" w:sz="4" w:space="0" w:color="auto"/>
              <w:bottom w:val="single" w:sz="4" w:space="0" w:color="BFBFBF" w:themeColor="background1" w:themeShade="BF"/>
            </w:tcBorders>
            <w:noWrap/>
            <w:hideMark/>
          </w:tcPr>
          <w:p w:rsidR="00D350AC" w:rsidRPr="00116A68" w:rsidRDefault="00D350AC" w:rsidP="003C0234">
            <w:pPr>
              <w:cnfStyle w:val="000000100000"/>
              <w:rPr>
                <w:sz w:val="22"/>
                <w:szCs w:val="22"/>
              </w:rPr>
            </w:pPr>
            <w:r w:rsidRPr="00116A68">
              <w:rPr>
                <w:sz w:val="22"/>
                <w:szCs w:val="22"/>
              </w:rPr>
              <w:t>impact reduction</w:t>
            </w:r>
          </w:p>
        </w:tc>
        <w:tc>
          <w:tcPr>
            <w:tcW w:w="1572" w:type="pct"/>
            <w:tcBorders>
              <w:top w:val="single" w:sz="4" w:space="0" w:color="auto"/>
              <w:bottom w:val="single" w:sz="4" w:space="0" w:color="BFBFBF" w:themeColor="background1" w:themeShade="BF"/>
            </w:tcBorders>
          </w:tcPr>
          <w:p w:rsidR="00D350AC" w:rsidRPr="00116A68" w:rsidRDefault="00D350AC" w:rsidP="00FF1891">
            <w:pPr>
              <w:cnfStyle w:val="000000100000"/>
              <w:rPr>
                <w:sz w:val="20"/>
                <w:szCs w:val="20"/>
              </w:rPr>
            </w:pPr>
            <w:r w:rsidRPr="00116A68">
              <w:rPr>
                <w:sz w:val="20"/>
                <w:szCs w:val="20"/>
              </w:rPr>
              <w:t>layouts produced at sites with larger variation in impact will span a greater range of impact including relatively lower impact options</w:t>
            </w:r>
          </w:p>
        </w:tc>
        <w:tc>
          <w:tcPr>
            <w:tcW w:w="385" w:type="pct"/>
            <w:tcBorders>
              <w:top w:val="single" w:sz="4" w:space="0" w:color="auto"/>
              <w:bottom w:val="single" w:sz="4" w:space="0" w:color="BFBFBF" w:themeColor="background1" w:themeShade="BF"/>
            </w:tcBorders>
            <w:noWrap/>
            <w:hideMark/>
          </w:tcPr>
          <w:p w:rsidR="009663A3" w:rsidRDefault="00D350AC">
            <w:pPr>
              <w:jc w:val="center"/>
              <w:cnfStyle w:val="000000100000"/>
              <w:rPr>
                <w:sz w:val="22"/>
                <w:szCs w:val="22"/>
              </w:rPr>
            </w:pPr>
            <w:r w:rsidRPr="00116A68">
              <w:rPr>
                <w:sz w:val="22"/>
                <w:szCs w:val="22"/>
              </w:rPr>
              <w:t>0.25</w:t>
            </w:r>
          </w:p>
        </w:tc>
        <w:tc>
          <w:tcPr>
            <w:tcW w:w="386" w:type="pct"/>
            <w:tcBorders>
              <w:top w:val="single" w:sz="4" w:space="0" w:color="auto"/>
              <w:bottom w:val="single" w:sz="4" w:space="0" w:color="BFBFBF" w:themeColor="background1" w:themeShade="BF"/>
            </w:tcBorders>
            <w:noWrap/>
            <w:hideMark/>
          </w:tcPr>
          <w:p w:rsidR="009663A3" w:rsidRDefault="00D350AC">
            <w:pPr>
              <w:jc w:val="center"/>
              <w:cnfStyle w:val="000000100000"/>
              <w:rPr>
                <w:sz w:val="22"/>
                <w:szCs w:val="22"/>
              </w:rPr>
            </w:pPr>
            <w:r w:rsidRPr="00116A68">
              <w:rPr>
                <w:sz w:val="22"/>
                <w:szCs w:val="22"/>
              </w:rPr>
              <w:t>0.066</w:t>
            </w:r>
          </w:p>
        </w:tc>
        <w:tc>
          <w:tcPr>
            <w:tcW w:w="288" w:type="pct"/>
            <w:tcBorders>
              <w:top w:val="single" w:sz="4" w:space="0" w:color="auto"/>
              <w:bottom w:val="single" w:sz="4" w:space="0" w:color="BFBFBF" w:themeColor="background1" w:themeShade="BF"/>
            </w:tcBorders>
            <w:noWrap/>
            <w:hideMark/>
          </w:tcPr>
          <w:p w:rsidR="009663A3" w:rsidRDefault="00D350AC">
            <w:pPr>
              <w:jc w:val="center"/>
              <w:cnfStyle w:val="000000100000"/>
              <w:rPr>
                <w:sz w:val="22"/>
                <w:szCs w:val="22"/>
              </w:rPr>
            </w:pPr>
            <w:r w:rsidRPr="00116A68">
              <w:rPr>
                <w:sz w:val="22"/>
                <w:szCs w:val="22"/>
              </w:rPr>
              <w:t>0.</w:t>
            </w:r>
            <w:r>
              <w:rPr>
                <w:sz w:val="22"/>
                <w:szCs w:val="22"/>
              </w:rPr>
              <w:t>15</w:t>
            </w:r>
          </w:p>
        </w:tc>
        <w:tc>
          <w:tcPr>
            <w:tcW w:w="429" w:type="pct"/>
            <w:tcBorders>
              <w:top w:val="single" w:sz="4" w:space="0" w:color="auto"/>
              <w:bottom w:val="single" w:sz="4" w:space="0" w:color="BFBFBF" w:themeColor="background1" w:themeShade="BF"/>
            </w:tcBorders>
            <w:noWrap/>
            <w:hideMark/>
          </w:tcPr>
          <w:p w:rsidR="009663A3" w:rsidRDefault="00D350AC">
            <w:pPr>
              <w:jc w:val="center"/>
              <w:cnfStyle w:val="000000100000"/>
              <w:rPr>
                <w:sz w:val="22"/>
                <w:szCs w:val="22"/>
              </w:rPr>
            </w:pPr>
            <w:r w:rsidRPr="00116A68">
              <w:rPr>
                <w:sz w:val="22"/>
                <w:szCs w:val="22"/>
              </w:rPr>
              <w:t>0.0003</w:t>
            </w:r>
            <w:r w:rsidR="00C60244">
              <w:rPr>
                <w:sz w:val="22"/>
                <w:szCs w:val="22"/>
              </w:rPr>
              <w:t>*</w:t>
            </w:r>
          </w:p>
        </w:tc>
      </w:tr>
      <w:tr w:rsidR="00D350AC" w:rsidRPr="0018666E" w:rsidTr="00C60244">
        <w:trPr>
          <w:trHeight w:val="288"/>
        </w:trPr>
        <w:tc>
          <w:tcPr>
            <w:cnfStyle w:val="001000000000"/>
            <w:tcW w:w="839" w:type="pct"/>
            <w:tcBorders>
              <w:top w:val="single" w:sz="4" w:space="0" w:color="BFBFBF" w:themeColor="background1" w:themeShade="BF"/>
              <w:bottom w:val="single" w:sz="4" w:space="0" w:color="BFBFBF" w:themeColor="background1" w:themeShade="BF"/>
              <w:right w:val="none" w:sz="0" w:space="0" w:color="auto"/>
            </w:tcBorders>
            <w:noWrap/>
            <w:hideMark/>
          </w:tcPr>
          <w:p w:rsidR="00D350AC" w:rsidRPr="00116A68" w:rsidRDefault="00D350AC" w:rsidP="003C0234">
            <w:pPr>
              <w:rPr>
                <w:b/>
                <w:sz w:val="22"/>
                <w:szCs w:val="22"/>
              </w:rPr>
            </w:pPr>
            <w:r w:rsidRPr="00116A68">
              <w:rPr>
                <w:sz w:val="22"/>
                <w:szCs w:val="22"/>
              </w:rPr>
              <w:t>log</w:t>
            </w:r>
            <w:r w:rsidRPr="00116A68">
              <w:rPr>
                <w:sz w:val="22"/>
                <w:szCs w:val="22"/>
                <w:vertAlign w:val="subscript"/>
              </w:rPr>
              <w:t>10</w:t>
            </w:r>
            <w:r w:rsidRPr="00116A68">
              <w:rPr>
                <w:sz w:val="22"/>
                <w:szCs w:val="22"/>
              </w:rPr>
              <w:t>(CV(impact))</w:t>
            </w:r>
          </w:p>
        </w:tc>
        <w:tc>
          <w:tcPr>
            <w:tcW w:w="1101" w:type="pct"/>
            <w:tcBorders>
              <w:top w:val="single" w:sz="4" w:space="0" w:color="BFBFBF" w:themeColor="background1" w:themeShade="BF"/>
              <w:bottom w:val="single" w:sz="4" w:space="0" w:color="BFBFBF" w:themeColor="background1" w:themeShade="BF"/>
            </w:tcBorders>
            <w:noWrap/>
            <w:hideMark/>
          </w:tcPr>
          <w:p w:rsidR="00D350AC" w:rsidRPr="00116A68" w:rsidRDefault="00D350AC" w:rsidP="003C0234">
            <w:pPr>
              <w:cnfStyle w:val="000000000000"/>
              <w:rPr>
                <w:sz w:val="22"/>
                <w:szCs w:val="22"/>
              </w:rPr>
            </w:pPr>
            <w:r w:rsidRPr="00116A68">
              <w:rPr>
                <w:sz w:val="22"/>
                <w:szCs w:val="22"/>
              </w:rPr>
              <w:t>log</w:t>
            </w:r>
            <w:r w:rsidRPr="00116A68">
              <w:rPr>
                <w:sz w:val="22"/>
                <w:szCs w:val="22"/>
                <w:vertAlign w:val="subscript"/>
              </w:rPr>
              <w:t>10</w:t>
            </w:r>
            <w:r w:rsidRPr="00116A68">
              <w:rPr>
                <w:sz w:val="22"/>
                <w:szCs w:val="22"/>
              </w:rPr>
              <w:t>(</w:t>
            </w:r>
            <w:proofErr w:type="spellStart"/>
            <w:r w:rsidRPr="00116A68">
              <w:rPr>
                <w:sz w:val="22"/>
                <w:szCs w:val="22"/>
              </w:rPr>
              <w:t>elast</w:t>
            </w:r>
            <w:proofErr w:type="spellEnd"/>
            <w:r w:rsidRPr="00116A68">
              <w:rPr>
                <w:sz w:val="22"/>
                <w:szCs w:val="22"/>
              </w:rPr>
              <w:t>(impact, cost))</w:t>
            </w:r>
          </w:p>
        </w:tc>
        <w:tc>
          <w:tcPr>
            <w:tcW w:w="1572" w:type="pct"/>
            <w:tcBorders>
              <w:top w:val="single" w:sz="4" w:space="0" w:color="BFBFBF" w:themeColor="background1" w:themeShade="BF"/>
              <w:bottom w:val="single" w:sz="4" w:space="0" w:color="BFBFBF" w:themeColor="background1" w:themeShade="BF"/>
            </w:tcBorders>
          </w:tcPr>
          <w:p w:rsidR="00D350AC" w:rsidRPr="00116A68" w:rsidRDefault="00D350AC" w:rsidP="00546F6B">
            <w:pPr>
              <w:cnfStyle w:val="000000000000"/>
              <w:rPr>
                <w:sz w:val="20"/>
                <w:szCs w:val="20"/>
              </w:rPr>
            </w:pPr>
            <w:r w:rsidRPr="00116A68">
              <w:rPr>
                <w:sz w:val="20"/>
                <w:szCs w:val="20"/>
              </w:rPr>
              <w:t xml:space="preserve">the average </w:t>
            </w:r>
            <w:r>
              <w:rPr>
                <w:sz w:val="20"/>
                <w:szCs w:val="20"/>
              </w:rPr>
              <w:t>–</w:t>
            </w:r>
            <w:r w:rsidRPr="00116A68">
              <w:rPr>
                <w:sz w:val="20"/>
                <w:szCs w:val="20"/>
              </w:rPr>
              <w:t xml:space="preserve"> </w:t>
            </w:r>
            <w:r>
              <w:rPr>
                <w:sz w:val="20"/>
                <w:szCs w:val="20"/>
              </w:rPr>
              <w:t>r</w:t>
            </w:r>
            <w:r w:rsidRPr="00116A68">
              <w:rPr>
                <w:sz w:val="20"/>
                <w:szCs w:val="20"/>
              </w:rPr>
              <w:t>epresented by least-impact layout – unit cost of reducing impacts at a site is constrained by impact, and layouts produced at sites with larger variation in impact will span a larger range of impact</w:t>
            </w:r>
          </w:p>
        </w:tc>
        <w:tc>
          <w:tcPr>
            <w:tcW w:w="385" w:type="pct"/>
            <w:tcBorders>
              <w:top w:val="single" w:sz="4" w:space="0" w:color="BFBFBF" w:themeColor="background1" w:themeShade="BF"/>
              <w:bottom w:val="single" w:sz="4" w:space="0" w:color="BFBFBF" w:themeColor="background1" w:themeShade="BF"/>
            </w:tcBorders>
            <w:noWrap/>
            <w:hideMark/>
          </w:tcPr>
          <w:p w:rsidR="009663A3" w:rsidRDefault="00D350AC">
            <w:pPr>
              <w:jc w:val="center"/>
              <w:cnfStyle w:val="000000000000"/>
              <w:rPr>
                <w:sz w:val="22"/>
                <w:szCs w:val="22"/>
              </w:rPr>
            </w:pPr>
            <w:r w:rsidRPr="00116A68">
              <w:rPr>
                <w:sz w:val="22"/>
                <w:szCs w:val="22"/>
              </w:rPr>
              <w:t>0.21</w:t>
            </w:r>
          </w:p>
        </w:tc>
        <w:tc>
          <w:tcPr>
            <w:tcW w:w="386" w:type="pct"/>
            <w:tcBorders>
              <w:top w:val="single" w:sz="4" w:space="0" w:color="BFBFBF" w:themeColor="background1" w:themeShade="BF"/>
              <w:bottom w:val="single" w:sz="4" w:space="0" w:color="BFBFBF" w:themeColor="background1" w:themeShade="BF"/>
            </w:tcBorders>
            <w:noWrap/>
            <w:hideMark/>
          </w:tcPr>
          <w:p w:rsidR="009663A3" w:rsidRDefault="00D350AC">
            <w:pPr>
              <w:jc w:val="center"/>
              <w:cnfStyle w:val="000000000000"/>
              <w:rPr>
                <w:sz w:val="22"/>
                <w:szCs w:val="22"/>
              </w:rPr>
            </w:pPr>
            <w:r w:rsidRPr="00116A68">
              <w:rPr>
                <w:sz w:val="22"/>
                <w:szCs w:val="22"/>
              </w:rPr>
              <w:t>0.055</w:t>
            </w:r>
          </w:p>
        </w:tc>
        <w:tc>
          <w:tcPr>
            <w:tcW w:w="288" w:type="pct"/>
            <w:tcBorders>
              <w:top w:val="single" w:sz="4" w:space="0" w:color="BFBFBF" w:themeColor="background1" w:themeShade="BF"/>
              <w:bottom w:val="single" w:sz="4" w:space="0" w:color="BFBFBF" w:themeColor="background1" w:themeShade="BF"/>
            </w:tcBorders>
            <w:noWrap/>
            <w:hideMark/>
          </w:tcPr>
          <w:p w:rsidR="009663A3" w:rsidRDefault="00D350AC">
            <w:pPr>
              <w:jc w:val="center"/>
              <w:cnfStyle w:val="000000000000"/>
              <w:rPr>
                <w:sz w:val="22"/>
                <w:szCs w:val="22"/>
              </w:rPr>
            </w:pPr>
            <w:r w:rsidRPr="00116A68">
              <w:rPr>
                <w:sz w:val="22"/>
                <w:szCs w:val="22"/>
              </w:rPr>
              <w:t>0.</w:t>
            </w:r>
            <w:r>
              <w:rPr>
                <w:sz w:val="22"/>
                <w:szCs w:val="22"/>
              </w:rPr>
              <w:t>15</w:t>
            </w:r>
          </w:p>
        </w:tc>
        <w:tc>
          <w:tcPr>
            <w:tcW w:w="429" w:type="pct"/>
            <w:tcBorders>
              <w:top w:val="single" w:sz="4" w:space="0" w:color="BFBFBF" w:themeColor="background1" w:themeShade="BF"/>
              <w:bottom w:val="single" w:sz="4" w:space="0" w:color="BFBFBF" w:themeColor="background1" w:themeShade="BF"/>
            </w:tcBorders>
            <w:noWrap/>
            <w:hideMark/>
          </w:tcPr>
          <w:p w:rsidR="009663A3" w:rsidRDefault="00D350AC">
            <w:pPr>
              <w:jc w:val="center"/>
              <w:cnfStyle w:val="000000000000"/>
              <w:rPr>
                <w:sz w:val="22"/>
                <w:szCs w:val="22"/>
              </w:rPr>
            </w:pPr>
            <w:r w:rsidRPr="00116A68">
              <w:rPr>
                <w:sz w:val="22"/>
                <w:szCs w:val="22"/>
              </w:rPr>
              <w:t>0.0003</w:t>
            </w:r>
            <w:r w:rsidR="00C60244">
              <w:rPr>
                <w:sz w:val="22"/>
                <w:szCs w:val="22"/>
              </w:rPr>
              <w:t>*</w:t>
            </w:r>
          </w:p>
        </w:tc>
      </w:tr>
      <w:tr w:rsidR="00D350AC" w:rsidRPr="0018666E" w:rsidTr="00C60244">
        <w:trPr>
          <w:cnfStyle w:val="000000100000"/>
          <w:trHeight w:val="288"/>
        </w:trPr>
        <w:tc>
          <w:tcPr>
            <w:cnfStyle w:val="001000000000"/>
            <w:tcW w:w="839" w:type="pct"/>
            <w:tcBorders>
              <w:top w:val="single" w:sz="4" w:space="0" w:color="BFBFBF" w:themeColor="background1" w:themeShade="BF"/>
              <w:bottom w:val="single" w:sz="4" w:space="0" w:color="BFBFBF" w:themeColor="background1" w:themeShade="BF"/>
              <w:right w:val="none" w:sz="0" w:space="0" w:color="auto"/>
            </w:tcBorders>
            <w:noWrap/>
            <w:hideMark/>
          </w:tcPr>
          <w:p w:rsidR="00D350AC" w:rsidRPr="00116A68" w:rsidRDefault="00D350AC" w:rsidP="003C0234">
            <w:pPr>
              <w:rPr>
                <w:b/>
                <w:sz w:val="22"/>
                <w:szCs w:val="22"/>
              </w:rPr>
            </w:pPr>
            <w:r w:rsidRPr="00116A68">
              <w:rPr>
                <w:sz w:val="22"/>
                <w:szCs w:val="22"/>
              </w:rPr>
              <w:t>CV(ROI)</w:t>
            </w:r>
          </w:p>
        </w:tc>
        <w:tc>
          <w:tcPr>
            <w:tcW w:w="1101" w:type="pct"/>
            <w:tcBorders>
              <w:top w:val="single" w:sz="4" w:space="0" w:color="BFBFBF" w:themeColor="background1" w:themeShade="BF"/>
              <w:bottom w:val="single" w:sz="4" w:space="0" w:color="BFBFBF" w:themeColor="background1" w:themeShade="BF"/>
            </w:tcBorders>
            <w:noWrap/>
            <w:hideMark/>
          </w:tcPr>
          <w:p w:rsidR="00D350AC" w:rsidRPr="00116A68" w:rsidRDefault="00D350AC" w:rsidP="003C0234">
            <w:pPr>
              <w:cnfStyle w:val="000000100000"/>
              <w:rPr>
                <w:sz w:val="22"/>
                <w:szCs w:val="22"/>
              </w:rPr>
            </w:pPr>
            <w:r w:rsidRPr="00116A68">
              <w:rPr>
                <w:sz w:val="22"/>
                <w:szCs w:val="22"/>
              </w:rPr>
              <w:t>impact reduction</w:t>
            </w:r>
          </w:p>
        </w:tc>
        <w:tc>
          <w:tcPr>
            <w:tcW w:w="1572" w:type="pct"/>
            <w:tcBorders>
              <w:top w:val="single" w:sz="4" w:space="0" w:color="BFBFBF" w:themeColor="background1" w:themeShade="BF"/>
              <w:bottom w:val="single" w:sz="4" w:space="0" w:color="BFBFBF" w:themeColor="background1" w:themeShade="BF"/>
            </w:tcBorders>
          </w:tcPr>
          <w:p w:rsidR="00D350AC" w:rsidRPr="00116A68" w:rsidRDefault="00D350AC" w:rsidP="00C86440">
            <w:pPr>
              <w:cnfStyle w:val="000000100000"/>
              <w:rPr>
                <w:sz w:val="20"/>
                <w:szCs w:val="20"/>
              </w:rPr>
            </w:pPr>
            <w:r w:rsidRPr="00116A68">
              <w:rPr>
                <w:sz w:val="20"/>
                <w:szCs w:val="20"/>
              </w:rPr>
              <w:t>the maximum amount of impact reduction at a site is constrained by low cost options for reducing impacts</w:t>
            </w:r>
          </w:p>
        </w:tc>
        <w:tc>
          <w:tcPr>
            <w:tcW w:w="385" w:type="pct"/>
            <w:tcBorders>
              <w:top w:val="single" w:sz="4" w:space="0" w:color="BFBFBF" w:themeColor="background1" w:themeShade="BF"/>
              <w:bottom w:val="single" w:sz="4" w:space="0" w:color="BFBFBF" w:themeColor="background1" w:themeShade="BF"/>
            </w:tcBorders>
            <w:noWrap/>
            <w:hideMark/>
          </w:tcPr>
          <w:p w:rsidR="009663A3" w:rsidRDefault="00D350AC">
            <w:pPr>
              <w:jc w:val="center"/>
              <w:cnfStyle w:val="000000100000"/>
              <w:rPr>
                <w:sz w:val="22"/>
                <w:szCs w:val="22"/>
              </w:rPr>
            </w:pPr>
            <w:r w:rsidRPr="00116A68">
              <w:rPr>
                <w:sz w:val="22"/>
                <w:szCs w:val="22"/>
              </w:rPr>
              <w:t>0.77</w:t>
            </w:r>
          </w:p>
        </w:tc>
        <w:tc>
          <w:tcPr>
            <w:tcW w:w="386" w:type="pct"/>
            <w:tcBorders>
              <w:top w:val="single" w:sz="4" w:space="0" w:color="BFBFBF" w:themeColor="background1" w:themeShade="BF"/>
              <w:bottom w:val="single" w:sz="4" w:space="0" w:color="BFBFBF" w:themeColor="background1" w:themeShade="BF"/>
            </w:tcBorders>
            <w:noWrap/>
            <w:hideMark/>
          </w:tcPr>
          <w:p w:rsidR="009663A3" w:rsidRDefault="00D350AC">
            <w:pPr>
              <w:jc w:val="center"/>
              <w:cnfStyle w:val="000000100000"/>
              <w:rPr>
                <w:sz w:val="22"/>
                <w:szCs w:val="22"/>
              </w:rPr>
            </w:pPr>
            <w:r w:rsidRPr="00116A68">
              <w:rPr>
                <w:sz w:val="22"/>
                <w:szCs w:val="22"/>
              </w:rPr>
              <w:t>0.264</w:t>
            </w:r>
          </w:p>
        </w:tc>
        <w:tc>
          <w:tcPr>
            <w:tcW w:w="288" w:type="pct"/>
            <w:tcBorders>
              <w:top w:val="single" w:sz="4" w:space="0" w:color="BFBFBF" w:themeColor="background1" w:themeShade="BF"/>
              <w:bottom w:val="single" w:sz="4" w:space="0" w:color="BFBFBF" w:themeColor="background1" w:themeShade="BF"/>
            </w:tcBorders>
            <w:noWrap/>
            <w:hideMark/>
          </w:tcPr>
          <w:p w:rsidR="009663A3" w:rsidRDefault="00D350AC">
            <w:pPr>
              <w:jc w:val="center"/>
              <w:cnfStyle w:val="000000100000"/>
              <w:rPr>
                <w:sz w:val="22"/>
                <w:szCs w:val="22"/>
              </w:rPr>
            </w:pPr>
            <w:r w:rsidRPr="00116A68">
              <w:rPr>
                <w:sz w:val="22"/>
                <w:szCs w:val="22"/>
              </w:rPr>
              <w:t>0.</w:t>
            </w:r>
            <w:r>
              <w:rPr>
                <w:sz w:val="22"/>
                <w:szCs w:val="22"/>
              </w:rPr>
              <w:t>09</w:t>
            </w:r>
          </w:p>
        </w:tc>
        <w:tc>
          <w:tcPr>
            <w:tcW w:w="429" w:type="pct"/>
            <w:tcBorders>
              <w:top w:val="single" w:sz="4" w:space="0" w:color="BFBFBF" w:themeColor="background1" w:themeShade="BF"/>
              <w:bottom w:val="single" w:sz="4" w:space="0" w:color="BFBFBF" w:themeColor="background1" w:themeShade="BF"/>
            </w:tcBorders>
            <w:noWrap/>
            <w:hideMark/>
          </w:tcPr>
          <w:p w:rsidR="009663A3" w:rsidRDefault="00D350AC">
            <w:pPr>
              <w:jc w:val="center"/>
              <w:cnfStyle w:val="000000100000"/>
              <w:rPr>
                <w:sz w:val="22"/>
                <w:szCs w:val="22"/>
              </w:rPr>
            </w:pPr>
            <w:r w:rsidRPr="00116A68">
              <w:rPr>
                <w:sz w:val="22"/>
                <w:szCs w:val="22"/>
              </w:rPr>
              <w:t>0.0044</w:t>
            </w:r>
          </w:p>
        </w:tc>
      </w:tr>
      <w:tr w:rsidR="00D350AC" w:rsidRPr="0018666E" w:rsidTr="007901E6">
        <w:trPr>
          <w:trHeight w:val="288"/>
        </w:trPr>
        <w:tc>
          <w:tcPr>
            <w:cnfStyle w:val="001000000000"/>
            <w:tcW w:w="839" w:type="pct"/>
            <w:tcBorders>
              <w:top w:val="single" w:sz="4" w:space="0" w:color="BFBFBF" w:themeColor="background1" w:themeShade="BF"/>
              <w:bottom w:val="single" w:sz="4" w:space="0" w:color="BFBFBF" w:themeColor="background1" w:themeShade="BF"/>
              <w:right w:val="none" w:sz="0" w:space="0" w:color="auto"/>
            </w:tcBorders>
            <w:noWrap/>
            <w:hideMark/>
          </w:tcPr>
          <w:p w:rsidR="00D350AC" w:rsidRPr="00116A68" w:rsidRDefault="00D350AC" w:rsidP="003C0234">
            <w:pPr>
              <w:rPr>
                <w:b/>
                <w:sz w:val="22"/>
                <w:szCs w:val="22"/>
              </w:rPr>
            </w:pPr>
            <w:r w:rsidRPr="00116A68">
              <w:rPr>
                <w:sz w:val="22"/>
                <w:szCs w:val="22"/>
              </w:rPr>
              <w:t>CV(ROI)</w:t>
            </w:r>
          </w:p>
        </w:tc>
        <w:tc>
          <w:tcPr>
            <w:tcW w:w="1101" w:type="pct"/>
            <w:tcBorders>
              <w:top w:val="single" w:sz="4" w:space="0" w:color="BFBFBF" w:themeColor="background1" w:themeShade="BF"/>
              <w:bottom w:val="single" w:sz="4" w:space="0" w:color="BFBFBF" w:themeColor="background1" w:themeShade="BF"/>
            </w:tcBorders>
            <w:noWrap/>
            <w:hideMark/>
          </w:tcPr>
          <w:p w:rsidR="00D350AC" w:rsidRPr="00116A68" w:rsidRDefault="00D350AC" w:rsidP="003C0234">
            <w:pPr>
              <w:cnfStyle w:val="000000000000"/>
              <w:rPr>
                <w:sz w:val="22"/>
                <w:szCs w:val="22"/>
              </w:rPr>
            </w:pPr>
            <w:r w:rsidRPr="00116A68">
              <w:rPr>
                <w:sz w:val="22"/>
                <w:szCs w:val="22"/>
              </w:rPr>
              <w:t>log</w:t>
            </w:r>
            <w:r w:rsidRPr="00116A68">
              <w:rPr>
                <w:sz w:val="22"/>
                <w:szCs w:val="22"/>
                <w:vertAlign w:val="subscript"/>
              </w:rPr>
              <w:t>10</w:t>
            </w:r>
            <w:r w:rsidRPr="00116A68">
              <w:rPr>
                <w:sz w:val="22"/>
                <w:szCs w:val="22"/>
              </w:rPr>
              <w:t>(</w:t>
            </w:r>
            <w:proofErr w:type="spellStart"/>
            <w:r w:rsidRPr="00116A68">
              <w:rPr>
                <w:sz w:val="22"/>
                <w:szCs w:val="22"/>
              </w:rPr>
              <w:t>elast</w:t>
            </w:r>
            <w:proofErr w:type="spellEnd"/>
            <w:r w:rsidRPr="00116A68">
              <w:rPr>
                <w:sz w:val="22"/>
                <w:szCs w:val="22"/>
              </w:rPr>
              <w:t>(impact, cost))</w:t>
            </w:r>
          </w:p>
        </w:tc>
        <w:tc>
          <w:tcPr>
            <w:tcW w:w="1572" w:type="pct"/>
            <w:tcBorders>
              <w:top w:val="single" w:sz="4" w:space="0" w:color="BFBFBF" w:themeColor="background1" w:themeShade="BF"/>
              <w:bottom w:val="single" w:sz="4" w:space="0" w:color="BFBFBF" w:themeColor="background1" w:themeShade="BF"/>
            </w:tcBorders>
          </w:tcPr>
          <w:p w:rsidR="00D350AC" w:rsidRPr="00116A68" w:rsidRDefault="00D350AC" w:rsidP="00FF1891">
            <w:pPr>
              <w:cnfStyle w:val="000000000000"/>
              <w:rPr>
                <w:sz w:val="20"/>
                <w:szCs w:val="20"/>
              </w:rPr>
            </w:pPr>
            <w:r w:rsidRPr="00116A68">
              <w:rPr>
                <w:sz w:val="20"/>
                <w:szCs w:val="20"/>
              </w:rPr>
              <w:t>the average – represented by least-impact layout – unit cost of reducing impacts at a site is constrained by low cost options for reducing impacts</w:t>
            </w:r>
          </w:p>
        </w:tc>
        <w:tc>
          <w:tcPr>
            <w:tcW w:w="385" w:type="pct"/>
            <w:tcBorders>
              <w:top w:val="single" w:sz="4" w:space="0" w:color="BFBFBF" w:themeColor="background1" w:themeShade="BF"/>
              <w:bottom w:val="single" w:sz="4" w:space="0" w:color="BFBFBF" w:themeColor="background1" w:themeShade="BF"/>
            </w:tcBorders>
            <w:noWrap/>
            <w:hideMark/>
          </w:tcPr>
          <w:p w:rsidR="009663A3" w:rsidRDefault="00D350AC">
            <w:pPr>
              <w:jc w:val="center"/>
              <w:cnfStyle w:val="000000000000"/>
              <w:rPr>
                <w:sz w:val="22"/>
                <w:szCs w:val="22"/>
              </w:rPr>
            </w:pPr>
            <w:r w:rsidRPr="00116A68">
              <w:rPr>
                <w:sz w:val="22"/>
                <w:szCs w:val="22"/>
              </w:rPr>
              <w:t>0.64</w:t>
            </w:r>
          </w:p>
        </w:tc>
        <w:tc>
          <w:tcPr>
            <w:tcW w:w="386" w:type="pct"/>
            <w:tcBorders>
              <w:top w:val="single" w:sz="4" w:space="0" w:color="BFBFBF" w:themeColor="background1" w:themeShade="BF"/>
              <w:bottom w:val="single" w:sz="4" w:space="0" w:color="BFBFBF" w:themeColor="background1" w:themeShade="BF"/>
            </w:tcBorders>
            <w:noWrap/>
            <w:hideMark/>
          </w:tcPr>
          <w:p w:rsidR="009663A3" w:rsidRDefault="00D350AC">
            <w:pPr>
              <w:jc w:val="center"/>
              <w:cnfStyle w:val="000000000000"/>
              <w:rPr>
                <w:sz w:val="22"/>
                <w:szCs w:val="22"/>
              </w:rPr>
            </w:pPr>
            <w:r w:rsidRPr="00116A68">
              <w:rPr>
                <w:sz w:val="22"/>
                <w:szCs w:val="22"/>
              </w:rPr>
              <w:t>0.221</w:t>
            </w:r>
          </w:p>
        </w:tc>
        <w:tc>
          <w:tcPr>
            <w:tcW w:w="288" w:type="pct"/>
            <w:tcBorders>
              <w:top w:val="single" w:sz="4" w:space="0" w:color="BFBFBF" w:themeColor="background1" w:themeShade="BF"/>
              <w:bottom w:val="single" w:sz="4" w:space="0" w:color="BFBFBF" w:themeColor="background1" w:themeShade="BF"/>
            </w:tcBorders>
            <w:noWrap/>
            <w:hideMark/>
          </w:tcPr>
          <w:p w:rsidR="009663A3" w:rsidRDefault="00D350AC">
            <w:pPr>
              <w:jc w:val="center"/>
              <w:cnfStyle w:val="000000000000"/>
              <w:rPr>
                <w:sz w:val="22"/>
                <w:szCs w:val="22"/>
              </w:rPr>
            </w:pPr>
            <w:r w:rsidRPr="00116A68">
              <w:rPr>
                <w:sz w:val="22"/>
                <w:szCs w:val="22"/>
              </w:rPr>
              <w:t>0.</w:t>
            </w:r>
            <w:r>
              <w:rPr>
                <w:sz w:val="22"/>
                <w:szCs w:val="22"/>
              </w:rPr>
              <w:t>09</w:t>
            </w:r>
          </w:p>
        </w:tc>
        <w:tc>
          <w:tcPr>
            <w:tcW w:w="429" w:type="pct"/>
            <w:tcBorders>
              <w:top w:val="single" w:sz="4" w:space="0" w:color="BFBFBF" w:themeColor="background1" w:themeShade="BF"/>
              <w:bottom w:val="single" w:sz="4" w:space="0" w:color="BFBFBF" w:themeColor="background1" w:themeShade="BF"/>
            </w:tcBorders>
            <w:noWrap/>
            <w:hideMark/>
          </w:tcPr>
          <w:p w:rsidR="009663A3" w:rsidRDefault="00D350AC">
            <w:pPr>
              <w:jc w:val="center"/>
              <w:cnfStyle w:val="000000000000"/>
              <w:rPr>
                <w:sz w:val="22"/>
                <w:szCs w:val="22"/>
              </w:rPr>
            </w:pPr>
            <w:r w:rsidRPr="00116A68">
              <w:rPr>
                <w:sz w:val="22"/>
                <w:szCs w:val="22"/>
              </w:rPr>
              <w:t>0.0049</w:t>
            </w:r>
          </w:p>
        </w:tc>
      </w:tr>
      <w:tr w:rsidR="00C60244" w:rsidRPr="0018666E" w:rsidTr="007901E6">
        <w:trPr>
          <w:cnfStyle w:val="000000100000"/>
          <w:trHeight w:val="288"/>
        </w:trPr>
        <w:tc>
          <w:tcPr>
            <w:cnfStyle w:val="001000000000"/>
            <w:tcW w:w="5000" w:type="pct"/>
            <w:gridSpan w:val="7"/>
            <w:tcBorders>
              <w:top w:val="single" w:sz="4" w:space="0" w:color="BFBFBF" w:themeColor="background1" w:themeShade="BF"/>
              <w:right w:val="none" w:sz="0" w:space="0" w:color="auto"/>
            </w:tcBorders>
            <w:noWrap/>
          </w:tcPr>
          <w:p w:rsidR="00C60244" w:rsidRDefault="00C60244" w:rsidP="007D6AA6">
            <w:pPr>
              <w:rPr>
                <w:b/>
              </w:rPr>
            </w:pPr>
            <w:r>
              <w:rPr>
                <w:sz w:val="22"/>
                <w:szCs w:val="22"/>
              </w:rPr>
              <w:t>* Results for one-part model. Two-part model favored by AIC</w:t>
            </w:r>
            <w:r w:rsidR="007D6AA6">
              <w:rPr>
                <w:sz w:val="22"/>
                <w:szCs w:val="22"/>
              </w:rPr>
              <w:t>c</w:t>
            </w:r>
            <w:r w:rsidRPr="00C60244">
              <w:rPr>
                <w:sz w:val="22"/>
                <w:szCs w:val="22"/>
                <w:vertAlign w:val="subscript"/>
              </w:rPr>
              <w:t xml:space="preserve"> </w:t>
            </w:r>
            <w:r>
              <w:rPr>
                <w:sz w:val="22"/>
                <w:szCs w:val="22"/>
              </w:rPr>
              <w:t>competition was not significant.</w:t>
            </w:r>
          </w:p>
        </w:tc>
      </w:tr>
      <w:tr w:rsidR="00C60244" w:rsidRPr="0018666E" w:rsidTr="00C60244">
        <w:trPr>
          <w:trHeight w:val="288"/>
        </w:trPr>
        <w:tc>
          <w:tcPr>
            <w:cnfStyle w:val="001000000000"/>
            <w:tcW w:w="839" w:type="pct"/>
            <w:tcBorders>
              <w:top w:val="single" w:sz="6" w:space="0" w:color="FFFFFF"/>
              <w:bottom w:val="single" w:sz="6" w:space="0" w:color="808080"/>
              <w:right w:val="none" w:sz="0" w:space="0" w:color="auto"/>
            </w:tcBorders>
            <w:noWrap/>
          </w:tcPr>
          <w:p w:rsidR="00C60244" w:rsidRDefault="00C60244" w:rsidP="003C0234">
            <w:pPr>
              <w:rPr>
                <w:sz w:val="22"/>
                <w:szCs w:val="22"/>
              </w:rPr>
            </w:pPr>
          </w:p>
        </w:tc>
        <w:tc>
          <w:tcPr>
            <w:tcW w:w="1101" w:type="pct"/>
            <w:tcBorders>
              <w:top w:val="single" w:sz="6" w:space="0" w:color="FFFFFF"/>
              <w:bottom w:val="single" w:sz="6" w:space="0" w:color="808080"/>
            </w:tcBorders>
            <w:noWrap/>
          </w:tcPr>
          <w:p w:rsidR="00C60244" w:rsidRDefault="00C60244" w:rsidP="003C0234">
            <w:pPr>
              <w:cnfStyle w:val="000000000000"/>
              <w:rPr>
                <w:sz w:val="22"/>
                <w:szCs w:val="22"/>
              </w:rPr>
            </w:pPr>
          </w:p>
        </w:tc>
        <w:tc>
          <w:tcPr>
            <w:tcW w:w="3060" w:type="pct"/>
            <w:gridSpan w:val="5"/>
            <w:tcBorders>
              <w:top w:val="single" w:sz="6" w:space="0" w:color="FFFFFF"/>
              <w:bottom w:val="single" w:sz="6" w:space="0" w:color="808080"/>
            </w:tcBorders>
          </w:tcPr>
          <w:p w:rsidR="00C60244" w:rsidRDefault="00C60244" w:rsidP="00183972">
            <w:pPr>
              <w:jc w:val="center"/>
              <w:cnfStyle w:val="000000000000"/>
              <w:rPr>
                <w:b/>
              </w:rPr>
            </w:pPr>
          </w:p>
        </w:tc>
      </w:tr>
      <w:tr w:rsidR="00D350AC" w:rsidRPr="0018666E" w:rsidTr="00C60244">
        <w:trPr>
          <w:cnfStyle w:val="000000100000"/>
          <w:trHeight w:val="288"/>
        </w:trPr>
        <w:tc>
          <w:tcPr>
            <w:cnfStyle w:val="001000000000"/>
            <w:tcW w:w="839" w:type="pct"/>
            <w:tcBorders>
              <w:bottom w:val="single" w:sz="4" w:space="0" w:color="auto"/>
              <w:right w:val="none" w:sz="0" w:space="0" w:color="auto"/>
            </w:tcBorders>
            <w:noWrap/>
          </w:tcPr>
          <w:p w:rsidR="009663A3" w:rsidRDefault="00FD4607">
            <w:pPr>
              <w:jc w:val="center"/>
              <w:rPr>
                <w:sz w:val="22"/>
                <w:szCs w:val="22"/>
              </w:rPr>
            </w:pPr>
            <w:r w:rsidRPr="00FD4607">
              <w:rPr>
                <w:b/>
                <w:bCs/>
              </w:rPr>
              <w:t>Predictor</w:t>
            </w:r>
          </w:p>
        </w:tc>
        <w:tc>
          <w:tcPr>
            <w:tcW w:w="1101" w:type="pct"/>
            <w:tcBorders>
              <w:bottom w:val="single" w:sz="4" w:space="0" w:color="auto"/>
            </w:tcBorders>
            <w:noWrap/>
          </w:tcPr>
          <w:p w:rsidR="009663A3" w:rsidRDefault="00FD4607">
            <w:pPr>
              <w:jc w:val="center"/>
              <w:cnfStyle w:val="000000100000"/>
              <w:rPr>
                <w:sz w:val="22"/>
                <w:szCs w:val="22"/>
              </w:rPr>
            </w:pPr>
            <w:r w:rsidRPr="00FD4607">
              <w:rPr>
                <w:b/>
                <w:bCs/>
              </w:rPr>
              <w:t>Response</w:t>
            </w:r>
          </w:p>
        </w:tc>
        <w:tc>
          <w:tcPr>
            <w:tcW w:w="3060" w:type="pct"/>
            <w:gridSpan w:val="5"/>
            <w:tcBorders>
              <w:bottom w:val="single" w:sz="4" w:space="0" w:color="auto"/>
            </w:tcBorders>
          </w:tcPr>
          <w:p w:rsidR="00183972" w:rsidRPr="00183972" w:rsidRDefault="00183972" w:rsidP="00776A9C">
            <w:pPr>
              <w:jc w:val="center"/>
              <w:cnfStyle w:val="000000100000"/>
              <w:rPr>
                <w:b/>
              </w:rPr>
            </w:pPr>
            <w:r>
              <w:rPr>
                <w:b/>
              </w:rPr>
              <w:t>Rationale (</w:t>
            </w:r>
            <w:r w:rsidR="0062342D">
              <w:rPr>
                <w:b/>
              </w:rPr>
              <w:t xml:space="preserve">all </w:t>
            </w:r>
            <w:r w:rsidR="00776A9C">
              <w:rPr>
                <w:b/>
              </w:rPr>
              <w:t>results</w:t>
            </w:r>
            <w:r w:rsidR="0062342D">
              <w:rPr>
                <w:b/>
              </w:rPr>
              <w:t xml:space="preserve"> non-significant</w:t>
            </w:r>
            <w:r>
              <w:rPr>
                <w:b/>
              </w:rPr>
              <w:t>)</w:t>
            </w:r>
          </w:p>
        </w:tc>
      </w:tr>
      <w:tr w:rsidR="00D350AC" w:rsidRPr="0018666E" w:rsidTr="007901E6">
        <w:trPr>
          <w:trHeight w:val="288"/>
        </w:trPr>
        <w:tc>
          <w:tcPr>
            <w:cnfStyle w:val="001000000000"/>
            <w:tcW w:w="839" w:type="pct"/>
            <w:tcBorders>
              <w:top w:val="single" w:sz="4" w:space="0" w:color="auto"/>
              <w:right w:val="none" w:sz="0" w:space="0" w:color="auto"/>
            </w:tcBorders>
            <w:noWrap/>
          </w:tcPr>
          <w:p w:rsidR="00546F6B" w:rsidRDefault="00183972" w:rsidP="003C0234">
            <w:pPr>
              <w:rPr>
                <w:sz w:val="22"/>
                <w:szCs w:val="22"/>
              </w:rPr>
            </w:pPr>
            <w:proofErr w:type="spellStart"/>
            <w:r>
              <w:rPr>
                <w:sz w:val="22"/>
                <w:szCs w:val="22"/>
              </w:rPr>
              <w:t>corr</w:t>
            </w:r>
            <w:proofErr w:type="spellEnd"/>
            <w:r>
              <w:rPr>
                <w:sz w:val="22"/>
                <w:szCs w:val="22"/>
              </w:rPr>
              <w:t>(impact, cost)</w:t>
            </w:r>
          </w:p>
        </w:tc>
        <w:tc>
          <w:tcPr>
            <w:tcW w:w="1101" w:type="pct"/>
            <w:tcBorders>
              <w:top w:val="single" w:sz="4" w:space="0" w:color="auto"/>
            </w:tcBorders>
            <w:noWrap/>
          </w:tcPr>
          <w:p w:rsidR="00546F6B" w:rsidRDefault="00183972" w:rsidP="003C0234">
            <w:pPr>
              <w:cnfStyle w:val="000000000000"/>
              <w:rPr>
                <w:sz w:val="22"/>
                <w:szCs w:val="22"/>
              </w:rPr>
            </w:pPr>
            <w:r>
              <w:rPr>
                <w:sz w:val="22"/>
                <w:szCs w:val="22"/>
              </w:rPr>
              <w:t>impact reduction</w:t>
            </w:r>
          </w:p>
        </w:tc>
        <w:tc>
          <w:tcPr>
            <w:tcW w:w="3060" w:type="pct"/>
            <w:gridSpan w:val="5"/>
            <w:tcBorders>
              <w:top w:val="single" w:sz="4" w:space="0" w:color="auto"/>
            </w:tcBorders>
          </w:tcPr>
          <w:p w:rsidR="00546F6B" w:rsidRDefault="00630770" w:rsidP="008678AF">
            <w:pPr>
              <w:cnfStyle w:val="000000000000"/>
              <w:rPr>
                <w:sz w:val="20"/>
                <w:szCs w:val="20"/>
              </w:rPr>
            </w:pPr>
            <w:r>
              <w:rPr>
                <w:sz w:val="20"/>
                <w:szCs w:val="20"/>
              </w:rPr>
              <w:t>sites where low-cost pixels are also low-impact will not be able to reduce impacts much because the lowest-cost layout will also be low-impact</w:t>
            </w:r>
          </w:p>
        </w:tc>
      </w:tr>
      <w:tr w:rsidR="0054312A" w:rsidRPr="0018666E" w:rsidTr="007901E6">
        <w:trPr>
          <w:cnfStyle w:val="000000100000"/>
          <w:trHeight w:val="288"/>
        </w:trPr>
        <w:tc>
          <w:tcPr>
            <w:cnfStyle w:val="001000000000"/>
            <w:tcW w:w="5000" w:type="pct"/>
            <w:gridSpan w:val="7"/>
            <w:tcBorders>
              <w:top w:val="none" w:sz="0" w:space="0" w:color="auto"/>
              <w:bottom w:val="single" w:sz="4" w:space="0" w:color="auto"/>
              <w:right w:val="none" w:sz="0" w:space="0" w:color="auto"/>
            </w:tcBorders>
            <w:noWrap/>
          </w:tcPr>
          <w:p w:rsidR="0054312A" w:rsidRDefault="00F01773" w:rsidP="00916ADF">
            <w:pPr>
              <w:pStyle w:val="Caption"/>
              <w:jc w:val="center"/>
            </w:pPr>
            <w:r>
              <w:lastRenderedPageBreak/>
              <w:fldChar w:fldCharType="begin"/>
            </w:r>
            <w:r w:rsidR="00916ADF">
              <w:instrText xml:space="preserve"> REF _Ref417547092 \h </w:instrText>
            </w:r>
            <w:r>
              <w:fldChar w:fldCharType="separate"/>
            </w:r>
            <w:r w:rsidR="00867AA7">
              <w:t xml:space="preserve">Table S </w:t>
            </w:r>
            <w:r w:rsidR="00867AA7">
              <w:rPr>
                <w:noProof/>
              </w:rPr>
              <w:t>3</w:t>
            </w:r>
            <w:r w:rsidR="00867AA7">
              <w:t>.</w:t>
            </w:r>
            <w:r w:rsidR="00867AA7">
              <w:rPr>
                <w:noProof/>
              </w:rPr>
              <w:t>1</w:t>
            </w:r>
            <w:r>
              <w:fldChar w:fldCharType="end"/>
            </w:r>
            <w:r w:rsidR="00916ADF">
              <w:t xml:space="preserve"> Continued</w:t>
            </w:r>
          </w:p>
        </w:tc>
      </w:tr>
      <w:tr w:rsidR="0054312A" w:rsidRPr="0018666E" w:rsidTr="0054312A">
        <w:trPr>
          <w:trHeight w:val="288"/>
        </w:trPr>
        <w:tc>
          <w:tcPr>
            <w:cnfStyle w:val="001000000000"/>
            <w:tcW w:w="839" w:type="pct"/>
            <w:tcBorders>
              <w:top w:val="single" w:sz="4" w:space="0" w:color="auto"/>
              <w:bottom w:val="single" w:sz="4" w:space="0" w:color="auto"/>
              <w:right w:val="none" w:sz="0" w:space="0" w:color="auto"/>
            </w:tcBorders>
            <w:noWrap/>
          </w:tcPr>
          <w:p w:rsidR="0054312A" w:rsidRDefault="0054312A" w:rsidP="00F77805">
            <w:pPr>
              <w:jc w:val="center"/>
              <w:rPr>
                <w:sz w:val="22"/>
                <w:szCs w:val="22"/>
              </w:rPr>
            </w:pPr>
            <w:r w:rsidRPr="00FD4607">
              <w:rPr>
                <w:b/>
                <w:bCs/>
              </w:rPr>
              <w:t>Predictor</w:t>
            </w:r>
          </w:p>
        </w:tc>
        <w:tc>
          <w:tcPr>
            <w:tcW w:w="1101" w:type="pct"/>
            <w:tcBorders>
              <w:top w:val="single" w:sz="4" w:space="0" w:color="auto"/>
              <w:bottom w:val="single" w:sz="4" w:space="0" w:color="auto"/>
            </w:tcBorders>
            <w:noWrap/>
          </w:tcPr>
          <w:p w:rsidR="0054312A" w:rsidRDefault="0054312A" w:rsidP="00F77805">
            <w:pPr>
              <w:jc w:val="center"/>
              <w:cnfStyle w:val="000000000000"/>
              <w:rPr>
                <w:sz w:val="22"/>
                <w:szCs w:val="22"/>
              </w:rPr>
            </w:pPr>
            <w:r w:rsidRPr="00FD4607">
              <w:rPr>
                <w:b/>
                <w:bCs/>
              </w:rPr>
              <w:t>Response</w:t>
            </w:r>
          </w:p>
        </w:tc>
        <w:tc>
          <w:tcPr>
            <w:tcW w:w="3060" w:type="pct"/>
            <w:gridSpan w:val="5"/>
            <w:tcBorders>
              <w:top w:val="single" w:sz="4" w:space="0" w:color="auto"/>
              <w:bottom w:val="single" w:sz="4" w:space="0" w:color="auto"/>
            </w:tcBorders>
          </w:tcPr>
          <w:p w:rsidR="0054312A" w:rsidRPr="00183972" w:rsidRDefault="0054312A" w:rsidP="00F77805">
            <w:pPr>
              <w:jc w:val="center"/>
              <w:cnfStyle w:val="000000000000"/>
              <w:rPr>
                <w:b/>
              </w:rPr>
            </w:pPr>
            <w:r>
              <w:rPr>
                <w:b/>
              </w:rPr>
              <w:t>Rationale (all results non-significant)</w:t>
            </w:r>
          </w:p>
        </w:tc>
      </w:tr>
      <w:tr w:rsidR="00D350AC" w:rsidRPr="0018666E" w:rsidTr="00076D7A">
        <w:trPr>
          <w:cnfStyle w:val="000000100000"/>
          <w:trHeight w:val="288"/>
        </w:trPr>
        <w:tc>
          <w:tcPr>
            <w:cnfStyle w:val="001000000000"/>
            <w:tcW w:w="839" w:type="pct"/>
            <w:tcBorders>
              <w:top w:val="single" w:sz="4" w:space="0" w:color="BFBFBF" w:themeColor="background1" w:themeShade="BF"/>
              <w:bottom w:val="single" w:sz="4" w:space="0" w:color="BFBFBF" w:themeColor="background1" w:themeShade="BF"/>
              <w:right w:val="none" w:sz="0" w:space="0" w:color="auto"/>
            </w:tcBorders>
            <w:noWrap/>
          </w:tcPr>
          <w:p w:rsidR="00630770" w:rsidRDefault="00A8280F" w:rsidP="003C0234">
            <w:pPr>
              <w:rPr>
                <w:sz w:val="22"/>
                <w:szCs w:val="22"/>
              </w:rPr>
            </w:pPr>
            <w:r>
              <w:rPr>
                <w:sz w:val="22"/>
                <w:szCs w:val="22"/>
              </w:rPr>
              <w:t>CV(cost)</w:t>
            </w:r>
          </w:p>
        </w:tc>
        <w:tc>
          <w:tcPr>
            <w:tcW w:w="1101" w:type="pct"/>
            <w:tcBorders>
              <w:top w:val="single" w:sz="4" w:space="0" w:color="BFBFBF" w:themeColor="background1" w:themeShade="BF"/>
              <w:bottom w:val="single" w:sz="4" w:space="0" w:color="BFBFBF" w:themeColor="background1" w:themeShade="BF"/>
            </w:tcBorders>
            <w:noWrap/>
          </w:tcPr>
          <w:p w:rsidR="00630770" w:rsidRDefault="00A8280F" w:rsidP="003C0234">
            <w:pPr>
              <w:cnfStyle w:val="000000100000"/>
              <w:rPr>
                <w:sz w:val="22"/>
                <w:szCs w:val="22"/>
              </w:rPr>
            </w:pPr>
            <w:r>
              <w:rPr>
                <w:sz w:val="22"/>
                <w:szCs w:val="22"/>
              </w:rPr>
              <w:t>impact reduction</w:t>
            </w:r>
          </w:p>
        </w:tc>
        <w:tc>
          <w:tcPr>
            <w:tcW w:w="3060" w:type="pct"/>
            <w:gridSpan w:val="5"/>
            <w:tcBorders>
              <w:top w:val="single" w:sz="4" w:space="0" w:color="BFBFBF" w:themeColor="background1" w:themeShade="BF"/>
              <w:bottom w:val="single" w:sz="4" w:space="0" w:color="BFBFBF" w:themeColor="background1" w:themeShade="BF"/>
            </w:tcBorders>
          </w:tcPr>
          <w:p w:rsidR="00630770" w:rsidRDefault="00A8280F" w:rsidP="00A8280F">
            <w:pPr>
              <w:cnfStyle w:val="000000100000"/>
              <w:rPr>
                <w:sz w:val="20"/>
                <w:szCs w:val="20"/>
              </w:rPr>
            </w:pPr>
            <w:r>
              <w:rPr>
                <w:sz w:val="20"/>
                <w:szCs w:val="20"/>
              </w:rPr>
              <w:t>layouts produced at sites with larger variation in cost will span a greater range of impact including relatively low-impact options</w:t>
            </w:r>
          </w:p>
        </w:tc>
      </w:tr>
      <w:tr w:rsidR="00D350AC" w:rsidRPr="0018666E" w:rsidTr="00076D7A">
        <w:trPr>
          <w:trHeight w:val="288"/>
        </w:trPr>
        <w:tc>
          <w:tcPr>
            <w:cnfStyle w:val="001000000000"/>
            <w:tcW w:w="839" w:type="pct"/>
            <w:tcBorders>
              <w:top w:val="single" w:sz="4" w:space="0" w:color="BFBFBF" w:themeColor="background1" w:themeShade="BF"/>
              <w:bottom w:val="single" w:sz="4" w:space="0" w:color="BFBFBF" w:themeColor="background1" w:themeShade="BF"/>
              <w:right w:val="none" w:sz="0" w:space="0" w:color="auto"/>
            </w:tcBorders>
            <w:noWrap/>
          </w:tcPr>
          <w:p w:rsidR="00FA1452" w:rsidRDefault="00291F54" w:rsidP="003C0234">
            <w:pPr>
              <w:rPr>
                <w:sz w:val="22"/>
                <w:szCs w:val="22"/>
              </w:rPr>
            </w:pPr>
            <w:r>
              <w:rPr>
                <w:sz w:val="22"/>
                <w:szCs w:val="22"/>
              </w:rPr>
              <w:t>pipe density</w:t>
            </w:r>
          </w:p>
        </w:tc>
        <w:tc>
          <w:tcPr>
            <w:tcW w:w="1101" w:type="pct"/>
            <w:tcBorders>
              <w:top w:val="single" w:sz="4" w:space="0" w:color="BFBFBF" w:themeColor="background1" w:themeShade="BF"/>
              <w:bottom w:val="single" w:sz="4" w:space="0" w:color="BFBFBF" w:themeColor="background1" w:themeShade="BF"/>
            </w:tcBorders>
            <w:noWrap/>
          </w:tcPr>
          <w:p w:rsidR="00FA1452" w:rsidRDefault="00291F54" w:rsidP="003C0234">
            <w:pPr>
              <w:cnfStyle w:val="000000000000"/>
              <w:rPr>
                <w:sz w:val="22"/>
                <w:szCs w:val="22"/>
              </w:rPr>
            </w:pPr>
            <w:r>
              <w:rPr>
                <w:sz w:val="22"/>
                <w:szCs w:val="22"/>
              </w:rPr>
              <w:t>impact reduction</w:t>
            </w:r>
          </w:p>
        </w:tc>
        <w:tc>
          <w:tcPr>
            <w:tcW w:w="3060" w:type="pct"/>
            <w:gridSpan w:val="5"/>
            <w:tcBorders>
              <w:top w:val="single" w:sz="4" w:space="0" w:color="BFBFBF" w:themeColor="background1" w:themeShade="BF"/>
              <w:bottom w:val="single" w:sz="4" w:space="0" w:color="BFBFBF" w:themeColor="background1" w:themeShade="BF"/>
            </w:tcBorders>
          </w:tcPr>
          <w:p w:rsidR="00FA1452" w:rsidRDefault="00291F54" w:rsidP="00A8280F">
            <w:pPr>
              <w:cnfStyle w:val="000000000000"/>
              <w:rPr>
                <w:sz w:val="20"/>
                <w:szCs w:val="20"/>
              </w:rPr>
            </w:pPr>
            <w:r>
              <w:rPr>
                <w:sz w:val="20"/>
                <w:szCs w:val="20"/>
              </w:rPr>
              <w:t>variations on layouts are constrained by connection points for gathering pipelines, so sites with more pipeline connection options will be able to reduce impacts more</w:t>
            </w:r>
          </w:p>
        </w:tc>
      </w:tr>
      <w:tr w:rsidR="00D350AC" w:rsidRPr="0018666E" w:rsidTr="00076D7A">
        <w:trPr>
          <w:cnfStyle w:val="000000100000"/>
          <w:trHeight w:val="288"/>
        </w:trPr>
        <w:tc>
          <w:tcPr>
            <w:cnfStyle w:val="001000000000"/>
            <w:tcW w:w="839" w:type="pct"/>
            <w:tcBorders>
              <w:top w:val="single" w:sz="4" w:space="0" w:color="BFBFBF" w:themeColor="background1" w:themeShade="BF"/>
              <w:bottom w:val="single" w:sz="4" w:space="0" w:color="BFBFBF" w:themeColor="background1" w:themeShade="BF"/>
              <w:right w:val="none" w:sz="0" w:space="0" w:color="auto"/>
            </w:tcBorders>
            <w:noWrap/>
          </w:tcPr>
          <w:p w:rsidR="00F050BD" w:rsidRDefault="00F050BD" w:rsidP="003C0234">
            <w:pPr>
              <w:rPr>
                <w:sz w:val="22"/>
                <w:szCs w:val="22"/>
              </w:rPr>
            </w:pPr>
            <w:r>
              <w:rPr>
                <w:sz w:val="22"/>
                <w:szCs w:val="22"/>
              </w:rPr>
              <w:t>road density</w:t>
            </w:r>
          </w:p>
        </w:tc>
        <w:tc>
          <w:tcPr>
            <w:tcW w:w="1101" w:type="pct"/>
            <w:tcBorders>
              <w:top w:val="single" w:sz="4" w:space="0" w:color="BFBFBF" w:themeColor="background1" w:themeShade="BF"/>
              <w:bottom w:val="single" w:sz="4" w:space="0" w:color="BFBFBF" w:themeColor="background1" w:themeShade="BF"/>
            </w:tcBorders>
            <w:noWrap/>
          </w:tcPr>
          <w:p w:rsidR="00F050BD" w:rsidRDefault="00F050BD" w:rsidP="003C0234">
            <w:pPr>
              <w:cnfStyle w:val="000000100000"/>
              <w:rPr>
                <w:sz w:val="22"/>
                <w:szCs w:val="22"/>
              </w:rPr>
            </w:pPr>
            <w:r>
              <w:rPr>
                <w:sz w:val="22"/>
                <w:szCs w:val="22"/>
              </w:rPr>
              <w:t>impact reduction</w:t>
            </w:r>
          </w:p>
        </w:tc>
        <w:tc>
          <w:tcPr>
            <w:tcW w:w="3060" w:type="pct"/>
            <w:gridSpan w:val="5"/>
            <w:tcBorders>
              <w:top w:val="single" w:sz="4" w:space="0" w:color="BFBFBF" w:themeColor="background1" w:themeShade="BF"/>
              <w:bottom w:val="single" w:sz="4" w:space="0" w:color="BFBFBF" w:themeColor="background1" w:themeShade="BF"/>
            </w:tcBorders>
          </w:tcPr>
          <w:p w:rsidR="00F050BD" w:rsidRDefault="00F050BD" w:rsidP="004D0467">
            <w:pPr>
              <w:cnfStyle w:val="000000100000"/>
              <w:rPr>
                <w:sz w:val="20"/>
                <w:szCs w:val="20"/>
              </w:rPr>
            </w:pPr>
            <w:r>
              <w:rPr>
                <w:sz w:val="20"/>
                <w:szCs w:val="20"/>
              </w:rPr>
              <w:t>variations on layouts are constrained by connection points for access roads, so sites with more road connection options will be able to reduce impacts more</w:t>
            </w:r>
          </w:p>
        </w:tc>
      </w:tr>
      <w:tr w:rsidR="00D350AC" w:rsidRPr="0018666E" w:rsidTr="00076D7A">
        <w:trPr>
          <w:trHeight w:val="288"/>
        </w:trPr>
        <w:tc>
          <w:tcPr>
            <w:cnfStyle w:val="001000000000"/>
            <w:tcW w:w="839" w:type="pct"/>
            <w:tcBorders>
              <w:top w:val="single" w:sz="4" w:space="0" w:color="BFBFBF" w:themeColor="background1" w:themeShade="BF"/>
              <w:bottom w:val="single" w:sz="4" w:space="0" w:color="BFBFBF" w:themeColor="background1" w:themeShade="BF"/>
              <w:right w:val="none" w:sz="0" w:space="0" w:color="auto"/>
            </w:tcBorders>
            <w:noWrap/>
          </w:tcPr>
          <w:p w:rsidR="00A460EC" w:rsidRPr="00A460EC" w:rsidRDefault="00A460EC" w:rsidP="00A460EC">
            <w:pPr>
              <w:rPr>
                <w:sz w:val="22"/>
                <w:szCs w:val="22"/>
              </w:rPr>
            </w:pPr>
            <w:r>
              <w:rPr>
                <w:sz w:val="22"/>
                <w:szCs w:val="22"/>
              </w:rPr>
              <w:t>log</w:t>
            </w:r>
            <w:r>
              <w:rPr>
                <w:sz w:val="22"/>
                <w:szCs w:val="22"/>
                <w:vertAlign w:val="subscript"/>
              </w:rPr>
              <w:t>10</w:t>
            </w:r>
            <w:r>
              <w:rPr>
                <w:sz w:val="22"/>
                <w:szCs w:val="22"/>
              </w:rPr>
              <w:t>(# pads)</w:t>
            </w:r>
          </w:p>
        </w:tc>
        <w:tc>
          <w:tcPr>
            <w:tcW w:w="1101" w:type="pct"/>
            <w:tcBorders>
              <w:top w:val="single" w:sz="4" w:space="0" w:color="BFBFBF" w:themeColor="background1" w:themeShade="BF"/>
              <w:bottom w:val="single" w:sz="4" w:space="0" w:color="BFBFBF" w:themeColor="background1" w:themeShade="BF"/>
            </w:tcBorders>
            <w:noWrap/>
          </w:tcPr>
          <w:p w:rsidR="00A460EC" w:rsidRDefault="00A460EC" w:rsidP="003C0234">
            <w:pPr>
              <w:cnfStyle w:val="000000000000"/>
              <w:rPr>
                <w:sz w:val="22"/>
                <w:szCs w:val="22"/>
              </w:rPr>
            </w:pPr>
            <w:r>
              <w:rPr>
                <w:sz w:val="22"/>
                <w:szCs w:val="22"/>
              </w:rPr>
              <w:t>impact reduction</w:t>
            </w:r>
          </w:p>
        </w:tc>
        <w:tc>
          <w:tcPr>
            <w:tcW w:w="3060" w:type="pct"/>
            <w:gridSpan w:val="5"/>
            <w:tcBorders>
              <w:top w:val="single" w:sz="4" w:space="0" w:color="BFBFBF" w:themeColor="background1" w:themeShade="BF"/>
              <w:bottom w:val="single" w:sz="4" w:space="0" w:color="BFBFBF" w:themeColor="background1" w:themeShade="BF"/>
            </w:tcBorders>
          </w:tcPr>
          <w:p w:rsidR="00A460EC" w:rsidRDefault="00A460EC" w:rsidP="00A8280F">
            <w:pPr>
              <w:cnfStyle w:val="000000000000"/>
              <w:rPr>
                <w:sz w:val="20"/>
                <w:szCs w:val="20"/>
              </w:rPr>
            </w:pPr>
            <w:r>
              <w:rPr>
                <w:sz w:val="20"/>
                <w:szCs w:val="20"/>
              </w:rPr>
              <w:t>larger sites (that support more pads) will have a larger number of feasible layouts that can span a larger range of impacts, including relatively low-impact options</w:t>
            </w:r>
          </w:p>
        </w:tc>
      </w:tr>
      <w:tr w:rsidR="00D350AC" w:rsidRPr="0018666E" w:rsidTr="00076D7A">
        <w:trPr>
          <w:cnfStyle w:val="000000100000"/>
          <w:trHeight w:val="288"/>
        </w:trPr>
        <w:tc>
          <w:tcPr>
            <w:cnfStyle w:val="001000000000"/>
            <w:tcW w:w="839" w:type="pct"/>
            <w:tcBorders>
              <w:top w:val="single" w:sz="4" w:space="0" w:color="BFBFBF" w:themeColor="background1" w:themeShade="BF"/>
              <w:bottom w:val="single" w:sz="4" w:space="0" w:color="BFBFBF" w:themeColor="background1" w:themeShade="BF"/>
              <w:right w:val="none" w:sz="0" w:space="0" w:color="auto"/>
            </w:tcBorders>
            <w:noWrap/>
          </w:tcPr>
          <w:p w:rsidR="006A4F48" w:rsidRPr="006A4F48" w:rsidRDefault="006A4F48" w:rsidP="00A460EC">
            <w:pPr>
              <w:rPr>
                <w:sz w:val="22"/>
                <w:szCs w:val="22"/>
              </w:rPr>
            </w:pPr>
            <w:r>
              <w:rPr>
                <w:sz w:val="22"/>
                <w:szCs w:val="22"/>
              </w:rPr>
              <w:t>log</w:t>
            </w:r>
            <w:r>
              <w:rPr>
                <w:sz w:val="22"/>
                <w:szCs w:val="22"/>
                <w:vertAlign w:val="subscript"/>
              </w:rPr>
              <w:t>10</w:t>
            </w:r>
            <w:r>
              <w:rPr>
                <w:sz w:val="22"/>
                <w:szCs w:val="22"/>
              </w:rPr>
              <w:t>(area)</w:t>
            </w:r>
          </w:p>
        </w:tc>
        <w:tc>
          <w:tcPr>
            <w:tcW w:w="1101" w:type="pct"/>
            <w:tcBorders>
              <w:top w:val="single" w:sz="4" w:space="0" w:color="BFBFBF" w:themeColor="background1" w:themeShade="BF"/>
              <w:bottom w:val="single" w:sz="4" w:space="0" w:color="BFBFBF" w:themeColor="background1" w:themeShade="BF"/>
            </w:tcBorders>
            <w:noWrap/>
          </w:tcPr>
          <w:p w:rsidR="006A4F48" w:rsidRDefault="006A4F48" w:rsidP="003C0234">
            <w:pPr>
              <w:cnfStyle w:val="000000100000"/>
              <w:rPr>
                <w:sz w:val="22"/>
                <w:szCs w:val="22"/>
              </w:rPr>
            </w:pPr>
            <w:r>
              <w:rPr>
                <w:sz w:val="22"/>
                <w:szCs w:val="22"/>
              </w:rPr>
              <w:t>impact reduction</w:t>
            </w:r>
          </w:p>
        </w:tc>
        <w:tc>
          <w:tcPr>
            <w:tcW w:w="3060" w:type="pct"/>
            <w:gridSpan w:val="5"/>
            <w:tcBorders>
              <w:top w:val="single" w:sz="4" w:space="0" w:color="BFBFBF" w:themeColor="background1" w:themeShade="BF"/>
              <w:bottom w:val="single" w:sz="4" w:space="0" w:color="BFBFBF" w:themeColor="background1" w:themeShade="BF"/>
            </w:tcBorders>
          </w:tcPr>
          <w:p w:rsidR="006A4F48" w:rsidRDefault="006A4F48" w:rsidP="006A4F48">
            <w:pPr>
              <w:cnfStyle w:val="000000100000"/>
              <w:rPr>
                <w:sz w:val="20"/>
                <w:szCs w:val="20"/>
              </w:rPr>
            </w:pPr>
            <w:r>
              <w:rPr>
                <w:sz w:val="20"/>
                <w:szCs w:val="20"/>
              </w:rPr>
              <w:t>larger sites will have a larger number of feasible layouts that can span a larger range of impacts, including relatively low-impact options</w:t>
            </w:r>
          </w:p>
        </w:tc>
      </w:tr>
      <w:tr w:rsidR="00D350AC" w:rsidRPr="0018666E" w:rsidTr="00076D7A">
        <w:trPr>
          <w:trHeight w:val="288"/>
        </w:trPr>
        <w:tc>
          <w:tcPr>
            <w:cnfStyle w:val="001000000000"/>
            <w:tcW w:w="839" w:type="pct"/>
            <w:tcBorders>
              <w:top w:val="single" w:sz="4" w:space="0" w:color="BFBFBF" w:themeColor="background1" w:themeShade="BF"/>
              <w:bottom w:val="single" w:sz="4" w:space="0" w:color="BFBFBF" w:themeColor="background1" w:themeShade="BF"/>
              <w:right w:val="none" w:sz="0" w:space="0" w:color="auto"/>
            </w:tcBorders>
            <w:noWrap/>
          </w:tcPr>
          <w:p w:rsidR="00835ACD" w:rsidRPr="00835ACD" w:rsidRDefault="00C8281A" w:rsidP="00A460EC">
            <w:pPr>
              <w:rPr>
                <w:sz w:val="22"/>
                <w:szCs w:val="22"/>
              </w:rPr>
            </w:pPr>
            <w:r>
              <w:rPr>
                <w:sz w:val="22"/>
                <w:szCs w:val="22"/>
              </w:rPr>
              <w:t>CV(cost)</w:t>
            </w:r>
          </w:p>
        </w:tc>
        <w:tc>
          <w:tcPr>
            <w:tcW w:w="1101" w:type="pct"/>
            <w:tcBorders>
              <w:top w:val="single" w:sz="4" w:space="0" w:color="BFBFBF" w:themeColor="background1" w:themeShade="BF"/>
              <w:bottom w:val="single" w:sz="4" w:space="0" w:color="BFBFBF" w:themeColor="background1" w:themeShade="BF"/>
            </w:tcBorders>
            <w:noWrap/>
          </w:tcPr>
          <w:p w:rsidR="00835ACD" w:rsidRDefault="00E67997" w:rsidP="003C0234">
            <w:pPr>
              <w:cnfStyle w:val="000000000000"/>
              <w:rPr>
                <w:sz w:val="22"/>
                <w:szCs w:val="22"/>
              </w:rPr>
            </w:pPr>
            <w:r w:rsidRPr="00116A68">
              <w:rPr>
                <w:sz w:val="22"/>
                <w:szCs w:val="22"/>
              </w:rPr>
              <w:t>log</w:t>
            </w:r>
            <w:r w:rsidRPr="00116A68">
              <w:rPr>
                <w:sz w:val="22"/>
                <w:szCs w:val="22"/>
                <w:vertAlign w:val="subscript"/>
              </w:rPr>
              <w:t>10</w:t>
            </w:r>
            <w:r w:rsidRPr="00116A68">
              <w:rPr>
                <w:sz w:val="22"/>
                <w:szCs w:val="22"/>
              </w:rPr>
              <w:t>(</w:t>
            </w:r>
            <w:proofErr w:type="spellStart"/>
            <w:r w:rsidRPr="00116A68">
              <w:rPr>
                <w:sz w:val="22"/>
                <w:szCs w:val="22"/>
              </w:rPr>
              <w:t>elast</w:t>
            </w:r>
            <w:proofErr w:type="spellEnd"/>
            <w:r w:rsidRPr="00116A68">
              <w:rPr>
                <w:sz w:val="22"/>
                <w:szCs w:val="22"/>
              </w:rPr>
              <w:t>(impact, cost))</w:t>
            </w:r>
          </w:p>
        </w:tc>
        <w:tc>
          <w:tcPr>
            <w:tcW w:w="3060" w:type="pct"/>
            <w:gridSpan w:val="5"/>
            <w:tcBorders>
              <w:top w:val="single" w:sz="4" w:space="0" w:color="BFBFBF" w:themeColor="background1" w:themeShade="BF"/>
              <w:bottom w:val="single" w:sz="4" w:space="0" w:color="BFBFBF" w:themeColor="background1" w:themeShade="BF"/>
            </w:tcBorders>
          </w:tcPr>
          <w:p w:rsidR="00835ACD" w:rsidRDefault="00C8281A" w:rsidP="00C8281A">
            <w:pPr>
              <w:cnfStyle w:val="000000000000"/>
              <w:rPr>
                <w:sz w:val="20"/>
                <w:szCs w:val="20"/>
              </w:rPr>
            </w:pPr>
            <w:r w:rsidRPr="00116A68">
              <w:rPr>
                <w:sz w:val="20"/>
                <w:szCs w:val="20"/>
              </w:rPr>
              <w:t xml:space="preserve">the average </w:t>
            </w:r>
            <w:r>
              <w:rPr>
                <w:sz w:val="20"/>
                <w:szCs w:val="20"/>
              </w:rPr>
              <w:t>–</w:t>
            </w:r>
            <w:r w:rsidRPr="00116A68">
              <w:rPr>
                <w:sz w:val="20"/>
                <w:szCs w:val="20"/>
              </w:rPr>
              <w:t xml:space="preserve"> </w:t>
            </w:r>
            <w:r>
              <w:rPr>
                <w:sz w:val="20"/>
                <w:szCs w:val="20"/>
              </w:rPr>
              <w:t>r</w:t>
            </w:r>
            <w:r w:rsidRPr="00116A68">
              <w:rPr>
                <w:sz w:val="20"/>
                <w:szCs w:val="20"/>
              </w:rPr>
              <w:t xml:space="preserve">epresented by least-impact layout – unit cost of reducing impacts at a site is constrained by </w:t>
            </w:r>
            <w:r>
              <w:rPr>
                <w:sz w:val="20"/>
                <w:szCs w:val="20"/>
              </w:rPr>
              <w:t xml:space="preserve">cost, </w:t>
            </w:r>
            <w:r w:rsidRPr="00116A68">
              <w:rPr>
                <w:sz w:val="20"/>
                <w:szCs w:val="20"/>
              </w:rPr>
              <w:t xml:space="preserve">and layouts produced at sites with larger variation in </w:t>
            </w:r>
            <w:r>
              <w:rPr>
                <w:sz w:val="20"/>
                <w:szCs w:val="20"/>
              </w:rPr>
              <w:t>cost</w:t>
            </w:r>
            <w:r w:rsidRPr="00116A68">
              <w:rPr>
                <w:sz w:val="20"/>
                <w:szCs w:val="20"/>
              </w:rPr>
              <w:t xml:space="preserve"> will span a larger range of </w:t>
            </w:r>
            <w:r>
              <w:rPr>
                <w:sz w:val="20"/>
                <w:szCs w:val="20"/>
              </w:rPr>
              <w:t>costs</w:t>
            </w:r>
          </w:p>
        </w:tc>
      </w:tr>
      <w:tr w:rsidR="00D350AC" w:rsidRPr="0018666E" w:rsidTr="00076D7A">
        <w:trPr>
          <w:cnfStyle w:val="000000100000"/>
          <w:trHeight w:val="288"/>
        </w:trPr>
        <w:tc>
          <w:tcPr>
            <w:cnfStyle w:val="001000000000"/>
            <w:tcW w:w="839" w:type="pct"/>
            <w:tcBorders>
              <w:top w:val="single" w:sz="4" w:space="0" w:color="BFBFBF" w:themeColor="background1" w:themeShade="BF"/>
              <w:bottom w:val="single" w:sz="4" w:space="0" w:color="BFBFBF" w:themeColor="background1" w:themeShade="BF"/>
              <w:right w:val="none" w:sz="0" w:space="0" w:color="auto"/>
            </w:tcBorders>
            <w:noWrap/>
          </w:tcPr>
          <w:p w:rsidR="00281300" w:rsidRDefault="00281300" w:rsidP="00A460EC">
            <w:pPr>
              <w:rPr>
                <w:sz w:val="22"/>
                <w:szCs w:val="22"/>
              </w:rPr>
            </w:pPr>
            <w:r>
              <w:rPr>
                <w:sz w:val="22"/>
                <w:szCs w:val="22"/>
              </w:rPr>
              <w:t>pipe density</w:t>
            </w:r>
          </w:p>
        </w:tc>
        <w:tc>
          <w:tcPr>
            <w:tcW w:w="1101" w:type="pct"/>
            <w:tcBorders>
              <w:top w:val="single" w:sz="4" w:space="0" w:color="BFBFBF" w:themeColor="background1" w:themeShade="BF"/>
              <w:bottom w:val="single" w:sz="4" w:space="0" w:color="BFBFBF" w:themeColor="background1" w:themeShade="BF"/>
            </w:tcBorders>
            <w:noWrap/>
          </w:tcPr>
          <w:p w:rsidR="00281300" w:rsidRDefault="00281300" w:rsidP="004D0467">
            <w:pPr>
              <w:cnfStyle w:val="000000100000"/>
              <w:rPr>
                <w:sz w:val="22"/>
                <w:szCs w:val="22"/>
              </w:rPr>
            </w:pPr>
            <w:r w:rsidRPr="00116A68">
              <w:rPr>
                <w:sz w:val="22"/>
                <w:szCs w:val="22"/>
              </w:rPr>
              <w:t>log</w:t>
            </w:r>
            <w:r w:rsidRPr="00116A68">
              <w:rPr>
                <w:sz w:val="22"/>
                <w:szCs w:val="22"/>
                <w:vertAlign w:val="subscript"/>
              </w:rPr>
              <w:t>10</w:t>
            </w:r>
            <w:r w:rsidRPr="00116A68">
              <w:rPr>
                <w:sz w:val="22"/>
                <w:szCs w:val="22"/>
              </w:rPr>
              <w:t>(</w:t>
            </w:r>
            <w:proofErr w:type="spellStart"/>
            <w:r w:rsidRPr="00116A68">
              <w:rPr>
                <w:sz w:val="22"/>
                <w:szCs w:val="22"/>
              </w:rPr>
              <w:t>elast</w:t>
            </w:r>
            <w:proofErr w:type="spellEnd"/>
            <w:r w:rsidRPr="00116A68">
              <w:rPr>
                <w:sz w:val="22"/>
                <w:szCs w:val="22"/>
              </w:rPr>
              <w:t>(impact, cost))</w:t>
            </w:r>
          </w:p>
        </w:tc>
        <w:tc>
          <w:tcPr>
            <w:tcW w:w="3060" w:type="pct"/>
            <w:gridSpan w:val="5"/>
            <w:tcBorders>
              <w:top w:val="single" w:sz="4" w:space="0" w:color="BFBFBF" w:themeColor="background1" w:themeShade="BF"/>
              <w:bottom w:val="single" w:sz="4" w:space="0" w:color="BFBFBF" w:themeColor="background1" w:themeShade="BF"/>
            </w:tcBorders>
          </w:tcPr>
          <w:p w:rsidR="00281300" w:rsidRDefault="00281300" w:rsidP="00281300">
            <w:pPr>
              <w:cnfStyle w:val="000000100000"/>
              <w:rPr>
                <w:sz w:val="20"/>
                <w:szCs w:val="20"/>
              </w:rPr>
            </w:pPr>
            <w:r>
              <w:rPr>
                <w:sz w:val="20"/>
                <w:szCs w:val="20"/>
              </w:rPr>
              <w:t>variations on layouts are constrained by connection points for gathering pipelines, so sites with more pipeline connection options will be able to reduce impacts cheaply</w:t>
            </w:r>
          </w:p>
        </w:tc>
      </w:tr>
      <w:tr w:rsidR="00D350AC" w:rsidRPr="0018666E" w:rsidTr="00076D7A">
        <w:trPr>
          <w:trHeight w:val="288"/>
        </w:trPr>
        <w:tc>
          <w:tcPr>
            <w:cnfStyle w:val="001000000000"/>
            <w:tcW w:w="839" w:type="pct"/>
            <w:tcBorders>
              <w:top w:val="single" w:sz="4" w:space="0" w:color="BFBFBF" w:themeColor="background1" w:themeShade="BF"/>
              <w:bottom w:val="single" w:sz="4" w:space="0" w:color="BFBFBF" w:themeColor="background1" w:themeShade="BF"/>
              <w:right w:val="none" w:sz="0" w:space="0" w:color="auto"/>
            </w:tcBorders>
            <w:noWrap/>
          </w:tcPr>
          <w:p w:rsidR="00F050BD" w:rsidRDefault="00F050BD" w:rsidP="00A460EC">
            <w:pPr>
              <w:rPr>
                <w:sz w:val="22"/>
                <w:szCs w:val="22"/>
              </w:rPr>
            </w:pPr>
            <w:r>
              <w:rPr>
                <w:sz w:val="22"/>
                <w:szCs w:val="22"/>
              </w:rPr>
              <w:t>road density</w:t>
            </w:r>
          </w:p>
        </w:tc>
        <w:tc>
          <w:tcPr>
            <w:tcW w:w="1101" w:type="pct"/>
            <w:tcBorders>
              <w:top w:val="single" w:sz="4" w:space="0" w:color="BFBFBF" w:themeColor="background1" w:themeShade="BF"/>
              <w:bottom w:val="single" w:sz="4" w:space="0" w:color="BFBFBF" w:themeColor="background1" w:themeShade="BF"/>
            </w:tcBorders>
            <w:noWrap/>
          </w:tcPr>
          <w:p w:rsidR="00F050BD" w:rsidRDefault="00F050BD" w:rsidP="004D0467">
            <w:pPr>
              <w:cnfStyle w:val="000000000000"/>
              <w:rPr>
                <w:sz w:val="22"/>
                <w:szCs w:val="22"/>
              </w:rPr>
            </w:pPr>
            <w:r w:rsidRPr="00116A68">
              <w:rPr>
                <w:sz w:val="22"/>
                <w:szCs w:val="22"/>
              </w:rPr>
              <w:t>log</w:t>
            </w:r>
            <w:r w:rsidRPr="00116A68">
              <w:rPr>
                <w:sz w:val="22"/>
                <w:szCs w:val="22"/>
                <w:vertAlign w:val="subscript"/>
              </w:rPr>
              <w:t>10</w:t>
            </w:r>
            <w:r w:rsidRPr="00116A68">
              <w:rPr>
                <w:sz w:val="22"/>
                <w:szCs w:val="22"/>
              </w:rPr>
              <w:t>(</w:t>
            </w:r>
            <w:proofErr w:type="spellStart"/>
            <w:r w:rsidRPr="00116A68">
              <w:rPr>
                <w:sz w:val="22"/>
                <w:szCs w:val="22"/>
              </w:rPr>
              <w:t>elast</w:t>
            </w:r>
            <w:proofErr w:type="spellEnd"/>
            <w:r w:rsidRPr="00116A68">
              <w:rPr>
                <w:sz w:val="22"/>
                <w:szCs w:val="22"/>
              </w:rPr>
              <w:t>(impact, cost))</w:t>
            </w:r>
          </w:p>
        </w:tc>
        <w:tc>
          <w:tcPr>
            <w:tcW w:w="3060" w:type="pct"/>
            <w:gridSpan w:val="5"/>
            <w:tcBorders>
              <w:top w:val="single" w:sz="4" w:space="0" w:color="BFBFBF" w:themeColor="background1" w:themeShade="BF"/>
              <w:bottom w:val="single" w:sz="4" w:space="0" w:color="BFBFBF" w:themeColor="background1" w:themeShade="BF"/>
            </w:tcBorders>
          </w:tcPr>
          <w:p w:rsidR="00F050BD" w:rsidRDefault="00F050BD" w:rsidP="00F050BD">
            <w:pPr>
              <w:cnfStyle w:val="000000000000"/>
              <w:rPr>
                <w:sz w:val="20"/>
                <w:szCs w:val="20"/>
              </w:rPr>
            </w:pPr>
            <w:r>
              <w:rPr>
                <w:sz w:val="20"/>
                <w:szCs w:val="20"/>
              </w:rPr>
              <w:t>variations on layouts are constrained by connection points for access roads, so sites with more road connection options will be able to reduce impacts cheaply</w:t>
            </w:r>
          </w:p>
        </w:tc>
      </w:tr>
      <w:tr w:rsidR="00D350AC" w:rsidRPr="0018666E" w:rsidTr="00076D7A">
        <w:trPr>
          <w:cnfStyle w:val="000000100000"/>
          <w:trHeight w:val="288"/>
        </w:trPr>
        <w:tc>
          <w:tcPr>
            <w:cnfStyle w:val="001000000000"/>
            <w:tcW w:w="839" w:type="pct"/>
            <w:tcBorders>
              <w:top w:val="single" w:sz="4" w:space="0" w:color="BFBFBF" w:themeColor="background1" w:themeShade="BF"/>
              <w:bottom w:val="single" w:sz="4" w:space="0" w:color="BFBFBF" w:themeColor="background1" w:themeShade="BF"/>
              <w:right w:val="none" w:sz="0" w:space="0" w:color="auto"/>
            </w:tcBorders>
            <w:noWrap/>
          </w:tcPr>
          <w:p w:rsidR="00305D5B" w:rsidRPr="00A460EC" w:rsidRDefault="00305D5B" w:rsidP="004D0467">
            <w:pPr>
              <w:rPr>
                <w:sz w:val="22"/>
                <w:szCs w:val="22"/>
              </w:rPr>
            </w:pPr>
            <w:r>
              <w:rPr>
                <w:sz w:val="22"/>
                <w:szCs w:val="22"/>
              </w:rPr>
              <w:t>log</w:t>
            </w:r>
            <w:r>
              <w:rPr>
                <w:sz w:val="22"/>
                <w:szCs w:val="22"/>
                <w:vertAlign w:val="subscript"/>
              </w:rPr>
              <w:t>10</w:t>
            </w:r>
            <w:r>
              <w:rPr>
                <w:sz w:val="22"/>
                <w:szCs w:val="22"/>
              </w:rPr>
              <w:t>(# pads)</w:t>
            </w:r>
          </w:p>
        </w:tc>
        <w:tc>
          <w:tcPr>
            <w:tcW w:w="1101" w:type="pct"/>
            <w:tcBorders>
              <w:top w:val="single" w:sz="4" w:space="0" w:color="BFBFBF" w:themeColor="background1" w:themeShade="BF"/>
              <w:bottom w:val="single" w:sz="4" w:space="0" w:color="BFBFBF" w:themeColor="background1" w:themeShade="BF"/>
            </w:tcBorders>
            <w:noWrap/>
          </w:tcPr>
          <w:p w:rsidR="00305D5B" w:rsidRDefault="00305D5B" w:rsidP="004D0467">
            <w:pPr>
              <w:cnfStyle w:val="000000100000"/>
              <w:rPr>
                <w:sz w:val="22"/>
                <w:szCs w:val="22"/>
              </w:rPr>
            </w:pPr>
            <w:r w:rsidRPr="00116A68">
              <w:rPr>
                <w:sz w:val="22"/>
                <w:szCs w:val="22"/>
              </w:rPr>
              <w:t>log</w:t>
            </w:r>
            <w:r w:rsidRPr="00116A68">
              <w:rPr>
                <w:sz w:val="22"/>
                <w:szCs w:val="22"/>
                <w:vertAlign w:val="subscript"/>
              </w:rPr>
              <w:t>10</w:t>
            </w:r>
            <w:r w:rsidRPr="00116A68">
              <w:rPr>
                <w:sz w:val="22"/>
                <w:szCs w:val="22"/>
              </w:rPr>
              <w:t>(</w:t>
            </w:r>
            <w:proofErr w:type="spellStart"/>
            <w:r w:rsidRPr="00116A68">
              <w:rPr>
                <w:sz w:val="22"/>
                <w:szCs w:val="22"/>
              </w:rPr>
              <w:t>elast</w:t>
            </w:r>
            <w:proofErr w:type="spellEnd"/>
            <w:r w:rsidRPr="00116A68">
              <w:rPr>
                <w:sz w:val="22"/>
                <w:szCs w:val="22"/>
              </w:rPr>
              <w:t>(impact, cost))</w:t>
            </w:r>
          </w:p>
        </w:tc>
        <w:tc>
          <w:tcPr>
            <w:tcW w:w="3060" w:type="pct"/>
            <w:gridSpan w:val="5"/>
            <w:tcBorders>
              <w:top w:val="single" w:sz="4" w:space="0" w:color="BFBFBF" w:themeColor="background1" w:themeShade="BF"/>
              <w:bottom w:val="single" w:sz="4" w:space="0" w:color="BFBFBF" w:themeColor="background1" w:themeShade="BF"/>
            </w:tcBorders>
          </w:tcPr>
          <w:p w:rsidR="00305D5B" w:rsidRDefault="00305D5B" w:rsidP="004D0467">
            <w:pPr>
              <w:cnfStyle w:val="000000100000"/>
              <w:rPr>
                <w:sz w:val="20"/>
                <w:szCs w:val="20"/>
              </w:rPr>
            </w:pPr>
            <w:r>
              <w:rPr>
                <w:sz w:val="20"/>
                <w:szCs w:val="20"/>
              </w:rPr>
              <w:t>larger sites (that support more pads) will have a larger number of feasible layouts that can span a larger range of impacts and do so at lower costs</w:t>
            </w:r>
          </w:p>
        </w:tc>
      </w:tr>
      <w:tr w:rsidR="00D350AC" w:rsidRPr="0018666E" w:rsidTr="00076D7A">
        <w:trPr>
          <w:trHeight w:val="288"/>
        </w:trPr>
        <w:tc>
          <w:tcPr>
            <w:cnfStyle w:val="001000000000"/>
            <w:tcW w:w="839" w:type="pct"/>
            <w:tcBorders>
              <w:top w:val="single" w:sz="4" w:space="0" w:color="BFBFBF" w:themeColor="background1" w:themeShade="BF"/>
              <w:bottom w:val="single" w:sz="4" w:space="0" w:color="BFBFBF" w:themeColor="background1" w:themeShade="BF"/>
              <w:right w:val="none" w:sz="0" w:space="0" w:color="auto"/>
            </w:tcBorders>
            <w:noWrap/>
          </w:tcPr>
          <w:p w:rsidR="00305D5B" w:rsidRPr="006A4F48" w:rsidRDefault="00305D5B" w:rsidP="004D0467">
            <w:pPr>
              <w:rPr>
                <w:sz w:val="22"/>
                <w:szCs w:val="22"/>
              </w:rPr>
            </w:pPr>
            <w:r>
              <w:rPr>
                <w:sz w:val="22"/>
                <w:szCs w:val="22"/>
              </w:rPr>
              <w:t>log</w:t>
            </w:r>
            <w:r>
              <w:rPr>
                <w:sz w:val="22"/>
                <w:szCs w:val="22"/>
                <w:vertAlign w:val="subscript"/>
              </w:rPr>
              <w:t>10</w:t>
            </w:r>
            <w:r>
              <w:rPr>
                <w:sz w:val="22"/>
                <w:szCs w:val="22"/>
              </w:rPr>
              <w:t>(area)</w:t>
            </w:r>
          </w:p>
        </w:tc>
        <w:tc>
          <w:tcPr>
            <w:tcW w:w="1101" w:type="pct"/>
            <w:tcBorders>
              <w:top w:val="single" w:sz="4" w:space="0" w:color="BFBFBF" w:themeColor="background1" w:themeShade="BF"/>
              <w:bottom w:val="single" w:sz="4" w:space="0" w:color="BFBFBF" w:themeColor="background1" w:themeShade="BF"/>
            </w:tcBorders>
            <w:noWrap/>
          </w:tcPr>
          <w:p w:rsidR="00305D5B" w:rsidRDefault="00305D5B" w:rsidP="004D0467">
            <w:pPr>
              <w:cnfStyle w:val="000000000000"/>
              <w:rPr>
                <w:sz w:val="22"/>
                <w:szCs w:val="22"/>
              </w:rPr>
            </w:pPr>
            <w:r w:rsidRPr="00116A68">
              <w:rPr>
                <w:sz w:val="22"/>
                <w:szCs w:val="22"/>
              </w:rPr>
              <w:t>log</w:t>
            </w:r>
            <w:r w:rsidRPr="00116A68">
              <w:rPr>
                <w:sz w:val="22"/>
                <w:szCs w:val="22"/>
                <w:vertAlign w:val="subscript"/>
              </w:rPr>
              <w:t>10</w:t>
            </w:r>
            <w:r w:rsidRPr="00116A68">
              <w:rPr>
                <w:sz w:val="22"/>
                <w:szCs w:val="22"/>
              </w:rPr>
              <w:t>(</w:t>
            </w:r>
            <w:proofErr w:type="spellStart"/>
            <w:r w:rsidRPr="00116A68">
              <w:rPr>
                <w:sz w:val="22"/>
                <w:szCs w:val="22"/>
              </w:rPr>
              <w:t>elast</w:t>
            </w:r>
            <w:proofErr w:type="spellEnd"/>
            <w:r w:rsidRPr="00116A68">
              <w:rPr>
                <w:sz w:val="22"/>
                <w:szCs w:val="22"/>
              </w:rPr>
              <w:t>(impact, cost))</w:t>
            </w:r>
          </w:p>
        </w:tc>
        <w:tc>
          <w:tcPr>
            <w:tcW w:w="3060" w:type="pct"/>
            <w:gridSpan w:val="5"/>
            <w:tcBorders>
              <w:top w:val="single" w:sz="4" w:space="0" w:color="BFBFBF" w:themeColor="background1" w:themeShade="BF"/>
              <w:bottom w:val="single" w:sz="4" w:space="0" w:color="BFBFBF" w:themeColor="background1" w:themeShade="BF"/>
            </w:tcBorders>
          </w:tcPr>
          <w:p w:rsidR="00305D5B" w:rsidRDefault="00305D5B" w:rsidP="00305D5B">
            <w:pPr>
              <w:cnfStyle w:val="000000000000"/>
              <w:rPr>
                <w:sz w:val="20"/>
                <w:szCs w:val="20"/>
              </w:rPr>
            </w:pPr>
            <w:r>
              <w:rPr>
                <w:sz w:val="20"/>
                <w:szCs w:val="20"/>
              </w:rPr>
              <w:t>larger sites will have a larger number of feasible layouts that can span a larger range of impacts and do so at lower costs</w:t>
            </w:r>
          </w:p>
        </w:tc>
      </w:tr>
    </w:tbl>
    <w:p w:rsidR="00FF1891" w:rsidRDefault="00FF1891" w:rsidP="00C30D4F">
      <w:pPr>
        <w:keepNext/>
        <w:sectPr w:rsidR="00FF1891" w:rsidSect="002115B4">
          <w:pgSz w:w="15840" w:h="12240" w:orient="landscape" w:code="1"/>
          <w:pgMar w:top="1440" w:right="1800" w:bottom="1440" w:left="1800" w:header="720" w:footer="1440" w:gutter="0"/>
          <w:cols w:space="720"/>
          <w:noEndnote/>
          <w:docGrid w:linePitch="360"/>
        </w:sectPr>
      </w:pPr>
    </w:p>
    <w:bookmarkStart w:id="182" w:name="_Ref417550101"/>
    <w:p w:rsidR="008B4769" w:rsidRDefault="00F01773" w:rsidP="008B4769">
      <w:pPr>
        <w:sectPr w:rsidR="008B4769" w:rsidSect="002115B4">
          <w:pgSz w:w="12240" w:h="15840" w:code="1"/>
          <w:pgMar w:top="1440" w:right="1800" w:bottom="1440" w:left="1800" w:header="720" w:footer="1440" w:gutter="0"/>
          <w:cols w:space="720"/>
          <w:noEndnote/>
          <w:docGrid w:linePitch="360"/>
        </w:sectPr>
      </w:pPr>
      <w:r>
        <w:pict>
          <v:shape id="_x0000_s1090" type="#_x0000_t202" style="width:6in;height:459pt;mso-position-horizontal-relative:char;mso-position-vertical-relative:line" stroked="f">
            <v:textbox style="mso-next-textbox:#_x0000_s1090">
              <w:txbxContent>
                <w:p w:rsidR="006A45E8" w:rsidRDefault="006A45E8" w:rsidP="00FD70FB">
                  <w:pPr>
                    <w:jc w:val="center"/>
                  </w:pPr>
                  <w:r w:rsidRPr="00FD70FB">
                    <w:rPr>
                      <w:noProof/>
                    </w:rPr>
                    <w:drawing>
                      <wp:inline distT="0" distB="0" distL="0" distR="0">
                        <wp:extent cx="5029200" cy="4624726"/>
                        <wp:effectExtent l="19050" t="0" r="0" b="0"/>
                        <wp:docPr id="280" name="Picture 4" descr="FigS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_2.png"/>
                                <pic:cNvPicPr/>
                              </pic:nvPicPr>
                              <pic:blipFill>
                                <a:blip r:embed="rId71"/>
                                <a:srcRect l="5546" r="5604"/>
                                <a:stretch>
                                  <a:fillRect/>
                                </a:stretch>
                              </pic:blipFill>
                              <pic:spPr>
                                <a:xfrm>
                                  <a:off x="0" y="0"/>
                                  <a:ext cx="5029200" cy="4624726"/>
                                </a:xfrm>
                                <a:prstGeom prst="rect">
                                  <a:avLst/>
                                </a:prstGeom>
                              </pic:spPr>
                            </pic:pic>
                          </a:graphicData>
                        </a:graphic>
                      </wp:inline>
                    </w:drawing>
                  </w:r>
                </w:p>
                <w:p w:rsidR="006A45E8" w:rsidRPr="002B2090" w:rsidRDefault="006A45E8" w:rsidP="00D47860">
                  <w:pPr>
                    <w:pStyle w:val="Caption"/>
                    <w:rPr>
                      <w:vanish/>
                      <w:lang w:val="en-GB"/>
                      <w:specVanish/>
                    </w:rPr>
                  </w:pPr>
                  <w:bookmarkStart w:id="183" w:name="_Ref417548106"/>
                  <w:bookmarkStart w:id="184" w:name="_Toc421352927"/>
                  <w:bookmarkStart w:id="185" w:name="_Toc417647085"/>
                  <w:proofErr w:type="gramStart"/>
                  <w:r w:rsidRPr="006F22B8">
                    <w:t xml:space="preserve">Fig. S </w:t>
                  </w:r>
                  <w:fldSimple w:instr=" STYLEREF 1 \s ">
                    <w:r>
                      <w:rPr>
                        <w:noProof/>
                      </w:rPr>
                      <w:t>3</w:t>
                    </w:r>
                  </w:fldSimple>
                  <w:r>
                    <w:t>.</w:t>
                  </w:r>
                  <w:proofErr w:type="gramEnd"/>
                  <w:r>
                    <w:fldChar w:fldCharType="begin"/>
                  </w:r>
                  <w:r>
                    <w:instrText xml:space="preserve"> SEQ Fig._S \* ARABIC \s 1 </w:instrText>
                  </w:r>
                  <w:r>
                    <w:fldChar w:fldCharType="separate"/>
                  </w:r>
                  <w:r>
                    <w:rPr>
                      <w:noProof/>
                    </w:rPr>
                    <w:t>2</w:t>
                  </w:r>
                  <w:r>
                    <w:fldChar w:fldCharType="end"/>
                  </w:r>
                  <w:bookmarkEnd w:id="183"/>
                  <w:r w:rsidRPr="006F22B8">
                    <w:t xml:space="preserve">. Illustrating </w:t>
                  </w:r>
                  <w:r>
                    <w:t>uneven sampling</w:t>
                  </w:r>
                  <w:r w:rsidRPr="006F22B8">
                    <w:t xml:space="preserve"> present in regressions of the variation in the additive impact surface</w:t>
                  </w:r>
                  <w:bookmarkEnd w:id="184"/>
                </w:p>
                <w:p w:rsidR="006A45E8" w:rsidRPr="006F22B8" w:rsidRDefault="006A45E8" w:rsidP="006F22B8">
                  <w:pPr>
                    <w:pStyle w:val="Caption"/>
                  </w:pPr>
                  <w:r w:rsidRPr="006F22B8">
                    <w:t xml:space="preserve"> </w:t>
                  </w:r>
                  <w:proofErr w:type="gramStart"/>
                  <w:r w:rsidRPr="006F22B8">
                    <w:t>with</w:t>
                  </w:r>
                  <w:proofErr w:type="gramEnd"/>
                  <w:r w:rsidRPr="006F22B8">
                    <w:t xml:space="preserve"> a) maximum impact reduction, and b) the impact elasticity of cost. Blue lines show regression lines for full dataset, while red lines show regression lines when splitting data into two parts to </w:t>
                  </w:r>
                  <w:r>
                    <w:t xml:space="preserve">explore effects of treating data in two separate parts. Two-part regressions are not significant. </w:t>
                  </w:r>
                  <w:r w:rsidRPr="006F22B8">
                    <w:t>Residuals on right are for the full dataset.</w:t>
                  </w:r>
                  <w:bookmarkEnd w:id="185"/>
                </w:p>
                <w:p w:rsidR="006A45E8" w:rsidRDefault="006A45E8" w:rsidP="00FD70FB"/>
              </w:txbxContent>
            </v:textbox>
            <w10:wrap type="none" anchorx="margin" anchory="margin"/>
            <w10:anchorlock/>
          </v:shape>
        </w:pict>
      </w:r>
    </w:p>
    <w:p w:rsidR="00C130A2" w:rsidRPr="00993CE1" w:rsidRDefault="00C130A2" w:rsidP="00C130A2">
      <w:proofErr w:type="gramStart"/>
      <w:r>
        <w:lastRenderedPageBreak/>
        <w:t>chosen</w:t>
      </w:r>
      <w:proofErr w:type="gramEnd"/>
      <w:r>
        <w:t xml:space="preserve"> based on their likelihood to occur, their magnitude when they do occur, and their priority for Pennsylvania.</w:t>
      </w:r>
    </w:p>
    <w:p w:rsidR="00C130A2" w:rsidRDefault="00C130A2" w:rsidP="00C130A2">
      <w:pPr>
        <w:pStyle w:val="Heading4"/>
      </w:pPr>
      <w:proofErr w:type="gramStart"/>
      <w:r>
        <w:t>forest</w:t>
      </w:r>
      <w:proofErr w:type="gramEnd"/>
      <w:r>
        <w:t xml:space="preserve"> </w:t>
      </w:r>
      <w:proofErr w:type="spellStart"/>
      <w:r>
        <w:t>frag</w:t>
      </w:r>
      <w:proofErr w:type="spellEnd"/>
    </w:p>
    <w:p w:rsidR="00C130A2" w:rsidRDefault="00C130A2" w:rsidP="00C130A2">
      <w:r>
        <w:t xml:space="preserve">This is a measure of forest fragmentation, specifically edge-to-area ratio. We chose this metric because of the high potential for forest fragmentation caused primarily by new pipelines and access roads. We calculate </w:t>
      </w:r>
      <w:r>
        <w:rPr>
          <w:i/>
        </w:rPr>
        <w:t xml:space="preserve">forest </w:t>
      </w:r>
      <w:proofErr w:type="spellStart"/>
      <w:r>
        <w:rPr>
          <w:i/>
        </w:rPr>
        <w:t>frag</w:t>
      </w:r>
      <w:proofErr w:type="spellEnd"/>
      <w:r>
        <w:t xml:space="preserve"> as follows:</w:t>
      </w:r>
    </w:p>
    <w:p w:rsidR="00C130A2" w:rsidRDefault="00C130A2" w:rsidP="00C130A2">
      <w:pPr>
        <w:pStyle w:val="ListParagraph"/>
        <w:numPr>
          <w:ilvl w:val="0"/>
          <w:numId w:val="8"/>
        </w:numPr>
        <w:spacing w:before="200" w:after="200" w:line="276" w:lineRule="auto"/>
      </w:pPr>
      <w:r>
        <w:t xml:space="preserve">forested areas overlain by proposed infrastructure are removed from the </w:t>
      </w:r>
      <w:r>
        <w:rPr>
          <w:i/>
        </w:rPr>
        <w:t>forest</w:t>
      </w:r>
      <w:r>
        <w:t xml:space="preserve"> raster (</w:t>
      </w:r>
      <w:r w:rsidR="00F01773">
        <w:fldChar w:fldCharType="begin"/>
      </w:r>
      <w:r>
        <w:instrText xml:space="preserve"> REF _Ref417549202 \h </w:instrText>
      </w:r>
      <w:r w:rsidR="00F01773">
        <w:fldChar w:fldCharType="separate"/>
      </w:r>
      <w:r w:rsidR="00867AA7">
        <w:t xml:space="preserve">Table S </w:t>
      </w:r>
      <w:r w:rsidR="00867AA7">
        <w:rPr>
          <w:noProof/>
        </w:rPr>
        <w:t>3</w:t>
      </w:r>
      <w:r w:rsidR="00867AA7">
        <w:t>.</w:t>
      </w:r>
      <w:r w:rsidR="00867AA7">
        <w:rPr>
          <w:noProof/>
        </w:rPr>
        <w:t>2</w:t>
      </w:r>
      <w:r w:rsidR="00F01773">
        <w:fldChar w:fldCharType="end"/>
      </w:r>
      <w:r>
        <w:t>)</w:t>
      </w:r>
      <w:r w:rsidRPr="00C130A2">
        <w:t xml:space="preserve"> </w:t>
      </w:r>
      <w:r>
        <w:t>the number of pixel edges joining a forested area and non-forested area are tallied</w:t>
      </w:r>
    </w:p>
    <w:p w:rsidR="00C130A2" w:rsidRDefault="00C130A2" w:rsidP="00C130A2">
      <w:pPr>
        <w:pStyle w:val="ListParagraph"/>
        <w:numPr>
          <w:ilvl w:val="0"/>
          <w:numId w:val="8"/>
        </w:numPr>
        <w:spacing w:before="200" w:after="200" w:line="276" w:lineRule="auto"/>
      </w:pPr>
      <w:r>
        <w:t>the total number of forested pixels are tallied</w:t>
      </w:r>
    </w:p>
    <w:p w:rsidR="00C130A2" w:rsidRDefault="00C130A2" w:rsidP="00C130A2">
      <w:pPr>
        <w:pStyle w:val="ListParagraph"/>
        <w:numPr>
          <w:ilvl w:val="0"/>
          <w:numId w:val="8"/>
        </w:numPr>
        <w:spacing w:before="200" w:after="200" w:line="276" w:lineRule="auto"/>
      </w:pPr>
      <w:r>
        <w:rPr>
          <w:i/>
        </w:rPr>
        <w:t xml:space="preserve">forest </w:t>
      </w:r>
      <w:proofErr w:type="spellStart"/>
      <w:r>
        <w:rPr>
          <w:i/>
        </w:rPr>
        <w:t>frag</w:t>
      </w:r>
      <w:proofErr w:type="spellEnd"/>
      <w:r>
        <w:t xml:space="preserve"> = [step 2] / [step 3]</w:t>
      </w:r>
    </w:p>
    <w:p w:rsidR="00C130A2" w:rsidRDefault="00C130A2" w:rsidP="00C130A2">
      <w:pPr>
        <w:pStyle w:val="Heading4"/>
      </w:pPr>
      <w:proofErr w:type="gramStart"/>
      <w:r>
        <w:t>forest</w:t>
      </w:r>
      <w:proofErr w:type="gramEnd"/>
      <w:r>
        <w:t xml:space="preserve"> loss</w:t>
      </w:r>
    </w:p>
    <w:p w:rsidR="00C130A2" w:rsidRPr="00A020EA" w:rsidRDefault="00C130A2" w:rsidP="00C130A2">
      <w:r>
        <w:t xml:space="preserve">This is a measure of direct forest habitat loss from clearing forested areas. We chose this metric because of the high potential for forest loss caused by surface development. We calculate </w:t>
      </w:r>
      <w:r>
        <w:rPr>
          <w:i/>
        </w:rPr>
        <w:t>forest loss</w:t>
      </w:r>
      <w:r>
        <w:t xml:space="preserve"> as the total number of forested cells in the </w:t>
      </w:r>
      <w:r>
        <w:rPr>
          <w:i/>
        </w:rPr>
        <w:t>forest</w:t>
      </w:r>
      <w:r>
        <w:t xml:space="preserve"> raster overlain by proposed infrastructure (</w:t>
      </w:r>
      <w:r w:rsidR="00F01773">
        <w:fldChar w:fldCharType="begin"/>
      </w:r>
      <w:r>
        <w:instrText xml:space="preserve"> REF _Ref417549202 \h </w:instrText>
      </w:r>
      <w:r w:rsidR="00F01773">
        <w:fldChar w:fldCharType="separate"/>
      </w:r>
      <w:r w:rsidR="00867AA7">
        <w:t xml:space="preserve">Table S </w:t>
      </w:r>
      <w:r w:rsidR="00867AA7">
        <w:rPr>
          <w:noProof/>
        </w:rPr>
        <w:t>3</w:t>
      </w:r>
      <w:r w:rsidR="00867AA7">
        <w:t>.</w:t>
      </w:r>
      <w:r w:rsidR="00867AA7">
        <w:rPr>
          <w:noProof/>
        </w:rPr>
        <w:t>2</w:t>
      </w:r>
      <w:r w:rsidR="00F01773">
        <w:fldChar w:fldCharType="end"/>
      </w:r>
      <w:r>
        <w:t>). This value is converted into hectares for statistical analyses and reporting.</w:t>
      </w:r>
    </w:p>
    <w:p w:rsidR="00C130A2" w:rsidRDefault="00C130A2" w:rsidP="00C130A2">
      <w:pPr>
        <w:pStyle w:val="Heading4"/>
      </w:pPr>
      <w:bookmarkStart w:id="186" w:name="_Ref417550202"/>
      <w:proofErr w:type="gramStart"/>
      <w:r>
        <w:t>sediment</w:t>
      </w:r>
      <w:proofErr w:type="gramEnd"/>
      <w:r>
        <w:t xml:space="preserve"> yield</w:t>
      </w:r>
      <w:bookmarkEnd w:id="186"/>
    </w:p>
    <w:p w:rsidR="00C130A2" w:rsidRPr="00F007D8" w:rsidRDefault="00C130A2" w:rsidP="00C130A2">
      <w:r>
        <w:t xml:space="preserve">This is a measure of potential sediment mobilization and load on streams caused by disturbing soil during construction. We chose this metric because of the high biodiversity value of streams in Pennsylvania and their sensitivity to changes in quality. This sediment yield rasters differ between well pads and linear infrastructure. For linear infrastructure, sediment yield in a pixel is calculated as the number of metric tons per year of sediment </w:t>
      </w:r>
      <w:r w:rsidRPr="00294324">
        <w:t xml:space="preserve">resulting from </w:t>
      </w:r>
      <w:r>
        <w:t>replacing existing land cover with a well pad</w:t>
      </w:r>
      <w:r w:rsidRPr="00294324">
        <w:t xml:space="preserve"> for each individual pixel</w:t>
      </w:r>
      <w:r>
        <w:t>. This was modeled using the methodology described in Fernandez et al., 2003.</w:t>
      </w:r>
      <w:r>
        <w:rPr>
          <w:rStyle w:val="FootnoteReference"/>
        </w:rPr>
        <w:footnoteReference w:id="1"/>
      </w:r>
      <w:r>
        <w:t xml:space="preserve"> For well pads, the sediment yield in a pixel </w:t>
      </w:r>
      <w:r w:rsidRPr="00294324">
        <w:t xml:space="preserve">is </w:t>
      </w:r>
      <w:r>
        <w:t>the sum of the previous raster’s pixels covered by a well pad centered on that pixel.</w:t>
      </w:r>
    </w:p>
    <w:p w:rsidR="00C130A2" w:rsidRDefault="00C130A2" w:rsidP="00C130A2">
      <w:pPr>
        <w:ind w:firstLine="720"/>
      </w:pPr>
    </w:p>
    <w:p w:rsidR="00087B09" w:rsidRDefault="00087B09" w:rsidP="008B4769">
      <w:pPr>
        <w:pStyle w:val="ListParagraph"/>
        <w:numPr>
          <w:ilvl w:val="0"/>
          <w:numId w:val="8"/>
        </w:numPr>
        <w:spacing w:before="200" w:after="200" w:line="276" w:lineRule="auto"/>
        <w:sectPr w:rsidR="00087B09" w:rsidSect="002115B4">
          <w:pgSz w:w="12240" w:h="15840" w:code="1"/>
          <w:pgMar w:top="1440" w:right="1800" w:bottom="1440" w:left="1800" w:header="720" w:footer="1440" w:gutter="0"/>
          <w:cols w:space="720"/>
          <w:noEndnote/>
          <w:docGrid w:linePitch="360"/>
        </w:sectPr>
      </w:pPr>
    </w:p>
    <w:p w:rsidR="00CD2B00" w:rsidRDefault="00CD2B00" w:rsidP="008B4769">
      <w:pPr>
        <w:pStyle w:val="Heading4"/>
        <w:numPr>
          <w:ilvl w:val="0"/>
          <w:numId w:val="0"/>
        </w:numPr>
      </w:pPr>
    </w:p>
    <w:bookmarkEnd w:id="182"/>
    <w:p w:rsidR="00087B09" w:rsidRDefault="00F01773" w:rsidP="008B4769">
      <w:pPr>
        <w:keepNext/>
        <w:sectPr w:rsidR="00087B09" w:rsidSect="002115B4">
          <w:pgSz w:w="12240" w:h="15840" w:code="1"/>
          <w:pgMar w:top="1440" w:right="1800" w:bottom="1440" w:left="1800" w:header="720" w:footer="1440" w:gutter="0"/>
          <w:cols w:space="720"/>
          <w:noEndnote/>
          <w:docGrid w:linePitch="360"/>
        </w:sectPr>
      </w:pPr>
      <w:r>
        <w:pict>
          <v:shape id="_x0000_s1089" type="#_x0000_t202" style="width:6in;height:351pt;mso-position-horizontal-relative:char;mso-position-vertical-relative:line" stroked="f">
            <v:textbox style="mso-next-textbox:#_x0000_s1089">
              <w:txbxContent>
                <w:p w:rsidR="006A45E8" w:rsidRDefault="006A45E8" w:rsidP="006F22B8">
                  <w:pPr>
                    <w:jc w:val="center"/>
                  </w:pPr>
                  <w:r w:rsidRPr="006F22B8">
                    <w:rPr>
                      <w:noProof/>
                    </w:rPr>
                    <w:drawing>
                      <wp:inline distT="0" distB="0" distL="0" distR="0">
                        <wp:extent cx="4069088" cy="3476887"/>
                        <wp:effectExtent l="0" t="0" r="0" b="0"/>
                        <wp:docPr id="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png"/>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69088" cy="3476887"/>
                                </a:xfrm>
                                <a:prstGeom prst="rect">
                                  <a:avLst/>
                                </a:prstGeom>
                              </pic:spPr>
                            </pic:pic>
                          </a:graphicData>
                        </a:graphic>
                      </wp:inline>
                    </w:drawing>
                  </w:r>
                </w:p>
                <w:p w:rsidR="006A45E8" w:rsidRPr="002B2090" w:rsidRDefault="006A45E8" w:rsidP="00D47860">
                  <w:pPr>
                    <w:pStyle w:val="Caption"/>
                    <w:rPr>
                      <w:vanish/>
                      <w:lang w:val="en-GB"/>
                      <w:specVanish/>
                    </w:rPr>
                  </w:pPr>
                  <w:bookmarkStart w:id="187" w:name="_Ref417548733"/>
                  <w:bookmarkStart w:id="188" w:name="_Toc421352928"/>
                  <w:bookmarkStart w:id="189" w:name="_Toc417647086"/>
                  <w:proofErr w:type="gramStart"/>
                  <w:r>
                    <w:t xml:space="preserve">Fig. S </w:t>
                  </w:r>
                  <w:fldSimple w:instr=" STYLEREF 1 \s ">
                    <w:r>
                      <w:rPr>
                        <w:noProof/>
                      </w:rPr>
                      <w:t>3</w:t>
                    </w:r>
                  </w:fldSimple>
                  <w:r>
                    <w:t>.</w:t>
                  </w:r>
                  <w:proofErr w:type="gramEnd"/>
                  <w:r>
                    <w:fldChar w:fldCharType="begin"/>
                  </w:r>
                  <w:r>
                    <w:instrText xml:space="preserve"> SEQ Fig._S \* ARABIC \s 1 </w:instrText>
                  </w:r>
                  <w:r>
                    <w:fldChar w:fldCharType="separate"/>
                  </w:r>
                  <w:r>
                    <w:rPr>
                      <w:noProof/>
                    </w:rPr>
                    <w:t>3</w:t>
                  </w:r>
                  <w:r>
                    <w:fldChar w:fldCharType="end"/>
                  </w:r>
                  <w:bookmarkEnd w:id="187"/>
                  <w:r>
                    <w:t>. Contributions of individual impact metrics to reductions in the Impact Score relative to the least-cost layout</w:t>
                  </w:r>
                  <w:bookmarkEnd w:id="188"/>
                </w:p>
                <w:p w:rsidR="006A45E8" w:rsidRDefault="006A45E8" w:rsidP="00621AA7">
                  <w:pPr>
                    <w:pStyle w:val="Caption"/>
                  </w:pPr>
                  <w:r>
                    <w:t xml:space="preserve"> (n=84 per bar). Bar heights are means of site mean contributions (gray circles) along with the standard error (red error bars). Significant differences are </w:t>
                  </w:r>
                  <w:r w:rsidRPr="000E7645">
                    <w:rPr>
                      <w:i/>
                    </w:rPr>
                    <w:t>rare spp.</w:t>
                  </w:r>
                  <w:r w:rsidRPr="000E7645">
                    <w:t xml:space="preserve"> </w:t>
                  </w:r>
                  <w:r w:rsidRPr="00723FED">
                    <w:t>&gt;</w:t>
                  </w:r>
                  <w:r w:rsidRPr="000E7645">
                    <w:t xml:space="preserve"> </w:t>
                  </w:r>
                  <w:r w:rsidRPr="000E7645">
                    <w:rPr>
                      <w:i/>
                    </w:rPr>
                    <w:t>sediment</w:t>
                  </w:r>
                  <w:r w:rsidRPr="000E7645">
                    <w:t xml:space="preserve"> ≈ </w:t>
                  </w:r>
                  <w:r w:rsidRPr="000E7645">
                    <w:rPr>
                      <w:i/>
                    </w:rPr>
                    <w:t>forest</w:t>
                  </w:r>
                  <w:r w:rsidRPr="000E7645">
                    <w:t xml:space="preserve"> </w:t>
                  </w:r>
                  <w:r w:rsidRPr="000E7645">
                    <w:rPr>
                      <w:i/>
                    </w:rPr>
                    <w:t>loss</w:t>
                  </w:r>
                  <w:r w:rsidRPr="000E7645">
                    <w:t xml:space="preserve"> &gt; </w:t>
                  </w:r>
                  <w:r w:rsidRPr="000E7645">
                    <w:rPr>
                      <w:i/>
                    </w:rPr>
                    <w:t xml:space="preserve">forest </w:t>
                  </w:r>
                  <w:proofErr w:type="spellStart"/>
                  <w:r w:rsidRPr="000E7645">
                    <w:rPr>
                      <w:i/>
                    </w:rPr>
                    <w:t>frag</w:t>
                  </w:r>
                  <w:proofErr w:type="spellEnd"/>
                  <w:r w:rsidRPr="000E7645">
                    <w:rPr>
                      <w:i/>
                    </w:rPr>
                    <w:t>.</w:t>
                  </w:r>
                  <w:r w:rsidRPr="000E7645">
                    <w:t xml:space="preserve"> </w:t>
                  </w:r>
                  <w:proofErr w:type="gramStart"/>
                  <w:r w:rsidRPr="000E7645">
                    <w:t>≈</w:t>
                  </w:r>
                  <w:r>
                    <w:t xml:space="preserve"> 0 &gt; </w:t>
                  </w:r>
                  <w:r w:rsidRPr="000E7645">
                    <w:rPr>
                      <w:i/>
                    </w:rPr>
                    <w:t>wetlands</w:t>
                  </w:r>
                  <w:r>
                    <w:t>.</w:t>
                  </w:r>
                  <w:proofErr w:type="gramEnd"/>
                  <w:r>
                    <w:t xml:space="preserve"> Jitter was added to gray circles to ease interpretation.</w:t>
                  </w:r>
                  <w:bookmarkEnd w:id="189"/>
                </w:p>
              </w:txbxContent>
            </v:textbox>
            <w10:wrap type="none" anchorx="margin" anchory="margin"/>
            <w10:anchorlock/>
          </v:shape>
        </w:pict>
      </w:r>
    </w:p>
    <w:p w:rsidR="00C30D4F" w:rsidRDefault="00C30D4F" w:rsidP="00971E02">
      <w:pPr>
        <w:pStyle w:val="Heading4"/>
      </w:pPr>
      <w:proofErr w:type="gramStart"/>
      <w:r>
        <w:lastRenderedPageBreak/>
        <w:t>wetlands</w:t>
      </w:r>
      <w:proofErr w:type="gramEnd"/>
      <w:r>
        <w:t xml:space="preserve"> encroachment</w:t>
      </w:r>
    </w:p>
    <w:p w:rsidR="00C30D4F" w:rsidRDefault="00C30D4F" w:rsidP="00C30D4F">
      <w:r>
        <w:t xml:space="preserve">This is a measure of indirect impacts on wetlands through degradation or removal of buffering habitat. We chose this metric because of the importance of wetlands in Pennsylvania. We calculate </w:t>
      </w:r>
      <w:r>
        <w:rPr>
          <w:i/>
        </w:rPr>
        <w:t>wetlands encroachment</w:t>
      </w:r>
      <w:r>
        <w:t xml:space="preserve"> as follows:</w:t>
      </w:r>
    </w:p>
    <w:p w:rsidR="00C30D4F" w:rsidRDefault="00C30D4F" w:rsidP="009B0E78">
      <w:pPr>
        <w:pStyle w:val="ListParagraph"/>
        <w:numPr>
          <w:ilvl w:val="0"/>
          <w:numId w:val="9"/>
        </w:numPr>
        <w:spacing w:before="200" w:after="200" w:line="276" w:lineRule="auto"/>
      </w:pPr>
      <w:proofErr w:type="gramStart"/>
      <w:r>
        <w:rPr>
          <w:i/>
        </w:rPr>
        <w:t>wetlands</w:t>
      </w:r>
      <w:proofErr w:type="gramEnd"/>
      <w:r>
        <w:rPr>
          <w:i/>
        </w:rPr>
        <w:t xml:space="preserve"> </w:t>
      </w:r>
      <w:r>
        <w:t>(</w:t>
      </w:r>
      <w:r w:rsidR="00F01773">
        <w:fldChar w:fldCharType="begin"/>
      </w:r>
      <w:r w:rsidR="008E6F0E">
        <w:instrText xml:space="preserve"> REF _Ref417549202 \h </w:instrText>
      </w:r>
      <w:r w:rsidR="00F01773">
        <w:fldChar w:fldCharType="separate"/>
      </w:r>
      <w:r w:rsidR="00867AA7">
        <w:t xml:space="preserve">Table S </w:t>
      </w:r>
      <w:r w:rsidR="00867AA7">
        <w:rPr>
          <w:noProof/>
        </w:rPr>
        <w:t>3</w:t>
      </w:r>
      <w:r w:rsidR="00867AA7">
        <w:t>.</w:t>
      </w:r>
      <w:r w:rsidR="00867AA7">
        <w:rPr>
          <w:noProof/>
        </w:rPr>
        <w:t>2</w:t>
      </w:r>
      <w:r w:rsidR="00F01773">
        <w:fldChar w:fldCharType="end"/>
      </w:r>
      <w:r>
        <w:t>) are buffered by different amounts for each type of infrastructure. For well pads, the buffer is 61 m. For roads and pipelines, the buffer is 91 m. This produces three presence-absence rasters that include the buffer and original wetlands.</w:t>
      </w:r>
    </w:p>
    <w:p w:rsidR="00C30D4F" w:rsidRDefault="00C30D4F" w:rsidP="009B0E78">
      <w:pPr>
        <w:pStyle w:val="ListParagraph"/>
        <w:numPr>
          <w:ilvl w:val="0"/>
          <w:numId w:val="9"/>
        </w:numPr>
        <w:spacing w:before="200" w:after="200" w:line="276" w:lineRule="auto"/>
      </w:pPr>
      <w:r>
        <w:t>Each present pixel from step 1 is given the same value, which is the percentage of all buffers that each pixel represents, such that the sum across all three rasters is 100%.</w:t>
      </w:r>
    </w:p>
    <w:p w:rsidR="00C30D4F" w:rsidRDefault="00C30D4F" w:rsidP="009B0E78">
      <w:pPr>
        <w:pStyle w:val="ListParagraph"/>
        <w:numPr>
          <w:ilvl w:val="0"/>
          <w:numId w:val="9"/>
        </w:numPr>
        <w:spacing w:before="200" w:after="200" w:line="276" w:lineRule="auto"/>
      </w:pPr>
      <w:r>
        <w:t>Each infrastructure type is overlaid with its corresponding raster from step 2 and the sum of those pixels is calculated.</w:t>
      </w:r>
    </w:p>
    <w:p w:rsidR="00C30D4F" w:rsidRPr="00346BD4" w:rsidRDefault="00C30D4F" w:rsidP="009B0E78">
      <w:pPr>
        <w:pStyle w:val="ListParagraph"/>
        <w:numPr>
          <w:ilvl w:val="0"/>
          <w:numId w:val="9"/>
        </w:numPr>
        <w:spacing w:before="200" w:after="200" w:line="276" w:lineRule="auto"/>
      </w:pPr>
      <w:r>
        <w:rPr>
          <w:i/>
        </w:rPr>
        <w:t xml:space="preserve">wetlands encroachment = </w:t>
      </w:r>
      <w:r>
        <w:t>[sum of three values from step 3]</w:t>
      </w:r>
    </w:p>
    <w:p w:rsidR="00C30D4F" w:rsidRDefault="00C30D4F" w:rsidP="00971E02">
      <w:pPr>
        <w:pStyle w:val="Heading4"/>
      </w:pPr>
      <w:proofErr w:type="gramStart"/>
      <w:r>
        <w:t>rare</w:t>
      </w:r>
      <w:proofErr w:type="gramEnd"/>
      <w:r>
        <w:t xml:space="preserve"> spp.</w:t>
      </w:r>
    </w:p>
    <w:p w:rsidR="00C30D4F" w:rsidRDefault="00C30D4F" w:rsidP="00C30D4F">
      <w:r>
        <w:t>This is a measure of risk to rare species in Pennsylvania, or alternatively to the habitats in which rare species are found. We chose this metric because of the high priority of rare species in Pennsylvania. This metric is calculated as follows:</w:t>
      </w:r>
    </w:p>
    <w:p w:rsidR="00C30D4F" w:rsidRPr="00DE6050" w:rsidRDefault="00C30D4F" w:rsidP="009B0E78">
      <w:pPr>
        <w:pStyle w:val="ListParagraph"/>
        <w:numPr>
          <w:ilvl w:val="0"/>
          <w:numId w:val="10"/>
        </w:numPr>
        <w:spacing w:before="200" w:after="200" w:line="276" w:lineRule="auto"/>
      </w:pPr>
      <w:r>
        <w:rPr>
          <w:rFonts w:cs="Times New Roman"/>
        </w:rPr>
        <w:t>A</w:t>
      </w:r>
      <w:r w:rsidRPr="000501D1">
        <w:rPr>
          <w:rFonts w:cs="Times New Roman"/>
        </w:rPr>
        <w:t xml:space="preserve"> map of habitat types from the Northeastern Terrestrial H</w:t>
      </w:r>
      <w:r>
        <w:rPr>
          <w:rFonts w:cs="Times New Roman"/>
        </w:rPr>
        <w:t>abitat Mapping Project (</w:t>
      </w:r>
      <w:r w:rsidR="00F01773">
        <w:rPr>
          <w:rFonts w:cs="Times New Roman"/>
        </w:rPr>
        <w:fldChar w:fldCharType="begin"/>
      </w:r>
      <w:r w:rsidR="008E6F0E">
        <w:rPr>
          <w:rFonts w:cs="Times New Roman"/>
        </w:rPr>
        <w:instrText xml:space="preserve"> REF _Ref417549202 \h </w:instrText>
      </w:r>
      <w:r w:rsidR="00F01773">
        <w:rPr>
          <w:rFonts w:cs="Times New Roman"/>
        </w:rPr>
      </w:r>
      <w:r w:rsidR="00F01773">
        <w:rPr>
          <w:rFonts w:cs="Times New Roman"/>
        </w:rPr>
        <w:fldChar w:fldCharType="separate"/>
      </w:r>
      <w:r w:rsidR="00867AA7">
        <w:t xml:space="preserve">Table S </w:t>
      </w:r>
      <w:r w:rsidR="00867AA7">
        <w:rPr>
          <w:noProof/>
        </w:rPr>
        <w:t>3</w:t>
      </w:r>
      <w:r w:rsidR="00867AA7">
        <w:t>.</w:t>
      </w:r>
      <w:r w:rsidR="00867AA7">
        <w:rPr>
          <w:noProof/>
        </w:rPr>
        <w:t>2</w:t>
      </w:r>
      <w:r w:rsidR="00F01773">
        <w:rPr>
          <w:rFonts w:cs="Times New Roman"/>
        </w:rPr>
        <w:fldChar w:fldCharType="end"/>
      </w:r>
      <w:r w:rsidRPr="000501D1">
        <w:rPr>
          <w:rFonts w:cs="Times New Roman"/>
        </w:rPr>
        <w:t xml:space="preserve">) was overlaid with </w:t>
      </w:r>
      <w:r>
        <w:rPr>
          <w:rFonts w:cs="Times New Roman"/>
        </w:rPr>
        <w:t xml:space="preserve">element occurrences </w:t>
      </w:r>
      <w:r w:rsidRPr="000501D1">
        <w:rPr>
          <w:rFonts w:cs="Times New Roman"/>
        </w:rPr>
        <w:t>from the Pennsylvania Natural</w:t>
      </w:r>
      <w:r>
        <w:rPr>
          <w:rFonts w:cs="Times New Roman"/>
        </w:rPr>
        <w:t xml:space="preserve"> Heritage Program (</w:t>
      </w:r>
      <w:r w:rsidR="00F01773">
        <w:fldChar w:fldCharType="begin"/>
      </w:r>
      <w:r w:rsidR="008E6F0E">
        <w:rPr>
          <w:rFonts w:cs="Times New Roman"/>
        </w:rPr>
        <w:instrText xml:space="preserve"> REF _Ref417549202 \h </w:instrText>
      </w:r>
      <w:r w:rsidR="00F01773">
        <w:fldChar w:fldCharType="separate"/>
      </w:r>
      <w:r w:rsidR="00867AA7">
        <w:t xml:space="preserve">Table S </w:t>
      </w:r>
      <w:r w:rsidR="00867AA7">
        <w:rPr>
          <w:noProof/>
        </w:rPr>
        <w:t>3</w:t>
      </w:r>
      <w:r w:rsidR="00867AA7">
        <w:t>.</w:t>
      </w:r>
      <w:r w:rsidR="00867AA7">
        <w:rPr>
          <w:noProof/>
        </w:rPr>
        <w:t>2</w:t>
      </w:r>
      <w:r w:rsidR="00F01773">
        <w:fldChar w:fldCharType="end"/>
      </w:r>
      <w:r w:rsidRPr="000501D1">
        <w:rPr>
          <w:rFonts w:cs="Times New Roman"/>
        </w:rPr>
        <w:t xml:space="preserve">). Each habitat type was assigned the number of </w:t>
      </w:r>
      <w:r>
        <w:rPr>
          <w:rFonts w:cs="Times New Roman"/>
        </w:rPr>
        <w:t xml:space="preserve">element occurrences </w:t>
      </w:r>
      <w:r w:rsidRPr="000501D1">
        <w:rPr>
          <w:rFonts w:cs="Times New Roman"/>
        </w:rPr>
        <w:t>it contained. This was done without regard to species identity. This number was then divided by the total area of the habitat type to reduce areal effects.</w:t>
      </w:r>
      <w:r>
        <w:rPr>
          <w:rFonts w:cs="Times New Roman"/>
        </w:rPr>
        <w:t xml:space="preserve"> Finally, values were multiplied by one million to aid understanding.</w:t>
      </w:r>
    </w:p>
    <w:p w:rsidR="00C30D4F" w:rsidRPr="00C56A8E" w:rsidRDefault="00C30D4F" w:rsidP="009B0E78">
      <w:pPr>
        <w:pStyle w:val="ListParagraph"/>
        <w:numPr>
          <w:ilvl w:val="0"/>
          <w:numId w:val="10"/>
        </w:numPr>
        <w:spacing w:before="200" w:after="200" w:line="276" w:lineRule="auto"/>
      </w:pPr>
      <w:r>
        <w:rPr>
          <w:rFonts w:cs="Times New Roman"/>
          <w:i/>
        </w:rPr>
        <w:t>rare spp.</w:t>
      </w:r>
      <w:r>
        <w:rPr>
          <w:rFonts w:cs="Times New Roman"/>
        </w:rPr>
        <w:t xml:space="preserve"> = [sum of pixels of raster from step 1 overlain by any infrastructure]</w:t>
      </w:r>
    </w:p>
    <w:p w:rsidR="00C30D4F" w:rsidRDefault="00C30D4F" w:rsidP="00971E02">
      <w:pPr>
        <w:pStyle w:val="Heading4"/>
      </w:pPr>
      <w:bookmarkStart w:id="190" w:name="_Ref407982808"/>
      <w:r>
        <w:t>Impact Score</w:t>
      </w:r>
      <w:bookmarkEnd w:id="190"/>
    </w:p>
    <w:p w:rsidR="00C30D4F" w:rsidRPr="00496503" w:rsidRDefault="00C30D4F" w:rsidP="00C30D4F">
      <w:r>
        <w:t xml:space="preserve">This metric is an aggregation of the others and is used for the optimization of infrastructure layouts, as well as a summary of the total potential impact of a layout. Because individual impact metrics may be spatially non-additive, the </w:t>
      </w:r>
      <w:r>
        <w:rPr>
          <w:i/>
        </w:rPr>
        <w:t xml:space="preserve">Impact Score </w:t>
      </w:r>
      <w:r>
        <w:t xml:space="preserve">is generally spatially non-additive. In other words, it cannot be calculated exactly until all </w:t>
      </w:r>
      <w:proofErr w:type="gramStart"/>
      <w:r>
        <w:t>infrastructure</w:t>
      </w:r>
      <w:proofErr w:type="gramEnd"/>
      <w:r>
        <w:t xml:space="preserve"> has been planned. The </w:t>
      </w:r>
      <w:r>
        <w:rPr>
          <w:i/>
        </w:rPr>
        <w:t>Impact Score</w:t>
      </w:r>
      <w:r>
        <w:t xml:space="preserve"> is basically a </w:t>
      </w:r>
      <w:r>
        <w:lastRenderedPageBreak/>
        <w:t xml:space="preserve">weighted sum of the individual impact metrics. However, several requirements of the optimization process </w:t>
      </w:r>
      <w:proofErr w:type="gramStart"/>
      <w:r>
        <w:t>cause</w:t>
      </w:r>
      <w:proofErr w:type="gramEnd"/>
      <w:r>
        <w:t xml:space="preserve"> the final form of the equation for the</w:t>
      </w:r>
      <w:r>
        <w:rPr>
          <w:i/>
        </w:rPr>
        <w:t xml:space="preserve"> Impact Score </w:t>
      </w:r>
      <w:r>
        <w:t xml:space="preserve">to be more complex. Below, we describe each of these requirements and describe how they affect the </w:t>
      </w:r>
      <w:r>
        <w:rPr>
          <w:i/>
        </w:rPr>
        <w:t>Impact Score</w:t>
      </w:r>
      <w:r>
        <w:t xml:space="preserve">. Further down we summarize and show mathematically how each requirement affects the </w:t>
      </w:r>
      <w:r>
        <w:rPr>
          <w:i/>
        </w:rPr>
        <w:t>Impact Score</w:t>
      </w:r>
      <w:r>
        <w:t xml:space="preserve">. </w:t>
      </w:r>
    </w:p>
    <w:p w:rsidR="00C30D4F" w:rsidRDefault="00C30D4F" w:rsidP="00971E02">
      <w:pPr>
        <w:pStyle w:val="Heading5"/>
      </w:pPr>
      <w:bookmarkStart w:id="191" w:name="_Ref407983189"/>
      <w:r>
        <w:t>Strictly positive values</w:t>
      </w:r>
      <w:bookmarkEnd w:id="191"/>
    </w:p>
    <w:p w:rsidR="00C30D4F" w:rsidRDefault="00C30D4F" w:rsidP="00C30D4F">
      <w:r>
        <w:t xml:space="preserve">Dijkstra’s least-cost-path algorithm, on which road and pipeline route planning is based, requires strictly positive values in each pixel of the planning surface. We required the </w:t>
      </w:r>
      <w:r w:rsidRPr="003F43C4">
        <w:rPr>
          <w:i/>
        </w:rPr>
        <w:t xml:space="preserve">Impact Score </w:t>
      </w:r>
      <w:r>
        <w:t xml:space="preserve">to be non-negative. When using the spatially additive approximation of the </w:t>
      </w:r>
      <w:r w:rsidRPr="003F43C4">
        <w:rPr>
          <w:i/>
        </w:rPr>
        <w:t>Impact Score</w:t>
      </w:r>
      <w:r>
        <w:t xml:space="preserve"> to plan road and pipeline routes (see </w:t>
      </w:r>
      <w:r w:rsidR="00F01773">
        <w:fldChar w:fldCharType="begin"/>
      </w:r>
      <w:r>
        <w:instrText xml:space="preserve"> REF _Ref407977695 \h </w:instrText>
      </w:r>
      <w:r w:rsidR="00F01773">
        <w:fldChar w:fldCharType="separate"/>
      </w:r>
      <w:r w:rsidR="00867AA7">
        <w:t>Additive Layout Creation Methods</w:t>
      </w:r>
      <w:r w:rsidR="00F01773">
        <w:fldChar w:fldCharType="end"/>
      </w:r>
      <w:r>
        <w:t>), we added a small constant to all pixels so that any zero values would become positive.</w:t>
      </w:r>
    </w:p>
    <w:p w:rsidR="00C30D4F" w:rsidRDefault="00C30D4F" w:rsidP="00971E02">
      <w:pPr>
        <w:pStyle w:val="Heading5"/>
      </w:pPr>
      <w:bookmarkStart w:id="192" w:name="_Ref407982920"/>
      <w:r>
        <w:t>Direction of impact undetermined</w:t>
      </w:r>
      <w:bookmarkEnd w:id="192"/>
    </w:p>
    <w:p w:rsidR="00C30D4F" w:rsidRDefault="00C30D4F" w:rsidP="00C30D4F">
      <w:r>
        <w:t>In this study, all metrics are worse when the values are larger. However, built-in to Bungee is the potential to handle metrics that are worse when they are smaller. We assumed that ‘impact’ is always either monotonically increasing or decreasing with metric values. To handle the direction of impacts somewhat generally, Bungee compares metric values to a baseline value, which is the best-case or, alternatively, the no-impact scenario. In this analysis, we use a no-impact baseline for all metrics, such that the baseline values for all metrics are zero.</w:t>
      </w:r>
    </w:p>
    <w:p w:rsidR="00C30D4F" w:rsidRDefault="00C30D4F" w:rsidP="00971E02">
      <w:pPr>
        <w:pStyle w:val="Heading5"/>
      </w:pPr>
      <w:r>
        <w:t>Metric scales differ</w:t>
      </w:r>
    </w:p>
    <w:p w:rsidR="00C30D4F" w:rsidRPr="0023097F" w:rsidRDefault="00C30D4F" w:rsidP="00C30D4F">
      <w:r>
        <w:t xml:space="preserve">Because metric scales differ, they cannot be directly combined. Instead, they are first normalized by dividing by a normalization constant (see </w:t>
      </w:r>
      <w:r w:rsidR="00F01773">
        <w:fldChar w:fldCharType="begin"/>
      </w:r>
      <w:r>
        <w:instrText xml:space="preserve"> REF _Ref409777969 \r \h </w:instrText>
      </w:r>
      <w:r w:rsidR="00F01773">
        <w:fldChar w:fldCharType="separate"/>
      </w:r>
      <w:r w:rsidR="00867AA7">
        <w:t>3.7.7.4</w:t>
      </w:r>
      <w:r w:rsidR="00F01773">
        <w:fldChar w:fldCharType="end"/>
      </w:r>
      <w:r>
        <w:t xml:space="preserve"> </w:t>
      </w:r>
      <w:r w:rsidR="00F01773">
        <w:fldChar w:fldCharType="begin"/>
      </w:r>
      <w:r>
        <w:instrText xml:space="preserve"> REF _Ref409777969 \h </w:instrText>
      </w:r>
      <w:r w:rsidR="00F01773">
        <w:fldChar w:fldCharType="separate"/>
      </w:r>
      <w:r w:rsidR="00867AA7" w:rsidRPr="00A9073F">
        <w:t>Determine normalization constants</w:t>
      </w:r>
      <w:r w:rsidR="00F01773">
        <w:fldChar w:fldCharType="end"/>
      </w:r>
      <w:r>
        <w:t>), which puts them on a similar scale close to one.</w:t>
      </w:r>
    </w:p>
    <w:p w:rsidR="00C30D4F" w:rsidRDefault="00C30D4F" w:rsidP="00971E02">
      <w:pPr>
        <w:pStyle w:val="Heading5"/>
      </w:pPr>
      <w:bookmarkStart w:id="193" w:name="_Ref407982993"/>
      <w:r>
        <w:t>Impact priorities differ</w:t>
      </w:r>
      <w:bookmarkEnd w:id="193"/>
    </w:p>
    <w:p w:rsidR="00C30D4F" w:rsidRDefault="00C30D4F" w:rsidP="00C30D4F">
      <w:r>
        <w:t xml:space="preserve">The conservation priorities of impacts are different, since some are more important to stakeholders than others. We account for this in Bungee by allowing for metric weights to be specified. In this study, we weight each category of impacted features equally: </w:t>
      </w:r>
      <w:r>
        <w:rPr>
          <w:i/>
        </w:rPr>
        <w:t xml:space="preserve">forest loss </w:t>
      </w:r>
      <w:r>
        <w:t xml:space="preserve">and </w:t>
      </w:r>
      <w:r>
        <w:rPr>
          <w:i/>
        </w:rPr>
        <w:t xml:space="preserve">forest </w:t>
      </w:r>
      <w:proofErr w:type="spellStart"/>
      <w:r>
        <w:rPr>
          <w:i/>
        </w:rPr>
        <w:t>frag</w:t>
      </w:r>
      <w:proofErr w:type="spellEnd"/>
      <w:r>
        <w:t xml:space="preserve"> each received a weight of 0.5, while all others received a weight of 1.0. Bungee automatically makes all impact weights sum to 1, so this results in weights of 0.125 and 0.25.</w:t>
      </w:r>
    </w:p>
    <w:p w:rsidR="00C30D4F" w:rsidRDefault="00C30D4F" w:rsidP="00971E02">
      <w:pPr>
        <w:pStyle w:val="Heading5"/>
      </w:pPr>
      <w:bookmarkStart w:id="194" w:name="_Ref407983013"/>
      <w:r>
        <w:t>Normality of values</w:t>
      </w:r>
      <w:bookmarkEnd w:id="194"/>
    </w:p>
    <w:p w:rsidR="00C30D4F" w:rsidRPr="000C46BF" w:rsidRDefault="00C30D4F" w:rsidP="00C30D4F">
      <w:r>
        <w:t xml:space="preserve">Although not a requirement of the optimization process, impact metrics that are more normally distributed – as opposed to highly skewed or multi-modal – enable the optimization algorithm to explore more of the </w:t>
      </w:r>
      <w:r>
        <w:lastRenderedPageBreak/>
        <w:t>solution space. We used a natural-log transform to help make metrics more normally distributed.</w:t>
      </w:r>
    </w:p>
    <w:p w:rsidR="00C30D4F" w:rsidRDefault="00C30D4F" w:rsidP="00971E02">
      <w:pPr>
        <w:pStyle w:val="Heading5"/>
      </w:pPr>
      <w:bookmarkStart w:id="195" w:name="_Ref408138361"/>
      <w:r>
        <w:t>Impact Score calculation</w:t>
      </w:r>
      <w:bookmarkEnd w:id="195"/>
    </w:p>
    <w:p w:rsidR="00C30D4F" w:rsidRDefault="00C30D4F" w:rsidP="00C30D4F">
      <w:r>
        <w:t xml:space="preserve">With the above considerations in mind, the </w:t>
      </w:r>
      <w:r>
        <w:rPr>
          <w:i/>
        </w:rPr>
        <w:t xml:space="preserve">Impact Score </w:t>
      </w:r>
      <w:r>
        <w:t xml:space="preserve">is calculated as follows: </w:t>
      </w:r>
    </w:p>
    <w:p w:rsidR="00C30D4F" w:rsidRPr="00306A01" w:rsidRDefault="00C30D4F" w:rsidP="00371861">
      <w:pPr>
        <w:spacing w:before="240" w:after="240"/>
      </w:pPr>
      <m:oMathPara>
        <m:oMath>
          <m:r>
            <w:rPr>
              <w:rFonts w:ascii="Cambria Math" w:hAnsi="Cambria Math"/>
            </w:rPr>
            <m:t>Impact Score=</m:t>
          </m:r>
          <m:nary>
            <m:naryPr>
              <m:chr m:val="∑"/>
              <m:limLoc m:val="undOvr"/>
              <m:supHide m:val="on"/>
              <m:ctrlPr>
                <w:rPr>
                  <w:rFonts w:ascii="Cambria Math" w:hAnsi="Cambria Math"/>
                  <w:i/>
                </w:rPr>
              </m:ctrlPr>
            </m:naryPr>
            <m:sub>
              <m:r>
                <w:rPr>
                  <w:rFonts w:ascii="Cambria Math" w:hAnsi="Cambria Math"/>
                </w:rPr>
                <m:t>i∈I</m:t>
              </m:r>
            </m:sub>
            <m:sup/>
            <m:e>
              <m:sSub>
                <m:sSubPr>
                  <m:ctrlPr>
                    <w:rPr>
                      <w:rFonts w:ascii="Cambria Math" w:hAnsi="Cambria Math"/>
                      <w:i/>
                    </w:rPr>
                  </m:ctrlPr>
                </m:sSubPr>
                <m:e>
                  <m:r>
                    <w:rPr>
                      <w:rFonts w:ascii="Cambria Math" w:hAnsi="Cambria Math"/>
                    </w:rPr>
                    <m:t>w</m:t>
                  </m:r>
                </m:e>
                <m:sub>
                  <m:r>
                    <w:rPr>
                      <w:rFonts w:ascii="Cambria Math" w:hAnsi="Cambria Math"/>
                    </w:rPr>
                    <m:t>i</m:t>
                  </m:r>
                </m:sub>
              </m:sSub>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m:rPr>
                                      <m:sty m:val="bi"/>
                                    </m:rPr>
                                    <w:rPr>
                                      <w:rFonts w:ascii="Cambria Math" w:hAnsi="Cambria Math"/>
                                    </w:rPr>
                                    <m:t>X</m:t>
                                  </m:r>
                                  <m:r>
                                    <w:rPr>
                                      <w:rFonts w:ascii="Cambria Math" w:hAnsi="Cambria Math"/>
                                    </w:rPr>
                                    <m:t>,</m:t>
                                  </m:r>
                                  <m:sSub>
                                    <m:sSubPr>
                                      <m:ctrlPr>
                                        <w:rPr>
                                          <w:rFonts w:ascii="Cambria Math" w:hAnsi="Cambria Math"/>
                                          <w:i/>
                                        </w:rPr>
                                      </m:ctrlPr>
                                    </m:sSubPr>
                                    <m:e>
                                      <m:r>
                                        <m:rPr>
                                          <m:sty m:val="bi"/>
                                        </m:rPr>
                                        <w:rPr>
                                          <w:rFonts w:ascii="Cambria Math" w:hAnsi="Cambria Math"/>
                                        </w:rPr>
                                        <m:t>N</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e>
                          </m:d>
                          <m:r>
                            <w:rPr>
                              <w:rFonts w:ascii="Cambria Math" w:hAnsi="Cambria Math"/>
                            </w:rPr>
                            <m:t>+1</m:t>
                          </m:r>
                        </m:num>
                        <m:den>
                          <m:d>
                            <m:dPr>
                              <m:begChr m:val="|"/>
                              <m:endChr m:val="|"/>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e>
                          </m:d>
                          <m:r>
                            <w:rPr>
                              <w:rFonts w:ascii="Cambria Math" w:hAnsi="Cambria Math"/>
                            </w:rPr>
                            <m:t>+1</m:t>
                          </m:r>
                        </m:den>
                      </m:f>
                      <m:r>
                        <w:rPr>
                          <w:rFonts w:ascii="Cambria Math" w:hAnsi="Cambria Math"/>
                        </w:rPr>
                        <m:t>+1</m:t>
                      </m:r>
                    </m:e>
                  </m:d>
                </m:e>
              </m:func>
            </m:e>
          </m:nary>
        </m:oMath>
      </m:oMathPara>
    </w:p>
    <w:p w:rsidR="00C30D4F" w:rsidRDefault="00C30D4F" w:rsidP="00C30D4F">
      <w:proofErr w:type="gramStart"/>
      <w:r>
        <w:t>where</w:t>
      </w:r>
      <w:proofErr w:type="gramEnd"/>
      <w:r>
        <w:t xml:space="preserve"> impact </w:t>
      </w:r>
      <m:oMath>
        <m:r>
          <w:rPr>
            <w:rFonts w:ascii="Cambria Math" w:hAnsi="Cambria Math"/>
          </w:rPr>
          <m:t>i</m:t>
        </m:r>
      </m:oMath>
      <w:r>
        <w:t xml:space="preserve"> in the set of impact metrics </w:t>
      </w:r>
      <m:oMath>
        <m:r>
          <w:rPr>
            <w:rFonts w:ascii="Cambria Math" w:hAnsi="Cambria Math"/>
          </w:rPr>
          <m:t>I</m:t>
        </m:r>
      </m:oMath>
      <w:r>
        <w:t xml:space="preserve"> is evaluated using the function </w:t>
      </w:r>
      <m:oMath>
        <m:r>
          <w:rPr>
            <w:rFonts w:ascii="Cambria Math" w:hAnsi="Cambria Math"/>
          </w:rPr>
          <m:t>f</m:t>
        </m:r>
      </m:oMath>
      <w:r>
        <w:t xml:space="preserve">. The </w:t>
      </w:r>
      <w:proofErr w:type="gramStart"/>
      <w:r>
        <w:t xml:space="preserve">function </w:t>
      </w:r>
      <m:oMath>
        <w:proofErr w:type="gramEnd"/>
        <m:r>
          <w:rPr>
            <w:rFonts w:ascii="Cambria Math" w:hAnsi="Cambria Math"/>
          </w:rPr>
          <m:t>f</m:t>
        </m:r>
      </m:oMath>
      <w:r>
        <w:t xml:space="preserve">, as described for each impact in the sections above, operates on the Boolean rasters and well pad centroids </w:t>
      </w:r>
      <m:oMath>
        <m:r>
          <m:rPr>
            <m:sty m:val="bi"/>
          </m:rPr>
          <w:rPr>
            <w:rFonts w:ascii="Cambria Math" w:hAnsi="Cambria Math"/>
          </w:rPr>
          <m:t>X</m:t>
        </m:r>
      </m:oMath>
      <w:r>
        <w:t xml:space="preserve"> for the infrastructure layout and the set of additional inputs </w:t>
      </w:r>
      <m:oMath>
        <m:sSub>
          <m:sSubPr>
            <m:ctrlPr>
              <w:rPr>
                <w:rFonts w:ascii="Cambria Math" w:hAnsi="Cambria Math"/>
                <w:i/>
              </w:rPr>
            </m:ctrlPr>
          </m:sSubPr>
          <m:e>
            <m:r>
              <w:rPr>
                <w:rFonts w:ascii="Cambria Math" w:hAnsi="Cambria Math"/>
              </w:rPr>
              <m:t>N</m:t>
            </m:r>
          </m:e>
          <m:sub>
            <m:r>
              <w:rPr>
                <w:rFonts w:ascii="Cambria Math" w:hAnsi="Cambria Math"/>
              </w:rPr>
              <m:t>i</m:t>
            </m:r>
          </m:sub>
        </m:sSub>
      </m:oMath>
      <w:r>
        <w:t xml:space="preserve"> needed for the metric. The metric is compared to its baseline value</w:t>
      </w:r>
      <w:proofErr w:type="gramStart"/>
      <w:r>
        <w:t xml:space="preserve">, </w:t>
      </w:r>
      <m:oMath>
        <w:proofErr w:type="gramEnd"/>
        <m:sSub>
          <m:sSubPr>
            <m:ctrlPr>
              <w:rPr>
                <w:rFonts w:ascii="Cambria Math" w:hAnsi="Cambria Math"/>
                <w:i/>
              </w:rPr>
            </m:ctrlPr>
          </m:sSubPr>
          <m:e>
            <m:r>
              <w:rPr>
                <w:rFonts w:ascii="Cambria Math" w:hAnsi="Cambria Math"/>
              </w:rPr>
              <m:t>b</m:t>
            </m:r>
          </m:e>
          <m:sub>
            <m:r>
              <w:rPr>
                <w:rFonts w:ascii="Cambria Math" w:hAnsi="Cambria Math"/>
              </w:rPr>
              <m:t>i</m:t>
            </m:r>
          </m:sub>
        </m:sSub>
      </m:oMath>
      <w:r>
        <w:t xml:space="preserve">, and that quantity is divided by the normalization constant, </w:t>
      </w:r>
      <m:oMath>
        <m:sSub>
          <m:sSubPr>
            <m:ctrlPr>
              <w:rPr>
                <w:rFonts w:ascii="Cambria Math" w:hAnsi="Cambria Math"/>
                <w:i/>
              </w:rPr>
            </m:ctrlPr>
          </m:sSubPr>
          <m:e>
            <m:r>
              <w:rPr>
                <w:rFonts w:ascii="Cambria Math" w:hAnsi="Cambria Math"/>
              </w:rPr>
              <m:t>m</m:t>
            </m:r>
          </m:e>
          <m:sub>
            <m:r>
              <w:rPr>
                <w:rFonts w:ascii="Cambria Math" w:hAnsi="Cambria Math"/>
              </w:rPr>
              <m:t>i</m:t>
            </m:r>
          </m:sub>
        </m:sSub>
      </m:oMath>
      <w:r>
        <w:t xml:space="preserve">. Finally, the metric is weighted by its </w:t>
      </w:r>
      <w:proofErr w:type="gramStart"/>
      <w:r>
        <w:t xml:space="preserve">priority </w:t>
      </w:r>
      <m:oMath>
        <w:proofErr w:type="gramEnd"/>
        <m:sSub>
          <m:sSubPr>
            <m:ctrlPr>
              <w:rPr>
                <w:rFonts w:ascii="Cambria Math" w:hAnsi="Cambria Math"/>
                <w:i/>
              </w:rPr>
            </m:ctrlPr>
          </m:sSubPr>
          <m:e>
            <m:r>
              <w:rPr>
                <w:rFonts w:ascii="Cambria Math" w:hAnsi="Cambria Math"/>
              </w:rPr>
              <m:t>w</m:t>
            </m:r>
          </m:e>
          <m:sub>
            <m:r>
              <w:rPr>
                <w:rFonts w:ascii="Cambria Math" w:hAnsi="Cambria Math"/>
              </w:rPr>
              <m:t>i</m:t>
            </m:r>
          </m:sub>
        </m:sSub>
      </m:oMath>
      <w:r>
        <w:t xml:space="preserve">. </w:t>
      </w:r>
    </w:p>
    <w:p w:rsidR="00C30D4F" w:rsidRDefault="00C30D4F" w:rsidP="00C40EFF">
      <w:pPr>
        <w:ind w:firstLine="408"/>
      </w:pPr>
      <w:r>
        <w:t xml:space="preserve">The considerations described in the previous subsections of </w:t>
      </w:r>
      <w:r w:rsidR="00F01773">
        <w:fldChar w:fldCharType="begin"/>
      </w:r>
      <w:r>
        <w:instrText xml:space="preserve"> REF _Ref407982808 \r \h </w:instrText>
      </w:r>
      <w:r w:rsidR="00F01773">
        <w:fldChar w:fldCharType="separate"/>
      </w:r>
      <w:r w:rsidR="00867AA7">
        <w:t>3.7.2.6</w:t>
      </w:r>
      <w:r w:rsidR="00F01773">
        <w:fldChar w:fldCharType="end"/>
      </w:r>
      <w:r>
        <w:t xml:space="preserve"> </w:t>
      </w:r>
      <w:r w:rsidR="00F01773">
        <w:fldChar w:fldCharType="begin"/>
      </w:r>
      <w:r>
        <w:instrText xml:space="preserve"> REF _Ref407982808 \h </w:instrText>
      </w:r>
      <w:r w:rsidR="00F01773">
        <w:fldChar w:fldCharType="separate"/>
      </w:r>
      <w:r w:rsidR="00867AA7">
        <w:t>Impact Score</w:t>
      </w:r>
      <w:r w:rsidR="00F01773">
        <w:fldChar w:fldCharType="end"/>
      </w:r>
      <w:r>
        <w:t xml:space="preserve"> enter into the formula in various places:</w:t>
      </w:r>
    </w:p>
    <w:p w:rsidR="00C30D4F" w:rsidRPr="00B67BFE" w:rsidRDefault="00F01773" w:rsidP="009B0E78">
      <w:pPr>
        <w:pStyle w:val="ListParagraph"/>
        <w:numPr>
          <w:ilvl w:val="0"/>
          <w:numId w:val="11"/>
        </w:numPr>
        <w:spacing w:before="200" w:after="200" w:line="276" w:lineRule="auto"/>
      </w:pPr>
      <m:oMath>
        <m:sSub>
          <m:sSubPr>
            <m:ctrlPr>
              <w:rPr>
                <w:rFonts w:ascii="Cambria Math" w:hAnsi="Cambria Math"/>
                <w:i/>
              </w:rPr>
            </m:ctrlPr>
          </m:sSubPr>
          <m:e>
            <m:r>
              <w:rPr>
                <w:rFonts w:ascii="Cambria Math" w:hAnsi="Cambria Math"/>
              </w:rPr>
              <m:t>w</m:t>
            </m:r>
          </m:e>
          <m:sub>
            <m:r>
              <w:rPr>
                <w:rFonts w:ascii="Cambria Math" w:hAnsi="Cambria Math"/>
              </w:rPr>
              <m:t>i</m:t>
            </m:r>
          </m:sub>
        </m:sSub>
      </m:oMath>
      <w:r w:rsidR="00C30D4F">
        <w:t xml:space="preserve"> comes from </w:t>
      </w:r>
      <w:r>
        <w:fldChar w:fldCharType="begin"/>
      </w:r>
      <w:r w:rsidR="00C30D4F">
        <w:instrText xml:space="preserve"> REF _Ref407982993 \h </w:instrText>
      </w:r>
      <w:r>
        <w:fldChar w:fldCharType="separate"/>
      </w:r>
      <w:r w:rsidR="00867AA7">
        <w:t>Impact priorities differ</w:t>
      </w:r>
      <w:r>
        <w:fldChar w:fldCharType="end"/>
      </w:r>
    </w:p>
    <w:p w:rsidR="00C30D4F" w:rsidRPr="00B67BFE" w:rsidRDefault="00F01773" w:rsidP="009B0E78">
      <w:pPr>
        <w:pStyle w:val="ListParagraph"/>
        <w:numPr>
          <w:ilvl w:val="0"/>
          <w:numId w:val="11"/>
        </w:numPr>
        <w:spacing w:before="200" w:after="200" w:line="276" w:lineRule="auto"/>
      </w:pPr>
      <m:oMath>
        <m:sSub>
          <m:sSubPr>
            <m:ctrlPr>
              <w:rPr>
                <w:rFonts w:ascii="Cambria Math" w:hAnsi="Cambria Math"/>
                <w:i/>
              </w:rPr>
            </m:ctrlPr>
          </m:sSubPr>
          <m:e>
            <m:r>
              <w:rPr>
                <w:rFonts w:ascii="Cambria Math" w:hAnsi="Cambria Math"/>
              </w:rPr>
              <m:t>b</m:t>
            </m:r>
          </m:e>
          <m:sub>
            <m:r>
              <w:rPr>
                <w:rFonts w:ascii="Cambria Math" w:hAnsi="Cambria Math"/>
              </w:rPr>
              <m:t>i</m:t>
            </m:r>
          </m:sub>
        </m:sSub>
      </m:oMath>
      <w:r w:rsidR="00C30D4F" w:rsidRPr="00B67BFE">
        <w:t xml:space="preserve"> comes from  </w:t>
      </w:r>
      <w:r w:rsidRPr="00B67BFE">
        <w:fldChar w:fldCharType="begin"/>
      </w:r>
      <w:r w:rsidR="00C30D4F" w:rsidRPr="00B67BFE">
        <w:instrText xml:space="preserve"> REF _Ref407982920 \h </w:instrText>
      </w:r>
      <w:r w:rsidRPr="00B67BFE">
        <w:fldChar w:fldCharType="separate"/>
      </w:r>
      <w:r w:rsidR="00867AA7">
        <w:t>Direction of impact undetermined</w:t>
      </w:r>
      <w:r w:rsidRPr="00B67BFE">
        <w:fldChar w:fldCharType="end"/>
      </w:r>
    </w:p>
    <w:p w:rsidR="00C30D4F" w:rsidRPr="00B67BFE" w:rsidRDefault="00F01773" w:rsidP="009B0E78">
      <w:pPr>
        <w:pStyle w:val="ListParagraph"/>
        <w:numPr>
          <w:ilvl w:val="0"/>
          <w:numId w:val="11"/>
        </w:numPr>
        <w:spacing w:before="200" w:after="200" w:line="276" w:lineRule="auto"/>
      </w:pPr>
      <m:oMath>
        <m:sSub>
          <m:sSubPr>
            <m:ctrlPr>
              <w:rPr>
                <w:rFonts w:ascii="Cambria Math" w:hAnsi="Cambria Math"/>
                <w:i/>
              </w:rPr>
            </m:ctrlPr>
          </m:sSubPr>
          <m:e>
            <m:r>
              <w:rPr>
                <w:rFonts w:ascii="Cambria Math" w:hAnsi="Cambria Math"/>
              </w:rPr>
              <m:t>m</m:t>
            </m:r>
          </m:e>
          <m:sub>
            <m:r>
              <w:rPr>
                <w:rFonts w:ascii="Cambria Math" w:hAnsi="Cambria Math"/>
              </w:rPr>
              <m:t>i</m:t>
            </m:r>
          </m:sub>
        </m:sSub>
      </m:oMath>
      <w:r w:rsidR="00C30D4F">
        <w:t xml:space="preserve"> comes from </w:t>
      </w:r>
      <w:r>
        <w:fldChar w:fldCharType="begin"/>
      </w:r>
      <w:r w:rsidR="00C30D4F">
        <w:instrText xml:space="preserve"> REF _Ref407983013 \h </w:instrText>
      </w:r>
      <w:r>
        <w:fldChar w:fldCharType="separate"/>
      </w:r>
      <w:r w:rsidR="00867AA7">
        <w:t>Normality of values</w:t>
      </w:r>
      <w:r>
        <w:fldChar w:fldCharType="end"/>
      </w:r>
    </w:p>
    <w:p w:rsidR="00C30D4F" w:rsidRDefault="00C30D4F" w:rsidP="009B0E78">
      <w:pPr>
        <w:pStyle w:val="ListParagraph"/>
        <w:numPr>
          <w:ilvl w:val="0"/>
          <w:numId w:val="11"/>
        </w:numPr>
        <w:spacing w:before="200" w:after="200" w:line="276" w:lineRule="auto"/>
      </w:pPr>
      <w:r>
        <w:t xml:space="preserve">The natural-logarithm comes from  </w:t>
      </w:r>
      <w:r w:rsidR="00F01773">
        <w:fldChar w:fldCharType="begin"/>
      </w:r>
      <w:r>
        <w:instrText xml:space="preserve"> REF _Ref407983013 \h </w:instrText>
      </w:r>
      <w:r w:rsidR="00F01773">
        <w:fldChar w:fldCharType="separate"/>
      </w:r>
      <w:r w:rsidR="00867AA7">
        <w:t>Normality of values</w:t>
      </w:r>
      <w:r w:rsidR="00F01773">
        <w:fldChar w:fldCharType="end"/>
      </w:r>
    </w:p>
    <w:p w:rsidR="00C30D4F" w:rsidRPr="000770A8" w:rsidRDefault="00C30D4F" w:rsidP="009B0E78">
      <w:pPr>
        <w:pStyle w:val="ListParagraph"/>
        <w:numPr>
          <w:ilvl w:val="0"/>
          <w:numId w:val="11"/>
        </w:numPr>
        <w:spacing w:before="200" w:after="200" w:line="276" w:lineRule="auto"/>
      </w:pPr>
      <w:r>
        <w:t xml:space="preserve">The three ones come from </w:t>
      </w:r>
      <w:r w:rsidR="00F01773">
        <w:fldChar w:fldCharType="begin"/>
      </w:r>
      <w:r>
        <w:instrText xml:space="preserve"> REF _Ref407983189 \h </w:instrText>
      </w:r>
      <w:r w:rsidR="00F01773">
        <w:fldChar w:fldCharType="separate"/>
      </w:r>
      <w:proofErr w:type="gramStart"/>
      <w:r w:rsidR="00867AA7">
        <w:t>Strictly</w:t>
      </w:r>
      <w:proofErr w:type="gramEnd"/>
      <w:r w:rsidR="00867AA7">
        <w:t xml:space="preserve"> positive values</w:t>
      </w:r>
      <w:r w:rsidR="00F01773">
        <w:fldChar w:fldCharType="end"/>
      </w:r>
      <w:r>
        <w:t>. The one in the denominator avoids divide-by-zero issues. The one in the numerator reduces skewing caused by the one in the denominator. The furthest-right one ensures the normalized metric will be non-negative after the natural-log transform.</w:t>
      </w:r>
    </w:p>
    <w:p w:rsidR="00C30D4F" w:rsidRDefault="00C30D4F" w:rsidP="00371861">
      <w:pPr>
        <w:pStyle w:val="Heading3"/>
      </w:pPr>
      <w:bookmarkStart w:id="196" w:name="_Toc417646798"/>
      <w:r>
        <w:t>Cost Metrics</w:t>
      </w:r>
      <w:bookmarkEnd w:id="196"/>
    </w:p>
    <w:p w:rsidR="00C30D4F" w:rsidRDefault="00C30D4F" w:rsidP="00C30D4F">
      <w:r>
        <w:t>There are many costs associated with shale energy surface infrastructure development. For our analysis, the important ones are those that vary in space or with changing amounts of infrastructure, since this produces variable costs with changing infrastructure locations. Bungee also includes other non-spatial, large costs associated with surface infrastructure. This serves two purposes: to produce more accurate estimates of development</w:t>
      </w:r>
      <w:r w:rsidR="00E53D6C">
        <w:t xml:space="preserve"> cost</w:t>
      </w:r>
      <w:r>
        <w:t xml:space="preserve"> and two more realistically bound construction costs when reducing impacts. </w:t>
      </w:r>
    </w:p>
    <w:p w:rsidR="00C30D4F" w:rsidRDefault="00C30D4F" w:rsidP="00C40EFF">
      <w:pPr>
        <w:ind w:firstLine="720"/>
      </w:pPr>
      <w:r>
        <w:t xml:space="preserve">In describing the cost metrics, we will refer to both a standard cost per some unit and the per-pixel cost. The former cost is easier to </w:t>
      </w:r>
      <w:r>
        <w:lastRenderedPageBreak/>
        <w:t>interpret and translates directly from the construction action incurring that cost, while the latter is used by Bungee to estimate the cumulative cost of a layout by summing over the pixels occupied by infrastructure. In general, we assume that well pads pixels occupy the entire 30 × 30 m pixel, while road and pipeline pixels occupy the entire length of a pixel, but only part of its width. The width of road and pipeline corridors was set to 15 m such that each type of infrastructure occupies 50% of a pixel. We make note where these assumptions do not hold.</w:t>
      </w:r>
    </w:p>
    <w:p w:rsidR="00C30D4F" w:rsidRPr="006E7945" w:rsidRDefault="00C30D4F" w:rsidP="00C40EFF">
      <w:pPr>
        <w:ind w:firstLine="720"/>
      </w:pPr>
      <w:r>
        <w:t xml:space="preserve">Unlike the impact metrics, cost metrics are assumed to be a) spatially </w:t>
      </w:r>
      <w:proofErr w:type="gramStart"/>
      <w:r>
        <w:t>additive, and b) independent</w:t>
      </w:r>
      <w:proofErr w:type="gramEnd"/>
      <w:r>
        <w:t xml:space="preserve"> across infrastructure types. As such, each type of infrastructure has its own cost surface, which is a summation of the individual cost metrics. All cost values are taken from discussion and data sharing with Triana Energy, LLC.</w:t>
      </w:r>
    </w:p>
    <w:p w:rsidR="00C30D4F" w:rsidRDefault="00C30D4F" w:rsidP="00371861">
      <w:pPr>
        <w:pStyle w:val="Heading4"/>
      </w:pPr>
      <w:proofErr w:type="gramStart"/>
      <w:r>
        <w:t>base</w:t>
      </w:r>
      <w:proofErr w:type="gramEnd"/>
    </w:p>
    <w:p w:rsidR="00C30D4F" w:rsidRPr="00CB39F5" w:rsidRDefault="00C30D4F" w:rsidP="00C30D4F">
      <w:r w:rsidRPr="00684BD2">
        <w:rPr>
          <w:i/>
        </w:rPr>
        <w:t>Base</w:t>
      </w:r>
      <w:r>
        <w:t xml:space="preserve"> costs are the costs of construction materials and labor beyond all other costs. Generally we think of </w:t>
      </w:r>
      <w:r>
        <w:rPr>
          <w:i/>
        </w:rPr>
        <w:t>base</w:t>
      </w:r>
      <w:r>
        <w:t xml:space="preserve"> costs as the cost of infrastructure in flat areas without trees or other significant features that require special construction. This cost includes things like the cost of gravel, pad materials, etc. This cost surface does not vary in space, but is different for each type of infrastructure. The </w:t>
      </w:r>
      <w:r w:rsidRPr="00684BD2">
        <w:rPr>
          <w:i/>
        </w:rPr>
        <w:t>base</w:t>
      </w:r>
      <w:r>
        <w:t xml:space="preserve"> costs of well pads, access roads, and gathering pipelines was 35.84 USD m</w:t>
      </w:r>
      <w:r>
        <w:rPr>
          <w:vertAlign w:val="superscript"/>
        </w:rPr>
        <w:t>-2</w:t>
      </w:r>
      <w:r>
        <w:t xml:space="preserve"> (32,256.00 USD pixel</w:t>
      </w:r>
      <w:r>
        <w:rPr>
          <w:vertAlign w:val="superscript"/>
        </w:rPr>
        <w:t>-1</w:t>
      </w:r>
      <w:r>
        <w:t>), 18.84 USD m</w:t>
      </w:r>
      <w:r>
        <w:rPr>
          <w:vertAlign w:val="superscript"/>
        </w:rPr>
        <w:t>-2</w:t>
      </w:r>
      <w:r>
        <w:t xml:space="preserve"> (8,478 USD pixel</w:t>
      </w:r>
      <w:r>
        <w:rPr>
          <w:vertAlign w:val="superscript"/>
        </w:rPr>
        <w:t>-1</w:t>
      </w:r>
      <w:r>
        <w:t xml:space="preserve">), </w:t>
      </w:r>
      <w:r w:rsidR="00E53D6C">
        <w:t>and 656.18</w:t>
      </w:r>
      <w:r>
        <w:t xml:space="preserve"> USD m</w:t>
      </w:r>
      <w:r>
        <w:rPr>
          <w:vertAlign w:val="superscript"/>
        </w:rPr>
        <w:t>-1</w:t>
      </w:r>
      <w:r>
        <w:t xml:space="preserve"> (</w:t>
      </w:r>
      <w:r w:rsidRPr="00F42135">
        <w:t>19</w:t>
      </w:r>
      <w:r>
        <w:t>,</w:t>
      </w:r>
      <w:r w:rsidRPr="00F42135">
        <w:t xml:space="preserve">685.4 </w:t>
      </w:r>
      <w:r>
        <w:t>USD pixel</w:t>
      </w:r>
      <w:r>
        <w:rPr>
          <w:vertAlign w:val="superscript"/>
        </w:rPr>
        <w:t>-1</w:t>
      </w:r>
      <w:r>
        <w:t xml:space="preserve">) respectively. Note that pipeline </w:t>
      </w:r>
      <w:r>
        <w:rPr>
          <w:i/>
        </w:rPr>
        <w:t xml:space="preserve">base </w:t>
      </w:r>
      <w:r>
        <w:t>cost is defined on a per-length rather than per-area basis.</w:t>
      </w:r>
    </w:p>
    <w:p w:rsidR="00C30D4F" w:rsidRDefault="00C30D4F" w:rsidP="00371861">
      <w:pPr>
        <w:pStyle w:val="Heading4"/>
      </w:pPr>
      <w:proofErr w:type="gramStart"/>
      <w:r>
        <w:t>slope</w:t>
      </w:r>
      <w:proofErr w:type="gramEnd"/>
    </w:p>
    <w:p w:rsidR="00C30D4F" w:rsidRPr="00F825C5" w:rsidRDefault="00C30D4F" w:rsidP="00C30D4F">
      <w:r w:rsidRPr="00684BD2">
        <w:rPr>
          <w:i/>
        </w:rPr>
        <w:t>Slope</w:t>
      </w:r>
      <w:r>
        <w:t xml:space="preserve"> costs are the costs of construction and materials over and above base costs when developing on non-flat areas. These costs typically just apply to roads and pipelines, which may be developed in non-flat areas. They are analogous to cut-and-fill costs for well pads, although the two types of costs may only partially overlap. The </w:t>
      </w:r>
      <w:r>
        <w:rPr>
          <w:i/>
        </w:rPr>
        <w:t xml:space="preserve">slope </w:t>
      </w:r>
      <w:r>
        <w:t xml:space="preserve">costs are defined by how much additional cost is incurred by developing on an increasingly steep slope. The </w:t>
      </w:r>
      <w:r>
        <w:rPr>
          <w:i/>
        </w:rPr>
        <w:t xml:space="preserve">slope </w:t>
      </w:r>
      <w:r>
        <w:t>costs for both access roads and gathering pipelines was 0.22 USD %</w:t>
      </w:r>
      <w:r>
        <w:rPr>
          <w:vertAlign w:val="superscript"/>
        </w:rPr>
        <w:t xml:space="preserve">-1 </w:t>
      </w:r>
      <w:r>
        <w:t>m</w:t>
      </w:r>
      <w:r>
        <w:rPr>
          <w:vertAlign w:val="superscript"/>
        </w:rPr>
        <w:t>-2</w:t>
      </w:r>
      <w:r>
        <w:t xml:space="preserve"> </w:t>
      </w:r>
      <w:proofErr w:type="gramStart"/>
      <w:r>
        <w:t>(100.90 USD %</w:t>
      </w:r>
      <w:r>
        <w:rPr>
          <w:vertAlign w:val="superscript"/>
        </w:rPr>
        <w:t xml:space="preserve">-1 </w:t>
      </w:r>
      <w:r>
        <w:t>pixel</w:t>
      </w:r>
      <w:r>
        <w:rPr>
          <w:vertAlign w:val="superscript"/>
        </w:rPr>
        <w:t>-1</w:t>
      </w:r>
      <w:r>
        <w:t>)</w:t>
      </w:r>
      <w:proofErr w:type="gramEnd"/>
      <w:r>
        <w:t xml:space="preserve">. The </w:t>
      </w:r>
      <w:r>
        <w:rPr>
          <w:i/>
        </w:rPr>
        <w:t xml:space="preserve">slope </w:t>
      </w:r>
      <w:r>
        <w:t xml:space="preserve">cost is multiplied by a percent-slope raster to get the spatially variable </w:t>
      </w:r>
      <w:r>
        <w:rPr>
          <w:i/>
        </w:rPr>
        <w:t xml:space="preserve">slope </w:t>
      </w:r>
      <w:r>
        <w:t>cost surface.</w:t>
      </w:r>
    </w:p>
    <w:p w:rsidR="00C30D4F" w:rsidRDefault="00C30D4F" w:rsidP="00F051EC">
      <w:pPr>
        <w:pStyle w:val="Heading4"/>
      </w:pPr>
      <w:proofErr w:type="gramStart"/>
      <w:r>
        <w:t>forest</w:t>
      </w:r>
      <w:proofErr w:type="gramEnd"/>
      <w:r>
        <w:t xml:space="preserve"> clearing and timber</w:t>
      </w:r>
    </w:p>
    <w:p w:rsidR="00C30D4F" w:rsidRPr="00DC1BAF" w:rsidRDefault="00C30D4F" w:rsidP="00C30D4F">
      <w:r>
        <w:rPr>
          <w:i/>
        </w:rPr>
        <w:t xml:space="preserve">Forest clearing and timber </w:t>
      </w:r>
      <w:r>
        <w:t xml:space="preserve">costs are the costs of clearing trees and reimbursing landowners for foregone timber profits. We </w:t>
      </w:r>
      <w:r w:rsidR="00F77C11">
        <w:t xml:space="preserve">used </w:t>
      </w:r>
      <w:r>
        <w:t xml:space="preserve">the binary </w:t>
      </w:r>
      <w:r>
        <w:rPr>
          <w:i/>
        </w:rPr>
        <w:t xml:space="preserve">forest </w:t>
      </w:r>
      <w:r>
        <w:t>(</w:t>
      </w:r>
      <w:r w:rsidR="00F01773">
        <w:fldChar w:fldCharType="begin"/>
      </w:r>
      <w:r w:rsidR="00F77C11">
        <w:instrText xml:space="preserve"> REF _Ref417549202 \h </w:instrText>
      </w:r>
      <w:r w:rsidR="00F01773">
        <w:fldChar w:fldCharType="separate"/>
      </w:r>
      <w:r w:rsidR="00867AA7">
        <w:t xml:space="preserve">Table S </w:t>
      </w:r>
      <w:r w:rsidR="00867AA7">
        <w:rPr>
          <w:noProof/>
        </w:rPr>
        <w:t>3</w:t>
      </w:r>
      <w:r w:rsidR="00867AA7">
        <w:t>.</w:t>
      </w:r>
      <w:r w:rsidR="00867AA7">
        <w:rPr>
          <w:noProof/>
        </w:rPr>
        <w:t>2</w:t>
      </w:r>
      <w:r w:rsidR="00F01773">
        <w:fldChar w:fldCharType="end"/>
      </w:r>
      <w:r>
        <w:t>) raster to assess whether a cost is incurred and an equal cost per-area (16,</w:t>
      </w:r>
      <w:r w:rsidRPr="002960C5">
        <w:t>679.61</w:t>
      </w:r>
      <w:r>
        <w:t xml:space="preserve"> USD ha</w:t>
      </w:r>
      <w:r>
        <w:rPr>
          <w:vertAlign w:val="superscript"/>
        </w:rPr>
        <w:t>-1</w:t>
      </w:r>
      <w:r>
        <w:t xml:space="preserve">) for all types of infrastructure, though the size of infrastructure </w:t>
      </w:r>
      <w:proofErr w:type="gramStart"/>
      <w:r>
        <w:t>types</w:t>
      </w:r>
      <w:proofErr w:type="gramEnd"/>
      <w:r>
        <w:t xml:space="preserve"> produces different per-pixel costs. The </w:t>
      </w:r>
      <w:r>
        <w:rPr>
          <w:i/>
        </w:rPr>
        <w:t xml:space="preserve">forest clearing and timber </w:t>
      </w:r>
      <w:r>
        <w:t xml:space="preserve">costs for well pads, access roads, and </w:t>
      </w:r>
      <w:r>
        <w:lastRenderedPageBreak/>
        <w:t xml:space="preserve">gathering pipelines </w:t>
      </w:r>
      <w:r w:rsidRPr="00DC1BAF">
        <w:t>was 1</w:t>
      </w:r>
      <w:r>
        <w:t>,501.16 USD pixel</w:t>
      </w:r>
      <w:r>
        <w:rPr>
          <w:vertAlign w:val="superscript"/>
        </w:rPr>
        <w:t>-1</w:t>
      </w:r>
      <w:r>
        <w:t xml:space="preserve">, </w:t>
      </w:r>
      <w:r w:rsidRPr="00DC1BAF">
        <w:t>750.58</w:t>
      </w:r>
      <w:r>
        <w:t xml:space="preserve"> USD pixel</w:t>
      </w:r>
      <w:r>
        <w:rPr>
          <w:vertAlign w:val="superscript"/>
        </w:rPr>
        <w:t>-1</w:t>
      </w:r>
      <w:r>
        <w:t xml:space="preserve">, and </w:t>
      </w:r>
      <w:r w:rsidRPr="00DC1BAF">
        <w:t>750.58</w:t>
      </w:r>
      <w:r>
        <w:t xml:space="preserve"> USD pixel</w:t>
      </w:r>
      <w:r>
        <w:rPr>
          <w:vertAlign w:val="superscript"/>
        </w:rPr>
        <w:t>-1</w:t>
      </w:r>
      <w:r>
        <w:t xml:space="preserve"> respectively.</w:t>
      </w:r>
    </w:p>
    <w:p w:rsidR="00C30D4F" w:rsidRDefault="00C30D4F" w:rsidP="00371861">
      <w:pPr>
        <w:pStyle w:val="Heading4"/>
      </w:pPr>
      <w:proofErr w:type="gramStart"/>
      <w:r>
        <w:t>stream</w:t>
      </w:r>
      <w:proofErr w:type="gramEnd"/>
      <w:r>
        <w:t xml:space="preserve"> crossing</w:t>
      </w:r>
    </w:p>
    <w:p w:rsidR="00C30D4F" w:rsidRPr="00AB3A1F" w:rsidRDefault="00C30D4F" w:rsidP="00C30D4F">
      <w:r>
        <w:rPr>
          <w:i/>
        </w:rPr>
        <w:t>Stream crossing</w:t>
      </w:r>
      <w:r>
        <w:t xml:space="preserve"> costs include the cost of materials, labor, and permits for construction of stream-crossing infrastructure such as culverts or small bridges for access roads and pipelines. We assumed that each pixel of water incurred the same </w:t>
      </w:r>
      <w:r w:rsidRPr="00F02496">
        <w:rPr>
          <w:i/>
        </w:rPr>
        <w:t>stream crossing</w:t>
      </w:r>
      <w:r>
        <w:t xml:space="preserve"> cost. The </w:t>
      </w:r>
      <w:r>
        <w:rPr>
          <w:i/>
        </w:rPr>
        <w:t xml:space="preserve">stream crossing </w:t>
      </w:r>
      <w:r>
        <w:t>cost for both access roads and gathering pipelines was 50,000 USD crossing</w:t>
      </w:r>
      <w:r>
        <w:rPr>
          <w:vertAlign w:val="superscript"/>
        </w:rPr>
        <w:t>-1</w:t>
      </w:r>
      <w:r>
        <w:t xml:space="preserve"> </w:t>
      </w:r>
      <w:proofErr w:type="gramStart"/>
      <w:r>
        <w:t>(50,000 USD pixel</w:t>
      </w:r>
      <w:r>
        <w:rPr>
          <w:vertAlign w:val="superscript"/>
        </w:rPr>
        <w:t>-1</w:t>
      </w:r>
      <w:r>
        <w:t>)</w:t>
      </w:r>
      <w:proofErr w:type="gramEnd"/>
      <w:r>
        <w:t>.</w:t>
      </w:r>
    </w:p>
    <w:p w:rsidR="00C30D4F" w:rsidRDefault="00C30D4F" w:rsidP="00371861">
      <w:pPr>
        <w:pStyle w:val="Heading4"/>
      </w:pPr>
      <w:proofErr w:type="gramStart"/>
      <w:r>
        <w:t>cut</w:t>
      </w:r>
      <w:proofErr w:type="gramEnd"/>
      <w:r>
        <w:t xml:space="preserve"> and fill</w:t>
      </w:r>
    </w:p>
    <w:p w:rsidR="00C30D4F" w:rsidRPr="001D40F5" w:rsidRDefault="00C30D4F" w:rsidP="00C30D4F">
      <w:r>
        <w:rPr>
          <w:i/>
        </w:rPr>
        <w:t>Cut and fill</w:t>
      </w:r>
      <w:r>
        <w:t xml:space="preserve"> costs are the equipment rental and labor costs of moving soil around within a site in order to flatten construction areas. Though the construction of access roads and gathering pipelines does require cut and fill, we assumed these costs were sufficiently described by the </w:t>
      </w:r>
      <w:r>
        <w:rPr>
          <w:i/>
        </w:rPr>
        <w:t>slope</w:t>
      </w:r>
      <w:r>
        <w:t xml:space="preserve"> costs. As such, only well pads were assumed to incur a </w:t>
      </w:r>
      <w:r>
        <w:rPr>
          <w:i/>
        </w:rPr>
        <w:t>cut and fill</w:t>
      </w:r>
      <w:r>
        <w:t xml:space="preserve"> cost, which was set to 6.54 USD m</w:t>
      </w:r>
      <w:r>
        <w:rPr>
          <w:vertAlign w:val="superscript"/>
        </w:rPr>
        <w:t>-3</w:t>
      </w:r>
      <w:r>
        <w:t xml:space="preserve"> </w:t>
      </w:r>
      <w:proofErr w:type="gramStart"/>
      <w:r>
        <w:t>(5,885.74 USD m</w:t>
      </w:r>
      <w:r>
        <w:rPr>
          <w:vertAlign w:val="superscript"/>
        </w:rPr>
        <w:t>-1</w:t>
      </w:r>
      <w:r>
        <w:t xml:space="preserve"> pixel</w:t>
      </w:r>
      <w:r>
        <w:rPr>
          <w:vertAlign w:val="superscript"/>
        </w:rPr>
        <w:t>-1</w:t>
      </w:r>
      <w:r>
        <w:t>)</w:t>
      </w:r>
      <w:proofErr w:type="gramEnd"/>
      <w:r>
        <w:t xml:space="preserve">. This cost was then multiplied by a cut-and-fill depth raster to get the spatially varying </w:t>
      </w:r>
      <w:r>
        <w:rPr>
          <w:i/>
        </w:rPr>
        <w:t xml:space="preserve">cut and </w:t>
      </w:r>
      <w:r>
        <w:rPr>
          <w:i/>
        </w:rPr>
        <w:softHyphen/>
        <w:t>fill</w:t>
      </w:r>
      <w:r>
        <w:t xml:space="preserve"> cost. The cut-and-fill depth raster is based on the </w:t>
      </w:r>
      <w:r w:rsidRPr="00953683">
        <w:rPr>
          <w:i/>
        </w:rPr>
        <w:t>DEM</w:t>
      </w:r>
      <w:r>
        <w:t xml:space="preserve"> raster (</w:t>
      </w:r>
      <w:r w:rsidR="00F01773">
        <w:fldChar w:fldCharType="begin"/>
      </w:r>
      <w:r w:rsidR="008E6F0E">
        <w:instrText xml:space="preserve"> REF _Ref417549202 \h </w:instrText>
      </w:r>
      <w:r w:rsidR="00F01773">
        <w:fldChar w:fldCharType="separate"/>
      </w:r>
      <w:r w:rsidR="00867AA7">
        <w:t xml:space="preserve">Table S </w:t>
      </w:r>
      <w:r w:rsidR="00867AA7">
        <w:rPr>
          <w:noProof/>
        </w:rPr>
        <w:t>3</w:t>
      </w:r>
      <w:r w:rsidR="00867AA7">
        <w:t>.</w:t>
      </w:r>
      <w:r w:rsidR="00867AA7">
        <w:rPr>
          <w:noProof/>
        </w:rPr>
        <w:t>2</w:t>
      </w:r>
      <w:r w:rsidR="00F01773">
        <w:fldChar w:fldCharType="end"/>
      </w:r>
      <w:r>
        <w:t>) and was calculated as the height of soil added to or removed from a pixel to bring it to the average height of its eight neighbors.</w:t>
      </w:r>
    </w:p>
    <w:p w:rsidR="00C30D4F" w:rsidRDefault="00C30D4F" w:rsidP="00371861">
      <w:pPr>
        <w:pStyle w:val="Heading4"/>
      </w:pPr>
      <w:proofErr w:type="gramStart"/>
      <w:r>
        <w:t>pad</w:t>
      </w:r>
      <w:proofErr w:type="gramEnd"/>
      <w:r>
        <w:t xml:space="preserve"> and well permit</w:t>
      </w:r>
    </w:p>
    <w:p w:rsidR="002C0DE1" w:rsidRDefault="00C30D4F" w:rsidP="00C30D4F">
      <w:pPr>
        <w:sectPr w:rsidR="002C0DE1" w:rsidSect="002115B4">
          <w:pgSz w:w="12240" w:h="15840" w:code="1"/>
          <w:pgMar w:top="1440" w:right="1800" w:bottom="1440" w:left="1800" w:header="720" w:footer="1440" w:gutter="0"/>
          <w:cols w:space="720"/>
          <w:noEndnote/>
          <w:docGrid w:linePitch="360"/>
        </w:sectPr>
      </w:pPr>
      <w:r w:rsidRPr="0027459A">
        <w:rPr>
          <w:i/>
        </w:rPr>
        <w:t>Pad and well permit</w:t>
      </w:r>
      <w:r>
        <w:t xml:space="preserve"> costs are the costs of permitting wells on a well pad. In our analysis, each unique well pad is always assumed to have the same number of wells regardless of where Bungee proposes to place it. As such, this cost does not vary in space. However, it does vary with the number of wells. We set the </w:t>
      </w:r>
      <w:r w:rsidRPr="0027459A">
        <w:rPr>
          <w:i/>
        </w:rPr>
        <w:t xml:space="preserve">well permit </w:t>
      </w:r>
      <w:r>
        <w:t>cost to be a baseline of 65,000 USD pad</w:t>
      </w:r>
      <w:r w:rsidRPr="0027459A">
        <w:rPr>
          <w:vertAlign w:val="superscript"/>
        </w:rPr>
        <w:t xml:space="preserve">-1 </w:t>
      </w:r>
      <w:r>
        <w:t>with an additional 6,000 USD well</w:t>
      </w:r>
      <w:r w:rsidRPr="0027459A">
        <w:rPr>
          <w:vertAlign w:val="superscript"/>
        </w:rPr>
        <w:t>-1</w:t>
      </w:r>
      <w:r>
        <w:t xml:space="preserve">. In our analysis, all well pads had six wells such that the total </w:t>
      </w:r>
      <w:r w:rsidRPr="0027459A">
        <w:rPr>
          <w:i/>
        </w:rPr>
        <w:t xml:space="preserve">pad and well permit </w:t>
      </w:r>
      <w:r>
        <w:t xml:space="preserve">cost was </w:t>
      </w:r>
      <w:proofErr w:type="gramStart"/>
      <w:r>
        <w:t>101,000 USD pad</w:t>
      </w:r>
      <w:r w:rsidRPr="0027459A">
        <w:rPr>
          <w:vertAlign w:val="superscript"/>
        </w:rPr>
        <w:t>-1</w:t>
      </w:r>
      <w:proofErr w:type="gramEnd"/>
      <w:r>
        <w:t xml:space="preserve">. </w:t>
      </w:r>
    </w:p>
    <w:p w:rsidR="00C30D4F" w:rsidRDefault="00C30D4F" w:rsidP="00371861">
      <w:pPr>
        <w:pStyle w:val="Heading3"/>
      </w:pPr>
      <w:bookmarkStart w:id="197" w:name="_Toc417646799"/>
      <w:bookmarkStart w:id="198" w:name="_Toc417981344"/>
      <w:bookmarkStart w:id="199" w:name="Appendix34"/>
      <w:r>
        <w:lastRenderedPageBreak/>
        <w:t>Datasets</w:t>
      </w:r>
      <w:bookmarkEnd w:id="197"/>
      <w:bookmarkEnd w:id="198"/>
    </w:p>
    <w:p w:rsidR="005E7C16" w:rsidRPr="002B2090" w:rsidRDefault="004B5D49" w:rsidP="005E7C16">
      <w:pPr>
        <w:pStyle w:val="Caption"/>
        <w:rPr>
          <w:vanish/>
          <w:lang w:val="en-GB"/>
          <w:specVanish/>
        </w:rPr>
      </w:pPr>
      <w:bookmarkStart w:id="200" w:name="_Ref417549202"/>
      <w:bookmarkStart w:id="201" w:name="_Toc421352903"/>
      <w:bookmarkStart w:id="202" w:name="_Toc417647087"/>
      <w:bookmarkEnd w:id="199"/>
      <w:r>
        <w:t xml:space="preserve">Table S </w:t>
      </w:r>
      <w:r w:rsidR="00F01773">
        <w:fldChar w:fldCharType="begin"/>
      </w:r>
      <w:r w:rsidR="00B819A9">
        <w:instrText xml:space="preserve"> STYLEREF 1 \s </w:instrText>
      </w:r>
      <w:r w:rsidR="00F01773">
        <w:fldChar w:fldCharType="separate"/>
      </w:r>
      <w:r w:rsidR="00867AA7">
        <w:rPr>
          <w:noProof/>
        </w:rPr>
        <w:t>3</w:t>
      </w:r>
      <w:r w:rsidR="00F01773">
        <w:rPr>
          <w:noProof/>
        </w:rPr>
        <w:fldChar w:fldCharType="end"/>
      </w:r>
      <w:r w:rsidR="00BA7201">
        <w:t>.</w:t>
      </w:r>
      <w:r w:rsidR="00F01773">
        <w:fldChar w:fldCharType="begin"/>
      </w:r>
      <w:r w:rsidR="00B819A9">
        <w:instrText xml:space="preserve"> SEQ Table_S \* ARABIC \s 1 </w:instrText>
      </w:r>
      <w:r w:rsidR="00F01773">
        <w:fldChar w:fldCharType="separate"/>
      </w:r>
      <w:r w:rsidR="00867AA7">
        <w:rPr>
          <w:noProof/>
        </w:rPr>
        <w:t>2</w:t>
      </w:r>
      <w:r w:rsidR="00F01773">
        <w:rPr>
          <w:noProof/>
        </w:rPr>
        <w:fldChar w:fldCharType="end"/>
      </w:r>
      <w:bookmarkEnd w:id="200"/>
      <w:r>
        <w:t>. Description of datasets used in the analysis</w:t>
      </w:r>
      <w:bookmarkEnd w:id="201"/>
    </w:p>
    <w:p w:rsidR="004B5D49" w:rsidRDefault="004B5D49" w:rsidP="004B5D49">
      <w:pPr>
        <w:pStyle w:val="Caption"/>
      </w:pPr>
      <w:proofErr w:type="gramStart"/>
      <w:r>
        <w:t>, including those used by default in Bungee and those specific to this analysis.</w:t>
      </w:r>
      <w:bookmarkEnd w:id="202"/>
      <w:proofErr w:type="gramEnd"/>
    </w:p>
    <w:tbl>
      <w:tblPr>
        <w:tblStyle w:val="LightShading1"/>
        <w:tblW w:w="5000" w:type="pct"/>
        <w:tblLayout w:type="fixed"/>
        <w:tblLook w:val="04A0"/>
      </w:tblPr>
      <w:tblGrid>
        <w:gridCol w:w="1330"/>
        <w:gridCol w:w="2618"/>
        <w:gridCol w:w="4908"/>
      </w:tblGrid>
      <w:tr w:rsidR="00C30D4F" w:rsidRPr="004F73F5" w:rsidTr="00125A91">
        <w:trPr>
          <w:cnfStyle w:val="100000000000"/>
        </w:trPr>
        <w:tc>
          <w:tcPr>
            <w:cnfStyle w:val="001000000000"/>
            <w:tcW w:w="751" w:type="pct"/>
          </w:tcPr>
          <w:p w:rsidR="00C30D4F" w:rsidRPr="004F73F5" w:rsidRDefault="00C30D4F" w:rsidP="003C0234">
            <w:r w:rsidRPr="004F73F5">
              <w:t>Dataset</w:t>
            </w:r>
          </w:p>
        </w:tc>
        <w:tc>
          <w:tcPr>
            <w:tcW w:w="1478" w:type="pct"/>
          </w:tcPr>
          <w:p w:rsidR="00C30D4F" w:rsidRPr="004F73F5" w:rsidRDefault="00C30D4F" w:rsidP="003C0234">
            <w:pPr>
              <w:cnfStyle w:val="100000000000"/>
            </w:pPr>
            <w:r w:rsidRPr="004F73F5">
              <w:t>Used for</w:t>
            </w:r>
          </w:p>
        </w:tc>
        <w:tc>
          <w:tcPr>
            <w:tcW w:w="2771" w:type="pct"/>
          </w:tcPr>
          <w:p w:rsidR="00C30D4F" w:rsidRPr="004F73F5" w:rsidRDefault="00C30D4F" w:rsidP="003C0234">
            <w:pPr>
              <w:cnfStyle w:val="100000000000"/>
            </w:pPr>
            <w:r w:rsidRPr="004F73F5">
              <w:t>Source</w:t>
            </w:r>
          </w:p>
        </w:tc>
      </w:tr>
      <w:tr w:rsidR="00C30D4F" w:rsidRPr="004F73F5" w:rsidTr="00125A91">
        <w:trPr>
          <w:cnfStyle w:val="000000100000"/>
        </w:trPr>
        <w:tc>
          <w:tcPr>
            <w:cnfStyle w:val="001000000000"/>
            <w:tcW w:w="751" w:type="pct"/>
            <w:tcBorders>
              <w:top w:val="single" w:sz="8" w:space="0" w:color="000000" w:themeColor="text1"/>
              <w:bottom w:val="single" w:sz="4" w:space="0" w:color="BFBFBF" w:themeColor="background1" w:themeShade="BF"/>
            </w:tcBorders>
            <w:shd w:val="clear" w:color="auto" w:fill="auto"/>
          </w:tcPr>
          <w:p w:rsidR="00C30D4F" w:rsidRPr="00A07A32" w:rsidRDefault="00C30D4F" w:rsidP="003C0234">
            <w:pPr>
              <w:rPr>
                <w:b w:val="0"/>
                <w:i/>
              </w:rPr>
            </w:pPr>
            <w:r w:rsidRPr="00A07A32">
              <w:rPr>
                <w:b w:val="0"/>
                <w:i/>
              </w:rPr>
              <w:t>well permits</w:t>
            </w:r>
          </w:p>
        </w:tc>
        <w:tc>
          <w:tcPr>
            <w:tcW w:w="1478" w:type="pct"/>
            <w:tcBorders>
              <w:top w:val="single" w:sz="8" w:space="0" w:color="000000" w:themeColor="text1"/>
              <w:bottom w:val="single" w:sz="4" w:space="0" w:color="BFBFBF" w:themeColor="background1" w:themeShade="BF"/>
            </w:tcBorders>
            <w:shd w:val="clear" w:color="auto" w:fill="auto"/>
          </w:tcPr>
          <w:p w:rsidR="00C30D4F" w:rsidRPr="004F73F5" w:rsidRDefault="00C30D4F" w:rsidP="003C0234">
            <w:pPr>
              <w:cnfStyle w:val="000000100000"/>
            </w:pPr>
            <w:r>
              <w:t>estimating development boundaries</w:t>
            </w:r>
          </w:p>
        </w:tc>
        <w:tc>
          <w:tcPr>
            <w:tcW w:w="2771" w:type="pct"/>
            <w:tcBorders>
              <w:top w:val="single" w:sz="8" w:space="0" w:color="000000" w:themeColor="text1"/>
              <w:bottom w:val="single" w:sz="4" w:space="0" w:color="BFBFBF" w:themeColor="background1" w:themeShade="BF"/>
            </w:tcBorders>
            <w:shd w:val="clear" w:color="auto" w:fill="auto"/>
          </w:tcPr>
          <w:p w:rsidR="00C30D4F" w:rsidRPr="004F73F5" w:rsidRDefault="00C30D4F" w:rsidP="003C0234">
            <w:pPr>
              <w:cnfStyle w:val="000000100000"/>
            </w:pPr>
            <w:r>
              <w:t xml:space="preserve">Pennsylvania Department of Environmental Protection: Office of Oil and Gas Management: </w:t>
            </w:r>
            <w:hyperlink r:id="rId73" w:history="1">
              <w:r w:rsidRPr="00F548D0">
                <w:rPr>
                  <w:rStyle w:val="Hyperlink"/>
                </w:rPr>
                <w:t>http://www.portal.state.pa.us/</w:t>
              </w:r>
            </w:hyperlink>
            <w:r>
              <w:t xml:space="preserve"> </w:t>
            </w:r>
          </w:p>
        </w:tc>
      </w:tr>
      <w:tr w:rsidR="00C30D4F" w:rsidRPr="004F73F5" w:rsidTr="00125A91">
        <w:tc>
          <w:tcPr>
            <w:cnfStyle w:val="001000000000"/>
            <w:tcW w:w="751" w:type="pct"/>
            <w:tcBorders>
              <w:top w:val="single" w:sz="4" w:space="0" w:color="BFBFBF" w:themeColor="background1" w:themeShade="BF"/>
              <w:bottom w:val="single" w:sz="4" w:space="0" w:color="BFBFBF" w:themeColor="background1" w:themeShade="BF"/>
            </w:tcBorders>
            <w:shd w:val="clear" w:color="auto" w:fill="auto"/>
          </w:tcPr>
          <w:p w:rsidR="00C30D4F" w:rsidRPr="00A07A32" w:rsidRDefault="00C30D4F" w:rsidP="003C0234">
            <w:pPr>
              <w:rPr>
                <w:b w:val="0"/>
              </w:rPr>
            </w:pPr>
            <w:r w:rsidRPr="00A07A32">
              <w:rPr>
                <w:b w:val="0"/>
                <w:i/>
              </w:rPr>
              <w:t>forest</w:t>
            </w:r>
            <w:r w:rsidRPr="00A07A32">
              <w:rPr>
                <w:b w:val="0"/>
              </w:rPr>
              <w:t xml:space="preserve"> patches</w:t>
            </w:r>
          </w:p>
        </w:tc>
        <w:tc>
          <w:tcPr>
            <w:tcW w:w="1478" w:type="pct"/>
            <w:tcBorders>
              <w:top w:val="single" w:sz="4" w:space="0" w:color="BFBFBF" w:themeColor="background1" w:themeShade="BF"/>
              <w:bottom w:val="single" w:sz="4" w:space="0" w:color="BFBFBF" w:themeColor="background1" w:themeShade="BF"/>
            </w:tcBorders>
            <w:shd w:val="clear" w:color="auto" w:fill="auto"/>
          </w:tcPr>
          <w:p w:rsidR="00C30D4F" w:rsidRPr="004F73F5" w:rsidRDefault="00C30D4F" w:rsidP="003C0234">
            <w:pPr>
              <w:cnfStyle w:val="000000000000"/>
            </w:pPr>
            <w:r w:rsidRPr="004F73F5">
              <w:t>siting infrastructure, forest metrics</w:t>
            </w:r>
          </w:p>
        </w:tc>
        <w:tc>
          <w:tcPr>
            <w:tcW w:w="2771" w:type="pct"/>
            <w:tcBorders>
              <w:top w:val="single" w:sz="4" w:space="0" w:color="BFBFBF" w:themeColor="background1" w:themeShade="BF"/>
              <w:bottom w:val="single" w:sz="4" w:space="0" w:color="BFBFBF" w:themeColor="background1" w:themeShade="BF"/>
            </w:tcBorders>
            <w:shd w:val="clear" w:color="auto" w:fill="auto"/>
          </w:tcPr>
          <w:p w:rsidR="00C30D4F" w:rsidRPr="004F73F5" w:rsidRDefault="00C30D4F" w:rsidP="003C0234">
            <w:pPr>
              <w:cnfStyle w:val="000000000000"/>
            </w:pPr>
            <w:r>
              <w:t>National Land Cover Database</w:t>
            </w:r>
            <w:r w:rsidRPr="004F73F5">
              <w:t xml:space="preserve"> 2006 (classes 41, 42, 43, 90): </w:t>
            </w:r>
            <w:hyperlink r:id="rId74" w:history="1">
              <w:r w:rsidRPr="004F73F5">
                <w:rPr>
                  <w:rStyle w:val="Hyperlink"/>
                </w:rPr>
                <w:t>http://www.mrlc.gov/nlcd06_data.php</w:t>
              </w:r>
            </w:hyperlink>
          </w:p>
        </w:tc>
      </w:tr>
      <w:tr w:rsidR="00C30D4F" w:rsidRPr="004F73F5" w:rsidTr="00125A91">
        <w:trPr>
          <w:cnfStyle w:val="000000100000"/>
        </w:trPr>
        <w:tc>
          <w:tcPr>
            <w:cnfStyle w:val="001000000000"/>
            <w:tcW w:w="751" w:type="pct"/>
            <w:tcBorders>
              <w:top w:val="single" w:sz="4" w:space="0" w:color="BFBFBF" w:themeColor="background1" w:themeShade="BF"/>
              <w:bottom w:val="single" w:sz="4" w:space="0" w:color="BFBFBF" w:themeColor="background1" w:themeShade="BF"/>
            </w:tcBorders>
            <w:shd w:val="clear" w:color="auto" w:fill="auto"/>
          </w:tcPr>
          <w:p w:rsidR="00C30D4F" w:rsidRPr="00A07A32" w:rsidRDefault="00C30D4F" w:rsidP="003C0234">
            <w:pPr>
              <w:rPr>
                <w:b w:val="0"/>
              </w:rPr>
            </w:pPr>
            <w:r w:rsidRPr="00A07A32">
              <w:rPr>
                <w:b w:val="0"/>
                <w:i/>
              </w:rPr>
              <w:t>wetlands</w:t>
            </w:r>
            <w:r w:rsidRPr="00A07A32">
              <w:rPr>
                <w:b w:val="0"/>
              </w:rPr>
              <w:t xml:space="preserve"> in PA</w:t>
            </w:r>
          </w:p>
        </w:tc>
        <w:tc>
          <w:tcPr>
            <w:tcW w:w="1478" w:type="pct"/>
            <w:tcBorders>
              <w:top w:val="single" w:sz="4" w:space="0" w:color="BFBFBF" w:themeColor="background1" w:themeShade="BF"/>
              <w:bottom w:val="single" w:sz="4" w:space="0" w:color="BFBFBF" w:themeColor="background1" w:themeShade="BF"/>
            </w:tcBorders>
            <w:shd w:val="clear" w:color="auto" w:fill="auto"/>
          </w:tcPr>
          <w:p w:rsidR="00C30D4F" w:rsidRPr="004F73F5" w:rsidRDefault="00C30D4F" w:rsidP="003C0234">
            <w:pPr>
              <w:cnfStyle w:val="000000100000"/>
            </w:pPr>
            <w:r w:rsidRPr="004F73F5">
              <w:t>restricting infrastructure, siting infrastructure</w:t>
            </w:r>
            <w:r>
              <w:t>, wetlands encroachment metric</w:t>
            </w:r>
          </w:p>
        </w:tc>
        <w:tc>
          <w:tcPr>
            <w:tcW w:w="2771" w:type="pct"/>
            <w:tcBorders>
              <w:top w:val="single" w:sz="4" w:space="0" w:color="BFBFBF" w:themeColor="background1" w:themeShade="BF"/>
              <w:bottom w:val="single" w:sz="4" w:space="0" w:color="BFBFBF" w:themeColor="background1" w:themeShade="BF"/>
            </w:tcBorders>
            <w:shd w:val="clear" w:color="auto" w:fill="auto"/>
          </w:tcPr>
          <w:p w:rsidR="00C30D4F" w:rsidRDefault="00C30D4F" w:rsidP="003C0234">
            <w:pPr>
              <w:cnfStyle w:val="000000100000"/>
            </w:pPr>
            <w:r>
              <w:t>National Wetlands Inventory and National Land Cover Database 2006</w:t>
            </w:r>
          </w:p>
          <w:p w:rsidR="00C30D4F" w:rsidRPr="004F73F5" w:rsidRDefault="00F01773" w:rsidP="003C0234">
            <w:pPr>
              <w:cnfStyle w:val="000000100000"/>
            </w:pPr>
            <w:hyperlink r:id="rId75" w:history="1">
              <w:r w:rsidR="00C30D4F" w:rsidRPr="000B12AB">
                <w:rPr>
                  <w:rStyle w:val="Hyperlink"/>
                </w:rPr>
                <w:t>http://www.fws.gov/wetlands/Data/Mapper.html</w:t>
              </w:r>
            </w:hyperlink>
          </w:p>
        </w:tc>
      </w:tr>
      <w:tr w:rsidR="00C30D4F" w:rsidRPr="004F73F5" w:rsidTr="00125A91">
        <w:tc>
          <w:tcPr>
            <w:cnfStyle w:val="001000000000"/>
            <w:tcW w:w="751" w:type="pct"/>
            <w:tcBorders>
              <w:top w:val="single" w:sz="4" w:space="0" w:color="BFBFBF" w:themeColor="background1" w:themeShade="BF"/>
              <w:bottom w:val="single" w:sz="4" w:space="0" w:color="BFBFBF" w:themeColor="background1" w:themeShade="BF"/>
            </w:tcBorders>
            <w:shd w:val="clear" w:color="auto" w:fill="auto"/>
          </w:tcPr>
          <w:p w:rsidR="00C30D4F" w:rsidRPr="00A07A32" w:rsidRDefault="00C30D4F" w:rsidP="003C0234">
            <w:pPr>
              <w:rPr>
                <w:b w:val="0"/>
              </w:rPr>
            </w:pPr>
            <w:r w:rsidRPr="00A07A32">
              <w:rPr>
                <w:b w:val="0"/>
                <w:i/>
                <w:lang w:val="fr-FR"/>
              </w:rPr>
              <w:t>habitat</w:t>
            </w:r>
            <w:r w:rsidRPr="00A07A32">
              <w:rPr>
                <w:b w:val="0"/>
                <w:lang w:val="fr-FR"/>
              </w:rPr>
              <w:t xml:space="preserve"> classifications for NE USA</w:t>
            </w:r>
          </w:p>
        </w:tc>
        <w:tc>
          <w:tcPr>
            <w:tcW w:w="1478" w:type="pct"/>
            <w:tcBorders>
              <w:top w:val="single" w:sz="4" w:space="0" w:color="BFBFBF" w:themeColor="background1" w:themeShade="BF"/>
              <w:bottom w:val="single" w:sz="4" w:space="0" w:color="BFBFBF" w:themeColor="background1" w:themeShade="BF"/>
            </w:tcBorders>
            <w:shd w:val="clear" w:color="auto" w:fill="auto"/>
          </w:tcPr>
          <w:p w:rsidR="00C30D4F" w:rsidRPr="004F73F5" w:rsidRDefault="00C30D4F" w:rsidP="003C0234">
            <w:pPr>
              <w:cnfStyle w:val="000000000000"/>
              <w:rPr>
                <w:lang w:val="fr-FR"/>
              </w:rPr>
            </w:pPr>
            <w:r w:rsidRPr="004F73F5">
              <w:rPr>
                <w:lang w:val="fr-FR"/>
              </w:rPr>
              <w:t xml:space="preserve">rare </w:t>
            </w:r>
            <w:proofErr w:type="spellStart"/>
            <w:r w:rsidRPr="004F73F5">
              <w:rPr>
                <w:lang w:val="fr-FR"/>
              </w:rPr>
              <w:t>spp</w:t>
            </w:r>
            <w:proofErr w:type="spellEnd"/>
            <w:r>
              <w:rPr>
                <w:lang w:val="fr-FR"/>
              </w:rPr>
              <w:t>.</w:t>
            </w:r>
            <w:r w:rsidRPr="004F73F5">
              <w:rPr>
                <w:lang w:val="fr-FR"/>
              </w:rPr>
              <w:t xml:space="preserve"> </w:t>
            </w:r>
            <w:proofErr w:type="spellStart"/>
            <w:r w:rsidRPr="004F73F5">
              <w:rPr>
                <w:lang w:val="fr-FR"/>
              </w:rPr>
              <w:t>metric</w:t>
            </w:r>
            <w:proofErr w:type="spellEnd"/>
          </w:p>
        </w:tc>
        <w:tc>
          <w:tcPr>
            <w:tcW w:w="2771" w:type="pct"/>
            <w:tcBorders>
              <w:top w:val="single" w:sz="4" w:space="0" w:color="BFBFBF" w:themeColor="background1" w:themeShade="BF"/>
              <w:bottom w:val="single" w:sz="4" w:space="0" w:color="BFBFBF" w:themeColor="background1" w:themeShade="BF"/>
            </w:tcBorders>
            <w:shd w:val="clear" w:color="auto" w:fill="auto"/>
          </w:tcPr>
          <w:p w:rsidR="00C30D4F" w:rsidRPr="004F73F5" w:rsidRDefault="00C30D4F" w:rsidP="003C0234">
            <w:pPr>
              <w:cnfStyle w:val="000000000000"/>
            </w:pPr>
            <w:r w:rsidRPr="004F73F5">
              <w:t xml:space="preserve">Northeastern Terrestrial Habitat Mapping Project: </w:t>
            </w:r>
            <w:hyperlink r:id="rId76" w:history="1">
              <w:r w:rsidRPr="004F73F5">
                <w:rPr>
                  <w:rStyle w:val="Hyperlink"/>
                </w:rPr>
                <w:t>http://conserveonline.org/workspaces/ecs/documents/ne-terrestrial-habitat-mapping-project</w:t>
              </w:r>
            </w:hyperlink>
          </w:p>
        </w:tc>
      </w:tr>
      <w:tr w:rsidR="00C30D4F" w:rsidRPr="004F73F5" w:rsidTr="00125A91">
        <w:trPr>
          <w:cnfStyle w:val="000000100000"/>
        </w:trPr>
        <w:tc>
          <w:tcPr>
            <w:cnfStyle w:val="001000000000"/>
            <w:tcW w:w="751" w:type="pct"/>
            <w:tcBorders>
              <w:top w:val="single" w:sz="4" w:space="0" w:color="BFBFBF" w:themeColor="background1" w:themeShade="BF"/>
              <w:bottom w:val="single" w:sz="4" w:space="0" w:color="BFBFBF" w:themeColor="background1" w:themeShade="BF"/>
            </w:tcBorders>
            <w:shd w:val="clear" w:color="auto" w:fill="auto"/>
          </w:tcPr>
          <w:p w:rsidR="00C30D4F" w:rsidRPr="00A07A32" w:rsidRDefault="00C30D4F" w:rsidP="003C0234">
            <w:pPr>
              <w:rPr>
                <w:b w:val="0"/>
              </w:rPr>
            </w:pPr>
            <w:r w:rsidRPr="00A07A32">
              <w:rPr>
                <w:b w:val="0"/>
              </w:rPr>
              <w:t>spatial locations of rare species observations in PA</w:t>
            </w:r>
          </w:p>
        </w:tc>
        <w:tc>
          <w:tcPr>
            <w:tcW w:w="1478" w:type="pct"/>
            <w:tcBorders>
              <w:top w:val="single" w:sz="4" w:space="0" w:color="BFBFBF" w:themeColor="background1" w:themeShade="BF"/>
              <w:bottom w:val="single" w:sz="4" w:space="0" w:color="BFBFBF" w:themeColor="background1" w:themeShade="BF"/>
            </w:tcBorders>
            <w:shd w:val="clear" w:color="auto" w:fill="auto"/>
          </w:tcPr>
          <w:p w:rsidR="00C30D4F" w:rsidRPr="004F73F5" w:rsidRDefault="00C30D4F" w:rsidP="003C0234">
            <w:pPr>
              <w:cnfStyle w:val="000000100000"/>
            </w:pPr>
            <w:r w:rsidRPr="004F73F5">
              <w:t>rare spp</w:t>
            </w:r>
            <w:r>
              <w:t>.</w:t>
            </w:r>
            <w:r w:rsidRPr="004F73F5">
              <w:t xml:space="preserve"> metric</w:t>
            </w:r>
          </w:p>
        </w:tc>
        <w:tc>
          <w:tcPr>
            <w:tcW w:w="2771" w:type="pct"/>
            <w:tcBorders>
              <w:top w:val="single" w:sz="4" w:space="0" w:color="BFBFBF" w:themeColor="background1" w:themeShade="BF"/>
              <w:bottom w:val="single" w:sz="4" w:space="0" w:color="BFBFBF" w:themeColor="background1" w:themeShade="BF"/>
            </w:tcBorders>
            <w:shd w:val="clear" w:color="auto" w:fill="auto"/>
          </w:tcPr>
          <w:p w:rsidR="00C30D4F" w:rsidRPr="004F73F5" w:rsidRDefault="00C30D4F" w:rsidP="003C0234">
            <w:pPr>
              <w:cnfStyle w:val="000000100000"/>
            </w:pPr>
            <w:r w:rsidRPr="004F73F5">
              <w:t>Pennsylvania Natural Heritage Program data request. Cannot release data.</w:t>
            </w:r>
          </w:p>
        </w:tc>
      </w:tr>
      <w:tr w:rsidR="00C30D4F" w:rsidRPr="004F73F5" w:rsidTr="00125A91">
        <w:tc>
          <w:tcPr>
            <w:cnfStyle w:val="001000000000"/>
            <w:tcW w:w="751" w:type="pct"/>
            <w:tcBorders>
              <w:top w:val="single" w:sz="4" w:space="0" w:color="BFBFBF" w:themeColor="background1" w:themeShade="BF"/>
              <w:bottom w:val="single" w:sz="4" w:space="0" w:color="BFBFBF" w:themeColor="background1" w:themeShade="BF"/>
            </w:tcBorders>
            <w:shd w:val="clear" w:color="auto" w:fill="auto"/>
          </w:tcPr>
          <w:p w:rsidR="00C30D4F" w:rsidRPr="00A07A32" w:rsidRDefault="00C30D4F" w:rsidP="003C0234">
            <w:pPr>
              <w:rPr>
                <w:b w:val="0"/>
              </w:rPr>
            </w:pPr>
            <w:r w:rsidRPr="00A07A32">
              <w:rPr>
                <w:b w:val="0"/>
              </w:rPr>
              <w:t>streams, rivers, lakes</w:t>
            </w:r>
          </w:p>
        </w:tc>
        <w:tc>
          <w:tcPr>
            <w:tcW w:w="1478" w:type="pct"/>
            <w:tcBorders>
              <w:top w:val="single" w:sz="4" w:space="0" w:color="BFBFBF" w:themeColor="background1" w:themeShade="BF"/>
              <w:bottom w:val="single" w:sz="4" w:space="0" w:color="BFBFBF" w:themeColor="background1" w:themeShade="BF"/>
            </w:tcBorders>
            <w:shd w:val="clear" w:color="auto" w:fill="auto"/>
          </w:tcPr>
          <w:p w:rsidR="00C30D4F" w:rsidRPr="00504918" w:rsidRDefault="00C30D4F" w:rsidP="003C0234">
            <w:pPr>
              <w:cnfStyle w:val="000000000000"/>
            </w:pPr>
            <w:r w:rsidRPr="004F73F5">
              <w:t>restricting infrastructure, siting infrastructure, water metrics</w:t>
            </w:r>
            <w:r>
              <w:t xml:space="preserve">, </w:t>
            </w:r>
            <w:r>
              <w:rPr>
                <w:i/>
              </w:rPr>
              <w:t xml:space="preserve">sediment yield </w:t>
            </w:r>
            <w:r>
              <w:t>raster</w:t>
            </w:r>
          </w:p>
        </w:tc>
        <w:tc>
          <w:tcPr>
            <w:tcW w:w="2771" w:type="pct"/>
            <w:tcBorders>
              <w:top w:val="single" w:sz="4" w:space="0" w:color="BFBFBF" w:themeColor="background1" w:themeShade="BF"/>
              <w:bottom w:val="single" w:sz="4" w:space="0" w:color="BFBFBF" w:themeColor="background1" w:themeShade="BF"/>
            </w:tcBorders>
            <w:shd w:val="clear" w:color="auto" w:fill="auto"/>
          </w:tcPr>
          <w:p w:rsidR="00C30D4F" w:rsidRPr="004F73F5" w:rsidRDefault="00C30D4F" w:rsidP="003C0234">
            <w:pPr>
              <w:cnfStyle w:val="000000000000"/>
            </w:pPr>
            <w:r>
              <w:t xml:space="preserve">National Hydrography Dataset: </w:t>
            </w:r>
            <w:hyperlink r:id="rId77" w:history="1">
              <w:r w:rsidRPr="00464392">
                <w:rPr>
                  <w:rStyle w:val="Hyperlink"/>
                </w:rPr>
                <w:t>ftp://nhdftp.usgs.gov/DataSets/Staged/States/FileGDB/HighResolution/</w:t>
              </w:r>
            </w:hyperlink>
            <w:r w:rsidRPr="004F73F5">
              <w:t xml:space="preserve"> </w:t>
            </w:r>
          </w:p>
        </w:tc>
      </w:tr>
      <w:tr w:rsidR="00C30D4F" w:rsidRPr="004F73F5" w:rsidTr="004C4795">
        <w:trPr>
          <w:cnfStyle w:val="000000100000"/>
        </w:trPr>
        <w:tc>
          <w:tcPr>
            <w:cnfStyle w:val="001000000000"/>
            <w:tcW w:w="751" w:type="pct"/>
            <w:tcBorders>
              <w:top w:val="single" w:sz="4" w:space="0" w:color="BFBFBF" w:themeColor="background1" w:themeShade="BF"/>
              <w:bottom w:val="nil"/>
            </w:tcBorders>
            <w:shd w:val="clear" w:color="auto" w:fill="auto"/>
          </w:tcPr>
          <w:p w:rsidR="00C30D4F" w:rsidRPr="00A07A32" w:rsidRDefault="00C30D4F" w:rsidP="003C0234">
            <w:pPr>
              <w:rPr>
                <w:b w:val="0"/>
              </w:rPr>
            </w:pPr>
            <w:r w:rsidRPr="00A07A32">
              <w:rPr>
                <w:b w:val="0"/>
              </w:rPr>
              <w:t>Digital Elevation Model (</w:t>
            </w:r>
            <w:proofErr w:type="spellStart"/>
            <w:r w:rsidRPr="00A07A32">
              <w:rPr>
                <w:b w:val="0"/>
                <w:i/>
              </w:rPr>
              <w:t>dem</w:t>
            </w:r>
            <w:proofErr w:type="spellEnd"/>
            <w:r w:rsidRPr="00A07A32">
              <w:rPr>
                <w:b w:val="0"/>
              </w:rPr>
              <w:t>), elevation at a point in raster format</w:t>
            </w:r>
          </w:p>
        </w:tc>
        <w:tc>
          <w:tcPr>
            <w:tcW w:w="1478" w:type="pct"/>
            <w:tcBorders>
              <w:top w:val="single" w:sz="4" w:space="0" w:color="BFBFBF" w:themeColor="background1" w:themeShade="BF"/>
              <w:bottom w:val="nil"/>
            </w:tcBorders>
            <w:shd w:val="clear" w:color="auto" w:fill="auto"/>
          </w:tcPr>
          <w:p w:rsidR="00C30D4F" w:rsidRPr="00CE68B9" w:rsidRDefault="00C30D4F" w:rsidP="003C0234">
            <w:pPr>
              <w:cnfStyle w:val="000000100000"/>
            </w:pPr>
            <w:r w:rsidRPr="004F73F5">
              <w:t xml:space="preserve">restricting infrastructure, siting infrastructure, </w:t>
            </w:r>
            <w:r>
              <w:t>cut-and fill cost, percent-</w:t>
            </w:r>
            <w:r w:rsidRPr="004E381C">
              <w:rPr>
                <w:i/>
              </w:rPr>
              <w:t>slope</w:t>
            </w:r>
            <w:r>
              <w:t xml:space="preserve"> raster, </w:t>
            </w:r>
            <w:r>
              <w:rPr>
                <w:i/>
              </w:rPr>
              <w:t xml:space="preserve">sediment yield </w:t>
            </w:r>
            <w:r>
              <w:t>raster</w:t>
            </w:r>
          </w:p>
        </w:tc>
        <w:tc>
          <w:tcPr>
            <w:tcW w:w="2771" w:type="pct"/>
            <w:tcBorders>
              <w:top w:val="single" w:sz="4" w:space="0" w:color="BFBFBF" w:themeColor="background1" w:themeShade="BF"/>
              <w:bottom w:val="nil"/>
            </w:tcBorders>
            <w:shd w:val="clear" w:color="auto" w:fill="auto"/>
          </w:tcPr>
          <w:p w:rsidR="00C30D4F" w:rsidRPr="004F73F5" w:rsidRDefault="00C30D4F" w:rsidP="003C0234">
            <w:pPr>
              <w:cnfStyle w:val="000000100000"/>
            </w:pPr>
            <w:r>
              <w:t xml:space="preserve">National Elevation Dataset within the National Hydrography Dataset: </w:t>
            </w:r>
            <w:hyperlink r:id="rId78" w:history="1">
              <w:r w:rsidRPr="00587B53">
                <w:rPr>
                  <w:rStyle w:val="Hyperlink"/>
                </w:rPr>
                <w:t>http://www.horizon-systems.com/NHDPlus/NHDPlusV2_data.php</w:t>
              </w:r>
            </w:hyperlink>
          </w:p>
        </w:tc>
      </w:tr>
      <w:tr w:rsidR="002C0DE1" w:rsidRPr="004F73F5" w:rsidTr="004C4795">
        <w:tc>
          <w:tcPr>
            <w:cnfStyle w:val="001000000000"/>
            <w:tcW w:w="5000" w:type="pct"/>
            <w:gridSpan w:val="3"/>
            <w:tcBorders>
              <w:top w:val="nil"/>
              <w:bottom w:val="single" w:sz="4" w:space="0" w:color="auto"/>
            </w:tcBorders>
          </w:tcPr>
          <w:p w:rsidR="002C0DE1" w:rsidRPr="00DF2133" w:rsidRDefault="00F01773" w:rsidP="00DF2133">
            <w:pPr>
              <w:jc w:val="center"/>
              <w:rPr>
                <w:b w:val="0"/>
              </w:rPr>
            </w:pPr>
            <w:fldSimple w:instr=" REF _Ref417549202 \h  \* MERGEFORMAT ">
              <w:r w:rsidR="00867AA7" w:rsidRPr="00867AA7">
                <w:rPr>
                  <w:b w:val="0"/>
                </w:rPr>
                <w:t xml:space="preserve">Table S </w:t>
              </w:r>
              <w:r w:rsidR="00867AA7" w:rsidRPr="00867AA7">
                <w:rPr>
                  <w:b w:val="0"/>
                  <w:noProof/>
                </w:rPr>
                <w:t>3.2</w:t>
              </w:r>
            </w:fldSimple>
            <w:r w:rsidR="002C0DE1" w:rsidRPr="00DF2133">
              <w:rPr>
                <w:b w:val="0"/>
              </w:rPr>
              <w:t xml:space="preserve"> Continued</w:t>
            </w:r>
          </w:p>
        </w:tc>
      </w:tr>
      <w:tr w:rsidR="002C0DE1" w:rsidRPr="004F73F5" w:rsidTr="004C4795">
        <w:trPr>
          <w:cnfStyle w:val="000000100000"/>
        </w:trPr>
        <w:tc>
          <w:tcPr>
            <w:cnfStyle w:val="001000000000"/>
            <w:tcW w:w="751" w:type="pct"/>
            <w:tcBorders>
              <w:top w:val="single" w:sz="4" w:space="0" w:color="auto"/>
            </w:tcBorders>
            <w:shd w:val="clear" w:color="auto" w:fill="auto"/>
          </w:tcPr>
          <w:p w:rsidR="002C0DE1" w:rsidRPr="002C0DE1" w:rsidRDefault="002C0DE1" w:rsidP="00D432A5">
            <w:r w:rsidRPr="002C0DE1">
              <w:t>Dataset</w:t>
            </w:r>
          </w:p>
        </w:tc>
        <w:tc>
          <w:tcPr>
            <w:tcW w:w="1478" w:type="pct"/>
            <w:tcBorders>
              <w:top w:val="single" w:sz="4" w:space="0" w:color="auto"/>
            </w:tcBorders>
            <w:shd w:val="clear" w:color="auto" w:fill="auto"/>
          </w:tcPr>
          <w:p w:rsidR="002C0DE1" w:rsidRPr="002C0DE1" w:rsidRDefault="002C0DE1" w:rsidP="00D432A5">
            <w:pPr>
              <w:cnfStyle w:val="000000100000"/>
              <w:rPr>
                <w:b/>
              </w:rPr>
            </w:pPr>
            <w:r w:rsidRPr="002C0DE1">
              <w:rPr>
                <w:b/>
              </w:rPr>
              <w:t>Used for</w:t>
            </w:r>
          </w:p>
        </w:tc>
        <w:tc>
          <w:tcPr>
            <w:tcW w:w="2771" w:type="pct"/>
            <w:tcBorders>
              <w:top w:val="single" w:sz="4" w:space="0" w:color="auto"/>
            </w:tcBorders>
            <w:shd w:val="clear" w:color="auto" w:fill="auto"/>
          </w:tcPr>
          <w:p w:rsidR="002C0DE1" w:rsidRPr="002C0DE1" w:rsidRDefault="002C0DE1" w:rsidP="00D432A5">
            <w:pPr>
              <w:cnfStyle w:val="000000100000"/>
              <w:rPr>
                <w:b/>
              </w:rPr>
            </w:pPr>
            <w:r w:rsidRPr="002C0DE1">
              <w:rPr>
                <w:b/>
              </w:rPr>
              <w:t>Source</w:t>
            </w:r>
          </w:p>
        </w:tc>
      </w:tr>
      <w:tr w:rsidR="00C30D4F" w:rsidRPr="004F73F5" w:rsidTr="00125A91">
        <w:tc>
          <w:tcPr>
            <w:cnfStyle w:val="001000000000"/>
            <w:tcW w:w="751" w:type="pct"/>
            <w:tcBorders>
              <w:top w:val="single" w:sz="4" w:space="0" w:color="BFBFBF" w:themeColor="background1" w:themeShade="BF"/>
              <w:bottom w:val="single" w:sz="4" w:space="0" w:color="BFBFBF" w:themeColor="background1" w:themeShade="BF"/>
            </w:tcBorders>
            <w:shd w:val="clear" w:color="auto" w:fill="auto"/>
          </w:tcPr>
          <w:p w:rsidR="00C30D4F" w:rsidRPr="00A07A32" w:rsidRDefault="00C30D4F" w:rsidP="003C0234">
            <w:pPr>
              <w:rPr>
                <w:b w:val="0"/>
              </w:rPr>
            </w:pPr>
            <w:r w:rsidRPr="00A07A32">
              <w:rPr>
                <w:b w:val="0"/>
              </w:rPr>
              <w:t>‘cultural’ features, i.e. schools, recreational fields, dwellings, reservations, etc.</w:t>
            </w:r>
          </w:p>
        </w:tc>
        <w:tc>
          <w:tcPr>
            <w:tcW w:w="1478" w:type="pct"/>
            <w:tcBorders>
              <w:top w:val="single" w:sz="4" w:space="0" w:color="BFBFBF" w:themeColor="background1" w:themeShade="BF"/>
              <w:bottom w:val="single" w:sz="4" w:space="0" w:color="BFBFBF" w:themeColor="background1" w:themeShade="BF"/>
            </w:tcBorders>
            <w:shd w:val="clear" w:color="auto" w:fill="auto"/>
          </w:tcPr>
          <w:p w:rsidR="00C30D4F" w:rsidRPr="004F73F5" w:rsidRDefault="00C30D4F" w:rsidP="003C0234">
            <w:pPr>
              <w:cnfStyle w:val="000000000000"/>
            </w:pPr>
            <w:r w:rsidRPr="004F73F5">
              <w:t>restricting infrastructure</w:t>
            </w:r>
          </w:p>
        </w:tc>
        <w:tc>
          <w:tcPr>
            <w:tcW w:w="2771" w:type="pct"/>
            <w:tcBorders>
              <w:top w:val="single" w:sz="4" w:space="0" w:color="BFBFBF" w:themeColor="background1" w:themeShade="BF"/>
              <w:bottom w:val="single" w:sz="4" w:space="0" w:color="BFBFBF" w:themeColor="background1" w:themeShade="BF"/>
            </w:tcBorders>
            <w:shd w:val="clear" w:color="auto" w:fill="auto"/>
          </w:tcPr>
          <w:p w:rsidR="00C30D4F" w:rsidRPr="004F73F5" w:rsidRDefault="00C30D4F" w:rsidP="003C0234">
            <w:pPr>
              <w:cnfStyle w:val="000000000000"/>
            </w:pPr>
            <w:r>
              <w:t xml:space="preserve">U.S. Board on Geographic Names’ Geographic Names Information System (GNIS): </w:t>
            </w:r>
            <w:hyperlink r:id="rId79" w:history="1">
              <w:r w:rsidRPr="00173E33">
                <w:rPr>
                  <w:rStyle w:val="Hyperlink"/>
                </w:rPr>
                <w:t>http://geonames.usgs.gov/domestic/download_data.htm</w:t>
              </w:r>
            </w:hyperlink>
          </w:p>
        </w:tc>
      </w:tr>
      <w:tr w:rsidR="00C30D4F" w:rsidRPr="004F73F5" w:rsidTr="00125A91">
        <w:trPr>
          <w:cnfStyle w:val="000000100000"/>
        </w:trPr>
        <w:tc>
          <w:tcPr>
            <w:cnfStyle w:val="001000000000"/>
            <w:tcW w:w="751" w:type="pct"/>
            <w:tcBorders>
              <w:top w:val="single" w:sz="4" w:space="0" w:color="BFBFBF" w:themeColor="background1" w:themeShade="BF"/>
              <w:bottom w:val="single" w:sz="4" w:space="0" w:color="BFBFBF" w:themeColor="background1" w:themeShade="BF"/>
            </w:tcBorders>
            <w:shd w:val="clear" w:color="auto" w:fill="auto"/>
          </w:tcPr>
          <w:p w:rsidR="00C30D4F" w:rsidRPr="00A07A32" w:rsidRDefault="00C30D4F" w:rsidP="003C0234">
            <w:pPr>
              <w:rPr>
                <w:b w:val="0"/>
              </w:rPr>
            </w:pPr>
            <w:r w:rsidRPr="00A07A32">
              <w:rPr>
                <w:b w:val="0"/>
              </w:rPr>
              <w:t>existing roads</w:t>
            </w:r>
          </w:p>
        </w:tc>
        <w:tc>
          <w:tcPr>
            <w:tcW w:w="1478" w:type="pct"/>
            <w:tcBorders>
              <w:top w:val="single" w:sz="4" w:space="0" w:color="BFBFBF" w:themeColor="background1" w:themeShade="BF"/>
              <w:bottom w:val="single" w:sz="4" w:space="0" w:color="BFBFBF" w:themeColor="background1" w:themeShade="BF"/>
            </w:tcBorders>
            <w:shd w:val="clear" w:color="auto" w:fill="auto"/>
          </w:tcPr>
          <w:p w:rsidR="00C30D4F" w:rsidRPr="004F73F5" w:rsidRDefault="00C30D4F" w:rsidP="003C0234">
            <w:pPr>
              <w:cnfStyle w:val="000000100000"/>
            </w:pPr>
            <w:r w:rsidRPr="004F73F5">
              <w:t>siting infrastructure</w:t>
            </w:r>
          </w:p>
        </w:tc>
        <w:tc>
          <w:tcPr>
            <w:tcW w:w="2771" w:type="pct"/>
            <w:tcBorders>
              <w:top w:val="single" w:sz="4" w:space="0" w:color="BFBFBF" w:themeColor="background1" w:themeShade="BF"/>
              <w:bottom w:val="single" w:sz="4" w:space="0" w:color="BFBFBF" w:themeColor="background1" w:themeShade="BF"/>
            </w:tcBorders>
            <w:shd w:val="clear" w:color="auto" w:fill="auto"/>
          </w:tcPr>
          <w:p w:rsidR="00C30D4F" w:rsidRPr="004F73F5" w:rsidRDefault="00C30D4F" w:rsidP="003C0234">
            <w:pPr>
              <w:cnfStyle w:val="000000100000"/>
            </w:pPr>
            <w:r w:rsidRPr="004F73F5">
              <w:t xml:space="preserve">US Census Bureau TIGER/Line 2008 (all counties All Lines RDFLAG = “Y”): </w:t>
            </w:r>
            <w:hyperlink r:id="rId80" w:history="1">
              <w:r w:rsidRPr="004F73F5">
                <w:rPr>
                  <w:rStyle w:val="Hyperlink"/>
                </w:rPr>
                <w:t>http://www.pasda.psu.edu/default.asp</w:t>
              </w:r>
            </w:hyperlink>
          </w:p>
        </w:tc>
      </w:tr>
      <w:tr w:rsidR="00C30D4F" w:rsidRPr="004F73F5" w:rsidTr="00125A91">
        <w:tc>
          <w:tcPr>
            <w:cnfStyle w:val="001000000000"/>
            <w:tcW w:w="751" w:type="pct"/>
            <w:tcBorders>
              <w:top w:val="single" w:sz="4" w:space="0" w:color="BFBFBF" w:themeColor="background1" w:themeShade="BF"/>
              <w:bottom w:val="single" w:sz="8" w:space="0" w:color="000000" w:themeColor="text1"/>
            </w:tcBorders>
            <w:shd w:val="clear" w:color="auto" w:fill="auto"/>
          </w:tcPr>
          <w:p w:rsidR="00C30D4F" w:rsidRPr="00A07A32" w:rsidRDefault="00C30D4F" w:rsidP="003C0234">
            <w:pPr>
              <w:rPr>
                <w:b w:val="0"/>
              </w:rPr>
            </w:pPr>
            <w:r w:rsidRPr="00A07A32">
              <w:rPr>
                <w:b w:val="0"/>
              </w:rPr>
              <w:t>existing pipelines</w:t>
            </w:r>
          </w:p>
        </w:tc>
        <w:tc>
          <w:tcPr>
            <w:tcW w:w="1478" w:type="pct"/>
            <w:tcBorders>
              <w:top w:val="single" w:sz="4" w:space="0" w:color="BFBFBF" w:themeColor="background1" w:themeShade="BF"/>
              <w:bottom w:val="single" w:sz="8" w:space="0" w:color="000000" w:themeColor="text1"/>
            </w:tcBorders>
            <w:shd w:val="clear" w:color="auto" w:fill="auto"/>
          </w:tcPr>
          <w:p w:rsidR="00C30D4F" w:rsidRPr="004F73F5" w:rsidRDefault="00C30D4F" w:rsidP="003C0234">
            <w:pPr>
              <w:cnfStyle w:val="000000000000"/>
            </w:pPr>
            <w:r w:rsidRPr="004F73F5">
              <w:t>siting infrastructure</w:t>
            </w:r>
          </w:p>
        </w:tc>
        <w:tc>
          <w:tcPr>
            <w:tcW w:w="2771" w:type="pct"/>
            <w:tcBorders>
              <w:top w:val="single" w:sz="4" w:space="0" w:color="BFBFBF" w:themeColor="background1" w:themeShade="BF"/>
              <w:bottom w:val="single" w:sz="8" w:space="0" w:color="000000" w:themeColor="text1"/>
            </w:tcBorders>
            <w:shd w:val="clear" w:color="auto" w:fill="auto"/>
          </w:tcPr>
          <w:p w:rsidR="00C30D4F" w:rsidRPr="004F73F5" w:rsidRDefault="00C30D4F" w:rsidP="003C0234">
            <w:pPr>
              <w:cnfStyle w:val="000000000000"/>
            </w:pPr>
            <w:proofErr w:type="spellStart"/>
            <w:r w:rsidRPr="004F73F5">
              <w:t>MapSearch</w:t>
            </w:r>
            <w:proofErr w:type="spellEnd"/>
            <w:r w:rsidRPr="004F73F5">
              <w:t xml:space="preserve"> pipelines. Propriety data.</w:t>
            </w:r>
          </w:p>
        </w:tc>
      </w:tr>
    </w:tbl>
    <w:p w:rsidR="004C4795" w:rsidRDefault="004C4795" w:rsidP="00C30D4F">
      <w:pPr>
        <w:sectPr w:rsidR="004C4795" w:rsidSect="002115B4">
          <w:pgSz w:w="12240" w:h="15840" w:code="1"/>
          <w:pgMar w:top="1440" w:right="1800" w:bottom="1440" w:left="1800" w:header="720" w:footer="1440" w:gutter="0"/>
          <w:cols w:space="720"/>
          <w:noEndnote/>
          <w:docGrid w:linePitch="360"/>
        </w:sectPr>
      </w:pPr>
    </w:p>
    <w:p w:rsidR="00C30D4F" w:rsidRDefault="00C30D4F" w:rsidP="00C40EFF">
      <w:pPr>
        <w:pStyle w:val="Heading3"/>
      </w:pPr>
      <w:bookmarkStart w:id="203" w:name="_Ref408137183"/>
      <w:bookmarkStart w:id="204" w:name="_Ref408137197"/>
      <w:bookmarkStart w:id="205" w:name="_Toc417646800"/>
      <w:r>
        <w:lastRenderedPageBreak/>
        <w:t>Setbacks and Other Restrictions</w:t>
      </w:r>
      <w:bookmarkEnd w:id="203"/>
      <w:bookmarkEnd w:id="204"/>
      <w:bookmarkEnd w:id="205"/>
    </w:p>
    <w:p w:rsidR="00C30D4F" w:rsidRDefault="00C30D4F" w:rsidP="00C30D4F">
      <w:r>
        <w:t xml:space="preserve">Pennsylvania regulations prevent the placement of some surface infrastructure in certain areas.  Often times it is difficult to assess </w:t>
      </w:r>
      <w:r w:rsidRPr="00A02547">
        <w:rPr>
          <w:i/>
        </w:rPr>
        <w:t>a</w:t>
      </w:r>
      <w:r>
        <w:rPr>
          <w:i/>
        </w:rPr>
        <w:t xml:space="preserve"> </w:t>
      </w:r>
      <w:r w:rsidRPr="00A02547">
        <w:rPr>
          <w:i/>
        </w:rPr>
        <w:t>priori</w:t>
      </w:r>
      <w:r>
        <w:t xml:space="preserve"> whether a particular restriction will be activated, and in general, most such restrictions can be waived upon application from the developer. Regardless, we implemented several setbacks and other restrictions under the assumption that developers would follow existing regulations without applying for exceptions. In all, we implemented the following setbacks and other restrictions:</w:t>
      </w:r>
    </w:p>
    <w:p w:rsidR="00C30D4F" w:rsidRDefault="00C30D4F" w:rsidP="009B0E78">
      <w:pPr>
        <w:pStyle w:val="ListParagraph"/>
        <w:numPr>
          <w:ilvl w:val="0"/>
          <w:numId w:val="12"/>
        </w:numPr>
        <w:spacing w:before="200" w:after="200" w:line="276" w:lineRule="auto"/>
      </w:pPr>
      <w:r>
        <w:t>pads 30 m from water bodies (</w:t>
      </w:r>
      <w:r w:rsidR="00F01773">
        <w:fldChar w:fldCharType="begin"/>
      </w:r>
      <w:r w:rsidR="008E6F0E">
        <w:instrText xml:space="preserve"> REF _Ref417549202 \h </w:instrText>
      </w:r>
      <w:r w:rsidR="00F01773">
        <w:fldChar w:fldCharType="separate"/>
      </w:r>
      <w:r w:rsidR="00867AA7">
        <w:t xml:space="preserve">Table S </w:t>
      </w:r>
      <w:r w:rsidR="00867AA7">
        <w:rPr>
          <w:noProof/>
        </w:rPr>
        <w:t>3</w:t>
      </w:r>
      <w:r w:rsidR="00867AA7">
        <w:t>.</w:t>
      </w:r>
      <w:r w:rsidR="00867AA7">
        <w:rPr>
          <w:noProof/>
        </w:rPr>
        <w:t>2</w:t>
      </w:r>
      <w:r w:rsidR="00F01773">
        <w:fldChar w:fldCharType="end"/>
      </w:r>
      <w:r>
        <w:t>)</w:t>
      </w:r>
    </w:p>
    <w:p w:rsidR="00C30D4F" w:rsidRDefault="00C30D4F" w:rsidP="009B0E78">
      <w:pPr>
        <w:pStyle w:val="ListParagraph"/>
        <w:numPr>
          <w:ilvl w:val="0"/>
          <w:numId w:val="12"/>
        </w:numPr>
        <w:spacing w:before="200" w:after="200" w:line="276" w:lineRule="auto"/>
      </w:pPr>
      <w:r>
        <w:t>pads 30 m from wetlands (</w:t>
      </w:r>
      <w:r w:rsidR="00F01773">
        <w:fldChar w:fldCharType="begin"/>
      </w:r>
      <w:r w:rsidR="008E6F0E">
        <w:instrText xml:space="preserve"> REF _Ref417549202 \h </w:instrText>
      </w:r>
      <w:r w:rsidR="00F01773">
        <w:fldChar w:fldCharType="separate"/>
      </w:r>
      <w:r w:rsidR="00867AA7">
        <w:t xml:space="preserve">Table S </w:t>
      </w:r>
      <w:r w:rsidR="00867AA7">
        <w:rPr>
          <w:noProof/>
        </w:rPr>
        <w:t>3</w:t>
      </w:r>
      <w:r w:rsidR="00867AA7">
        <w:t>.</w:t>
      </w:r>
      <w:r w:rsidR="00867AA7">
        <w:rPr>
          <w:noProof/>
        </w:rPr>
        <w:t>2</w:t>
      </w:r>
      <w:r w:rsidR="00F01773">
        <w:fldChar w:fldCharType="end"/>
      </w:r>
      <w:r>
        <w:t>)</w:t>
      </w:r>
    </w:p>
    <w:p w:rsidR="00C30D4F" w:rsidRDefault="00C30D4F" w:rsidP="009B0E78">
      <w:pPr>
        <w:pStyle w:val="ListParagraph"/>
        <w:numPr>
          <w:ilvl w:val="0"/>
          <w:numId w:val="12"/>
        </w:numPr>
        <w:spacing w:before="200" w:after="200" w:line="276" w:lineRule="auto"/>
      </w:pPr>
      <w:r>
        <w:t>pads 100 m from development-area boundaries</w:t>
      </w:r>
    </w:p>
    <w:p w:rsidR="00C30D4F" w:rsidRDefault="00C30D4F" w:rsidP="009B0E78">
      <w:pPr>
        <w:pStyle w:val="ListParagraph"/>
        <w:numPr>
          <w:ilvl w:val="0"/>
          <w:numId w:val="12"/>
        </w:numPr>
        <w:spacing w:before="200" w:after="200" w:line="276" w:lineRule="auto"/>
      </w:pPr>
      <w:r>
        <w:t>pads 152 m from buildings and other ‘cultural’ features (</w:t>
      </w:r>
      <w:r w:rsidR="00F01773">
        <w:fldChar w:fldCharType="begin"/>
      </w:r>
      <w:r w:rsidR="008E6F0E">
        <w:instrText xml:space="preserve"> REF _Ref417549202 \h </w:instrText>
      </w:r>
      <w:r w:rsidR="00F01773">
        <w:fldChar w:fldCharType="separate"/>
      </w:r>
      <w:r w:rsidR="00867AA7">
        <w:t xml:space="preserve">Table S </w:t>
      </w:r>
      <w:r w:rsidR="00867AA7">
        <w:rPr>
          <w:noProof/>
        </w:rPr>
        <w:t>3</w:t>
      </w:r>
      <w:r w:rsidR="00867AA7">
        <w:t>.</w:t>
      </w:r>
      <w:r w:rsidR="00867AA7">
        <w:rPr>
          <w:noProof/>
        </w:rPr>
        <w:t>2</w:t>
      </w:r>
      <w:r w:rsidR="00F01773">
        <w:fldChar w:fldCharType="end"/>
      </w:r>
      <w:r>
        <w:t>)</w:t>
      </w:r>
    </w:p>
    <w:p w:rsidR="00C30D4F" w:rsidRDefault="00C30D4F" w:rsidP="009B0E78">
      <w:pPr>
        <w:pStyle w:val="ListParagraph"/>
        <w:numPr>
          <w:ilvl w:val="0"/>
          <w:numId w:val="12"/>
        </w:numPr>
        <w:spacing w:before="200" w:after="200" w:line="276" w:lineRule="auto"/>
      </w:pPr>
      <w:proofErr w:type="gramStart"/>
      <w:r>
        <w:t>roads</w:t>
      </w:r>
      <w:proofErr w:type="gramEnd"/>
      <w:r>
        <w:t xml:space="preserve"> and pipelines 15 m from buildings and other ‘cultural’ features (</w:t>
      </w:r>
      <w:r w:rsidR="00F01773">
        <w:fldChar w:fldCharType="begin"/>
      </w:r>
      <w:r w:rsidR="008E6F0E">
        <w:instrText xml:space="preserve"> REF _Ref417549202 \h </w:instrText>
      </w:r>
      <w:r w:rsidR="00F01773">
        <w:fldChar w:fldCharType="separate"/>
      </w:r>
      <w:r w:rsidR="00867AA7">
        <w:t xml:space="preserve">Table S </w:t>
      </w:r>
      <w:r w:rsidR="00867AA7">
        <w:rPr>
          <w:noProof/>
        </w:rPr>
        <w:t>3</w:t>
      </w:r>
      <w:r w:rsidR="00867AA7">
        <w:t>.</w:t>
      </w:r>
      <w:r w:rsidR="00867AA7">
        <w:rPr>
          <w:noProof/>
        </w:rPr>
        <w:t>2</w:t>
      </w:r>
      <w:r w:rsidR="00F01773">
        <w:fldChar w:fldCharType="end"/>
      </w:r>
      <w:r>
        <w:t>). Note this is to ensure realistic construction rather than adhere to a regulation.</w:t>
      </w:r>
    </w:p>
    <w:p w:rsidR="00C30D4F" w:rsidRPr="00A02547" w:rsidRDefault="00C30D4F" w:rsidP="009B0E78">
      <w:pPr>
        <w:pStyle w:val="ListParagraph"/>
        <w:numPr>
          <w:ilvl w:val="0"/>
          <w:numId w:val="12"/>
        </w:numPr>
        <w:spacing w:before="200" w:after="200" w:line="276" w:lineRule="auto"/>
      </w:pPr>
      <w:proofErr w:type="gramStart"/>
      <w:r>
        <w:t>pads</w:t>
      </w:r>
      <w:proofErr w:type="gramEnd"/>
      <w:r>
        <w:t xml:space="preserve"> and roads sited in areas between 0 and 20% slope (</w:t>
      </w:r>
      <w:r w:rsidR="00F01773">
        <w:fldChar w:fldCharType="begin"/>
      </w:r>
      <w:r w:rsidR="008E6F0E">
        <w:instrText xml:space="preserve"> REF _Ref417549202 \h </w:instrText>
      </w:r>
      <w:r w:rsidR="00F01773">
        <w:fldChar w:fldCharType="separate"/>
      </w:r>
      <w:r w:rsidR="00867AA7">
        <w:t xml:space="preserve">Table S </w:t>
      </w:r>
      <w:r w:rsidR="00867AA7">
        <w:rPr>
          <w:noProof/>
        </w:rPr>
        <w:t>3</w:t>
      </w:r>
      <w:r w:rsidR="00867AA7">
        <w:t>.</w:t>
      </w:r>
      <w:r w:rsidR="00867AA7">
        <w:rPr>
          <w:noProof/>
        </w:rPr>
        <w:t>2</w:t>
      </w:r>
      <w:r w:rsidR="00F01773">
        <w:fldChar w:fldCharType="end"/>
      </w:r>
      <w:r>
        <w:t>). Note this is to ensure realistic construction rather than adhere to a regulation.</w:t>
      </w:r>
    </w:p>
    <w:p w:rsidR="00C30D4F" w:rsidRDefault="00C30D4F" w:rsidP="00C40EFF">
      <w:pPr>
        <w:pStyle w:val="Heading3"/>
      </w:pPr>
      <w:bookmarkStart w:id="206" w:name="_Toc417646801"/>
      <w:r>
        <w:t>Derived Pipeline Methods</w:t>
      </w:r>
      <w:bookmarkEnd w:id="206"/>
    </w:p>
    <w:p w:rsidR="00C30D4F" w:rsidRDefault="00C30D4F" w:rsidP="00C30D4F">
      <w:r>
        <w:t xml:space="preserve">Gas wells must be connected to the existing pipeline network to transmit gas to the market. Many of our derived sites are many kilometers away from the nearest gas pipeline; a distance unrealistically far for development due to its cost and logistical difficulty. We know that the derived sites have been partially developed because we use only active or once-active wells to derive them. Because gas pipeline data are proprietary, no GIS data warehouse has complete pipeline data. The pipeline dataset we purchased from </w:t>
      </w:r>
      <w:proofErr w:type="spellStart"/>
      <w:r>
        <w:t>MapSearch</w:t>
      </w:r>
      <w:proofErr w:type="spellEnd"/>
      <w:r>
        <w:t xml:space="preserve"> has many larger pipelines that could be connected to, but misses many of the other available tie-ins (</w:t>
      </w:r>
      <w:r w:rsidR="00F01773">
        <w:fldChar w:fldCharType="begin"/>
      </w:r>
      <w:r w:rsidR="008E6F0E">
        <w:instrText xml:space="preserve"> REF _Ref417549202 \h </w:instrText>
      </w:r>
      <w:r w:rsidR="00F01773">
        <w:fldChar w:fldCharType="separate"/>
      </w:r>
      <w:r w:rsidR="00867AA7">
        <w:t xml:space="preserve">Table S </w:t>
      </w:r>
      <w:r w:rsidR="00867AA7">
        <w:rPr>
          <w:noProof/>
        </w:rPr>
        <w:t>3</w:t>
      </w:r>
      <w:r w:rsidR="00867AA7">
        <w:t>.</w:t>
      </w:r>
      <w:r w:rsidR="00867AA7">
        <w:rPr>
          <w:noProof/>
        </w:rPr>
        <w:t>2</w:t>
      </w:r>
      <w:r w:rsidR="00F01773">
        <w:fldChar w:fldCharType="end"/>
      </w:r>
      <w:r>
        <w:t xml:space="preserve">). </w:t>
      </w:r>
    </w:p>
    <w:p w:rsidR="00C30D4F" w:rsidRPr="00452A23" w:rsidRDefault="00C30D4F" w:rsidP="00C40EFF">
      <w:pPr>
        <w:ind w:firstLine="720"/>
      </w:pPr>
      <w:r>
        <w:t xml:space="preserve">To get around the sparsity of our pipeline dataset, we made the assumption that new gathering pipelines would be developed in the direction of the nearest known pipeline in our dataset. We based our pipeline connections on the rectangle bounding the site with its sides parallel to the cardinal directions (“bounding rectangle” hereafter). First, we assumed any gathering pipelines could connect to any existing pipelines intersecting the bounding rectangle. When no known pipelines </w:t>
      </w:r>
      <w:r>
        <w:lastRenderedPageBreak/>
        <w:t>intersected the bounding rectangle, we assumed new gathering pipelines would be developed in the direction of the known pipeline closest to the centroid of the site. In some cases, the nearest pipeline was over ten kilometers away. We forced gathering pipelines in this latter category to connect to a section of the bounding rectangle intersected by a 45</w:t>
      </w:r>
      <w:r>
        <w:rPr>
          <w:rFonts w:cs="Times New Roman"/>
        </w:rPr>
        <w:t>°</w:t>
      </w:r>
      <w:r>
        <w:t xml:space="preserve"> wide wedge oriented with its point in the centroid of the site and the angle towards the nearest pipeline. </w:t>
      </w:r>
    </w:p>
    <w:p w:rsidR="00C30D4F" w:rsidRDefault="00C30D4F" w:rsidP="00C40EFF">
      <w:pPr>
        <w:pStyle w:val="Heading3"/>
      </w:pPr>
      <w:bookmarkStart w:id="207" w:name="_Ref417550279"/>
      <w:bookmarkStart w:id="208" w:name="_Ref417550356"/>
      <w:bookmarkStart w:id="209" w:name="_Toc417646802"/>
      <w:r>
        <w:t>Bungee Workflow</w:t>
      </w:r>
      <w:bookmarkEnd w:id="207"/>
      <w:bookmarkEnd w:id="208"/>
      <w:bookmarkEnd w:id="209"/>
    </w:p>
    <w:p w:rsidR="00C30D4F" w:rsidRDefault="00C30D4F" w:rsidP="00C30D4F">
      <w:r>
        <w:t xml:space="preserve">Bungee is software that combines variations of many well known optimization techniques to plan locations of well pads, access roads, and gathering pipelines in a way to avoid some environmental impacts while explicitly accounting for and limiting construction costs. Due to its size, we cannot fully document Bungee here. Instead, we describe the optimization components of Bungee and how these components fit together. We refer the reader to the Bungee user guide and technical documentation for a more complete understanding of its methods. </w:t>
      </w:r>
    </w:p>
    <w:p w:rsidR="00B73B35" w:rsidRPr="00A76C65" w:rsidRDefault="00B73B35" w:rsidP="00C30D4F">
      <w:r>
        <w:tab/>
        <w:t xml:space="preserve">The Bungee code is a set of Python scripts written almost exclusively in Python 2.7.2, with some optimized code written in </w:t>
      </w:r>
      <w:proofErr w:type="spellStart"/>
      <w:r>
        <w:t>Cython</w:t>
      </w:r>
      <w:proofErr w:type="spellEnd"/>
      <w:r>
        <w:t xml:space="preserve"> 0.19.1. Bungee consists of two major parts: a) the Python module, which can be imported and used like any other Python module, and b) Bungee GIS, which is a Python toolbox for </w:t>
      </w:r>
      <w:r w:rsidR="0084651D">
        <w:t xml:space="preserve">ArcGIS. Both require ArcGIS </w:t>
      </w:r>
      <w:r w:rsidR="008560A3">
        <w:t xml:space="preserve">10.1+ </w:t>
      </w:r>
      <w:r w:rsidR="0084651D">
        <w:t xml:space="preserve">with </w:t>
      </w:r>
      <w:r w:rsidR="008560A3">
        <w:t xml:space="preserve">the </w:t>
      </w:r>
      <w:r w:rsidR="0084651D">
        <w:t>Spatial Analyst</w:t>
      </w:r>
      <w:r w:rsidR="008560A3">
        <w:t xml:space="preserve"> Extension</w:t>
      </w:r>
      <w:r w:rsidR="0084651D">
        <w:t xml:space="preserve">. </w:t>
      </w:r>
      <w:r w:rsidR="008560A3">
        <w:t xml:space="preserve">The module structure of Bungee is similar to ArcGIS’s </w:t>
      </w:r>
      <w:proofErr w:type="spellStart"/>
      <w:r w:rsidR="008560A3">
        <w:t>arcpy</w:t>
      </w:r>
      <w:proofErr w:type="spellEnd"/>
      <w:r w:rsidR="008560A3">
        <w:t xml:space="preserve"> module, with major tools composing the main steps of the workflow as well as some minor but useful tools all directly accessible within the Python environment. </w:t>
      </w:r>
      <w:r w:rsidR="0084651D">
        <w:t xml:space="preserve">Using </w:t>
      </w:r>
      <w:r w:rsidR="008424BF">
        <w:t>Bungee GIS</w:t>
      </w:r>
      <w:r w:rsidR="0084651D">
        <w:t xml:space="preserve"> </w:t>
      </w:r>
      <w:r w:rsidR="008424BF">
        <w:t>with default settings,</w:t>
      </w:r>
      <w:r w:rsidR="0084651D">
        <w:t xml:space="preserve"> analyses take on the order of hours to days, where the scaling of runtime increases</w:t>
      </w:r>
      <w:r w:rsidR="00C7793E">
        <w:t xml:space="preserve"> </w:t>
      </w:r>
      <w:r w:rsidR="0084651D">
        <w:t xml:space="preserve">nonlinearly with </w:t>
      </w:r>
      <w:r w:rsidR="00C7793E">
        <w:t>the size of the analysis a</w:t>
      </w:r>
      <w:r w:rsidR="00B552C2">
        <w:t>rea. Runtime also increases with the number of well pads, but less closely</w:t>
      </w:r>
      <w:r w:rsidR="0084651D">
        <w:t xml:space="preserve">. For instance, </w:t>
      </w:r>
      <w:r w:rsidR="008424BF">
        <w:t>Bungee placed infrastructure</w:t>
      </w:r>
      <w:r w:rsidR="0084651D">
        <w:t xml:space="preserve"> in a 12 km</w:t>
      </w:r>
      <w:r w:rsidR="0084651D">
        <w:rPr>
          <w:vertAlign w:val="superscript"/>
        </w:rPr>
        <w:t>2</w:t>
      </w:r>
      <w:r w:rsidR="0084651D">
        <w:t xml:space="preserve"> area</w:t>
      </w:r>
      <w:r w:rsidR="008424BF">
        <w:t xml:space="preserve"> in </w:t>
      </w:r>
      <w:r w:rsidR="0084651D">
        <w:t xml:space="preserve">45 min </w:t>
      </w:r>
      <w:r w:rsidR="008424BF">
        <w:t xml:space="preserve">on a </w:t>
      </w:r>
      <w:r w:rsidR="0084651D">
        <w:t xml:space="preserve">typical desktop computer. </w:t>
      </w:r>
      <w:r w:rsidR="00A76C65">
        <w:t xml:space="preserve">By comparison, Bungee </w:t>
      </w:r>
      <w:r w:rsidR="00AA51B0">
        <w:t>required</w:t>
      </w:r>
      <w:r w:rsidR="00A76C65">
        <w:t xml:space="preserve"> multiple days but less than one week to plan infrastructure in the largest of the sites in this analysis (area=72 km</w:t>
      </w:r>
      <w:r w:rsidR="00A76C65">
        <w:rPr>
          <w:vertAlign w:val="superscript"/>
        </w:rPr>
        <w:t>2</w:t>
      </w:r>
      <w:r w:rsidR="00A76C65">
        <w:t>).</w:t>
      </w:r>
      <w:r w:rsidR="008E2480">
        <w:t xml:space="preserve"> At the time of writing, access to Bungee can be obtained by emailing the corresponding autho</w:t>
      </w:r>
      <w:r w:rsidR="00CE08FD">
        <w:t>r.</w:t>
      </w:r>
    </w:p>
    <w:p w:rsidR="00C30D4F" w:rsidRDefault="00C30D4F" w:rsidP="00C40EFF">
      <w:pPr>
        <w:ind w:firstLine="720"/>
      </w:pPr>
      <w:r>
        <w:t>The Bungee optimization workflow for a single site consists of six major steps:</w:t>
      </w:r>
    </w:p>
    <w:p w:rsidR="00C30D4F" w:rsidRPr="00A9073F" w:rsidRDefault="00C30D4F" w:rsidP="00C40EFF">
      <w:pPr>
        <w:pStyle w:val="Heading4"/>
      </w:pPr>
      <w:r w:rsidRPr="00A9073F">
        <w:t>Place production units</w:t>
      </w:r>
    </w:p>
    <w:p w:rsidR="00C30D4F" w:rsidRDefault="008749A6" w:rsidP="00C30D4F">
      <w:r>
        <w:t>Production</w:t>
      </w:r>
      <w:r w:rsidRPr="00200316">
        <w:t xml:space="preserve"> </w:t>
      </w:r>
      <w:r w:rsidR="00C30D4F" w:rsidRPr="00200316">
        <w:t xml:space="preserve">units (or </w:t>
      </w:r>
      <w:r>
        <w:t>Drainage</w:t>
      </w:r>
      <w:r w:rsidRPr="00200316">
        <w:t xml:space="preserve"> </w:t>
      </w:r>
      <w:r w:rsidR="00C30D4F" w:rsidRPr="00200316">
        <w:t>units) – the area being drained by a single pad – are placed in the lease</w:t>
      </w:r>
      <w:r w:rsidR="002804CD">
        <w:t>-</w:t>
      </w:r>
      <w:r w:rsidR="00C30D4F" w:rsidRPr="00200316">
        <w:t xml:space="preserve">hold to maximally drain gas while minimizing the number of pads being developed. The output of this step is a set of 1) </w:t>
      </w:r>
      <w:r>
        <w:t>production</w:t>
      </w:r>
      <w:r w:rsidRPr="00200316">
        <w:t xml:space="preserve"> </w:t>
      </w:r>
      <w:r w:rsidR="00C30D4F" w:rsidRPr="00200316">
        <w:t>unit polygons and 2) pad envelopes, which show the restricted area within each drainage unit where a well pad may be placed.</w:t>
      </w:r>
      <w:r w:rsidR="00C30D4F">
        <w:t xml:space="preserve"> </w:t>
      </w:r>
      <w:proofErr w:type="gramStart"/>
      <w:r w:rsidR="00C30D4F">
        <w:t xml:space="preserve">See </w:t>
      </w:r>
      <w:r w:rsidR="00F01773">
        <w:fldChar w:fldCharType="begin"/>
      </w:r>
      <w:r w:rsidR="00C30D4F">
        <w:instrText xml:space="preserve"> REF _Ref410048421 \r \h </w:instrText>
      </w:r>
      <w:r w:rsidR="00F01773">
        <w:fldChar w:fldCharType="separate"/>
      </w:r>
      <w:r w:rsidR="00867AA7">
        <w:t>3.7.8</w:t>
      </w:r>
      <w:r w:rsidR="00F01773">
        <w:fldChar w:fldCharType="end"/>
      </w:r>
      <w:r w:rsidR="00C30D4F">
        <w:t xml:space="preserve"> </w:t>
      </w:r>
      <w:r w:rsidR="00F01773">
        <w:fldChar w:fldCharType="begin"/>
      </w:r>
      <w:r w:rsidR="00C30D4F">
        <w:instrText xml:space="preserve"> REF _Ref410048423 \h </w:instrText>
      </w:r>
      <w:r w:rsidR="00F01773">
        <w:fldChar w:fldCharType="separate"/>
      </w:r>
      <w:r w:rsidR="00867AA7">
        <w:t>Production Unit Packing Methods</w:t>
      </w:r>
      <w:r w:rsidR="00F01773">
        <w:fldChar w:fldCharType="end"/>
      </w:r>
      <w:r w:rsidR="00C30D4F">
        <w:t>.</w:t>
      </w:r>
      <w:proofErr w:type="gramEnd"/>
    </w:p>
    <w:p w:rsidR="00C30D4F" w:rsidRPr="00A9073F" w:rsidRDefault="00C30D4F" w:rsidP="00C40EFF">
      <w:pPr>
        <w:pStyle w:val="Heading4"/>
      </w:pPr>
      <w:r w:rsidRPr="00A9073F">
        <w:lastRenderedPageBreak/>
        <w:t>Set up infrastructure restrictions</w:t>
      </w:r>
    </w:p>
    <w:p w:rsidR="00C30D4F" w:rsidRDefault="00C30D4F" w:rsidP="00C30D4F">
      <w:r>
        <w:t xml:space="preserve">Constraints on the locations of well pads, access roads, and gathering pipelines are set up. In this analysis, we follow those constraints described in </w:t>
      </w:r>
      <w:r w:rsidR="00F01773">
        <w:fldChar w:fldCharType="begin"/>
      </w:r>
      <w:r>
        <w:instrText xml:space="preserve"> REF _Ref408137197 \r \h </w:instrText>
      </w:r>
      <w:r w:rsidR="00F01773">
        <w:fldChar w:fldCharType="separate"/>
      </w:r>
      <w:r w:rsidR="00867AA7">
        <w:t>3.7.5</w:t>
      </w:r>
      <w:r w:rsidR="00F01773">
        <w:fldChar w:fldCharType="end"/>
      </w:r>
      <w:r>
        <w:t xml:space="preserve"> </w:t>
      </w:r>
      <w:r w:rsidR="00F01773">
        <w:fldChar w:fldCharType="begin"/>
      </w:r>
      <w:r>
        <w:instrText xml:space="preserve"> REF _Ref408137183 \h </w:instrText>
      </w:r>
      <w:r w:rsidR="00F01773">
        <w:fldChar w:fldCharType="separate"/>
      </w:r>
      <w:r w:rsidR="00867AA7">
        <w:t>Setbacks and Other Restrictions</w:t>
      </w:r>
      <w:r w:rsidR="00F01773">
        <w:fldChar w:fldCharType="end"/>
      </w:r>
      <w:r>
        <w:t>. This step produces rasters which denote allowable areas for each type of infrastructure.</w:t>
      </w:r>
    </w:p>
    <w:p w:rsidR="00C30D4F" w:rsidRPr="00A9073F" w:rsidRDefault="00C30D4F" w:rsidP="00C40EFF">
      <w:pPr>
        <w:pStyle w:val="Heading4"/>
      </w:pPr>
      <w:r w:rsidRPr="00A9073F">
        <w:t>Determine construction budget</w:t>
      </w:r>
    </w:p>
    <w:p w:rsidR="00C30D4F" w:rsidRDefault="00C30D4F" w:rsidP="00C30D4F">
      <w:r>
        <w:t xml:space="preserve">Bungee creates an infrastructure layout that attempts to minimize construction costs. For this analysis, Bungee then enforced a maximum budget that was twice as large as the least-cost layout. During the optimization, Bungee actually incrementally increases the budget, from the least-cost amount up to the maximum budget and creates layouts at each incremental budget. In </w:t>
      </w:r>
      <w:r w:rsidR="00F01773">
        <w:fldChar w:fldCharType="begin"/>
      </w:r>
      <w:r>
        <w:instrText xml:space="preserve"> REF _Ref407977695 \r \h </w:instrText>
      </w:r>
      <w:r w:rsidR="00F01773">
        <w:fldChar w:fldCharType="separate"/>
      </w:r>
      <w:r w:rsidR="00867AA7">
        <w:t>3.7.9</w:t>
      </w:r>
      <w:r w:rsidR="00F01773">
        <w:fldChar w:fldCharType="end"/>
      </w:r>
      <w:r>
        <w:t xml:space="preserve"> </w:t>
      </w:r>
      <w:r w:rsidR="00F01773">
        <w:fldChar w:fldCharType="begin"/>
      </w:r>
      <w:r>
        <w:instrText xml:space="preserve"> REF _Ref407977695 \h </w:instrText>
      </w:r>
      <w:r w:rsidR="00F01773">
        <w:fldChar w:fldCharType="separate"/>
      </w:r>
      <w:r w:rsidR="00867AA7">
        <w:t xml:space="preserve">Additive Layout Creation </w:t>
      </w:r>
      <w:proofErr w:type="spellStart"/>
      <w:r w:rsidR="00867AA7">
        <w:t>Methods</w:t>
      </w:r>
      <w:r w:rsidR="00F01773">
        <w:fldChar w:fldCharType="end"/>
      </w:r>
      <w:r>
        <w:t>we</w:t>
      </w:r>
      <w:proofErr w:type="spellEnd"/>
      <w:r>
        <w:t xml:space="preserve"> describe the algorithm used to create layouts. To get the least-cost layout, Bungee uses the cost surfaces in place of impact surfaces and uses an unlimited budget.</w:t>
      </w:r>
    </w:p>
    <w:p w:rsidR="00C30D4F" w:rsidRPr="00A9073F" w:rsidRDefault="00C30D4F" w:rsidP="00C40EFF">
      <w:pPr>
        <w:pStyle w:val="Heading4"/>
      </w:pPr>
      <w:bookmarkStart w:id="210" w:name="_Ref409777969"/>
      <w:r w:rsidRPr="00A9073F">
        <w:t>Determine normalization constants</w:t>
      </w:r>
      <w:bookmarkEnd w:id="210"/>
    </w:p>
    <w:p w:rsidR="00C30D4F" w:rsidRDefault="00C30D4F" w:rsidP="00C30D4F">
      <w:r>
        <w:t xml:space="preserve">As described in </w:t>
      </w:r>
      <w:r w:rsidR="00F01773">
        <w:fldChar w:fldCharType="begin"/>
      </w:r>
      <w:r>
        <w:instrText xml:space="preserve"> REF _Ref408138361 \h </w:instrText>
      </w:r>
      <w:r w:rsidR="00F01773">
        <w:fldChar w:fldCharType="separate"/>
      </w:r>
      <w:r w:rsidR="00867AA7">
        <w:t>Impact Score calculation</w:t>
      </w:r>
      <w:r w:rsidR="00F01773">
        <w:fldChar w:fldCharType="end"/>
      </w:r>
      <w:r>
        <w:t xml:space="preserve">, each impact metric is normalized using </w:t>
      </w:r>
      <w:proofErr w:type="gramStart"/>
      <w:r>
        <w:t>a normalization</w:t>
      </w:r>
      <w:proofErr w:type="gramEnd"/>
      <w:r>
        <w:t xml:space="preserve"> constant. To determine this constant for a single impact metric and site, Bungee creates many layouts (n=1000 in this analysis) that attempt to minimize the value of the current impact metric. The minimum value of the metric across those layouts is the normalization constant.</w:t>
      </w:r>
      <w:r w:rsidRPr="006050EB">
        <w:t xml:space="preserve"> </w:t>
      </w:r>
      <w:r>
        <w:t xml:space="preserve">In </w:t>
      </w:r>
      <w:r w:rsidR="00F01773">
        <w:fldChar w:fldCharType="begin"/>
      </w:r>
      <w:r>
        <w:instrText xml:space="preserve"> REF _Ref408218038 \r \h </w:instrText>
      </w:r>
      <w:r w:rsidR="00F01773">
        <w:fldChar w:fldCharType="separate"/>
      </w:r>
      <w:r w:rsidR="00867AA7">
        <w:t>3.7.9</w:t>
      </w:r>
      <w:r w:rsidR="00F01773">
        <w:fldChar w:fldCharType="end"/>
      </w:r>
      <w:r>
        <w:t xml:space="preserve"> </w:t>
      </w:r>
      <w:r w:rsidR="00F01773">
        <w:fldChar w:fldCharType="begin"/>
      </w:r>
      <w:r>
        <w:instrText xml:space="preserve"> REF _Ref408218041 \h </w:instrText>
      </w:r>
      <w:r w:rsidR="00F01773">
        <w:fldChar w:fldCharType="separate"/>
      </w:r>
      <w:r w:rsidR="00867AA7">
        <w:t>Additive Layout Creation Methods</w:t>
      </w:r>
      <w:r w:rsidR="00F01773">
        <w:fldChar w:fldCharType="end"/>
      </w:r>
      <w:r>
        <w:t xml:space="preserve"> we describe the algorithm used to create layouts. In addition, the average construction cost across metrics from this step is used as a normalization constant for costs.</w:t>
      </w:r>
    </w:p>
    <w:p w:rsidR="00C30D4F" w:rsidRPr="00A9073F" w:rsidRDefault="00C30D4F" w:rsidP="00C40EFF">
      <w:pPr>
        <w:pStyle w:val="Heading4"/>
      </w:pPr>
      <w:bookmarkStart w:id="211" w:name="_Ref409795717"/>
      <w:r w:rsidRPr="00A9073F">
        <w:t>Estimate additive impact surfaces</w:t>
      </w:r>
      <w:bookmarkEnd w:id="211"/>
    </w:p>
    <w:p w:rsidR="00C30D4F" w:rsidRDefault="00C30D4F" w:rsidP="00C30D4F">
      <w:r>
        <w:t xml:space="preserve">After step 4, Bungee can calculate the Impact Score. At this point, Bungee estimates spatially additive surfaces of the Impact Score, one for each type of infrastructure, and which are important inputs into the final step. In each pixel of one such surface for a single infrastructure type is the Impact Score if only that infrastructure were developed only in that pixel. As such, the true </w:t>
      </w:r>
      <w:r w:rsidR="00CE6D58">
        <w:t>aggregate</w:t>
      </w:r>
      <w:r>
        <w:t xml:space="preserve"> Impact Score is underestimated in each pixel, since non-additivity among multiple pixels of one infrastructure or multiple infrastructures is not taken into account.</w:t>
      </w:r>
    </w:p>
    <w:p w:rsidR="00C30D4F" w:rsidRPr="00A9073F" w:rsidRDefault="00C30D4F" w:rsidP="00C40EFF">
      <w:pPr>
        <w:pStyle w:val="Heading4"/>
      </w:pPr>
      <w:bookmarkStart w:id="212" w:name="_Ref408140730"/>
      <w:r w:rsidRPr="00A9073F">
        <w:t>Create final layouts</w:t>
      </w:r>
      <w:bookmarkEnd w:id="212"/>
    </w:p>
    <w:p w:rsidR="00C30D4F" w:rsidRDefault="00C30D4F" w:rsidP="00C30D4F">
      <w:r>
        <w:t xml:space="preserve">The outputs of the previous steps enable Bungee to create feasible layouts, which adhere to setbacks and construction budgets. At this point, Bungee creates layouts that attempt to minimize the </w:t>
      </w:r>
      <w:r w:rsidR="00CE6D58">
        <w:t>aggregate</w:t>
      </w:r>
      <w:r>
        <w:t xml:space="preserve"> Impact Score. To do so, Bungee incrementally increases the construction budget from the least-cost-layout’s cost up to the maximum cost. For </w:t>
      </w:r>
      <w:r>
        <w:lastRenderedPageBreak/>
        <w:t>this analysis, we used 40 increments. At each increment, the additive impact surfaces and normalized cost surfaces are weighted and added together to form a hybrid objective surface. This hybrid surface encourages Bungee to balance impacts and costs. The impact weight in each increment is given by</w:t>
      </w:r>
    </w:p>
    <w:p w:rsidR="00C30D4F" w:rsidRDefault="00F01773" w:rsidP="00C40EFF">
      <w:pPr>
        <w:spacing w:before="240" w:after="240"/>
      </w:pPr>
      <m:oMathPara>
        <m:oMath>
          <m:sSub>
            <m:sSubPr>
              <m:ctrlPr>
                <w:rPr>
                  <w:rFonts w:ascii="Cambria Math" w:hAnsi="Cambria Math"/>
                  <w:i/>
                </w:rPr>
              </m:ctrlPr>
            </m:sSubPr>
            <m:e>
              <m:r>
                <w:rPr>
                  <w:rFonts w:ascii="Cambria Math" w:hAnsi="Cambria Math"/>
                </w:rPr>
                <m:t>w</m:t>
              </m:r>
            </m:e>
            <m:sub>
              <m:r>
                <w:rPr>
                  <w:rFonts w:ascii="Cambria Math" w:hAnsi="Cambria Math"/>
                </w:rPr>
                <m:t>Impact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min</m:t>
                  </m:r>
                </m:sub>
              </m:sSub>
            </m:num>
            <m:den>
              <m:sSub>
                <m:sSubPr>
                  <m:ctrlPr>
                    <w:rPr>
                      <w:rFonts w:ascii="Cambria Math" w:hAnsi="Cambria Math"/>
                      <w:i/>
                    </w:rPr>
                  </m:ctrlPr>
                </m:sSubPr>
                <m:e>
                  <m:r>
                    <w:rPr>
                      <w:rFonts w:ascii="Cambria Math" w:hAnsi="Cambria Math"/>
                    </w:rPr>
                    <m:t>B</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min</m:t>
                  </m:r>
                </m:sub>
              </m:sSub>
            </m:den>
          </m:f>
        </m:oMath>
      </m:oMathPara>
    </w:p>
    <w:p w:rsidR="00C30D4F" w:rsidRDefault="00C30D4F" w:rsidP="00C30D4F">
      <w:proofErr w:type="gramStart"/>
      <w:r>
        <w:t>where</w:t>
      </w:r>
      <w:proofErr w:type="gramEnd"/>
      <w:r>
        <w:t xml:space="preserve"> </w:t>
      </w:r>
      <m:oMath>
        <m:sSub>
          <m:sSubPr>
            <m:ctrlPr>
              <w:rPr>
                <w:rFonts w:ascii="Cambria Math" w:hAnsi="Cambria Math"/>
                <w:i/>
              </w:rPr>
            </m:ctrlPr>
          </m:sSubPr>
          <m:e>
            <m:r>
              <w:rPr>
                <w:rFonts w:ascii="Cambria Math" w:hAnsi="Cambria Math"/>
              </w:rPr>
              <m:t>b</m:t>
            </m:r>
          </m:e>
          <m:sub>
            <m:r>
              <w:rPr>
                <w:rFonts w:ascii="Cambria Math" w:hAnsi="Cambria Math"/>
              </w:rPr>
              <m:t>i</m:t>
            </m:r>
          </m:sub>
        </m:sSub>
      </m:oMath>
      <w:r>
        <w:t xml:space="preserve"> is the construction budget at the current increment, </w:t>
      </w:r>
      <m:oMath>
        <m:sSub>
          <m:sSubPr>
            <m:ctrlPr>
              <w:rPr>
                <w:rFonts w:ascii="Cambria Math" w:hAnsi="Cambria Math"/>
                <w:i/>
              </w:rPr>
            </m:ctrlPr>
          </m:sSubPr>
          <m:e>
            <m:r>
              <w:rPr>
                <w:rFonts w:ascii="Cambria Math" w:hAnsi="Cambria Math"/>
              </w:rPr>
              <m:t>B</m:t>
            </m:r>
          </m:e>
          <m:sub>
            <m:r>
              <w:rPr>
                <w:rFonts w:ascii="Cambria Math" w:hAnsi="Cambria Math"/>
              </w:rPr>
              <m:t>min</m:t>
            </m:r>
          </m:sub>
        </m:sSub>
      </m:oMath>
      <w:r>
        <w:t xml:space="preserve"> is the cost of the least-cost layout, and </w:t>
      </w:r>
      <m:oMath>
        <m:sSub>
          <m:sSubPr>
            <m:ctrlPr>
              <w:rPr>
                <w:rFonts w:ascii="Cambria Math" w:hAnsi="Cambria Math"/>
                <w:i/>
              </w:rPr>
            </m:ctrlPr>
          </m:sSubPr>
          <m:e>
            <m:r>
              <w:rPr>
                <w:rFonts w:ascii="Cambria Math" w:hAnsi="Cambria Math"/>
              </w:rPr>
              <m:t>B</m:t>
            </m:r>
          </m:e>
          <m:sub>
            <m:r>
              <w:rPr>
                <w:rFonts w:ascii="Cambria Math" w:hAnsi="Cambria Math"/>
              </w:rPr>
              <m:t>max</m:t>
            </m:r>
          </m:sub>
        </m:sSub>
      </m:oMath>
      <w:r>
        <w:t xml:space="preserve"> is the maximum construction budget, which here was </w:t>
      </w:r>
      <m:oMath>
        <m:r>
          <w:rPr>
            <w:rFonts w:ascii="Cambria Math" w:hAnsi="Cambria Math"/>
          </w:rPr>
          <m:t>2</m:t>
        </m:r>
        <m:sSub>
          <m:sSubPr>
            <m:ctrlPr>
              <w:rPr>
                <w:rFonts w:ascii="Cambria Math" w:hAnsi="Cambria Math"/>
                <w:i/>
              </w:rPr>
            </m:ctrlPr>
          </m:sSubPr>
          <m:e>
            <m:r>
              <w:rPr>
                <w:rFonts w:ascii="Cambria Math" w:hAnsi="Cambria Math"/>
              </w:rPr>
              <m:t>B</m:t>
            </m:r>
          </m:e>
          <m:sub>
            <m:r>
              <w:rPr>
                <w:rFonts w:ascii="Cambria Math" w:hAnsi="Cambria Math"/>
              </w:rPr>
              <m:t>min</m:t>
            </m:r>
          </m:sub>
        </m:sSub>
      </m:oMath>
      <w:r>
        <w:t xml:space="preserve">. The weight of the normalized cost surface </w:t>
      </w:r>
      <w:proofErr w:type="gramStart"/>
      <w:r>
        <w:t xml:space="preserve">is </w:t>
      </w:r>
      <m:oMath>
        <w:proofErr w:type="gramEnd"/>
        <m:r>
          <w:rPr>
            <w:rFonts w:ascii="Cambria Math" w:hAnsi="Cambria Math"/>
          </w:rPr>
          <m:t>1-</m:t>
        </m:r>
        <m:sSub>
          <m:sSubPr>
            <m:ctrlPr>
              <w:rPr>
                <w:rFonts w:ascii="Cambria Math" w:hAnsi="Cambria Math"/>
                <w:i/>
              </w:rPr>
            </m:ctrlPr>
          </m:sSubPr>
          <m:e>
            <m:r>
              <w:rPr>
                <w:rFonts w:ascii="Cambria Math" w:hAnsi="Cambria Math"/>
              </w:rPr>
              <m:t>w</m:t>
            </m:r>
          </m:e>
          <m:sub>
            <m:r>
              <w:rPr>
                <w:rFonts w:ascii="Cambria Math" w:hAnsi="Cambria Math"/>
              </w:rPr>
              <m:t>Impact</m:t>
            </m:r>
          </m:sub>
        </m:sSub>
      </m:oMath>
      <w:r>
        <w:t>.</w:t>
      </w:r>
    </w:p>
    <w:p w:rsidR="00C30D4F" w:rsidRDefault="00C30D4F" w:rsidP="00C40EFF">
      <w:pPr>
        <w:ind w:firstLine="720"/>
      </w:pPr>
      <w:r>
        <w:t xml:space="preserve">Bungee plans layouts according to the hybrid objective surfaces (see </w:t>
      </w:r>
      <w:r w:rsidR="00F01773">
        <w:fldChar w:fldCharType="begin"/>
      </w:r>
      <w:r>
        <w:instrText xml:space="preserve"> REF _Ref408140490 \r \h </w:instrText>
      </w:r>
      <w:r w:rsidR="00F01773">
        <w:fldChar w:fldCharType="separate"/>
      </w:r>
      <w:r w:rsidR="00867AA7">
        <w:t>3.7.9</w:t>
      </w:r>
      <w:r w:rsidR="00F01773">
        <w:fldChar w:fldCharType="end"/>
      </w:r>
      <w:r>
        <w:t xml:space="preserve"> </w:t>
      </w:r>
      <w:r w:rsidR="00F01773">
        <w:fldChar w:fldCharType="begin"/>
      </w:r>
      <w:r>
        <w:instrText xml:space="preserve"> REF _Ref408140503 \h </w:instrText>
      </w:r>
      <w:r w:rsidR="00F01773">
        <w:fldChar w:fldCharType="separate"/>
      </w:r>
      <w:r w:rsidR="00867AA7">
        <w:t>Additive Layout Creation Methods</w:t>
      </w:r>
      <w:r w:rsidR="00F01773">
        <w:fldChar w:fldCharType="end"/>
      </w:r>
      <w:r>
        <w:t xml:space="preserve">). At the same time, it uses the </w:t>
      </w:r>
      <w:r w:rsidR="00CE6D58">
        <w:t>aggregate</w:t>
      </w:r>
      <w:r>
        <w:t xml:space="preserve"> Impact Score to judge each layout once the full layout has been proposed. It also limits the layout’s budget and calculates construction costs based on the non-normalized cost surfaces. </w:t>
      </w:r>
    </w:p>
    <w:p w:rsidR="00C30D4F" w:rsidRDefault="00C30D4F" w:rsidP="00C30D4F">
      <w:r>
        <w:t xml:space="preserve">Finally, Bungee keeps only those layouts that are not simultaneously more impacting and more costly than any other </w:t>
      </w:r>
      <w:proofErr w:type="gramStart"/>
      <w:r>
        <w:t>layouts,</w:t>
      </w:r>
      <w:proofErr w:type="gramEnd"/>
      <w:r>
        <w:t xml:space="preserve"> i.e. are </w:t>
      </w:r>
      <w:r w:rsidR="00D32E84">
        <w:t>Pareto</w:t>
      </w:r>
      <w:r>
        <w:t>-</w:t>
      </w:r>
      <w:r w:rsidR="00931691">
        <w:t>improvements</w:t>
      </w:r>
      <w:r>
        <w:t xml:space="preserve">. This forms the set of final layouts for each site. In our analysis, we ran </w:t>
      </w:r>
      <w:r w:rsidR="00F01773">
        <w:fldChar w:fldCharType="begin"/>
      </w:r>
      <w:r>
        <w:instrText xml:space="preserve"> REF _Ref408140730 \r \h </w:instrText>
      </w:r>
      <w:r w:rsidR="00F01773">
        <w:fldChar w:fldCharType="separate"/>
      </w:r>
      <w:r w:rsidR="00867AA7">
        <w:t>3.7.7.6</w:t>
      </w:r>
      <w:r w:rsidR="00F01773">
        <w:fldChar w:fldCharType="end"/>
      </w:r>
      <w:r>
        <w:t xml:space="preserve"> </w:t>
      </w:r>
      <w:r w:rsidR="00F01773">
        <w:fldChar w:fldCharType="begin"/>
      </w:r>
      <w:r>
        <w:instrText xml:space="preserve"> REF _Ref408140730 \h </w:instrText>
      </w:r>
      <w:r w:rsidR="00F01773">
        <w:fldChar w:fldCharType="separate"/>
      </w:r>
      <w:r w:rsidR="00867AA7" w:rsidRPr="00A9073F">
        <w:t>Create final layouts</w:t>
      </w:r>
      <w:r w:rsidR="00F01773">
        <w:fldChar w:fldCharType="end"/>
      </w:r>
      <w:r>
        <w:t xml:space="preserve"> five times and repeating the </w:t>
      </w:r>
      <w:r w:rsidR="00D32E84">
        <w:t>Pareto</w:t>
      </w:r>
      <w:r>
        <w:t xml:space="preserve">-optimality filtering across runs to increase the chances Bungee actually found </w:t>
      </w:r>
      <w:r w:rsidR="00D32E84">
        <w:t>Pareto</w:t>
      </w:r>
      <w:r>
        <w:t>-optimal solutions.</w:t>
      </w:r>
    </w:p>
    <w:p w:rsidR="00C30D4F" w:rsidRDefault="00C30D4F" w:rsidP="00C40EFF">
      <w:pPr>
        <w:pStyle w:val="Heading3"/>
      </w:pPr>
      <w:bookmarkStart w:id="213" w:name="_Ref410048421"/>
      <w:bookmarkStart w:id="214" w:name="_Ref410048423"/>
      <w:bookmarkStart w:id="215" w:name="_Toc417646803"/>
      <w:r>
        <w:t>Production Unit Packing Methods</w:t>
      </w:r>
      <w:bookmarkEnd w:id="213"/>
      <w:bookmarkEnd w:id="214"/>
      <w:bookmarkEnd w:id="215"/>
    </w:p>
    <w:p w:rsidR="00C30D4F" w:rsidRDefault="00C30D4F" w:rsidP="00C30D4F">
      <w:r>
        <w:t xml:space="preserve">Production units are </w:t>
      </w:r>
      <w:proofErr w:type="spellStart"/>
      <w:r>
        <w:t>sited</w:t>
      </w:r>
      <w:proofErr w:type="spellEnd"/>
      <w:r>
        <w:t xml:space="preserve"> as a means to determine the number and approximate locations of well pads within a site. A production unit is the potential area drained by a well pad once all its wells have been drilled. Since real well pads have variable numbers of wells in variable configurations, production units must also be various shapes. Bungee is able to accommodate a range of number of wells per pad and optimizes the number of wells within this range, their configurations, and locations of the production units accordingly. In this analysis, we took a simplified approach and had Bungee place only 6-well production units 3352.8 m tall by 914.4 m wide</w:t>
      </w:r>
      <w:r w:rsidR="00CA7912">
        <w:t xml:space="preserve"> (3000 by 11000 ft)</w:t>
      </w:r>
      <w:r>
        <w:t xml:space="preserve"> and rotated 27</w:t>
      </w:r>
      <w:r>
        <w:rPr>
          <w:rFonts w:ascii="Cambria Math" w:hAnsi="Cambria Math"/>
        </w:rPr>
        <w:t>°</w:t>
      </w:r>
      <w:r>
        <w:t xml:space="preserve"> counter-clockwise. As such, we also simplify the explanation of the production unit packing algorithm for brevity and clarity.</w:t>
      </w:r>
    </w:p>
    <w:p w:rsidR="00C30D4F" w:rsidRDefault="00C30D4F" w:rsidP="00C40EFF">
      <w:pPr>
        <w:ind w:firstLine="360"/>
      </w:pPr>
      <w:r>
        <w:t xml:space="preserve">Production units are packed into the site by iteratively adding production units to the site and then using simulated annealing to shuffle them and free up space. The objective of the optimization is to minimize the un-drained area of the site.  The optimization acts on a raster/array basis, such that production units, the site, production unit </w:t>
      </w:r>
      <w:r>
        <w:lastRenderedPageBreak/>
        <w:t>locations, and the objective function all operate on a pixel-by-pixel basis. The algorithm proceeds as follows:</w:t>
      </w:r>
    </w:p>
    <w:p w:rsidR="00C30D4F" w:rsidRDefault="00C30D4F" w:rsidP="009B0E78">
      <w:pPr>
        <w:pStyle w:val="ListParagraph"/>
        <w:numPr>
          <w:ilvl w:val="0"/>
          <w:numId w:val="13"/>
        </w:numPr>
        <w:spacing w:before="200" w:after="200" w:line="276" w:lineRule="auto"/>
      </w:pPr>
      <w:r>
        <w:t>Add a 6-well production unit in the location that minimizes its bad overla</w:t>
      </w:r>
      <w:r w:rsidR="006B0E24">
        <w:t>p.</w:t>
      </w:r>
      <w:r w:rsidR="006B0E24" w:rsidRPr="006B0E24">
        <w:t xml:space="preserve"> </w:t>
      </w:r>
      <w:r w:rsidR="006B0E24">
        <w:t>‘</w:t>
      </w:r>
      <w:proofErr w:type="gramStart"/>
      <w:r w:rsidR="006B0E24">
        <w:t>bad</w:t>
      </w:r>
      <w:proofErr w:type="gramEnd"/>
      <w:r w:rsidR="006B0E24">
        <w:t xml:space="preserve"> overlap’ for a single production unit is its area of overlap with a) other production units and b) areas outside the site.</w:t>
      </w:r>
    </w:p>
    <w:p w:rsidR="00C30D4F" w:rsidRDefault="00C30D4F" w:rsidP="009B0E78">
      <w:pPr>
        <w:pStyle w:val="ListParagraph"/>
        <w:numPr>
          <w:ilvl w:val="0"/>
          <w:numId w:val="13"/>
        </w:numPr>
        <w:spacing w:before="200" w:after="200" w:line="276" w:lineRule="auto"/>
      </w:pPr>
      <w:r>
        <w:t>If any present production units exceed the overlap threshold (v=10% of production unit area), proceed to step 3. Otherwise, return to step 1.</w:t>
      </w:r>
    </w:p>
    <w:p w:rsidR="00C30D4F" w:rsidRDefault="006B0E24" w:rsidP="009B0E78">
      <w:pPr>
        <w:pStyle w:val="ListParagraph"/>
        <w:numPr>
          <w:ilvl w:val="0"/>
          <w:numId w:val="13"/>
        </w:numPr>
        <w:spacing w:before="200" w:after="200" w:line="276" w:lineRule="auto"/>
      </w:pPr>
      <w:r>
        <w:t xml:space="preserve">Perform simulated annealing. </w:t>
      </w:r>
      <w:r w:rsidR="00C30D4F">
        <w:t>Shuffle production units to free up space in the site. For a fixed number of iterations (n=5000</w:t>
      </w:r>
      <w:r w:rsidR="00A979FE">
        <w:t>)</w:t>
      </w:r>
      <w:r w:rsidR="00C30D4F">
        <w:t>:</w:t>
      </w:r>
    </w:p>
    <w:p w:rsidR="00C30D4F" w:rsidRDefault="00C30D4F" w:rsidP="009B0E78">
      <w:pPr>
        <w:pStyle w:val="ListParagraph"/>
        <w:numPr>
          <w:ilvl w:val="1"/>
          <w:numId w:val="13"/>
        </w:numPr>
        <w:spacing w:before="200" w:after="200" w:line="276" w:lineRule="auto"/>
      </w:pPr>
      <w:r>
        <w:t>For each production unit:</w:t>
      </w:r>
    </w:p>
    <w:p w:rsidR="00C30D4F" w:rsidRDefault="00C30D4F" w:rsidP="009B0E78">
      <w:pPr>
        <w:pStyle w:val="ListParagraph"/>
        <w:numPr>
          <w:ilvl w:val="2"/>
          <w:numId w:val="13"/>
        </w:numPr>
        <w:spacing w:before="200" w:after="200" w:line="276" w:lineRule="auto"/>
      </w:pPr>
      <w:r>
        <w:t xml:space="preserve">Move it one pixel in a random direction and calculate its bad overlap. </w:t>
      </w:r>
    </w:p>
    <w:p w:rsidR="00C30D4F" w:rsidRDefault="00C30D4F" w:rsidP="009B0E78">
      <w:pPr>
        <w:pStyle w:val="ListParagraph"/>
        <w:numPr>
          <w:ilvl w:val="2"/>
          <w:numId w:val="13"/>
        </w:numPr>
        <w:spacing w:before="200" w:after="200" w:line="276" w:lineRule="auto"/>
      </w:pPr>
      <w:r>
        <w:t>If the bad overlap is reduced from its previous position, keep the new position. Otherwise, keep the new position with some probability (</w:t>
      </w:r>
      <w:proofErr w:type="spellStart"/>
      <w:r>
        <w:t>p</w:t>
      </w:r>
      <w:r>
        <w:rPr>
          <w:vertAlign w:val="subscript"/>
        </w:rPr>
        <w:t>start</w:t>
      </w:r>
      <w:proofErr w:type="spellEnd"/>
      <w:r>
        <w:t>=0.1).</w:t>
      </w:r>
    </w:p>
    <w:p w:rsidR="00C30D4F" w:rsidRDefault="00C30D4F" w:rsidP="009B0E78">
      <w:pPr>
        <w:pStyle w:val="ListParagraph"/>
        <w:numPr>
          <w:ilvl w:val="1"/>
          <w:numId w:val="13"/>
        </w:numPr>
        <w:spacing w:before="200" w:after="200" w:line="276" w:lineRule="auto"/>
      </w:pPr>
      <w:r>
        <w:t>Calculate the un-drained area of the site. If the un-drained area decreased, keep this new configuration of production units. Otherwise, keep the new configuration with some probability (same as 3.a.ii.).</w:t>
      </w:r>
    </w:p>
    <w:p w:rsidR="00C30D4F" w:rsidRDefault="00C30D4F" w:rsidP="009B0E78">
      <w:pPr>
        <w:pStyle w:val="ListParagraph"/>
        <w:numPr>
          <w:ilvl w:val="1"/>
          <w:numId w:val="13"/>
        </w:numPr>
        <w:spacing w:before="200" w:after="200" w:line="276" w:lineRule="auto"/>
      </w:pPr>
      <w:r>
        <w:t>Decrease the probability that worse solutions are kept such that by the end of step 3, the probability of keeping worse solutions is zero.</w:t>
      </w:r>
    </w:p>
    <w:p w:rsidR="00C30D4F" w:rsidRDefault="00C30D4F" w:rsidP="009B0E78">
      <w:pPr>
        <w:pStyle w:val="ListParagraph"/>
        <w:numPr>
          <w:ilvl w:val="0"/>
          <w:numId w:val="13"/>
        </w:numPr>
        <w:spacing w:before="200" w:after="200" w:line="276" w:lineRule="auto"/>
      </w:pPr>
      <w:r>
        <w:t>Repeat the check in step 2. If it still fails, remove the last production unit and return the set of production units placed. Otherwise, return to step 1.</w:t>
      </w:r>
    </w:p>
    <w:p w:rsidR="00C30D4F" w:rsidRPr="00B10834" w:rsidRDefault="00C30D4F" w:rsidP="00C30D4F">
      <w:r>
        <w:t>The optimization determines the number of production units and their locations. To get the pad envelopes, which define the regions where a pad may be placed before setbacks are enforced, we center a 304.8 m wide by 1524 m tall</w:t>
      </w:r>
      <w:r w:rsidR="00A979FE">
        <w:t xml:space="preserve"> (1000 by 5000 ft)</w:t>
      </w:r>
      <w:r>
        <w:t xml:space="preserve"> rectangle in each production unit. Note that, like the production units, the shapes of pad envelopes vary with the number and configurations of wells per pad.</w:t>
      </w:r>
    </w:p>
    <w:p w:rsidR="00C30D4F" w:rsidRDefault="00C30D4F" w:rsidP="00C40EFF">
      <w:pPr>
        <w:pStyle w:val="Heading3"/>
      </w:pPr>
      <w:bookmarkStart w:id="216" w:name="_Ref407977695"/>
      <w:bookmarkStart w:id="217" w:name="_Ref408140490"/>
      <w:bookmarkStart w:id="218" w:name="_Ref408140503"/>
      <w:bookmarkStart w:id="219" w:name="_Ref408218038"/>
      <w:bookmarkStart w:id="220" w:name="_Ref408218041"/>
      <w:bookmarkStart w:id="221" w:name="_Toc417646804"/>
      <w:r>
        <w:t>Additive Layout Creation Methods</w:t>
      </w:r>
      <w:bookmarkEnd w:id="216"/>
      <w:bookmarkEnd w:id="217"/>
      <w:bookmarkEnd w:id="218"/>
      <w:bookmarkEnd w:id="219"/>
      <w:bookmarkEnd w:id="220"/>
      <w:bookmarkEnd w:id="221"/>
    </w:p>
    <w:p w:rsidR="00C30D4F" w:rsidRDefault="00C30D4F" w:rsidP="00C40EFF">
      <w:pPr>
        <w:pStyle w:val="Heading4"/>
      </w:pPr>
      <w:bookmarkStart w:id="222" w:name="_Ref409532129"/>
      <w:r>
        <w:t>Simplifying assumptions</w:t>
      </w:r>
      <w:bookmarkEnd w:id="222"/>
    </w:p>
    <w:p w:rsidR="00C30D4F" w:rsidRDefault="00C30D4F" w:rsidP="00C30D4F">
      <w:r>
        <w:t xml:space="preserve">Bungee simplifies the infrastructure planning problem so that impact-avoiding layouts can be proposed on a desktop computer in a reasonable </w:t>
      </w:r>
      <w:r>
        <w:lastRenderedPageBreak/>
        <w:t xml:space="preserve">amount of time (one to several hours or days). There are two important characteristics of the planning problem which Bungee’s algorithm partially avoids. An explanation of these is necessary to understand the approach we took in deriving Bungee’s layout planning methods. First, the Impact Score is a spatially non-additive function of infrastructure layouts, such that it cannot be fully assessed without the entire layout. This poses a difficulty due to the large solution space of layouts and few ways to narrow down proposed layouts to avoid searching the whole solution space. Second, the optimal (i.e. Impact Score minimizing) positions of well pads, access roads, and gathering pipelines are all interdependent since each type of infrastructure can affect the locations of others. This difficulty occurs even if the Impact Score were spatially </w:t>
      </w:r>
      <w:proofErr w:type="gramStart"/>
      <w:r>
        <w:t>additive</w:t>
      </w:r>
      <w:proofErr w:type="gramEnd"/>
      <w:r>
        <w:t>. We programmed Bungee to deal with these difficulties by simplifying the infrastructure planning algorithm. We make the following assumptions</w:t>
      </w:r>
    </w:p>
    <w:p w:rsidR="00C30D4F" w:rsidRDefault="00C30D4F" w:rsidP="009B0E78">
      <w:pPr>
        <w:pStyle w:val="ListParagraph"/>
        <w:numPr>
          <w:ilvl w:val="0"/>
          <w:numId w:val="14"/>
        </w:numPr>
        <w:spacing w:before="200" w:after="200" w:line="276" w:lineRule="auto"/>
      </w:pPr>
      <w:r>
        <w:t>The Impact Score can be estimated on a pixel-by-pixel basis by treating each pixel as if it were developed independently of others.</w:t>
      </w:r>
    </w:p>
    <w:p w:rsidR="00C30D4F" w:rsidRDefault="00C30D4F" w:rsidP="009B0E78">
      <w:pPr>
        <w:pStyle w:val="ListParagraph"/>
        <w:numPr>
          <w:ilvl w:val="0"/>
          <w:numId w:val="14"/>
        </w:numPr>
        <w:spacing w:before="200" w:after="200" w:line="276" w:lineRule="auto"/>
      </w:pPr>
      <w:r>
        <w:t>The optimal route of an access road or gathering pipeline depends only on infrastructure that has already been proposed and on the pixel-by-pixel estimate of the Impact Score.</w:t>
      </w:r>
    </w:p>
    <w:p w:rsidR="00C30D4F" w:rsidRDefault="00C30D4F" w:rsidP="00C30D4F">
      <w:r>
        <w:t>Since layouts are based on the spatially additive approximation of the Impact Score, we call them additive layouts.</w:t>
      </w:r>
    </w:p>
    <w:p w:rsidR="00C30D4F" w:rsidRDefault="00C30D4F" w:rsidP="00C40EFF">
      <w:pPr>
        <w:pStyle w:val="Heading4"/>
      </w:pPr>
      <w:r>
        <w:t>Additive layout attribute optimization</w:t>
      </w:r>
    </w:p>
    <w:p w:rsidR="00C30D4F" w:rsidRDefault="00C30D4F" w:rsidP="00C30D4F">
      <w:r>
        <w:t>With these assumptions in mind, we developed a hierarchical algorithm for planning infrastructure layouts. In the higher level, a genetic algorithm is used to optimize the attributes of a layout - well pad locations and the order of planning of access roads and gathering pipelines. For instance, in a site with two well pads, the attributes might look like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9"/>
        <w:gridCol w:w="913"/>
        <w:gridCol w:w="911"/>
        <w:gridCol w:w="902"/>
        <w:gridCol w:w="913"/>
        <w:gridCol w:w="1005"/>
        <w:gridCol w:w="969"/>
        <w:gridCol w:w="971"/>
        <w:gridCol w:w="1003"/>
      </w:tblGrid>
      <w:tr w:rsidR="00C30D4F" w:rsidTr="003C0234">
        <w:trPr>
          <w:jc w:val="center"/>
        </w:trPr>
        <w:tc>
          <w:tcPr>
            <w:tcW w:w="1029" w:type="dxa"/>
            <w:vAlign w:val="center"/>
          </w:tcPr>
          <w:p w:rsidR="00C30D4F" w:rsidRDefault="00C30D4F" w:rsidP="00C40EFF">
            <w:pPr>
              <w:spacing w:before="240" w:after="240"/>
              <w:jc w:val="center"/>
            </w:pPr>
            <w:r>
              <w:t>Attribute</w:t>
            </w:r>
          </w:p>
        </w:tc>
        <w:tc>
          <w:tcPr>
            <w:tcW w:w="1072" w:type="dxa"/>
            <w:vAlign w:val="center"/>
          </w:tcPr>
          <w:p w:rsidR="00C30D4F" w:rsidRPr="00953A0C" w:rsidRDefault="00C30D4F" w:rsidP="00C40EFF">
            <w:pPr>
              <w:spacing w:before="240" w:after="240"/>
              <w:jc w:val="center"/>
              <w:rPr>
                <w:vertAlign w:val="subscript"/>
              </w:rPr>
            </w:pPr>
            <w:proofErr w:type="spellStart"/>
            <w:r>
              <w:t>Y</w:t>
            </w:r>
            <w:r>
              <w:softHyphen/>
            </w:r>
            <w:r>
              <w:rPr>
                <w:vertAlign w:val="subscript"/>
              </w:rPr>
              <w:t>a</w:t>
            </w:r>
            <w:proofErr w:type="spellEnd"/>
          </w:p>
        </w:tc>
        <w:tc>
          <w:tcPr>
            <w:tcW w:w="1069" w:type="dxa"/>
            <w:vAlign w:val="center"/>
          </w:tcPr>
          <w:p w:rsidR="00C30D4F" w:rsidRPr="00953A0C" w:rsidRDefault="00C30D4F" w:rsidP="00C40EFF">
            <w:pPr>
              <w:spacing w:before="240" w:after="240"/>
              <w:jc w:val="center"/>
              <w:rPr>
                <w:vertAlign w:val="subscript"/>
              </w:rPr>
            </w:pPr>
            <w:proofErr w:type="spellStart"/>
            <w:r>
              <w:t>X</w:t>
            </w:r>
            <w:r>
              <w:rPr>
                <w:vertAlign w:val="subscript"/>
              </w:rPr>
              <w:t>a</w:t>
            </w:r>
            <w:proofErr w:type="spellEnd"/>
          </w:p>
        </w:tc>
        <w:tc>
          <w:tcPr>
            <w:tcW w:w="1071" w:type="dxa"/>
            <w:vAlign w:val="center"/>
          </w:tcPr>
          <w:p w:rsidR="00C30D4F" w:rsidRPr="00953A0C" w:rsidRDefault="00C30D4F" w:rsidP="00C40EFF">
            <w:pPr>
              <w:spacing w:before="240" w:after="240"/>
              <w:jc w:val="center"/>
              <w:rPr>
                <w:vertAlign w:val="subscript"/>
              </w:rPr>
            </w:pPr>
            <w:proofErr w:type="spellStart"/>
            <w:r>
              <w:t>Y</w:t>
            </w:r>
            <w:r>
              <w:rPr>
                <w:vertAlign w:val="subscript"/>
              </w:rPr>
              <w:t>b</w:t>
            </w:r>
            <w:proofErr w:type="spellEnd"/>
          </w:p>
        </w:tc>
        <w:tc>
          <w:tcPr>
            <w:tcW w:w="1071" w:type="dxa"/>
            <w:vAlign w:val="center"/>
          </w:tcPr>
          <w:p w:rsidR="00C30D4F" w:rsidRPr="00953A0C" w:rsidRDefault="00C30D4F" w:rsidP="00C40EFF">
            <w:pPr>
              <w:spacing w:before="240" w:after="240"/>
              <w:jc w:val="center"/>
              <w:rPr>
                <w:vertAlign w:val="subscript"/>
              </w:rPr>
            </w:pPr>
            <w:proofErr w:type="spellStart"/>
            <w:r>
              <w:t>X</w:t>
            </w:r>
            <w:r>
              <w:rPr>
                <w:vertAlign w:val="subscript"/>
              </w:rPr>
              <w:t>b</w:t>
            </w:r>
            <w:proofErr w:type="spellEnd"/>
          </w:p>
        </w:tc>
        <w:tc>
          <w:tcPr>
            <w:tcW w:w="1066" w:type="dxa"/>
            <w:vAlign w:val="center"/>
          </w:tcPr>
          <w:p w:rsidR="00C30D4F" w:rsidRPr="00953A0C" w:rsidRDefault="00C30D4F" w:rsidP="00C40EFF">
            <w:pPr>
              <w:spacing w:before="240" w:after="240"/>
              <w:jc w:val="center"/>
              <w:rPr>
                <w:vertAlign w:val="subscript"/>
              </w:rPr>
            </w:pPr>
            <w:r>
              <w:t>L</w:t>
            </w:r>
            <w:r>
              <w:rPr>
                <w:vertAlign w:val="subscript"/>
              </w:rPr>
              <w:t>1</w:t>
            </w:r>
          </w:p>
        </w:tc>
        <w:tc>
          <w:tcPr>
            <w:tcW w:w="1066" w:type="dxa"/>
            <w:vAlign w:val="center"/>
          </w:tcPr>
          <w:p w:rsidR="00C30D4F" w:rsidRPr="00953A0C" w:rsidRDefault="00C30D4F" w:rsidP="00C40EFF">
            <w:pPr>
              <w:spacing w:before="240" w:after="240"/>
              <w:jc w:val="center"/>
              <w:rPr>
                <w:vertAlign w:val="subscript"/>
              </w:rPr>
            </w:pPr>
            <w:r>
              <w:t>L</w:t>
            </w:r>
            <w:r>
              <w:rPr>
                <w:vertAlign w:val="subscript"/>
              </w:rPr>
              <w:t>2</w:t>
            </w:r>
          </w:p>
        </w:tc>
        <w:tc>
          <w:tcPr>
            <w:tcW w:w="1066" w:type="dxa"/>
            <w:vAlign w:val="center"/>
          </w:tcPr>
          <w:p w:rsidR="00C30D4F" w:rsidRPr="00953A0C" w:rsidRDefault="00C30D4F" w:rsidP="00C40EFF">
            <w:pPr>
              <w:spacing w:before="240" w:after="240"/>
              <w:jc w:val="center"/>
              <w:rPr>
                <w:vertAlign w:val="subscript"/>
              </w:rPr>
            </w:pPr>
            <w:r>
              <w:t>L</w:t>
            </w:r>
            <w:r>
              <w:rPr>
                <w:vertAlign w:val="subscript"/>
              </w:rPr>
              <w:t>3</w:t>
            </w:r>
          </w:p>
        </w:tc>
        <w:tc>
          <w:tcPr>
            <w:tcW w:w="1066" w:type="dxa"/>
            <w:vAlign w:val="center"/>
          </w:tcPr>
          <w:p w:rsidR="00C30D4F" w:rsidRPr="00953A0C" w:rsidRDefault="00C30D4F" w:rsidP="00C40EFF">
            <w:pPr>
              <w:spacing w:before="240" w:after="240"/>
              <w:jc w:val="center"/>
              <w:rPr>
                <w:vertAlign w:val="subscript"/>
              </w:rPr>
            </w:pPr>
            <w:r>
              <w:t>L</w:t>
            </w:r>
            <w:r>
              <w:rPr>
                <w:vertAlign w:val="subscript"/>
              </w:rPr>
              <w:t>4</w:t>
            </w:r>
          </w:p>
        </w:tc>
      </w:tr>
      <w:tr w:rsidR="00C30D4F" w:rsidTr="003C0234">
        <w:trPr>
          <w:jc w:val="center"/>
        </w:trPr>
        <w:tc>
          <w:tcPr>
            <w:tcW w:w="1029" w:type="dxa"/>
            <w:vAlign w:val="center"/>
          </w:tcPr>
          <w:p w:rsidR="00C30D4F" w:rsidRDefault="00C30D4F" w:rsidP="00C40EFF">
            <w:pPr>
              <w:spacing w:before="240" w:after="240"/>
              <w:jc w:val="center"/>
            </w:pPr>
            <w:r>
              <w:t>Example</w:t>
            </w:r>
          </w:p>
        </w:tc>
        <w:tc>
          <w:tcPr>
            <w:tcW w:w="1072" w:type="dxa"/>
            <w:vAlign w:val="center"/>
          </w:tcPr>
          <w:p w:rsidR="00C30D4F" w:rsidRDefault="00C30D4F" w:rsidP="00C40EFF">
            <w:pPr>
              <w:spacing w:before="240" w:after="240"/>
              <w:jc w:val="center"/>
            </w:pPr>
            <w:r>
              <w:t>41</w:t>
            </w:r>
            <w:r>
              <w:rPr>
                <w:rFonts w:ascii="Cambria Math" w:hAnsi="Cambria Math"/>
              </w:rPr>
              <w:t>°</w:t>
            </w:r>
            <w:r>
              <w:t xml:space="preserve"> N</w:t>
            </w:r>
          </w:p>
        </w:tc>
        <w:tc>
          <w:tcPr>
            <w:tcW w:w="1069" w:type="dxa"/>
            <w:vAlign w:val="center"/>
          </w:tcPr>
          <w:p w:rsidR="00C30D4F" w:rsidRDefault="00C30D4F" w:rsidP="00C40EFF">
            <w:pPr>
              <w:spacing w:before="240" w:after="240"/>
              <w:jc w:val="center"/>
            </w:pPr>
            <w:r>
              <w:t>80</w:t>
            </w:r>
            <w:r>
              <w:rPr>
                <w:rFonts w:ascii="Cambria Math" w:hAnsi="Cambria Math"/>
              </w:rPr>
              <w:t>°</w:t>
            </w:r>
            <w:r>
              <w:t xml:space="preserve"> W</w:t>
            </w:r>
          </w:p>
        </w:tc>
        <w:tc>
          <w:tcPr>
            <w:tcW w:w="1071" w:type="dxa"/>
            <w:vAlign w:val="center"/>
          </w:tcPr>
          <w:p w:rsidR="00C30D4F" w:rsidRDefault="00C30D4F" w:rsidP="00C40EFF">
            <w:pPr>
              <w:spacing w:before="240" w:after="240"/>
              <w:jc w:val="center"/>
            </w:pPr>
            <w:r>
              <w:rPr>
                <w:rFonts w:ascii="Cambria Math" w:hAnsi="Cambria Math"/>
              </w:rPr>
              <w:t>42°</w:t>
            </w:r>
            <w:r>
              <w:t xml:space="preserve"> N</w:t>
            </w:r>
          </w:p>
        </w:tc>
        <w:tc>
          <w:tcPr>
            <w:tcW w:w="1071" w:type="dxa"/>
            <w:vAlign w:val="center"/>
          </w:tcPr>
          <w:p w:rsidR="00C30D4F" w:rsidRDefault="00C30D4F" w:rsidP="00C40EFF">
            <w:pPr>
              <w:spacing w:before="240" w:after="240"/>
              <w:jc w:val="center"/>
            </w:pPr>
            <w:r>
              <w:t>81</w:t>
            </w:r>
            <w:r>
              <w:rPr>
                <w:rFonts w:ascii="Cambria Math" w:hAnsi="Cambria Math"/>
              </w:rPr>
              <w:t>°</w:t>
            </w:r>
            <w:r>
              <w:t xml:space="preserve"> W</w:t>
            </w:r>
          </w:p>
        </w:tc>
        <w:tc>
          <w:tcPr>
            <w:tcW w:w="1066" w:type="dxa"/>
            <w:vAlign w:val="center"/>
          </w:tcPr>
          <w:p w:rsidR="00C30D4F" w:rsidRPr="00050C2C" w:rsidRDefault="00C30D4F" w:rsidP="00C40EFF">
            <w:pPr>
              <w:spacing w:before="240" w:after="240"/>
              <w:jc w:val="center"/>
              <w:rPr>
                <w:vertAlign w:val="subscript"/>
              </w:rPr>
            </w:pPr>
            <w:proofErr w:type="spellStart"/>
            <w:r>
              <w:t>Road</w:t>
            </w:r>
            <w:r>
              <w:rPr>
                <w:vertAlign w:val="subscript"/>
              </w:rPr>
              <w:t>b</w:t>
            </w:r>
            <w:proofErr w:type="spellEnd"/>
          </w:p>
        </w:tc>
        <w:tc>
          <w:tcPr>
            <w:tcW w:w="1066" w:type="dxa"/>
            <w:vAlign w:val="center"/>
          </w:tcPr>
          <w:p w:rsidR="00C30D4F" w:rsidRPr="00050C2C" w:rsidRDefault="00C30D4F" w:rsidP="00C40EFF">
            <w:pPr>
              <w:spacing w:before="240" w:after="240"/>
              <w:jc w:val="center"/>
              <w:rPr>
                <w:vertAlign w:val="subscript"/>
              </w:rPr>
            </w:pPr>
            <w:proofErr w:type="spellStart"/>
            <w:r>
              <w:t>Pipe</w:t>
            </w:r>
            <w:r>
              <w:rPr>
                <w:vertAlign w:val="subscript"/>
              </w:rPr>
              <w:t>a</w:t>
            </w:r>
            <w:proofErr w:type="spellEnd"/>
          </w:p>
        </w:tc>
        <w:tc>
          <w:tcPr>
            <w:tcW w:w="1066" w:type="dxa"/>
            <w:vAlign w:val="center"/>
          </w:tcPr>
          <w:p w:rsidR="00C30D4F" w:rsidRPr="00050C2C" w:rsidRDefault="00C30D4F" w:rsidP="00C40EFF">
            <w:pPr>
              <w:spacing w:before="240" w:after="240"/>
              <w:jc w:val="center"/>
              <w:rPr>
                <w:vertAlign w:val="subscript"/>
              </w:rPr>
            </w:pPr>
            <w:proofErr w:type="spellStart"/>
            <w:r>
              <w:t>Pipe</w:t>
            </w:r>
            <w:r>
              <w:rPr>
                <w:vertAlign w:val="subscript"/>
              </w:rPr>
              <w:t>b</w:t>
            </w:r>
            <w:proofErr w:type="spellEnd"/>
          </w:p>
        </w:tc>
        <w:tc>
          <w:tcPr>
            <w:tcW w:w="1066" w:type="dxa"/>
            <w:vAlign w:val="center"/>
          </w:tcPr>
          <w:p w:rsidR="00C30D4F" w:rsidRPr="00050C2C" w:rsidRDefault="00C30D4F" w:rsidP="00C40EFF">
            <w:pPr>
              <w:spacing w:before="240" w:after="240"/>
              <w:jc w:val="center"/>
              <w:rPr>
                <w:vertAlign w:val="subscript"/>
              </w:rPr>
            </w:pPr>
            <w:proofErr w:type="spellStart"/>
            <w:r>
              <w:t>Road</w:t>
            </w:r>
            <w:r>
              <w:rPr>
                <w:vertAlign w:val="subscript"/>
              </w:rPr>
              <w:t>a</w:t>
            </w:r>
            <w:proofErr w:type="spellEnd"/>
          </w:p>
        </w:tc>
      </w:tr>
    </w:tbl>
    <w:p w:rsidR="00C30D4F" w:rsidRPr="00050C2C" w:rsidRDefault="00C30D4F" w:rsidP="00C30D4F">
      <w:proofErr w:type="gramStart"/>
      <w:r>
        <w:t>where</w:t>
      </w:r>
      <w:proofErr w:type="gramEnd"/>
      <w:r>
        <w:t xml:space="preserve"> </w:t>
      </w:r>
      <w:r>
        <w:rPr>
          <w:i/>
        </w:rPr>
        <w:t>Y</w:t>
      </w:r>
      <w:r>
        <w:t xml:space="preserve"> and </w:t>
      </w:r>
      <w:r w:rsidRPr="00050C2C">
        <w:rPr>
          <w:i/>
        </w:rPr>
        <w:t>X</w:t>
      </w:r>
      <w:r>
        <w:t xml:space="preserve"> are the vertical and horizontal positions of well pads </w:t>
      </w:r>
      <w:r>
        <w:rPr>
          <w:i/>
        </w:rPr>
        <w:t>a</w:t>
      </w:r>
      <w:r>
        <w:t xml:space="preserve"> and </w:t>
      </w:r>
      <w:r>
        <w:rPr>
          <w:i/>
        </w:rPr>
        <w:t>b</w:t>
      </w:r>
      <w:r>
        <w:t xml:space="preserve">, and </w:t>
      </w:r>
      <w:r>
        <w:rPr>
          <w:i/>
        </w:rPr>
        <w:t>L</w:t>
      </w:r>
      <w:r>
        <w:rPr>
          <w:i/>
          <w:vertAlign w:val="subscript"/>
        </w:rPr>
        <w:t>i</w:t>
      </w:r>
      <w:r>
        <w:t xml:space="preserve"> denotes the order of development of linear infrastructure corresponding to each well pad. Note that the order of linear infrastructure is important because Bungee “fixes” each planned route – treats it as already developed -such that subsequent linear infrastructure </w:t>
      </w:r>
      <w:r>
        <w:lastRenderedPageBreak/>
        <w:t>can be co-located with or terminated at that infrastructure (see Bungee documentation for more).</w:t>
      </w:r>
    </w:p>
    <w:p w:rsidR="00C30D4F" w:rsidRDefault="00C30D4F" w:rsidP="00C40EFF">
      <w:pPr>
        <w:ind w:firstLine="360"/>
      </w:pPr>
      <w:r>
        <w:t xml:space="preserve">The objective of the optimization is to minimize the Impact Score given a budget constraint. Bungee uses a least-cost path algorithm in the lower level to plan the routes of access roads and gathering pipelines, which provides the information needed to evaluate the layout for its Impact Score. We describe the higher level of the algorithm in the paragraphs below and the lower level in </w:t>
      </w:r>
      <w:r w:rsidR="00F01773">
        <w:fldChar w:fldCharType="begin"/>
      </w:r>
      <w:r>
        <w:instrText xml:space="preserve"> REF _Ref409529030 \r \h </w:instrText>
      </w:r>
      <w:r w:rsidR="00F01773">
        <w:fldChar w:fldCharType="separate"/>
      </w:r>
      <w:r w:rsidR="00867AA7">
        <w:t>3.7.9.3</w:t>
      </w:r>
      <w:r w:rsidR="00F01773">
        <w:fldChar w:fldCharType="end"/>
      </w:r>
      <w:r>
        <w:t xml:space="preserve"> </w:t>
      </w:r>
      <w:r w:rsidR="00F01773">
        <w:fldChar w:fldCharType="begin"/>
      </w:r>
      <w:r>
        <w:instrText xml:space="preserve"> REF _Ref409529030 \h </w:instrText>
      </w:r>
      <w:r w:rsidR="00F01773">
        <w:fldChar w:fldCharType="separate"/>
      </w:r>
      <w:proofErr w:type="gramStart"/>
      <w:r w:rsidR="00867AA7">
        <w:t>Linear</w:t>
      </w:r>
      <w:proofErr w:type="gramEnd"/>
      <w:r w:rsidR="00867AA7">
        <w:t xml:space="preserve"> infrastructure route optimization</w:t>
      </w:r>
      <w:r w:rsidR="00F01773">
        <w:fldChar w:fldCharType="end"/>
      </w:r>
      <w:r>
        <w:t>. We use an asterisk (*) to denote details further described in the Bungee documentation.</w:t>
      </w:r>
    </w:p>
    <w:p w:rsidR="00C30D4F" w:rsidRDefault="00C30D4F" w:rsidP="009B0E78">
      <w:pPr>
        <w:pStyle w:val="ListParagraph"/>
        <w:numPr>
          <w:ilvl w:val="0"/>
          <w:numId w:val="15"/>
        </w:numPr>
        <w:spacing w:before="200" w:after="200" w:line="276" w:lineRule="auto"/>
      </w:pPr>
      <w:r>
        <w:t>Propose parent population (n=20) of layout attributes. Each layout is proposed by:</w:t>
      </w:r>
    </w:p>
    <w:p w:rsidR="00C30D4F" w:rsidRDefault="00C30D4F" w:rsidP="009B0E78">
      <w:pPr>
        <w:pStyle w:val="ListParagraph"/>
        <w:numPr>
          <w:ilvl w:val="1"/>
          <w:numId w:val="15"/>
        </w:numPr>
        <w:spacing w:before="200" w:after="200" w:line="276" w:lineRule="auto"/>
      </w:pPr>
      <w:r>
        <w:t>Decide pad centroid locations. Bias pads towards lower-impact areas.*</w:t>
      </w:r>
    </w:p>
    <w:p w:rsidR="00C30D4F" w:rsidRDefault="00C30D4F" w:rsidP="009B0E78">
      <w:pPr>
        <w:pStyle w:val="ListParagraph"/>
        <w:numPr>
          <w:ilvl w:val="1"/>
          <w:numId w:val="15"/>
        </w:numPr>
        <w:spacing w:before="200" w:after="200" w:line="276" w:lineRule="auto"/>
      </w:pPr>
      <w:r>
        <w:t>Decide the order of linear infrastructure planning by random draw.</w:t>
      </w:r>
    </w:p>
    <w:p w:rsidR="00C30D4F" w:rsidRDefault="00C30D4F" w:rsidP="009B0E78">
      <w:pPr>
        <w:pStyle w:val="ListParagraph"/>
        <w:numPr>
          <w:ilvl w:val="1"/>
          <w:numId w:val="15"/>
        </w:numPr>
        <w:spacing w:before="200" w:after="200" w:line="276" w:lineRule="auto"/>
      </w:pPr>
      <w:r>
        <w:t>Evaluate layout:</w:t>
      </w:r>
    </w:p>
    <w:p w:rsidR="00C30D4F" w:rsidRDefault="00C30D4F" w:rsidP="009B0E78">
      <w:pPr>
        <w:pStyle w:val="ListParagraph"/>
        <w:numPr>
          <w:ilvl w:val="2"/>
          <w:numId w:val="15"/>
        </w:numPr>
        <w:spacing w:before="200" w:after="200" w:line="276" w:lineRule="auto"/>
      </w:pPr>
      <w:r>
        <w:t>Overlay pad footprint on pad centroids.</w:t>
      </w:r>
    </w:p>
    <w:p w:rsidR="00C30D4F" w:rsidRDefault="00C30D4F" w:rsidP="009B0E78">
      <w:pPr>
        <w:pStyle w:val="ListParagraph"/>
        <w:numPr>
          <w:ilvl w:val="2"/>
          <w:numId w:val="15"/>
        </w:numPr>
        <w:spacing w:before="200" w:after="200" w:line="276" w:lineRule="auto"/>
      </w:pPr>
      <w:r>
        <w:t xml:space="preserve">Plan routes of access roads and gathering pipelines (see </w:t>
      </w:r>
      <w:r w:rsidR="00F01773">
        <w:fldChar w:fldCharType="begin"/>
      </w:r>
      <w:r>
        <w:instrText xml:space="preserve"> REF _Ref409529030 \r \h </w:instrText>
      </w:r>
      <w:r w:rsidR="00F01773">
        <w:fldChar w:fldCharType="separate"/>
      </w:r>
      <w:r w:rsidR="00867AA7">
        <w:t>3.7.9.3</w:t>
      </w:r>
      <w:r w:rsidR="00F01773">
        <w:fldChar w:fldCharType="end"/>
      </w:r>
      <w:r>
        <w:t xml:space="preserve"> </w:t>
      </w:r>
      <w:r w:rsidR="00F01773">
        <w:fldChar w:fldCharType="begin"/>
      </w:r>
      <w:r>
        <w:instrText xml:space="preserve"> REF _Ref409529030 \h </w:instrText>
      </w:r>
      <w:r w:rsidR="00F01773">
        <w:fldChar w:fldCharType="separate"/>
      </w:r>
      <w:proofErr w:type="gramStart"/>
      <w:r w:rsidR="00867AA7">
        <w:t>Linear</w:t>
      </w:r>
      <w:proofErr w:type="gramEnd"/>
      <w:r w:rsidR="00867AA7">
        <w:t xml:space="preserve"> infrastructure route optimization</w:t>
      </w:r>
      <w:r w:rsidR="00F01773">
        <w:fldChar w:fldCharType="end"/>
      </w:r>
      <w:r>
        <w:t>).</w:t>
      </w:r>
    </w:p>
    <w:p w:rsidR="00C30D4F" w:rsidRDefault="00C30D4F" w:rsidP="009B0E78">
      <w:pPr>
        <w:pStyle w:val="ListParagraph"/>
        <w:numPr>
          <w:ilvl w:val="2"/>
          <w:numId w:val="15"/>
        </w:numPr>
        <w:spacing w:before="200" w:after="200" w:line="276" w:lineRule="auto"/>
      </w:pPr>
      <w:r>
        <w:t>Calculate Impact Score and construction cost. If too expensive, discard the layout.</w:t>
      </w:r>
    </w:p>
    <w:p w:rsidR="00C30D4F" w:rsidRDefault="00C30D4F" w:rsidP="009B0E78">
      <w:pPr>
        <w:pStyle w:val="ListParagraph"/>
        <w:numPr>
          <w:ilvl w:val="0"/>
          <w:numId w:val="15"/>
        </w:numPr>
        <w:spacing w:before="200" w:after="200" w:line="276" w:lineRule="auto"/>
      </w:pPr>
      <w:r>
        <w:t>Add lowest-impact layouts (n=3) to offspring population without altering them.</w:t>
      </w:r>
    </w:p>
    <w:p w:rsidR="00C30D4F" w:rsidRDefault="00C30D4F" w:rsidP="009B0E78">
      <w:pPr>
        <w:pStyle w:val="ListParagraph"/>
        <w:numPr>
          <w:ilvl w:val="0"/>
          <w:numId w:val="15"/>
        </w:numPr>
        <w:spacing w:before="200" w:after="200" w:line="276" w:lineRule="auto"/>
      </w:pPr>
      <w:r>
        <w:t>Choose two parent layouts to crossover/mate. Bias choices to those with lower Impact Scores.</w:t>
      </w:r>
    </w:p>
    <w:p w:rsidR="00C30D4F" w:rsidRDefault="00C30D4F" w:rsidP="009B0E78">
      <w:pPr>
        <w:pStyle w:val="ListParagraph"/>
        <w:numPr>
          <w:ilvl w:val="0"/>
          <w:numId w:val="15"/>
        </w:numPr>
        <w:spacing w:before="200" w:after="200" w:line="276" w:lineRule="auto"/>
      </w:pPr>
      <w:r>
        <w:t>Crossover parent layouts with some probability (p=0.7) to form an offspring layout. If not crossed-over, the offspring is an identical copy of the first parent. Otherwise:</w:t>
      </w:r>
    </w:p>
    <w:p w:rsidR="00C30D4F" w:rsidRDefault="00C30D4F" w:rsidP="009B0E78">
      <w:pPr>
        <w:pStyle w:val="ListParagraph"/>
        <w:numPr>
          <w:ilvl w:val="1"/>
          <w:numId w:val="15"/>
        </w:numPr>
        <w:spacing w:before="200" w:after="200" w:line="276" w:lineRule="auto"/>
      </w:pPr>
      <w:r>
        <w:t>Randomly draw each pad location from one parent or the other.</w:t>
      </w:r>
    </w:p>
    <w:p w:rsidR="00C30D4F" w:rsidRDefault="00C30D4F" w:rsidP="009B0E78">
      <w:pPr>
        <w:pStyle w:val="ListParagraph"/>
        <w:numPr>
          <w:ilvl w:val="1"/>
          <w:numId w:val="15"/>
        </w:numPr>
        <w:spacing w:before="200" w:after="200" w:line="276" w:lineRule="auto"/>
      </w:pPr>
      <w:r>
        <w:t xml:space="preserve">Decide offspring’s infrastructure order. For each order slot </w:t>
      </w:r>
      <w:r>
        <w:rPr>
          <w:i/>
        </w:rPr>
        <w:t>L</w:t>
      </w:r>
      <w:r>
        <w:rPr>
          <w:i/>
          <w:vertAlign w:val="subscript"/>
        </w:rPr>
        <w:t>i</w:t>
      </w:r>
      <w:r>
        <w:t>:</w:t>
      </w:r>
    </w:p>
    <w:p w:rsidR="00C30D4F" w:rsidRDefault="00C30D4F" w:rsidP="009B0E78">
      <w:pPr>
        <w:pStyle w:val="ListParagraph"/>
        <w:numPr>
          <w:ilvl w:val="2"/>
          <w:numId w:val="15"/>
        </w:numPr>
        <w:spacing w:before="200" w:after="200" w:line="276" w:lineRule="auto"/>
      </w:pPr>
      <w:r>
        <w:t>Choose at random one parent to take from.</w:t>
      </w:r>
    </w:p>
    <w:p w:rsidR="00C30D4F" w:rsidRDefault="00C30D4F" w:rsidP="009B0E78">
      <w:pPr>
        <w:pStyle w:val="ListParagraph"/>
        <w:numPr>
          <w:ilvl w:val="2"/>
          <w:numId w:val="15"/>
        </w:numPr>
        <w:spacing w:before="200" w:after="200" w:line="276" w:lineRule="auto"/>
      </w:pPr>
      <w:r>
        <w:t xml:space="preserve">Fill in the slot with the next un-used infrastructure (e.g. </w:t>
      </w:r>
      <w:proofErr w:type="spellStart"/>
      <w:r>
        <w:t>Road</w:t>
      </w:r>
      <w:r>
        <w:rPr>
          <w:vertAlign w:val="subscript"/>
        </w:rPr>
        <w:t>b</w:t>
      </w:r>
      <w:proofErr w:type="spellEnd"/>
      <w:r>
        <w:t>) from the parent chosen in 4.b.i.</w:t>
      </w:r>
    </w:p>
    <w:p w:rsidR="00C30D4F" w:rsidRDefault="00C30D4F" w:rsidP="009B0E78">
      <w:pPr>
        <w:pStyle w:val="ListParagraph"/>
        <w:numPr>
          <w:ilvl w:val="0"/>
          <w:numId w:val="15"/>
        </w:numPr>
        <w:spacing w:before="200" w:after="200" w:line="276" w:lineRule="auto"/>
      </w:pPr>
      <w:r>
        <w:t>Mutate/alter new offspring layout created in 4:</w:t>
      </w:r>
    </w:p>
    <w:p w:rsidR="00C30D4F" w:rsidRDefault="00C30D4F" w:rsidP="009B0E78">
      <w:pPr>
        <w:pStyle w:val="ListParagraph"/>
        <w:numPr>
          <w:ilvl w:val="1"/>
          <w:numId w:val="15"/>
        </w:numPr>
        <w:spacing w:before="200" w:after="200" w:line="276" w:lineRule="auto"/>
      </w:pPr>
      <w:r>
        <w:t xml:space="preserve">Move each well pad some number of times* in one-pixel steps. </w:t>
      </w:r>
    </w:p>
    <w:p w:rsidR="00C30D4F" w:rsidRDefault="00C30D4F" w:rsidP="009B0E78">
      <w:pPr>
        <w:pStyle w:val="ListParagraph"/>
        <w:numPr>
          <w:ilvl w:val="1"/>
          <w:numId w:val="15"/>
        </w:numPr>
        <w:spacing w:before="200" w:after="200" w:line="276" w:lineRule="auto"/>
      </w:pPr>
      <w:r>
        <w:lastRenderedPageBreak/>
        <w:t>Shuffle infrastructure order. Loop through each slot and with some probability (p=0.1) swap the infrastructure in this slot with the next slot.</w:t>
      </w:r>
    </w:p>
    <w:p w:rsidR="00C30D4F" w:rsidRDefault="00C30D4F" w:rsidP="009B0E78">
      <w:pPr>
        <w:pStyle w:val="ListParagraph"/>
        <w:numPr>
          <w:ilvl w:val="0"/>
          <w:numId w:val="15"/>
        </w:numPr>
        <w:spacing w:before="200" w:after="200" w:line="276" w:lineRule="auto"/>
      </w:pPr>
      <w:r>
        <w:t>Evaluate offspring layout as in 1.c.</w:t>
      </w:r>
    </w:p>
    <w:p w:rsidR="00C30D4F" w:rsidRDefault="00C30D4F" w:rsidP="009B0E78">
      <w:pPr>
        <w:pStyle w:val="ListParagraph"/>
        <w:numPr>
          <w:ilvl w:val="0"/>
          <w:numId w:val="15"/>
        </w:numPr>
        <w:spacing w:before="200" w:after="200" w:line="276" w:lineRule="auto"/>
      </w:pPr>
      <w:r>
        <w:t>If offspring layout has lower Impact Score than both parents, add it to the offspring population. Otherwise, add it anyway with some probability (p=0.05).</w:t>
      </w:r>
    </w:p>
    <w:p w:rsidR="00C30D4F" w:rsidRDefault="00C30D4F" w:rsidP="009B0E78">
      <w:pPr>
        <w:pStyle w:val="ListParagraph"/>
        <w:numPr>
          <w:ilvl w:val="0"/>
          <w:numId w:val="15"/>
        </w:numPr>
        <w:spacing w:before="200" w:after="200" w:line="276" w:lineRule="auto"/>
      </w:pPr>
      <w:r>
        <w:t xml:space="preserve">If some number (n=5,000) of layouts have been proposed and kept </w:t>
      </w:r>
      <w:r w:rsidRPr="00F844CA">
        <w:rPr>
          <w:i/>
        </w:rPr>
        <w:t>or</w:t>
      </w:r>
      <w:r>
        <w:t xml:space="preserve"> discarded, return the lowest-impact layout from the offspring population. Otherwise, go to 9.</w:t>
      </w:r>
    </w:p>
    <w:p w:rsidR="00C30D4F" w:rsidRDefault="00C30D4F" w:rsidP="009B0E78">
      <w:pPr>
        <w:pStyle w:val="ListParagraph"/>
        <w:numPr>
          <w:ilvl w:val="0"/>
          <w:numId w:val="15"/>
        </w:numPr>
        <w:spacing w:before="200" w:after="200" w:line="276" w:lineRule="auto"/>
      </w:pPr>
      <w:r>
        <w:t>If the offspring population is full (n=20 layout attributes), go to 10. Otherwise, go to 3.</w:t>
      </w:r>
    </w:p>
    <w:p w:rsidR="00C30D4F" w:rsidRDefault="00C30D4F" w:rsidP="009B0E78">
      <w:pPr>
        <w:pStyle w:val="ListParagraph"/>
        <w:numPr>
          <w:ilvl w:val="0"/>
          <w:numId w:val="15"/>
        </w:numPr>
        <w:spacing w:before="200" w:after="200" w:line="276" w:lineRule="auto"/>
      </w:pPr>
      <w:r>
        <w:t>Check for convergence. If the lowest-impact layout in the offspring population has not changed in some number of generations (n=7), propose a new set of layout attributes (n=17) as in 1, but keep the current lowest-impact layouts from 2. Otherwise, replace the current parent population with the offspring population and go to 2.</w:t>
      </w:r>
    </w:p>
    <w:p w:rsidR="00C30D4F" w:rsidRDefault="00C30D4F" w:rsidP="00C40EFF">
      <w:pPr>
        <w:pStyle w:val="Heading4"/>
      </w:pPr>
      <w:bookmarkStart w:id="223" w:name="_Ref409529030"/>
      <w:r>
        <w:t>Linear infrastructure route optimization</w:t>
      </w:r>
      <w:bookmarkEnd w:id="223"/>
    </w:p>
    <w:p w:rsidR="00C30D4F" w:rsidRDefault="00C30D4F" w:rsidP="00C30D4F">
      <w:r>
        <w:t xml:space="preserve">In </w:t>
      </w:r>
      <w:r w:rsidR="00F01773">
        <w:fldChar w:fldCharType="begin"/>
      </w:r>
      <w:r>
        <w:instrText xml:space="preserve"> REF _Ref409532129 \r \h </w:instrText>
      </w:r>
      <w:r w:rsidR="00F01773">
        <w:fldChar w:fldCharType="separate"/>
      </w:r>
      <w:r w:rsidR="00867AA7">
        <w:t>3.7.9.1</w:t>
      </w:r>
      <w:r w:rsidR="00F01773">
        <w:fldChar w:fldCharType="end"/>
      </w:r>
      <w:r>
        <w:t xml:space="preserve"> </w:t>
      </w:r>
      <w:r w:rsidR="00F01773">
        <w:fldChar w:fldCharType="begin"/>
      </w:r>
      <w:r>
        <w:instrText xml:space="preserve"> REF _Ref409532129 \h </w:instrText>
      </w:r>
      <w:r w:rsidR="00F01773">
        <w:fldChar w:fldCharType="separate"/>
      </w:r>
      <w:r w:rsidR="00867AA7">
        <w:t>Simplifying assumptions</w:t>
      </w:r>
      <w:r w:rsidR="00F01773">
        <w:fldChar w:fldCharType="end"/>
      </w:r>
      <w:r>
        <w:t xml:space="preserve"> we describe assumptions that allowed us to entirely represent a layout by the locations of well pad centroids and order of development of linear infrastructure. To go from its attributes to the binary rasters necessary to calculate the Impact Score and construction cost, we need only to overlay a well pad footprint on the well pad centroids and plan the routes of linear infrastructure. We can plan the route of a piece of infrastructure using a least-cost-path algorithm. </w:t>
      </w:r>
    </w:p>
    <w:p w:rsidR="00C30D4F" w:rsidRDefault="00C30D4F" w:rsidP="00C40EFF">
      <w:pPr>
        <w:ind w:firstLine="720"/>
      </w:pPr>
      <w:r>
        <w:t>The least-cost-path algorithm we use is a modified version of Dijkstra’s algorithm</w:t>
      </w:r>
      <w:r>
        <w:rPr>
          <w:rStyle w:val="FootnoteReference"/>
        </w:rPr>
        <w:footnoteReference w:id="2"/>
      </w:r>
      <w:r>
        <w:t xml:space="preserve"> and guarantees that the route found is globally optimum given the assumptions we outlined. Due to its complexity, we do not list the algorithm steps here, but instead describe how our algorithm builds on Dijkstra’s algorithm. We fully describe the optimization in the Bungee documentation.</w:t>
      </w:r>
    </w:p>
    <w:p w:rsidR="00C30D4F" w:rsidRDefault="00C30D4F" w:rsidP="00A979FE">
      <w:pPr>
        <w:ind w:firstLine="720"/>
      </w:pPr>
      <w:r>
        <w:t xml:space="preserve">Dijkstra’s algorithm works on raster (or array) data to find the least-cost route from a set of source/starting pixels to a set of destination pixels. It assumes that the total cost of traversing a complete or </w:t>
      </w:r>
      <w:r>
        <w:lastRenderedPageBreak/>
        <w:t xml:space="preserve">incomplete route is the sum of the costs of each pixel along the route, i.e. the cumulative cost is spatially </w:t>
      </w:r>
      <w:proofErr w:type="gramStart"/>
      <w:r>
        <w:t>additive</w:t>
      </w:r>
      <w:proofErr w:type="gramEnd"/>
      <w:r>
        <w:t xml:space="preserve">. In this context, the source pixels are well pads including their footprints and the destination pixels are </w:t>
      </w:r>
      <w:proofErr w:type="gramStart"/>
      <w:r>
        <w:t>existing</w:t>
      </w:r>
      <w:proofErr w:type="gramEnd"/>
      <w:r>
        <w:t xml:space="preserve"> and already planned roads or pipelines, depending on the infrastructure being planned. The cost surface over which a route is planned is the hybrid impact-cost surface described in </w:t>
      </w:r>
      <w:r w:rsidR="00F01773">
        <w:fldChar w:fldCharType="begin"/>
      </w:r>
      <w:r>
        <w:instrText xml:space="preserve"> REF _Ref408140730 \r \h </w:instrText>
      </w:r>
      <w:r w:rsidR="00F01773">
        <w:fldChar w:fldCharType="separate"/>
      </w:r>
      <w:r w:rsidR="00867AA7">
        <w:t>3.7.7.6</w:t>
      </w:r>
      <w:r w:rsidR="00F01773">
        <w:fldChar w:fldCharType="end"/>
      </w:r>
      <w:r>
        <w:t xml:space="preserve"> </w:t>
      </w:r>
      <w:r w:rsidR="00F01773">
        <w:fldChar w:fldCharType="begin"/>
      </w:r>
      <w:r>
        <w:instrText xml:space="preserve"> REF _Ref408140730 \h </w:instrText>
      </w:r>
      <w:r w:rsidR="00F01773">
        <w:fldChar w:fldCharType="separate"/>
      </w:r>
      <w:r w:rsidR="00867AA7" w:rsidRPr="00A9073F">
        <w:t>Create final layouts</w:t>
      </w:r>
      <w:r w:rsidR="00F01773">
        <w:fldChar w:fldCharType="end"/>
      </w:r>
      <w:r>
        <w:t>.</w:t>
      </w:r>
    </w:p>
    <w:p w:rsidR="002629AC" w:rsidRDefault="00C30D4F" w:rsidP="00A13DD3">
      <w:pPr>
        <w:ind w:firstLine="720"/>
      </w:pPr>
      <w:r>
        <w:t xml:space="preserve">Our least-cost-path algorithm adds two features to Dijkstra’s algorithm. First, we add a binary “traversability” raster which denotes areas that are off-limits for the infrastructure being planned. This raster includes, for instance, those pixels in high-slope areas. Those off-limit areas are not considered when planning routes. Second, we add a secondary cost surface which is used to invalidate routes. The secondary cost surface is the construction cost of either road or pipeline in each pixel. As the updating procedure central to Dijkstra’s algorithm proceeds, the cumulative cost of the route passing through each pixel is stored. If a pixel’s cumulative cost exceeds the cost budget, then the route passing through that pixel is invalidated, </w:t>
      </w:r>
      <w:r>
        <w:rPr>
          <w:i/>
        </w:rPr>
        <w:t>even if that route is the lowest-impact route</w:t>
      </w:r>
      <w:r>
        <w:t>. In this way, routes that are too expensive are not proposed.</w:t>
      </w:r>
    </w:p>
    <w:p w:rsidR="008536F4" w:rsidRDefault="008536F4" w:rsidP="002629AC">
      <w:pPr>
        <w:pStyle w:val="Heading2"/>
      </w:pPr>
      <w:r>
        <w:br w:type="page"/>
      </w:r>
    </w:p>
    <w:p w:rsidR="009C6EA9" w:rsidRDefault="002D4E3C" w:rsidP="00B52180">
      <w:pPr>
        <w:pStyle w:val="Heading1"/>
      </w:pPr>
      <w:bookmarkStart w:id="224" w:name="_Toc417646805"/>
      <w:bookmarkStart w:id="225" w:name="_Toc421352883"/>
      <w:bookmarkEnd w:id="224"/>
      <w:r>
        <w:lastRenderedPageBreak/>
        <w:t>Comparing policies for the reduction of potential environmental impacts from shale gas surface infrastructure</w:t>
      </w:r>
      <w:bookmarkEnd w:id="225"/>
    </w:p>
    <w:p w:rsidR="009C6EA9" w:rsidRDefault="009C6EA9">
      <w:pPr>
        <w:rPr>
          <w:b/>
          <w:sz w:val="28"/>
          <w:lang w:val="en-CA"/>
        </w:rPr>
      </w:pPr>
      <w:r>
        <w:br w:type="page"/>
      </w:r>
    </w:p>
    <w:p w:rsidR="003118BF" w:rsidRDefault="009C6EA9" w:rsidP="002D4E3C">
      <w:r>
        <w:lastRenderedPageBreak/>
        <w:t>A version of this chapter will be sub</w:t>
      </w:r>
      <w:r w:rsidR="003118BF">
        <w:t>mitted for peer-reviewed publication.</w:t>
      </w:r>
    </w:p>
    <w:p w:rsidR="003118BF" w:rsidRDefault="003118BF" w:rsidP="002D4E3C">
      <w:r>
        <w:tab/>
        <w:t xml:space="preserve">Austin W. Milt, Paul R. Armsworth. </w:t>
      </w:r>
      <w:proofErr w:type="gramStart"/>
      <w:r>
        <w:t>“</w:t>
      </w:r>
      <w:r w:rsidR="002D4E3C" w:rsidRPr="002D4E3C">
        <w:t>Comparing policies for the reduction of potential environmental impacts from shale gas surface infrastructure</w:t>
      </w:r>
      <w:r>
        <w:t>.”</w:t>
      </w:r>
      <w:proofErr w:type="gramEnd"/>
    </w:p>
    <w:p w:rsidR="003118BF" w:rsidRDefault="003118BF" w:rsidP="003118BF">
      <w:pPr>
        <w:pStyle w:val="Heading2"/>
      </w:pPr>
      <w:bookmarkStart w:id="226" w:name="_Toc417646806"/>
      <w:bookmarkStart w:id="227" w:name="_Toc421352884"/>
      <w:r>
        <w:t>Abstract</w:t>
      </w:r>
      <w:bookmarkEnd w:id="226"/>
      <w:bookmarkEnd w:id="227"/>
    </w:p>
    <w:p w:rsidR="003118BF" w:rsidRPr="00513E1A" w:rsidRDefault="003118BF" w:rsidP="003118BF">
      <w:r>
        <w:t>Governments across the globe at multiple levels have shown interest in avoiding the environmental and human health impacts created by shale energy production. In areas where shale energy production is currently allowed, regulations restricting environmental impacts tend to be limited in scope and flexibility. We present a study looking at the cost effectiveness of implementing a new regulation that</w:t>
      </w:r>
      <w:r w:rsidR="0097017F">
        <w:t xml:space="preserve"> affects the spatial locations of</w:t>
      </w:r>
      <w:r>
        <w:t xml:space="preserve"> well pads, access roads, and gathering pipelines with an aim at reducing aggregate environmental impacts from shale gas development. </w:t>
      </w:r>
      <w:r w:rsidR="0097017F">
        <w:t xml:space="preserve">Specifically, we compare the outcomes of two policies: </w:t>
      </w:r>
      <w:r w:rsidR="007D6AA6">
        <w:t>(</w:t>
      </w:r>
      <w:r w:rsidR="0097017F">
        <w:t xml:space="preserve">1) a uniform and inflexible cap on site-level impacts, and </w:t>
      </w:r>
      <w:r w:rsidR="007D6AA6">
        <w:t>(</w:t>
      </w:r>
      <w:r w:rsidR="0097017F">
        <w:t>2) a cap and trade system which allows developers to trade permits for impacts. Both of these are also compared to optimum outcomes produced by planning by an omniscient social planner. We measure the total cost and impact of the system under each scenario. We analyze</w:t>
      </w:r>
      <w:r>
        <w:t xml:space="preserve"> a case study of 56 sites in Pennsylvania, U.S.A., </w:t>
      </w:r>
      <w:proofErr w:type="gramStart"/>
      <w:r>
        <w:t>a</w:t>
      </w:r>
      <w:proofErr w:type="gramEnd"/>
      <w:r>
        <w:t xml:space="preserve"> location which has experienced extensive gas development already. We find that</w:t>
      </w:r>
      <w:r w:rsidR="0038476B">
        <w:t xml:space="preserve"> under ideal conditions</w:t>
      </w:r>
      <w:r>
        <w:t xml:space="preserve"> cap and trade performs as well as an omniscient social planner</w:t>
      </w:r>
      <w:r w:rsidR="0097017F">
        <w:t xml:space="preserve">, producing lower impact outcomes much less expensively than the uniform inflexible policy. </w:t>
      </w:r>
      <w:r>
        <w:t xml:space="preserve">Cap and trade could </w:t>
      </w:r>
      <w:r w:rsidR="009844AE">
        <w:t>reduce impacts by as much as ~36</w:t>
      </w:r>
      <w:r>
        <w:t xml:space="preserve">% at an increased cost of </w:t>
      </w:r>
      <w:r w:rsidR="005F02A4">
        <w:t>0.0</w:t>
      </w:r>
      <w:r w:rsidR="009844AE">
        <w:t>5</w:t>
      </w:r>
      <w:r w:rsidR="005F02A4">
        <w:t>% of not developing</w:t>
      </w:r>
      <w:r>
        <w:t xml:space="preserve"> while still allowing all development to proceed. </w:t>
      </w:r>
      <w:r w:rsidR="0038476B">
        <w:t>Having found large potential gains from trade, we explore</w:t>
      </w:r>
      <w:r>
        <w:t xml:space="preserve"> how the cost effectiveness of a cap and trade system depends on the ability of the regulator to estimate impacts in the absence of additional regulation. In extreme cases, error in that estimate could make cap and trade less cost effective than the </w:t>
      </w:r>
      <w:r w:rsidR="0038476B">
        <w:t>uniform inflexible</w:t>
      </w:r>
      <w:r>
        <w:t xml:space="preserve"> approach. Our results clearly indicate that for intermediate levels of impact avoidance, cap and trade is a highly cost-effective alternative to </w:t>
      </w:r>
      <w:r w:rsidR="0097017F">
        <w:t xml:space="preserve">a more traditional approach </w:t>
      </w:r>
      <w:r w:rsidR="0038476B">
        <w:t>provided that</w:t>
      </w:r>
      <w:r w:rsidR="0097017F">
        <w:t xml:space="preserve"> the regulator is able </w:t>
      </w:r>
      <w:r w:rsidR="007D6AA6">
        <w:t xml:space="preserve">to accurately </w:t>
      </w:r>
      <w:r w:rsidR="0097017F">
        <w:t>estimate impacts in the absence of additional regulation.</w:t>
      </w:r>
    </w:p>
    <w:p w:rsidR="003118BF" w:rsidRDefault="003118BF" w:rsidP="003118BF">
      <w:pPr>
        <w:pStyle w:val="Heading2"/>
      </w:pPr>
      <w:bookmarkStart w:id="228" w:name="_Toc417646807"/>
      <w:bookmarkStart w:id="229" w:name="_Toc421352885"/>
      <w:r>
        <w:t>Introduction</w:t>
      </w:r>
      <w:bookmarkEnd w:id="228"/>
      <w:bookmarkEnd w:id="229"/>
    </w:p>
    <w:p w:rsidR="003118BF" w:rsidRPr="000F15AB" w:rsidRDefault="009844AE" w:rsidP="003118BF">
      <w:r>
        <w:t xml:space="preserve">Shale gas development is </w:t>
      </w:r>
      <w:r w:rsidR="003118BF">
        <w:t xml:space="preserve">an increasingly global issue due to energy and environmental concerns. In the United States, shale gas production has increased steadily over the past decades and now makes up ~40% of </w:t>
      </w:r>
      <w:r w:rsidR="009E4468">
        <w:t>gas</w:t>
      </w:r>
      <w:r w:rsidR="003118BF">
        <w:t xml:space="preserve"> production </w:t>
      </w:r>
      <w:r w:rsidR="00F01773">
        <w:fldChar w:fldCharType="begin" w:fldLock="1"/>
      </w:r>
      <w:r w:rsidR="00B32474">
        <w:instrText>ADDIN CSL_CITATION { "citationItems" : [ { "id" : "ITEM-1", "itemData" : { "id" : "ITEM-1", "issued" : { "date-parts" : [ [ "2014" ] ] }, "publisher-place" : "Washington, DC", "title" : "Annual Energy Outlook 2014", "type" : "report" }, "uris" : [ "http://www.mendeley.com/documents/?uuid=1e2a2d78-613d-43f4-ab66-d8f892b2a40c" ] } ], "mendeley" : { "formattedCitation" : "(&lt;i&gt;Annual Energy Outlook 2014&lt;/i&gt; 2014)", "plainTextFormattedCitation" : "(Annual Energy Outlook 2014 2014)", "previouslyFormattedCitation" : "(&lt;i&gt;Annual Energy Outlook 2014&lt;/i&gt; 2014)" }, "properties" : { "noteIndex" : 0 }, "schema" : "https://github.com/citation-style-language/schema/raw/master/csl-citation.json" }</w:instrText>
      </w:r>
      <w:r w:rsidR="00F01773">
        <w:fldChar w:fldCharType="separate"/>
      </w:r>
      <w:r w:rsidR="00B32474" w:rsidRPr="00B32474">
        <w:rPr>
          <w:noProof/>
        </w:rPr>
        <w:t>(</w:t>
      </w:r>
      <w:r w:rsidR="00B32474" w:rsidRPr="00B32474">
        <w:rPr>
          <w:i/>
          <w:noProof/>
        </w:rPr>
        <w:t>Annual Energy Outlook 2014</w:t>
      </w:r>
      <w:r w:rsidR="00B32474" w:rsidRPr="00B32474">
        <w:rPr>
          <w:noProof/>
        </w:rPr>
        <w:t xml:space="preserve"> 2014)</w:t>
      </w:r>
      <w:r w:rsidR="00F01773">
        <w:fldChar w:fldCharType="end"/>
      </w:r>
      <w:r w:rsidR="003118BF">
        <w:t xml:space="preserve">. Concerns have been raised about the environmental </w:t>
      </w:r>
      <w:r w:rsidR="00F01773">
        <w:fldChar w:fldCharType="begin" w:fldLock="1"/>
      </w:r>
      <w:r w:rsidR="00B32474">
        <w:instrText>ADDIN CSL_CITATION { "citationItems" : [ { "id" : "ITEM-1", "itemData" : { "DOI" : "10.1002/ece3.884", "ISSN" : "2045-7758", "abstract" : "Habitat degradation through anthropogenic development is a key driver of biodiversity loss. One way to compensate losses is \u201cbiodiversity offsetting\u201d (wherein biodiversity impacted is \u201creplaced\u201d through restoration elsewhere). A challenge in implementing offsets, which has received scant attention in the literature, is the accurate determination of residual biodiversity losses. We explore this challenge for offsetting gas extraction in the Ustyurt Plateau, Uzbekistan. Our goal was to determine the landscape extent of habitat impacts, particularly how the footprint of \u201clinear\u201d infrastructure (i.e. roads, pipelines), often disregarded in compensation calculations, compares with \u201chub\u201d infrastructure (i.e. extraction facilities). We measured vegetation cover and plant species richness using the line-intercept method, along transects running from infrastructure/control sites outward for 500\u00a0m, accounting for wind direction to identify dust deposition impacts. Findings from 24 transects were extrapolated to the broader plateau by mapping total landscape infrastructure network using GPS data and satellite imagery. Vegetation cover and species richness were significantly lower at development sites than controls. These differences disappeared within 25\u00a0m of the edge of the area physically occupied by infrastructure. The current habitat footprint of gas infrastructure is 220\u00a0\u00b1\u00a019\u00a0km2 across the Ustyurt (total ~ 100,000\u00a0km2), 37\u00a0\u00b1\u00a06% of which is linear infrastructure. Vegetation impacts diminish rapidly with increasing distance from infrastructure, and localized dust deposition does not conspicuously extend the disturbance footprint. Habitat losses from gas extraction infrastructure cover 0.2% of the study area, but this reflects directly eliminated vegetation only. Impacts upon fauna pose a more difficult determination, as these require accounting for behavioral and demographic responses to disturbance by elusive mammals, including threatened species. This study demonstrates that impacts of linear infrastructure in regions such as the Ustyurt should be accounted for not just with respect to development sites but also associated transportation and delivery routes.", "author" : [ { "dropping-particle" : "", "family" : "Jones", "given" : "Isabel L", "non-dropping-particle" : "", "parse-names" : false, "suffix" : "" }, { "dropping-particle" : "", "family" : "Bull", "given" : "Joseph W", "non-dropping-particle" : "", "parse-names" : false, "suffix" : "" }, { "dropping-particle" : "", "family" : "Milner-Gulland", "given" : "Eleanor J", "non-dropping-particle" : "", "parse-names" : false, "suffix" : "" }, { "dropping-particle" : "V", "family" : "Esipov", "given" : "Alexander", "non-dropping-particle" : "", "parse-names" : false, "suffix" : "" }, { "dropping-particle" : "", "family" : "Suttle", "given" : "Kenwyn B", "non-dropping-particle" : "", "parse-names" : false, "suffix" : "" } ], "container-title" : "Ecology and Evolution", "id" : "ITEM-1", "issue" : "1", "issued" : { "date-parts" : [ [ "2014" ] ] }, "page" : "79-90", "title" : "Quantifying habitat impacts of natural gas infrastructure to facilitate biodiversity offsetting", "type" : "article-journal", "volume" : "4" }, "uris" : [ "http://www.mendeley.com/documents/?uuid=6f3376e7-5f03-4bb8-9b46-2daad2474849" ] }, { "id" : "ITEM-2", "itemData" : { "DOI" : "10.1111/nyas.12146", "ISSN" : "1749-6632", "abstract" : "High-volume horizontal hydraulic fracturing (HVHHF) for mining natural gas from the Marcellus and Utica shales is widespread in Pennsylvania and potentially throughout approximately 280,000 km2 of the Appalachian Basin. Physical and chemical impacts of HVHHF include pollution by toxic synthetic chemicals, salt, and radionuclides, landscape fragmentation by wellpads, pipelines, and roads, alteration of stream and wetland hydrology, and increased truck traffic. Despite concerns about human health, there has been little study of the impacts on habitats and biota. Taxa and guilds potentially sensitive to HVHHF impacts include freshwater organisms (e.g., brook trout, freshwater mussels), fragmentation-sensitive biota (e.g., forest-interior breeding birds, forest orchids), and species with restricted geographic ranges (e.g., Wehrle's salamander, tongue-tied minnow). Impacts are potentially serious due to the rapid development of HVHHF over a large region.", "author" : [ { "dropping-particle" : "", "family" : "Kiviat", "given" : "Erik", "non-dropping-particle" : "", "parse-names" : false, "suffix" : "" } ], "container-title" : "Annals of the New York Academy of Sciences", "id" : "ITEM-2", "issue" : "1", "issued" : { "date-parts" : [ [ "2013" ] ] }, "page" : "1-14", "title" : "Risks to biodiversity from hydraulic fracturing for natural gas in the Marcellus and Utica shales", "type" : "article-journal", "volume" : "1286" }, "uris" : [ "http://www.mendeley.com/documents/?uuid=de072248-90b3-4eb0-950e-36ff3daf88dc" ] }, { "id" : "ITEM-3", "itemData" : { "ISBN" : "1466046612000", "ISSN" : "1466-0474", "author" : [ { "dropping-particle" : "", "family" : "Gillen", "given" : "Jennifer L.", "non-dropping-particle" : "", "parse-names" : false, "suffix" : "" }, { "dropping-particle" : "", "family" : "Kiviat", "given" : "Erik", "non-dropping-particle" : "", "parse-names" : false, "suffix" : "" } ], "container-title" : "Environmental Practice", "id" : "ITEM-3", "issue" : "04", "issued" : { "date-parts" : [ [ "2012" ] ] }, "language" : "English", "note" : "From Duplicate 2 ( ENVIRONMENTAL REVIEWS AND CASE STUDIES: Hydraulic Fracturing Threats to Species with Restricted Geographic Ranges in the Eastern United States - Gillen, Jennifer L.; Kiviat, Erik )", "page" : "320-331", "title" : "Hydraulic Fracturing Threats to Species with Restricted Geographic Ranges in the Eastern United States", "type" : "article-journal", "volume" : "14" }, "uris" : [ "http://www.mendeley.com/documents/?uuid=874a42d1-98bc-4ac3-a0a9-fab25e078d12" ] }, { "id" : "ITEM-4", "itemData" : { "DOI" : "10.1073/pnas.1213871110", "ISSN" : "1091-6490", "PMID" : "23479604", "abstract" : "Concern has been raised in the scientific literature about the environmental implications of extracting natural gas from deep shale formations, and published studies suggest that shale gas development may affect local groundwater quality. The potential for surface water quality degradation has been discussed in prior work, although no empirical analysis of this issue has been published. The potential for large-scale surface water quality degradation has affected regulatory approaches to shale gas development in some US states, despite the dearth of evidence. This paper conducts a large-scale examination of the extent to which shale gas development activities affect surface water quality. Focusing on the Marcellus Shale in Pennsylvania, we estimate the effect of shale gas wells and the release of treated shale gas waste by permitted treatment facilities on observed downstream concentrations of chloride (Cl-) and total suspended solids (TSS), controlling for other factors. Results suggest that (i) the treatment of shale gas waste by treatment plants in a watershed raises downstream Cl- concentrations but not TSS concentrations, and (ii) the presence of shale gas wells in a watershed raises downstream TSS concentrations but not Cl- concentrations. These results can inform future voluntary measures taken by shale gas operators and policy approaches taken by regulators to protect surface water quality as the scale of this economically important activity increases.", "author" : [ { "dropping-particle" : "", "family" : "Olmstead", "given" : "Sheila M", "non-dropping-particle" : "", "parse-names" : false, "suffix" : "" }, { "dropping-particle" : "", "family" : "Muehlenbachs", "given" : "Lucija A", "non-dropping-particle" : "", "parse-names" : false, "suffix" : "" }, { "dropping-particle" : "", "family" : "Shih", "given" : "Jhih-Shyang", "non-dropping-particle" : "", "parse-names" : false, "suffix" : "" }, { "dropping-particle" : "", "family" : "Chu", "given" : "Ziyan", "non-dropping-particle" : "", "parse-names" : false, "suffix" : "" }, { "dropping-particle" : "", "family" : "Krupnick", "given" : "Alan J", "non-dropping-particle" : "", "parse-names" : false, "suffix" : "" } ], "container-title" : "Proceedings of the National Academy of Sciences of the United States of America", "id" : "ITEM-4", "issue" : "13", "issued" : { "date-parts" : [ [ "2013", "3", "11" ] ] }, "note" : "changes in surface water quality indicators downstream from natural gas effluent processing plants", "page" : "4962-4967", "title" : "Shale gas development impacts on surface water quality in Pennsylvania.", "type" : "article-journal", "volume" : "110" }, "uris" : [ "http://www.mendeley.com/documents/?uuid=0c80d11c-a4bb-4381-b8da-a8af8c809bd2" ] } ], "mendeley" : { "formattedCitation" : "(Gillen &amp; Kiviat 2012; Kiviat 2013; Olmstead &lt;i&gt;et al.&lt;/i&gt; 2013; Jones &lt;i&gt;et al.&lt;/i&gt; 2014)", "plainTextFormattedCitation" : "(Gillen &amp; Kiviat 2012; Kiviat 2013; Olmstead et al. 2013; Jones et al. 2014)", "previouslyFormattedCitation" : "(Gillen &amp; Kiviat 2012; Kiviat 2013; Olmstead &lt;i&gt;et al.&lt;/i&gt; 2013; Jones &lt;i&gt;et al.&lt;/i&gt; 2014)" }, "properties" : { "noteIndex" : 0 }, "schema" : "https://github.com/citation-style-language/schema/raw/master/csl-citation.json" }</w:instrText>
      </w:r>
      <w:r w:rsidR="00F01773">
        <w:fldChar w:fldCharType="separate"/>
      </w:r>
      <w:r w:rsidR="00B32474" w:rsidRPr="00B32474">
        <w:rPr>
          <w:noProof/>
        </w:rPr>
        <w:t xml:space="preserve">(Gillen &amp; Kiviat 2012; Kiviat 2013; </w:t>
      </w:r>
      <w:r w:rsidR="00B32474" w:rsidRPr="00B32474">
        <w:rPr>
          <w:noProof/>
        </w:rPr>
        <w:lastRenderedPageBreak/>
        <w:t xml:space="preserve">Olmstead </w:t>
      </w:r>
      <w:r w:rsidR="00B32474" w:rsidRPr="00B32474">
        <w:rPr>
          <w:i/>
          <w:noProof/>
        </w:rPr>
        <w:t>et al.</w:t>
      </w:r>
      <w:r w:rsidR="00B32474" w:rsidRPr="00B32474">
        <w:rPr>
          <w:noProof/>
        </w:rPr>
        <w:t xml:space="preserve"> 2013; Jones </w:t>
      </w:r>
      <w:r w:rsidR="00B32474" w:rsidRPr="00B32474">
        <w:rPr>
          <w:i/>
          <w:noProof/>
        </w:rPr>
        <w:t>et al.</w:t>
      </w:r>
      <w:r w:rsidR="00B32474" w:rsidRPr="00B32474">
        <w:rPr>
          <w:noProof/>
        </w:rPr>
        <w:t xml:space="preserve"> 2014)</w:t>
      </w:r>
      <w:r w:rsidR="00F01773">
        <w:fldChar w:fldCharType="end"/>
      </w:r>
      <w:r w:rsidR="003118BF">
        <w:t xml:space="preserve"> and human health </w:t>
      </w:r>
      <w:r w:rsidR="00F01773">
        <w:fldChar w:fldCharType="begin" w:fldLock="1"/>
      </w:r>
      <w:r w:rsidR="00B32474">
        <w:instrText>ADDIN CSL_CITATION { "citationItems" : [ { "id" : "ITEM-1", "itemData" : { "ISBN" : "1466046612000", "author" : [ { "dropping-particle" : "", "family" : "Perry", "given" : "Simona L", "non-dropping-particle" : "", "parse-names" : false, "suffix" : "" } ], "container-title" : "Environmental Practice", "id" : "ITEM-1", "issue" : "4", "issued" : { "date-parts" : [ [ "2012" ] ] }, "page" : "352-365", "title" : "Addressing the Societal Costs of Unconventional Oil and Gas Exploration and Production : Cumulative Risks and Uncertainties of Hydrofracking", "type" : "article-journal", "volume" : "14" }, "uris" : [ "http://www.mendeley.com/documents/?uuid=dcae5b96-5be5-4ede-afed-8ac6d2995568" ] } ], "mendeley" : { "formattedCitation" : "(Perry 2012)", "plainTextFormattedCitation" : "(Perry 2012)", "previouslyFormattedCitation" : "(Perry 2012)" }, "properties" : { "noteIndex" : 0 }, "schema" : "https://github.com/citation-style-language/schema/raw/master/csl-citation.json" }</w:instrText>
      </w:r>
      <w:r w:rsidR="00F01773">
        <w:fldChar w:fldCharType="separate"/>
      </w:r>
      <w:r w:rsidR="00B32474" w:rsidRPr="00B32474">
        <w:rPr>
          <w:noProof/>
        </w:rPr>
        <w:t>(Perry 2012)</w:t>
      </w:r>
      <w:r w:rsidR="00F01773">
        <w:fldChar w:fldCharType="end"/>
      </w:r>
      <w:r w:rsidR="003118BF">
        <w:t xml:space="preserve"> effects of shale energy production</w:t>
      </w:r>
      <w:r w:rsidR="006A7889">
        <w:t xml:space="preserve"> (see dissertation Introduction and Chapter 2)</w:t>
      </w:r>
      <w:r w:rsidR="003118BF">
        <w:t xml:space="preserve">, leading to careful consideration of how to protect society and nature from those effects </w:t>
      </w:r>
      <w:r w:rsidR="00F01773">
        <w:fldChar w:fldCharType="begin" w:fldLock="1"/>
      </w:r>
      <w:r w:rsidR="00B32474">
        <w:instrText>ADDIN CSL_CITATION { "citationItems" : [ { "id" : "ITEM-1", "itemData" : { "DOI" : "10.1038/477271a", "author" : [ { "dropping-particle" : "", "family" : "Howarth", "given" : "Robert W.", "non-dropping-particle" : "", "parse-names" : false, "suffix" : "" }, { "dropping-particle" : "", "family" : "Ingraffea", "given" : "Anthony", "non-dropping-particle" : "", "parse-names" : false, "suffix" : "" }, { "dropping-particle" : "", "family" : "Engelder", "given" : "Terry", "non-dropping-particle" : "", "parse-names" : false, "suffix" : "" } ], "container-title" : "Nature", "id" : "ITEM-1", "issue" : "7364", "issued" : { "date-parts" : [ [ "2011" ] ] }, "page" : "271-275", "title" : "Natural gas: Should fracking stop?", "type" : "article-journal", "volume" : "477" }, "uris" : [ "http://www.mendeley.com/documents/?uuid=f4d23f62-f79f-4b0a-b78d-09153c51f6ad" ] }, { "id" : "ITEM-2", "itemData" : { "DOI" : "10.1016/j.scitotenv.2015.01.004", "ISSN" : "1879-1026", "PMID" : "25613768", "abstract" : "The United States shale gas boom has precipitated global interest in the development of unconventional oil and gas resources. Recently, government ministers in the United Kingdom started granting licenses that will enable companies to begin initial exploration for shale gas. Meanwhile, concern is increasing among the scientific community about the potential impacts of shale gas and other types of unconventional natural gas development (UGD) on human health and the environment. Although significant data gaps remain, there has been a surge in the number of articles appearing in the scientific literature, nearly three-quarters of which has been published since the beginning of 2013. Important lessons can be drawn from the UGD experience in the United States. Here we explore these considerations and argue that shale gas development policies in the UK and elsewhere should be informed by empirical evidence generated on environmental, public health, and social risks. Additionally, policy decisions should take into account the measured effectiveness of harm reduction strategies as opposed to hypothetical scenarios and purported best practices that lack empirical support.", "author" : [ { "dropping-particle" : "", "family" : "Hays", "given" : "Jake", "non-dropping-particle" : "", "parse-names" : false, "suffix" : "" }, { "dropping-particle" : "", "family" : "Finkel", "given" : "Madelon L", "non-dropping-particle" : "", "parse-names" : false, "suffix" : "" }, { "dropping-particle" : "", "family" : "Depledge", "given" : "Michael", "non-dropping-particle" : "", "parse-names" : false, "suffix" : "" }, { "dropping-particle" : "", "family" : "Law", "given" : "Adam", "non-dropping-particle" : "", "parse-names" : false, "suffix" : "" }, { "dropping-particle" : "", "family" : "Shonkoff", "given" : "Seth B C", "non-dropping-particle" : "", "parse-names" : false, "suffix" : "" } ], "container-title" : "The Science of the total environment", "id" : "ITEM-2", "issued" : { "date-parts" : [ [ "2015", "1", "19" ] ] }, "note" : "review of environmental, social, human health, and economic issues from shale gas development, mostly in the US, but with implications for the U.K.", "page" : "36-42", "title" : "Considerations for the development of shale gas in the United Kingdom.", "type" : "article-journal", "volume" : "512-513C" }, "uris" : [ "http://www.mendeley.com/documents/?uuid=ed5d6cb7-9251-4e18-8bea-8711de4eb4b0" ] } ], "mendeley" : { "formattedCitation" : "(Howarth, Ingraffea &amp; Engelder 2011; Hays &lt;i&gt;et al.&lt;/i&gt; 2015)", "plainTextFormattedCitation" : "(Howarth, Ingraffea &amp; Engelder 2011; Hays et al. 2015)", "previouslyFormattedCitation" : "(Howarth, Ingraffea &amp; Engelder 2011; Hays &lt;i&gt;et al.&lt;/i&gt; 2015)" }, "properties" : { "noteIndex" : 0 }, "schema" : "https://github.com/citation-style-language/schema/raw/master/csl-citation.json" }</w:instrText>
      </w:r>
      <w:r w:rsidR="00F01773">
        <w:fldChar w:fldCharType="separate"/>
      </w:r>
      <w:r w:rsidR="00B32474" w:rsidRPr="00B32474">
        <w:rPr>
          <w:noProof/>
        </w:rPr>
        <w:t xml:space="preserve">(Howarth, Ingraffea &amp; Engelder 2011; Hays </w:t>
      </w:r>
      <w:r w:rsidR="00B32474" w:rsidRPr="00B32474">
        <w:rPr>
          <w:i/>
          <w:noProof/>
        </w:rPr>
        <w:t>et al.</w:t>
      </w:r>
      <w:r w:rsidR="00B32474" w:rsidRPr="00B32474">
        <w:rPr>
          <w:noProof/>
        </w:rPr>
        <w:t xml:space="preserve"> 2015)</w:t>
      </w:r>
      <w:r w:rsidR="00F01773">
        <w:fldChar w:fldCharType="end"/>
      </w:r>
      <w:r w:rsidR="003118BF">
        <w:t xml:space="preserve"> and at times outright bans on development. Though policies and regulations in regions proceeding with development do exist, new regulations can expand </w:t>
      </w:r>
      <w:r w:rsidR="00E53D6C">
        <w:t>their environmental</w:t>
      </w:r>
      <w:r w:rsidR="003118BF">
        <w:t xml:space="preserve"> scope to include priorities currently</w:t>
      </w:r>
      <w:r w:rsidR="0038476B">
        <w:t xml:space="preserve"> unregulated</w:t>
      </w:r>
      <w:r w:rsidR="003118BF">
        <w:t xml:space="preserve">. These new policies and regulations will differ in their acceptability and cost effectiveness. </w:t>
      </w:r>
    </w:p>
    <w:p w:rsidR="003118BF" w:rsidRPr="00A87233" w:rsidRDefault="003118BF" w:rsidP="003118BF">
      <w:pPr>
        <w:ind w:firstLine="720"/>
      </w:pPr>
      <w:r>
        <w:t xml:space="preserve">Shale gas production takes place in many stages </w:t>
      </w:r>
      <w:r w:rsidR="00F01773">
        <w:fldChar w:fldCharType="begin" w:fldLock="1"/>
      </w:r>
      <w:r w:rsidR="00B32474">
        <w:instrText>ADDIN CSL_CITATION { "citationItems" : [ { "id" : "ITEM-1", "itemData" : { "DOI" : "10.1002/etc.2619", "ISSN" : "1552-8618", "abstract" : "\nUse of high-volume hydraulic fracturing (HVHF) in unconventional reservoirs to recover previously inaccessible oil and natural gas is rapidly expanding in North America and elsewhere. Although hydraulic fracturing has been practiced for decades, the advent of more technologically advanced horizontal drilling coupled with improved slickwater chemical formulations has allowed extensive natural gas and oil deposits to be recovered from shale formations. Millions of liters of local groundwaters are utilized to generate extensive fracture networks within these low-permeability reservoirs, allowing extraction of the trapped hydrocarbons. Although the technology is relatively standardized, the geographies and related policies and regulations guiding these operations vary markedly. Some ecosystems are more at risk from these operations than others because of either their sensitivities or the manner in which the HVHF operations are conducted. Generally, the closer geographical proximity of the susceptible ecosystem to a drilling site or a location of related industrial processes, the higher the risk of that ecosystem being impacted by the operation. The associated construction of roads, power grids, pipelines, well pads, and water-extraction systems along with increased truck traffic are common to virtually all HVHF operations. These operations may result in increased erosion and sedimentation, increased risk to aquatic ecosystems from chemical spills or runoff, habitat fragmentation, loss of stream riparian zones, altered biogeochemical cycling, and reduction of available surface and hyporheic water volumes because of withdrawal-induced lowering of local groundwater levels. The potential risks to surface waters from HVHF operations are similar in many ways to those resulting from agriculture, silviculture, mining, and urban development. Indeed, groundwater extraction associated with agriculture is perhaps a larger concern in the long term in some regions. Understanding the ecological impacts of these anthropogenic activities provides useful information for evaluations of potential HVHF hazards. Geographic information system\u2013based modeling combined with strategic site monitoring has provided insights into the relative importance of these and other ecoregion and land-use factors in discerning potential HVHF impacts. Recent findings suggest that proper siting and operational controls along with strategic monitoring can reduce the potential for risks to aquatic ec\u2026", "author" : [ { "dropping-particle" : "", "family" : "Burton", "given" : "G Allen", "non-dropping-particle" : "", "parse-names" : false, "suffix" : "" }, { "dropping-particle" : "", "family" : "Basu", "given" : "Niladri", "non-dropping-particle" : "", "parse-names" : false, "suffix" : "" }, { "dropping-particle" : "", "family" : "Ellis", "given" : "Brian R", "non-dropping-particle" : "", "parse-names" : false, "suffix" : "" }, { "dropping-particle" : "", "family" : "Kapo", "given" : "Katherine E", "non-dropping-particle" : "", "parse-names" : false, "suffix" : "" }, { "dropping-particle" : "", "family" : "Entrekin", "given" : "Sally", "non-dropping-particle" : "", "parse-names" : false, "suffix" : "" }, { "dropping-particle" : "", "family" : "Nadelhoffer", "given" : "Knute", "non-dropping-particle" : "", "parse-names" : false, "suffix" : "" } ], "container-title" : "Environmental Toxicology and Chemistry", "id" : "ITEM-1", "issue" : "8", "issued" : { "date-parts" : [ [ "2014" ] ] }, "page" : "1679-1689", "title" : "Hydraulic \u201cFracking\u201d: Are surface water impacts an ecological concern?", "type" : "article-journal", "volume" : "33" }, "uris" : [ "http://www.mendeley.com/documents/?uuid=809314bc-0bc3-4a06-a204-f2b9b60a2c0c" ] } ], "mendeley" : { "formattedCitation" : "(Burton &lt;i&gt;et al.&lt;/i&gt; 2014)", "plainTextFormattedCitation" : "(Burton et al. 2014)", "previouslyFormattedCitation" : "(Burton &lt;i&gt;et al.&lt;/i&gt; 2014)" }, "properties" : { "noteIndex" : 0 }, "schema" : "https://github.com/citation-style-language/schema/raw/master/csl-citation.json" }</w:instrText>
      </w:r>
      <w:r w:rsidR="00F01773">
        <w:fldChar w:fldCharType="separate"/>
      </w:r>
      <w:r w:rsidR="00B32474" w:rsidRPr="00B32474">
        <w:rPr>
          <w:noProof/>
        </w:rPr>
        <w:t xml:space="preserve">(Burton </w:t>
      </w:r>
      <w:r w:rsidR="00B32474" w:rsidRPr="00B32474">
        <w:rPr>
          <w:i/>
          <w:noProof/>
        </w:rPr>
        <w:t>et al.</w:t>
      </w:r>
      <w:r w:rsidR="00B32474" w:rsidRPr="00B32474">
        <w:rPr>
          <w:noProof/>
        </w:rPr>
        <w:t xml:space="preserve"> 2014)</w:t>
      </w:r>
      <w:r w:rsidR="00F01773">
        <w:fldChar w:fldCharType="end"/>
      </w:r>
      <w:r>
        <w:t xml:space="preserve"> at multiple spatial scales</w:t>
      </w:r>
      <w:r w:rsidR="0038476B">
        <w:t>. T</w:t>
      </w:r>
      <w:r w:rsidR="006A7889">
        <w:t xml:space="preserve">hroughout Chapters 2-4 </w:t>
      </w:r>
      <w:r>
        <w:t xml:space="preserve">we focus on one stage and one scale. Specifically, we focus on the construction of surface infrastructure at the least-hold scale. Lease-holds (“sites” hereafter) are boundaries of development that aggregate multiple gas leases and tend to range in size from several hundred hectares to </w:t>
      </w:r>
      <w:r w:rsidR="007D6AA6">
        <w:t>many</w:t>
      </w:r>
      <w:r>
        <w:t xml:space="preserve"> thousands of hectares. Shale gas extraction requires significant below-ground infrastructure which is often the focus of environmental studies </w:t>
      </w:r>
      <w:r w:rsidR="00F01773">
        <w:fldChar w:fldCharType="begin" w:fldLock="1"/>
      </w:r>
      <w:r w:rsidR="00B32474">
        <w:instrText>ADDIN CSL_CITATION { "citationItems" : [ { "id" : "ITEM-1", "itemData" : { "DOI" : "10.1016/j.scitotenv.2015.01.004", "ISSN" : "1879-1026", "PMID" : "25613768", "abstract" : "The United States shale gas boom has precipitated global interest in the development of unconventional oil and gas resources. Recently, government ministers in the United Kingdom started granting licenses that will enable companies to begin initial exploration for shale gas. Meanwhile, concern is increasing among the scientific community about the potential impacts of shale gas and other types of unconventional natural gas development (UGD) on human health and the environment. Although significant data gaps remain, there has been a surge in the number of articles appearing in the scientific literature, nearly three-quarters of which has been published since the beginning of 2013. Important lessons can be drawn from the UGD experience in the United States. Here we explore these considerations and argue that shale gas development policies in the UK and elsewhere should be informed by empirical evidence generated on environmental, public health, and social risks. Additionally, policy decisions should take into account the measured effectiveness of harm reduction strategies as opposed to hypothetical scenarios and purported best practices that lack empirical support.", "author" : [ { "dropping-particle" : "", "family" : "Hays", "given" : "Jake", "non-dropping-particle" : "", "parse-names" : false, "suffix" : "" }, { "dropping-particle" : "", "family" : "Finkel", "given" : "Madelon L", "non-dropping-particle" : "", "parse-names" : false, "suffix" : "" }, { "dropping-particle" : "", "family" : "Depledge", "given" : "Michael", "non-dropping-particle" : "", "parse-names" : false, "suffix" : "" }, { "dropping-particle" : "", "family" : "Law", "given" : "Adam", "non-dropping-particle" : "", "parse-names" : false, "suffix" : "" }, { "dropping-particle" : "", "family" : "Shonkoff", "given" : "Seth B C", "non-dropping-particle" : "", "parse-names" : false, "suffix" : "" } ], "container-title" : "The Science of the total environment", "id" : "ITEM-1", "issued" : { "date-parts" : [ [ "2015", "1", "19" ] ] }, "note" : "review of environmental, social, human health, and economic issues from shale gas development, mostly in the US, but with implications for the U.K.", "page" : "36-42", "title" : "Considerations for the development of shale gas in the United Kingdom.", "type" : "article-journal", "volume" : "512-513C" }, "uris" : [ "http://www.mendeley.com/documents/?uuid=ed5d6cb7-9251-4e18-8bea-8711de4eb4b0" ] } ], "mendeley" : { "formattedCitation" : "(Hays &lt;i&gt;et al.&lt;/i&gt; 2015)", "plainTextFormattedCitation" : "(Hays et al. 2015)", "previouslyFormattedCitation" : "(Hays &lt;i&gt;et al.&lt;/i&gt; 2015)" }, "properties" : { "noteIndex" : 0 }, "schema" : "https://github.com/citation-style-language/schema/raw/master/csl-citation.json" }</w:instrText>
      </w:r>
      <w:r w:rsidR="00F01773">
        <w:fldChar w:fldCharType="separate"/>
      </w:r>
      <w:r w:rsidR="00B32474" w:rsidRPr="00B32474">
        <w:rPr>
          <w:noProof/>
        </w:rPr>
        <w:t xml:space="preserve">(Hays </w:t>
      </w:r>
      <w:r w:rsidR="00B32474" w:rsidRPr="00B32474">
        <w:rPr>
          <w:i/>
          <w:noProof/>
        </w:rPr>
        <w:t>et al.</w:t>
      </w:r>
      <w:r w:rsidR="00B32474" w:rsidRPr="00B32474">
        <w:rPr>
          <w:noProof/>
        </w:rPr>
        <w:t xml:space="preserve"> 2015)</w:t>
      </w:r>
      <w:r w:rsidR="00F01773">
        <w:fldChar w:fldCharType="end"/>
      </w:r>
      <w:r>
        <w:t>. However, extraction requires significant surface infrastructure to access drilling sites, process gas, and transport it to market. We focus on well pads, access roads, and gathering pipelines, infrastructure which is common at all gas extraction sites and which has measurable environmental effects. The spatial planning of these three types of infrastructure is a complex process from a cost-minimization perspective. The cost-minimizing configuration of infrastructure relies on the simultaneous consideration of interactions among infrastructure locations. For instance, well pads form a terminus for access roads – wells affect roads, but roads cannot be built on very steep slopes up to a plateau where a well pad might be located – roads affect well pads.</w:t>
      </w:r>
    </w:p>
    <w:p w:rsidR="003118BF" w:rsidRPr="007D75A3" w:rsidRDefault="003118BF" w:rsidP="003118BF">
      <w:pPr>
        <w:ind w:firstLine="720"/>
        <w:rPr>
          <w:rFonts w:cs="Times New Roman"/>
        </w:rPr>
      </w:pPr>
      <w:r>
        <w:t>Potential environmental damage (“impacts” hereafter) from shale gas surface infrastructure can be partially avoided by informed spatial planning</w:t>
      </w:r>
      <w:r w:rsidR="006A7889">
        <w:t xml:space="preserve"> (as discussed in the dissertation Introduction and Chapters 2-3)</w:t>
      </w:r>
      <w:r>
        <w:t xml:space="preserve">. Many environmental features are impacted by shale gas surface infrastructure </w:t>
      </w:r>
      <w:r w:rsidR="00F01773">
        <w:fldChar w:fldCharType="begin" w:fldLock="1"/>
      </w:r>
      <w:r w:rsidR="00B32474">
        <w:instrText>ADDIN CSL_CITATION { "citationItems" : [ { "id" : "ITEM-1", "itemData" : { "ISBN" : "1466046612000", "ISSN" : "1466-0474", "author" : [ { "dropping-particle" : "", "family" : "Gillen", "given" : "Jennifer L.", "non-dropping-particle" : "", "parse-names" : false, "suffix" : "" }, { "dropping-particle" : "", "family" : "Kiviat", "given" : "Erik", "non-dropping-particle" : "", "parse-names" : false, "suffix" : "" } ], "container-title" : "Environmental Practice", "id" : "ITEM-1", "issue" : "04", "issued" : { "date-parts" : [ [ "2012" ] ] }, "language" : "English", "note" : "From Duplicate 2 ( ENVIRONMENTAL REVIEWS AND CASE STUDIES: Hydraulic Fracturing Threats to Species with Restricted Geographic Ranges in the Eastern United States - Gillen, Jennifer L.; Kiviat, Erik )", "page" : "320-331", "title" : "Hydraulic Fracturing Threats to Species with Restricted Geographic Ranges in the Eastern United States", "type" : "article-journal", "volume" : "14" }, "uris" : [ "http://www.mendeley.com/documents/?uuid=874a42d1-98bc-4ac3-a0a9-fab25e078d12" ] } ], "mendeley" : { "formattedCitation" : "(Gillen &amp; Kiviat 2012)", "plainTextFormattedCitation" : "(Gillen &amp; Kiviat 2012)", "previouslyFormattedCitation" : "(Gillen &amp; Kiviat 2012)" }, "properties" : { "noteIndex" : 0 }, "schema" : "https://github.com/citation-style-language/schema/raw/master/csl-citation.json" }</w:instrText>
      </w:r>
      <w:r w:rsidR="00F01773">
        <w:fldChar w:fldCharType="separate"/>
      </w:r>
      <w:r w:rsidR="00B32474" w:rsidRPr="00B32474">
        <w:rPr>
          <w:noProof/>
        </w:rPr>
        <w:t>(Gillen &amp; Kiviat 2012)</w:t>
      </w:r>
      <w:r w:rsidR="00F01773">
        <w:fldChar w:fldCharType="end"/>
      </w:r>
      <w:r>
        <w:t xml:space="preserve">. Roads and pipelines fragment habitats, which increases habitat edges, produces dispersal barriers, and reduces core habitats. Construction exposes and mobilizes surface soils, potentially leading to erosion and subsequent sedimentation in water bodies. Stream-crossing infrastructure reduces freshwater connectivity by limiting upstream and downstream dispersal. These are a few of the common and pervasive impacts from surface infrastructure, all of which depend on the spatial configuration of infrastructure – “layout” hereafter – and which can be partially avoided by changing the layout. In the simplest case, reducing </w:t>
      </w:r>
      <w:r w:rsidR="006A7889">
        <w:t xml:space="preserve">the amount of </w:t>
      </w:r>
      <w:r>
        <w:t xml:space="preserve">infrastructure reduces the area of land disturbed and thus some impacts. However, the shortest route for a road may be more fragmenting than an alternative route which </w:t>
      </w:r>
      <w:r>
        <w:lastRenderedPageBreak/>
        <w:t>circumnavigates an important habitat. And the least-expensive layout may be largely unrelated to the resulting impacts. Thus, impact avoidance through spatial planning of infrastructure can be a complex, many-dimensional decision process.</w:t>
      </w:r>
    </w:p>
    <w:p w:rsidR="003118BF" w:rsidRDefault="003118BF" w:rsidP="003118BF">
      <w:pPr>
        <w:ind w:firstLine="720"/>
      </w:pPr>
      <w:r>
        <w:t>Current environmental regulations for shale gas surface infrastructure tend to be limited in their type and scope. In many places globally, there are either moratoriums or outright bans on shale gas development (</w:t>
      </w:r>
      <w:r w:rsidRPr="00AE6897">
        <w:t>http://keeptapwatersafe.org/global-bans-on-fracking/</w:t>
      </w:r>
      <w:r>
        <w:t xml:space="preserve"> visited 23 April, 2015). While these prevent environmental damage in the short term, it is possible that development will proceed as fossil fuels become more limited. The main form of regulation for sanctioned development is uniform command-and-control </w:t>
      </w:r>
      <w:r w:rsidR="00F01773">
        <w:fldChar w:fldCharType="begin" w:fldLock="1"/>
      </w:r>
      <w:r w:rsidR="00560194">
        <w:instrText>ADDIN CSL_CITATION { "citationItems" : [ { "id" : "ITEM-1", "itemData" : { "author" : [ { "dropping-particle" : "", "family" : "Richardson", "given" : "Nathan D", "non-dropping-particle" : "", "parse-names" : false, "suffix" : "" }, { "dropping-particle" : "", "family" : "Gottlieb", "given" : "Madeline", "non-dropping-particle" : "", "parse-names" : false, "suffix" : "" }, { "dropping-particle" : "", "family" : "Krupnick", "given" : "Alan", "non-dropping-particle" : "", "parse-names" : false, "suffix" : "" }, { "dropping-particle" : "", "family" : "Wiseman", "given" : "Hannah", "non-dropping-particle" : "", "parse-names" : false, "suffix" : "" } ], "id" : "ITEM-1", "issued" : { "date-parts" : [ [ "2013" ] ] }, "publisher" : "Resources for the Future Washington, DC", "title" : "The state of state shale gas regulation", "type" : "book" }, "uris" : [ "http://www.mendeley.com/documents/?uuid=8429f135-50fd-4dde-bcf1-0b11bb915df0" ] } ], "mendeley" : { "formattedCitation" : "(Richardson &lt;i&gt;et al.&lt;/i&gt; 2013)", "plainTextFormattedCitation" : "(Richardson et al. 2013)", "previouslyFormattedCitation" : "(Richardson &lt;i&gt;et al.&lt;/i&gt; 2013)" }, "properties" : { "noteIndex" : 0 }, "schema" : "https://github.com/citation-style-language/schema/raw/master/csl-citation.json" }</w:instrText>
      </w:r>
      <w:r w:rsidR="00F01773">
        <w:fldChar w:fldCharType="separate"/>
      </w:r>
      <w:r w:rsidR="00B32474" w:rsidRPr="00B32474">
        <w:rPr>
          <w:noProof/>
        </w:rPr>
        <w:t xml:space="preserve">(Richardson </w:t>
      </w:r>
      <w:r w:rsidR="00B32474" w:rsidRPr="00B32474">
        <w:rPr>
          <w:i/>
          <w:noProof/>
        </w:rPr>
        <w:t>et al.</w:t>
      </w:r>
      <w:r w:rsidR="00B32474" w:rsidRPr="00B32474">
        <w:rPr>
          <w:noProof/>
        </w:rPr>
        <w:t xml:space="preserve"> 2013)</w:t>
      </w:r>
      <w:r w:rsidR="00F01773">
        <w:fldChar w:fldCharType="end"/>
      </w:r>
      <w:r>
        <w:t>, in which restrictions are uniform and absolute. However, the uniform strictness of such regulations is often offset by an ability to avoid them. For instance, in Pennsylvania well pads cannot be placed within 30 m (100 ft) of wetlands larger than 0.4 ha (1 acre), but exceptions can be granted at the site level when sufficient protective measures are proposed (Pennsylvania legislation Title 58</w:t>
      </w:r>
      <w:r w:rsidRPr="002A7C44">
        <w:t xml:space="preserve"> 3215(b)(3)&amp;(4)</w:t>
      </w:r>
      <w:r>
        <w:t xml:space="preserve">). Other environmental policies include performance practices which are usually not enforced but are encouraged </w:t>
      </w:r>
      <w:r w:rsidR="00F01773">
        <w:fldChar w:fldCharType="begin" w:fldLock="1"/>
      </w:r>
      <w:r w:rsidR="00560194">
        <w:instrText>ADDIN CSL_CITATION { "citationItems" : [ { "id" : "ITEM-1", "itemData" : { "author" : [ { "dropping-particle" : "", "family" : "Richardson", "given" : "Nathan D", "non-dropping-particle" : "", "parse-names" : false, "suffix" : "" }, { "dropping-particle" : "", "family" : "Gottlieb", "given" : "Madeline", "non-dropping-particle" : "", "parse-names" : false, "suffix" : "" }, { "dropping-particle" : "", "family" : "Krupnick", "given" : "Alan", "non-dropping-particle" : "", "parse-names" : false, "suffix" : "" }, { "dropping-particle" : "", "family" : "Wiseman", "given" : "Hannah", "non-dropping-particle" : "", "parse-names" : false, "suffix" : "" } ], "id" : "ITEM-1", "issued" : { "date-parts" : [ [ "2013" ] ] }, "publisher" : "Resources for the Future Washington, DC", "title" : "The state of state shale gas regulation", "type" : "book" }, "uris" : [ "http://www.mendeley.com/documents/?uuid=8429f135-50fd-4dde-bcf1-0b11bb915df0" ] } ], "mendeley" : { "formattedCitation" : "(Richardson &lt;i&gt;et al.&lt;/i&gt; 2013)", "plainTextFormattedCitation" : "(Richardson et al. 2013)", "previouslyFormattedCitation" : "(Richardson &lt;i&gt;et al.&lt;/i&gt; 2013)" }, "properties" : { "noteIndex" : 0 }, "schema" : "https://github.com/citation-style-language/schema/raw/master/csl-citation.json" }</w:instrText>
      </w:r>
      <w:r w:rsidR="00F01773">
        <w:fldChar w:fldCharType="separate"/>
      </w:r>
      <w:r w:rsidR="00B32474" w:rsidRPr="00B32474">
        <w:rPr>
          <w:noProof/>
        </w:rPr>
        <w:t xml:space="preserve">(Richardson </w:t>
      </w:r>
      <w:r w:rsidR="00B32474" w:rsidRPr="00B32474">
        <w:rPr>
          <w:i/>
          <w:noProof/>
        </w:rPr>
        <w:t>et al.</w:t>
      </w:r>
      <w:r w:rsidR="00B32474" w:rsidRPr="00B32474">
        <w:rPr>
          <w:noProof/>
        </w:rPr>
        <w:t xml:space="preserve"> 2013)</w:t>
      </w:r>
      <w:r w:rsidR="00F01773">
        <w:fldChar w:fldCharType="end"/>
      </w:r>
      <w:r>
        <w:t>. These current regulations tend to focus on water features, an important part of environmental and human health concerns but of limited scope.</w:t>
      </w:r>
    </w:p>
    <w:p w:rsidR="003118BF" w:rsidRPr="007D75A3" w:rsidRDefault="003118BF" w:rsidP="003118BF">
      <w:pPr>
        <w:ind w:firstLine="720"/>
        <w:rPr>
          <w:rFonts w:cs="Times New Roman"/>
        </w:rPr>
      </w:pPr>
      <w:r>
        <w:t xml:space="preserve">Market-based regulations can solve some issues with </w:t>
      </w:r>
      <w:r w:rsidR="006A7889">
        <w:t xml:space="preserve">uniform and inflexible </w:t>
      </w:r>
      <w:r>
        <w:t xml:space="preserve">command-and-control approaches. First, market-based mechanisms exploit heterogeneity across regulated participants to achieve optimal outcomes </w:t>
      </w:r>
      <w:r w:rsidR="00F01773">
        <w:fldChar w:fldCharType="begin" w:fldLock="1"/>
      </w:r>
      <w:r w:rsidR="00560194">
        <w:instrText>ADDIN CSL_CITATION { "citationItems" : [ { "id" : "ITEM-1", "itemData" : { "ISBN" : "0-321-01428-6", "author" : [ { "dropping-particle" : "", "family" : "Hartwick", "given" : "John M.", "non-dropping-particle" : "", "parse-names" : false, "suffix" : "" }, { "dropping-particle" : "", "family" : "Olewiler", "given" : "Nancy D.", "non-dropping-particle" : "", "parse-names" : false, "suffix" : "" } ], "edition" : "2", "editor" : [ { "dropping-particle" : "", "family" : "Clinton", "given" : "Denise", "non-dropping-particle" : "", "parse-names" : false, "suffix" : "" } ], "id" : "ITEM-1", "issued" : { "date-parts" : [ [ "1998" ] ] }, "publisher" : "Addison-Wesley Educational Publishers, Inc.", "publisher-place" : "Reading, Massachusetts, Massachusetts", "title" : "The Economics of Natural Resource Use", "type" : "book" }, "uris" : [ "http://www.mendeley.com/documents/?uuid=a7bd3111-8677-4912-883e-da256b2d3803" ] } ], "mendeley" : { "formattedCitation" : "(Hartwick &amp; Olewiler 1998)", "plainTextFormattedCitation" : "(Hartwick &amp; Olewiler 1998)", "previouslyFormattedCitation" : "(Hartwick &amp; Olewiler 1998)" }, "properties" : { "noteIndex" : 0 }, "schema" : "https://github.com/citation-style-language/schema/raw/master/csl-citation.json" }</w:instrText>
      </w:r>
      <w:r w:rsidR="00F01773">
        <w:fldChar w:fldCharType="separate"/>
      </w:r>
      <w:r w:rsidR="00B32474" w:rsidRPr="00B32474">
        <w:rPr>
          <w:noProof/>
        </w:rPr>
        <w:t>(Hartwick &amp; Olewiler 1998)</w:t>
      </w:r>
      <w:r w:rsidR="00F01773">
        <w:fldChar w:fldCharType="end"/>
      </w:r>
      <w:r>
        <w:t xml:space="preserve">. Contrarily, a uniform command-and-control approach ignores this heterogeneity and leads to situations where development cannot occur or exceptions are granted, thereby achieving no effect. For instance, regulating forest loss by limiting it to 10 ha in each site might preclude development in fully-forested areas, which may be a desirable or undesirable outcome. Alternatively, a market-based mechanism might incentivize developers at fully-forested sites to compensate developers at moderately-forested sites to reduce their forest destruction even further than 10 ha. Second, market-based mechanisms could theoretically reduce </w:t>
      </w:r>
      <w:r w:rsidR="00E76047">
        <w:t xml:space="preserve">some </w:t>
      </w:r>
      <w:r>
        <w:t>administrative costs of environmental regulation by reducing information and analysis requirements. In the shale gas context, a command-and-control attempt to tailor restrictions at a site might require much information about that site as well as the development process to decide on an optimal infrastructure layout. Contrarily, a market-based approach could incentivize developers to explore development alternatives using information they already have and without any need for the regulator to be directly involved in the planning process at a site.</w:t>
      </w:r>
    </w:p>
    <w:p w:rsidR="006A7889" w:rsidRDefault="006A7889" w:rsidP="003118BF">
      <w:pPr>
        <w:ind w:firstLine="720"/>
      </w:pPr>
      <w:r>
        <w:lastRenderedPageBreak/>
        <w:t>At the same time, regulations differ in how much information is needed and how that information is used in implementation. First, uniform regulations may have low information requirements. Here, for instance, we distinguish between a scenario where caps are set uniformly across sites and another scenario where caps are site specific. Setting site-specific caps requires some additional information. Second, market-based regulations may have relatively high implementation costs because they require the regulator to institute, monitor, and regulate a market. Most regulations will have lower information requirements and implementation costs than a</w:t>
      </w:r>
      <w:r w:rsidR="004E2823">
        <w:t>n</w:t>
      </w:r>
      <w:r>
        <w:t xml:space="preserve"> omniscient social planner</w:t>
      </w:r>
      <w:r w:rsidR="004E2823">
        <w:t xml:space="preserve">. This omniscient social planner is a hypothetical construct that </w:t>
      </w:r>
      <w:r w:rsidR="007168FF">
        <w:t xml:space="preserve">optimizes the system </w:t>
      </w:r>
      <w:proofErr w:type="gramStart"/>
      <w:r w:rsidR="007168FF">
        <w:t>as a whole rather than individual sites</w:t>
      </w:r>
      <w:proofErr w:type="gramEnd"/>
      <w:r w:rsidR="007168FF">
        <w:t xml:space="preserve"> </w:t>
      </w:r>
      <w:r w:rsidR="004E2823">
        <w:t xml:space="preserve">and can be used as a benchmark for evaluating alternative policy designs. In order to affect optimum outcomes, the planner is assumed to have perfect information about the system and an ability to affect all decisions. In some cases this is not far from reality, e.g. when a sole </w:t>
      </w:r>
      <w:r w:rsidR="008261D0">
        <w:t>owner</w:t>
      </w:r>
      <w:r w:rsidR="004E2823">
        <w:t xml:space="preserve"> holds all development rights.</w:t>
      </w:r>
    </w:p>
    <w:p w:rsidR="003118BF" w:rsidRDefault="003118BF" w:rsidP="003118BF">
      <w:pPr>
        <w:ind w:firstLine="720"/>
      </w:pPr>
      <w:r>
        <w:t xml:space="preserve">Several aspects of regulating impacts in this context are of general interest. First, we are interested in the regulation of aggregate impacts rather than treating impacts individually. Regulating a single aggregate metric across multiple sites requires that the metric be comparable across sites, which may necessitate a sacrifice of the site-specific nature of some impacts. Second, regulating an aggregate metric also permits flexibility in which impacts are reduced and how they are reduced, e.g. by not necessarily penalizing sites that cannot perform well in one metric if they can offset that </w:t>
      </w:r>
      <w:r w:rsidR="00F407AC">
        <w:t xml:space="preserve">assumed </w:t>
      </w:r>
      <w:r>
        <w:t xml:space="preserve">performance with another. </w:t>
      </w:r>
      <w:r w:rsidR="009C3005">
        <w:t xml:space="preserve">Note however that our analysis would apply readily to single-impact contexts. </w:t>
      </w:r>
      <w:r>
        <w:t xml:space="preserve">Third, options for how much impacts are produced in a site are </w:t>
      </w:r>
      <w:r w:rsidR="003B3EE1">
        <w:t>discrete</w:t>
      </w:r>
      <w:r>
        <w:t xml:space="preserve"> because the choices of layouts are limited, with several layouts being similar to one another followed by large changes to those layouts. Fourth, impacts in this context are one-off since changes to the land surface are irreversible and long-lived. As such, impacts at a site are not regulated over time.</w:t>
      </w:r>
    </w:p>
    <w:p w:rsidR="00A14641" w:rsidRPr="00A14641" w:rsidRDefault="00A14641" w:rsidP="003118BF">
      <w:pPr>
        <w:ind w:firstLine="720"/>
        <w:rPr>
          <w:rFonts w:cs="Times New Roman"/>
        </w:rPr>
      </w:pPr>
      <w:r>
        <w:t xml:space="preserve">In a recent special issue of </w:t>
      </w:r>
      <w:r>
        <w:rPr>
          <w:i/>
        </w:rPr>
        <w:t>Ecological Economics</w:t>
      </w:r>
      <w:r>
        <w:t xml:space="preserve"> concerned with market-based instruments for ecosystem services, </w:t>
      </w:r>
      <w:r w:rsidRPr="00A14641">
        <w:rPr>
          <w:noProof/>
        </w:rPr>
        <w:t>Gómez-Baggethun &amp; Muradian</w:t>
      </w:r>
      <w:r>
        <w:t xml:space="preserve"> </w:t>
      </w:r>
      <w:r w:rsidR="00F01773">
        <w:fldChar w:fldCharType="begin" w:fldLock="1"/>
      </w:r>
      <w:r w:rsidR="0043378A">
        <w:instrText>ADDIN CSL_CITATION { "citationItems" : [ { "id" : "ITEM-1", "itemData" : { "DOI" : "http://dx.doi.org/10.1016/j.ecolecon.2015.03.016", "ISSN" : "0921-8009", "abstract" : "Abstract A growing tendency to frame environmental problems as a failure to price ecosystem services has coincided with the rise of so-called \u201cMarket-Based Instruments\u201d (MBIs). The aim of this introductory article to the special section \u201cIn markets we trust? Contrasting views on the performance and legitimacy of Market-Based Instruments in global environmental governance\u201d is to promote critical reflection about the nature, scope and limits of {MBIs} in ecosystem services governance and to provide guidance on where the boundaries for the application of markets ought to be set. First, we examine the role that methodological assumptions and implicit normative positions play in shaping academic perception of the effectiveness and legitimacy of MBIs. Second, we examine {MBIs} in the broader ideological context and socio-political processes that have favored their development and implementation. Third, we test claims of the literature on {MBIs} against insights and data from case studies presented in the special section. Fourth, we discuss the scope and limits of markets in ecosystem services governance in the light of biophysical, institutional, and normative boundaries. We end with a summary of concluding remarks from the special section and by identifying critical tasks for the scientific and policy agenda on ecosystem services governance.", "author" : [ { "dropping-particle" : "", "family" : "G\u00f3mez-Baggethun", "given" : "Erik", "non-dropping-particle" : "", "parse-names" : false, "suffix" : "" }, { "dropping-particle" : "", "family" : "Muradian", "given" : "Roldan", "non-dropping-particle" : "", "parse-names" : false, "suffix" : "" } ], "container-title" : "Ecological Economics", "id" : "ITEM-1", "issued" : { "date-parts" : [ [ "2015" ] ] }, "title" : "In markets we trust? Setting the boundaries of Market-Based Instruments in ecosystem services governance", "type" : "article-journal", "volume" : "In Press" }, "suppress-author" : 1, "uris" : [ "http://www.mendeley.com/documents/?uuid=707f9001-a965-4121-b41c-bac934d5ea2d" ] } ], "mendeley" : { "formattedCitation" : "(2015)", "plainTextFormattedCitation" : "(2015)", "previouslyFormattedCitation" : "(2015)" }, "properties" : { "noteIndex" : 0 }, "schema" : "https://github.com/citation-style-language/schema/raw/master/csl-citation.json" }</w:instrText>
      </w:r>
      <w:r w:rsidR="00F01773">
        <w:fldChar w:fldCharType="separate"/>
      </w:r>
      <w:r w:rsidRPr="00A14641">
        <w:rPr>
          <w:noProof/>
        </w:rPr>
        <w:t>(2015)</w:t>
      </w:r>
      <w:r w:rsidR="00F01773">
        <w:fldChar w:fldCharType="end"/>
      </w:r>
      <w:r>
        <w:t xml:space="preserve"> summarize some of the strengths, weaknesses, and controversies surrounding market-based-instruments for environmental purposes. They point out that market-based-instruments have increased in popularity for policymakers and scientists </w:t>
      </w:r>
      <w:r w:rsidR="00F01773">
        <w:fldChar w:fldCharType="begin" w:fldLock="1"/>
      </w:r>
      <w:r w:rsidR="00C6690C">
        <w:instrText>ADDIN CSL_CITATION { "citationItems" : [ { "id" : "ITEM-1", "itemData" : { "author" : [ { "dropping-particle" : "", "family" : "Pagiola", "given" : "Stefano", "non-dropping-particle" : "", "parse-names" : false, "suffix" : "" }, { "dropping-particle" : "", "family" : "Platais", "given" : "Gunars", "non-dropping-particle" : "", "parse-names" : false, "suffix" : "" } ], "container-title" : "Environment Strategy Notes", "id" : "ITEM-1", "issue" : "4", "issued" : { "date-parts" : [ [ "2002" ] ] }, "page" : "1-23", "publisher" : "World Bank", "title" : "Payments for environmental services", "type" : "article-journal", "volume" : "3" }, "uris" : [ "http://www.mendeley.com/documents/?uuid=ab684bc6-3d6d-4684-b35b-979082835c1a" ] }, { "id" : "ITEM-2", "itemData" : { "DOI" : "http://dx.doi.org/10.1016/j.ecolecon.2008.03.011", "ISSN" : "0921-8009", "abstract" : "Payments for environmental services (PES) have attracted increasing interest as a mechanism to translate external, non-market values of the environment into real financial incentives for local actors to provide environmental services (ES). In this introductory paper, we set the stage for the rest of this Special Issue of Ecological Economics by reviewing the main issues arising in {PES} design and implementation and discussing these in the light of environmental economics. We start with a discussion of {PES} definition and scope. We proceed to review some of the principal dimensions and design characteristics of {PES} programs and then analyze how {PES} compares to alternative policy instruments. Finally, we examine in detail two important aspects of {PES} programs: their effectiveness and their distributional implications. {PES} is not a silver bullet that can be used to address any environmental problem, but a tool tailored to address a specific set of problems: those in which ecosystems are mismanaged because many of their benefits are externalities from the perspective of ecosystem managers. {PES} is based on the beneficiary-pays rather than the polluter-pays principle, and as such is attractive in settings where {ES} providers are poor, marginalized landholders or powerful groups of actors. An important distinction within {PES} is between user-financed {PES} in which the buyers are the users of the ES, and government-financed {PES} in which the buyers are others (typically the government) acting on behalf of {ES} users. In practice, {PES} programs differ in the type and scale of {ES} demand, the payment source, the type of activity paid for, the performance measure used, as well as the payment mode and amount. The effectiveness and efficiency of {PES} depends crucially on program design. ", "author" : [ { "dropping-particle" : "", "family" : "Engel", "given" : "Stefanie", "non-dropping-particle" : "", "parse-names" : false, "suffix" : "" }, { "dropping-particle" : "", "family" : "Pagiola", "given" : "Stefano", "non-dropping-particle" : "", "parse-names" : false, "suffix" : "" }, { "dropping-particle" : "", "family" : "Wunder", "given" : "Sven", "non-dropping-particle" : "", "parse-names" : false, "suffix" : "" } ], "container-title" : "Ecological Economics", "id" : "ITEM-2", "issue" : "4", "issued" : { "date-parts" : [ [ "2008" ] ] }, "note" : "Payments for Environmental Services in Developing and Developed Countries", "page" : "663-674", "title" : "Designing payments for environmental services in theory and practice: An overview of the issues", "type" : "article-journal", "volume" : "65" }, "uris" : [ "http://www.mendeley.com/documents/?uuid=4f9f804a-45ac-4782-834d-c45f36608828" ] }, { "id" : "ITEM-3", "itemData" : { "DOI" : "10.1126/science.1155358", "abstract" : "Recent climate talks in Bali have made progress toward action on deforestation and forest degradation in developing countries, within the anticipated post-Kyoto emissions reduction agreements. As a result of such action, many forests will be better protected, but some land-use change will be displaced to other locations. The demonstration phase launched at Bali offers an opportunity to examine potential outcomes for biodiversity and ecosystem services. Research will be needed into selection of priority areas for reducing emissions from deforestation and forest degradation to deliver multiple benefits, on-the-ground methods to best ensure these benefits, and minimization of displaced land-use change into nontarget countries and ecosystems, including through revised conservation investments. ", "author" : [ { "dropping-particle" : "", "family" : "Miles", "given" : "Lera", "non-dropping-particle" : "", "parse-names" : false, "suffix" : "" }, { "dropping-particle" : "", "family" : "Kapos", "given" : "Valerie", "non-dropping-particle" : "", "parse-names" : false, "suffix" : "" } ], "container-title" : "Science ", "id" : "ITEM-3", "issue" : "5882 ", "issued" : { "date-parts" : [ [ "2008", "6", "13" ] ] }, "note" : "10.1126/science.1155358", "page" : "1454-1455", "title" : "Reducing Greenhouse Gas Emissions from Deforestation and Forest Degradation: Global Land-Use Implications", "type" : "article-journal", "volume" : "320 " }, "uris" : [ "http://www.mendeley.com/documents/?uuid=4743a72a-ea21-44a5-96ac-0ef0990a7edd" ] }, { "id" : "ITEM-4", "itemData" : { "DOI" : "http://dx.doi.org/10.1016/j.landusepol.2011.08.010", "ISSN" : "0264-8377", "abstract" : "Market-based instruments (MBIs) are promoted as economically efficient, targeted solutions to otherwise intractable environmental policy problems with additional potential to improve the livelihood security of ecosystem service providers. This paper argues that the effectiveness of {MBIs} (and the likelihood therefore of sustained environmental and social outcomes) depends on a number of often unacknowledged assumptions about the distribution of benefits arising from ecosystem service provision, the rights and duties associated with resource access, and the fitness for purpose of various policy instruments. These assumptions are illustrated and discussed using The Benefit Flows and Property Rights Matrix. It is argued that the legitimacy of {MBIs} depends both on the demonstrability of distinct public benefit and of acceptance among the wider community that private resource users ought to be compensated in some way for the provision of that benefit. Effective provision of ecosystem services through a market-mechanism thereafter depends on a range of additional conditions including inter-changeability of supply, scalability, lack of corroboration, adequate information, financial capacity, clarity of property rights, clarity of resource access-related duties and institutional capacity. Meeting these conditions is not simply a matter of appropriate incentive design but of political decision-making, moral judgement and social learning. Failure to recognise these conditions potentially undermines the effectiveness not only of {MBIs} but of alternative policy measures taken contemporaneously with {MBIs} such as community-based natural resource management. ", "author" : [ { "dropping-particle" : "", "family" : "Lockie", "given" : "Stewart", "non-dropping-particle" : "", "parse-names" : false, "suffix" : "" } ], "container-title" : "Land Use Policy", "id" : "ITEM-4", "issue" : "0", "issued" : { "date-parts" : [ [ "2013" ] ] }, "note" : "Themed Issue 1-Guest Editor Romy GreinerThemed Issue 2- Guest Editor Davide Viaggi", "page" : "90-98", "title" : "Market instruments, ecosystem services, and property rights: Assumptions and conditions for sustained social and ecological benefits", "type" : "article-journal", "volume" : "31" }, "uris" : [ "http://www.mendeley.com/documents/?uuid=6a022930-e324-4843-b6d8-eb86a4a2cc10" ] }, { "id" : "ITEM-5", "itemData" : { "DOI" : "http://dx.doi.org/10.1016/j.ecoser.2014.10.010", "ISSN" : "2212-0416", "abstract" : "Abstract Building on the analytical frameworks of policy arrangements and new institutional economics, this article introduces the special issue on biodiversity offsets as market-based instruments (MBIs) for ecosystem services, deconstructing discourses and exploring practices on the ground. The idea of compensating environmental damages from development emerged in the 1970s in the {USA} and Europe. From the beginning of the century, as the international community became increasingly interested in {MBIs} as allegedly efficient mechanisms for environmental management, {MBIs} have rapidly gained traction within the biodiversity compensation policy arena. Terms of compensatory mitigation, biodiversity offsets, mitigation banking, habitat banking, species banking, wetlands mitigation, etc., have therefore widely spread as policy tools around the globe. In this context, academics, practitioners and decision-makers have most often characterized those schemes theoretically as an {MBI} and frequently grouped them all under the umbrella term of \u2018biodiversity offsets\u2019. Building on contributions from the special issue, this article contends that biodiversity offset programs are on the contrary mainly characterized as a variety of different heterogeneous policy and institutional arrangements with limited features of market governance. Furthermore, hybrid structures, through long-term bilateral agreements with specific assets and between parties whose identity is crucial, are the rule rather than the exception.", "author" : [ { "dropping-particle" : "", "family" : "Lapeyre", "given" : "Renaud", "non-dropping-particle" : "", "parse-names" : false, "suffix" : "" }, { "dropping-particle" : "", "family" : "Froger", "given" : "G\u00e9raldine", "non-dropping-particle" : "", "parse-names" : false, "suffix" : "" }, { "dropping-particle" : "", "family" : "Hrabanski", "given" : "Marie", "non-dropping-particle" : "", "parse-names" : false, "suffix" : "" } ], "container-title" : "Ecosystem Services", "id" : "ITEM-5", "issued" : { "date-parts" : [ [ "2015" ] ] }, "title" : "Biodiversity offsets as market-based instruments for ecosystem services? From discourses to practices", "type" : "article-journal", "volume" : "In Press" }, "uris" : [ "http://www.mendeley.com/documents/?uuid=4320ec01-286b-4d6d-9fee-cb007b78f738" ] } ], "mendeley" : { "formattedCitation" : "(Pagiola &amp; Platais 2002; Engel, Pagiola &amp; Wunder 2008; Miles &amp; Kapos 2008; Lockie 2013; Lapeyre, Froger &amp; Hrabanski 2015)", "plainTextFormattedCitation" : "(Pagiola &amp; Platais 2002; Engel, Pagiola &amp; Wunder 2008; Miles &amp; Kapos 2008; Lockie 2013; Lapeyre, Froger &amp; Hrabanski 2015)", "previouslyFormattedCitation" : "(Pagiola &amp; Platais 2002; Engel, Pagiola &amp; Wunder 2008; Miles &amp; Kapos 2008; Lockie 2013; Lapeyre, Froger &amp; Hrabanski 2015)" }, "properties" : { "noteIndex" : 0 }, "schema" : "https://github.com/citation-style-language/schema/raw/master/csl-citation.json" }</w:instrText>
      </w:r>
      <w:r w:rsidR="00F01773">
        <w:fldChar w:fldCharType="separate"/>
      </w:r>
      <w:r w:rsidR="0043378A" w:rsidRPr="0043378A">
        <w:rPr>
          <w:noProof/>
        </w:rPr>
        <w:t>(Pagiola &amp; Platais 2002; Engel, Pagiola &amp; Wunder 2008; Miles &amp; Kapos 2008; Lockie 2013; Lapeyre, Froger &amp; Hrabanski 2015)</w:t>
      </w:r>
      <w:r w:rsidR="00F01773">
        <w:fldChar w:fldCharType="end"/>
      </w:r>
      <w:r>
        <w:t xml:space="preserve"> at the same time that trust in the power of markets has fallen </w:t>
      </w:r>
      <w:r w:rsidR="00F01773">
        <w:fldChar w:fldCharType="begin" w:fldLock="1"/>
      </w:r>
      <w:r w:rsidR="0043378A">
        <w:instrText>ADDIN CSL_CITATION { "citationItems" : [ { "id" : "ITEM-1", "itemData" : { "author" : [ { "dropping-particle" : "", "family" : "Sandel", "given" : "Michael J", "non-dropping-particle" : "", "parse-names" : false, "suffix" : "" } ], "id" : "ITEM-1", "issued" : { "date-parts" : [ [ "2012" ] ] }, "publisher" : "Macmillan", "title" : "What money can't buy: the moral limits of markets", "type" : "book" }, "uris" : [ "http://www.mendeley.com/documents/?uuid=2ac7daae-9ea8-416b-b84d-df5c465f42c5" ] }, { "id" : "ITEM-2", "itemData" : { "DOI" : "http://dx.doi.org/10.1016/j.ecolecon.2015.03.016", "ISSN" : "0921-8009", "abstract" : "Abstract A growing tendency to frame environmental problems as a failure to price ecosystem services has coincided with the rise of so-called \u201cMarket-Based Instruments\u201d (MBIs). The aim of this introductory article to the special section \u201cIn markets we trust? Contrasting views on the performance and legitimacy of Market-Based Instruments in global environmental governance\u201d is to promote critical reflection about the nature, scope and limits of {MBIs} in ecosystem services governance and to provide guidance on where the boundaries for the application of markets ought to be set. First, we examine the role that methodological assumptions and implicit normative positions play in shaping academic perception of the effectiveness and legitimacy of MBIs. Second, we examine {MBIs} in the broader ideological context and socio-political processes that have favored their development and implementation. Third, we test claims of the literature on {MBIs} against insights and data from case studies presented in the special section. Fourth, we discuss the scope and limits of markets in ecosystem services governance in the light of biophysical, institutional, and normative boundaries. We end with a summary of concluding remarks from the special section and by identifying critical tasks for the scientific and policy agenda on ecosystem services governance.", "author" : [ { "dropping-particle" : "", "family" : "G\u00f3mez-Baggethun", "given" : "Erik", "non-dropping-particle" : "", "parse-names" : false, "suffix" : "" }, { "dropping-particle" : "", "family" : "Muradian", "given" : "Roldan", "non-dropping-particle" : "", "parse-names" : false, "suffix" : "" } ], "container-title" : "Ecological Economics", "id" : "ITEM-2", "issued" : { "date-parts" : [ [ "2015" ] ] }, "title" : "In markets we trust? Setting the boundaries of Market-Based Instruments in ecosystem services governance", "type" : "article-journal", "volume" : "In Press" }, "uris" : [ "http://www.mendeley.com/documents/?uuid=707f9001-a965-4121-b41c-bac934d5ea2d" ] } ], "mendeley" : { "formattedCitation" : "(Sandel 2012; G\u00f3mez-Baggethun &amp; Muradian 2015)", "plainTextFormattedCitation" : "(Sandel 2012; G\u00f3mez-Baggethun &amp; Muradian 2015)", "previouslyFormattedCitation" : "(Sandel 2012; G\u00f3mez-Baggethun &amp; Muradian 2015)" }, "properties" : { "noteIndex" : 0 }, "schema" : "https://github.com/citation-style-language/schema/raw/master/csl-citation.json" }</w:instrText>
      </w:r>
      <w:r w:rsidR="00F01773">
        <w:fldChar w:fldCharType="separate"/>
      </w:r>
      <w:r w:rsidRPr="00A14641">
        <w:rPr>
          <w:noProof/>
        </w:rPr>
        <w:t>(Sandel 2012; Gómez-Baggethun &amp; Muradian 2015)</w:t>
      </w:r>
      <w:r w:rsidR="00F01773">
        <w:fldChar w:fldCharType="end"/>
      </w:r>
      <w:r>
        <w:t xml:space="preserve">. Many of the issues surrounding market-based-instruments have to do with how purported market-based-instruments are structured and implemented and in what situations they are applied </w:t>
      </w:r>
      <w:r w:rsidR="00F01773">
        <w:lastRenderedPageBreak/>
        <w:fldChar w:fldCharType="begin" w:fldLock="1"/>
      </w:r>
      <w:r w:rsidR="0043378A">
        <w:instrText>ADDIN CSL_CITATION { "citationItems" : [ { "id" : "ITEM-1", "itemData" : { "DOI" : "http://dx.doi.org/10.1016/j.ecolecon.2015.03.016", "ISSN" : "0921-8009", "abstract" : "Abstract A growing tendency to frame environmental problems as a failure to price ecosystem services has coincided with the rise of so-called \u201cMarket-Based Instruments\u201d (MBIs). The aim of this introductory article to the special section \u201cIn markets we trust? Contrasting views on the performance and legitimacy of Market-Based Instruments in global environmental governance\u201d is to promote critical reflection about the nature, scope and limits of {MBIs} in ecosystem services governance and to provide guidance on where the boundaries for the application of markets ought to be set. First, we examine the role that methodological assumptions and implicit normative positions play in shaping academic perception of the effectiveness and legitimacy of MBIs. Second, we examine {MBIs} in the broader ideological context and socio-political processes that have favored their development and implementation. Third, we test claims of the literature on {MBIs} against insights and data from case studies presented in the special section. Fourth, we discuss the scope and limits of markets in ecosystem services governance in the light of biophysical, institutional, and normative boundaries. We end with a summary of concluding remarks from the special section and by identifying critical tasks for the scientific and policy agenda on ecosystem services governance.", "author" : [ { "dropping-particle" : "", "family" : "G\u00f3mez-Baggethun", "given" : "Erik", "non-dropping-particle" : "", "parse-names" : false, "suffix" : "" }, { "dropping-particle" : "", "family" : "Muradian", "given" : "Roldan", "non-dropping-particle" : "", "parse-names" : false, "suffix" : "" } ], "container-title" : "Ecological Economics", "id" : "ITEM-1", "issued" : { "date-parts" : [ [ "2015" ] ] }, "title" : "In markets we trust? Setting the boundaries of Market-Based Instruments in ecosystem services governance", "type" : "article-journal", "volume" : "In Press" }, "uris" : [ "http://www.mendeley.com/documents/?uuid=707f9001-a965-4121-b41c-bac934d5ea2d" ] } ], "mendeley" : { "formattedCitation" : "(G\u00f3mez-Baggethun &amp; Muradian 2015)", "plainTextFormattedCitation" : "(G\u00f3mez-Baggethun &amp; Muradian 2015)", "previouslyFormattedCitation" : "(G\u00f3mez-Baggethun &amp; Muradian 2015)" }, "properties" : { "noteIndex" : 0 }, "schema" : "https://github.com/citation-style-language/schema/raw/master/csl-citation.json" }</w:instrText>
      </w:r>
      <w:r w:rsidR="00F01773">
        <w:fldChar w:fldCharType="separate"/>
      </w:r>
      <w:r w:rsidRPr="00A14641">
        <w:rPr>
          <w:noProof/>
        </w:rPr>
        <w:t>(Gómez-Baggethun &amp; Muradian 2015)</w:t>
      </w:r>
      <w:r w:rsidR="00F01773">
        <w:fldChar w:fldCharType="end"/>
      </w:r>
      <w:r>
        <w:t xml:space="preserve">. Even when properly structured and applied, the theoretical cost effectiveness of market-based-instruments </w:t>
      </w:r>
      <w:r w:rsidR="00F01773">
        <w:fldChar w:fldCharType="begin" w:fldLock="1"/>
      </w:r>
      <w:r>
        <w:instrText>ADDIN CSL_CITATION { "citationItems" : [ { "id" : "ITEM-1", "itemData" : { "DOI" : "http://dx.doi.org/10.1016/S0047-2727(98)00109-1", "ISSN" : "0047-2727", "abstract" : "This paper employs analytical and numerical general equilibrium models to examine the significance of pre-existing factor taxes for the costs of pollution reduction under a wide range of environmental policy instruments. Pre-existing taxes imply significantly higher abatement costs for every instrument considered, but the cost-impact of such taxes differs sharply across instruments. Prior taxes can eliminate the cost-advantage of market-based instruments (emissions taxes and permits) over technology mandates or performance standards, particularly if the former policies fail to generate revenues and use the revenues to finance cuts in the prior distortionary taxes. The cost differences between instruments are highly sensitive to the extent of pollution abatement: for most policies, abatement costs converge to the same value as pollution abatement approaches 100 percent. ", "author" : [ { "dropping-particle" : "", "family" : "Goulder", "given" : "Lawrence H", "non-dropping-particle" : "", "parse-names" : false, "suffix" : "" }, { "dropping-particle" : "", "family" : "Parry", "given" : "Ian W H", "non-dropping-particle" : "", "parse-names" : false, "suffix" : "" }, { "dropping-particle" : "", "family" : "III", "given" : "Roberton C Williams", "non-dropping-particle" : "", "parse-names" : false, "suffix" : "" }, { "dropping-particle" : "", "family" : "Burtraw", "given" : "Dallas", "non-dropping-particle" : "", "parse-names" : false, "suffix" : "" } ], "container-title" : "Journal of Public Economics", "id" : "ITEM-1", "issue" : "3", "issued" : { "date-parts" : [ [ "1999" ] ] }, "page" : "329-360", "title" : "The cost-effectiveness of alternative instruments for environmental protection in a second-best setting", "type" : "article-journal", "volume" : "72" }, "uris" : [ "http://www.mendeley.com/documents/?uuid=ef87ccf5-ad66-4313-8d06-ad1d90780296" ] }, { "id" : "ITEM-2", "itemData" : { "author" : [ { "dropping-particle" : "", "family" : "Foster", "given" : "Vivien", "non-dropping-particle" : "", "parse-names" : false, "suffix" : "" }, { "dropping-particle" : "", "family" : "Hahn", "given" : "Robert W", "non-dropping-particle" : "", "parse-names" : false, "suffix" : "" } ], "container-title" : "Journal of Law and Economics", "id" : "ITEM-2", "issued" : { "date-parts" : [ [ "1995" ] ] }, "page" : "19-48", "publisher" : "JSTOR", "title" : "Designing more efficient markets: lessons from Los Angeles smog control", "type" : "article-journal" }, "uris" : [ "http://www.mendeley.com/documents/?uuid=a6d39837-f4c0-4d58-96da-08362f078914" ] } ], "mendeley" : { "formattedCitation" : "(Foster &amp; Hahn 1995; Goulder &lt;i&gt;et al.&lt;/i&gt; 1999)", "plainTextFormattedCitation" : "(Foster &amp; Hahn 1995; Goulder et al. 1999)", "previouslyFormattedCitation" : "(Foster &amp; Hahn 1995; Goulder &lt;i&gt;et al.&lt;/i&gt; 1999)" }, "properties" : { "noteIndex" : 0 }, "schema" : "https://github.com/citation-style-language/schema/raw/master/csl-citation.json" }</w:instrText>
      </w:r>
      <w:r w:rsidR="00F01773">
        <w:fldChar w:fldCharType="separate"/>
      </w:r>
      <w:r w:rsidRPr="00A14641">
        <w:rPr>
          <w:noProof/>
        </w:rPr>
        <w:t xml:space="preserve">(Foster &amp; Hahn 1995; Goulder </w:t>
      </w:r>
      <w:r w:rsidRPr="00A14641">
        <w:rPr>
          <w:i/>
          <w:noProof/>
        </w:rPr>
        <w:t>et al.</w:t>
      </w:r>
      <w:r w:rsidRPr="00A14641">
        <w:rPr>
          <w:noProof/>
        </w:rPr>
        <w:t xml:space="preserve"> 1999)</w:t>
      </w:r>
      <w:r w:rsidR="00F01773">
        <w:fldChar w:fldCharType="end"/>
      </w:r>
      <w:r>
        <w:t xml:space="preserve"> depends on the ability </w:t>
      </w:r>
      <w:r w:rsidR="009844AE">
        <w:t>of</w:t>
      </w:r>
      <w:r>
        <w:t xml:space="preserve"> regulators to set optimal conditions for the market </w:t>
      </w:r>
      <w:r w:rsidR="00F01773">
        <w:fldChar w:fldCharType="begin" w:fldLock="1"/>
      </w:r>
      <w:r>
        <w:instrText>ADDIN CSL_CITATION { "citationItems" : [ { "id" : "ITEM-1", "itemData" : { "author" : [ { "dropping-particle" : "", "family" : "Brink", "given" : "P.", "non-dropping-particle" : "ten", "parse-names" : false, "suffix" : "" }, { "dropping-particle" : "", "family" : "Mazza", "given" : "L.", "non-dropping-particle" : "", "parse-names" : false, "suffix" : "" }, { "dropping-particle" : "", "family" : "Badura", "given" : "M.", "non-dropping-particle" : "", "parse-names" : false, "suffix" : "" }, { "dropping-particle" : "", "family" : "Kettunen", "given" : "M.", "non-dropping-particle" : "", "parse-names" : false, "suffix" : "" }, { "dropping-particle" : "", "family" : "Withana", "given" : "S.", "non-dropping-particle" : "", "parse-names" : false, "suffix" : "" } ], "id" : "ITEM-1", "issued" : { "date-parts" : [ [ "2012" ] ] }, "title" : "Nature and its Role in the Transition to a Green Economy", "type" : "report" }, "uris" : [ "http://www.mendeley.com/documents/?uuid=1b454d81-418f-4f5a-aec1-3a8078816aa3" ] }, { "id" : "ITEM-2", "itemData" : { "author" : [ { "dropping-particle" : "", "family" : "United Nations Development Program", "given" : "", "non-dropping-particle" : "", "parse-names" : false, "suffix" : "" } ], "id" : "ITEM-2", "issued" : { "date-parts" : [ [ "2011" ] ] }, "publisher" : "United Nations Environment Programme", "title" : "Towards a green economy: pathways to sustainable development and poverty eradication", "type" : "book" }, "uris" : [ "http://www.mendeley.com/documents/?uuid=1fee989d-5004-4823-8882-a2a068cdbcb8" ] } ], "mendeley" : { "formattedCitation" : "(United Nations Development Program 2011; ten Brink &lt;i&gt;et al.&lt;/i&gt; 2012)", "plainTextFormattedCitation" : "(United Nations Development Program 2011; ten Brink et al. 2012)", "previouslyFormattedCitation" : "(United Nations Development Program 2011; ten Brink &lt;i&gt;et al.&lt;/i&gt; 2012)" }, "properties" : { "noteIndex" : 0 }, "schema" : "https://github.com/citation-style-language/schema/raw/master/csl-citation.json" }</w:instrText>
      </w:r>
      <w:r w:rsidR="00F01773">
        <w:fldChar w:fldCharType="separate"/>
      </w:r>
      <w:r w:rsidRPr="00A14641">
        <w:rPr>
          <w:noProof/>
        </w:rPr>
        <w:t xml:space="preserve">(United Nations Development Program 2011; ten Brink </w:t>
      </w:r>
      <w:r w:rsidRPr="00A14641">
        <w:rPr>
          <w:i/>
          <w:noProof/>
        </w:rPr>
        <w:t>et al.</w:t>
      </w:r>
      <w:r w:rsidRPr="00A14641">
        <w:rPr>
          <w:noProof/>
        </w:rPr>
        <w:t xml:space="preserve"> 2012)</w:t>
      </w:r>
      <w:r w:rsidR="00F01773">
        <w:fldChar w:fldCharType="end"/>
      </w:r>
      <w:r>
        <w:t xml:space="preserve">, which itself may require accurate estimates of benefits and costs </w:t>
      </w:r>
      <w:r w:rsidR="00F01773">
        <w:fldChar w:fldCharType="begin" w:fldLock="1"/>
      </w:r>
      <w:r>
        <w:instrText>ADDIN CSL_CITATION { "citationItems" : [ { "id" : "ITEM-1", "itemData" : { "author" : [ { "dropping-particle" : "", "family" : "Salzman", "given" : "James", "non-dropping-particle" : "", "parse-names" : false, "suffix" : "" }, { "dropping-particle" : "", "family" : "Ruhl", "given" : "J B", "non-dropping-particle" : "", "parse-names" : false, "suffix" : "" } ], "container-title" : "Stanford Law Review", "id" : "ITEM-1", "issued" : { "date-parts" : [ [ "2000" ] ] }, "page" : "607-694", "publisher" : "JSTOR", "title" : "Currencies and the commodification of environmental law", "type" : "article-journal" }, "uris" : [ "http://www.mendeley.com/documents/?uuid=df4f4746-1cf5-475f-ba29-cb8ca3e01e30" ] }, { "id" : "ITEM-2", "itemData" : { "DOI" : "http://dx.doi.org/10.1016/j.ecolecon.2007.07.021", "ISSN" : "0921-8009", "abstract" : "Market-based approaches are increasingly being advocated as tools for achieving the conservation of ecosystem services. We examine the reasons why markets so far appear to have failed to provide an efficient allocation of many ecosystem services, and identify the conditions under which markets deliver efficient resource allocation. We discuss different forms of market-based approaches to ecosystem services and identify the characteristics of services that make them better suited to one or another of these approaches. We find that lack of low-cost measurability and valuation currently precludes efficient allocation of many ecosystem services through market-based approaches. Still, some forms of market-based approaches hold promise for cost-effectively managing some ecosystem services provided by and to agricultural lands. In many cases some form of well-designed government involvement will be required to seek outcomes that protect the public interest. ", "author" : [ { "dropping-particle" : "", "family" : "Kroeger", "given" : "Timm", "non-dropping-particle" : "", "parse-names" : false, "suffix" : "" }, { "dropping-particle" : "", "family" : "Casey", "given" : "Frank", "non-dropping-particle" : "", "parse-names" : false, "suffix" : "" } ], "container-title" : "Ecological Economics", "id" : "ITEM-2", "issue" : "2", "issued" : { "date-parts" : [ [ "2007" ] ] }, "note" : "Special Section - Ecosystem Services and Agriculture Ecosystem Services and Agriculture", "page" : "321-332", "title" : "An assessment of market-based approaches to providing ecosystem services on agricultural lands", "type" : "article-journal", "volume" : "64" }, "uris" : [ "http://www.mendeley.com/documents/?uuid=5d79670d-ec64-43e2-af80-24e06bcef263" ] } ], "mendeley" : { "formattedCitation" : "(Salzman &amp; Ruhl 2000; Kroeger &amp; Casey 2007)", "plainTextFormattedCitation" : "(Salzman &amp; Ruhl 2000; Kroeger &amp; Casey 2007)", "previouslyFormattedCitation" : "(Salzman &amp; Ruhl 2000; Kroeger &amp; Casey 2007)" }, "properties" : { "noteIndex" : 0 }, "schema" : "https://github.com/citation-style-language/schema/raw/master/csl-citation.json" }</w:instrText>
      </w:r>
      <w:r w:rsidR="00F01773">
        <w:fldChar w:fldCharType="separate"/>
      </w:r>
      <w:r w:rsidRPr="00A14641">
        <w:rPr>
          <w:noProof/>
        </w:rPr>
        <w:t>(Salzman &amp; Ruhl 2000; Kroeger &amp; Casey 2007)</w:t>
      </w:r>
      <w:r w:rsidR="00F01773">
        <w:fldChar w:fldCharType="end"/>
      </w:r>
      <w:r>
        <w:t xml:space="preserve">. Indeed we find that to be the case here. Regardless, market-based-instruments can have many strengths over rigid command-and-control approaches </w:t>
      </w:r>
      <w:r w:rsidR="00F01773">
        <w:fldChar w:fldCharType="begin" w:fldLock="1"/>
      </w:r>
      <w:r w:rsidR="0043378A">
        <w:instrText>ADDIN CSL_CITATION { "citationItems" : [ { "id" : "ITEM-1", "itemData" : { "DOI" : "http://dx.doi.org/10.1016/j.ecolecon.2015.03.016", "ISSN" : "0921-8009", "abstract" : "Abstract A growing tendency to frame environmental problems as a failure to price ecosystem services has coincided with the rise of so-called \u201cMarket-Based Instruments\u201d (MBIs). The aim of this introductory article to the special section \u201cIn markets we trust? Contrasting views on the performance and legitimacy of Market-Based Instruments in global environmental governance\u201d is to promote critical reflection about the nature, scope and limits of {MBIs} in ecosystem services governance and to provide guidance on where the boundaries for the application of markets ought to be set. First, we examine the role that methodological assumptions and implicit normative positions play in shaping academic perception of the effectiveness and legitimacy of MBIs. Second, we examine {MBIs} in the broader ideological context and socio-political processes that have favored their development and implementation. Third, we test claims of the literature on {MBIs} against insights and data from case studies presented in the special section. Fourth, we discuss the scope and limits of markets in ecosystem services governance in the light of biophysical, institutional, and normative boundaries. We end with a summary of concluding remarks from the special section and by identifying critical tasks for the scientific and policy agenda on ecosystem services governance.", "author" : [ { "dropping-particle" : "", "family" : "G\u00f3mez-Baggethun", "given" : "Erik", "non-dropping-particle" : "", "parse-names" : false, "suffix" : "" }, { "dropping-particle" : "", "family" : "Muradian", "given" : "Roldan", "non-dropping-particle" : "", "parse-names" : false, "suffix" : "" } ], "container-title" : "Ecological Economics", "id" : "ITEM-1", "issued" : { "date-parts" : [ [ "2015" ] ] }, "title" : "In markets we trust? Setting the boundaries of Market-Based Instruments in ecosystem services governance", "type" : "article-journal", "volume" : "In Press" }, "uris" : [ "http://www.mendeley.com/documents/?uuid=707f9001-a965-4121-b41c-bac934d5ea2d" ] } ], "mendeley" : { "formattedCitation" : "(G\u00f3mez-Baggethun &amp; Muradian 2015)", "plainTextFormattedCitation" : "(G\u00f3mez-Baggethun &amp; Muradian 2015)", "previouslyFormattedCitation" : "(G\u00f3mez-Baggethun &amp; Muradian 2015)" }, "properties" : { "noteIndex" : 0 }, "schema" : "https://github.com/citation-style-language/schema/raw/master/csl-citation.json" }</w:instrText>
      </w:r>
      <w:r w:rsidR="00F01773">
        <w:fldChar w:fldCharType="separate"/>
      </w:r>
      <w:r w:rsidRPr="00A14641">
        <w:rPr>
          <w:noProof/>
        </w:rPr>
        <w:t>(Gómez-Baggethun &amp; Muradian 2015)</w:t>
      </w:r>
      <w:r w:rsidR="00F01773">
        <w:fldChar w:fldCharType="end"/>
      </w:r>
      <w:r>
        <w:t>.</w:t>
      </w:r>
    </w:p>
    <w:p w:rsidR="003118BF" w:rsidRDefault="003118BF" w:rsidP="003118BF">
      <w:pPr>
        <w:ind w:firstLine="720"/>
        <w:rPr>
          <w:rFonts w:cs="Times New Roman"/>
        </w:rPr>
      </w:pPr>
      <w:proofErr w:type="gramStart"/>
      <w:r>
        <w:rPr>
          <w:rFonts w:cs="Times New Roman"/>
        </w:rPr>
        <w:t>While other peer-reviewed studies have looked at the current regulatory framework for shale gas development, to our knowledge none have quantitatively analyzed the environmental and monetary effects of implementing new regulations.</w:t>
      </w:r>
      <w:proofErr w:type="gramEnd"/>
      <w:r>
        <w:rPr>
          <w:rFonts w:cs="Times New Roman"/>
        </w:rPr>
        <w:t xml:space="preserve"> </w:t>
      </w:r>
      <w:r w:rsidRPr="008B29EC">
        <w:rPr>
          <w:rFonts w:cs="Times New Roman"/>
          <w:noProof/>
        </w:rPr>
        <w:t>Konschnik and Boling</w:t>
      </w:r>
      <w:r>
        <w:rPr>
          <w:rFonts w:cs="Times New Roman"/>
        </w:rPr>
        <w:t xml:space="preserve"> </w:t>
      </w:r>
      <w:r w:rsidR="00F01773">
        <w:rPr>
          <w:rFonts w:cs="Times New Roman"/>
        </w:rPr>
        <w:fldChar w:fldCharType="begin" w:fldLock="1"/>
      </w:r>
      <w:r>
        <w:rPr>
          <w:rFonts w:cs="Times New Roman"/>
        </w:rPr>
        <w:instrText>ADDIN CSL_CITATION { "citationItems" : [ { "id" : "ITEM-1", "itemData" : { "DOI" : "10.1021/es405377u", "ISSN" : "0013-936X", "abstract" : "Advances in directional drilling and hydraulic fracturing have sparked a natural gas boom from shale formations in the United States. Regulators face a rapidly changing industry comprised of hundreds of players, operating tens of thousands of wells across 30 states. They are often challenged to respond by budget cuts, a brain drain to industry, regulations designed for conventional gas developments, insufficient information, and deeply polarized debates about hydraulic fracturing and its regulation. As a result, shale gas governance remains a halting patchwork of rules, undermining opportunities to effectively characterize and mitigate development risk.The situation is dynamic, with research and incremental regulatory advances underway. Into this mix, we offer the CO/RE framework?characterization of risk, optimization of mitigation strategies, regulation, and enforcement?to design tailored governance strategies. We then apply CO/RE to three types of shale gas risks, to illustrate its potential utility to regulators.", "author" : [ { "dropping-particle" : "", "family" : "Konschnik", "given" : "Katherine E", "non-dropping-particle" : "", "parse-names" : false, "suffix" : "" }, { "dropping-particle" : "", "family" : "Boling", "given" : "Mark K", "non-dropping-particle" : "", "parse-names" : false, "suffix" : "" } ], "container-title" : "Environmental Science &amp; Technology", "id" : "ITEM-1", "issue" : "15", "issued" : { "date-parts" : [ [ "2014", "8", "5" ] ] }, "page" : "8404-8416", "publisher" : "American Chemical Society", "title" : "Shale Gas Development: A Smart Regulation Framework", "type" : "article-journal", "volume" : "48" }, "suppress-author" : 1, "uris" : [ "http://www.mendeley.com/documents/?uuid=4ce5f229-568d-4c58-b4d2-97564069052e" ] } ], "mendeley" : { "formattedCitation" : "(2014)", "plainTextFormattedCitation" : "(2014)", "previouslyFormattedCitation" : "(2014)" }, "properties" : { "noteIndex" : 0 }, "schema" : "https://github.com/citation-style-language/schema/raw/master/csl-citation.json" }</w:instrText>
      </w:r>
      <w:r w:rsidR="00F01773">
        <w:rPr>
          <w:rFonts w:cs="Times New Roman"/>
        </w:rPr>
        <w:fldChar w:fldCharType="separate"/>
      </w:r>
      <w:r w:rsidRPr="008B29EC">
        <w:rPr>
          <w:rFonts w:cs="Times New Roman"/>
          <w:noProof/>
        </w:rPr>
        <w:t>(2014)</w:t>
      </w:r>
      <w:r w:rsidR="00F01773">
        <w:rPr>
          <w:rFonts w:cs="Times New Roman"/>
        </w:rPr>
        <w:fldChar w:fldCharType="end"/>
      </w:r>
      <w:r>
        <w:rPr>
          <w:rFonts w:cs="Times New Roman"/>
        </w:rPr>
        <w:t xml:space="preserve"> describe the</w:t>
      </w:r>
      <w:r w:rsidRPr="008B29EC">
        <w:rPr>
          <w:rFonts w:cs="Times New Roman"/>
        </w:rPr>
        <w:t xml:space="preserve"> current regulatory framework for shale gas in the U</w:t>
      </w:r>
      <w:r>
        <w:rPr>
          <w:rFonts w:cs="Times New Roman"/>
        </w:rPr>
        <w:t>.S and go on to p</w:t>
      </w:r>
      <w:r w:rsidRPr="008B29EC">
        <w:rPr>
          <w:rFonts w:cs="Times New Roman"/>
        </w:rPr>
        <w:t>ropose a framework for f</w:t>
      </w:r>
      <w:r>
        <w:rPr>
          <w:rFonts w:cs="Times New Roman"/>
        </w:rPr>
        <w:t xml:space="preserve">urther governance of shale gas and how that could be applied for environmental or sustainability goals. Most other studies focus on a review of current regulations </w:t>
      </w:r>
      <w:r w:rsidR="00F01773">
        <w:rPr>
          <w:rFonts w:cs="Times New Roman"/>
        </w:rPr>
        <w:fldChar w:fldCharType="begin" w:fldLock="1"/>
      </w:r>
      <w:r w:rsidR="00B32474">
        <w:rPr>
          <w:rFonts w:cs="Times New Roman"/>
        </w:rPr>
        <w:instrText>ADDIN CSL_CITATION { "citationItems" : [ { "id" : "ITEM-1", "itemData" : { "DOI" : "10.1016/j.enpol.2011.03.009", "ISSN" : "03014215", "abstract" : "The ability to economically produce natural gas from unconventional shale gas reservoirs has been made possible recently through the application of horizontal drilling and hydraulic fracturing. This new technique has radically changed the energy future of the United States. The U.S. has shifted from a waning producer of natural gas to a growing producer. The Energy Information Administration forecasts that by 2035 nearly half of U.S. natural gas will come from shale gas. Texas is a major player in these developments. Of the eight states and coastal areas that account for the bulk of U.S. gas, Texas has the largest proved reserves. Texas' Barnett Shale already produces six percent of the continental U.S.' gas and exploration of Texas' other shale gas regions is just beginning. Shale gas production is highly controversial, in part because of environmental concerns. Some U.S. states have put hydraulic fracturing moratoriums in place because of fear of drinking water contamination. The federal government has gotten involved and some states, like Texas, have accused it of overreaching. The contention over shale gas drilling in the U.S. may be a bellwether for other parts of the world that are now moving forward with their own shale gas production.", "author" : [ { "dropping-particle" : "", "family" : "Rahm", "given" : "Dianne", "non-dropping-particle" : "", "parse-names" : false, "suffix" : "" } ], "container-title" : "Energy Policy", "id" : "ITEM-1", "issue" : "5", "issued" : { "date-parts" : [ [ "2011", "5" ] ] }, "note" : "Gives a nice intro to the hydraulic fracturing process. Gives several examples of environmental catastrophes in PA (despite being coused in TX). Focus on water.", "page" : "2974-2981", "title" : "Regulating hydraulic fracturing in shale gas plays: The case of Texas", "type" : "article-journal", "volume" : "39" }, "uris" : [ "http://www.mendeley.com/documents/?uuid=a5ee566f-2d38-4982-9f33-becb18325b9a" ] }, { "id" : "ITEM-2", "itemData" : { "ISBN" : "1466046612000", "ISSN" : "1466-0474", "abstract" : "The development of large-scale shale gas production has been described as a game-changer for the US energy market and has generated interest in expanding the use of natural gas in sectors such as electricity generation and transportation. This development has been made possible by improvements in drilling technologies\u2014specifically utilizing hydraulic fractur- ing in conjunction with horizontal drilling\u2014that have en- abled the production of natural gas from unconventional formations. However, the environmental implications of nat- ural gas production and its use have been called into question. Environmental impacts associated with shale gas develop- ment can occur at the global and local levels and include impacts to climate, local air quality, water availability, water quality, seismic events, and the local community.Avariety of technologies and practices are available to operators to re- duce these impacts. Policies are currently under development at the federal, state, and local level to mitigate environmental impacts. In this document, we discuss the technologies in- volved in shale gas production, the potential abiotic impacts of shale gas production with an emphasis on air and water issues, and the practices and policies currently being devel- oped and implemented to mitigate these impacts.", "author" : [ { "dropping-particle" : "", "family" : "Clark", "given" : "Corrie E.", "non-dropping-particle" : "", "parse-names" : false, "suffix" : "" }, { "dropping-particle" : "", "family" : "Burnham", "given" : "Andrew J.", "non-dropping-particle" : "", "parse-names" : false, "suffix" : "" }, { "dropping-particle" : "", "family" : "Harto", "given" : "Christopher B.", "non-dropping-particle" : "", "parse-names" : false, "suffix" : "" }, { "dropping-particle" : "", "family" : "Horner", "given" : "Robert M.", "non-dropping-particle" : "", "parse-names" : false, "suffix" : "" } ], "container-title" : "Environmental Practice", "id" : "ITEM-2", "issue" : "4", "issued" : { "date-parts" : [ [ "2012" ] ] }, "language" : "English", "page" : "249-261", "title" : "The Technology and Policy of Hydraulic Fracturing and Potential Environmental Impacts of Shale Gas Development", "type" : "article-journal", "volume" : "14" }, "uris" : [ "http://www.mendeley.com/documents/?uuid=bf265849-ec46-4a1d-8ca0-4ade7bb894b6" ] }, { "id" : "ITEM-3", "itemData" : { "DOI" : "10.1021/es4052582", "ISSN" : "0013-936X", "abstract" : "The development of natural gas and oil from unconventional formations in the United States has grown substantially in recent years and has created governance challenges. In light of this recent growth, and increasing attention to global shale gas resources, the successes and failures of governance efforts in this country serve as important lessons for other nations that have their own unconventional petroleum resources and are beginning to move forward with development, thus calling for a more in-depth examination of the laws governing shale gas development and their implementation. Governance includes both the substance of laws and the activities of entities that implement and influence laws, and in the case of oil and gas, states are primarily responsible for risk governance. Nongovernmental actors and industry also work with states to shape and implement regulations and standards. This Policy Analysis introduces the role of various actors in U.S. shale gas governance, explaining why the states are primarily responsible for risk governance, and explores the capacity of states to conduct governance, examining the content of their laws and the strength of their regulatory entities. The Analysis concludes that states are, to a degree, addressing the changing risks of development. Gaps remain in the substance of regulations, however, and many states appear to lack adequate support or policies for training industry in compliance matters, monitoring activity at sites, prioritizing certain types of regulatory violations that pose the highest risks, enforcing laws, and ensuring that the public is aware of inspections and enforcement and can therefore monitor state activity.", "author" : [ { "dropping-particle" : "", "family" : "Wiseman", "given" : "Hannah J", "non-dropping-particle" : "", "parse-names" : false, "suffix" : "" } ], "container-title" : "Environmental Science &amp; Technology", "id" : "ITEM-3", "issue" : "15", "issued" : { "date-parts" : [ [ "2014", "8", "5" ] ] }, "page" : "8376-8387", "publisher" : "American Chemical Society", "title" : "The Capacity of States to Govern Shale Gas Development Risks", "type" : "article-journal", "volume" : "48" }, "uris" : [ "http://www.mendeley.com/documents/?uuid=33dd0c23-b118-42d4-9c5f-6754bb4247e1" ] } ], "mendeley" : { "formattedCitation" : "(Rahm 2011; Clark &lt;i&gt;et al.&lt;/i&gt; 2012; Wiseman 2014)", "plainTextFormattedCitation" : "(Rahm 2011; Clark et al. 2012; Wiseman 2014)", "previouslyFormattedCitation" : "(Rahm 2011; Clark &lt;i&gt;et al.&lt;/i&gt; 2012; Wiseman 2014)" }, "properties" : { "noteIndex" : 0 }, "schema" : "https://github.com/citation-style-language/schema/raw/master/csl-citation.json" }</w:instrText>
      </w:r>
      <w:r w:rsidR="00F01773">
        <w:rPr>
          <w:rFonts w:cs="Times New Roman"/>
        </w:rPr>
        <w:fldChar w:fldCharType="separate"/>
      </w:r>
      <w:r w:rsidR="00B32474" w:rsidRPr="00B32474">
        <w:rPr>
          <w:rFonts w:cs="Times New Roman"/>
          <w:noProof/>
        </w:rPr>
        <w:t xml:space="preserve">(Rahm 2011; Clark </w:t>
      </w:r>
      <w:r w:rsidR="00B32474" w:rsidRPr="00B32474">
        <w:rPr>
          <w:rFonts w:cs="Times New Roman"/>
          <w:i/>
          <w:noProof/>
        </w:rPr>
        <w:t>et al.</w:t>
      </w:r>
      <w:r w:rsidR="00B32474" w:rsidRPr="00B32474">
        <w:rPr>
          <w:rFonts w:cs="Times New Roman"/>
          <w:noProof/>
        </w:rPr>
        <w:t xml:space="preserve"> 2012; Wiseman 2014)</w:t>
      </w:r>
      <w:r w:rsidR="00F01773">
        <w:rPr>
          <w:rFonts w:cs="Times New Roman"/>
        </w:rPr>
        <w:fldChar w:fldCharType="end"/>
      </w:r>
      <w:r>
        <w:rPr>
          <w:rFonts w:cs="Times New Roman"/>
        </w:rPr>
        <w:t xml:space="preserve"> or on the assessment of risks or damages for future regulations </w:t>
      </w:r>
      <w:r w:rsidR="00F01773">
        <w:rPr>
          <w:rFonts w:cs="Times New Roman"/>
        </w:rPr>
        <w:fldChar w:fldCharType="begin" w:fldLock="1"/>
      </w:r>
      <w:r w:rsidR="00B32474">
        <w:rPr>
          <w:rFonts w:cs="Times New Roman"/>
        </w:rPr>
        <w:instrText>ADDIN CSL_CITATION { "citationItems" : [ { "id" : "ITEM-1", "itemData" : { "ISBN" : "1466046612000", "ISSN" : "1466-0474", "abstract" : "The development of large-scale shale gas production has been described as a game-changer for the US energy market and has generated interest in expanding the use of natural gas in sectors such as electricity generation and transportation. This development has been made possible by improvements in drilling technologies\u2014specifically utilizing hydraulic fractur- ing in conjunction with horizontal drilling\u2014that have en- abled the production of natural gas from unconventional formations. However, the environmental implications of nat- ural gas production and its use have been called into question. Environmental impacts associated with shale gas develop- ment can occur at the global and local levels and include impacts to climate, local air quality, water availability, water quality, seismic events, and the local community.Avariety of technologies and practices are available to operators to re- duce these impacts. Policies are currently under development at the federal, state, and local level to mitigate environmental impacts. In this document, we discuss the technologies in- volved in shale gas production, the potential abiotic impacts of shale gas production with an emphasis on air and water issues, and the practices and policies currently being devel- oped and implemented to mitigate these impacts.", "author" : [ { "dropping-particle" : "", "family" : "Clark", "given" : "Corrie E.", "non-dropping-particle" : "", "parse-names" : false, "suffix" : "" }, { "dropping-particle" : "", "family" : "Burnham", "given" : "Andrew J.", "non-dropping-particle" : "", "parse-names" : false, "suffix" : "" }, { "dropping-particle" : "", "family" : "Harto", "given" : "Christopher B.", "non-dropping-particle" : "", "parse-names" : false, "suffix" : "" }, { "dropping-particle" : "", "family" : "Horner", "given" : "Robert M.", "non-dropping-particle" : "", "parse-names" : false, "suffix" : "" } ], "container-title" : "Environmental Practice", "id" : "ITEM-1", "issue" : "4", "issued" : { "date-parts" : [ [ "2012" ] ] }, "language" : "English", "page" : "249-261", "title" : "The Technology and Policy of Hydraulic Fracturing and Potential Environmental Impacts of Shale Gas Development", "type" : "article-journal", "volume" : "14" }, "uris" : [ "http://www.mendeley.com/documents/?uuid=bf265849-ec46-4a1d-8ca0-4ade7bb894b6" ] }, { "id" : "ITEM-2", "itemData" : { "DOI" : "10.1016/j.scitotenv.2015.01.004", "ISSN" : "1879-1026", "PMID" : "25613768", "abstract" : "The United States shale gas boom has precipitated global interest in the development of unconventional oil and gas resources. Recently, government ministers in the United Kingdom started granting licenses that will enable companies to begin initial exploration for shale gas. Meanwhile, concern is increasing among the scientific community about the potential impacts of shale gas and other types of unconventional natural gas development (UGD) on human health and the environment. Although significant data gaps remain, there has been a surge in the number of articles appearing in the scientific literature, nearly three-quarters of which has been published since the beginning of 2013. Important lessons can be drawn from the UGD experience in the United States. Here we explore these considerations and argue that shale gas development policies in the UK and elsewhere should be informed by empirical evidence generated on environmental, public health, and social risks. Additionally, policy decisions should take into account the measured effectiveness of harm reduction strategies as opposed to hypothetical scenarios and purported best practices that lack empirical support.", "author" : [ { "dropping-particle" : "", "family" : "Hays", "given" : "Jake", "non-dropping-particle" : "", "parse-names" : false, "suffix" : "" }, { "dropping-particle" : "", "family" : "Finkel", "given" : "Madelon L", "non-dropping-particle" : "", "parse-names" : false, "suffix" : "" }, { "dropping-particle" : "", "family" : "Depledge", "given" : "Michael", "non-dropping-particle" : "", "parse-names" : false, "suffix" : "" }, { "dropping-particle" : "", "family" : "Law", "given" : "Adam", "non-dropping-particle" : "", "parse-names" : false, "suffix" : "" }, { "dropping-particle" : "", "family" : "Shonkoff", "given" : "Seth B C", "non-dropping-particle" : "", "parse-names" : false, "suffix" : "" } ], "container-title" : "The Science of the total environment", "id" : "ITEM-2", "issued" : { "date-parts" : [ [ "2015", "1", "19" ] ] }, "note" : "review of environmental, social, human health, and economic issues from shale gas development, mostly in the US, but with implications for the U.K.", "page" : "36-42", "title" : "Considerations for the development of shale gas in the United Kingdom.", "type" : "article-journal", "volume" : "512-513C" }, "uris" : [ "http://www.mendeley.com/documents/?uuid=ed5d6cb7-9251-4e18-8bea-8711de4eb4b0" ] } ], "mendeley" : { "formattedCitation" : "(Clark &lt;i&gt;et al.&lt;/i&gt; 2012; Hays &lt;i&gt;et al.&lt;/i&gt; 2015)", "plainTextFormattedCitation" : "(Clark et al. 2012; Hays et al. 2015)", "previouslyFormattedCitation" : "(Clark &lt;i&gt;et al.&lt;/i&gt; 2012; Hays &lt;i&gt;et al.&lt;/i&gt; 2015)" }, "properties" : { "noteIndex" : 0 }, "schema" : "https://github.com/citation-style-language/schema/raw/master/csl-citation.json" }</w:instrText>
      </w:r>
      <w:r w:rsidR="00F01773">
        <w:rPr>
          <w:rFonts w:cs="Times New Roman"/>
        </w:rPr>
        <w:fldChar w:fldCharType="separate"/>
      </w:r>
      <w:r w:rsidR="00B32474" w:rsidRPr="00B32474">
        <w:rPr>
          <w:rFonts w:cs="Times New Roman"/>
          <w:noProof/>
        </w:rPr>
        <w:t xml:space="preserve">(Clark </w:t>
      </w:r>
      <w:r w:rsidR="00B32474" w:rsidRPr="00B32474">
        <w:rPr>
          <w:rFonts w:cs="Times New Roman"/>
          <w:i/>
          <w:noProof/>
        </w:rPr>
        <w:t>et al.</w:t>
      </w:r>
      <w:r w:rsidR="00B32474" w:rsidRPr="00B32474">
        <w:rPr>
          <w:rFonts w:cs="Times New Roman"/>
          <w:noProof/>
        </w:rPr>
        <w:t xml:space="preserve"> 2012; Hays </w:t>
      </w:r>
      <w:r w:rsidR="00B32474" w:rsidRPr="00B32474">
        <w:rPr>
          <w:rFonts w:cs="Times New Roman"/>
          <w:i/>
          <w:noProof/>
        </w:rPr>
        <w:t>et al.</w:t>
      </w:r>
      <w:r w:rsidR="00B32474" w:rsidRPr="00B32474">
        <w:rPr>
          <w:rFonts w:cs="Times New Roman"/>
          <w:noProof/>
        </w:rPr>
        <w:t xml:space="preserve"> 2015)</w:t>
      </w:r>
      <w:r w:rsidR="00F01773">
        <w:rPr>
          <w:rFonts w:cs="Times New Roman"/>
        </w:rPr>
        <w:fldChar w:fldCharType="end"/>
      </w:r>
      <w:r>
        <w:rPr>
          <w:rFonts w:cs="Times New Roman"/>
        </w:rPr>
        <w:t>. We draw on the foundational knowledge of these studies, which point to the limitations of existing regulations, and combine that knowledge with spatial planning of infrastructure for multiple environmental impacts at the site scale to address the implications of an additional regulation.</w:t>
      </w:r>
    </w:p>
    <w:p w:rsidR="003118BF" w:rsidRPr="006D0525" w:rsidRDefault="003118BF" w:rsidP="003118BF">
      <w:pPr>
        <w:ind w:firstLine="720"/>
        <w:rPr>
          <w:rFonts w:cs="Times New Roman"/>
        </w:rPr>
      </w:pPr>
      <w:r>
        <w:t>In this paper we explore the cost effectiveness of different environmental regulations for shale gas surface infrastructure, especially how regulations compare to one another and</w:t>
      </w:r>
      <w:r w:rsidR="00F50577">
        <w:t xml:space="preserve"> to</w:t>
      </w:r>
      <w:r>
        <w:t xml:space="preserve"> an ideal</w:t>
      </w:r>
      <w:r w:rsidR="00F50577">
        <w:t>ized benchmark</w:t>
      </w:r>
      <w:r>
        <w:t xml:space="preserve">. Specifically, we explore three scenarios. First, we explore a regulation that reflects the most common type of environmental regulation, which is a uniform </w:t>
      </w:r>
      <w:r w:rsidR="00F407AC">
        <w:t xml:space="preserve">- </w:t>
      </w:r>
      <w:r>
        <w:t>ignores site characteristics</w:t>
      </w:r>
      <w:r w:rsidR="00F407AC">
        <w:t xml:space="preserve"> -</w:t>
      </w:r>
      <w:r>
        <w:t xml:space="preserve"> restriction on impacts</w:t>
      </w:r>
      <w:r w:rsidR="00F407AC">
        <w:t xml:space="preserve"> and is inflexible in how that restriction is met</w:t>
      </w:r>
      <w:r>
        <w:t xml:space="preserve">. </w:t>
      </w:r>
      <w:r w:rsidR="00F407AC">
        <w:t>Second</w:t>
      </w:r>
      <w:r>
        <w:t xml:space="preserve">, we explore and focus on how tradable permits in a cap and trade system reduces the cost of reducing impacts compared to the first scenario while leaving development decisions in the hands of developers. </w:t>
      </w:r>
      <w:r w:rsidR="00F407AC">
        <w:t xml:space="preserve">Third, we evaluate whether </w:t>
      </w:r>
      <w:r w:rsidR="00F50577">
        <w:t>and idealized</w:t>
      </w:r>
      <w:r w:rsidR="00F407AC">
        <w:t xml:space="preserve"> cap and trade system performs as well as an omniscient social planner, </w:t>
      </w:r>
      <w:r w:rsidR="00F50577">
        <w:t>something</w:t>
      </w:r>
      <w:r w:rsidR="00F407AC">
        <w:t xml:space="preserve"> expected </w:t>
      </w:r>
      <w:r w:rsidR="00F50577">
        <w:t xml:space="preserve">in theory </w:t>
      </w:r>
      <w:r w:rsidR="00F01773">
        <w:fldChar w:fldCharType="begin" w:fldLock="1"/>
      </w:r>
      <w:r w:rsidR="00560194">
        <w:instrText>ADDIN CSL_CITATION { "citationItems" : [ { "id" : "ITEM-1", "itemData" : { "ISBN" : "0-321-01428-6", "author" : [ { "dropping-particle" : "", "family" : "Hartwick", "given" : "John M.", "non-dropping-particle" : "", "parse-names" : false, "suffix" : "" }, { "dropping-particle" : "", "family" : "Olewiler", "given" : "Nancy D.", "non-dropping-particle" : "", "parse-names" : false, "suffix" : "" } ], "edition" : "2", "editor" : [ { "dropping-particle" : "", "family" : "Clinton", "given" : "Denise", "non-dropping-particle" : "", "parse-names" : false, "suffix" : "" } ], "id" : "ITEM-1", "issued" : { "date-parts" : [ [ "1998" ] ] }, "publisher" : "Addison-Wesley Educational Publishers, Inc.", "publisher-place" : "Reading, Massachusetts, Massachusetts", "title" : "The Economics of Natural Resource Use", "type" : "book" }, "uris" : [ "http://www.mendeley.com/documents/?uuid=a7bd3111-8677-4912-883e-da256b2d3803" ] } ], "mendeley" : { "formattedCitation" : "(Hartwick &amp; Olewiler 1998)", "plainTextFormattedCitation" : "(Hartwick &amp; Olewiler 1998)", "previouslyFormattedCitation" : "(Hartwick &amp; Olewiler 1998)" }, "properties" : { "noteIndex" : 0 }, "schema" : "https://github.com/citation-style-language/schema/raw/master/csl-citation.json" }</w:instrText>
      </w:r>
      <w:r w:rsidR="00F01773">
        <w:fldChar w:fldCharType="separate"/>
      </w:r>
      <w:r w:rsidR="00F407AC" w:rsidRPr="00F407AC">
        <w:rPr>
          <w:noProof/>
        </w:rPr>
        <w:t>(Hartwick &amp; Olewiler 1998)</w:t>
      </w:r>
      <w:r w:rsidR="00F01773">
        <w:fldChar w:fldCharType="end"/>
      </w:r>
      <w:r w:rsidR="00F407AC">
        <w:t xml:space="preserve">. </w:t>
      </w:r>
      <w:r w:rsidR="00F50577">
        <w:t>As discussed earlier, the cost effectiveness of market-based instruments depends on the market context created by the regulator. Consequently, we then discuss</w:t>
      </w:r>
      <w:r>
        <w:t xml:space="preserve"> how error in the ability of the regulator to estimate impacts in the absence of an additional regulation affects the cost effectiveness of cap and trade. We then </w:t>
      </w:r>
      <w:r w:rsidR="00F407AC">
        <w:t>analyze</w:t>
      </w:r>
      <w:r>
        <w:t xml:space="preserve"> a case study of development in Pennsylvania and discuss its implications for cap and trade in similar and broader contexts</w:t>
      </w:r>
    </w:p>
    <w:p w:rsidR="003118BF" w:rsidRDefault="003118BF" w:rsidP="003118BF">
      <w:pPr>
        <w:pStyle w:val="Heading2"/>
      </w:pPr>
      <w:bookmarkStart w:id="230" w:name="_Toc417646808"/>
      <w:bookmarkStart w:id="231" w:name="_Toc421352886"/>
      <w:r>
        <w:lastRenderedPageBreak/>
        <w:t>Methods and Materials</w:t>
      </w:r>
      <w:bookmarkEnd w:id="230"/>
      <w:bookmarkEnd w:id="231"/>
    </w:p>
    <w:p w:rsidR="003118BF" w:rsidRDefault="003118BF" w:rsidP="003118BF">
      <w:pPr>
        <w:pStyle w:val="Heading3"/>
      </w:pPr>
      <w:bookmarkStart w:id="232" w:name="_Toc417646809"/>
      <w:r>
        <w:t>Overview</w:t>
      </w:r>
      <w:bookmarkEnd w:id="232"/>
    </w:p>
    <w:p w:rsidR="003118BF" w:rsidRDefault="003118BF" w:rsidP="003118BF">
      <w:pPr>
        <w:ind w:firstLine="720"/>
      </w:pPr>
      <w:r>
        <w:t xml:space="preserve">In the following sections we describe our methods for analyzing the costs and impacts associated with regulating shale gas surface infrastructure using different regulations. In </w:t>
      </w:r>
      <w:r>
        <w:rPr>
          <w:rFonts w:ascii="Cambria Math" w:hAnsi="Cambria Math"/>
        </w:rPr>
        <w:t>§</w:t>
      </w:r>
      <w:r w:rsidR="00F01773">
        <w:fldChar w:fldCharType="begin"/>
      </w:r>
      <w:r>
        <w:instrText xml:space="preserve"> REF _Ref417215998 \r \h </w:instrText>
      </w:r>
      <w:r w:rsidR="00F01773">
        <w:fldChar w:fldCharType="separate"/>
      </w:r>
      <w:r w:rsidR="00867AA7">
        <w:t>4.3.2</w:t>
      </w:r>
      <w:r w:rsidR="00F01773">
        <w:fldChar w:fldCharType="end"/>
      </w:r>
      <w:r>
        <w:t>-</w:t>
      </w:r>
      <w:r w:rsidR="00F01773">
        <w:fldChar w:fldCharType="begin"/>
      </w:r>
      <w:r w:rsidR="00F124F1">
        <w:instrText xml:space="preserve"> REF _Ref417216101 \r \h </w:instrText>
      </w:r>
      <w:r w:rsidR="00F01773">
        <w:fldChar w:fldCharType="separate"/>
      </w:r>
      <w:r w:rsidR="00867AA7">
        <w:t>4.3.5</w:t>
      </w:r>
      <w:r w:rsidR="00F01773">
        <w:fldChar w:fldCharType="end"/>
      </w:r>
      <w:r>
        <w:t xml:space="preserve">, we describe our general methods for analysis of </w:t>
      </w:r>
      <w:r w:rsidR="00F407AC">
        <w:t xml:space="preserve">two </w:t>
      </w:r>
      <w:r>
        <w:t>policy scenarios</w:t>
      </w:r>
      <w:r w:rsidR="00F407AC">
        <w:t xml:space="preserve"> and an ideal</w:t>
      </w:r>
      <w:r w:rsidR="00F50577">
        <w:t>ized</w:t>
      </w:r>
      <w:r w:rsidR="00F407AC">
        <w:t xml:space="preserve"> </w:t>
      </w:r>
      <w:r w:rsidR="00F50577">
        <w:t>benchmark</w:t>
      </w:r>
      <w:r>
        <w:t xml:space="preserve">, followed by an application of these methods to a case study described in </w:t>
      </w:r>
      <w:r>
        <w:rPr>
          <w:rFonts w:ascii="Cambria Math" w:hAnsi="Cambria Math"/>
        </w:rPr>
        <w:t>§</w:t>
      </w:r>
      <w:fldSimple w:instr=" REF _Ref417216101 \r \h  \* MERGEFORMAT ">
        <w:r w:rsidR="00867AA7" w:rsidRPr="00867AA7">
          <w:rPr>
            <w:rFonts w:cs="Times New Roman"/>
          </w:rPr>
          <w:t>4.3.5</w:t>
        </w:r>
      </w:fldSimple>
      <w:r>
        <w:t xml:space="preserve">. In </w:t>
      </w:r>
      <w:r>
        <w:rPr>
          <w:rFonts w:ascii="Cambria Math" w:hAnsi="Cambria Math"/>
        </w:rPr>
        <w:t>§</w:t>
      </w:r>
      <w:r w:rsidR="00F01773">
        <w:fldChar w:fldCharType="begin"/>
      </w:r>
      <w:r>
        <w:instrText xml:space="preserve"> REF _Ref417215998 \r \h </w:instrText>
      </w:r>
      <w:r w:rsidR="00F01773">
        <w:fldChar w:fldCharType="separate"/>
      </w:r>
      <w:r w:rsidR="00867AA7">
        <w:t>4.3.2</w:t>
      </w:r>
      <w:r w:rsidR="00F01773">
        <w:fldChar w:fldCharType="end"/>
      </w:r>
      <w:r>
        <w:t xml:space="preserve"> we describe the regulatory context, including our assumptions about the system, the goals and decisions made by a regulator committed to reducing environmental impacts from surface infrastructure, and the goals and decisions made by developers attempting to make profits from extracting gas from their sites. In </w:t>
      </w:r>
      <w:r>
        <w:rPr>
          <w:rFonts w:ascii="Cambria Math" w:hAnsi="Cambria Math"/>
        </w:rPr>
        <w:t>§</w:t>
      </w:r>
      <w:r w:rsidR="00F01773">
        <w:rPr>
          <w:rFonts w:ascii="Cambria Math" w:hAnsi="Cambria Math"/>
        </w:rPr>
        <w:fldChar w:fldCharType="begin"/>
      </w:r>
      <w:r w:rsidR="00B0579E">
        <w:rPr>
          <w:rFonts w:ascii="Cambria Math" w:hAnsi="Cambria Math"/>
        </w:rPr>
        <w:instrText xml:space="preserve"> REF _Ref418588028 \r \h </w:instrText>
      </w:r>
      <w:r w:rsidR="00F01773">
        <w:rPr>
          <w:rFonts w:ascii="Cambria Math" w:hAnsi="Cambria Math"/>
        </w:rPr>
      </w:r>
      <w:r w:rsidR="00F01773">
        <w:rPr>
          <w:rFonts w:ascii="Cambria Math" w:hAnsi="Cambria Math"/>
        </w:rPr>
        <w:fldChar w:fldCharType="separate"/>
      </w:r>
      <w:r w:rsidR="00867AA7">
        <w:rPr>
          <w:rFonts w:ascii="Cambria Math" w:hAnsi="Cambria Math"/>
        </w:rPr>
        <w:t>4.3.3</w:t>
      </w:r>
      <w:r w:rsidR="00F01773">
        <w:rPr>
          <w:rFonts w:ascii="Cambria Math" w:hAnsi="Cambria Math"/>
        </w:rPr>
        <w:fldChar w:fldCharType="end"/>
      </w:r>
      <w:r>
        <w:t xml:space="preserve"> we describe the mathematical formulation and solution methods for </w:t>
      </w:r>
      <w:r w:rsidR="00F407AC">
        <w:t xml:space="preserve">the two policy scenarios and </w:t>
      </w:r>
      <w:r w:rsidR="00F50577">
        <w:t>idealized benchmark</w:t>
      </w:r>
      <w:r w:rsidR="00F407AC">
        <w:t xml:space="preserve">. </w:t>
      </w:r>
      <w:r>
        <w:t xml:space="preserve">In </w:t>
      </w:r>
      <w:r>
        <w:rPr>
          <w:rFonts w:ascii="Cambria Math" w:hAnsi="Cambria Math"/>
        </w:rPr>
        <w:t>§</w:t>
      </w:r>
      <w:r w:rsidR="00F01773">
        <w:rPr>
          <w:rFonts w:ascii="Cambria Math" w:hAnsi="Cambria Math"/>
        </w:rPr>
        <w:fldChar w:fldCharType="begin"/>
      </w:r>
      <w:r w:rsidR="009B7FF5">
        <w:rPr>
          <w:rFonts w:ascii="Cambria Math" w:hAnsi="Cambria Math"/>
        </w:rPr>
        <w:instrText xml:space="preserve"> REF _Ref418527845 \r \h </w:instrText>
      </w:r>
      <w:r w:rsidR="00F01773">
        <w:rPr>
          <w:rFonts w:ascii="Cambria Math" w:hAnsi="Cambria Math"/>
        </w:rPr>
      </w:r>
      <w:r w:rsidR="00F01773">
        <w:rPr>
          <w:rFonts w:ascii="Cambria Math" w:hAnsi="Cambria Math"/>
        </w:rPr>
        <w:fldChar w:fldCharType="separate"/>
      </w:r>
      <w:r w:rsidR="00867AA7">
        <w:rPr>
          <w:rFonts w:ascii="Cambria Math" w:hAnsi="Cambria Math"/>
        </w:rPr>
        <w:t>4.3.4</w:t>
      </w:r>
      <w:r w:rsidR="00F01773">
        <w:rPr>
          <w:rFonts w:ascii="Cambria Math" w:hAnsi="Cambria Math"/>
        </w:rPr>
        <w:fldChar w:fldCharType="end"/>
      </w:r>
      <w:r>
        <w:t xml:space="preserve"> we expand our analysis to consider </w:t>
      </w:r>
      <w:r w:rsidR="00692BED">
        <w:t xml:space="preserve">the counterfactual situation where the regulator does not perfectly know how large impacts will be in the absence of additional regulation. This introduces error in setting the site-specific cap for cap and trade. We discuss how three directions of error affect outcomes of the system. </w:t>
      </w:r>
      <w:r>
        <w:t xml:space="preserve">Finally, in </w:t>
      </w:r>
      <w:r>
        <w:rPr>
          <w:rFonts w:ascii="Cambria Math" w:hAnsi="Cambria Math"/>
        </w:rPr>
        <w:t>§</w:t>
      </w:r>
      <w:r w:rsidR="00F01773">
        <w:fldChar w:fldCharType="begin"/>
      </w:r>
      <w:r>
        <w:rPr>
          <w:rFonts w:ascii="Cambria Math" w:hAnsi="Cambria Math"/>
        </w:rPr>
        <w:instrText xml:space="preserve"> REF _Ref417216101 \r \h </w:instrText>
      </w:r>
      <w:r w:rsidR="00F01773">
        <w:fldChar w:fldCharType="separate"/>
      </w:r>
      <w:r w:rsidR="00867AA7">
        <w:rPr>
          <w:rFonts w:ascii="Cambria Math" w:hAnsi="Cambria Math"/>
        </w:rPr>
        <w:t>4.3.5</w:t>
      </w:r>
      <w:r w:rsidR="00F01773">
        <w:fldChar w:fldCharType="end"/>
      </w:r>
      <w:r>
        <w:t xml:space="preserve"> we describe the application of our methods to a case study set of 56 sites in Pennsylvania, USA. This application requires some additional data and analyses, some of which come from a previous study</w:t>
      </w:r>
      <w:r w:rsidR="00F407AC">
        <w:t xml:space="preserve"> (Chapter 3); the rest is described in </w:t>
      </w:r>
      <w:r w:rsidR="00F407AC">
        <w:rPr>
          <w:rFonts w:ascii="Cambria Math" w:hAnsi="Cambria Math"/>
        </w:rPr>
        <w:t>§</w:t>
      </w:r>
      <w:r w:rsidR="00F01773">
        <w:fldChar w:fldCharType="begin"/>
      </w:r>
      <w:r w:rsidR="00F407AC">
        <w:rPr>
          <w:rFonts w:ascii="Cambria Math" w:hAnsi="Cambria Math"/>
        </w:rPr>
        <w:instrText xml:space="preserve"> REF _Ref417216101 \r \h </w:instrText>
      </w:r>
      <w:r w:rsidR="00F01773">
        <w:fldChar w:fldCharType="separate"/>
      </w:r>
      <w:r w:rsidR="00867AA7">
        <w:rPr>
          <w:rFonts w:ascii="Cambria Math" w:hAnsi="Cambria Math"/>
        </w:rPr>
        <w:t>4.3.5</w:t>
      </w:r>
      <w:r w:rsidR="00F01773">
        <w:fldChar w:fldCharType="end"/>
      </w:r>
      <w:r>
        <w:t xml:space="preserve">. </w:t>
      </w:r>
    </w:p>
    <w:p w:rsidR="003118BF" w:rsidRDefault="003118BF" w:rsidP="003118BF">
      <w:pPr>
        <w:pStyle w:val="Heading3"/>
      </w:pPr>
      <w:bookmarkStart w:id="233" w:name="_Ref417215998"/>
      <w:bookmarkStart w:id="234" w:name="_Toc417646810"/>
      <w:r>
        <w:t>Regulatory Context</w:t>
      </w:r>
      <w:bookmarkEnd w:id="233"/>
      <w:bookmarkEnd w:id="234"/>
    </w:p>
    <w:p w:rsidR="003118BF" w:rsidRDefault="003118BF" w:rsidP="003118BF">
      <w:pPr>
        <w:ind w:firstLine="720"/>
        <w:rPr>
          <w:rFonts w:cs="Times New Roman"/>
        </w:rPr>
      </w:pPr>
      <w:r>
        <w:rPr>
          <w:rFonts w:cs="Times New Roman"/>
        </w:rPr>
        <w:t xml:space="preserve">We follow several assumptions about the development context that affect how we analyze new regulations. First, the development rights at a site belong to only one developer and each developer has development rights to exactly one site. Thus, decisions about how to develop a site are site/developer specific. We change this assumption when exploring a sole-ownership scenario. Second, every layout option – configuration of well pads, access roads, and gathering pipelines – for a site has the same number of wells, all wells drain the same amount of gas, and all wells cost the same to drill. Thus, layouts for a site differ only in the cost of developing surface infrastructure. Third, the construction of infrastructure produces many environmental externalities (impacts), which it is the task of the regulator to internalize to the gas industry through a new regulation. Fourth, impacts incurred at a site are independent such that the </w:t>
      </w:r>
      <w:r w:rsidR="00CE6D58">
        <w:rPr>
          <w:rFonts w:cs="Times New Roman"/>
        </w:rPr>
        <w:t>aggregate</w:t>
      </w:r>
      <w:r>
        <w:rPr>
          <w:rFonts w:cs="Times New Roman"/>
        </w:rPr>
        <w:t xml:space="preserve"> impact of development of the system is just the sum of site-level impacts. Finally, all sites are developed simultaneously such that delays in gas production do not occur and the costs and profits from developing sites are independent of </w:t>
      </w:r>
      <w:r>
        <w:rPr>
          <w:rFonts w:cs="Times New Roman"/>
        </w:rPr>
        <w:lastRenderedPageBreak/>
        <w:t>the start of production.</w:t>
      </w:r>
      <w:r w:rsidR="00103436">
        <w:rPr>
          <w:rFonts w:cs="Times New Roman"/>
        </w:rPr>
        <w:t xml:space="preserve"> We recognize these are simplifying assumptions of the system which limit our ability to fully predict outcomes of different regulations. However we feel this study is still an important first step toward understanding the implications of new shale gas regulations.</w:t>
      </w:r>
    </w:p>
    <w:p w:rsidR="00125A91" w:rsidRDefault="003118BF" w:rsidP="003118BF">
      <w:pPr>
        <w:ind w:firstLine="720"/>
        <w:rPr>
          <w:rFonts w:cs="Times New Roman"/>
        </w:rPr>
      </w:pPr>
      <w:r>
        <w:rPr>
          <w:rFonts w:cs="Times New Roman"/>
        </w:rPr>
        <w:t>The regulator is responsible for creating a new regulation that forces developers to internalize environmental impacts created by surface infrastructure. The regulator</w:t>
      </w:r>
      <w:r w:rsidR="00AF1D3E">
        <w:rPr>
          <w:rFonts w:cs="Times New Roman"/>
        </w:rPr>
        <w:t xml:space="preserve"> would like </w:t>
      </w:r>
      <w:r>
        <w:rPr>
          <w:rFonts w:cs="Times New Roman"/>
        </w:rPr>
        <w:t xml:space="preserve">to maximize social welfare by minimizing both environmental impacts and the monetary cost of internalizing those impacts. However, the regulator has a limited ability to do so for two reasons. First, the regulator does not know the social value of environmental impacts and so cannot directly maximize social welfare. Instead, the regulator can only choose a level of impact to achieve, which will result in some cost to the gas industry. Second, in the cap and trade system the regulator sets an individual cap for each site based on an estimate of the impact of the least-expensive layout at that site, which is the layout that would be developed without the regulation. There is error associated with that estimate, which prevents the regulator from knowing whether the choice of cap will lead to a larger or smaller total impact than estimated (described more in </w:t>
      </w:r>
      <w:r>
        <w:rPr>
          <w:rFonts w:ascii="Cambria Math" w:hAnsi="Cambria Math" w:cs="Times New Roman"/>
        </w:rPr>
        <w:t>§</w:t>
      </w:r>
      <w:r w:rsidR="00F01773">
        <w:rPr>
          <w:rFonts w:ascii="Cambria Math" w:hAnsi="Cambria Math" w:cs="Times New Roman"/>
        </w:rPr>
        <w:fldChar w:fldCharType="begin"/>
      </w:r>
      <w:r w:rsidR="006278D0">
        <w:rPr>
          <w:rFonts w:ascii="Cambria Math" w:hAnsi="Cambria Math" w:cs="Times New Roman"/>
        </w:rPr>
        <w:instrText xml:space="preserve"> REF _Ref418527845 \r \h </w:instrText>
      </w:r>
      <w:r w:rsidR="00F01773">
        <w:rPr>
          <w:rFonts w:ascii="Cambria Math" w:hAnsi="Cambria Math" w:cs="Times New Roman"/>
        </w:rPr>
      </w:r>
      <w:r w:rsidR="00F01773">
        <w:rPr>
          <w:rFonts w:ascii="Cambria Math" w:hAnsi="Cambria Math" w:cs="Times New Roman"/>
        </w:rPr>
        <w:fldChar w:fldCharType="separate"/>
      </w:r>
      <w:r w:rsidR="00867AA7">
        <w:rPr>
          <w:rFonts w:ascii="Cambria Math" w:hAnsi="Cambria Math" w:cs="Times New Roman"/>
        </w:rPr>
        <w:t>4.3.4</w:t>
      </w:r>
      <w:r w:rsidR="00F01773">
        <w:rPr>
          <w:rFonts w:ascii="Cambria Math" w:hAnsi="Cambria Math" w:cs="Times New Roman"/>
        </w:rPr>
        <w:fldChar w:fldCharType="end"/>
      </w:r>
      <w:r>
        <w:rPr>
          <w:rFonts w:cs="Times New Roman"/>
        </w:rPr>
        <w:t>).</w:t>
      </w:r>
    </w:p>
    <w:p w:rsidR="001723FB" w:rsidRDefault="004C4795" w:rsidP="004C4795">
      <w:pPr>
        <w:ind w:firstLine="720"/>
        <w:rPr>
          <w:rFonts w:eastAsiaTheme="minorEastAsia" w:cs="Times New Roman"/>
        </w:rPr>
      </w:pPr>
      <w:r>
        <w:rPr>
          <w:rFonts w:cs="Times New Roman"/>
        </w:rPr>
        <w:t xml:space="preserve">Each developer wants to maximize the net present value of his site, which is dependent on several factors. A site contains some amount of gas, the present value of which depends on the flow rate of gas from each well, the number of wells, the price of gas, and the monetary discount rate (p. </w:t>
      </w:r>
      <w:r w:rsidR="00F01773">
        <w:rPr>
          <w:rFonts w:cs="Times New Roman"/>
        </w:rPr>
        <w:fldChar w:fldCharType="begin"/>
      </w:r>
      <w:r>
        <w:rPr>
          <w:rFonts w:cs="Times New Roman"/>
        </w:rPr>
        <w:instrText xml:space="preserve"> PAGEREF _Ref417646292 \h </w:instrText>
      </w:r>
      <w:r w:rsidR="00F01773">
        <w:rPr>
          <w:rFonts w:cs="Times New Roman"/>
        </w:rPr>
      </w:r>
      <w:r w:rsidR="00F01773">
        <w:rPr>
          <w:rFonts w:cs="Times New Roman"/>
        </w:rPr>
        <w:fldChar w:fldCharType="separate"/>
      </w:r>
      <w:r w:rsidR="00867AA7">
        <w:rPr>
          <w:rFonts w:cs="Times New Roman"/>
          <w:noProof/>
        </w:rPr>
        <w:t>149</w:t>
      </w:r>
      <w:r w:rsidR="00F01773">
        <w:rPr>
          <w:rFonts w:cs="Times New Roman"/>
        </w:rPr>
        <w:fldChar w:fldCharType="end"/>
      </w:r>
      <w:r>
        <w:rPr>
          <w:rFonts w:cs="Times New Roman"/>
        </w:rPr>
        <w:t xml:space="preserve"> in Appendix for methods). To get profits from the gas, the developer must construct infrastructure to access the site, extract the gas, and pipe it to the market. There are many infrastructure layouts for a site, and each layout has an associated construction cost and environmental impact. We denote the discrete cost and impact functions for a site by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j</m:t>
            </m:r>
          </m:e>
        </m:d>
      </m:oMath>
      <w:r>
        <w:rPr>
          <w:rFonts w:eastAsiaTheme="minorEastAsia" w:cs="Times New Roman"/>
        </w:rPr>
        <w:t xml:space="preserve"> </w:t>
      </w:r>
      <w:proofErr w:type="gramStart"/>
      <w:r>
        <w:rPr>
          <w:rFonts w:eastAsiaTheme="minorEastAsia" w:cs="Times New Roman"/>
        </w:rPr>
        <w:t xml:space="preserve">and </w:t>
      </w:r>
      <m:oMath>
        <w:proofErr w:type="gramEnd"/>
        <m:sSub>
          <m:sSubPr>
            <m:ctrlPr>
              <w:rPr>
                <w:rFonts w:ascii="Cambria Math" w:eastAsiaTheme="minorEastAsia" w:hAnsi="Cambria Math" w:cs="Times New Roman"/>
                <w:i/>
              </w:rPr>
            </m:ctrlPr>
          </m:sSubPr>
          <m:e>
            <m:r>
              <w:rPr>
                <w:rFonts w:ascii="Cambria Math" w:eastAsiaTheme="minorEastAsia" w:hAnsi="Cambria Math" w:cs="Times New Roman"/>
              </w:rPr>
              <m:t>I</m:t>
            </m:r>
          </m:e>
          <m:sub>
            <m:r>
              <w:rPr>
                <w:rFonts w:ascii="Cambria Math" w:eastAsiaTheme="minorEastAsia" w:hAnsi="Cambria Math" w:cs="Times New Roman"/>
              </w:rPr>
              <m:t>i</m:t>
            </m:r>
          </m:sub>
        </m:sSub>
        <m:r>
          <w:rPr>
            <w:rFonts w:ascii="Cambria Math" w:eastAsiaTheme="minorEastAsia" w:hAnsi="Cambria Math" w:cs="Times New Roman"/>
          </w:rPr>
          <m:t>(j)</m:t>
        </m:r>
      </m:oMath>
      <w:r>
        <w:rPr>
          <w:rFonts w:eastAsiaTheme="minorEastAsia" w:cs="Times New Roman"/>
        </w:rPr>
        <w:t xml:space="preserve">, respectively, where </w:t>
      </w:r>
      <m:oMath>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i</m:t>
            </m:r>
          </m:sub>
        </m:sSub>
        <m:r>
          <w:rPr>
            <w:rFonts w:ascii="Cambria Math" w:eastAsiaTheme="minorEastAsia" w:hAnsi="Cambria Math" w:cs="Times New Roman"/>
          </w:rPr>
          <m:t>(j)</m:t>
        </m:r>
      </m:oMath>
      <w:r>
        <w:rPr>
          <w:rFonts w:eastAsiaTheme="minorEastAsia" w:cs="Times New Roman"/>
        </w:rPr>
        <w:t xml:space="preserve"> is the cost of constructing layout </w:t>
      </w:r>
      <m:oMath>
        <m:r>
          <w:rPr>
            <w:rFonts w:ascii="Cambria Math" w:eastAsiaTheme="minorEastAsia" w:hAnsi="Cambria Math" w:cs="Times New Roman"/>
          </w:rPr>
          <m:t>j</m:t>
        </m:r>
      </m:oMath>
      <w:r>
        <w:rPr>
          <w:rFonts w:eastAsiaTheme="minorEastAsia" w:cs="Times New Roman"/>
        </w:rPr>
        <w:t xml:space="preserve"> at site </w:t>
      </w:r>
      <m:oMath>
        <m:r>
          <w:rPr>
            <w:rFonts w:ascii="Cambria Math" w:eastAsiaTheme="minorEastAsia" w:hAnsi="Cambria Math" w:cs="Times New Roman"/>
          </w:rPr>
          <m:t>i</m:t>
        </m:r>
      </m:oMath>
      <w:r>
        <w:rPr>
          <w:rFonts w:eastAsiaTheme="minorEastAsia" w:cs="Times New Roman"/>
        </w:rPr>
        <w:t xml:space="preserve">. These functions are monotonically increasing and decreasing respectively and thus their combination adheres to one important Pareto-efficiency condition </w:t>
      </w:r>
      <w:r w:rsidR="00F01773">
        <w:rPr>
          <w:rFonts w:eastAsiaTheme="minorEastAsia" w:cs="Times New Roman"/>
        </w:rPr>
        <w:fldChar w:fldCharType="begin" w:fldLock="1"/>
      </w:r>
      <w:r>
        <w:rPr>
          <w:rFonts w:eastAsiaTheme="minorEastAsia" w:cs="Times New Roman"/>
        </w:rPr>
        <w:instrText>ADDIN CSL_CITATION { "citationItems" : [ { "id" : "ITEM-1", "itemData" : { "ISBN" : "0-393-97830-3", "author" : [ { "dropping-particle" : "", "family" : "Varian", "given" : "Hal R.", "non-dropping-particle" : "", "parse-names" : false, "suffix" : "" } ], "edition" : "6", "editor" : [ { "dropping-particle" : "", "family" : "Parsons", "given" : "Ed", "non-dropping-particle" : "", "parse-names" : false, "suffix" : "" } ], "id" : "ITEM-1", "issued" : { "date-parts" : [ [ "2003" ] ] }, "publisher" : "W.W. Norton &amp; Company", "publisher-place" : "New York, NY, NY", "title" : "Intermediate Microeconomics", "type" : "book" }, "uris" : [ "http://www.mendeley.com/documents/?uuid=0fe0f958-3a36-40ce-b0fd-e7d1b154b98b" ] } ], "mendeley" : { "formattedCitation" : "(Varian 2003)", "plainTextFormattedCitation" : "(Varian 2003)", "previouslyFormattedCitation" : "(Varian 2003)" }, "properties" : { "noteIndex" : 0 }, "schema" : "https://github.com/citation-style-language/schema/raw/master/csl-citation.json" }</w:instrText>
      </w:r>
      <w:r w:rsidR="00F01773">
        <w:rPr>
          <w:rFonts w:eastAsiaTheme="minorEastAsia" w:cs="Times New Roman"/>
        </w:rPr>
        <w:fldChar w:fldCharType="separate"/>
      </w:r>
      <w:r w:rsidRPr="00B32474">
        <w:rPr>
          <w:rFonts w:eastAsiaTheme="minorEastAsia" w:cs="Times New Roman"/>
          <w:noProof/>
        </w:rPr>
        <w:t>(Varian 2003)</w:t>
      </w:r>
      <w:r w:rsidR="00F01773">
        <w:rPr>
          <w:rFonts w:eastAsiaTheme="minorEastAsia" w:cs="Times New Roman"/>
        </w:rPr>
        <w:fldChar w:fldCharType="end"/>
      </w:r>
      <w:r>
        <w:rPr>
          <w:rFonts w:eastAsiaTheme="minorEastAsia" w:cs="Times New Roman"/>
        </w:rPr>
        <w:t>. We set up our analysis in such a way that there is no incentive to develop a layout that is simultaneously more impacting and more costly than any other layout. Because of the setup described here, a developer can maximize the net present value of his site by minimizing the cost of construction plus any additional costs from the new regulation. The specific form changes with each scenario (</w:t>
      </w:r>
      <w:r w:rsidR="00F01773">
        <w:rPr>
          <w:rFonts w:eastAsiaTheme="minorEastAsia" w:cs="Times New Roman"/>
        </w:rPr>
        <w:fldChar w:fldCharType="begin"/>
      </w:r>
      <w:r>
        <w:rPr>
          <w:rFonts w:eastAsiaTheme="minorEastAsia" w:cs="Times New Roman"/>
        </w:rPr>
        <w:instrText xml:space="preserve"> REF _Ref417646040 \h </w:instrText>
      </w:r>
      <w:r w:rsidR="00F01773">
        <w:rPr>
          <w:rFonts w:eastAsiaTheme="minorEastAsia" w:cs="Times New Roman"/>
        </w:rPr>
      </w:r>
      <w:r w:rsidR="00F01773">
        <w:rPr>
          <w:rFonts w:eastAsiaTheme="minorEastAsia" w:cs="Times New Roman"/>
        </w:rPr>
        <w:fldChar w:fldCharType="separate"/>
      </w:r>
      <w:r w:rsidR="00867AA7">
        <w:t xml:space="preserve">Table </w:t>
      </w:r>
      <w:r w:rsidR="00867AA7">
        <w:rPr>
          <w:noProof/>
        </w:rPr>
        <w:t>4</w:t>
      </w:r>
      <w:r w:rsidR="00867AA7">
        <w:t>.</w:t>
      </w:r>
      <w:r w:rsidR="00867AA7">
        <w:rPr>
          <w:noProof/>
        </w:rPr>
        <w:t>1</w:t>
      </w:r>
      <w:r w:rsidR="00F01773">
        <w:rPr>
          <w:rFonts w:eastAsiaTheme="minorEastAsia" w:cs="Times New Roman"/>
        </w:rPr>
        <w:fldChar w:fldCharType="end"/>
      </w:r>
      <w:r>
        <w:rPr>
          <w:rFonts w:eastAsiaTheme="minorEastAsia" w:cs="Times New Roman"/>
        </w:rPr>
        <w:t>).</w:t>
      </w:r>
    </w:p>
    <w:p w:rsidR="001723FB" w:rsidRDefault="001723FB" w:rsidP="001723FB">
      <w:pPr>
        <w:pStyle w:val="Heading3"/>
      </w:pPr>
      <w:bookmarkStart w:id="235" w:name="_Ref418588028"/>
      <w:r>
        <w:t>Scenarios and Solutions</w:t>
      </w:r>
      <w:bookmarkEnd w:id="235"/>
    </w:p>
    <w:p w:rsidR="004C4795" w:rsidRPr="004C4795" w:rsidRDefault="001723FB" w:rsidP="004C4795">
      <w:pPr>
        <w:ind w:firstLine="720"/>
      </w:pPr>
      <w:r>
        <w:t xml:space="preserve">We explore the two policy scenarios and one idealized benchmark already described above. In every scenario, the regulator puts a cap on impacts from development and the developer(s) choose layouts at each </w:t>
      </w:r>
      <w:r w:rsidR="004C4795">
        <w:t xml:space="preserve"> </w:t>
      </w:r>
    </w:p>
    <w:p w:rsidR="004C4795" w:rsidRDefault="004C4795" w:rsidP="003118BF">
      <w:pPr>
        <w:ind w:firstLine="720"/>
        <w:rPr>
          <w:rFonts w:cs="Times New Roman"/>
        </w:rPr>
        <w:sectPr w:rsidR="004C4795" w:rsidSect="002115B4">
          <w:pgSz w:w="12240" w:h="15840" w:code="1"/>
          <w:pgMar w:top="1440" w:right="1800" w:bottom="1440" w:left="1800" w:header="720" w:footer="1440" w:gutter="0"/>
          <w:cols w:space="720"/>
          <w:noEndnote/>
          <w:docGrid w:linePitch="360"/>
        </w:sectPr>
      </w:pPr>
    </w:p>
    <w:p w:rsidR="00125A91" w:rsidRDefault="00F01773" w:rsidP="00125A91">
      <w:pPr>
        <w:ind w:firstLine="720"/>
        <w:jc w:val="center"/>
        <w:rPr>
          <w:rFonts w:cs="Times New Roman"/>
        </w:rPr>
        <w:sectPr w:rsidR="00125A91" w:rsidSect="00125A91">
          <w:pgSz w:w="15840" w:h="12240" w:orient="landscape" w:code="1"/>
          <w:pgMar w:top="1800" w:right="1440" w:bottom="1800" w:left="1440" w:header="720" w:footer="1440" w:gutter="0"/>
          <w:cols w:space="720"/>
          <w:vAlign w:val="center"/>
          <w:noEndnote/>
          <w:docGrid w:linePitch="360"/>
        </w:sectPr>
      </w:pPr>
      <w:r>
        <w:rPr>
          <w:rFonts w:cs="Times New Roman"/>
        </w:rPr>
      </w:r>
      <w:r>
        <w:rPr>
          <w:rFonts w:cs="Times New Roman"/>
        </w:rPr>
        <w:pict>
          <v:shape id="_x0000_s1088" type="#_x0000_t202" style="width:498pt;height:3in;mso-position-horizontal-relative:char;mso-position-vertical-relative:line" filled="f" stroked="f">
            <v:textbox style="mso-next-textbox:#_x0000_s1088">
              <w:txbxContent>
                <w:p w:rsidR="006A45E8" w:rsidRPr="002B2090" w:rsidRDefault="006A45E8" w:rsidP="000074ED">
                  <w:pPr>
                    <w:pStyle w:val="Caption"/>
                    <w:rPr>
                      <w:vanish/>
                      <w:lang w:val="en-GB"/>
                      <w:specVanish/>
                    </w:rPr>
                  </w:pPr>
                  <w:bookmarkStart w:id="236" w:name="_Ref417646040"/>
                  <w:bookmarkStart w:id="237" w:name="_Toc421352894"/>
                  <w:bookmarkStart w:id="238" w:name="_Toc417647008"/>
                  <w:bookmarkStart w:id="239" w:name="_Toc417647088"/>
                  <w:proofErr w:type="gramStart"/>
                  <w:r>
                    <w:t xml:space="preserve">Table </w:t>
                  </w:r>
                  <w:fldSimple w:instr=" STYLEREF 1 \s ">
                    <w:r>
                      <w:rPr>
                        <w:noProof/>
                      </w:rPr>
                      <w:t>4</w:t>
                    </w:r>
                  </w:fldSimple>
                  <w:r>
                    <w:t>.</w:t>
                  </w:r>
                  <w:proofErr w:type="gramEnd"/>
                  <w:r>
                    <w:fldChar w:fldCharType="begin"/>
                  </w:r>
                  <w:r>
                    <w:instrText xml:space="preserve"> SEQ Table \* ARABIC \s 1 </w:instrText>
                  </w:r>
                  <w:r>
                    <w:fldChar w:fldCharType="separate"/>
                  </w:r>
                  <w:r>
                    <w:rPr>
                      <w:noProof/>
                    </w:rPr>
                    <w:t>1</w:t>
                  </w:r>
                  <w:r>
                    <w:fldChar w:fldCharType="end"/>
                  </w:r>
                  <w:bookmarkEnd w:id="236"/>
                  <w:r>
                    <w:t>. Developer optimization problems for policy scenarios</w:t>
                  </w:r>
                  <w:bookmarkEnd w:id="237"/>
                </w:p>
                <w:p w:rsidR="006A45E8" w:rsidRDefault="006A45E8" w:rsidP="00004E2C">
                  <w:pPr>
                    <w:pStyle w:val="Caption"/>
                  </w:pPr>
                  <w:proofErr w:type="gramStart"/>
                  <w:r>
                    <w:t>, including the objective and constraint, which is set by the regulator.</w:t>
                  </w:r>
                  <w:bookmarkEnd w:id="238"/>
                  <w:bookmarkEnd w:id="239"/>
                  <w:proofErr w:type="gramEnd"/>
                </w:p>
                <w:tbl>
                  <w:tblPr>
                    <w:tblStyle w:val="TableGrid"/>
                    <w:tblW w:w="9648" w:type="dxa"/>
                    <w:tblLook w:val="04A0"/>
                  </w:tblPr>
                  <w:tblGrid>
                    <w:gridCol w:w="2448"/>
                    <w:gridCol w:w="2376"/>
                    <w:gridCol w:w="1044"/>
                    <w:gridCol w:w="3099"/>
                    <w:gridCol w:w="681"/>
                  </w:tblGrid>
                  <w:tr w:rsidR="006A45E8" w:rsidRPr="002B194C" w:rsidTr="006858A9">
                    <w:tc>
                      <w:tcPr>
                        <w:tcW w:w="2448" w:type="dxa"/>
                        <w:tcBorders>
                          <w:top w:val="single" w:sz="4" w:space="0" w:color="auto"/>
                          <w:left w:val="nil"/>
                          <w:bottom w:val="single" w:sz="4" w:space="0" w:color="auto"/>
                          <w:right w:val="nil"/>
                        </w:tcBorders>
                        <w:vAlign w:val="center"/>
                      </w:tcPr>
                      <w:p w:rsidR="006A45E8" w:rsidRPr="002B194C" w:rsidRDefault="006A45E8" w:rsidP="002622D4">
                        <w:pPr>
                          <w:jc w:val="center"/>
                          <w:rPr>
                            <w:rFonts w:ascii="Times New Roman" w:hAnsi="Times New Roman" w:cs="Times New Roman"/>
                            <w:b/>
                          </w:rPr>
                        </w:pPr>
                        <w:r w:rsidRPr="002B194C">
                          <w:rPr>
                            <w:rFonts w:ascii="Times New Roman" w:hAnsi="Times New Roman" w:cs="Times New Roman"/>
                            <w:b/>
                          </w:rPr>
                          <w:t>Policy</w:t>
                        </w:r>
                      </w:p>
                    </w:tc>
                    <w:tc>
                      <w:tcPr>
                        <w:tcW w:w="3420" w:type="dxa"/>
                        <w:gridSpan w:val="2"/>
                        <w:tcBorders>
                          <w:top w:val="single" w:sz="4" w:space="0" w:color="auto"/>
                          <w:left w:val="nil"/>
                          <w:bottom w:val="single" w:sz="4" w:space="0" w:color="auto"/>
                          <w:right w:val="nil"/>
                        </w:tcBorders>
                        <w:vAlign w:val="center"/>
                      </w:tcPr>
                      <w:p w:rsidR="006A45E8" w:rsidRPr="002B194C" w:rsidRDefault="006A45E8" w:rsidP="002622D4">
                        <w:pPr>
                          <w:jc w:val="center"/>
                          <w:rPr>
                            <w:rFonts w:ascii="Times New Roman" w:hAnsi="Times New Roman" w:cs="Times New Roman"/>
                            <w:b/>
                          </w:rPr>
                        </w:pPr>
                        <w:r w:rsidRPr="002B194C">
                          <w:rPr>
                            <w:rFonts w:ascii="Times New Roman" w:hAnsi="Times New Roman" w:cs="Times New Roman"/>
                            <w:b/>
                          </w:rPr>
                          <w:t>Developer Objective</w:t>
                        </w:r>
                      </w:p>
                    </w:tc>
                    <w:tc>
                      <w:tcPr>
                        <w:tcW w:w="3099" w:type="dxa"/>
                        <w:tcBorders>
                          <w:top w:val="single" w:sz="4" w:space="0" w:color="auto"/>
                          <w:left w:val="nil"/>
                          <w:bottom w:val="single" w:sz="4" w:space="0" w:color="auto"/>
                          <w:right w:val="nil"/>
                        </w:tcBorders>
                        <w:vAlign w:val="center"/>
                      </w:tcPr>
                      <w:p w:rsidR="006A45E8" w:rsidRPr="002B194C" w:rsidRDefault="006A45E8" w:rsidP="002622D4">
                        <w:pPr>
                          <w:jc w:val="center"/>
                          <w:rPr>
                            <w:rFonts w:ascii="Times New Roman" w:hAnsi="Times New Roman" w:cs="Times New Roman"/>
                            <w:b/>
                          </w:rPr>
                        </w:pPr>
                        <w:r w:rsidRPr="002B194C">
                          <w:rPr>
                            <w:rFonts w:ascii="Times New Roman" w:hAnsi="Times New Roman" w:cs="Times New Roman"/>
                            <w:b/>
                          </w:rPr>
                          <w:t>Impact Constraint</w:t>
                        </w:r>
                      </w:p>
                    </w:tc>
                    <w:tc>
                      <w:tcPr>
                        <w:tcW w:w="681" w:type="dxa"/>
                        <w:tcBorders>
                          <w:top w:val="single" w:sz="4" w:space="0" w:color="auto"/>
                          <w:left w:val="nil"/>
                          <w:bottom w:val="single" w:sz="4" w:space="0" w:color="auto"/>
                          <w:right w:val="nil"/>
                        </w:tcBorders>
                        <w:vAlign w:val="center"/>
                      </w:tcPr>
                      <w:p w:rsidR="006A45E8" w:rsidRPr="002B194C" w:rsidRDefault="006A45E8" w:rsidP="002622D4">
                        <w:pPr>
                          <w:jc w:val="center"/>
                          <w:rPr>
                            <w:rFonts w:ascii="Times New Roman" w:hAnsi="Times New Roman" w:cs="Times New Roman"/>
                            <w:b/>
                          </w:rPr>
                        </w:pPr>
                        <w:r w:rsidRPr="002B194C">
                          <w:rPr>
                            <w:rFonts w:ascii="Times New Roman" w:hAnsi="Times New Roman" w:cs="Times New Roman"/>
                            <w:b/>
                          </w:rPr>
                          <w:t>Eq.</w:t>
                        </w:r>
                      </w:p>
                    </w:tc>
                  </w:tr>
                  <w:tr w:rsidR="006A45E8" w:rsidRPr="002B194C" w:rsidTr="00C21E97">
                    <w:tc>
                      <w:tcPr>
                        <w:tcW w:w="2448" w:type="dxa"/>
                        <w:tcBorders>
                          <w:top w:val="single" w:sz="4" w:space="0" w:color="auto"/>
                          <w:left w:val="nil"/>
                          <w:bottom w:val="nil"/>
                          <w:right w:val="nil"/>
                        </w:tcBorders>
                        <w:vAlign w:val="center"/>
                      </w:tcPr>
                      <w:p w:rsidR="006A45E8" w:rsidRPr="009F0A0D" w:rsidRDefault="006A45E8" w:rsidP="002622D4">
                        <w:pPr>
                          <w:rPr>
                            <w:rFonts w:ascii="Times New Roman" w:hAnsi="Times New Roman" w:cs="Times New Roman"/>
                            <w:i/>
                          </w:rPr>
                        </w:pPr>
                        <w:r w:rsidRPr="009F0A0D">
                          <w:rPr>
                            <w:rFonts w:ascii="Times New Roman" w:hAnsi="Times New Roman" w:cs="Times New Roman"/>
                            <w:i/>
                          </w:rPr>
                          <w:t>Uniform Cap without Trading</w:t>
                        </w:r>
                      </w:p>
                    </w:tc>
                    <w:tc>
                      <w:tcPr>
                        <w:tcW w:w="3420" w:type="dxa"/>
                        <w:gridSpan w:val="2"/>
                        <w:tcBorders>
                          <w:top w:val="single" w:sz="4" w:space="0" w:color="auto"/>
                          <w:left w:val="nil"/>
                          <w:bottom w:val="nil"/>
                          <w:right w:val="nil"/>
                        </w:tcBorders>
                        <w:vAlign w:val="center"/>
                      </w:tcPr>
                      <w:p w:rsidR="006A45E8" w:rsidRPr="002B194C" w:rsidRDefault="006A45E8" w:rsidP="002622D4">
                        <w:pPr>
                          <w:jc w:val="center"/>
                          <w:rPr>
                            <w:rFonts w:ascii="Times New Roman" w:hAnsi="Times New Roman" w:cs="Times New Roman"/>
                          </w:rPr>
                        </w:pPr>
                        <m:oMathPara>
                          <m:oMath>
                            <m:func>
                              <m:funcPr>
                                <m:ctrlPr>
                                  <w:rPr>
                                    <w:rFonts w:ascii="Cambria Math" w:hAnsi="Times New Roman" w:cs="Times New Roman"/>
                                    <w:i/>
                                  </w:rPr>
                                </m:ctrlPr>
                              </m:funcPr>
                              <m:fName>
                                <m:limLow>
                                  <m:limLowPr>
                                    <m:ctrlPr>
                                      <w:rPr>
                                        <w:rFonts w:ascii="Cambria Math" w:hAnsi="Times New Roman" w:cs="Times New Roman"/>
                                        <w:i/>
                                      </w:rPr>
                                    </m:ctrlPr>
                                  </m:limLowPr>
                                  <m:e>
                                    <m:r>
                                      <m:rPr>
                                        <m:sty m:val="p"/>
                                      </m:rPr>
                                      <w:rPr>
                                        <w:rFonts w:ascii="Cambria Math" w:hAnsi="Times New Roman" w:cs="Times New Roman"/>
                                      </w:rPr>
                                      <m:t>min</m:t>
                                    </m:r>
                                    <m:ctrlPr>
                                      <w:rPr>
                                        <w:rFonts w:ascii="Cambria Math" w:hAnsi="Times New Roman" w:cs="Times New Roman"/>
                                      </w:rPr>
                                    </m:ctrlPr>
                                  </m:e>
                                  <m:lim>
                                    <m:r>
                                      <w:rPr>
                                        <w:rFonts w:ascii="Cambria Math" w:hAnsi="Cambria Math" w:cs="Times New Roman"/>
                                      </w:rPr>
                                      <m:t>j</m:t>
                                    </m:r>
                                  </m:lim>
                                </m:limLow>
                              </m:fName>
                              <m:e>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i</m:t>
                                    </m:r>
                                  </m:sub>
                                </m:sSub>
                                <m:d>
                                  <m:dPr>
                                    <m:ctrlPr>
                                      <w:rPr>
                                        <w:rFonts w:ascii="Cambria Math" w:hAnsi="Times New Roman" w:cs="Times New Roman"/>
                                        <w:i/>
                                      </w:rPr>
                                    </m:ctrlPr>
                                  </m:dPr>
                                  <m:e>
                                    <m:r>
                                      <w:rPr>
                                        <w:rFonts w:ascii="Cambria Math" w:hAnsi="Cambria Math" w:cs="Times New Roman"/>
                                      </w:rPr>
                                      <m:t>j</m:t>
                                    </m:r>
                                  </m:e>
                                </m:d>
                              </m:e>
                            </m:func>
                          </m:oMath>
                        </m:oMathPara>
                      </w:p>
                    </w:tc>
                    <w:tc>
                      <w:tcPr>
                        <w:tcW w:w="3099" w:type="dxa"/>
                        <w:tcBorders>
                          <w:top w:val="single" w:sz="4" w:space="0" w:color="auto"/>
                          <w:left w:val="nil"/>
                          <w:bottom w:val="nil"/>
                          <w:right w:val="nil"/>
                        </w:tcBorders>
                        <w:vAlign w:val="center"/>
                      </w:tcPr>
                      <w:p w:rsidR="006A45E8" w:rsidRPr="002B194C" w:rsidRDefault="006A45E8" w:rsidP="002622D4">
                        <w:pPr>
                          <w:jc w:val="center"/>
                          <w:rPr>
                            <w:rFonts w:ascii="Times New Roman" w:hAnsi="Times New Roman" w:cs="Times New Roman"/>
                          </w:rPr>
                        </w:pPr>
                        <m:oMathPara>
                          <m:oMath>
                            <m:sSub>
                              <m:sSubPr>
                                <m:ctrlPr>
                                  <w:rPr>
                                    <w:rFonts w:ascii="Cambria Math" w:hAnsi="Times New Roman" w:cs="Times New Roman"/>
                                    <w:i/>
                                  </w:rPr>
                                </m:ctrlPr>
                              </m:sSubPr>
                              <m:e>
                                <m:r>
                                  <w:rPr>
                                    <w:rFonts w:ascii="Cambria Math" w:hAnsi="Cambria Math" w:cs="Times New Roman"/>
                                  </w:rPr>
                                  <m:t>I</m:t>
                                </m:r>
                              </m:e>
                              <m:sub>
                                <m:r>
                                  <w:rPr>
                                    <w:rFonts w:ascii="Cambria Math" w:hAnsi="Cambria Math" w:cs="Times New Roman"/>
                                  </w:rPr>
                                  <m:t>i</m:t>
                                </m:r>
                              </m:sub>
                            </m:sSub>
                            <m:d>
                              <m:dPr>
                                <m:ctrlPr>
                                  <w:rPr>
                                    <w:rFonts w:ascii="Cambria Math" w:hAnsi="Times New Roman" w:cs="Times New Roman"/>
                                    <w:i/>
                                  </w:rPr>
                                </m:ctrlPr>
                              </m:dPr>
                              <m:e>
                                <m:r>
                                  <w:rPr>
                                    <w:rFonts w:ascii="Cambria Math" w:hAnsi="Cambria Math" w:cs="Times New Roman"/>
                                  </w:rPr>
                                  <m:t>j</m:t>
                                </m:r>
                              </m:e>
                            </m:d>
                            <m:r>
                              <w:rPr>
                                <w:rFonts w:ascii="Cambria Math" w:hAnsi="Times New Roman" w:cs="Times New Roman"/>
                              </w:rPr>
                              <m:t>≤</m:t>
                            </m:r>
                            <m:r>
                              <w:rPr>
                                <w:rFonts w:ascii="Cambria Math" w:hAnsi="Cambria Math" w:cs="Times New Roman"/>
                              </w:rPr>
                              <m:t>A ∀i</m:t>
                            </m:r>
                          </m:oMath>
                        </m:oMathPara>
                      </w:p>
                    </w:tc>
                    <w:tc>
                      <w:tcPr>
                        <w:tcW w:w="681" w:type="dxa"/>
                        <w:tcBorders>
                          <w:top w:val="single" w:sz="4" w:space="0" w:color="auto"/>
                          <w:left w:val="nil"/>
                          <w:bottom w:val="nil"/>
                          <w:right w:val="nil"/>
                        </w:tcBorders>
                        <w:vAlign w:val="center"/>
                      </w:tcPr>
                      <w:p w:rsidR="006A45E8" w:rsidRPr="002B194C" w:rsidRDefault="006A45E8" w:rsidP="002622D4">
                        <w:pPr>
                          <w:jc w:val="center"/>
                          <w:rPr>
                            <w:rFonts w:ascii="Times New Roman" w:hAnsi="Times New Roman" w:cs="Times New Roman"/>
                          </w:rPr>
                        </w:pPr>
                        <w:r w:rsidRPr="002B194C">
                          <w:rPr>
                            <w:rFonts w:ascii="Times New Roman" w:hAnsi="Times New Roman" w:cs="Times New Roman"/>
                          </w:rPr>
                          <w:t xml:space="preserve">( </w:t>
                        </w:r>
                        <w:r w:rsidRPr="002B194C">
                          <w:rPr>
                            <w:rFonts w:cs="Times New Roman"/>
                          </w:rPr>
                          <w:fldChar w:fldCharType="begin"/>
                        </w:r>
                        <w:r w:rsidRPr="00C52F8B">
                          <w:rPr>
                            <w:rFonts w:ascii="Times New Roman" w:hAnsi="Times New Roman" w:cs="Times New Roman"/>
                          </w:rPr>
                          <w:instrText xml:space="preserve"> SEQ ( \* ARABIC </w:instrText>
                        </w:r>
                        <w:r w:rsidRPr="002B194C">
                          <w:rPr>
                            <w:rFonts w:cs="Times New Roman"/>
                          </w:rPr>
                          <w:fldChar w:fldCharType="separate"/>
                        </w:r>
                        <w:r>
                          <w:rPr>
                            <w:rFonts w:ascii="Times New Roman" w:hAnsi="Times New Roman" w:cs="Times New Roman"/>
                            <w:noProof/>
                          </w:rPr>
                          <w:t>1</w:t>
                        </w:r>
                        <w:r w:rsidRPr="002B194C">
                          <w:rPr>
                            <w:rFonts w:cs="Times New Roman"/>
                          </w:rPr>
                          <w:fldChar w:fldCharType="end"/>
                        </w:r>
                        <w:r w:rsidRPr="002B194C">
                          <w:rPr>
                            <w:rFonts w:ascii="Times New Roman" w:hAnsi="Times New Roman" w:cs="Times New Roman"/>
                          </w:rPr>
                          <w:t xml:space="preserve"> )</w:t>
                        </w:r>
                      </w:p>
                    </w:tc>
                  </w:tr>
                  <w:tr w:rsidR="006A45E8" w:rsidRPr="002B194C" w:rsidTr="00C21E97">
                    <w:tc>
                      <w:tcPr>
                        <w:tcW w:w="2448" w:type="dxa"/>
                        <w:tcBorders>
                          <w:top w:val="nil"/>
                          <w:left w:val="nil"/>
                          <w:bottom w:val="nil"/>
                          <w:right w:val="nil"/>
                        </w:tcBorders>
                        <w:vAlign w:val="center"/>
                      </w:tcPr>
                      <w:p w:rsidR="006A45E8" w:rsidRPr="009F0A0D" w:rsidRDefault="006A45E8" w:rsidP="00D34FA6">
                        <w:pPr>
                          <w:rPr>
                            <w:rFonts w:ascii="Times New Roman" w:hAnsi="Times New Roman" w:cs="Times New Roman"/>
                            <w:i/>
                          </w:rPr>
                        </w:pPr>
                        <w:r w:rsidRPr="009F0A0D">
                          <w:rPr>
                            <w:rFonts w:ascii="Times New Roman" w:hAnsi="Times New Roman" w:cs="Times New Roman"/>
                            <w:i/>
                          </w:rPr>
                          <w:t>Cap and Trade</w:t>
                        </w:r>
                      </w:p>
                    </w:tc>
                    <w:tc>
                      <w:tcPr>
                        <w:tcW w:w="3420" w:type="dxa"/>
                        <w:gridSpan w:val="2"/>
                        <w:tcBorders>
                          <w:top w:val="nil"/>
                          <w:left w:val="nil"/>
                          <w:bottom w:val="nil"/>
                          <w:right w:val="nil"/>
                        </w:tcBorders>
                        <w:vAlign w:val="center"/>
                      </w:tcPr>
                      <w:p w:rsidR="006A45E8" w:rsidRPr="002B194C" w:rsidRDefault="006A45E8" w:rsidP="00D34FA6">
                        <w:pPr>
                          <w:jc w:val="center"/>
                          <w:rPr>
                            <w:rFonts w:ascii="Times New Roman" w:hAnsi="Times New Roman" w:cs="Times New Roman"/>
                          </w:rPr>
                        </w:pPr>
                        <m:oMathPara>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r>
                                      <w:rPr>
                                        <w:rFonts w:ascii="Cambria Math" w:hAnsi="Cambria Math"/>
                                      </w:rPr>
                                      <m:t>j</m:t>
                                    </m:r>
                                  </m:lim>
                                </m:limLow>
                              </m:fName>
                              <m:e>
                                <m:sSub>
                                  <m:sSubPr>
                                    <m:ctrlPr>
                                      <w:rPr>
                                        <w:rFonts w:ascii="Cambria Math" w:hAnsi="Cambria Math"/>
                                        <w:i/>
                                      </w:rPr>
                                    </m:ctrlPr>
                                  </m:sSubPr>
                                  <m:e>
                                    <m:r>
                                      <w:rPr>
                                        <w:rFonts w:ascii="Cambria Math" w:hAnsi="Cambria Math"/>
                                      </w:rPr>
                                      <m:t>C</m:t>
                                    </m:r>
                                  </m:e>
                                  <m:sub>
                                    <m:r>
                                      <w:rPr>
                                        <w:rFonts w:ascii="Cambria Math" w:hAnsi="Cambria Math"/>
                                      </w:rPr>
                                      <m:t>i</m:t>
                                    </m:r>
                                  </m:sub>
                                </m:sSub>
                                <m:d>
                                  <m:dPr>
                                    <m:ctrlPr>
                                      <w:rPr>
                                        <w:rFonts w:ascii="Cambria Math" w:hAnsi="Cambria Math"/>
                                        <w:i/>
                                      </w:rPr>
                                    </m:ctrlPr>
                                  </m:dPr>
                                  <m:e>
                                    <m:r>
                                      <w:rPr>
                                        <w:rFonts w:ascii="Cambria Math" w:hAnsi="Cambria Math"/>
                                      </w:rPr>
                                      <m:t>j</m:t>
                                    </m:r>
                                  </m:e>
                                </m:d>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j</m:t>
                                        </m:r>
                                      </m:e>
                                    </m:d>
                                    <m:r>
                                      <w:rPr>
                                        <w:rFonts w:ascii="Cambria Math" w:hAnsi="Cambria Math"/>
                                      </w:rPr>
                                      <m:t>-</m:t>
                                    </m:r>
                                    <m:sSub>
                                      <m:sSubPr>
                                        <m:ctrlPr>
                                          <w:rPr>
                                            <w:rFonts w:ascii="Cambria Math" w:hAnsi="Cambria Math"/>
                                            <w:i/>
                                          </w:rPr>
                                        </m:ctrlPr>
                                      </m:sSubPr>
                                      <m:e>
                                        <m:r>
                                          <w:rPr>
                                            <w:rFonts w:ascii="Cambria Math" w:hAnsi="Cambria Math"/>
                                          </w:rPr>
                                          <m:t>α</m:t>
                                        </m:r>
                                        <m:acc>
                                          <m:accPr>
                                            <m:ctrlPr>
                                              <w:rPr>
                                                <w:rFonts w:ascii="Cambria Math" w:hAnsi="Cambria Math"/>
                                                <w:bCs/>
                                                <w:i/>
                                                <w:szCs w:val="18"/>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e>
                                </m:d>
                              </m:e>
                            </m:func>
                          </m:oMath>
                        </m:oMathPara>
                      </w:p>
                    </w:tc>
                    <w:tc>
                      <w:tcPr>
                        <w:tcW w:w="3099" w:type="dxa"/>
                        <w:tcBorders>
                          <w:top w:val="nil"/>
                          <w:left w:val="nil"/>
                          <w:bottom w:val="nil"/>
                          <w:right w:val="nil"/>
                        </w:tcBorders>
                        <w:vAlign w:val="center"/>
                      </w:tcPr>
                      <w:p w:rsidR="006A45E8" w:rsidRPr="002B194C" w:rsidRDefault="006A45E8" w:rsidP="00D34FA6">
                        <w:pPr>
                          <w:jc w:val="center"/>
                          <w:rPr>
                            <w:rFonts w:ascii="Times New Roman" w:hAnsi="Times New Roman" w:cs="Times New Roman"/>
                          </w:rPr>
                        </w:pPr>
                        <m:oMathPara>
                          <m:oMath>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j</m:t>
                                </m:r>
                              </m:e>
                            </m:d>
                            <m:r>
                              <w:rPr>
                                <w:rFonts w:ascii="Cambria Math" w:hAnsi="Cambria Math"/>
                              </w:rPr>
                              <m:t>-</m:t>
                            </m:r>
                            <m:func>
                              <m:funcPr>
                                <m:ctrlPr>
                                  <w:rPr>
                                    <w:rFonts w:ascii="Cambria Math" w:hAnsi="Cambria Math"/>
                                    <w:i/>
                                  </w:rPr>
                                </m:ctrlPr>
                              </m:funcPr>
                              <m:fName>
                                <m:r>
                                  <m:rPr>
                                    <m:sty m:val="p"/>
                                  </m:rPr>
                                  <w:rPr>
                                    <w:rFonts w:ascii="Cambria Math" w:hAnsi="Cambria Math"/>
                                  </w:rPr>
                                  <m:t>max</m:t>
                                </m:r>
                              </m:fName>
                              <m:e>
                                <m:d>
                                  <m:dPr>
                                    <m:ctrlPr>
                                      <w:rPr>
                                        <w:rFonts w:ascii="Cambria Math" w:hAnsi="Cambria Math"/>
                                        <w:i/>
                                      </w:rPr>
                                    </m:ctrlPr>
                                  </m:dPr>
                                  <m:e>
                                    <m:r>
                                      <w:rPr>
                                        <w:rFonts w:ascii="Cambria Math" w:hAnsi="Cambria Math"/>
                                      </w:rPr>
                                      <m:t>0,</m:t>
                                    </m:r>
                                    <m:sSub>
                                      <m:sSubPr>
                                        <m:ctrlPr>
                                          <w:rPr>
                                            <w:rFonts w:ascii="Cambria Math" w:hAnsi="Cambria Math"/>
                                          </w:rPr>
                                        </m:ctrlPr>
                                      </m:sSubPr>
                                      <m:e>
                                        <m:r>
                                          <m:rPr>
                                            <m:sty m:val="p"/>
                                          </m:rPr>
                                          <w:rPr>
                                            <w:rFonts w:ascii="Cambria Math" w:hAnsi="Cambria Math"/>
                                          </w:rPr>
                                          <m:t>Φ</m:t>
                                        </m:r>
                                      </m:e>
                                      <m:sub>
                                        <m:r>
                                          <m:rPr>
                                            <m:sty m:val="p"/>
                                          </m:rPr>
                                          <w:rPr>
                                            <w:rFonts w:ascii="Cambria Math" w:hAnsi="Cambria Math"/>
                                          </w:rPr>
                                          <m:t>i</m:t>
                                        </m:r>
                                      </m:sub>
                                    </m:sSub>
                                  </m:e>
                                </m:d>
                              </m:e>
                            </m:func>
                            <m:r>
                              <w:rPr>
                                <w:rFonts w:ascii="Cambria Math" w:hAnsi="Cambria Math"/>
                              </w:rPr>
                              <m:t>≤</m:t>
                            </m:r>
                            <m:sSub>
                              <m:sSubPr>
                                <m:ctrlPr>
                                  <w:rPr>
                                    <w:rFonts w:ascii="Cambria Math" w:hAnsi="Cambria Math"/>
                                    <w:i/>
                                  </w:rPr>
                                </m:ctrlPr>
                              </m:sSubPr>
                              <m:e>
                                <m:r>
                                  <w:rPr>
                                    <w:rFonts w:ascii="Cambria Math" w:hAnsi="Cambria Math"/>
                                  </w:rPr>
                                  <m:t>α</m:t>
                                </m:r>
                                <m:acc>
                                  <m:accPr>
                                    <m:ctrlPr>
                                      <w:rPr>
                                        <w:rFonts w:ascii="Cambria Math" w:hAnsi="Cambria Math"/>
                                        <w:bCs/>
                                        <w:i/>
                                        <w:szCs w:val="18"/>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oMath>
                        </m:oMathPara>
                      </w:p>
                    </w:tc>
                    <w:tc>
                      <w:tcPr>
                        <w:tcW w:w="681" w:type="dxa"/>
                        <w:tcBorders>
                          <w:top w:val="nil"/>
                          <w:left w:val="nil"/>
                          <w:bottom w:val="nil"/>
                          <w:right w:val="nil"/>
                        </w:tcBorders>
                        <w:vAlign w:val="center"/>
                      </w:tcPr>
                      <w:p w:rsidR="006A45E8" w:rsidRPr="002B194C" w:rsidRDefault="006A45E8" w:rsidP="00D34FA6">
                        <w:pPr>
                          <w:jc w:val="center"/>
                          <w:rPr>
                            <w:rFonts w:ascii="Times New Roman" w:hAnsi="Times New Roman" w:cs="Times New Roman"/>
                          </w:rPr>
                        </w:pPr>
                        <w:r w:rsidRPr="002B194C">
                          <w:rPr>
                            <w:rFonts w:ascii="Times New Roman" w:hAnsi="Times New Roman" w:cs="Times New Roman"/>
                          </w:rPr>
                          <w:t xml:space="preserve">( </w:t>
                        </w:r>
                        <w:r w:rsidRPr="002B194C">
                          <w:rPr>
                            <w:rFonts w:cs="Times New Roman"/>
                          </w:rPr>
                          <w:fldChar w:fldCharType="begin"/>
                        </w:r>
                        <w:r w:rsidRPr="00C21E97">
                          <w:rPr>
                            <w:rFonts w:ascii="Times New Roman" w:hAnsi="Times New Roman" w:cs="Times New Roman"/>
                          </w:rPr>
                          <w:instrText xml:space="preserve"> SEQ ( \* ARABIC </w:instrText>
                        </w:r>
                        <w:r w:rsidRPr="002B194C">
                          <w:rPr>
                            <w:rFonts w:cs="Times New Roman"/>
                          </w:rPr>
                          <w:fldChar w:fldCharType="separate"/>
                        </w:r>
                        <w:r>
                          <w:rPr>
                            <w:rFonts w:ascii="Times New Roman" w:hAnsi="Times New Roman" w:cs="Times New Roman"/>
                            <w:noProof/>
                          </w:rPr>
                          <w:t>2</w:t>
                        </w:r>
                        <w:r w:rsidRPr="002B194C">
                          <w:rPr>
                            <w:rFonts w:cs="Times New Roman"/>
                          </w:rPr>
                          <w:fldChar w:fldCharType="end"/>
                        </w:r>
                        <w:r w:rsidRPr="002B194C">
                          <w:rPr>
                            <w:rFonts w:ascii="Times New Roman" w:hAnsi="Times New Roman" w:cs="Times New Roman"/>
                          </w:rPr>
                          <w:t xml:space="preserve"> )</w:t>
                        </w:r>
                      </w:p>
                    </w:tc>
                  </w:tr>
                  <w:tr w:rsidR="006A45E8" w:rsidRPr="002B194C" w:rsidTr="006858A9">
                    <w:tc>
                      <w:tcPr>
                        <w:tcW w:w="2448" w:type="dxa"/>
                        <w:tcBorders>
                          <w:top w:val="nil"/>
                          <w:left w:val="nil"/>
                          <w:bottom w:val="nil"/>
                          <w:right w:val="nil"/>
                        </w:tcBorders>
                        <w:vAlign w:val="center"/>
                      </w:tcPr>
                      <w:p w:rsidR="006A45E8" w:rsidRPr="009F0A0D" w:rsidRDefault="006A45E8" w:rsidP="002622D4">
                        <w:pPr>
                          <w:rPr>
                            <w:rFonts w:ascii="Times New Roman" w:hAnsi="Times New Roman" w:cs="Times New Roman"/>
                            <w:i/>
                          </w:rPr>
                        </w:pPr>
                        <w:r w:rsidRPr="009F0A0D">
                          <w:rPr>
                            <w:rFonts w:ascii="Times New Roman" w:hAnsi="Times New Roman" w:cs="Times New Roman"/>
                            <w:i/>
                          </w:rPr>
                          <w:t>Omniscient Social Planner</w:t>
                        </w:r>
                      </w:p>
                    </w:tc>
                    <w:tc>
                      <w:tcPr>
                        <w:tcW w:w="3420" w:type="dxa"/>
                        <w:gridSpan w:val="2"/>
                        <w:tcBorders>
                          <w:top w:val="nil"/>
                          <w:left w:val="nil"/>
                          <w:bottom w:val="nil"/>
                          <w:right w:val="nil"/>
                        </w:tcBorders>
                        <w:vAlign w:val="center"/>
                      </w:tcPr>
                      <w:p w:rsidR="006A45E8" w:rsidRPr="002B194C" w:rsidRDefault="006A45E8" w:rsidP="002622D4">
                        <w:pPr>
                          <w:jc w:val="center"/>
                          <w:rPr>
                            <w:rFonts w:ascii="Times New Roman" w:hAnsi="Times New Roman" w:cs="Times New Roman"/>
                          </w:rPr>
                        </w:pPr>
                        <m:oMathPara>
                          <m:oMath>
                            <m:func>
                              <m:funcPr>
                                <m:ctrlPr>
                                  <w:rPr>
                                    <w:rFonts w:ascii="Cambria Math" w:hAnsi="Times New Roman" w:cs="Times New Roman"/>
                                    <w:i/>
                                  </w:rPr>
                                </m:ctrlPr>
                              </m:funcPr>
                              <m:fName>
                                <m:limLow>
                                  <m:limLowPr>
                                    <m:ctrlPr>
                                      <w:rPr>
                                        <w:rFonts w:ascii="Cambria Math" w:hAnsi="Times New Roman" w:cs="Times New Roman"/>
                                        <w:i/>
                                      </w:rPr>
                                    </m:ctrlPr>
                                  </m:limLowPr>
                                  <m:e>
                                    <m:r>
                                      <m:rPr>
                                        <m:sty m:val="p"/>
                                      </m:rPr>
                                      <w:rPr>
                                        <w:rFonts w:ascii="Cambria Math" w:hAnsi="Times New Roman" w:cs="Times New Roman"/>
                                      </w:rPr>
                                      <m:t>min</m:t>
                                    </m:r>
                                  </m:e>
                                  <m:lim>
                                    <m:r>
                                      <w:rPr>
                                        <w:rFonts w:ascii="Cambria Math" w:hAnsi="Cambria Math" w:cs="Times New Roman"/>
                                      </w:rPr>
                                      <m:t>j∈</m:t>
                                    </m:r>
                                    <m:sSub>
                                      <m:sSubPr>
                                        <m:ctrlPr>
                                          <w:rPr>
                                            <w:rFonts w:ascii="Cambria Math" w:hAnsi="Times New Roman" w:cs="Times New Roman"/>
                                            <w:i/>
                                          </w:rPr>
                                        </m:ctrlPr>
                                      </m:sSubPr>
                                      <m:e>
                                        <m:r>
                                          <w:rPr>
                                            <w:rFonts w:ascii="Cambria Math" w:hAnsi="Cambria Math" w:cs="Times New Roman"/>
                                          </w:rPr>
                                          <m:t>J</m:t>
                                        </m:r>
                                      </m:e>
                                      <m:sub>
                                        <m:r>
                                          <w:rPr>
                                            <w:rFonts w:ascii="Cambria Math" w:hAnsi="Cambria Math" w:cs="Times New Roman"/>
                                          </w:rPr>
                                          <m:t>i</m:t>
                                        </m:r>
                                      </m:sub>
                                    </m:sSub>
                                    <m:r>
                                      <w:rPr>
                                        <w:rFonts w:ascii="Cambria Math" w:hAnsi="Cambria Math" w:cs="Times New Roman"/>
                                      </w:rPr>
                                      <m:t>∈</m:t>
                                    </m:r>
                                    <m:r>
                                      <m:rPr>
                                        <m:sty m:val="bi"/>
                                      </m:rPr>
                                      <w:rPr>
                                        <w:rFonts w:ascii="Cambria Math" w:hAnsi="Cambria Math" w:cs="Times New Roman"/>
                                      </w:rPr>
                                      <m:t>J</m:t>
                                    </m:r>
                                  </m:lim>
                                </m:limLow>
                              </m:fName>
                              <m:e>
                                <m:nary>
                                  <m:naryPr>
                                    <m:chr m:val="∑"/>
                                    <m:limLoc m:val="undOvr"/>
                                    <m:supHide m:val="on"/>
                                    <m:ctrlPr>
                                      <w:rPr>
                                        <w:rFonts w:ascii="Cambria Math" w:hAnsi="Times New Roman" w:cs="Times New Roman"/>
                                        <w:i/>
                                      </w:rPr>
                                    </m:ctrlPr>
                                  </m:naryPr>
                                  <m:sub>
                                    <m:r>
                                      <w:rPr>
                                        <w:rFonts w:ascii="Cambria Math" w:hAnsi="Cambria Math" w:cs="Times New Roman"/>
                                      </w:rPr>
                                      <m:t>∀i</m:t>
                                    </m:r>
                                  </m:sub>
                                  <m:sup/>
                                  <m:e>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i</m:t>
                                        </m:r>
                                      </m:sub>
                                    </m:sSub>
                                    <m:d>
                                      <m:dPr>
                                        <m:ctrlPr>
                                          <w:rPr>
                                            <w:rFonts w:ascii="Cambria Math" w:hAnsi="Times New Roman" w:cs="Times New Roman"/>
                                            <w:i/>
                                          </w:rPr>
                                        </m:ctrlPr>
                                      </m:dPr>
                                      <m:e>
                                        <m:r>
                                          <w:rPr>
                                            <w:rFonts w:ascii="Cambria Math" w:hAnsi="Cambria Math" w:cs="Times New Roman"/>
                                          </w:rPr>
                                          <m:t>j</m:t>
                                        </m:r>
                                      </m:e>
                                    </m:d>
                                  </m:e>
                                </m:nary>
                              </m:e>
                            </m:func>
                          </m:oMath>
                        </m:oMathPara>
                      </w:p>
                    </w:tc>
                    <w:tc>
                      <w:tcPr>
                        <w:tcW w:w="3099" w:type="dxa"/>
                        <w:tcBorders>
                          <w:top w:val="nil"/>
                          <w:left w:val="nil"/>
                          <w:bottom w:val="nil"/>
                          <w:right w:val="nil"/>
                        </w:tcBorders>
                        <w:vAlign w:val="center"/>
                      </w:tcPr>
                      <w:p w:rsidR="006A45E8" w:rsidRPr="002B194C" w:rsidRDefault="006A45E8" w:rsidP="002622D4">
                        <w:pPr>
                          <w:jc w:val="center"/>
                          <w:rPr>
                            <w:rFonts w:ascii="Times New Roman" w:hAnsi="Times New Roman" w:cs="Times New Roman"/>
                          </w:rPr>
                        </w:pPr>
                        <m:oMathPara>
                          <m:oMath>
                            <m:nary>
                              <m:naryPr>
                                <m:chr m:val="∑"/>
                                <m:limLoc m:val="undOvr"/>
                                <m:supHide m:val="on"/>
                                <m:ctrlPr>
                                  <w:rPr>
                                    <w:rFonts w:ascii="Cambria Math" w:eastAsiaTheme="minorEastAsia" w:hAnsi="Times New Roman" w:cs="Times New Roman"/>
                                    <w:i/>
                                  </w:rPr>
                                </m:ctrlPr>
                              </m:naryPr>
                              <m:sub>
                                <m:r>
                                  <w:rPr>
                                    <w:rFonts w:ascii="Cambria Math" w:hAnsi="Cambria Math" w:cs="Times New Roman"/>
                                  </w:rPr>
                                  <m:t>∀i</m:t>
                                </m:r>
                              </m:sub>
                              <m:sup/>
                              <m:e>
                                <m:sSub>
                                  <m:sSubPr>
                                    <m:ctrlPr>
                                      <w:rPr>
                                        <w:rFonts w:ascii="Cambria Math" w:eastAsiaTheme="minorEastAsia" w:hAnsi="Times New Roman" w:cs="Times New Roman"/>
                                        <w:i/>
                                      </w:rPr>
                                    </m:ctrlPr>
                                  </m:sSubPr>
                                  <m:e>
                                    <m:r>
                                      <w:rPr>
                                        <w:rFonts w:ascii="Cambria Math" w:eastAsiaTheme="minorEastAsia" w:hAnsi="Cambria Math" w:cs="Times New Roman"/>
                                      </w:rPr>
                                      <m:t>I</m:t>
                                    </m:r>
                                  </m:e>
                                  <m:sub>
                                    <m:r>
                                      <w:rPr>
                                        <w:rFonts w:ascii="Cambria Math" w:eastAsiaTheme="minorEastAsia" w:hAnsi="Cambria Math" w:cs="Times New Roman"/>
                                      </w:rPr>
                                      <m:t>i</m:t>
                                    </m:r>
                                  </m:sub>
                                </m:sSub>
                                <m:d>
                                  <m:dPr>
                                    <m:ctrlPr>
                                      <w:rPr>
                                        <w:rFonts w:ascii="Cambria Math" w:eastAsiaTheme="minorEastAsia" w:hAnsi="Times New Roman" w:cs="Times New Roman"/>
                                        <w:i/>
                                      </w:rPr>
                                    </m:ctrlPr>
                                  </m:dPr>
                                  <m:e>
                                    <m:r>
                                      <w:rPr>
                                        <w:rFonts w:ascii="Cambria Math" w:eastAsiaTheme="minorEastAsia" w:hAnsi="Cambria Math" w:cs="Times New Roman"/>
                                      </w:rPr>
                                      <m:t>j</m:t>
                                    </m:r>
                                  </m:e>
                                </m:d>
                              </m:e>
                            </m:nary>
                            <m:r>
                              <w:rPr>
                                <w:rFonts w:ascii="Cambria Math" w:eastAsiaTheme="minorEastAsia" w:hAnsi="Times New Roman" w:cs="Times New Roman"/>
                              </w:rPr>
                              <m:t>≤</m:t>
                            </m:r>
                            <m:r>
                              <w:rPr>
                                <w:rFonts w:ascii="Cambria Math" w:eastAsiaTheme="minorEastAsia" w:hAnsi="Cambria Math" w:cs="Times New Roman"/>
                              </w:rPr>
                              <m:t>α</m:t>
                            </m:r>
                            <m:nary>
                              <m:naryPr>
                                <m:chr m:val="∑"/>
                                <m:limLoc m:val="undOvr"/>
                                <m:supHide m:val="on"/>
                                <m:ctrlPr>
                                  <w:rPr>
                                    <w:rFonts w:ascii="Cambria Math" w:eastAsiaTheme="minorEastAsia" w:hAnsi="Times New Roman" w:cs="Times New Roman"/>
                                    <w:i/>
                                  </w:rPr>
                                </m:ctrlPr>
                              </m:naryPr>
                              <m:sub>
                                <m:r>
                                  <w:rPr>
                                    <w:rFonts w:ascii="Cambria Math" w:hAnsi="Cambria Math" w:cs="Times New Roman"/>
                                  </w:rPr>
                                  <m:t>∀i</m:t>
                                </m:r>
                              </m:sub>
                              <m:sup/>
                              <m:e>
                                <m:sSub>
                                  <m:sSubPr>
                                    <m:ctrlPr>
                                      <w:rPr>
                                        <w:rFonts w:ascii="Cambria Math" w:eastAsiaTheme="minorEastAsia" w:hAnsi="Times New Roman" w:cs="Times New Roman"/>
                                        <w:i/>
                                      </w:rPr>
                                    </m:ctrlPr>
                                  </m:sSubPr>
                                  <m:e>
                                    <m:r>
                                      <w:rPr>
                                        <w:rFonts w:ascii="Cambria Math" w:eastAsiaTheme="minorEastAsia" w:hAnsi="Cambria Math" w:cs="Times New Roman"/>
                                      </w:rPr>
                                      <m:t>I</m:t>
                                    </m:r>
                                  </m:e>
                                  <m:sub>
                                    <m:r>
                                      <w:rPr>
                                        <w:rFonts w:ascii="Cambria Math" w:eastAsiaTheme="minorEastAsia" w:hAnsi="Cambria Math" w:cs="Times New Roman"/>
                                      </w:rPr>
                                      <m:t>i</m:t>
                                    </m:r>
                                  </m:sub>
                                </m:sSub>
                                <m:d>
                                  <m:dPr>
                                    <m:ctrlPr>
                                      <w:rPr>
                                        <w:rFonts w:ascii="Cambria Math" w:eastAsiaTheme="minorEastAsia" w:hAnsi="Times New Roman" w:cs="Times New Roman"/>
                                        <w:i/>
                                      </w:rPr>
                                    </m:ctrlPr>
                                  </m:dPr>
                                  <m:e>
                                    <m:r>
                                      <w:rPr>
                                        <w:rFonts w:ascii="Cambria Math" w:eastAsiaTheme="minorEastAsia" w:hAnsi="Times New Roman" w:cs="Times New Roman"/>
                                      </w:rPr>
                                      <m:t>0</m:t>
                                    </m:r>
                                  </m:e>
                                </m:d>
                              </m:e>
                            </m:nary>
                          </m:oMath>
                        </m:oMathPara>
                      </w:p>
                    </w:tc>
                    <w:tc>
                      <w:tcPr>
                        <w:tcW w:w="681" w:type="dxa"/>
                        <w:tcBorders>
                          <w:top w:val="nil"/>
                          <w:left w:val="nil"/>
                          <w:bottom w:val="nil"/>
                          <w:right w:val="nil"/>
                        </w:tcBorders>
                        <w:vAlign w:val="center"/>
                      </w:tcPr>
                      <w:p w:rsidR="006A45E8" w:rsidRPr="002B194C" w:rsidRDefault="006A45E8" w:rsidP="002622D4">
                        <w:pPr>
                          <w:jc w:val="center"/>
                          <w:rPr>
                            <w:rFonts w:ascii="Times New Roman" w:hAnsi="Times New Roman" w:cs="Times New Roman"/>
                          </w:rPr>
                        </w:pPr>
                        <w:bookmarkStart w:id="240" w:name="_Ref416961243"/>
                        <w:r w:rsidRPr="002B194C">
                          <w:rPr>
                            <w:rFonts w:ascii="Times New Roman" w:hAnsi="Times New Roman" w:cs="Times New Roman"/>
                          </w:rPr>
                          <w:t xml:space="preserve">( </w:t>
                        </w:r>
                        <w:r w:rsidRPr="002B194C">
                          <w:rPr>
                            <w:rFonts w:cs="Times New Roman"/>
                          </w:rPr>
                          <w:fldChar w:fldCharType="begin"/>
                        </w:r>
                        <w:r w:rsidRPr="006858A9">
                          <w:rPr>
                            <w:rFonts w:ascii="Times New Roman" w:hAnsi="Times New Roman" w:cs="Times New Roman"/>
                          </w:rPr>
                          <w:instrText xml:space="preserve"> SEQ ( \* ARABIC </w:instrText>
                        </w:r>
                        <w:r w:rsidRPr="002B194C">
                          <w:rPr>
                            <w:rFonts w:cs="Times New Roman"/>
                          </w:rPr>
                          <w:fldChar w:fldCharType="separate"/>
                        </w:r>
                        <w:r>
                          <w:rPr>
                            <w:rFonts w:ascii="Times New Roman" w:hAnsi="Times New Roman" w:cs="Times New Roman"/>
                            <w:noProof/>
                          </w:rPr>
                          <w:t>3</w:t>
                        </w:r>
                        <w:r w:rsidRPr="002B194C">
                          <w:rPr>
                            <w:rFonts w:cs="Times New Roman"/>
                          </w:rPr>
                          <w:fldChar w:fldCharType="end"/>
                        </w:r>
                        <w:r w:rsidRPr="002B194C">
                          <w:rPr>
                            <w:rFonts w:ascii="Times New Roman" w:hAnsi="Times New Roman" w:cs="Times New Roman"/>
                          </w:rPr>
                          <w:t xml:space="preserve"> )</w:t>
                        </w:r>
                        <w:bookmarkEnd w:id="240"/>
                      </w:p>
                    </w:tc>
                  </w:tr>
                  <w:tr w:rsidR="006A45E8" w:rsidRPr="002B194C" w:rsidTr="002622D4">
                    <w:tc>
                      <w:tcPr>
                        <w:tcW w:w="4824" w:type="dxa"/>
                        <w:gridSpan w:val="2"/>
                        <w:tcBorders>
                          <w:top w:val="single" w:sz="4" w:space="0" w:color="auto"/>
                          <w:left w:val="nil"/>
                          <w:bottom w:val="nil"/>
                          <w:right w:val="nil"/>
                        </w:tcBorders>
                      </w:tcPr>
                      <w:p w:rsidR="006A45E8" w:rsidRDefault="006A45E8" w:rsidP="002622D4">
                        <w:pPr>
                          <w:rPr>
                            <w:rFonts w:ascii="Times New Roman" w:eastAsiaTheme="minorEastAsia" w:hAnsi="Times New Roman" w:cs="Times New Roman"/>
                            <w:sz w:val="20"/>
                            <w:szCs w:val="20"/>
                          </w:rPr>
                        </w:pPr>
                        <m:oMath>
                          <m:r>
                            <w:rPr>
                              <w:rFonts w:ascii="Cambria Math" w:hAnsi="Cambria Math" w:cs="Times New Roman"/>
                              <w:sz w:val="20"/>
                              <w:szCs w:val="20"/>
                            </w:rPr>
                            <m:t>i</m:t>
                          </m:r>
                        </m:oMath>
                        <w:r w:rsidRPr="00695D17">
                          <w:rPr>
                            <w:rFonts w:ascii="Times New Roman" w:eastAsiaTheme="minorEastAsia" w:hAnsi="Times New Roman" w:cs="Times New Roman"/>
                            <w:sz w:val="20"/>
                            <w:szCs w:val="20"/>
                          </w:rPr>
                          <w:t xml:space="preserve"> = site/developer index</w:t>
                        </w:r>
                      </w:p>
                      <w:p w:rsidR="006A45E8" w:rsidRDefault="006A45E8" w:rsidP="002622D4">
                        <w:pPr>
                          <w:rPr>
                            <w:rFonts w:ascii="Times New Roman" w:hAnsi="Times New Roman" w:cs="Times New Roman"/>
                            <w:sz w:val="20"/>
                            <w:szCs w:val="20"/>
                          </w:rPr>
                        </w:pPr>
                        <m:oMath>
                          <m:r>
                            <w:rPr>
                              <w:rFonts w:ascii="Cambria Math" w:hAnsi="Cambria Math" w:cs="Times New Roman"/>
                              <w:sz w:val="20"/>
                              <w:szCs w:val="20"/>
                            </w:rPr>
                            <m:t>j</m:t>
                          </m:r>
                        </m:oMath>
                        <w:r w:rsidRPr="00695D17">
                          <w:rPr>
                            <w:rFonts w:ascii="Times New Roman" w:hAnsi="Times New Roman" w:cs="Times New Roman"/>
                            <w:sz w:val="20"/>
                            <w:szCs w:val="20"/>
                          </w:rPr>
                          <w:t xml:space="preserve"> = layout index</w:t>
                        </w:r>
                      </w:p>
                      <w:p w:rsidR="006A45E8" w:rsidRPr="00695D17" w:rsidRDefault="006A45E8" w:rsidP="002622D4">
                        <w:pPr>
                          <w:pStyle w:val="NoSpacing"/>
                        </w:pPr>
                        <m:oMath>
                          <m:sSub>
                            <m:sSubPr>
                              <m:ctrlPr>
                                <w:rPr>
                                  <w:rFonts w:ascii="Cambria Math" w:eastAsiaTheme="minorEastAsia" w:hAnsi="Cambria Math"/>
                                  <w:i/>
                                  <w:sz w:val="20"/>
                                  <w:szCs w:val="20"/>
                                </w:rPr>
                              </m:ctrlPr>
                            </m:sSubPr>
                            <m:e>
                              <m:r>
                                <w:rPr>
                                  <w:rFonts w:ascii="Cambria Math" w:eastAsiaTheme="minorEastAsia" w:hAnsi="Cambria Math"/>
                                  <w:sz w:val="20"/>
                                  <w:szCs w:val="20"/>
                                </w:rPr>
                                <m:t>J</m:t>
                              </m:r>
                            </m:e>
                            <m:sub>
                              <m:r>
                                <w:rPr>
                                  <w:rFonts w:ascii="Cambria Math" w:eastAsiaTheme="minorEastAsia" w:hAnsi="Cambria Math"/>
                                  <w:sz w:val="20"/>
                                  <w:szCs w:val="20"/>
                                </w:rPr>
                                <m:t>i</m:t>
                              </m:r>
                            </m:sub>
                          </m:sSub>
                        </m:oMath>
                        <w:r w:rsidRPr="00695D17">
                          <w:rPr>
                            <w:rFonts w:eastAsiaTheme="minorEastAsia"/>
                            <w:sz w:val="20"/>
                            <w:szCs w:val="20"/>
                          </w:rPr>
                          <w:t xml:space="preserve"> = set of layouts at site </w:t>
                        </w:r>
                        <m:oMath>
                          <m:r>
                            <w:rPr>
                              <w:rFonts w:ascii="Cambria Math" w:eastAsiaTheme="minorEastAsia" w:hAnsi="Cambria Math"/>
                              <w:sz w:val="20"/>
                              <w:szCs w:val="20"/>
                            </w:rPr>
                            <m:t>i</m:t>
                          </m:r>
                        </m:oMath>
                      </w:p>
                      <w:p w:rsidR="006A45E8" w:rsidRPr="00695D17" w:rsidRDefault="006A45E8" w:rsidP="002622D4">
                        <w:pPr>
                          <w:pStyle w:val="NoSpacing"/>
                          <w:rPr>
                            <w:rFonts w:eastAsiaTheme="minorEastAsia"/>
                            <w:sz w:val="20"/>
                            <w:szCs w:val="20"/>
                          </w:rPr>
                        </w:pPr>
                        <m:oMath>
                          <m:r>
                            <m:rPr>
                              <m:sty m:val="bi"/>
                            </m:rPr>
                            <w:rPr>
                              <w:rFonts w:ascii="Cambria Math" w:eastAsiaTheme="minorEastAsia" w:hAnsi="Cambria Math"/>
                              <w:sz w:val="20"/>
                              <w:szCs w:val="20"/>
                            </w:rPr>
                            <m:t>J</m:t>
                          </m:r>
                        </m:oMath>
                        <w:r>
                          <w:rPr>
                            <w:rFonts w:eastAsiaTheme="minorEastAsia"/>
                            <w:sz w:val="20"/>
                            <w:szCs w:val="20"/>
                          </w:rPr>
                          <w:t xml:space="preserve"> = set of all layouts</w:t>
                        </w:r>
                      </w:p>
                      <w:p w:rsidR="006A45E8" w:rsidRPr="00695D17" w:rsidRDefault="006A45E8" w:rsidP="002622D4">
                        <w:pPr>
                          <w:pStyle w:val="NoSpacing"/>
                          <w:rPr>
                            <w:rFonts w:eastAsiaTheme="minorEastAsia"/>
                            <w:sz w:val="20"/>
                            <w:szCs w:val="20"/>
                          </w:rPr>
                        </w:pP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i</m:t>
                              </m:r>
                            </m:sub>
                          </m:sSub>
                          <m:d>
                            <m:dPr>
                              <m:ctrlPr>
                                <w:rPr>
                                  <w:rFonts w:ascii="Cambria Math" w:hAnsi="Cambria Math"/>
                                  <w:i/>
                                  <w:sz w:val="20"/>
                                  <w:szCs w:val="20"/>
                                </w:rPr>
                              </m:ctrlPr>
                            </m:dPr>
                            <m:e>
                              <m:r>
                                <w:rPr>
                                  <w:rFonts w:ascii="Cambria Math" w:hAnsi="Cambria Math"/>
                                  <w:sz w:val="20"/>
                                  <w:szCs w:val="20"/>
                                </w:rPr>
                                <m:t>j</m:t>
                              </m:r>
                            </m:e>
                          </m:d>
                        </m:oMath>
                        <w:r>
                          <w:rPr>
                            <w:rFonts w:eastAsiaTheme="minorEastAsia"/>
                            <w:sz w:val="20"/>
                            <w:szCs w:val="20"/>
                          </w:rPr>
                          <w:t xml:space="preserve"> = cost of developing layout </w:t>
                        </w:r>
                        <m:oMath>
                          <m:r>
                            <w:rPr>
                              <w:rFonts w:ascii="Cambria Math" w:eastAsiaTheme="minorEastAsia" w:hAnsi="Cambria Math"/>
                              <w:sz w:val="20"/>
                              <w:szCs w:val="20"/>
                            </w:rPr>
                            <m:t>j</m:t>
                          </m:r>
                        </m:oMath>
                        <w:r>
                          <w:rPr>
                            <w:rFonts w:eastAsiaTheme="minorEastAsia"/>
                            <w:sz w:val="20"/>
                            <w:szCs w:val="20"/>
                          </w:rPr>
                          <w:t xml:space="preserve"> at site </w:t>
                        </w:r>
                        <m:oMath>
                          <m:r>
                            <w:rPr>
                              <w:rFonts w:ascii="Cambria Math" w:eastAsiaTheme="minorEastAsia" w:hAnsi="Cambria Math"/>
                              <w:sz w:val="20"/>
                              <w:szCs w:val="20"/>
                            </w:rPr>
                            <m:t>i</m:t>
                          </m:r>
                        </m:oMath>
                      </w:p>
                      <w:p w:rsidR="006A45E8" w:rsidRPr="00A74E5E" w:rsidRDefault="006A45E8" w:rsidP="002622D4">
                        <w:pPr>
                          <w:pStyle w:val="NoSpacing"/>
                          <w:rPr>
                            <w:rFonts w:eastAsiaTheme="minorEastAsia"/>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I</m:t>
                              </m:r>
                            </m:e>
                            <m:sub>
                              <m:r>
                                <w:rPr>
                                  <w:rFonts w:ascii="Cambria Math" w:eastAsiaTheme="minorEastAsia" w:hAnsi="Cambria Math"/>
                                  <w:sz w:val="20"/>
                                  <w:szCs w:val="20"/>
                                </w:rPr>
                                <m:t>i</m:t>
                              </m:r>
                            </m:sub>
                          </m:sSub>
                          <m:d>
                            <m:dPr>
                              <m:ctrlPr>
                                <w:rPr>
                                  <w:rFonts w:ascii="Cambria Math" w:eastAsiaTheme="minorEastAsia" w:hAnsi="Cambria Math"/>
                                  <w:i/>
                                  <w:sz w:val="20"/>
                                  <w:szCs w:val="20"/>
                                </w:rPr>
                              </m:ctrlPr>
                            </m:dPr>
                            <m:e>
                              <m:r>
                                <w:rPr>
                                  <w:rFonts w:ascii="Cambria Math" w:eastAsiaTheme="minorEastAsia" w:hAnsi="Cambria Math"/>
                                  <w:sz w:val="20"/>
                                  <w:szCs w:val="20"/>
                                </w:rPr>
                                <m:t>j</m:t>
                              </m:r>
                            </m:e>
                          </m:d>
                        </m:oMath>
                        <w:r w:rsidRPr="00695D17">
                          <w:rPr>
                            <w:rFonts w:eastAsiaTheme="minorEastAsia"/>
                            <w:sz w:val="20"/>
                            <w:szCs w:val="20"/>
                          </w:rPr>
                          <w:t xml:space="preserve"> = impact of </w:t>
                        </w:r>
                        <w:r>
                          <w:rPr>
                            <w:rFonts w:eastAsiaTheme="minorEastAsia"/>
                            <w:sz w:val="20"/>
                            <w:szCs w:val="20"/>
                          </w:rPr>
                          <w:t xml:space="preserve">developing layout </w:t>
                        </w:r>
                        <m:oMath>
                          <m:r>
                            <w:rPr>
                              <w:rFonts w:ascii="Cambria Math" w:eastAsiaTheme="minorEastAsia" w:hAnsi="Cambria Math"/>
                              <w:sz w:val="20"/>
                              <w:szCs w:val="20"/>
                            </w:rPr>
                            <m:t>j</m:t>
                          </m:r>
                        </m:oMath>
                        <w:r>
                          <w:rPr>
                            <w:rFonts w:eastAsiaTheme="minorEastAsia"/>
                            <w:sz w:val="20"/>
                            <w:szCs w:val="20"/>
                          </w:rPr>
                          <w:t xml:space="preserve"> at site </w:t>
                        </w:r>
                        <m:oMath>
                          <m:r>
                            <w:rPr>
                              <w:rFonts w:ascii="Cambria Math" w:eastAsiaTheme="minorEastAsia" w:hAnsi="Cambria Math"/>
                              <w:sz w:val="20"/>
                              <w:szCs w:val="20"/>
                            </w:rPr>
                            <m:t>i</m:t>
                          </m:r>
                        </m:oMath>
                      </w:p>
                    </w:tc>
                    <w:tc>
                      <w:tcPr>
                        <w:tcW w:w="4824" w:type="dxa"/>
                        <w:gridSpan w:val="3"/>
                        <w:tcBorders>
                          <w:top w:val="single" w:sz="4" w:space="0" w:color="auto"/>
                          <w:left w:val="nil"/>
                          <w:bottom w:val="nil"/>
                          <w:right w:val="nil"/>
                        </w:tcBorders>
                      </w:tcPr>
                      <w:p w:rsidR="006A45E8" w:rsidRDefault="006A45E8" w:rsidP="002622D4">
                        <w:pPr>
                          <w:pStyle w:val="NoSpacing"/>
                          <w:rPr>
                            <w:rFonts w:eastAsiaTheme="minorEastAsia"/>
                            <w:sz w:val="20"/>
                            <w:szCs w:val="20"/>
                          </w:rPr>
                        </w:pPr>
                        <m:oMath>
                          <m:r>
                            <w:rPr>
                              <w:rFonts w:ascii="Cambria Math" w:eastAsiaTheme="minorEastAsia" w:hAnsi="Cambria Math"/>
                              <w:sz w:val="20"/>
                              <w:szCs w:val="20"/>
                            </w:rPr>
                            <m:t>A</m:t>
                          </m:r>
                        </m:oMath>
                        <w:r w:rsidRPr="00695D17">
                          <w:rPr>
                            <w:rFonts w:eastAsiaTheme="minorEastAsia"/>
                            <w:sz w:val="20"/>
                            <w:szCs w:val="20"/>
                          </w:rPr>
                          <w:t xml:space="preserve"> = uniform site-level cap</w:t>
                        </w:r>
                      </w:p>
                      <w:p w:rsidR="006A45E8" w:rsidRPr="00695D17" w:rsidRDefault="006A45E8" w:rsidP="002622D4">
                        <w:pPr>
                          <w:pStyle w:val="NoSpacing"/>
                          <w:rPr>
                            <w:rFonts w:eastAsiaTheme="minorEastAsia"/>
                            <w:sz w:val="20"/>
                            <w:szCs w:val="20"/>
                          </w:rPr>
                        </w:pPr>
                        <m:oMath>
                          <m:r>
                            <w:rPr>
                              <w:rFonts w:ascii="Cambria Math" w:eastAsiaTheme="minorEastAsia" w:hAnsi="Cambria Math"/>
                              <w:sz w:val="20"/>
                              <w:szCs w:val="20"/>
                            </w:rPr>
                            <m:t>α</m:t>
                          </m:r>
                        </m:oMath>
                        <w:r w:rsidRPr="00695D17">
                          <w:rPr>
                            <w:rFonts w:eastAsiaTheme="minorEastAsia"/>
                            <w:sz w:val="20"/>
                            <w:szCs w:val="20"/>
                          </w:rPr>
                          <w:t xml:space="preserve"> = proportional cap on impacts</w:t>
                        </w:r>
                      </w:p>
                      <w:p w:rsidR="006A45E8" w:rsidRPr="00695D17" w:rsidRDefault="006A45E8" w:rsidP="002622D4">
                        <w:pPr>
                          <w:pStyle w:val="NoSpacing"/>
                          <w:rPr>
                            <w:rFonts w:eastAsiaTheme="minorEastAsia"/>
                            <w:sz w:val="20"/>
                            <w:szCs w:val="20"/>
                          </w:rPr>
                        </w:pPr>
                        <m:oMath>
                          <m:r>
                            <w:rPr>
                              <w:rFonts w:ascii="Cambria Math" w:eastAsiaTheme="minorEastAsia" w:hAnsi="Cambria Math"/>
                              <w:sz w:val="20"/>
                              <w:szCs w:val="20"/>
                            </w:rPr>
                            <m:t>P</m:t>
                          </m:r>
                        </m:oMath>
                        <w:r w:rsidRPr="00695D17">
                          <w:rPr>
                            <w:rFonts w:eastAsiaTheme="minorEastAsia"/>
                            <w:sz w:val="20"/>
                            <w:szCs w:val="20"/>
                          </w:rPr>
                          <w:t xml:space="preserve"> = price of permits in market</w:t>
                        </w:r>
                      </w:p>
                      <w:p w:rsidR="006A45E8" w:rsidRPr="00695D17" w:rsidRDefault="006A45E8" w:rsidP="002622D4">
                        <w:pPr>
                          <w:pStyle w:val="NoSpacing"/>
                          <w:ind w:left="180" w:hanging="180"/>
                          <w:rPr>
                            <w:rFonts w:eastAsiaTheme="minorEastAsia"/>
                            <w:sz w:val="20"/>
                            <w:szCs w:val="20"/>
                          </w:rPr>
                        </w:pPr>
                        <m:oMath>
                          <m:sSub>
                            <m:sSubPr>
                              <m:ctrlPr>
                                <w:rPr>
                                  <w:rFonts w:ascii="Cambria Math" w:eastAsiaTheme="minorEastAsia" w:hAnsi="Cambria Math"/>
                                  <w:i/>
                                  <w:sz w:val="20"/>
                                  <w:szCs w:val="20"/>
                                </w:rPr>
                              </m:ctrlPr>
                            </m:sSubPr>
                            <m:e>
                              <m:acc>
                                <m:accPr>
                                  <m:ctrlPr>
                                    <w:rPr>
                                      <w:rFonts w:ascii="Cambria Math" w:eastAsiaTheme="minorEastAsia" w:hAnsi="Cambria Math"/>
                                      <w:i/>
                                      <w:sz w:val="20"/>
                                      <w:szCs w:val="20"/>
                                    </w:rPr>
                                  </m:ctrlPr>
                                </m:accPr>
                                <m:e>
                                  <m:r>
                                    <w:rPr>
                                      <w:rFonts w:ascii="Cambria Math" w:eastAsiaTheme="minorEastAsia" w:hAnsi="Cambria Math"/>
                                      <w:sz w:val="20"/>
                                      <w:szCs w:val="20"/>
                                    </w:rPr>
                                    <m:t>I</m:t>
                                  </m:r>
                                </m:e>
                              </m:acc>
                            </m:e>
                            <m:sub>
                              <m:r>
                                <w:rPr>
                                  <w:rFonts w:ascii="Cambria Math" w:eastAsiaTheme="minorEastAsia" w:hAnsi="Cambria Math"/>
                                  <w:sz w:val="20"/>
                                  <w:szCs w:val="20"/>
                                </w:rPr>
                                <m:t>i</m:t>
                              </m:r>
                            </m:sub>
                          </m:sSub>
                          <m:d>
                            <m:dPr>
                              <m:ctrlPr>
                                <w:rPr>
                                  <w:rFonts w:ascii="Cambria Math" w:eastAsiaTheme="minorEastAsia" w:hAnsi="Cambria Math"/>
                                  <w:i/>
                                  <w:sz w:val="20"/>
                                  <w:szCs w:val="20"/>
                                </w:rPr>
                              </m:ctrlPr>
                            </m:dPr>
                            <m:e>
                              <m:r>
                                <w:rPr>
                                  <w:rFonts w:ascii="Cambria Math" w:eastAsiaTheme="minorEastAsia"/>
                                  <w:sz w:val="20"/>
                                  <w:szCs w:val="20"/>
                                </w:rPr>
                                <m:t>0</m:t>
                              </m:r>
                            </m:e>
                          </m:d>
                        </m:oMath>
                        <w:r w:rsidRPr="00695D17">
                          <w:rPr>
                            <w:rFonts w:eastAsiaTheme="minorEastAsia"/>
                            <w:sz w:val="20"/>
                            <w:szCs w:val="20"/>
                          </w:rPr>
                          <w:t xml:space="preserve"> = regulator’s estimate of impact of least-cost layout</w:t>
                        </w:r>
                      </w:p>
                      <w:p w:rsidR="006A45E8" w:rsidRPr="00695D17" w:rsidRDefault="006A45E8" w:rsidP="002622D4">
                        <w:pPr>
                          <w:pStyle w:val="NoSpacing"/>
                          <w:ind w:left="180" w:hanging="180"/>
                          <w:rPr>
                            <w:rFonts w:eastAsiaTheme="minorEastAsia"/>
                            <w:sz w:val="20"/>
                            <w:szCs w:val="20"/>
                          </w:rPr>
                        </w:pPr>
                        <m:oMath>
                          <m:sSub>
                            <m:sSubPr>
                              <m:ctrlPr>
                                <w:rPr>
                                  <w:rFonts w:ascii="Cambria Math" w:eastAsiaTheme="minorEastAsia" w:hAnsi="Cambria Math"/>
                                  <w:i/>
                                  <w:sz w:val="20"/>
                                  <w:szCs w:val="20"/>
                                </w:rPr>
                              </m:ctrlPr>
                            </m:sSubPr>
                            <m:e>
                              <m:r>
                                <m:rPr>
                                  <m:sty m:val="p"/>
                                </m:rPr>
                                <w:rPr>
                                  <w:rFonts w:ascii="Cambria Math" w:eastAsiaTheme="minorEastAsia"/>
                                  <w:sz w:val="20"/>
                                  <w:szCs w:val="20"/>
                                </w:rPr>
                                <m:t>Φ</m:t>
                              </m:r>
                              <m:ctrlPr>
                                <w:rPr>
                                  <w:rFonts w:ascii="Cambria Math" w:eastAsiaTheme="minorEastAsia" w:hAnsi="Cambria Math"/>
                                  <w:sz w:val="20"/>
                                  <w:szCs w:val="20"/>
                                </w:rPr>
                              </m:ctrlPr>
                            </m:e>
                            <m:sub>
                              <m:r>
                                <w:rPr>
                                  <w:rFonts w:ascii="Cambria Math" w:eastAsiaTheme="minorEastAsia" w:hAnsi="Cambria Math"/>
                                  <w:sz w:val="20"/>
                                  <w:szCs w:val="20"/>
                                </w:rPr>
                                <m:t>i</m:t>
                              </m:r>
                            </m:sub>
                          </m:sSub>
                        </m:oMath>
                        <w:r w:rsidRPr="00695D17">
                          <w:rPr>
                            <w:rFonts w:eastAsiaTheme="minorEastAsia"/>
                            <w:sz w:val="20"/>
                            <w:szCs w:val="20"/>
                          </w:rPr>
                          <w:t xml:space="preserve"> = permits bought for site </w:t>
                        </w:r>
                        <m:oMath>
                          <m:r>
                            <w:rPr>
                              <w:rFonts w:ascii="Cambria Math" w:eastAsiaTheme="minorEastAsia" w:hAnsi="Cambria Math"/>
                              <w:sz w:val="20"/>
                              <w:szCs w:val="20"/>
                            </w:rPr>
                            <m:t>i</m:t>
                          </m:r>
                        </m:oMath>
                      </w:p>
                    </w:tc>
                  </w:tr>
                </w:tbl>
                <w:p w:rsidR="006A45E8" w:rsidRDefault="006A45E8" w:rsidP="00004E2C"/>
              </w:txbxContent>
            </v:textbox>
            <w10:wrap type="none" anchorx="margin" anchory="margin"/>
            <w10:anchorlock/>
          </v:shape>
        </w:pict>
      </w:r>
    </w:p>
    <w:p w:rsidR="001723FB" w:rsidRDefault="001723FB" w:rsidP="001723FB">
      <w:proofErr w:type="gramStart"/>
      <w:r>
        <w:lastRenderedPageBreak/>
        <w:t>site</w:t>
      </w:r>
      <w:proofErr w:type="gramEnd"/>
      <w:r>
        <w:t xml:space="preserve"> to adhere to the cap while minimizing development costs. We show the optimization problem for developers in each scenario in </w:t>
      </w:r>
      <w:r>
        <w:fldChar w:fldCharType="begin"/>
      </w:r>
      <w:r>
        <w:instrText xml:space="preserve"> REF _Ref417646040 \h </w:instrText>
      </w:r>
      <w:r>
        <w:fldChar w:fldCharType="separate"/>
      </w:r>
      <w:r>
        <w:t xml:space="preserve">Table </w:t>
      </w:r>
      <w:r>
        <w:rPr>
          <w:noProof/>
        </w:rPr>
        <w:t>4</w:t>
      </w:r>
      <w:r>
        <w:t>.</w:t>
      </w:r>
      <w:r>
        <w:rPr>
          <w:noProof/>
        </w:rPr>
        <w:t>1</w:t>
      </w:r>
      <w:r>
        <w:fldChar w:fldCharType="end"/>
      </w:r>
      <w:r>
        <w:t>. In each scenario, we find solutions for a range of caps and record the total cost – sum of costs across all sites – and total impact – sum of impacts across all sites.</w:t>
      </w:r>
    </w:p>
    <w:p w:rsidR="003118BF" w:rsidRPr="003118BF" w:rsidRDefault="00770853" w:rsidP="003118BF">
      <w:pPr>
        <w:ind w:firstLine="720"/>
      </w:pPr>
      <w:r>
        <w:t xml:space="preserve">We </w:t>
      </w:r>
      <w:r w:rsidR="003118BF">
        <w:t xml:space="preserve">define the layout choice </w:t>
      </w:r>
      <m:oMath>
        <m:r>
          <w:rPr>
            <w:rFonts w:ascii="Cambria Math" w:hAnsi="Cambria Math"/>
          </w:rPr>
          <m:t>j</m:t>
        </m:r>
      </m:oMath>
      <w:r w:rsidR="003118BF">
        <w:rPr>
          <w:rFonts w:eastAsiaTheme="minorEastAsia"/>
        </w:rPr>
        <w:t xml:space="preserve"> with several characteristics to facilitate solving the planning problems. First, </w:t>
      </w:r>
      <m:oMath>
        <m:r>
          <w:rPr>
            <w:rFonts w:ascii="Cambria Math" w:eastAsiaTheme="minorEastAsia" w:hAnsi="Cambria Math"/>
          </w:rPr>
          <m:t>j=0</m:t>
        </m:r>
      </m:oMath>
      <w:r w:rsidR="003118BF">
        <w:rPr>
          <w:rFonts w:eastAsiaTheme="minorEastAsia"/>
        </w:rPr>
        <w:t xml:space="preserve"> represents the least-expensive and most impacting layout in a site, while </w:t>
      </w:r>
      <m:oMath>
        <m:r>
          <w:rPr>
            <w:rFonts w:ascii="Cambria Math" w:eastAsiaTheme="minorEastAsia" w:hAnsi="Cambria Math"/>
          </w:rPr>
          <m:t>j=</m:t>
        </m:r>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max,i</m:t>
            </m:r>
          </m:sub>
        </m:sSub>
      </m:oMath>
      <w:r w:rsidR="003118BF">
        <w:rPr>
          <w:rFonts w:eastAsiaTheme="minorEastAsia"/>
        </w:rPr>
        <w:t xml:space="preserve"> is the layout with the highest cost and lowest impact where development still occurs. </w:t>
      </w:r>
      <w:r w:rsidR="003118BF">
        <w:t xml:space="preserve">We define a special “dummy” layout for the decision to not develop a site. The choice to not develop occurs when the cost of development exceeds the profits from development. The layout that reflects this choice, </w:t>
      </w:r>
      <w:proofErr w:type="gramStart"/>
      <w:r w:rsidR="003118BF">
        <w:t>denoted</w:t>
      </w:r>
      <w:r w:rsidR="003118BF">
        <w:rPr>
          <w:rFonts w:eastAsiaTheme="minorEastAsia"/>
        </w:rPr>
        <w:t xml:space="preserve"> </w:t>
      </w:r>
      <m:oMath>
        <w:proofErr w:type="gramEnd"/>
        <m:r>
          <w:rPr>
            <w:rFonts w:ascii="Cambria Math" w:hAnsi="Cambria Math"/>
          </w:rPr>
          <m:t>j=∅=</m:t>
        </m:r>
        <m:sSub>
          <m:sSubPr>
            <m:ctrlPr>
              <w:rPr>
                <w:rFonts w:ascii="Cambria Math" w:hAnsi="Cambria Math"/>
                <w:i/>
              </w:rPr>
            </m:ctrlPr>
          </m:sSubPr>
          <m:e>
            <m:r>
              <w:rPr>
                <w:rFonts w:ascii="Cambria Math" w:hAnsi="Cambria Math"/>
              </w:rPr>
              <m:t>j</m:t>
            </m:r>
          </m:e>
          <m:sub>
            <m:r>
              <w:rPr>
                <w:rFonts w:ascii="Cambria Math" w:hAnsi="Cambria Math"/>
              </w:rPr>
              <m:t>max,i</m:t>
            </m:r>
          </m:sub>
        </m:sSub>
        <m:r>
          <w:rPr>
            <w:rFonts w:ascii="Cambria Math" w:hAnsi="Cambria Math"/>
          </w:rPr>
          <m:t>+1</m:t>
        </m:r>
      </m:oMath>
      <w:r w:rsidR="003118BF">
        <w:rPr>
          <w:rFonts w:eastAsiaTheme="minorEastAsia"/>
        </w:rPr>
        <w:t xml:space="preserve">, has characteristics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m:t>
            </m:r>
          </m:e>
        </m:d>
        <m:r>
          <w:rPr>
            <w:rFonts w:ascii="Cambria Math" w:eastAsiaTheme="minorEastAsia" w:hAnsi="Cambria Math"/>
          </w:rPr>
          <m:t>=0</m:t>
        </m:r>
      </m:oMath>
      <w:r w:rsidR="003118BF">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oMath>
      <w:r w:rsidR="003118BF">
        <w:rPr>
          <w:rFonts w:eastAsiaTheme="minorEastAsia"/>
        </w:rPr>
        <w:t xml:space="preserve">, where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oMath>
      <w:r w:rsidR="003118BF">
        <w:rPr>
          <w:rFonts w:eastAsiaTheme="minorEastAsia"/>
        </w:rPr>
        <w:t xml:space="preserve"> is the present value of gas in the site. </w:t>
      </w:r>
    </w:p>
    <w:p w:rsidR="003118BF" w:rsidRPr="002E065B" w:rsidRDefault="003118BF" w:rsidP="002E065B">
      <w:pPr>
        <w:ind w:firstLine="720"/>
        <w:rPr>
          <w:rFonts w:eastAsiaTheme="minorEastAsia"/>
        </w:rPr>
      </w:pPr>
      <w:r>
        <w:t xml:space="preserve">Solving the </w:t>
      </w:r>
      <w:r w:rsidR="007D6AA6">
        <w:t xml:space="preserve">first and </w:t>
      </w:r>
      <w:r w:rsidR="00244436">
        <w:t>last</w:t>
      </w:r>
      <w:r w:rsidR="007D6AA6">
        <w:t xml:space="preserve"> </w:t>
      </w:r>
      <w:r>
        <w:t xml:space="preserve">problems shown in </w:t>
      </w:r>
      <w:r w:rsidR="00F01773">
        <w:fldChar w:fldCharType="begin"/>
      </w:r>
      <w:r w:rsidR="009C3518">
        <w:instrText xml:space="preserve"> REF _Ref417646040 \h </w:instrText>
      </w:r>
      <w:r w:rsidR="00F01773">
        <w:fldChar w:fldCharType="separate"/>
      </w:r>
      <w:r w:rsidR="00867AA7">
        <w:t xml:space="preserve">Table </w:t>
      </w:r>
      <w:r w:rsidR="00867AA7">
        <w:rPr>
          <w:noProof/>
        </w:rPr>
        <w:t>4</w:t>
      </w:r>
      <w:r w:rsidR="00867AA7">
        <w:t>.</w:t>
      </w:r>
      <w:r w:rsidR="00867AA7">
        <w:rPr>
          <w:noProof/>
        </w:rPr>
        <w:t>1</w:t>
      </w:r>
      <w:r w:rsidR="00F01773">
        <w:fldChar w:fldCharType="end"/>
      </w:r>
      <w:r w:rsidR="009C3518">
        <w:t xml:space="preserve"> </w:t>
      </w:r>
      <w:r>
        <w:t xml:space="preserve">is fairly simple. In </w:t>
      </w:r>
      <w:r>
        <w:rPr>
          <w:i/>
        </w:rPr>
        <w:t>Uniform Cap without Trading</w:t>
      </w:r>
      <w:r>
        <w:t xml:space="preserve">, each developer chooses the least-expensive layout that meets the cap. If the cap is lower than the impact of the </w:t>
      </w:r>
      <m:oMath>
        <m:sSub>
          <m:sSubPr>
            <m:ctrlPr>
              <w:rPr>
                <w:rFonts w:ascii="Cambria Math" w:hAnsi="Cambria Math"/>
                <w:i/>
              </w:rPr>
            </m:ctrlPr>
          </m:sSubPr>
          <m:e>
            <m:r>
              <w:rPr>
                <w:rFonts w:ascii="Cambria Math" w:hAnsi="Cambria Math"/>
              </w:rPr>
              <m:t>j</m:t>
            </m:r>
          </m:e>
          <m:sub>
            <m:r>
              <w:rPr>
                <w:rFonts w:ascii="Cambria Math" w:hAnsi="Cambria Math"/>
              </w:rPr>
              <m:t>max,i</m:t>
            </m:r>
          </m:sub>
        </m:sSub>
      </m:oMath>
      <w:r>
        <w:rPr>
          <w:rFonts w:eastAsiaTheme="minorEastAsia"/>
        </w:rPr>
        <w:t xml:space="preserve"> </w:t>
      </w:r>
      <w:r w:rsidR="00244436">
        <w:rPr>
          <w:rFonts w:eastAsiaTheme="minorEastAsia"/>
        </w:rPr>
        <w:t xml:space="preserve">layout </w:t>
      </w:r>
      <w:r>
        <w:rPr>
          <w:rFonts w:eastAsiaTheme="minorEastAsia"/>
        </w:rPr>
        <w:t xml:space="preserve">then the site is not developed. In </w:t>
      </w:r>
      <w:r>
        <w:rPr>
          <w:rFonts w:eastAsiaTheme="minorEastAsia"/>
          <w:i/>
        </w:rPr>
        <w:t>Omniscient Social Planner</w:t>
      </w:r>
      <w:r>
        <w:rPr>
          <w:rFonts w:eastAsiaTheme="minorEastAsia"/>
        </w:rPr>
        <w:t xml:space="preserve">, the one decision maker chooses the cumulatively least-expensive combination of layouts across all sites that </w:t>
      </w:r>
      <w:proofErr w:type="gramStart"/>
      <w:r>
        <w:rPr>
          <w:rFonts w:eastAsiaTheme="minorEastAsia"/>
        </w:rPr>
        <w:t>meets</w:t>
      </w:r>
      <w:proofErr w:type="gramEnd"/>
      <w:r>
        <w:rPr>
          <w:rFonts w:eastAsiaTheme="minorEastAsia"/>
        </w:rPr>
        <w:t xml:space="preserve"> the cap. Because we assume impacts are additive across sites, this is a linear problem. To solve it, we start with </w:t>
      </w:r>
      <w:proofErr w:type="gramStart"/>
      <w:r>
        <w:rPr>
          <w:rFonts w:eastAsiaTheme="minorEastAsia"/>
        </w:rPr>
        <w:t xml:space="preserve">all </w:t>
      </w:r>
      <m:oMath>
        <w:proofErr w:type="gramEnd"/>
        <m:r>
          <w:rPr>
            <w:rFonts w:ascii="Cambria Math" w:eastAsiaTheme="minorEastAsia" w:hAnsi="Cambria Math"/>
          </w:rPr>
          <m:t>j=0</m:t>
        </m:r>
      </m:oMath>
      <w:r>
        <w:rPr>
          <w:rFonts w:eastAsiaTheme="minorEastAsia"/>
        </w:rPr>
        <w:t xml:space="preserve">. We then calculate the return-on-investment (ROI) of switching each site’s layout to the </w:t>
      </w:r>
      <m:oMath>
        <m:r>
          <w:rPr>
            <w:rFonts w:ascii="Cambria Math" w:eastAsiaTheme="minorEastAsia" w:hAnsi="Cambria Math"/>
          </w:rPr>
          <m:t>j+1</m:t>
        </m:r>
      </m:oMath>
      <w:r>
        <w:rPr>
          <w:rFonts w:eastAsiaTheme="minorEastAsia"/>
        </w:rPr>
        <w:t xml:space="preserve"> layout, where</w:t>
      </w:r>
      <w:r w:rsidR="002E065B">
        <w:rPr>
          <w:rFonts w:eastAsiaTheme="minorEastAsia"/>
        </w:rPr>
        <w:t xml:space="preserve">. </w:t>
      </w:r>
      <w:r>
        <w:t xml:space="preserve">We iteratively swap the layout at the site with the highest ROI until the impact constraint in Eq. </w:t>
      </w:r>
      <w:r w:rsidR="00F01773">
        <w:fldChar w:fldCharType="begin"/>
      </w:r>
      <w:r w:rsidR="00250983">
        <w:instrText xml:space="preserve"> REF _Ref416961243 \h  \* MERGEFORMAT </w:instrText>
      </w:r>
      <w:r w:rsidR="00F01773">
        <w:fldChar w:fldCharType="separate"/>
      </w:r>
      <w:proofErr w:type="gramStart"/>
      <w:r w:rsidR="00867AA7" w:rsidRPr="00867AA7">
        <w:rPr>
          <w:rFonts w:ascii="Arial" w:hAnsi="Arial" w:cs="Times New Roman"/>
        </w:rPr>
        <w:t xml:space="preserve">( </w:t>
      </w:r>
      <w:r w:rsidR="00867AA7" w:rsidRPr="00867AA7">
        <w:rPr>
          <w:rFonts w:ascii="Arial" w:hAnsi="Arial" w:cs="Times New Roman"/>
          <w:noProof/>
        </w:rPr>
        <w:t>3</w:t>
      </w:r>
      <w:proofErr w:type="gramEnd"/>
      <w:r w:rsidR="00867AA7" w:rsidRPr="00867AA7">
        <w:rPr>
          <w:rFonts w:ascii="Arial" w:hAnsi="Arial" w:cs="Times New Roman"/>
        </w:rPr>
        <w:t xml:space="preserve"> )</w:t>
      </w:r>
      <w:r w:rsidR="00F01773">
        <w:fldChar w:fldCharType="end"/>
      </w:r>
      <w:r>
        <w:t xml:space="preserve"> is met. </w:t>
      </w:r>
      <w:r w:rsidR="006F57CF">
        <w:t>This method produced identical solutions to a global branch-and-bound solver.</w:t>
      </w:r>
    </w:p>
    <w:p w:rsidR="00FE46BD" w:rsidRDefault="003118BF" w:rsidP="00FE46BD">
      <w:pPr>
        <w:ind w:firstLine="720"/>
        <w:rPr>
          <w:rFonts w:eastAsiaTheme="minorEastAsia"/>
        </w:rPr>
      </w:pPr>
      <w:r>
        <w:t xml:space="preserve">Solving the outcome of the market in </w:t>
      </w:r>
      <w:r>
        <w:rPr>
          <w:i/>
        </w:rPr>
        <w:t xml:space="preserve">Cap and </w:t>
      </w:r>
      <w:r w:rsidRPr="00CD5A42">
        <w:rPr>
          <w:i/>
        </w:rPr>
        <w:t>Trade</w:t>
      </w:r>
      <w:r>
        <w:t xml:space="preserve"> is somewhat more difficult. Each developer can choose to be a supplier of permits if </w:t>
      </w:r>
      <m:oMath>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j</m:t>
            </m:r>
          </m:e>
        </m:d>
        <m:r>
          <w:rPr>
            <w:rFonts w:ascii="Cambria Math" w:hAnsi="Cambria Math"/>
          </w:rPr>
          <m:t>-</m:t>
        </m:r>
        <m:sSub>
          <m:sSubPr>
            <m:ctrlPr>
              <w:rPr>
                <w:rFonts w:ascii="Cambria Math" w:hAnsi="Cambria Math"/>
                <w:i/>
              </w:rPr>
            </m:ctrlPr>
          </m:sSubPr>
          <m:e>
            <m:r>
              <w:rPr>
                <w:rFonts w:ascii="Cambria Math" w:hAnsi="Cambria Math"/>
              </w:rPr>
              <m:t>α</m:t>
            </m:r>
            <m:acc>
              <m:accPr>
                <m:ctrlPr>
                  <w:rPr>
                    <w:rFonts w:ascii="Cambria Math" w:hAnsi="Cambria Math"/>
                    <w:bCs/>
                    <w:i/>
                    <w:szCs w:val="18"/>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r>
          <w:rPr>
            <w:rFonts w:ascii="Cambria Math" w:hAnsi="Cambria Math"/>
          </w:rPr>
          <m:t>&lt;0</m:t>
        </m:r>
      </m:oMath>
      <w:r>
        <w:rPr>
          <w:rFonts w:eastAsiaTheme="minorEastAsia"/>
        </w:rPr>
        <w:t xml:space="preserve"> or a demander of permits </w:t>
      </w:r>
      <w:proofErr w:type="gramStart"/>
      <w:r>
        <w:rPr>
          <w:rFonts w:eastAsiaTheme="minorEastAsia"/>
        </w:rPr>
        <w:t xml:space="preserve">if </w:t>
      </w:r>
      <m:oMath>
        <w:proofErr w:type="gramEnd"/>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j</m:t>
            </m:r>
          </m:e>
        </m:d>
        <m:r>
          <w:rPr>
            <w:rFonts w:ascii="Cambria Math" w:hAnsi="Cambria Math"/>
          </w:rPr>
          <m:t>-</m:t>
        </m:r>
        <m:sSub>
          <m:sSubPr>
            <m:ctrlPr>
              <w:rPr>
                <w:rFonts w:ascii="Cambria Math" w:hAnsi="Cambria Math"/>
                <w:i/>
              </w:rPr>
            </m:ctrlPr>
          </m:sSubPr>
          <m:e>
            <m:r>
              <w:rPr>
                <w:rFonts w:ascii="Cambria Math" w:hAnsi="Cambria Math"/>
              </w:rPr>
              <m:t>α</m:t>
            </m:r>
            <m:acc>
              <m:accPr>
                <m:ctrlPr>
                  <w:rPr>
                    <w:rFonts w:ascii="Cambria Math" w:hAnsi="Cambria Math"/>
                    <w:bCs/>
                    <w:i/>
                    <w:szCs w:val="18"/>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r>
          <w:rPr>
            <w:rFonts w:ascii="Cambria Math" w:hAnsi="Cambria Math"/>
          </w:rPr>
          <m:t>&gt;0</m:t>
        </m:r>
      </m:oMath>
      <w:r>
        <w:rPr>
          <w:rFonts w:eastAsiaTheme="minorEastAsia"/>
        </w:rPr>
        <w:t>, and the optimum choice depends on the price of permits in the market (</w:t>
      </w:r>
      <w:r w:rsidR="00F01773">
        <w:rPr>
          <w:rFonts w:eastAsiaTheme="minorEastAsia"/>
        </w:rPr>
        <w:fldChar w:fldCharType="begin"/>
      </w:r>
      <w:r w:rsidR="009C3518">
        <w:rPr>
          <w:rFonts w:eastAsiaTheme="minorEastAsia"/>
        </w:rPr>
        <w:instrText xml:space="preserve"> REF _Ref417646040 \h </w:instrText>
      </w:r>
      <w:r w:rsidR="00F01773">
        <w:rPr>
          <w:rFonts w:eastAsiaTheme="minorEastAsia"/>
        </w:rPr>
      </w:r>
      <w:r w:rsidR="00F01773">
        <w:rPr>
          <w:rFonts w:eastAsiaTheme="minorEastAsia"/>
        </w:rPr>
        <w:fldChar w:fldCharType="separate"/>
      </w:r>
      <w:r w:rsidR="00867AA7">
        <w:t xml:space="preserve">Table </w:t>
      </w:r>
      <w:r w:rsidR="00867AA7">
        <w:rPr>
          <w:noProof/>
        </w:rPr>
        <w:t>4</w:t>
      </w:r>
      <w:r w:rsidR="00867AA7">
        <w:t>.</w:t>
      </w:r>
      <w:r w:rsidR="00867AA7">
        <w:rPr>
          <w:noProof/>
        </w:rPr>
        <w:t>1</w:t>
      </w:r>
      <w:r w:rsidR="00F01773">
        <w:rPr>
          <w:rFonts w:eastAsiaTheme="minorEastAsia"/>
        </w:rPr>
        <w:fldChar w:fldCharType="end"/>
      </w:r>
      <w:r>
        <w:rPr>
          <w:rFonts w:eastAsiaTheme="minorEastAsia"/>
        </w:rPr>
        <w:t xml:space="preserve">). Because the impact production at each site is discrete, it is impossible in a small market to have supply exactly equal demand. Consequently, there will always be some excess supply or demand. Our earlier assumptions dictate that if there is excess demand, some sites are </w:t>
      </w:r>
      <w:r w:rsidR="00FE46BD">
        <w:rPr>
          <w:rFonts w:eastAsiaTheme="minorEastAsia"/>
        </w:rPr>
        <w:t xml:space="preserve">not developed. </w:t>
      </w:r>
    </w:p>
    <w:p w:rsidR="00402035" w:rsidRPr="000168DD" w:rsidRDefault="00FE46BD" w:rsidP="00FE46BD">
      <w:pPr>
        <w:ind w:firstLine="720"/>
        <w:rPr>
          <w:vanish/>
          <w:specVanish/>
        </w:rPr>
      </w:pPr>
      <w:r>
        <w:t>To find the final market price of permits (</w:t>
      </w:r>
      <m:oMath>
        <m:sSup>
          <m:sSupPr>
            <m:ctrlPr>
              <w:rPr>
                <w:rFonts w:ascii="Cambria Math" w:hAnsi="Cambria Math"/>
                <w:i/>
              </w:rPr>
            </m:ctrlPr>
          </m:sSupPr>
          <m:e>
            <m:r>
              <w:rPr>
                <w:rFonts w:ascii="Cambria Math" w:hAnsi="Cambria Math"/>
              </w:rPr>
              <m:t>P</m:t>
            </m:r>
          </m:e>
          <m:sup>
            <m:r>
              <w:rPr>
                <w:rFonts w:ascii="Cambria Math" w:hAnsi="Cambria Math"/>
              </w:rPr>
              <m:t>*</m:t>
            </m:r>
          </m:sup>
        </m:sSup>
      </m:oMath>
      <w:r>
        <w:t xml:space="preserve">), the choice of layout for each site, and the total cost and impact of the system, we perform a two-level search for </w:t>
      </w:r>
      <m:oMath>
        <m:sSup>
          <m:sSupPr>
            <m:ctrlPr>
              <w:rPr>
                <w:rFonts w:ascii="Cambria Math" w:hAnsi="Cambria Math"/>
                <w:i/>
              </w:rPr>
            </m:ctrlPr>
          </m:sSupPr>
          <m:e>
            <m:r>
              <w:rPr>
                <w:rFonts w:ascii="Cambria Math" w:hAnsi="Cambria Math"/>
              </w:rPr>
              <m:t>P</m:t>
            </m:r>
          </m:e>
          <m:sup>
            <m:r>
              <w:rPr>
                <w:rFonts w:ascii="Cambria Math" w:hAnsi="Cambria Math"/>
              </w:rPr>
              <m:t>*</m:t>
            </m:r>
          </m:sup>
        </m:sSup>
      </m:oMath>
      <w:r>
        <w:t xml:space="preserve"> (</w:t>
      </w:r>
      <w:r>
        <w:fldChar w:fldCharType="begin"/>
      </w:r>
      <w:r>
        <w:instrText xml:space="preserve"> REF _Ref418268864 \h </w:instrText>
      </w:r>
      <w:r>
        <w:fldChar w:fldCharType="separate"/>
      </w:r>
      <w:r w:rsidRPr="00EA5C4F">
        <w:t xml:space="preserve">Fig. </w:t>
      </w:r>
      <w:r>
        <w:rPr>
          <w:noProof/>
        </w:rPr>
        <w:t>4</w:t>
      </w:r>
      <w:r>
        <w:t>.</w:t>
      </w:r>
      <w:r>
        <w:rPr>
          <w:noProof/>
        </w:rPr>
        <w:t>1</w:t>
      </w:r>
      <w:r>
        <w:fldChar w:fldCharType="end"/>
      </w:r>
      <w:r>
        <w:t xml:space="preserve">). We start with some additional assumptions: 1) the market is perfectly competitive, 2) the market has been established long enough to reach an equilibrium price, and 3) all developers simultaneously enter the market and trade. </w:t>
      </w:r>
      <w:r w:rsidR="003118BF">
        <w:t xml:space="preserve">At the first level, we find the range of </w:t>
      </w:r>
      <m:oMath>
        <m:r>
          <w:rPr>
            <w:rFonts w:ascii="Cambria Math" w:hAnsi="Cambria Math"/>
          </w:rPr>
          <m:t>P</m:t>
        </m:r>
      </m:oMath>
      <w:r w:rsidR="003118BF">
        <w:t xml:space="preserve"> where excess supply is minimized and there is no excess demand </w:t>
      </w:r>
      <w:r w:rsidR="001B769D">
        <w:t>(</w:t>
      </w:r>
      <m:oMath>
        <m:sSub>
          <m:sSubPr>
            <m:ctrlPr>
              <w:rPr>
                <w:rFonts w:ascii="Cambria Math" w:hAnsi="Cambria Math"/>
                <w:i/>
              </w:rPr>
            </m:ctrlPr>
          </m:sSubPr>
          <m:e>
            <m:r>
              <w:rPr>
                <w:rFonts w:ascii="Cambria Math" w:hAnsi="Cambria Math"/>
              </w:rPr>
              <m:t>P</m:t>
            </m:r>
          </m:e>
          <m:sub>
            <m:r>
              <w:rPr>
                <w:rFonts w:ascii="Cambria Math" w:hAnsi="Cambria Math"/>
              </w:rPr>
              <m:t>L</m:t>
            </m:r>
          </m:sub>
        </m:sSub>
      </m:oMath>
      <w:r w:rsidR="001B769D">
        <w:t>-</w:t>
      </w:r>
      <m:oMath>
        <m:sSub>
          <m:sSubPr>
            <m:ctrlPr>
              <w:rPr>
                <w:rFonts w:ascii="Cambria Math" w:hAnsi="Cambria Math"/>
                <w:i/>
              </w:rPr>
            </m:ctrlPr>
          </m:sSubPr>
          <m:e>
            <m:r>
              <w:rPr>
                <w:rFonts w:ascii="Cambria Math" w:hAnsi="Cambria Math"/>
              </w:rPr>
              <m:t>P</m:t>
            </m:r>
          </m:e>
          <m:sub>
            <m:r>
              <w:rPr>
                <w:rFonts w:ascii="Cambria Math" w:hAnsi="Cambria Math"/>
              </w:rPr>
              <m:t>U</m:t>
            </m:r>
          </m:sub>
        </m:sSub>
      </m:oMath>
      <w:r w:rsidR="001B769D">
        <w:t xml:space="preserve"> in </w:t>
      </w:r>
      <w:r w:rsidR="00F01773">
        <w:fldChar w:fldCharType="begin"/>
      </w:r>
      <w:r w:rsidR="001B769D">
        <w:instrText xml:space="preserve"> REF _Ref418268864 \h </w:instrText>
      </w:r>
      <w:r w:rsidR="00F01773">
        <w:fldChar w:fldCharType="separate"/>
      </w:r>
      <w:r w:rsidR="00867AA7" w:rsidRPr="00EA5C4F">
        <w:t xml:space="preserve">Fig. </w:t>
      </w:r>
      <w:r w:rsidR="00867AA7">
        <w:rPr>
          <w:noProof/>
        </w:rPr>
        <w:t>4</w:t>
      </w:r>
      <w:r w:rsidR="00867AA7">
        <w:t>.</w:t>
      </w:r>
      <w:r w:rsidR="00867AA7">
        <w:rPr>
          <w:noProof/>
        </w:rPr>
        <w:t>1</w:t>
      </w:r>
      <w:r w:rsidR="00F01773">
        <w:fldChar w:fldCharType="end"/>
      </w:r>
      <w:r w:rsidR="001B769D">
        <w:t xml:space="preserve">) </w:t>
      </w:r>
      <w:r w:rsidR="003118BF">
        <w:t xml:space="preserve">– to avoid forcing some sites out of </w:t>
      </w:r>
      <w:r w:rsidR="00C56F4A" w:rsidRPr="00F01773">
        <w:rPr>
          <w:noProof/>
        </w:rPr>
      </w:r>
      <w:r w:rsidR="00C56F4A" w:rsidRPr="00F01773">
        <w:rPr>
          <w:noProof/>
        </w:rPr>
        <w:pict>
          <v:shape id="_x0000_s1106" type="#_x0000_t202" style="width:6in;height:297pt;mso-position-horizontal-relative:char;mso-position-vertical-relative:line" stroked="f">
            <v:textbox style="mso-next-textbox:#_x0000_s1106">
              <w:txbxContent>
                <w:p w:rsidR="00C56F4A" w:rsidRDefault="00C56F4A" w:rsidP="00C56F4A">
                  <w:pPr>
                    <w:keepNext/>
                    <w:jc w:val="center"/>
                  </w:pPr>
                  <w:r>
                    <w:rPr>
                      <w:noProof/>
                    </w:rPr>
                    <w:drawing>
                      <wp:inline distT="0" distB="0" distL="0" distR="0">
                        <wp:extent cx="3264415" cy="2201719"/>
                        <wp:effectExtent l="19050" t="0" r="0" b="0"/>
                        <wp:docPr id="7" name="Picture 2" descr="Fi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png"/>
                                <pic:cNvPicPr/>
                              </pic:nvPicPr>
                              <pic:blipFill>
                                <a:blip r:embed="rId81"/>
                                <a:stretch>
                                  <a:fillRect/>
                                </a:stretch>
                              </pic:blipFill>
                              <pic:spPr>
                                <a:xfrm>
                                  <a:off x="0" y="0"/>
                                  <a:ext cx="3264415" cy="2201719"/>
                                </a:xfrm>
                                <a:prstGeom prst="rect">
                                  <a:avLst/>
                                </a:prstGeom>
                              </pic:spPr>
                            </pic:pic>
                          </a:graphicData>
                        </a:graphic>
                      </wp:inline>
                    </w:drawing>
                  </w:r>
                </w:p>
                <w:p w:rsidR="00C56F4A" w:rsidRDefault="00C56F4A" w:rsidP="00C56F4A">
                  <w:pPr>
                    <w:pStyle w:val="Caption"/>
                    <w:rPr>
                      <w:vanish/>
                      <w:specVanish/>
                    </w:rPr>
                  </w:pPr>
                  <w:bookmarkStart w:id="241" w:name="_Ref418268864"/>
                  <w:bookmarkStart w:id="242" w:name="_Toc421352915"/>
                  <w:proofErr w:type="gramStart"/>
                  <w:r w:rsidRPr="00EA5C4F">
                    <w:t>Fig.</w:t>
                  </w:r>
                  <w:proofErr w:type="gramEnd"/>
                  <w:r w:rsidRPr="00EA5C4F">
                    <w:t xml:space="preserve"> </w:t>
                  </w:r>
                  <w:fldSimple w:instr=" STYLEREF 1 \s ">
                    <w:r>
                      <w:rPr>
                        <w:noProof/>
                      </w:rPr>
                      <w:t>4</w:t>
                    </w:r>
                  </w:fldSimple>
                  <w:r>
                    <w:t>.</w:t>
                  </w:r>
                  <w:fldSimple w:instr=" SEQ Fig. \* ARABIC \s 1 ">
                    <w:r>
                      <w:rPr>
                        <w:noProof/>
                      </w:rPr>
                      <w:t>1</w:t>
                    </w:r>
                  </w:fldSimple>
                  <w:bookmarkEnd w:id="241"/>
                  <w:r w:rsidRPr="00EA5C4F">
                    <w:t>.</w:t>
                  </w:r>
                  <w:r>
                    <w:t xml:space="preserve"> Stylized i</w:t>
                  </w:r>
                  <w:r w:rsidRPr="00EA5C4F">
                    <w:t>llustration of the two-part process we use to estimate the final market price (</w:t>
                  </w:r>
                  <m:oMath>
                    <m:sSup>
                      <m:sSupPr>
                        <m:ctrlPr>
                          <w:rPr>
                            <w:rFonts w:ascii="Cambria Math" w:hAnsi="Cambria Math"/>
                            <w:i/>
                            <w:sz w:val="24"/>
                          </w:rPr>
                        </m:ctrlPr>
                      </m:sSupPr>
                      <m:e>
                        <m:r>
                          <w:rPr>
                            <w:rFonts w:ascii="Cambria Math" w:hAnsi="Cambria Math"/>
                          </w:rPr>
                          <m:t>P</m:t>
                        </m:r>
                      </m:e>
                      <m:sup>
                        <m:r>
                          <w:rPr>
                            <w:rFonts w:ascii="Cambria Math" w:hAnsi="Cambria Math"/>
                          </w:rPr>
                          <m:t>*</m:t>
                        </m:r>
                      </m:sup>
                    </m:sSup>
                  </m:oMath>
                  <w:r w:rsidRPr="00EA5C4F">
                    <w:t xml:space="preserve">) of impact permits in </w:t>
                  </w:r>
                  <w:r w:rsidRPr="005F0825">
                    <w:rPr>
                      <w:i/>
                    </w:rPr>
                    <w:t>Cap and Trade</w:t>
                  </w:r>
                  <w:bookmarkEnd w:id="242"/>
                </w:p>
                <w:p w:rsidR="00C56F4A" w:rsidRDefault="00C56F4A" w:rsidP="00C56F4A">
                  <w:pPr>
                    <w:pStyle w:val="Caption"/>
                  </w:pPr>
                  <w:r w:rsidRPr="00EA5C4F">
                    <w:t>. (</w:t>
                  </w:r>
                  <w:proofErr w:type="gramStart"/>
                  <w:r w:rsidRPr="00EA5C4F">
                    <w:t>stepping</w:t>
                  </w:r>
                  <w:proofErr w:type="gramEnd"/>
                  <w:r w:rsidRPr="00EA5C4F">
                    <w:t xml:space="preserve"> black line) difference between supply and demand at market price </w:t>
                  </w:r>
                  <m:oMath>
                    <m:r>
                      <w:rPr>
                        <w:rFonts w:ascii="Cambria Math" w:hAnsi="Cambria Math"/>
                      </w:rPr>
                      <m:t>P</m:t>
                    </m:r>
                  </m:oMath>
                  <w:r w:rsidRPr="00EA5C4F">
                    <w:t>. First part of the search for</w:t>
                  </w:r>
                  <w:r>
                    <w:t xml:space="preserve"> </w:t>
                  </w:r>
                  <m:oMath>
                    <m:sSup>
                      <m:sSupPr>
                        <m:ctrlPr>
                          <w:rPr>
                            <w:rFonts w:ascii="Cambria Math" w:hAnsi="Cambria Math"/>
                            <w:i/>
                            <w:sz w:val="24"/>
                          </w:rPr>
                        </m:ctrlPr>
                      </m:sSupPr>
                      <m:e>
                        <m:r>
                          <w:rPr>
                            <w:rFonts w:ascii="Cambria Math" w:hAnsi="Cambria Math"/>
                          </w:rPr>
                          <m:t>P</m:t>
                        </m:r>
                      </m:e>
                      <m:sup>
                        <m:r>
                          <w:rPr>
                            <w:rFonts w:ascii="Cambria Math" w:hAnsi="Cambria Math"/>
                          </w:rPr>
                          <m:t>*</m:t>
                        </m:r>
                      </m:sup>
                    </m:sSup>
                  </m:oMath>
                  <w:r w:rsidRPr="00EA5C4F">
                    <w:t xml:space="preserve"> occurs along this curve. (</w:t>
                  </w:r>
                  <w:proofErr w:type="gramStart"/>
                  <w:r w:rsidRPr="00EA5C4F">
                    <w:t>gray</w:t>
                  </w:r>
                  <w:proofErr w:type="gramEnd"/>
                  <w:r w:rsidRPr="00EA5C4F">
                    <w:t xml:space="preserve"> curve) total cost to all developers in the market, which may be concave or </w:t>
                  </w:r>
                  <w:r>
                    <w:t>monotonic</w:t>
                  </w:r>
                  <w:r w:rsidRPr="00EA5C4F">
                    <w:t xml:space="preserve"> within the range</w:t>
                  </w:r>
                  <w:r>
                    <w:t xml:space="preserve"> </w:t>
                  </w:r>
                  <m:oMath>
                    <m:sSub>
                      <m:sSubPr>
                        <m:ctrlPr>
                          <w:rPr>
                            <w:rFonts w:ascii="Cambria Math" w:hAnsi="Cambria Math"/>
                            <w:i/>
                          </w:rPr>
                        </m:ctrlPr>
                      </m:sSubPr>
                      <m:e>
                        <m:r>
                          <w:rPr>
                            <w:rFonts w:ascii="Cambria Math" w:hAnsi="Cambria Math"/>
                          </w:rPr>
                          <m:t>P</m:t>
                        </m:r>
                      </m:e>
                      <m:sub>
                        <m:r>
                          <w:rPr>
                            <w:rFonts w:ascii="Cambria Math" w:hAnsi="Cambria Math"/>
                          </w:rPr>
                          <m:t>L</m:t>
                        </m:r>
                      </m:sub>
                    </m:sSub>
                  </m:oMath>
                  <w:r>
                    <w:t>-</w:t>
                  </w:r>
                  <m:oMath>
                    <m:sSub>
                      <m:sSubPr>
                        <m:ctrlPr>
                          <w:rPr>
                            <w:rFonts w:ascii="Cambria Math" w:hAnsi="Cambria Math"/>
                            <w:i/>
                          </w:rPr>
                        </m:ctrlPr>
                      </m:sSubPr>
                      <m:e>
                        <m:r>
                          <w:rPr>
                            <w:rFonts w:ascii="Cambria Math" w:hAnsi="Cambria Math"/>
                          </w:rPr>
                          <m:t>P</m:t>
                        </m:r>
                      </m:e>
                      <m:sub>
                        <m:r>
                          <w:rPr>
                            <w:rFonts w:ascii="Cambria Math" w:hAnsi="Cambria Math"/>
                          </w:rPr>
                          <m:t>U</m:t>
                        </m:r>
                      </m:sub>
                    </m:sSub>
                  </m:oMath>
                  <w:r w:rsidRPr="00EA5C4F">
                    <w:t xml:space="preserve">. </w:t>
                  </w:r>
                  <m:oMath>
                    <m:r>
                      <w:rPr>
                        <w:rFonts w:ascii="Cambria Math" w:hAnsi="Cambria Math"/>
                        <w:sz w:val="24"/>
                      </w:rPr>
                      <m:t xml:space="preserve"> </m:t>
                    </m:r>
                    <m:sSup>
                      <m:sSupPr>
                        <m:ctrlPr>
                          <w:rPr>
                            <w:rFonts w:ascii="Cambria Math" w:hAnsi="Cambria Math"/>
                            <w:i/>
                            <w:sz w:val="24"/>
                          </w:rPr>
                        </m:ctrlPr>
                      </m:sSupPr>
                      <m:e>
                        <m:r>
                          <w:rPr>
                            <w:rFonts w:ascii="Cambria Math" w:hAnsi="Cambria Math"/>
                          </w:rPr>
                          <m:t>P</m:t>
                        </m:r>
                      </m:e>
                      <m:sup>
                        <m:r>
                          <w:rPr>
                            <w:rFonts w:ascii="Cambria Math" w:hAnsi="Cambria Math"/>
                          </w:rPr>
                          <m:t>*</m:t>
                        </m:r>
                      </m:sup>
                    </m:sSup>
                  </m:oMath>
                  <w:r w:rsidRPr="00EA5C4F">
                    <w:t xml:space="preserve"> </w:t>
                  </w:r>
                  <w:proofErr w:type="gramStart"/>
                  <w:r w:rsidRPr="00EA5C4F">
                    <w:t>is</w:t>
                  </w:r>
                  <w:proofErr w:type="gramEnd"/>
                  <w:r w:rsidRPr="00EA5C4F">
                    <w:t xml:space="preserve"> the price at th</w:t>
                  </w:r>
                  <w:r>
                    <w:t>e minimum of this second curve.</w:t>
                  </w:r>
                </w:p>
              </w:txbxContent>
            </v:textbox>
            <w10:wrap type="none" anchorx="margin" anchory="margin"/>
            <w10:anchorlock/>
          </v:shape>
        </w:pict>
      </w:r>
      <w:r w:rsidR="003118BF">
        <w:t xml:space="preserve">development. There is a range of </w:t>
      </w:r>
      <m:oMath>
        <m:r>
          <w:rPr>
            <w:rFonts w:ascii="Cambria Math" w:hAnsi="Cambria Math"/>
          </w:rPr>
          <m:t>P</m:t>
        </m:r>
      </m:oMath>
      <w:r w:rsidR="003118BF">
        <w:t xml:space="preserve"> that meets this condition because layout choices are discrete and as such there will be a range of </w:t>
      </w:r>
      <m:oMath>
        <m:r>
          <w:rPr>
            <w:rFonts w:ascii="Cambria Math" w:hAnsi="Cambria Math"/>
          </w:rPr>
          <m:t>P</m:t>
        </m:r>
      </m:oMath>
      <w:r w:rsidR="003118BF">
        <w:t xml:space="preserve"> within which changes to </w:t>
      </w:r>
      <m:oMath>
        <m:r>
          <w:rPr>
            <w:rFonts w:ascii="Cambria Math" w:hAnsi="Cambria Math"/>
          </w:rPr>
          <m:t>P</m:t>
        </m:r>
      </m:oMath>
      <w:r w:rsidR="003118BF">
        <w:t xml:space="preserve"> do not change the set of layouts chosen. At the second level, we find the </w:t>
      </w:r>
      <m:oMath>
        <m:r>
          <w:rPr>
            <w:rFonts w:ascii="Cambria Math" w:hAnsi="Cambria Math"/>
          </w:rPr>
          <m:t>P</m:t>
        </m:r>
      </m:oMath>
      <w:r w:rsidR="003118BF">
        <w:t xml:space="preserve"> within this range that minimizes the total cost of the system</w:t>
      </w:r>
      <w:r w:rsidR="00F76F05">
        <w:t xml:space="preserve"> (</w:t>
      </w:r>
      <m:oMath>
        <m:sSup>
          <m:sSupPr>
            <m:ctrlPr>
              <w:rPr>
                <w:rFonts w:ascii="Cambria Math" w:hAnsi="Cambria Math"/>
                <w:i/>
              </w:rPr>
            </m:ctrlPr>
          </m:sSupPr>
          <m:e>
            <m:r>
              <w:rPr>
                <w:rFonts w:ascii="Cambria Math" w:hAnsi="Cambria Math"/>
              </w:rPr>
              <m:t>P</m:t>
            </m:r>
          </m:e>
          <m:sup>
            <m:r>
              <w:rPr>
                <w:rFonts w:ascii="Cambria Math" w:hAnsi="Cambria Math"/>
              </w:rPr>
              <m:t>*</m:t>
            </m:r>
          </m:sup>
        </m:sSup>
      </m:oMath>
      <w:r w:rsidR="00F76F05">
        <w:t xml:space="preserve"> in </w:t>
      </w:r>
      <w:r w:rsidR="00F01773">
        <w:fldChar w:fldCharType="begin"/>
      </w:r>
      <w:r w:rsidR="00F76F05">
        <w:instrText xml:space="preserve"> REF _Ref418268864 \h </w:instrText>
      </w:r>
      <w:r w:rsidR="00F01773">
        <w:fldChar w:fldCharType="separate"/>
      </w:r>
      <w:r w:rsidR="00867AA7" w:rsidRPr="00EA5C4F">
        <w:t xml:space="preserve">Fig. </w:t>
      </w:r>
      <w:r w:rsidR="00867AA7">
        <w:rPr>
          <w:noProof/>
        </w:rPr>
        <w:t>4</w:t>
      </w:r>
      <w:r w:rsidR="00867AA7">
        <w:t>.</w:t>
      </w:r>
      <w:r w:rsidR="00867AA7">
        <w:rPr>
          <w:noProof/>
        </w:rPr>
        <w:t>1</w:t>
      </w:r>
      <w:r w:rsidR="00F01773">
        <w:fldChar w:fldCharType="end"/>
      </w:r>
      <w:r w:rsidR="00F76F05">
        <w:t>)</w:t>
      </w:r>
      <w:r w:rsidR="003118BF">
        <w:t xml:space="preserve">. Finally, because there will still be excess supply at the final </w:t>
      </w:r>
      <m:oMath>
        <m:sSup>
          <m:sSupPr>
            <m:ctrlPr>
              <w:rPr>
                <w:rFonts w:ascii="Cambria Math" w:hAnsi="Cambria Math"/>
                <w:i/>
              </w:rPr>
            </m:ctrlPr>
          </m:sSupPr>
          <m:e>
            <m:r>
              <w:rPr>
                <w:rFonts w:ascii="Cambria Math" w:hAnsi="Cambria Math"/>
              </w:rPr>
              <m:t>P</m:t>
            </m:r>
          </m:e>
          <m:sup>
            <m:r>
              <w:rPr>
                <w:rFonts w:ascii="Cambria Math" w:hAnsi="Cambria Math"/>
              </w:rPr>
              <m:t>*</m:t>
            </m:r>
          </m:sup>
        </m:sSup>
      </m:oMath>
      <w:r w:rsidR="003118BF">
        <w:t xml:space="preserve">, suppliers will lose some potential profits and we add these lost profits (equal to excess demand times </w:t>
      </w:r>
      <m:oMath>
        <m:r>
          <w:rPr>
            <w:rFonts w:ascii="Cambria Math" w:hAnsi="Cambria Math"/>
          </w:rPr>
          <m:t>P</m:t>
        </m:r>
      </m:oMath>
      <w:r w:rsidR="003118BF">
        <w:t>) to the total cost of the system. Because of the way we analyze the market, our analysis is an optimistic estimate of the outcomes of using cap and trade.</w:t>
      </w:r>
    </w:p>
    <w:p w:rsidR="009663A3" w:rsidRDefault="009663A3">
      <w:pPr>
        <w:ind w:firstLine="720"/>
      </w:pPr>
      <w:bookmarkStart w:id="243" w:name="_Ref417216003"/>
      <w:bookmarkStart w:id="244" w:name="_Toc417646812"/>
    </w:p>
    <w:p w:rsidR="00402035" w:rsidRDefault="00402035" w:rsidP="00402035">
      <w:pPr>
        <w:pStyle w:val="Heading3"/>
      </w:pPr>
      <w:bookmarkStart w:id="245" w:name="_Ref418527845"/>
      <w:r>
        <w:t xml:space="preserve">Regulator’s Error in Estimating </w:t>
      </w:r>
      <m:oMath>
        <m:sSub>
          <m:sSubPr>
            <m:ctrlPr>
              <w:rPr>
                <w:rFonts w:ascii="Cambria Math" w:hAnsi="Cambria Math"/>
              </w:rPr>
            </m:ctrlPr>
          </m:sSubPr>
          <m:e>
            <m:acc>
              <m:accPr>
                <m:ctrlPr>
                  <w:rPr>
                    <w:rFonts w:ascii="Cambria Math" w:hAnsi="Cambria Math"/>
                    <w:sz w:val="24"/>
                    <w:szCs w:val="24"/>
                  </w:rPr>
                </m:ctrlPr>
              </m:accPr>
              <m:e>
                <m:r>
                  <w:rPr>
                    <w:rFonts w:ascii="Cambria Math" w:hAnsi="Cambria Math"/>
                  </w:rPr>
                  <m:t>I</m:t>
                </m:r>
              </m:e>
            </m:acc>
          </m:e>
          <m:sub>
            <m:r>
              <w:rPr>
                <w:rFonts w:ascii="Cambria Math" w:hAnsi="Cambria Math"/>
              </w:rPr>
              <m:t>i</m:t>
            </m:r>
          </m:sub>
        </m:sSub>
        <m:d>
          <m:dPr>
            <m:ctrlPr>
              <w:rPr>
                <w:rFonts w:ascii="Cambria Math" w:hAnsi="Cambria Math"/>
              </w:rPr>
            </m:ctrlPr>
          </m:dPr>
          <m:e>
            <m:r>
              <w:rPr>
                <w:rFonts w:ascii="Cambria Math" w:hAnsi="Cambria Math"/>
              </w:rPr>
              <m:t>0</m:t>
            </m:r>
          </m:e>
        </m:d>
      </m:oMath>
      <w:bookmarkEnd w:id="245"/>
    </w:p>
    <w:bookmarkEnd w:id="243"/>
    <w:bookmarkEnd w:id="244"/>
    <w:p w:rsidR="003118BF" w:rsidRDefault="003118BF" w:rsidP="003118BF">
      <w:r>
        <w:t xml:space="preserve">The total cost and impact of the cap and trade system depends on the cap set for each site. </w:t>
      </w:r>
      <w:r w:rsidR="00AC24BF">
        <w:t>To illustrate, t</w:t>
      </w:r>
      <w:r>
        <w:t xml:space="preserve">ake one site in isolation. At the extremes, the cap may be so low or so high that the developer cannot develop or does not reduce potential impacts, respectively. Within the range </w:t>
      </w:r>
      <m:oMath>
        <m:d>
          <m:dPr>
            <m:beg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j</m:t>
                    </m:r>
                  </m:e>
                  <m:sub>
                    <m:r>
                      <w:rPr>
                        <w:rFonts w:ascii="Cambria Math" w:hAnsi="Cambria Math"/>
                      </w:rPr>
                      <m:t>max,i</m:t>
                    </m:r>
                  </m:sub>
                </m:sSub>
              </m:e>
            </m: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0</m:t>
                </m:r>
              </m:e>
            </m:d>
          </m:e>
        </m:d>
      </m:oMath>
      <w:r>
        <w:t xml:space="preserve"> the cap has some effect on the developer’s choice of layout while still allowing development. In </w:t>
      </w:r>
      <w:r>
        <w:rPr>
          <w:i/>
        </w:rPr>
        <w:t>Uniform Cap without Trade</w:t>
      </w:r>
      <w:r>
        <w:t xml:space="preserve">, we </w:t>
      </w:r>
      <w:r w:rsidR="006A19EF">
        <w:t xml:space="preserve">assume the regulator </w:t>
      </w:r>
      <w:r>
        <w:t>ignore</w:t>
      </w:r>
      <w:r w:rsidR="006A19EF">
        <w:t>s</w:t>
      </w:r>
      <w:r>
        <w:t xml:space="preserve"> this effect because the most common environmental regulations currently do not tailor restrictions to each site. However, it is reasonable that the regulator could estimate impacts in the absence of the new regulation, e.g. by </w:t>
      </w:r>
      <w:r w:rsidR="006A19EF">
        <w:t xml:space="preserve">examining </w:t>
      </w:r>
      <w:r>
        <w:t xml:space="preserve">existing </w:t>
      </w:r>
      <w:r>
        <w:lastRenderedPageBreak/>
        <w:t>development, and thus increase the chance that restrictions on impact lead to development choices within the above range.</w:t>
      </w:r>
    </w:p>
    <w:p w:rsidR="003118BF" w:rsidRDefault="003118BF" w:rsidP="003118BF">
      <w:r>
        <w:tab/>
        <w:t>In</w:t>
      </w:r>
      <w:r w:rsidR="00493263">
        <w:t xml:space="preserve"> </w:t>
      </w:r>
      <w:r w:rsidR="00493263">
        <w:rPr>
          <w:i/>
        </w:rPr>
        <w:t xml:space="preserve">Cap and Trade, </w:t>
      </w:r>
      <w:r>
        <w:t xml:space="preserve">we assume that the regulator has some ability to estimate site-level impacts in the absence of additional regulation, </w:t>
      </w:r>
      <w:proofErr w:type="gramStart"/>
      <w:r>
        <w:t xml:space="preserve">denoted  </w:t>
      </w:r>
      <m:oMath>
        <w:proofErr w:type="gramEnd"/>
        <m:sSub>
          <m:sSubPr>
            <m:ctrlPr>
              <w:rPr>
                <w:rFonts w:ascii="Cambria Math" w:hAnsi="Cambria Math"/>
                <w:i/>
              </w:rPr>
            </m:ctrlPr>
          </m:sSubPr>
          <m:e>
            <m:acc>
              <m:accPr>
                <m:ctrlPr>
                  <w:rPr>
                    <w:rFonts w:ascii="Cambria Math" w:hAnsi="Cambria Math"/>
                    <w:bCs/>
                    <w:i/>
                    <w:szCs w:val="18"/>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oMath>
      <w:r>
        <w:t>. This estimate has some error associated with it due to the regulator’s lack of perfect information. In the case study below, we start with the case where the regulator can perfectly estimate impacts in the absence of additional regulation (</w:t>
      </w:r>
      <m:oMath>
        <m:sSub>
          <m:sSubPr>
            <m:ctrlPr>
              <w:rPr>
                <w:rFonts w:ascii="Cambria Math" w:hAnsi="Cambria Math"/>
                <w:i/>
              </w:rPr>
            </m:ctrlPr>
          </m:sSubPr>
          <m:e>
            <m:acc>
              <m:accPr>
                <m:ctrlPr>
                  <w:rPr>
                    <w:rFonts w:ascii="Cambria Math" w:hAnsi="Cambria Math"/>
                    <w:bCs/>
                    <w:i/>
                    <w:szCs w:val="18"/>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0</m:t>
            </m:r>
          </m:e>
        </m:d>
      </m:oMath>
      <w:r>
        <w:t>) and then perform several sensitivity tests, including the regulator’s estimate is 1) systematically high (</w:t>
      </w:r>
      <m:oMath>
        <m:sSub>
          <m:sSubPr>
            <m:ctrlPr>
              <w:rPr>
                <w:rFonts w:ascii="Cambria Math" w:hAnsi="Cambria Math"/>
                <w:i/>
              </w:rPr>
            </m:ctrlPr>
          </m:sSubPr>
          <m:e>
            <m:acc>
              <m:accPr>
                <m:ctrlPr>
                  <w:rPr>
                    <w:rFonts w:ascii="Cambria Math" w:hAnsi="Cambria Math"/>
                    <w:bCs/>
                    <w:i/>
                    <w:szCs w:val="18"/>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r>
          <w:rPr>
            <w:rFonts w:ascii="Cambria Math" w:hAnsi="Cambria Math"/>
          </w:rPr>
          <m:t>&gt;</m:t>
        </m:r>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0</m:t>
            </m:r>
          </m:e>
        </m:d>
      </m:oMath>
      <w:r>
        <w:t>), 2) systematically low (</w:t>
      </w:r>
      <m:oMath>
        <m:sSub>
          <m:sSubPr>
            <m:ctrlPr>
              <w:rPr>
                <w:rFonts w:ascii="Cambria Math" w:hAnsi="Cambria Math"/>
                <w:i/>
              </w:rPr>
            </m:ctrlPr>
          </m:sSubPr>
          <m:e>
            <m:acc>
              <m:accPr>
                <m:ctrlPr>
                  <w:rPr>
                    <w:rFonts w:ascii="Cambria Math" w:hAnsi="Cambria Math"/>
                    <w:bCs/>
                    <w:i/>
                    <w:szCs w:val="18"/>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r>
          <w:rPr>
            <w:rFonts w:ascii="Cambria Math" w:hAnsi="Cambria Math"/>
          </w:rPr>
          <m:t>&lt;</m:t>
        </m:r>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0</m:t>
            </m:r>
          </m:e>
        </m:d>
      </m:oMath>
      <w:r>
        <w:t xml:space="preserve">), and 3) </w:t>
      </w:r>
      <w:r w:rsidR="00090D62">
        <w:t>incorrect but without bias</w:t>
      </w:r>
      <w:r>
        <w:t xml:space="preserve">. We will show that error in  </w:t>
      </w:r>
      <m:oMath>
        <m:sSub>
          <m:sSubPr>
            <m:ctrlPr>
              <w:rPr>
                <w:rFonts w:ascii="Cambria Math" w:hAnsi="Cambria Math"/>
                <w:i/>
              </w:rPr>
            </m:ctrlPr>
          </m:sSubPr>
          <m:e>
            <m:acc>
              <m:accPr>
                <m:ctrlPr>
                  <w:rPr>
                    <w:rFonts w:ascii="Cambria Math" w:hAnsi="Cambria Math"/>
                    <w:bCs/>
                    <w:i/>
                    <w:szCs w:val="18"/>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oMath>
      <w:r>
        <w:t xml:space="preserve"> does not change the possible outcomes of the system, but affects which outcomes are revealed and how the regulator’s choice (</w:t>
      </w:r>
      <w:proofErr w:type="spellStart"/>
      <w:r>
        <w:t>mis</w:t>
      </w:r>
      <w:proofErr w:type="spellEnd"/>
      <w:r>
        <w:t xml:space="preserve">)matches with the outcome </w:t>
      </w:r>
      <w:r w:rsidR="006A19EF">
        <w:t>produced</w:t>
      </w:r>
      <w:r>
        <w:t>.</w:t>
      </w:r>
    </w:p>
    <w:p w:rsidR="009663A3" w:rsidRDefault="003118BF">
      <w:pPr>
        <w:pStyle w:val="Heading3"/>
      </w:pPr>
      <w:bookmarkStart w:id="246" w:name="_Ref417216101"/>
      <w:bookmarkStart w:id="247" w:name="_Toc417646813"/>
      <w:r>
        <w:t>Case Study</w:t>
      </w:r>
      <w:bookmarkEnd w:id="246"/>
      <w:bookmarkEnd w:id="247"/>
    </w:p>
    <w:p w:rsidR="003118BF" w:rsidRPr="00E44475" w:rsidRDefault="003118BF" w:rsidP="00172E02">
      <w:pPr>
        <w:rPr>
          <w:rFonts w:cs="Times New Roman"/>
        </w:rPr>
      </w:pPr>
      <w:r w:rsidRPr="00712398">
        <w:t>We appl</w:t>
      </w:r>
      <w:r>
        <w:t>ied our framework to the Marcellus shale play in Pennsylvania, a place where enough development has occurred and enough knowledge about the development context exists to infer with some confidence the cost effectiveness of</w:t>
      </w:r>
      <w:r w:rsidR="007D6AA6">
        <w:t xml:space="preserve"> a cap and trade system. Over 9</w:t>
      </w:r>
      <w:r>
        <w:t xml:space="preserve">,000 horizontal wells have been drilled in the Marcellus region of Pennsylvania since 2008 – Pennsylvania Department of Environmental Protection’s permit reporting database – and many more are likely to come. The construction of well pads, access roads, and gathering pipelines is occurring in areas of high conservation priority </w:t>
      </w:r>
      <w:r w:rsidR="00F01773">
        <w:fldChar w:fldCharType="begin" w:fldLock="1"/>
      </w:r>
      <w:r w:rsidR="00B32474">
        <w:instrText>ADDIN CSL_CITATION { "citationItems" : [ { "id" : "ITEM-1", "itemData" : { "author" : [ { "dropping-particle" : "", "family" : "Johnson", "given" : "Nels", "non-dropping-particle" : "", "parse-names" : false, "suffix" : "" }, { "dropping-particle" : "", "family" : "Gagnolet", "given" : "Tamara", "non-dropping-particle" : "", "parse-names" : false, "suffix" : "" }, { "dropping-particle" : "", "family" : "Ralls", "given" : "Rachel", "non-dropping-particle" : "", "parse-names" : false, "suffix" : "" }, { "dropping-particle" : "", "family" : "Zimmerman", "given" : "Ephraim", "non-dropping-particle" : "", "parse-names" : false, "suffix" : "" }, { "dropping-particle" : "", "family" : "Eichelberger", "given" : "B.", "non-dropping-particle" : "", "parse-names" : false, "suffix" : "" }, { "dropping-particle" : "", "family" : "Tracey", "given" : "C.", "non-dropping-particle" : "", "parse-names" : false, "suffix" : "" }, { "dropping-particle" : "", "family" : "Kreitler", "given" : "G.", "non-dropping-particle" : "", "parse-names" : false, "suffix" : "" }, { "dropping-particle" : "", "family" : "Orndorff", "given" : "S.", "non-dropping-particle" : "", "parse-names" : false, "suffix" : "" }, { "dropping-particle" : "", "family" : "Tomlinson", "given" : "J.", "non-dropping-particle" : "", "parse-names" : false, "suffix" : "" }, { "dropping-particle" : "", "family" : "Bearer", "given" : "S.", "non-dropping-particle" : "", "parse-names" : false, "suffix" : "" }, { "dropping-particle" : "", "family" : "Sargent", "given" : "S", "non-dropping-particle" : "", "parse-names" : false, "suffix" : "" } ], "id" : "ITEM-1", "issued" : { "date-parts" : [ [ "2010" ] ] }, "publisher-place" : "Harrisburg, PA", "title" : "Pennsylvania Energy Impacts Assessment", "type" : "report" }, "uris" : [ "http://www.mendeley.com/documents/?uuid=d0e7d30a-ed7f-4214-8eae-c6090942392a" ] } ], "mendeley" : { "formattedCitation" : "(Johnson &lt;i&gt;et al.&lt;/i&gt; 2010)", "plainTextFormattedCitation" : "(Johnson et al. 2010)", "previouslyFormattedCitation" : "(Johnson &lt;i&gt;et al.&lt;/i&gt; 2010)" }, "properties" : { "noteIndex" : 0 }, "schema" : "https://github.com/citation-style-language/schema/raw/master/csl-citation.json" }</w:instrText>
      </w:r>
      <w:r w:rsidR="00F01773">
        <w:fldChar w:fldCharType="separate"/>
      </w:r>
      <w:r w:rsidR="00B32474" w:rsidRPr="00B32474">
        <w:rPr>
          <w:noProof/>
        </w:rPr>
        <w:t xml:space="preserve">(Johnson </w:t>
      </w:r>
      <w:r w:rsidR="00B32474" w:rsidRPr="00B32474">
        <w:rPr>
          <w:i/>
          <w:noProof/>
        </w:rPr>
        <w:t>et al.</w:t>
      </w:r>
      <w:r w:rsidR="00B32474" w:rsidRPr="00B32474">
        <w:rPr>
          <w:noProof/>
        </w:rPr>
        <w:t xml:space="preserve"> 2010)</w:t>
      </w:r>
      <w:r w:rsidR="00F01773">
        <w:fldChar w:fldCharType="end"/>
      </w:r>
      <w:r>
        <w:t xml:space="preserve"> resulting in degradation and destruction </w:t>
      </w:r>
      <w:r w:rsidRPr="00E44475">
        <w:rPr>
          <w:rFonts w:cs="Times New Roman"/>
        </w:rPr>
        <w:t xml:space="preserve">of many environmental features including forests, wetlands, streams, and other features important for biodiversity and recreation in the area </w:t>
      </w:r>
      <w:r w:rsidR="00F01773">
        <w:rPr>
          <w:rFonts w:cs="Times New Roman"/>
        </w:rPr>
        <w:fldChar w:fldCharType="begin" w:fldLock="1"/>
      </w:r>
      <w:r w:rsidR="00B32474">
        <w:rPr>
          <w:rFonts w:cs="Times New Roman"/>
        </w:rPr>
        <w:instrText>ADDIN CSL_CITATION { "citationItems" : [ { "id" : "ITEM-1", "itemData" : { "author" : [ { "dropping-particle" : "", "family" : "Johnson", "given" : "Nels", "non-dropping-particle" : "", "parse-names" : false, "suffix" : "" }, { "dropping-particle" : "", "family" : "Gagnolet", "given" : "Tamara", "non-dropping-particle" : "", "parse-names" : false, "suffix" : "" }, { "dropping-particle" : "", "family" : "Ralls", "given" : "Rachel", "non-dropping-particle" : "", "parse-names" : false, "suffix" : "" }, { "dropping-particle" : "", "family" : "Zimmerman", "given" : "Ephraim", "non-dropping-particle" : "", "parse-names" : false, "suffix" : "" }, { "dropping-particle" : "", "family" : "Eichelberger", "given" : "B.", "non-dropping-particle" : "", "parse-names" : false, "suffix" : "" }, { "dropping-particle" : "", "family" : "Tracey", "given" : "C.", "non-dropping-particle" : "", "parse-names" : false, "suffix" : "" }, { "dropping-particle" : "", "family" : "Kreitler", "given" : "G.", "non-dropping-particle" : "", "parse-names" : false, "suffix" : "" }, { "dropping-particle" : "", "family" : "Orndorff", "given" : "S.", "non-dropping-particle" : "", "parse-names" : false, "suffix" : "" }, { "dropping-particle" : "", "family" : "Tomlinson", "given" : "J.", "non-dropping-particle" : "", "parse-names" : false, "suffix" : "" }, { "dropping-particle" : "", "family" : "Bearer", "given" : "S.", "non-dropping-particle" : "", "parse-names" : false, "suffix" : "" }, { "dropping-particle" : "", "family" : "Sargent", "given" : "S", "non-dropping-particle" : "", "parse-names" : false, "suffix" : "" } ], "id" : "ITEM-1", "issued" : { "date-parts" : [ [ "2010" ] ] }, "publisher-place" : "Harrisburg, PA", "title" : "Pennsylvania Energy Impacts Assessment", "type" : "report" }, "uris" : [ "http://www.mendeley.com/documents/?uuid=d0e7d30a-ed7f-4214-8eae-c6090942392a" ] } ], "mendeley" : { "formattedCitation" : "(Johnson &lt;i&gt;et al.&lt;/i&gt; 2010)", "plainTextFormattedCitation" : "(Johnson et al. 2010)", "previouslyFormattedCitation" : "(Johnson &lt;i&gt;et al.&lt;/i&gt; 2010)" }, "properties" : { "noteIndex" : 0 }, "schema" : "https://github.com/citation-style-language/schema/raw/master/csl-citation.json" }</w:instrText>
      </w:r>
      <w:r w:rsidR="00F01773">
        <w:rPr>
          <w:rFonts w:cs="Times New Roman"/>
        </w:rPr>
        <w:fldChar w:fldCharType="separate"/>
      </w:r>
      <w:r w:rsidR="00B32474" w:rsidRPr="00B32474">
        <w:rPr>
          <w:rFonts w:cs="Times New Roman"/>
          <w:noProof/>
        </w:rPr>
        <w:t xml:space="preserve">(Johnson </w:t>
      </w:r>
      <w:r w:rsidR="00B32474" w:rsidRPr="00B32474">
        <w:rPr>
          <w:rFonts w:cs="Times New Roman"/>
          <w:i/>
          <w:noProof/>
        </w:rPr>
        <w:t>et al.</w:t>
      </w:r>
      <w:r w:rsidR="00B32474" w:rsidRPr="00B32474">
        <w:rPr>
          <w:rFonts w:cs="Times New Roman"/>
          <w:noProof/>
        </w:rPr>
        <w:t xml:space="preserve"> 2010)</w:t>
      </w:r>
      <w:r w:rsidR="00F01773">
        <w:rPr>
          <w:rFonts w:cs="Times New Roman"/>
        </w:rPr>
        <w:fldChar w:fldCharType="end"/>
      </w:r>
      <w:r w:rsidR="006A19EF">
        <w:rPr>
          <w:rFonts w:cs="Times New Roman"/>
        </w:rPr>
        <w:t xml:space="preserve"> (also see dissertation Introduction)</w:t>
      </w:r>
      <w:r w:rsidRPr="00E44475">
        <w:rPr>
          <w:rFonts w:cs="Times New Roman"/>
        </w:rPr>
        <w:t xml:space="preserve">. </w:t>
      </w:r>
    </w:p>
    <w:p w:rsidR="003118BF" w:rsidRPr="00BB6168" w:rsidRDefault="003118BF" w:rsidP="00534CA3">
      <w:pPr>
        <w:ind w:firstLine="720"/>
      </w:pPr>
      <w:r>
        <w:t xml:space="preserve">We used the results of the previous chapter </w:t>
      </w:r>
      <w:r w:rsidRPr="00E44475">
        <w:t>for our analysis here</w:t>
      </w:r>
      <w:r w:rsidR="006A19EF">
        <w:t xml:space="preserve"> (Chapter 3)</w:t>
      </w:r>
      <w:r w:rsidRPr="00E44475">
        <w:t xml:space="preserve">. In our previous study, we created a spatial planning software call Bungee to place well pads, access roads, and gathering pipelines at 85 sites in Pennsylvania. Site boundaries were derived by overlaying production units on existing well locations and then joining adjacent land parcels to fully contain those production units. In that study, production units were 914 </w:t>
      </w:r>
      <w:r w:rsidRPr="00E44475">
        <w:rPr>
          <w:rFonts w:hAnsi="Cambria Math"/>
        </w:rPr>
        <w:t>⨉</w:t>
      </w:r>
      <w:r w:rsidRPr="00E44475">
        <w:t xml:space="preserve"> 3353 m (3000 </w:t>
      </w:r>
      <w:r w:rsidRPr="00E44475">
        <w:rPr>
          <w:rFonts w:hAnsi="Cambria Math"/>
        </w:rPr>
        <w:t>⨉</w:t>
      </w:r>
      <w:r w:rsidRPr="00E44475">
        <w:t xml:space="preserve"> 11000 ft) rectangles rotated 27°</w:t>
      </w:r>
      <w:r>
        <w:t xml:space="preserve"> counter-clockwise and which represent the area of gas extracted by a well pad with 6 wells. Bungee uses a complex spatial optimization algorithm to find many infrastructure layouts within a site</w:t>
      </w:r>
      <w:r w:rsidR="006A19EF">
        <w:t xml:space="preserve"> (Chapter 3 Appendix)</w:t>
      </w:r>
      <w:r>
        <w:t>. The first such layout is a cost-minimizing layout that ignores environmental impacts other than those already imposed by regulation. Subsequent layouts redu</w:t>
      </w:r>
      <w:r w:rsidRPr="00BB6168">
        <w:t>ce impacts at increasing cost, such that no final layout is simultaneously more impacting and more costly than any other.</w:t>
      </w:r>
    </w:p>
    <w:p w:rsidR="003118BF" w:rsidRPr="00BB6168" w:rsidRDefault="003118BF" w:rsidP="00172E02">
      <w:pPr>
        <w:ind w:firstLine="720"/>
      </w:pPr>
      <w:r w:rsidRPr="00BB6168">
        <w:lastRenderedPageBreak/>
        <w:t>We were forced to adjust the Impact Scores associated with layouts produced by Bungee in order to use them in our analysis here. The Impact Score aggregates across several metrics of environmental impact to represent the total impact of a layout in a site</w:t>
      </w:r>
      <w:r w:rsidR="006A19EF">
        <w:t xml:space="preserve"> (Chapter 3 Appendix)</w:t>
      </w:r>
      <w:r w:rsidRPr="00BB6168">
        <w:t>. It is formulated in such a way that Impact Scores at one site cannot be directly compared to Impact Scores at another site, which violates two conditions necessary for this analysis, including that impacts can be added across sites and that impacts can be traded (or offset) from one site to another. To get around this, we recalculated the Impact Scores associated with each of our layo</w:t>
      </w:r>
      <w:r w:rsidR="004049FF">
        <w:t xml:space="preserve">uts to make them comparable (p. </w:t>
      </w:r>
      <w:r w:rsidR="00F01773">
        <w:fldChar w:fldCharType="begin"/>
      </w:r>
      <w:r w:rsidR="004049FF">
        <w:instrText xml:space="preserve"> PAGEREF _Ref417646323 \h </w:instrText>
      </w:r>
      <w:r w:rsidR="00F01773">
        <w:fldChar w:fldCharType="separate"/>
      </w:r>
      <w:r w:rsidR="00867AA7">
        <w:rPr>
          <w:noProof/>
        </w:rPr>
        <w:t>148</w:t>
      </w:r>
      <w:r w:rsidR="00F01773">
        <w:fldChar w:fldCharType="end"/>
      </w:r>
      <w:r w:rsidRPr="00BB6168">
        <w:t xml:space="preserve">). </w:t>
      </w:r>
      <w:r w:rsidR="006A19EF">
        <w:t>After</w:t>
      </w:r>
      <w:r w:rsidR="006A19EF" w:rsidRPr="00BB6168">
        <w:t xml:space="preserve"> </w:t>
      </w:r>
      <w:r w:rsidRPr="00BB6168">
        <w:t xml:space="preserve">transformation 28 sites </w:t>
      </w:r>
      <w:r w:rsidR="006A19EF">
        <w:t>had</w:t>
      </w:r>
      <w:r w:rsidR="006A19EF" w:rsidRPr="00BB6168">
        <w:t xml:space="preserve"> </w:t>
      </w:r>
      <w:r w:rsidRPr="00BB6168">
        <w:t xml:space="preserve">layouts that violated the </w:t>
      </w:r>
      <w:r w:rsidR="00D32E84">
        <w:t>Pareto</w:t>
      </w:r>
      <w:r w:rsidRPr="00BB6168">
        <w:t xml:space="preserve"> conditions necessary for the analysis. We chose to exclude those 28 sites, leaving us with 56 sites in total</w:t>
      </w:r>
      <w:r w:rsidR="009C3518">
        <w:t xml:space="preserve"> (</w:t>
      </w:r>
      <w:r w:rsidR="00520284">
        <w:rPr>
          <w:rFonts w:ascii="Cambria Math" w:hAnsi="Cambria Math"/>
        </w:rPr>
        <w:t>§</w:t>
      </w:r>
      <w:r w:rsidR="00F01773">
        <w:rPr>
          <w:rFonts w:ascii="Cambria Math" w:hAnsi="Cambria Math"/>
        </w:rPr>
        <w:fldChar w:fldCharType="begin"/>
      </w:r>
      <w:r w:rsidR="007D6AA6">
        <w:rPr>
          <w:rFonts w:ascii="Cambria Math" w:hAnsi="Cambria Math"/>
        </w:rPr>
        <w:instrText xml:space="preserve"> REF _Ref417646323 \r \h </w:instrText>
      </w:r>
      <w:r w:rsidR="00F01773">
        <w:rPr>
          <w:rFonts w:ascii="Cambria Math" w:hAnsi="Cambria Math"/>
        </w:rPr>
      </w:r>
      <w:r w:rsidR="00F01773">
        <w:rPr>
          <w:rFonts w:ascii="Cambria Math" w:hAnsi="Cambria Math"/>
        </w:rPr>
        <w:fldChar w:fldCharType="separate"/>
      </w:r>
      <w:r w:rsidR="00867AA7">
        <w:rPr>
          <w:rFonts w:ascii="Cambria Math" w:hAnsi="Cambria Math"/>
        </w:rPr>
        <w:t>4.6.1</w:t>
      </w:r>
      <w:r w:rsidR="00F01773">
        <w:rPr>
          <w:rFonts w:ascii="Cambria Math" w:hAnsi="Cambria Math"/>
        </w:rPr>
        <w:fldChar w:fldCharType="end"/>
      </w:r>
      <w:r w:rsidR="00247705">
        <w:rPr>
          <w:rFonts w:ascii="Cambria Math" w:hAnsi="Cambria Math"/>
        </w:rPr>
        <w:t xml:space="preserve"> </w:t>
      </w:r>
      <w:r w:rsidR="009C3518">
        <w:t>in Appendix</w:t>
      </w:r>
      <w:r>
        <w:t>)</w:t>
      </w:r>
      <w:r w:rsidRPr="00BB6168">
        <w:t>. Those 56 sites range in size (1-14 well pads</w:t>
      </w:r>
      <w:r>
        <w:t xml:space="preserve"> or 6-84 wells</w:t>
      </w:r>
      <w:r w:rsidRPr="00BB6168">
        <w:t>) and number of layouts (2-16).</w:t>
      </w:r>
    </w:p>
    <w:p w:rsidR="003118BF" w:rsidRDefault="003118BF" w:rsidP="00172E02">
      <w:pPr>
        <w:ind w:firstLine="720"/>
      </w:pPr>
      <w:r>
        <w:t xml:space="preserve">We also adjusted the construction costs estimated by Bungee to fit with this analysis. Bungee already estimates the construction cost of surface infrastructure, but this excludes many other costs associated with developing a site, including acquisition and leasing, below-ground infrastructure, and processing of gas </w:t>
      </w:r>
      <w:r w:rsidR="00F01773">
        <w:fldChar w:fldCharType="begin" w:fldLock="1"/>
      </w:r>
      <w:r w:rsidR="00B32474">
        <w:instrText>ADDIN CSL_CITATION { "citationItems" : [ { "id" : "ITEM-1", "itemData" : { "DOI" : "10.1007/978-3-319-11499-6_2", "ISBN" : "978-3-319-11498-9", "author" : [ { "dropping-particle" : "", "family" : "Hefley", "given" : "WilliamE.", "non-dropping-particle" : "", "parse-names" : false, "suffix" : "" }, { "dropping-particle" : "", "family" : "Seydor", "given" : "ShaunM.", "non-dropping-particle" : "", "parse-names" : false, "suffix" : "" } ], "collection-title" : "Natural Resource Management and Policy", "container-title" : "Economics of Unconventional Shale Gas Development SE - 2", "editor" : [ { "dropping-particle" : "", "family" : "Hefley", "given" : "William E", "non-dropping-particle" : "", "parse-names" : false, "suffix" : "" }, { "dropping-particle" : "", "family" : "Wang", "given" : "Yongsheng", "non-dropping-particle" : "", "parse-names" : false, "suffix" : "" } ], "id" : "ITEM-1", "issued" : { "date-parts" : [ [ "2015" ] ] }, "language" : "English", "page" : "15-45", "publisher" : "Springer International Publishing", "title" : "Direct Economic Impact of the Value Chain of a Marcellus Shale Gas Well", "type" : "chapter", "volume" : "45" }, "uris" : [ "http://www.mendeley.com/documents/?uuid=1e148bf8-4b9b-4c95-bb3b-a4a3ec8dc846" ] } ], "mendeley" : { "formattedCitation" : "(Hefley &amp; Seydor 2015)", "plainTextFormattedCitation" : "(Hefley &amp; Seydor 2015)", "previouslyFormattedCitation" : "(Hefley &amp; Seydor 2015)" }, "properties" : { "noteIndex" : 0 }, "schema" : "https://github.com/citation-style-language/schema/raw/master/csl-citation.json" }</w:instrText>
      </w:r>
      <w:r w:rsidR="00F01773">
        <w:fldChar w:fldCharType="separate"/>
      </w:r>
      <w:r w:rsidR="00B32474" w:rsidRPr="00B32474">
        <w:rPr>
          <w:noProof/>
        </w:rPr>
        <w:t>(Hefley &amp; Seydor 2015)</w:t>
      </w:r>
      <w:r w:rsidR="00F01773">
        <w:fldChar w:fldCharType="end"/>
      </w:r>
      <w:r>
        <w:t xml:space="preserve">. We used the costs calculated for a single well and summarized in Table 8 of Hefley and </w:t>
      </w:r>
      <w:proofErr w:type="spellStart"/>
      <w:r>
        <w:t>Seydor</w:t>
      </w:r>
      <w:proofErr w:type="spellEnd"/>
      <w:r>
        <w:t xml:space="preserve"> </w:t>
      </w:r>
      <w:r w:rsidR="00F01773">
        <w:fldChar w:fldCharType="begin" w:fldLock="1"/>
      </w:r>
      <w:r>
        <w:instrText>ADDIN CSL_CITATION { "citationItems" : [ { "id" : "ITEM-1", "itemData" : { "DOI" : "10.1007/978-3-319-11499-6_2", "ISBN" : "978-3-319-11498-9", "author" : [ { "dropping-particle" : "", "family" : "Hefley", "given" : "WilliamE.", "non-dropping-particle" : "", "parse-names" : false, "suffix" : "" }, { "dropping-particle" : "", "family" : "Seydor", "given" : "ShaunM.", "non-dropping-particle" : "", "parse-names" : false, "suffix" : "" } ], "collection-title" : "Natural Resource Management and Policy", "container-title" : "Economics of Unconventional Shale Gas Development SE - 2", "editor" : [ { "dropping-particle" : "", "family" : "Hefley", "given" : "William E", "non-dropping-particle" : "", "parse-names" : false, "suffix" : "" }, { "dropping-particle" : "", "family" : "Wang", "given" : "Yongsheng", "non-dropping-particle" : "", "parse-names" : false, "suffix" : "" } ], "id" : "ITEM-1", "issued" : { "date-parts" : [ [ "2015" ] ] }, "language" : "English", "page" : "15-45", "publisher" : "Springer International Publishing", "title" : "Direct Economic Impact of the Value Chain of a Marcellus Shale Gas Well", "type" : "chapter", "volume" : "45" }, "suppress-author" : 1, "uris" : [ "http://www.mendeley.com/documents/?uuid=1e148bf8-4b9b-4c95-bb3b-a4a3ec8dc846" ] } ], "mendeley" : { "formattedCitation" : "(2015)", "plainTextFormattedCitation" : "(2015)", "previouslyFormattedCitation" : "(2015)" }, "properties" : { "noteIndex" : 0 }, "schema" : "https://github.com/citation-style-language/schema/raw/master/csl-citation.json" }</w:instrText>
      </w:r>
      <w:r w:rsidR="00F01773">
        <w:fldChar w:fldCharType="separate"/>
      </w:r>
      <w:r w:rsidRPr="009F5F54">
        <w:rPr>
          <w:noProof/>
        </w:rPr>
        <w:t>(2015)</w:t>
      </w:r>
      <w:r w:rsidR="00F01773">
        <w:fldChar w:fldCharType="end"/>
      </w:r>
      <w:r>
        <w:t xml:space="preserve">, excluding ‘Permitting’ and ‘Site Preparation’, which Bungee already includes. </w:t>
      </w:r>
      <w:r w:rsidR="00247705">
        <w:t xml:space="preserve">For most costs, we multiplied these single well costs by the number of wells in a site and added it to the surface infrastructure costs. For acquisition costs, we multiplied by the number of well pads in a site since Hefley and </w:t>
      </w:r>
      <w:proofErr w:type="spellStart"/>
      <w:r w:rsidR="00247705">
        <w:t>Seydor</w:t>
      </w:r>
      <w:proofErr w:type="spellEnd"/>
      <w:r w:rsidR="00247705">
        <w:t xml:space="preserve"> </w:t>
      </w:r>
      <w:r w:rsidR="00247705">
        <w:fldChar w:fldCharType="begin" w:fldLock="1"/>
      </w:r>
      <w:r w:rsidR="00247705">
        <w:instrText>ADDIN CSL_CITATION { "citationItems" : [ { "id" : "ITEM-1", "itemData" : { "DOI" : "10.1007/978-3-319-11499-6_2", "ISBN" : "978-3-319-11498-9", "author" : [ { "dropping-particle" : "", "family" : "Hefley", "given" : "WilliamE.", "non-dropping-particle" : "", "parse-names" : false, "suffix" : "" }, { "dropping-particle" : "", "family" : "Seydor", "given" : "ShaunM.", "non-dropping-particle" : "", "parse-names" : false, "suffix" : "" } ], "collection-title" : "Natural Resource Management and Policy", "container-title" : "Economics of Unconventional Shale Gas Development SE - 2", "editor" : [ { "dropping-particle" : "", "family" : "Hefley", "given" : "William E", "non-dropping-particle" : "", "parse-names" : false, "suffix" : "" }, { "dropping-particle" : "", "family" : "Wang", "given" : "Yongsheng", "non-dropping-particle" : "", "parse-names" : false, "suffix" : "" } ], "id" : "ITEM-1", "issued" : { "date-parts" : [ [ "2015" ] ] }, "language" : "English", "page" : "15-45", "publisher" : "Springer International Publishing", "title" : "Direct Economic Impact of the Value Chain of a Marcellus Shale Gas Well", "type" : "chapter", "volume" : "45" }, "suppress-author" : 1, "uris" : [ "http://www.mendeley.com/documents/?uuid=1e148bf8-4b9b-4c95-bb3b-a4a3ec8dc846" ] } ], "mendeley" : { "formattedCitation" : "(2015)", "plainTextFormattedCitation" : "(2015)", "previouslyFormattedCitation" : "(2015)" }, "properties" : { "noteIndex" : 0 }, "schema" : "https://github.com/citation-style-language/schema/raw/master/csl-citation.json" }</w:instrText>
      </w:r>
      <w:r w:rsidR="00247705">
        <w:fldChar w:fldCharType="separate"/>
      </w:r>
      <w:r w:rsidR="00247705" w:rsidRPr="009F5F54">
        <w:rPr>
          <w:noProof/>
        </w:rPr>
        <w:t>(2015)</w:t>
      </w:r>
      <w:r w:rsidR="00247705">
        <w:fldChar w:fldCharType="end"/>
      </w:r>
      <w:r w:rsidR="00247705">
        <w:t xml:space="preserve"> base acquisition cost on a single drillin</w:t>
      </w:r>
      <w:r w:rsidR="00247705">
        <w:t>g unit corresponding to one pad</w:t>
      </w:r>
      <w:r w:rsidR="007674D6">
        <w:t>.</w:t>
      </w:r>
      <w:r>
        <w:t xml:space="preserve"> This approach likely overestimates the costs of developing a site. </w:t>
      </w:r>
      <w:r w:rsidRPr="00BB6168">
        <w:t>To calculate the present value of gas in a site which is used to create the “dummy” layout described in §</w:t>
      </w:r>
      <w:r w:rsidR="00F01773">
        <w:fldChar w:fldCharType="begin"/>
      </w:r>
      <w:r w:rsidR="00520284">
        <w:instrText xml:space="preserve"> REF _Ref418588028 \r \h </w:instrText>
      </w:r>
      <w:r w:rsidR="00F01773">
        <w:fldChar w:fldCharType="separate"/>
      </w:r>
      <w:r w:rsidR="00867AA7">
        <w:t>4.3.3</w:t>
      </w:r>
      <w:r w:rsidR="00F01773">
        <w:fldChar w:fldCharType="end"/>
      </w:r>
      <w:r w:rsidRPr="00BB6168">
        <w:t>, we used a linear estimate of the flow rate of gas from wells in our study area and combined that with a constant market price of gas and monetary discount rate (</w:t>
      </w:r>
      <w:r w:rsidR="004049FF">
        <w:t xml:space="preserve">p. </w:t>
      </w:r>
      <w:r w:rsidR="00F01773">
        <w:fldChar w:fldCharType="begin"/>
      </w:r>
      <w:r w:rsidR="004049FF">
        <w:instrText xml:space="preserve"> PAGEREF _Ref417646292 \h </w:instrText>
      </w:r>
      <w:r w:rsidR="00F01773">
        <w:fldChar w:fldCharType="separate"/>
      </w:r>
      <w:r w:rsidR="00867AA7">
        <w:rPr>
          <w:noProof/>
        </w:rPr>
        <w:t>149</w:t>
      </w:r>
      <w:r w:rsidR="00F01773">
        <w:fldChar w:fldCharType="end"/>
      </w:r>
      <w:r w:rsidRPr="00BB6168">
        <w:t>).</w:t>
      </w:r>
      <w:r>
        <w:t xml:space="preserve"> </w:t>
      </w:r>
      <w:r w:rsidR="00EB75C3">
        <w:t xml:space="preserve">Gas was assumed to flow until the rate became zero, i.e. the gas ran out. </w:t>
      </w:r>
      <w:r>
        <w:t>We assumed every well would produce the same amount of gas at the same rate and simply multiplied the number of wells in a site by the present value of gas in a well to get the present value of gas in the site.</w:t>
      </w:r>
    </w:p>
    <w:p w:rsidR="00534CA3" w:rsidRDefault="003118BF" w:rsidP="00534CA3">
      <w:pPr>
        <w:ind w:firstLine="720"/>
        <w:rPr>
          <w:rFonts w:eastAsiaTheme="minorEastAsia"/>
        </w:rPr>
      </w:pPr>
      <w:r>
        <w:t xml:space="preserve">We analyzed the total cost and total impact across our 56 case study sites for various caps on impact and many sensitivity tests of the error </w:t>
      </w:r>
      <w:proofErr w:type="gramStart"/>
      <w:r>
        <w:t xml:space="preserve">in </w:t>
      </w:r>
      <m:oMath>
        <w:proofErr w:type="gramEnd"/>
        <m:sSub>
          <m:sSubPr>
            <m:ctrlPr>
              <w:rPr>
                <w:rFonts w:ascii="Cambria Math" w:hAnsi="Cambria Math"/>
                <w:i/>
              </w:rPr>
            </m:ctrlPr>
          </m:sSubPr>
          <m:e>
            <m:acc>
              <m:accPr>
                <m:ctrlPr>
                  <w:rPr>
                    <w:rFonts w:ascii="Cambria Math" w:hAnsi="Cambria Math"/>
                    <w:bCs/>
                    <w:i/>
                    <w:szCs w:val="18"/>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xml:space="preserve">. For </w:t>
      </w:r>
      <w:r>
        <w:rPr>
          <w:rFonts w:eastAsiaTheme="minorEastAsia"/>
          <w:i/>
        </w:rPr>
        <w:t>Uniform Cap without Trade</w:t>
      </w:r>
      <w:r>
        <w:rPr>
          <w:rFonts w:eastAsiaTheme="minorEastAsia"/>
        </w:rPr>
        <w:t xml:space="preserve">, we analyzed the system for 40 values of </w:t>
      </w:r>
      <m:oMath>
        <m:r>
          <w:rPr>
            <w:rFonts w:ascii="Cambria Math" w:eastAsiaTheme="minorEastAsia" w:hAnsi="Cambria Math"/>
          </w:rPr>
          <m:t>A</m:t>
        </m:r>
      </m:oMath>
      <w:r>
        <w:rPr>
          <w:rFonts w:eastAsiaTheme="minorEastAsia"/>
        </w:rPr>
        <w:t xml:space="preserve"> between 0 and 5. The lower bound was chosen to show where zero impact was allowed, while the upper bound ensured that the cap would exceed any single site’s maximum impact. For </w:t>
      </w:r>
      <w:r>
        <w:rPr>
          <w:rFonts w:eastAsiaTheme="minorEastAsia"/>
          <w:i/>
        </w:rPr>
        <w:t>Omniscient Social Planner</w:t>
      </w:r>
      <w:r>
        <w:rPr>
          <w:rFonts w:eastAsiaTheme="minorEastAsia"/>
        </w:rPr>
        <w:t xml:space="preserve">, we analyzed the system for 40 values of </w:t>
      </w:r>
      <m:oMath>
        <m:r>
          <w:rPr>
            <w:rFonts w:ascii="Cambria Math" w:eastAsiaTheme="minorEastAsia" w:hAnsi="Cambria Math"/>
          </w:rPr>
          <m:t>α</m:t>
        </m:r>
      </m:oMath>
      <w:r>
        <w:rPr>
          <w:rFonts w:eastAsiaTheme="minorEastAsia"/>
        </w:rPr>
        <w:t xml:space="preserve"> between 0 </w:t>
      </w:r>
      <w:r w:rsidR="00E53D6C">
        <w:rPr>
          <w:rFonts w:eastAsiaTheme="minorEastAsia"/>
        </w:rPr>
        <w:t>and</w:t>
      </w:r>
      <w:r>
        <w:rPr>
          <w:rFonts w:eastAsiaTheme="minorEastAsia"/>
        </w:rPr>
        <w:t xml:space="preserve"> 1 to look at the full range of impacts. For </w:t>
      </w:r>
      <w:r>
        <w:rPr>
          <w:rFonts w:eastAsiaTheme="minorEastAsia"/>
          <w:i/>
        </w:rPr>
        <w:t>Cap and Trade</w:t>
      </w:r>
      <w:r>
        <w:rPr>
          <w:rFonts w:eastAsiaTheme="minorEastAsia"/>
        </w:rPr>
        <w:t xml:space="preserve">, we analyzed the system for combinations of </w:t>
      </w:r>
      <m:oMath>
        <m:r>
          <w:rPr>
            <w:rFonts w:ascii="Cambria Math" w:eastAsiaTheme="minorEastAsia" w:hAnsi="Cambria Math"/>
          </w:rPr>
          <m:t>α</m:t>
        </m:r>
      </m:oMath>
      <w:r>
        <w:rPr>
          <w:rFonts w:eastAsiaTheme="minorEastAsia"/>
        </w:rPr>
        <w:t xml:space="preserve"> and error </w:t>
      </w:r>
      <w:proofErr w:type="gramStart"/>
      <w:r>
        <w:rPr>
          <w:rFonts w:eastAsiaTheme="minorEastAsia"/>
        </w:rPr>
        <w:t xml:space="preserve">in </w:t>
      </w:r>
      <m:oMath>
        <w:proofErr w:type="gramEnd"/>
        <m:sSub>
          <m:sSubPr>
            <m:ctrlPr>
              <w:rPr>
                <w:rFonts w:ascii="Cambria Math" w:hAnsi="Cambria Math"/>
                <w:i/>
              </w:rPr>
            </m:ctrlPr>
          </m:sSubPr>
          <m:e>
            <m:acc>
              <m:accPr>
                <m:ctrlPr>
                  <w:rPr>
                    <w:rFonts w:ascii="Cambria Math" w:hAnsi="Cambria Math"/>
                    <w:bCs/>
                    <w:i/>
                    <w:szCs w:val="18"/>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xml:space="preserve">. As before, we looked at </w:t>
      </w:r>
      <w:r>
        <w:rPr>
          <w:rFonts w:eastAsiaTheme="minorEastAsia"/>
        </w:rPr>
        <w:lastRenderedPageBreak/>
        <w:t xml:space="preserve">40 values of </w:t>
      </w:r>
      <m:oMath>
        <m:r>
          <w:rPr>
            <w:rFonts w:ascii="Cambria Math" w:eastAsiaTheme="minorEastAsia" w:hAnsi="Cambria Math"/>
          </w:rPr>
          <m:t>α</m:t>
        </m:r>
      </m:oMath>
      <w:r>
        <w:rPr>
          <w:rFonts w:eastAsiaTheme="minorEastAsia"/>
        </w:rPr>
        <w:t xml:space="preserve"> between 0 and 1. To look at the scenario where </w:t>
      </w:r>
      <m:oMath>
        <m:sSub>
          <m:sSubPr>
            <m:ctrlPr>
              <w:rPr>
                <w:rFonts w:ascii="Cambria Math" w:hAnsi="Cambria Math"/>
                <w:i/>
              </w:rPr>
            </m:ctrlPr>
          </m:sSubPr>
          <m:e>
            <m:acc>
              <m:accPr>
                <m:ctrlPr>
                  <w:rPr>
                    <w:rFonts w:ascii="Cambria Math" w:hAnsi="Cambria Math"/>
                    <w:bCs/>
                    <w:i/>
                    <w:szCs w:val="18"/>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oMath>
      <w:proofErr w:type="gramStart"/>
      <w:r w:rsidR="00E53D6C">
        <w:rPr>
          <w:rFonts w:eastAsiaTheme="minorEastAsia"/>
        </w:rPr>
        <w:t xml:space="preserve"> is high or low</w:t>
      </w:r>
      <w:proofErr w:type="gramEnd"/>
      <w:r w:rsidR="00E53D6C">
        <w:rPr>
          <w:rFonts w:eastAsiaTheme="minorEastAsia"/>
        </w:rPr>
        <w:t xml:space="preserve"> systematically</w:t>
      </w:r>
      <w:r>
        <w:rPr>
          <w:rFonts w:eastAsiaTheme="minorEastAsia"/>
        </w:rPr>
        <w:t xml:space="preserve">, we added or subtracted, respectively, some portion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0</m:t>
            </m:r>
          </m:e>
        </m:d>
      </m:oMath>
      <w:r w:rsidR="00F548EF">
        <w:rPr>
          <w:rFonts w:eastAsiaTheme="minorEastAsia"/>
        </w:rPr>
        <w:t xml:space="preserve"> (</w:t>
      </w:r>
      <w:r w:rsidR="00F01773">
        <w:rPr>
          <w:rFonts w:eastAsiaTheme="minorEastAsia"/>
        </w:rPr>
        <w:fldChar w:fldCharType="begin"/>
      </w:r>
      <w:r w:rsidR="00F548EF">
        <w:rPr>
          <w:rFonts w:eastAsiaTheme="minorEastAsia"/>
        </w:rPr>
        <w:instrText xml:space="preserve"> REF _Ref417646070 \h </w:instrText>
      </w:r>
      <w:r w:rsidR="00F01773">
        <w:rPr>
          <w:rFonts w:eastAsiaTheme="minorEastAsia"/>
        </w:rPr>
      </w:r>
      <w:r w:rsidR="00F01773">
        <w:rPr>
          <w:rFonts w:eastAsiaTheme="minorEastAsia"/>
        </w:rPr>
        <w:fldChar w:fldCharType="separate"/>
      </w:r>
      <w:r w:rsidR="00867AA7">
        <w:t xml:space="preserve">Table </w:t>
      </w:r>
      <w:r w:rsidR="00867AA7">
        <w:rPr>
          <w:noProof/>
        </w:rPr>
        <w:t>4</w:t>
      </w:r>
      <w:r w:rsidR="00867AA7">
        <w:t>.</w:t>
      </w:r>
      <w:r w:rsidR="00867AA7">
        <w:rPr>
          <w:noProof/>
        </w:rPr>
        <w:t>2</w:t>
      </w:r>
      <w:r w:rsidR="00F01773">
        <w:rPr>
          <w:rFonts w:eastAsiaTheme="minorEastAsia"/>
        </w:rPr>
        <w:fldChar w:fldCharType="end"/>
      </w:r>
      <w:r w:rsidR="00F548EF">
        <w:rPr>
          <w:rFonts w:eastAsiaTheme="minorEastAsia"/>
        </w:rPr>
        <w:t>)</w:t>
      </w:r>
      <w:r>
        <w:rPr>
          <w:rFonts w:eastAsiaTheme="minorEastAsia"/>
        </w:rPr>
        <w:t xml:space="preserve">. When looking at the effects of random error, we </w:t>
      </w:r>
      <w:r w:rsidR="00C56F4A" w:rsidRPr="00F01773">
        <w:rPr>
          <w:noProof/>
        </w:rPr>
      </w:r>
      <w:r w:rsidR="00C56F4A">
        <w:pict>
          <v:shape id="_x0000_s1108" type="#_x0000_t202" style="width:402pt;height:234pt;mso-position-horizontal-relative:char;mso-position-vertical-relative:line" stroked="f">
            <v:textbox style="mso-next-textbox:#_x0000_s1108">
              <w:txbxContent>
                <w:p w:rsidR="00C56F4A" w:rsidRPr="002B2090" w:rsidRDefault="00C56F4A" w:rsidP="00C56F4A">
                  <w:pPr>
                    <w:pStyle w:val="Caption"/>
                    <w:rPr>
                      <w:vanish/>
                      <w:lang w:val="en-GB"/>
                      <w:specVanish/>
                    </w:rPr>
                  </w:pPr>
                  <w:bookmarkStart w:id="248" w:name="_Ref417646070"/>
                  <w:bookmarkStart w:id="249" w:name="_Toc421352895"/>
                  <w:bookmarkStart w:id="250" w:name="_Toc417647009"/>
                  <w:bookmarkStart w:id="251" w:name="_Toc417647089"/>
                  <w:proofErr w:type="gramStart"/>
                  <w:r>
                    <w:t xml:space="preserve">Table </w:t>
                  </w:r>
                  <w:fldSimple w:instr=" STYLEREF 1 \s ">
                    <w:r>
                      <w:rPr>
                        <w:noProof/>
                      </w:rPr>
                      <w:t>4</w:t>
                    </w:r>
                  </w:fldSimple>
                  <w:r>
                    <w:t>.</w:t>
                  </w:r>
                  <w:proofErr w:type="gramEnd"/>
                  <w:r>
                    <w:fldChar w:fldCharType="begin"/>
                  </w:r>
                  <w:r>
                    <w:instrText xml:space="preserve"> SEQ Table \* ARABIC \s 1 </w:instrText>
                  </w:r>
                  <w:r>
                    <w:fldChar w:fldCharType="separate"/>
                  </w:r>
                  <w:r>
                    <w:rPr>
                      <w:noProof/>
                    </w:rPr>
                    <w:t>2</w:t>
                  </w:r>
                  <w:r>
                    <w:fldChar w:fldCharType="end"/>
                  </w:r>
                  <w:bookmarkEnd w:id="248"/>
                  <w:r>
                    <w:t>.</w:t>
                  </w:r>
                  <w:r w:rsidRPr="00534CA3">
                    <w:t xml:space="preserve"> </w:t>
                  </w:r>
                  <w:r>
                    <w:t>Analysis parameters</w:t>
                  </w:r>
                  <w:bookmarkEnd w:id="249"/>
                </w:p>
                <w:p w:rsidR="00C56F4A" w:rsidRDefault="00C56F4A" w:rsidP="00C56F4A">
                  <w:pPr>
                    <w:pStyle w:val="Caption"/>
                    <w:rPr>
                      <w:rFonts w:eastAsiaTheme="minorEastAsia"/>
                    </w:rPr>
                  </w:pPr>
                  <w:r>
                    <w:t xml:space="preserve"> </w:t>
                  </w:r>
                  <w:proofErr w:type="gramStart"/>
                  <w:r>
                    <w:t>showing</w:t>
                  </w:r>
                  <w:proofErr w:type="gramEnd"/>
                  <w:r>
                    <w:t xml:space="preserve"> various caps on impact set by the regulator as well as error in the regulator’s estimate of impacts in the absence of additional regulation. Cap is absolute and at the site-level for </w:t>
                  </w:r>
                  <w:r>
                    <w:rPr>
                      <w:i/>
                    </w:rPr>
                    <w:t>Uniform Cap without Trading</w:t>
                  </w:r>
                  <w:r>
                    <w:t xml:space="preserve"> and relative to total impact and site-level impact for </w:t>
                  </w:r>
                  <w:r>
                    <w:rPr>
                      <w:i/>
                    </w:rPr>
                    <w:t xml:space="preserve">Omniscient Social Planner </w:t>
                  </w:r>
                  <w:r>
                    <w:t xml:space="preserve">and </w:t>
                  </w:r>
                  <w:r>
                    <w:rPr>
                      <w:i/>
                    </w:rPr>
                    <w:t>Cap and Trade</w:t>
                  </w:r>
                  <w:r>
                    <w:t>, respectively. Error is a proportion of the impact from the least-cost layout (</w:t>
                  </w:r>
                  <m:oMath>
                    <m:r>
                      <w:rPr>
                        <w:rFonts w:ascii="Cambria Math" w:hAnsi="Cambria Math"/>
                      </w:rPr>
                      <m:t>j=0</m:t>
                    </m:r>
                  </m:oMath>
                  <w:r>
                    <w:rPr>
                      <w:rFonts w:eastAsiaTheme="minorEastAsia"/>
                    </w:rPr>
                    <w:t>) added to that impact.</w:t>
                  </w:r>
                  <w:bookmarkEnd w:id="250"/>
                  <w:bookmarkEnd w:id="25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04"/>
                    <w:gridCol w:w="3255"/>
                  </w:tblGrid>
                  <w:tr w:rsidR="00C56F4A" w:rsidTr="00E8157D">
                    <w:trPr>
                      <w:jc w:val="center"/>
                    </w:trPr>
                    <w:tc>
                      <w:tcPr>
                        <w:tcW w:w="0" w:type="auto"/>
                        <w:tcBorders>
                          <w:top w:val="single" w:sz="4" w:space="0" w:color="auto"/>
                          <w:bottom w:val="single" w:sz="4" w:space="0" w:color="auto"/>
                        </w:tcBorders>
                      </w:tcPr>
                      <w:p w:rsidR="00C56F4A" w:rsidRPr="007A2A8A" w:rsidRDefault="00C56F4A" w:rsidP="007A2A8A">
                        <w:pPr>
                          <w:jc w:val="center"/>
                          <w:rPr>
                            <w:b/>
                          </w:rPr>
                        </w:pPr>
                        <w:r w:rsidRPr="007A2A8A">
                          <w:rPr>
                            <w:b/>
                          </w:rPr>
                          <w:t>Scenario</w:t>
                        </w:r>
                      </w:p>
                    </w:tc>
                    <w:tc>
                      <w:tcPr>
                        <w:tcW w:w="0" w:type="auto"/>
                        <w:tcBorders>
                          <w:top w:val="single" w:sz="4" w:space="0" w:color="auto"/>
                          <w:bottom w:val="single" w:sz="4" w:space="0" w:color="auto"/>
                        </w:tcBorders>
                      </w:tcPr>
                      <w:p w:rsidR="00C56F4A" w:rsidRPr="007A2A8A" w:rsidRDefault="00C56F4A" w:rsidP="007A2A8A">
                        <w:pPr>
                          <w:jc w:val="center"/>
                          <w:rPr>
                            <w:b/>
                          </w:rPr>
                        </w:pPr>
                        <w:r w:rsidRPr="007A2A8A">
                          <w:rPr>
                            <w:b/>
                          </w:rPr>
                          <w:t xml:space="preserve">Cap (A or </w:t>
                        </w:r>
                        <m:oMath>
                          <m:r>
                            <m:rPr>
                              <m:sty m:val="bi"/>
                            </m:rPr>
                            <w:rPr>
                              <w:rFonts w:ascii="Cambria Math" w:hAnsi="Cambria Math"/>
                            </w:rPr>
                            <m:t>α</m:t>
                          </m:r>
                        </m:oMath>
                        <w:r w:rsidRPr="007A2A8A">
                          <w:rPr>
                            <w:b/>
                          </w:rPr>
                          <w:t>), n=40</w:t>
                        </w:r>
                      </w:p>
                    </w:tc>
                  </w:tr>
                  <w:tr w:rsidR="00C56F4A" w:rsidTr="00E8157D">
                    <w:trPr>
                      <w:jc w:val="center"/>
                    </w:trPr>
                    <w:tc>
                      <w:tcPr>
                        <w:tcW w:w="0" w:type="auto"/>
                        <w:tcBorders>
                          <w:top w:val="single" w:sz="4" w:space="0" w:color="auto"/>
                        </w:tcBorders>
                      </w:tcPr>
                      <w:p w:rsidR="00C56F4A" w:rsidRPr="007A2A8A" w:rsidRDefault="00C56F4A" w:rsidP="007A2A8A">
                        <w:pPr>
                          <w:rPr>
                            <w:i/>
                          </w:rPr>
                        </w:pPr>
                        <w:r w:rsidRPr="007A2A8A">
                          <w:rPr>
                            <w:i/>
                          </w:rPr>
                          <w:t>Uniform Cap without Trading</w:t>
                        </w:r>
                      </w:p>
                    </w:tc>
                    <w:tc>
                      <w:tcPr>
                        <w:tcW w:w="0" w:type="auto"/>
                        <w:tcBorders>
                          <w:top w:val="single" w:sz="4" w:space="0" w:color="auto"/>
                        </w:tcBorders>
                      </w:tcPr>
                      <w:p w:rsidR="00C56F4A" w:rsidRDefault="00C56F4A" w:rsidP="007A2A8A">
                        <w:r>
                          <w:t>0, 0.13, 0.26, …, 5</w:t>
                        </w:r>
                      </w:p>
                    </w:tc>
                  </w:tr>
                  <w:tr w:rsidR="00C56F4A" w:rsidTr="00E8157D">
                    <w:trPr>
                      <w:jc w:val="center"/>
                    </w:trPr>
                    <w:tc>
                      <w:tcPr>
                        <w:tcW w:w="0" w:type="auto"/>
                      </w:tcPr>
                      <w:p w:rsidR="00C56F4A" w:rsidRPr="007A2A8A" w:rsidRDefault="00C56F4A" w:rsidP="007A2A8A">
                        <w:pPr>
                          <w:rPr>
                            <w:i/>
                          </w:rPr>
                        </w:pPr>
                        <w:r w:rsidRPr="007A2A8A">
                          <w:rPr>
                            <w:i/>
                          </w:rPr>
                          <w:t>Cap and Trade</w:t>
                        </w:r>
                      </w:p>
                    </w:tc>
                    <w:tc>
                      <w:tcPr>
                        <w:tcW w:w="0" w:type="auto"/>
                      </w:tcPr>
                      <w:p w:rsidR="00C56F4A" w:rsidRDefault="00C56F4A" w:rsidP="007A2A8A">
                        <w:r>
                          <w:t>0, 0.03, 0.05, …, 1</w:t>
                        </w:r>
                      </w:p>
                    </w:tc>
                  </w:tr>
                  <w:tr w:rsidR="00C56F4A" w:rsidTr="00E8157D">
                    <w:trPr>
                      <w:jc w:val="center"/>
                    </w:trPr>
                    <w:tc>
                      <w:tcPr>
                        <w:tcW w:w="0" w:type="auto"/>
                      </w:tcPr>
                      <w:p w:rsidR="00C56F4A" w:rsidRPr="007A2A8A" w:rsidRDefault="00C56F4A" w:rsidP="007A2A8A">
                        <w:pPr>
                          <w:rPr>
                            <w:i/>
                          </w:rPr>
                        </w:pPr>
                        <w:r w:rsidRPr="007A2A8A">
                          <w:rPr>
                            <w:i/>
                          </w:rPr>
                          <w:t>Omniscient Social Planner</w:t>
                        </w:r>
                      </w:p>
                    </w:tc>
                    <w:tc>
                      <w:tcPr>
                        <w:tcW w:w="0" w:type="auto"/>
                      </w:tcPr>
                      <w:p w:rsidR="00C56F4A" w:rsidRDefault="00C56F4A" w:rsidP="007A2A8A">
                        <w:r>
                          <w:t>0, 0.03, 0.05, …, 1</w:t>
                        </w:r>
                      </w:p>
                    </w:tc>
                  </w:tr>
                  <w:tr w:rsidR="00C56F4A" w:rsidTr="00E8157D">
                    <w:trPr>
                      <w:jc w:val="center"/>
                    </w:trPr>
                    <w:tc>
                      <w:tcPr>
                        <w:tcW w:w="0" w:type="auto"/>
                        <w:tcBorders>
                          <w:bottom w:val="single" w:sz="4" w:space="0" w:color="auto"/>
                        </w:tcBorders>
                      </w:tcPr>
                      <w:p w:rsidR="00C56F4A" w:rsidRDefault="00C56F4A" w:rsidP="007A2A8A"/>
                    </w:tc>
                    <w:tc>
                      <w:tcPr>
                        <w:tcW w:w="0" w:type="auto"/>
                        <w:tcBorders>
                          <w:bottom w:val="single" w:sz="4" w:space="0" w:color="auto"/>
                        </w:tcBorders>
                      </w:tcPr>
                      <w:p w:rsidR="00C56F4A" w:rsidRDefault="00C56F4A" w:rsidP="007A2A8A"/>
                    </w:tc>
                  </w:tr>
                  <w:tr w:rsidR="00C56F4A" w:rsidTr="00E8157D">
                    <w:trPr>
                      <w:jc w:val="center"/>
                    </w:trPr>
                    <w:tc>
                      <w:tcPr>
                        <w:tcW w:w="0" w:type="auto"/>
                        <w:tcBorders>
                          <w:top w:val="single" w:sz="4" w:space="0" w:color="auto"/>
                          <w:bottom w:val="single" w:sz="4" w:space="0" w:color="auto"/>
                        </w:tcBorders>
                      </w:tcPr>
                      <w:p w:rsidR="00C56F4A" w:rsidRPr="007A2A8A" w:rsidRDefault="00C56F4A" w:rsidP="007A2A8A">
                        <w:pPr>
                          <w:jc w:val="center"/>
                          <w:rPr>
                            <w:b/>
                          </w:rPr>
                        </w:pPr>
                        <w:r w:rsidRPr="007A2A8A">
                          <w:rPr>
                            <w:b/>
                          </w:rPr>
                          <w:t>Cap and Trade</w:t>
                        </w:r>
                        <w:r>
                          <w:rPr>
                            <w:b/>
                          </w:rPr>
                          <w:t xml:space="preserve"> Error Direction</w:t>
                        </w:r>
                      </w:p>
                    </w:tc>
                    <w:tc>
                      <w:tcPr>
                        <w:tcW w:w="0" w:type="auto"/>
                        <w:tcBorders>
                          <w:top w:val="single" w:sz="4" w:space="0" w:color="auto"/>
                          <w:bottom w:val="single" w:sz="4" w:space="0" w:color="auto"/>
                        </w:tcBorders>
                      </w:tcPr>
                      <w:p w:rsidR="00C56F4A" w:rsidRPr="007A2A8A" w:rsidRDefault="00C56F4A" w:rsidP="007A2A8A">
                        <w:pPr>
                          <w:jc w:val="center"/>
                          <w:rPr>
                            <w:b/>
                          </w:rPr>
                        </w:pPr>
                        <w:r w:rsidRPr="007A2A8A">
                          <w:rPr>
                            <w:b/>
                          </w:rPr>
                          <w:t>Error Level (</w:t>
                        </w:r>
                        <m:oMath>
                          <m:r>
                            <m:rPr>
                              <m:sty m:val="bi"/>
                            </m:rPr>
                            <w:rPr>
                              <w:rFonts w:ascii="Cambria Math" w:hAnsi="Cambria Math"/>
                            </w:rPr>
                            <m:t>ε</m:t>
                          </m:r>
                        </m:oMath>
                        <w:r w:rsidRPr="007A2A8A">
                          <w:rPr>
                            <w:b/>
                          </w:rPr>
                          <w:t>)</w:t>
                        </w:r>
                      </w:p>
                    </w:tc>
                  </w:tr>
                  <w:tr w:rsidR="00C56F4A" w:rsidTr="00E8157D">
                    <w:trPr>
                      <w:jc w:val="center"/>
                    </w:trPr>
                    <w:tc>
                      <w:tcPr>
                        <w:tcW w:w="0" w:type="auto"/>
                        <w:tcBorders>
                          <w:top w:val="single" w:sz="4" w:space="0" w:color="auto"/>
                        </w:tcBorders>
                      </w:tcPr>
                      <w:p w:rsidR="00C56F4A" w:rsidRPr="007A2A8A" w:rsidRDefault="004274B0" w:rsidP="007A2A8A">
                        <w:pPr>
                          <w:rPr>
                            <w:i/>
                          </w:rPr>
                        </w:pPr>
                        <w:r>
                          <w:rPr>
                            <w:i/>
                          </w:rPr>
                          <w:t>Uniform</w:t>
                        </w:r>
                        <w:r w:rsidR="00C56F4A" w:rsidRPr="007A2A8A">
                          <w:rPr>
                            <w:i/>
                          </w:rPr>
                          <w:t xml:space="preserve"> Unbiased</w:t>
                        </w:r>
                      </w:p>
                    </w:tc>
                    <w:tc>
                      <w:tcPr>
                        <w:tcW w:w="0" w:type="auto"/>
                        <w:tcBorders>
                          <w:top w:val="single" w:sz="4" w:space="0" w:color="auto"/>
                        </w:tcBorders>
                      </w:tcPr>
                      <w:p w:rsidR="00C56F4A" w:rsidRDefault="00C56F4A" w:rsidP="007A2A8A">
                        <w:r>
                          <w:t>0.1, 0.25, 0.5, 0.75, 1</w:t>
                        </w:r>
                      </w:p>
                    </w:tc>
                  </w:tr>
                  <w:tr w:rsidR="00C56F4A" w:rsidTr="00E8157D">
                    <w:trPr>
                      <w:jc w:val="center"/>
                    </w:trPr>
                    <w:tc>
                      <w:tcPr>
                        <w:tcW w:w="0" w:type="auto"/>
                      </w:tcPr>
                      <w:p w:rsidR="00C56F4A" w:rsidRPr="007A2A8A" w:rsidRDefault="00C56F4A" w:rsidP="007A2A8A">
                        <w:pPr>
                          <w:rPr>
                            <w:i/>
                          </w:rPr>
                        </w:pPr>
                        <w:r w:rsidRPr="007A2A8A">
                          <w:rPr>
                            <w:i/>
                          </w:rPr>
                          <w:t>Systematic Overestimate</w:t>
                        </w:r>
                      </w:p>
                    </w:tc>
                    <w:tc>
                      <w:tcPr>
                        <w:tcW w:w="0" w:type="auto"/>
                      </w:tcPr>
                      <w:p w:rsidR="00C56F4A" w:rsidRDefault="00C56F4A" w:rsidP="007A2A8A">
                        <w:r>
                          <w:t>0.1, 0.25, 0.5, 0.75, 1</w:t>
                        </w:r>
                      </w:p>
                    </w:tc>
                  </w:tr>
                  <w:tr w:rsidR="00C56F4A" w:rsidTr="00E8157D">
                    <w:trPr>
                      <w:jc w:val="center"/>
                    </w:trPr>
                    <w:tc>
                      <w:tcPr>
                        <w:tcW w:w="0" w:type="auto"/>
                        <w:tcBorders>
                          <w:bottom w:val="single" w:sz="4" w:space="0" w:color="auto"/>
                        </w:tcBorders>
                      </w:tcPr>
                      <w:p w:rsidR="00C56F4A" w:rsidRPr="007A2A8A" w:rsidRDefault="00C56F4A" w:rsidP="007A2A8A">
                        <w:pPr>
                          <w:rPr>
                            <w:i/>
                          </w:rPr>
                        </w:pPr>
                        <w:r w:rsidRPr="007A2A8A">
                          <w:rPr>
                            <w:i/>
                          </w:rPr>
                          <w:t>Systematic Underestimate</w:t>
                        </w:r>
                      </w:p>
                    </w:tc>
                    <w:tc>
                      <w:tcPr>
                        <w:tcW w:w="0" w:type="auto"/>
                        <w:tcBorders>
                          <w:bottom w:val="single" w:sz="4" w:space="0" w:color="auto"/>
                        </w:tcBorders>
                      </w:tcPr>
                      <w:p w:rsidR="00C56F4A" w:rsidRDefault="00C56F4A" w:rsidP="007A2A8A">
                        <w:r>
                          <w:t>-0.1, -0.25, -0.5, -0.75, -1</w:t>
                        </w:r>
                      </w:p>
                    </w:tc>
                  </w:tr>
                </w:tbl>
                <w:p w:rsidR="00C56F4A" w:rsidRPr="007A2A8A" w:rsidRDefault="00C56F4A" w:rsidP="00C56F4A"/>
              </w:txbxContent>
            </v:textbox>
            <w10:wrap type="none" anchorx="margin" anchory="margin"/>
            <w10:anchorlock/>
          </v:shape>
        </w:pict>
      </w:r>
      <w:r>
        <w:rPr>
          <w:rFonts w:eastAsiaTheme="minorEastAsia"/>
        </w:rPr>
        <w:t xml:space="preserve">added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0</m:t>
            </m:r>
          </m:e>
        </m:d>
      </m:oMath>
      <w:r>
        <w:rPr>
          <w:rFonts w:eastAsiaTheme="minorEastAsia"/>
        </w:rPr>
        <w:t xml:space="preserve"> by a uniformly drawn random portion between </w:t>
      </w:r>
      <m:oMath>
        <m:r>
          <w:rPr>
            <w:rFonts w:ascii="Cambria Math" w:eastAsiaTheme="minorEastAsia" w:hAnsi="Cambria Math"/>
          </w:rPr>
          <m:t>–ε</m:t>
        </m:r>
      </m:oMath>
      <w:r>
        <w:rPr>
          <w:rFonts w:eastAsiaTheme="minorEastAsia"/>
        </w:rPr>
        <w:t xml:space="preserve"> </w:t>
      </w:r>
      <w:proofErr w:type="gramStart"/>
      <w:r>
        <w:rPr>
          <w:rFonts w:eastAsiaTheme="minorEastAsia"/>
        </w:rPr>
        <w:t xml:space="preserve">and </w:t>
      </w:r>
      <m:oMath>
        <w:proofErr w:type="gramEnd"/>
        <m:r>
          <w:rPr>
            <w:rFonts w:ascii="Cambria Math" w:eastAsiaTheme="minorEastAsia" w:hAnsi="Cambria Math"/>
          </w:rPr>
          <m:t>ε</m:t>
        </m:r>
      </m:oMath>
      <w:r>
        <w:rPr>
          <w:rFonts w:eastAsiaTheme="minorEastAsia"/>
        </w:rPr>
        <w:t xml:space="preserve">, the maximum amount of error. In other words, some sites received a positive error while others a negative error. We repeated this process 100 times for each </w:t>
      </w:r>
      <m:oMath>
        <m:r>
          <w:rPr>
            <w:rFonts w:ascii="Cambria Math" w:eastAsiaTheme="minorEastAsia" w:hAnsi="Cambria Math"/>
          </w:rPr>
          <m:t>ε</m:t>
        </m:r>
      </m:oMath>
      <w:r>
        <w:rPr>
          <w:rFonts w:eastAsiaTheme="minorEastAsia"/>
        </w:rPr>
        <w:t xml:space="preserve"> and summarize the range of results. For instance, an error of </w:t>
      </w:r>
      <m:oMath>
        <m:r>
          <w:rPr>
            <w:rFonts w:ascii="Cambria Math" w:eastAsiaTheme="minorEastAsia" w:hAnsi="Cambria Math"/>
          </w:rPr>
          <m:t>ε=0.5</m:t>
        </m:r>
      </m:oMath>
      <w:r>
        <w:rPr>
          <w:rFonts w:eastAsiaTheme="minorEastAsia"/>
        </w:rPr>
        <w:t xml:space="preserve"> would result in </w:t>
      </w:r>
      <m:oMath>
        <m:sSub>
          <m:sSubPr>
            <m:ctrlPr>
              <w:rPr>
                <w:rFonts w:ascii="Cambria Math" w:hAnsi="Cambria Math"/>
                <w:i/>
              </w:rPr>
            </m:ctrlPr>
          </m:sSubPr>
          <m:e>
            <m:acc>
              <m:accPr>
                <m:ctrlPr>
                  <w:rPr>
                    <w:rFonts w:ascii="Cambria Math" w:hAnsi="Cambria Math"/>
                    <w:bCs/>
                    <w:i/>
                    <w:szCs w:val="18"/>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r>
          <w:rPr>
            <w:rFonts w:ascii="Cambria Math" w:hAnsi="Cambria Math"/>
          </w:rPr>
          <m:t>=1.5</m:t>
        </m:r>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xml:space="preserve"> for the systematic case and </w:t>
      </w:r>
      <m:oMath>
        <m:r>
          <w:rPr>
            <w:rFonts w:ascii="Cambria Math" w:eastAsiaTheme="minorEastAsia" w:hAnsi="Cambria Math"/>
          </w:rPr>
          <m:t>-1.5</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0</m:t>
            </m:r>
          </m:e>
        </m:d>
        <m:r>
          <w:rPr>
            <w:rFonts w:ascii="Cambria Math" w:eastAsiaTheme="minorEastAsia" w:hAnsi="Cambria Math"/>
          </w:rPr>
          <m:t>≤</m:t>
        </m:r>
        <m:sSub>
          <m:sSubPr>
            <m:ctrlPr>
              <w:rPr>
                <w:rFonts w:ascii="Cambria Math" w:hAnsi="Cambria Math"/>
                <w:i/>
              </w:rPr>
            </m:ctrlPr>
          </m:sSubPr>
          <m:e>
            <m:acc>
              <m:accPr>
                <m:ctrlPr>
                  <w:rPr>
                    <w:rFonts w:ascii="Cambria Math" w:hAnsi="Cambria Math"/>
                    <w:bCs/>
                    <w:i/>
                    <w:szCs w:val="18"/>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r>
          <w:rPr>
            <w:rFonts w:ascii="Cambria Math" w:eastAsiaTheme="minorEastAsia" w:hAnsi="Cambria Math"/>
          </w:rPr>
          <m:t>≤1.5</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0</m:t>
            </m:r>
          </m:e>
        </m:d>
      </m:oMath>
      <w:r>
        <w:rPr>
          <w:rFonts w:eastAsiaTheme="minorEastAsia"/>
        </w:rPr>
        <w:t xml:space="preserve"> for the random case. We summarize these scenarios in</w:t>
      </w:r>
      <w:r w:rsidR="009C3518">
        <w:rPr>
          <w:rFonts w:eastAsiaTheme="minorEastAsia"/>
        </w:rPr>
        <w:t xml:space="preserve"> </w:t>
      </w:r>
      <w:r w:rsidR="00F01773">
        <w:rPr>
          <w:rFonts w:eastAsiaTheme="minorEastAsia"/>
        </w:rPr>
        <w:fldChar w:fldCharType="begin"/>
      </w:r>
      <w:r w:rsidR="009C3518">
        <w:rPr>
          <w:rFonts w:eastAsiaTheme="minorEastAsia"/>
        </w:rPr>
        <w:instrText xml:space="preserve"> REF _Ref417646070 \h </w:instrText>
      </w:r>
      <w:r w:rsidR="00F01773">
        <w:rPr>
          <w:rFonts w:eastAsiaTheme="minorEastAsia"/>
        </w:rPr>
      </w:r>
      <w:r w:rsidR="00F01773">
        <w:rPr>
          <w:rFonts w:eastAsiaTheme="minorEastAsia"/>
        </w:rPr>
        <w:fldChar w:fldCharType="separate"/>
      </w:r>
      <w:r w:rsidR="00867AA7">
        <w:t xml:space="preserve">Table </w:t>
      </w:r>
      <w:r w:rsidR="00867AA7">
        <w:rPr>
          <w:noProof/>
        </w:rPr>
        <w:t>4</w:t>
      </w:r>
      <w:r w:rsidR="00867AA7">
        <w:t>.</w:t>
      </w:r>
      <w:r w:rsidR="00867AA7">
        <w:rPr>
          <w:noProof/>
        </w:rPr>
        <w:t>2</w:t>
      </w:r>
      <w:r w:rsidR="00F01773">
        <w:rPr>
          <w:rFonts w:eastAsiaTheme="minorEastAsia"/>
        </w:rPr>
        <w:fldChar w:fldCharType="end"/>
      </w:r>
      <w:r>
        <w:rPr>
          <w:rFonts w:eastAsiaTheme="minorEastAsia"/>
        </w:rPr>
        <w:t>.</w:t>
      </w:r>
    </w:p>
    <w:p w:rsidR="003118BF" w:rsidRDefault="003118BF" w:rsidP="00534CA3">
      <w:pPr>
        <w:pStyle w:val="Heading2"/>
      </w:pPr>
      <w:bookmarkStart w:id="252" w:name="_Toc417646814"/>
      <w:bookmarkStart w:id="253" w:name="_Toc421352887"/>
      <w:r>
        <w:t>Results</w:t>
      </w:r>
      <w:bookmarkEnd w:id="252"/>
      <w:bookmarkEnd w:id="253"/>
    </w:p>
    <w:p w:rsidR="003118BF" w:rsidRDefault="003118BF" w:rsidP="00534CA3">
      <w:pPr>
        <w:pStyle w:val="Heading3"/>
      </w:pPr>
      <w:bookmarkStart w:id="254" w:name="_Toc417646815"/>
      <w:r>
        <w:t>General</w:t>
      </w:r>
      <w:bookmarkEnd w:id="254"/>
    </w:p>
    <w:p w:rsidR="003118BF" w:rsidRDefault="003118BF" w:rsidP="00534CA3">
      <w:r>
        <w:t xml:space="preserve"> </w:t>
      </w:r>
      <w:r w:rsidR="00F01773">
        <w:fldChar w:fldCharType="begin"/>
      </w:r>
      <w:r w:rsidR="0003522A">
        <w:instrText xml:space="preserve"> REF _Ref418528906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rsidR="0003522A">
        <w:t xml:space="preserve"> summarizes our results conditioned on 1) the regulator does not know or use site-specific information to set the cap for </w:t>
      </w:r>
      <w:r w:rsidR="0003522A">
        <w:rPr>
          <w:i/>
        </w:rPr>
        <w:t xml:space="preserve">Uniform Cap without </w:t>
      </w:r>
      <w:r w:rsidR="0003522A" w:rsidRPr="0003522A">
        <w:rPr>
          <w:i/>
        </w:rPr>
        <w:t>Trading</w:t>
      </w:r>
      <w:r w:rsidR="0003522A">
        <w:rPr>
          <w:i/>
        </w:rPr>
        <w:t xml:space="preserve"> </w:t>
      </w:r>
      <w:r w:rsidR="0003522A">
        <w:t xml:space="preserve">, 2) the regulator knows </w:t>
      </w:r>
      <m:oMath>
        <m:sSub>
          <m:sSubPr>
            <m:ctrlPr>
              <w:rPr>
                <w:rFonts w:ascii="Cambria Math" w:hAnsi="Cambria Math"/>
                <w:i/>
              </w:rPr>
            </m:ctrlPr>
          </m:sSubPr>
          <m:e>
            <m:r>
              <w:rPr>
                <w:rFonts w:ascii="Cambria Math" w:hAnsi="Cambria Math"/>
              </w:rPr>
              <m:t>I</m:t>
            </m:r>
          </m:e>
          <m:sub>
            <m:r>
              <w:rPr>
                <w:rFonts w:ascii="Cambria Math" w:hAnsi="Cambria Math"/>
              </w:rPr>
              <m:t>i</m:t>
            </m:r>
          </m:sub>
        </m:sSub>
        <m:r>
          <w:rPr>
            <w:rFonts w:ascii="Cambria Math" w:hAnsi="Cambria Math"/>
          </w:rPr>
          <m:t>(0)</m:t>
        </m:r>
      </m:oMath>
      <w:r w:rsidR="0003522A">
        <w:t xml:space="preserve"> perfectly for </w:t>
      </w:r>
      <w:r w:rsidR="0003522A">
        <w:rPr>
          <w:i/>
        </w:rPr>
        <w:t xml:space="preserve">Cap and </w:t>
      </w:r>
      <w:r w:rsidR="0003522A" w:rsidRPr="0003522A">
        <w:rPr>
          <w:i/>
        </w:rPr>
        <w:t>Trade</w:t>
      </w:r>
      <w:r w:rsidR="0003522A">
        <w:t xml:space="preserve">, which is benchmarked against an </w:t>
      </w:r>
      <w:r w:rsidR="0003522A">
        <w:rPr>
          <w:i/>
        </w:rPr>
        <w:t>Omniscient Social Planner</w:t>
      </w:r>
      <w:r w:rsidR="0003522A">
        <w:t xml:space="preserve"> with perfect information. Later we relax the assumption the regulator knows </w:t>
      </w:r>
      <m:oMath>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0</m:t>
            </m:r>
          </m:e>
        </m:d>
      </m:oMath>
      <w:r w:rsidR="0003522A">
        <w:t xml:space="preserve"> exactly</w:t>
      </w:r>
      <w:r w:rsidR="00E53D6C">
        <w:t>.</w:t>
      </w:r>
      <w:r>
        <w:t xml:space="preserve"> In the figure, outcomes in the lower-left corner represent the business-as usual situation where no attempt is made to regulate impacts and all sites develop their least-cost, highest-impact layout. The total impact avoided </w:t>
      </w:r>
      <w:r w:rsidR="007E75B4">
        <w:t>is zero while the total cost is ~</w:t>
      </w:r>
      <w:r w:rsidR="008D2003">
        <w:t>0.0</w:t>
      </w:r>
      <w:r w:rsidR="00436123">
        <w:t>5</w:t>
      </w:r>
      <w:r w:rsidR="007E75B4">
        <w:t xml:space="preserve">% of the situation where no sites </w:t>
      </w:r>
      <w:r w:rsidR="00BB134B">
        <w:t xml:space="preserve">are </w:t>
      </w:r>
      <w:r w:rsidR="007E75B4">
        <w:t>develop</w:t>
      </w:r>
      <w:r w:rsidR="00BB134B">
        <w:t>ed</w:t>
      </w:r>
      <w:r w:rsidR="007E75B4">
        <w:t>.</w:t>
      </w:r>
      <w:r>
        <w:t xml:space="preserve"> In the upper-right of </w:t>
      </w:r>
      <w:r w:rsidR="00F01773">
        <w:fldChar w:fldCharType="begin"/>
      </w:r>
      <w:r w:rsidR="00197982">
        <w:instrText xml:space="preserve"> REF _Ref417645580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proofErr w:type="gramStart"/>
      <w:r>
        <w:t>a is</w:t>
      </w:r>
      <w:proofErr w:type="gramEnd"/>
      <w:r>
        <w:t xml:space="preserve"> the outcome where no impacts are allowed and as a result no sites are </w:t>
      </w:r>
      <w:r>
        <w:lastRenderedPageBreak/>
        <w:t xml:space="preserve">developed. The total impact avoided is </w:t>
      </w:r>
      <w:r w:rsidR="00D80C2C">
        <w:t>100%</w:t>
      </w:r>
      <w:r>
        <w:t xml:space="preserve"> while the total cost is the cost of foregone profits from all sites</w:t>
      </w:r>
      <w:r w:rsidR="00BB134B">
        <w:t xml:space="preserve"> (100%). </w:t>
      </w:r>
      <w:r>
        <w:t xml:space="preserve">Between these extremes developers vary the choice of layout in their site or choose not to develop such that some (black) or all (gray) sites are developed. </w:t>
      </w:r>
    </w:p>
    <w:p w:rsidR="00D34FA6" w:rsidRDefault="00C56F4A" w:rsidP="00D34FA6">
      <w:pPr>
        <w:pStyle w:val="Heading4"/>
        <w:numPr>
          <w:ilvl w:val="0"/>
          <w:numId w:val="0"/>
        </w:numPr>
      </w:pPr>
      <w:r>
        <w:rPr>
          <w:noProof/>
        </w:rPr>
        <w:pict>
          <v:shape id="_x0000_s1076" type="#_x0000_t202" style="position:absolute;margin-left:198pt;margin-top:-9pt;width:240pt;height:567pt;z-index:251664384;mso-position-horizontal-relative:margin;mso-position-vertical-relative:margin" stroked="f">
            <v:textbox style="mso-next-textbox:#_x0000_s1076">
              <w:txbxContent>
                <w:p w:rsidR="006A45E8" w:rsidRDefault="006A45E8">
                  <w:pPr>
                    <w:keepNext/>
                    <w:jc w:val="center"/>
                  </w:pPr>
                  <w:r w:rsidRPr="00434898">
                    <w:rPr>
                      <w:noProof/>
                    </w:rPr>
                    <w:drawing>
                      <wp:inline distT="0" distB="0" distL="0" distR="0">
                        <wp:extent cx="2715649" cy="4596044"/>
                        <wp:effectExtent l="19050" t="0" r="8501" b="0"/>
                        <wp:docPr id="436" name="Picture 0" descr="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png"/>
                                <pic:cNvPicPr/>
                              </pic:nvPicPr>
                              <pic:blipFill>
                                <a:blip r:embed="rId82"/>
                                <a:stretch>
                                  <a:fillRect/>
                                </a:stretch>
                              </pic:blipFill>
                              <pic:spPr>
                                <a:xfrm>
                                  <a:off x="0" y="0"/>
                                  <a:ext cx="2715649" cy="4596044"/>
                                </a:xfrm>
                                <a:prstGeom prst="rect">
                                  <a:avLst/>
                                </a:prstGeom>
                              </pic:spPr>
                            </pic:pic>
                          </a:graphicData>
                        </a:graphic>
                      </wp:inline>
                    </w:drawing>
                  </w:r>
                </w:p>
                <w:p w:rsidR="006A45E8" w:rsidRPr="002B2090" w:rsidRDefault="006A45E8" w:rsidP="00ED1197">
                  <w:pPr>
                    <w:pStyle w:val="Caption"/>
                    <w:rPr>
                      <w:vanish/>
                      <w:lang w:val="en-GB"/>
                      <w:specVanish/>
                    </w:rPr>
                  </w:pPr>
                  <w:bookmarkStart w:id="255" w:name="_Ref417645580"/>
                  <w:bookmarkStart w:id="256" w:name="_Ref418528906"/>
                  <w:bookmarkStart w:id="257" w:name="_Toc421352916"/>
                  <w:bookmarkStart w:id="258" w:name="_Toc417647090"/>
                  <w:proofErr w:type="gramStart"/>
                  <w:r w:rsidRPr="00434898">
                    <w:t>Fig.</w:t>
                  </w:r>
                  <w:proofErr w:type="gramEnd"/>
                  <w:r w:rsidRPr="00434898">
                    <w:t xml:space="preserve"> </w:t>
                  </w:r>
                  <w:fldSimple w:instr=" STYLEREF 1 \s ">
                    <w:r>
                      <w:rPr>
                        <w:noProof/>
                      </w:rPr>
                      <w:t>4</w:t>
                    </w:r>
                  </w:fldSimple>
                  <w:r>
                    <w:t>.</w:t>
                  </w:r>
                  <w:fldSimple w:instr=" SEQ Fig. \* ARABIC \s 1 ">
                    <w:r>
                      <w:rPr>
                        <w:noProof/>
                      </w:rPr>
                      <w:t>2</w:t>
                    </w:r>
                  </w:fldSimple>
                  <w:bookmarkEnd w:id="255"/>
                  <w:bookmarkEnd w:id="256"/>
                  <w:r w:rsidRPr="00434898">
                    <w:t>. Outcomes of implementing various policies as regulator’s commitment to reducing impacts increases</w:t>
                  </w:r>
                  <w:bookmarkEnd w:id="257"/>
                </w:p>
                <w:p w:rsidR="006A45E8" w:rsidRPr="00434898" w:rsidRDefault="006A45E8" w:rsidP="00B03A06">
                  <w:pPr>
                    <w:pStyle w:val="Caption"/>
                  </w:pPr>
                  <w:r w:rsidRPr="00434898">
                    <w:t xml:space="preserve"> </w:t>
                  </w:r>
                  <w:proofErr w:type="gramStart"/>
                  <w:r w:rsidRPr="00434898">
                    <w:t>over</w:t>
                  </w:r>
                  <w:proofErr w:type="gramEnd"/>
                  <w:r w:rsidRPr="00434898">
                    <w:t xml:space="preserve"> a) entire range of possible outcomes and b) over range of outcomes where all sites </w:t>
                  </w:r>
                  <w:r>
                    <w:t>develop</w:t>
                  </w:r>
                  <w:r w:rsidRPr="00434898">
                    <w:t>. Triangles (</w:t>
                  </w:r>
                  <w:r w:rsidRPr="00434898">
                    <w:rPr>
                      <w:rFonts w:ascii="Cambria Math" w:hAnsi="Cambria Math" w:cs="Cambria Math"/>
                    </w:rPr>
                    <w:t>△</w:t>
                  </w:r>
                  <w:r w:rsidRPr="00434898">
                    <w:t xml:space="preserve">) are </w:t>
                  </w:r>
                  <w:r w:rsidRPr="00434898">
                    <w:rPr>
                      <w:i/>
                    </w:rPr>
                    <w:t>Uniform Cap without Trading</w:t>
                  </w:r>
                  <w:r w:rsidRPr="00434898">
                    <w:t>, crosses (</w:t>
                  </w:r>
                  <w:r w:rsidRPr="00434898">
                    <w:rPr>
                      <w:rFonts w:ascii="Cambria Math" w:hAnsi="Cambria Math" w:cs="Cambria Math"/>
                    </w:rPr>
                    <w:t>⨉</w:t>
                  </w:r>
                  <w:r w:rsidRPr="00434898">
                    <w:t xml:space="preserve">) are </w:t>
                  </w:r>
                  <w:r w:rsidRPr="00434898">
                    <w:rPr>
                      <w:i/>
                    </w:rPr>
                    <w:t>Omniscient Social Planner</w:t>
                  </w:r>
                  <w:r w:rsidRPr="00434898">
                    <w:t xml:space="preserve">, and circles (○) are </w:t>
                  </w:r>
                  <w:r w:rsidRPr="00434898">
                    <w:rPr>
                      <w:i/>
                    </w:rPr>
                    <w:t>Cap and Trade</w:t>
                  </w:r>
                  <w:r w:rsidRPr="00434898">
                    <w:t xml:space="preserve"> when regulator is perfectly able to estimate impacts in the absence of additional regulation. </w:t>
                  </w:r>
                  <w:r>
                    <w:t xml:space="preserve">Vertical axis is percent of outcome where no sites develop. </w:t>
                  </w:r>
                  <w:r w:rsidRPr="00434898">
                    <w:t xml:space="preserve">Gray symbols show where all sites are developed. Black symbols show where at least one site is not developed. There are three outcomes where all sites are developed in </w:t>
                  </w:r>
                  <w:r w:rsidRPr="00434898">
                    <w:rPr>
                      <w:i/>
                    </w:rPr>
                    <w:t>Uniform Cap without Trading</w:t>
                  </w:r>
                  <w:r w:rsidRPr="00434898">
                    <w:t>.</w:t>
                  </w:r>
                  <w:bookmarkEnd w:id="258"/>
                </w:p>
                <w:p w:rsidR="006A45E8" w:rsidRDefault="006A45E8" w:rsidP="00B03A06">
                  <w:pPr>
                    <w:keepNext/>
                  </w:pPr>
                </w:p>
                <w:p w:rsidR="006A45E8" w:rsidRDefault="006A45E8" w:rsidP="00B03A06"/>
              </w:txbxContent>
            </v:textbox>
            <w10:wrap type="square" anchorx="margin" anchory="margin"/>
          </v:shape>
        </w:pict>
      </w:r>
      <w:r w:rsidR="00D34FA6">
        <w:t>Uniform Cap without Trading</w:t>
      </w:r>
    </w:p>
    <w:p w:rsidR="00D34FA6" w:rsidRDefault="00D34FA6" w:rsidP="00D34FA6">
      <w:r>
        <w:tab/>
        <w:t xml:space="preserve">There are several interesting characteristics of outcomes from implementing a </w:t>
      </w:r>
      <w:r>
        <w:rPr>
          <w:i/>
        </w:rPr>
        <w:t>Uniform Cap without Trading</w:t>
      </w:r>
      <w:r>
        <w:t xml:space="preserve"> regulation. First, outcomes sit near an imaginary one-to-one line up until about 35% of potential impacts are avoided (</w:t>
      </w:r>
      <w:r w:rsidR="00F01773">
        <w:fldChar w:fldCharType="begin"/>
      </w:r>
      <w:r>
        <w:instrText xml:space="preserve"> REF _Ref418528906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rsidR="007936F2">
        <w:t>a</w:t>
      </w:r>
      <w:r>
        <w:t xml:space="preserve">, </w:t>
      </w:r>
      <w:r w:rsidR="007936F2">
        <w:t xml:space="preserve">triangles </w:t>
      </w:r>
      <w:r>
        <w:t>left of 35% Impact Avoided). For instance, avoiding 3</w:t>
      </w:r>
      <w:r w:rsidR="00436123">
        <w:t>2</w:t>
      </w:r>
      <w:r>
        <w:t>% of poten</w:t>
      </w:r>
      <w:r w:rsidR="00436123">
        <w:t>tial impacts would require</w:t>
      </w:r>
      <w:r>
        <w:t xml:space="preserve"> 3</w:t>
      </w:r>
      <w:r w:rsidR="00436123">
        <w:t>1</w:t>
      </w:r>
      <w:r>
        <w:t>% of the cost o</w:t>
      </w:r>
      <w:r w:rsidR="00436123">
        <w:t>f developing no sites. After 28</w:t>
      </w:r>
      <w:r>
        <w:t xml:space="preserve">%, there is a large amount of potential impacts that could be avoided for relatively little additional cost. For instance, </w:t>
      </w:r>
      <w:r w:rsidR="0020640F">
        <w:t>reducing potential impac</w:t>
      </w:r>
      <w:r w:rsidR="00436123">
        <w:t>ts from ~30% to ~50% would be ~4</w:t>
      </w:r>
      <w:r w:rsidR="0020640F">
        <w:t>% more costly (</w:t>
      </w:r>
      <w:r w:rsidR="00F01773">
        <w:fldChar w:fldCharType="begin"/>
      </w:r>
      <w:r w:rsidR="0020640F">
        <w:instrText xml:space="preserve"> REF _Ref418528906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rsidR="007936F2">
        <w:t>a</w:t>
      </w:r>
      <w:r w:rsidR="0020640F">
        <w:t xml:space="preserve">, middle plateau of triangles). After avoiding </w:t>
      </w:r>
      <w:r w:rsidR="00436123">
        <w:t>61</w:t>
      </w:r>
      <w:r w:rsidR="0020640F">
        <w:t>% of impacts, further avoidance becomes quickly more expensive up to 100% avoidance</w:t>
      </w:r>
      <w:r w:rsidR="007936F2">
        <w:t xml:space="preserve"> (</w:t>
      </w:r>
      <w:r w:rsidR="00F01773">
        <w:fldChar w:fldCharType="begin"/>
      </w:r>
      <w:r w:rsidR="007936F2">
        <w:instrText xml:space="preserve"> REF _Ref418528906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rsidR="007936F2">
        <w:t xml:space="preserve">a, triangles right of </w:t>
      </w:r>
      <w:r w:rsidR="00436123">
        <w:t>61</w:t>
      </w:r>
      <w:r w:rsidR="007936F2">
        <w:t xml:space="preserve">% Impact Avoided). Moving down to </w:t>
      </w:r>
      <w:r w:rsidR="00F01773">
        <w:fldChar w:fldCharType="begin"/>
      </w:r>
      <w:r w:rsidR="007936F2">
        <w:instrText xml:space="preserve"> REF _Ref418528906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rsidR="007936F2">
        <w:t xml:space="preserve">b reveals that there are three options for </w:t>
      </w:r>
      <w:r w:rsidR="007936F2">
        <w:rPr>
          <w:i/>
        </w:rPr>
        <w:t>Uniform Cap without Trading</w:t>
      </w:r>
      <w:r w:rsidR="007936F2">
        <w:t xml:space="preserve"> where all sites are developed and these reduce </w:t>
      </w:r>
      <w:r w:rsidR="007168FF">
        <w:t xml:space="preserve">potential </w:t>
      </w:r>
      <w:r w:rsidR="007936F2">
        <w:t>impacts very little.</w:t>
      </w:r>
    </w:p>
    <w:p w:rsidR="008C68CD" w:rsidRPr="008C68CD" w:rsidRDefault="008C68CD" w:rsidP="008C68CD">
      <w:pPr>
        <w:pStyle w:val="Heading4"/>
        <w:numPr>
          <w:ilvl w:val="0"/>
          <w:numId w:val="0"/>
        </w:numPr>
        <w:rPr>
          <w:i/>
        </w:rPr>
      </w:pPr>
      <w:r w:rsidRPr="008C68CD">
        <w:rPr>
          <w:i/>
        </w:rPr>
        <w:lastRenderedPageBreak/>
        <w:t>Cap and Trade</w:t>
      </w:r>
      <w:r>
        <w:t xml:space="preserve"> and </w:t>
      </w:r>
      <w:r w:rsidRPr="008C68CD">
        <w:rPr>
          <w:i/>
        </w:rPr>
        <w:t>Omniscient Social Planner</w:t>
      </w:r>
    </w:p>
    <w:p w:rsidR="008C68CD" w:rsidRPr="008C68CD" w:rsidRDefault="008C68CD" w:rsidP="008C68CD">
      <w:pPr>
        <w:ind w:firstLine="720"/>
      </w:pPr>
      <w:r>
        <w:t xml:space="preserve">Both </w:t>
      </w:r>
      <w:r>
        <w:rPr>
          <w:i/>
        </w:rPr>
        <w:t>Cap and Trade</w:t>
      </w:r>
      <w:r>
        <w:t xml:space="preserve"> and </w:t>
      </w:r>
      <w:r>
        <w:rPr>
          <w:i/>
        </w:rPr>
        <w:t>Omniscient Social Planner</w:t>
      </w:r>
      <w:r>
        <w:t xml:space="preserve"> start with very low costs to avoiding impacts (</w:t>
      </w:r>
      <w:r w:rsidR="00F01773">
        <w:fldChar w:fldCharType="begin"/>
      </w:r>
      <w:r>
        <w:instrText xml:space="preserve"> REF _Ref418528906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t xml:space="preserve">a circles and crosses). Up to </w:t>
      </w:r>
      <w:r w:rsidR="00436123">
        <w:t>36</w:t>
      </w:r>
      <w:r>
        <w:t xml:space="preserve">% impact avoidance, the cost of avoiding impacts appears to be almost zero, though inspection of </w:t>
      </w:r>
      <w:r w:rsidR="00F01773">
        <w:fldChar w:fldCharType="begin"/>
      </w:r>
      <w:r>
        <w:instrText xml:space="preserve"> REF _Ref418528906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t>b shows that these costs are very low (&lt;0.0</w:t>
      </w:r>
      <w:r w:rsidR="00436123">
        <w:t>6</w:t>
      </w:r>
      <w:r>
        <w:t>% of maximum cost), but nonzero.</w:t>
      </w:r>
      <w:r w:rsidR="00150B5C">
        <w:t xml:space="preserve"> Further impact avoidance greater than 40% incurs quickly escalating costs. For instance, avoiding impacts up to 80% requires about 40% of maximum costs (</w:t>
      </w:r>
      <w:r w:rsidR="00F01773">
        <w:fldChar w:fldCharType="begin"/>
      </w:r>
      <w:r w:rsidR="00150B5C">
        <w:instrText xml:space="preserve"> REF _Ref418528906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rsidR="00150B5C">
        <w:t>a, circles and crosses). Nearing 100% impact avoidance greatly escalates costs (</w:t>
      </w:r>
      <w:r w:rsidR="00F01773">
        <w:fldChar w:fldCharType="begin"/>
      </w:r>
      <w:r w:rsidR="00150B5C">
        <w:instrText xml:space="preserve"> REF _Ref418528906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rsidR="00150B5C">
        <w:t>a circles and crosses right of 80%).</w:t>
      </w:r>
      <w:r>
        <w:t xml:space="preserve"> </w:t>
      </w:r>
    </w:p>
    <w:p w:rsidR="009663A3" w:rsidRDefault="006130B9">
      <w:pPr>
        <w:pStyle w:val="Heading4"/>
        <w:numPr>
          <w:ilvl w:val="0"/>
          <w:numId w:val="0"/>
        </w:numPr>
      </w:pPr>
      <w:r>
        <w:t xml:space="preserve">Does </w:t>
      </w:r>
      <w:r>
        <w:rPr>
          <w:i/>
        </w:rPr>
        <w:t xml:space="preserve">Cap and Trade </w:t>
      </w:r>
      <w:r>
        <w:t>achieve minimum costs?</w:t>
      </w:r>
    </w:p>
    <w:p w:rsidR="003118BF" w:rsidRPr="006130B9" w:rsidRDefault="004455EB" w:rsidP="003118BF">
      <w:pPr>
        <w:ind w:firstLine="720"/>
      </w:pPr>
      <w:r>
        <w:t xml:space="preserve">As expected by theory </w:t>
      </w:r>
      <w:r w:rsidR="00F01773">
        <w:fldChar w:fldCharType="begin" w:fldLock="1"/>
      </w:r>
      <w:r w:rsidR="00560194">
        <w:instrText>ADDIN CSL_CITATION { "citationItems" : [ { "id" : "ITEM-1", "itemData" : { "ISBN" : "0-321-01428-6", "author" : [ { "dropping-particle" : "", "family" : "Hartwick", "given" : "John M.", "non-dropping-particle" : "", "parse-names" : false, "suffix" : "" }, { "dropping-particle" : "", "family" : "Olewiler", "given" : "Nancy D.", "non-dropping-particle" : "", "parse-names" : false, "suffix" : "" } ], "edition" : "2", "editor" : [ { "dropping-particle" : "", "family" : "Clinton", "given" : "Denise", "non-dropping-particle" : "", "parse-names" : false, "suffix" : "" } ], "id" : "ITEM-1", "issued" : { "date-parts" : [ [ "1998" ] ] }, "publisher" : "Addison-Wesley Educational Publishers, Inc.", "publisher-place" : "Reading, Massachusetts, Massachusetts", "title" : "The Economics of Natural Resource Use", "type" : "book" }, "uris" : [ "http://www.mendeley.com/documents/?uuid=a7bd3111-8677-4912-883e-da256b2d3803" ] } ], "mendeley" : { "formattedCitation" : "(Hartwick &amp; Olewiler 1998)", "plainTextFormattedCitation" : "(Hartwick &amp; Olewiler 1998)", "previouslyFormattedCitation" : "(Hartwick &amp; Olewiler 1998)" }, "properties" : { "noteIndex" : 0 }, "schema" : "https://github.com/citation-style-language/schema/raw/master/csl-citation.json" }</w:instrText>
      </w:r>
      <w:r w:rsidR="00F01773">
        <w:fldChar w:fldCharType="separate"/>
      </w:r>
      <w:r w:rsidRPr="004455EB">
        <w:rPr>
          <w:noProof/>
        </w:rPr>
        <w:t>(Hartwick &amp; Olewiler 1998)</w:t>
      </w:r>
      <w:r w:rsidR="00F01773">
        <w:fldChar w:fldCharType="end"/>
      </w:r>
      <w:r>
        <w:t>, i</w:t>
      </w:r>
      <w:r w:rsidR="003118BF">
        <w:t xml:space="preserve">mplementing </w:t>
      </w:r>
      <w:r w:rsidR="003118BF">
        <w:rPr>
          <w:i/>
        </w:rPr>
        <w:t xml:space="preserve">Cap and Trade </w:t>
      </w:r>
      <w:r w:rsidR="003118BF">
        <w:t xml:space="preserve">results in outcomes that are nearly identical to </w:t>
      </w:r>
      <w:r w:rsidR="003118BF">
        <w:rPr>
          <w:i/>
        </w:rPr>
        <w:t xml:space="preserve">Omniscient Social </w:t>
      </w:r>
      <w:r w:rsidR="003118BF" w:rsidRPr="00A94B4B">
        <w:rPr>
          <w:i/>
        </w:rPr>
        <w:t>Planner</w:t>
      </w:r>
      <w:r w:rsidR="003118BF">
        <w:t xml:space="preserve">. As can be seen in </w:t>
      </w:r>
      <w:r w:rsidR="00F01773">
        <w:fldChar w:fldCharType="begin"/>
      </w:r>
      <w:r w:rsidR="00197982">
        <w:instrText xml:space="preserve"> REF _Ref417645580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rsidR="003118BF">
        <w:t xml:space="preserve">b, we estimate even lower costs at the same level of impact reduction when implementing </w:t>
      </w:r>
      <w:r w:rsidR="003118BF">
        <w:rPr>
          <w:i/>
        </w:rPr>
        <w:t>Cap and Trade</w:t>
      </w:r>
      <w:r w:rsidR="003118BF">
        <w:t xml:space="preserve">, but this is due solely to the way we estimate the outcomes of a cap and trade system. A more accurate analysis would show that </w:t>
      </w:r>
      <w:r w:rsidR="003118BF">
        <w:rPr>
          <w:i/>
        </w:rPr>
        <w:t>Cap and Trade</w:t>
      </w:r>
      <w:r w:rsidR="003118BF">
        <w:t xml:space="preserve"> performs no better than </w:t>
      </w:r>
      <w:r w:rsidR="003118BF">
        <w:rPr>
          <w:i/>
        </w:rPr>
        <w:t>Omniscient Social Planner</w:t>
      </w:r>
      <w:r w:rsidR="003118BF">
        <w:t>.</w:t>
      </w:r>
      <w:r w:rsidR="006130B9">
        <w:t xml:space="preserve"> We focus on the comparison of </w:t>
      </w:r>
      <w:r w:rsidR="006130B9">
        <w:rPr>
          <w:i/>
        </w:rPr>
        <w:t>Cap and Trade</w:t>
      </w:r>
      <w:r w:rsidR="006130B9">
        <w:t xml:space="preserve"> and </w:t>
      </w:r>
      <w:r w:rsidR="006130B9">
        <w:rPr>
          <w:i/>
        </w:rPr>
        <w:t>Uniform Cap without Trading</w:t>
      </w:r>
      <w:r w:rsidR="006130B9">
        <w:t xml:space="preserve"> hereafter.</w:t>
      </w:r>
    </w:p>
    <w:p w:rsidR="009663A3" w:rsidRDefault="006130B9">
      <w:pPr>
        <w:pStyle w:val="Heading4"/>
        <w:numPr>
          <w:ilvl w:val="0"/>
          <w:numId w:val="0"/>
        </w:numPr>
      </w:pPr>
      <w:r>
        <w:t>How do policy scenarios compare when the regulator perfectly estimates impacts in the absence of additional regulation?</w:t>
      </w:r>
    </w:p>
    <w:p w:rsidR="003118BF" w:rsidRPr="00D861EF" w:rsidRDefault="004B3BC3" w:rsidP="003118BF">
      <w:pPr>
        <w:ind w:firstLine="720"/>
      </w:pPr>
      <w:r>
        <w:t xml:space="preserve">There are important differences in the total cost and impact of implementing different regulations. </w:t>
      </w:r>
      <w:r>
        <w:rPr>
          <w:i/>
        </w:rPr>
        <w:t>Cap and Trade</w:t>
      </w:r>
      <w:r>
        <w:t xml:space="preserve"> achieves a lower cost at a given level of impact avoidance than </w:t>
      </w:r>
      <w:r>
        <w:rPr>
          <w:i/>
        </w:rPr>
        <w:t>Uniform Cap without Trading</w:t>
      </w:r>
      <w:r>
        <w:t>. This improvement is not small over most of the range of possible outcomes, and is as large as ~</w:t>
      </w:r>
      <w:r w:rsidR="00436123">
        <w:t>30</w:t>
      </w:r>
      <w:r w:rsidR="008D2003">
        <w:t>%</w:t>
      </w:r>
      <w:r w:rsidR="00436123">
        <w:t xml:space="preserve"> when avoiding ~36</w:t>
      </w:r>
      <w:r>
        <w:t>% of total impacts (</w:t>
      </w:r>
      <w:r w:rsidR="00F01773">
        <w:fldChar w:fldCharType="begin"/>
      </w:r>
      <w:r>
        <w:instrText xml:space="preserve"> REF _Ref417645580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t xml:space="preserve">). </w:t>
      </w:r>
      <w:r w:rsidR="003118BF">
        <w:t>The two most likely regulatory scenarios differ wildly in how much potential impacts can be avoided (</w:t>
      </w:r>
      <w:r w:rsidR="00F01773">
        <w:fldChar w:fldCharType="begin"/>
      </w:r>
      <w:r w:rsidR="00197982">
        <w:instrText xml:space="preserve"> REF _Ref417645580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rsidR="003118BF">
        <w:t xml:space="preserve">b). If </w:t>
      </w:r>
      <w:r w:rsidR="003118BF">
        <w:rPr>
          <w:i/>
        </w:rPr>
        <w:t xml:space="preserve">Cap and </w:t>
      </w:r>
      <w:r w:rsidR="003118BF" w:rsidRPr="00BB4371">
        <w:rPr>
          <w:i/>
        </w:rPr>
        <w:t>Trade</w:t>
      </w:r>
      <w:r w:rsidR="003118BF">
        <w:rPr>
          <w:i/>
        </w:rPr>
        <w:t xml:space="preserve"> </w:t>
      </w:r>
      <w:r w:rsidR="00436123">
        <w:t>is implemented, up to ~36</w:t>
      </w:r>
      <w:r w:rsidR="003118BF">
        <w:t xml:space="preserve">% reduction in potential impacts can be achieved for only </w:t>
      </w:r>
      <w:r w:rsidR="00176C2E">
        <w:t>0.0</w:t>
      </w:r>
      <w:r w:rsidR="00436123">
        <w:t>5</w:t>
      </w:r>
      <w:r w:rsidR="00176C2E">
        <w:t xml:space="preserve">% of the maximum cost </w:t>
      </w:r>
      <w:r w:rsidR="003118BF">
        <w:t xml:space="preserve">while still allowing all sites to be developed. Compare this to the </w:t>
      </w:r>
      <w:r w:rsidR="003118BF">
        <w:rPr>
          <w:i/>
        </w:rPr>
        <w:t>Uniform Cap without Trading</w:t>
      </w:r>
      <w:r w:rsidR="003118BF">
        <w:t xml:space="preserve"> scenario, for which very little (~0.1%) impact avoidance is possible while allowing all development. In addition, there are many more options for how much impacts are avoided while allowing all development under the </w:t>
      </w:r>
      <w:r w:rsidR="003118BF">
        <w:rPr>
          <w:i/>
        </w:rPr>
        <w:t>Cap and Trade</w:t>
      </w:r>
      <w:r w:rsidR="003118BF">
        <w:t xml:space="preserve"> scenario.</w:t>
      </w:r>
    </w:p>
    <w:p w:rsidR="003118BF" w:rsidRPr="007E4924" w:rsidRDefault="003118BF" w:rsidP="00434898">
      <w:pPr>
        <w:ind w:firstLine="720"/>
      </w:pPr>
      <w:r>
        <w:t xml:space="preserve">The distribution of outcomes along the horizontal axis in </w:t>
      </w:r>
      <w:r w:rsidR="00F01773">
        <w:fldChar w:fldCharType="begin"/>
      </w:r>
      <w:r w:rsidR="004F6CAC">
        <w:instrText xml:space="preserve"> REF _Ref417645580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proofErr w:type="gramStart"/>
      <w:r>
        <w:t>a is</w:t>
      </w:r>
      <w:proofErr w:type="gramEnd"/>
      <w:r>
        <w:t xml:space="preserve"> also interesting. First, </w:t>
      </w:r>
      <w:r>
        <w:rPr>
          <w:i/>
        </w:rPr>
        <w:t>Uniform Cap without Trading</w:t>
      </w:r>
      <w:r>
        <w:t xml:space="preserve"> exhibits a less smooth spacing of outcomes, which is a result of the way the regulation is implemented. Outcomes that are close together are similar in that the set of sites developed does not change from one outcome to the next, but only the set of layouts chosen for development. Large jumps between </w:t>
      </w:r>
      <w:r>
        <w:lastRenderedPageBreak/>
        <w:t xml:space="preserve">clusters of outcomes are due to one or more sites being pushed out of development by a reduction in the site-level cap. This discontinuity in outcomes means that small regulatory adjustments may have little effect on resulting impacts and costs. Contrarily, the other </w:t>
      </w:r>
      <w:r w:rsidR="008D694A">
        <w:t xml:space="preserve">policy </w:t>
      </w:r>
      <w:r>
        <w:t>scenario ha</w:t>
      </w:r>
      <w:r w:rsidR="008D694A">
        <w:t>s a</w:t>
      </w:r>
      <w:r>
        <w:t xml:space="preserve"> smoother distribution of outcomes because the regulation allows more flexibility in how sites are developed. As a result, small policy adjustments </w:t>
      </w:r>
      <w:r w:rsidR="008D694A">
        <w:t>more often</w:t>
      </w:r>
      <w:r>
        <w:t xml:space="preserve"> affect the system.</w:t>
      </w:r>
    </w:p>
    <w:p w:rsidR="003118BF" w:rsidRDefault="008D694A" w:rsidP="00612B46">
      <w:pPr>
        <w:pStyle w:val="Heading3"/>
      </w:pPr>
      <w:bookmarkStart w:id="259" w:name="_Ref418527532"/>
      <w:bookmarkStart w:id="260" w:name="_Ref418527524"/>
      <w:r>
        <w:t xml:space="preserve">How is the cost effectiveness of Cap and Trade affected by the regulator’s ability to </w:t>
      </w:r>
      <w:proofErr w:type="gramStart"/>
      <w:r>
        <w:t xml:space="preserve">estimate </w:t>
      </w:r>
      <m:oMath>
        <w:proofErr w:type="gramEnd"/>
        <m:sSub>
          <m:sSubPr>
            <m:ctrlPr>
              <w:rPr>
                <w:rFonts w:ascii="Cambria Math" w:hAnsi="Cambria Math"/>
              </w:rPr>
            </m:ctrlPr>
          </m:sSubPr>
          <m:e>
            <m:r>
              <w:rPr>
                <w:rFonts w:ascii="Cambria Math" w:hAnsi="Cambria Math"/>
              </w:rPr>
              <m:t>I</m:t>
            </m:r>
          </m:e>
          <m:sub>
            <m:r>
              <w:rPr>
                <w:rFonts w:ascii="Cambria Math" w:hAnsi="Cambria Math"/>
              </w:rPr>
              <m:t>i</m:t>
            </m:r>
          </m:sub>
        </m:sSub>
        <m:d>
          <m:dPr>
            <m:ctrlPr>
              <w:rPr>
                <w:rFonts w:ascii="Cambria Math" w:hAnsi="Cambria Math"/>
              </w:rPr>
            </m:ctrlPr>
          </m:dPr>
          <m:e>
            <m:r>
              <w:rPr>
                <w:rFonts w:ascii="Cambria Math" w:hAnsi="Cambria Math"/>
              </w:rPr>
              <m:t>0</m:t>
            </m:r>
          </m:e>
        </m:d>
      </m:oMath>
      <w:r>
        <w:t>?</w:t>
      </w:r>
      <w:bookmarkEnd w:id="259"/>
      <w:bookmarkEnd w:id="260"/>
    </w:p>
    <w:p w:rsidR="00705D10" w:rsidRPr="00705D10" w:rsidRDefault="00705D10" w:rsidP="00705D10">
      <w:pPr>
        <w:pStyle w:val="Heading4"/>
        <w:numPr>
          <w:ilvl w:val="0"/>
          <w:numId w:val="0"/>
        </w:numPr>
      </w:pPr>
      <w:r>
        <w:t>Idealized Scenarios</w:t>
      </w:r>
    </w:p>
    <w:p w:rsidR="00F50B1D" w:rsidRDefault="00F50B1D" w:rsidP="003118BF">
      <w:pPr>
        <w:ind w:firstLine="720"/>
      </w:pPr>
      <w:r>
        <w:t xml:space="preserve">Having identified </w:t>
      </w:r>
      <w:r>
        <w:rPr>
          <w:i/>
        </w:rPr>
        <w:t xml:space="preserve">Cap and Trade </w:t>
      </w:r>
      <w:r>
        <w:t xml:space="preserve">as a potentially very cost effective policy choice, we now explore how sensitive that finding is to our underlying assumptions. Specifically, we focus once again on our information assumptions. This time, though, we emphasize </w:t>
      </w:r>
      <m:oMath>
        <m:sSub>
          <m:sSubPr>
            <m:ctrlPr>
              <w:rPr>
                <w:rFonts w:ascii="Cambria Math" w:hAnsi="Cambria Math"/>
                <w:i/>
              </w:rPr>
            </m:ctrlPr>
          </m:sSubPr>
          <m:e>
            <m:r>
              <w:rPr>
                <w:rFonts w:ascii="Cambria Math" w:hAnsi="Cambria Math"/>
              </w:rPr>
              <m:t>I</m:t>
            </m:r>
          </m:e>
          <m:sub>
            <m:r>
              <w:rPr>
                <w:rFonts w:ascii="Cambria Math" w:hAnsi="Cambria Math"/>
              </w:rPr>
              <m:t>i</m:t>
            </m:r>
          </m:sub>
        </m:sSub>
        <m:r>
          <w:rPr>
            <w:rFonts w:ascii="Cambria Math" w:hAnsi="Cambria Math"/>
          </w:rPr>
          <m:t>(0)</m:t>
        </m:r>
      </m:oMath>
      <w:r>
        <w:t xml:space="preserve"> used to set the site-specific cap, which is an obvious target for a sensitivity test because it is a quantity which developers will know much better than the regulator and which developers will have an incentive to hide. Note that in </w:t>
      </w:r>
      <w:r>
        <w:rPr>
          <w:i/>
        </w:rPr>
        <w:t>Uniform Cap without Trading</w:t>
      </w:r>
      <w:r w:rsidRPr="00F50B1D">
        <w:t xml:space="preserve">, </w:t>
      </w:r>
      <w:r>
        <w:t xml:space="preserve">we hold to the previous assumption that the regulator does not know or chooses not to implement a site-specific cap. </w:t>
      </w:r>
    </w:p>
    <w:p w:rsidR="00380C0C" w:rsidRDefault="003118BF" w:rsidP="00380C0C">
      <w:pPr>
        <w:ind w:firstLine="720"/>
        <w:rPr>
          <w:noProof/>
        </w:rPr>
      </w:pPr>
      <w:r>
        <w:t>In</w:t>
      </w:r>
      <w:r w:rsidR="00916837">
        <w:t xml:space="preserve"> </w:t>
      </w:r>
      <w:r w:rsidR="00F01773">
        <w:fldChar w:fldCharType="begin"/>
      </w:r>
      <w:r w:rsidR="008F24C1">
        <w:instrText xml:space="preserve"> REF _Ref418530233 \h </w:instrText>
      </w:r>
      <w:r w:rsidR="00F01773">
        <w:fldChar w:fldCharType="separate"/>
      </w:r>
      <w:r w:rsidR="00867AA7" w:rsidRPr="0029497E">
        <w:t xml:space="preserve">Fig. </w:t>
      </w:r>
      <w:r w:rsidR="00867AA7">
        <w:rPr>
          <w:noProof/>
        </w:rPr>
        <w:t>4</w:t>
      </w:r>
      <w:r w:rsidR="00867AA7" w:rsidRPr="0029497E">
        <w:t>.</w:t>
      </w:r>
      <w:r w:rsidR="00867AA7">
        <w:rPr>
          <w:noProof/>
        </w:rPr>
        <w:t>3</w:t>
      </w:r>
      <w:r w:rsidR="00F01773">
        <w:fldChar w:fldCharType="end"/>
      </w:r>
      <w:r>
        <w:t xml:space="preserve">, we summarize the results of our </w:t>
      </w:r>
      <w:r w:rsidRPr="00CB403C">
        <w:t>sensitivity</w:t>
      </w:r>
      <w:r>
        <w:t xml:space="preserve"> tests to explore how the cost effectiveness of </w:t>
      </w:r>
      <w:r>
        <w:rPr>
          <w:i/>
        </w:rPr>
        <w:t>Cap and Trade</w:t>
      </w:r>
      <w:r>
        <w:t xml:space="preserve"> is affected by error in the regulator’s ability to estimate impacts in the absence of additional regulation, </w:t>
      </w:r>
      <w:proofErr w:type="gramStart"/>
      <w:r>
        <w:t xml:space="preserve">denoted </w:t>
      </w:r>
      <m:oMath>
        <w:proofErr w:type="gramEnd"/>
        <m:sSub>
          <m:sSubPr>
            <m:ctrlPr>
              <w:rPr>
                <w:rFonts w:ascii="Cambria Math" w:hAnsi="Cambria Math"/>
                <w:i/>
              </w:rPr>
            </m:ctrlPr>
          </m:sSubPr>
          <m:e>
            <m:acc>
              <m:accPr>
                <m:ctrlPr>
                  <w:rPr>
                    <w:rFonts w:ascii="Cambria Math" w:hAnsi="Cambria Math"/>
                    <w:i/>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oMath>
      <w:r>
        <w:t xml:space="preserve">. We calculated cost effectiveness as the ratio of system total absolute impact avoidance to total cost in </w:t>
      </w:r>
      <w:r w:rsidR="00AB057B">
        <w:t>billion USD</w:t>
      </w:r>
      <w:r>
        <w:t>. To plot all policy scenarios on the same horizontal axis, we transformed</w:t>
      </w:r>
      <w:r w:rsidR="00A216EA">
        <w:t xml:space="preserve"> the cap</w:t>
      </w:r>
      <w:r>
        <w:t xml:space="preserve"> </w:t>
      </w:r>
      <w:r w:rsidR="00A216EA">
        <w:t>(</w:t>
      </w:r>
      <m:oMath>
        <m:r>
          <w:rPr>
            <w:rFonts w:ascii="Cambria Math" w:hAnsi="Cambria Math"/>
          </w:rPr>
          <m:t>A</m:t>
        </m:r>
      </m:oMath>
      <w:r w:rsidR="00A216EA">
        <w:t>)</w:t>
      </w:r>
      <w:r>
        <w:rPr>
          <w:rFonts w:eastAsiaTheme="minorEastAsia"/>
        </w:rPr>
        <w:t xml:space="preserve"> for </w:t>
      </w:r>
      <w:r>
        <w:rPr>
          <w:rFonts w:eastAsiaTheme="minorEastAsia"/>
          <w:i/>
        </w:rPr>
        <w:t>Uniform Cap without Trading</w:t>
      </w:r>
      <w:r>
        <w:rPr>
          <w:rFonts w:eastAsiaTheme="minorEastAsia"/>
        </w:rPr>
        <w:t xml:space="preserve"> to a relative scale by dividing by the maximum value.</w:t>
      </w:r>
    </w:p>
    <w:p w:rsidR="00380C0C" w:rsidRDefault="00380C0C" w:rsidP="00380C0C">
      <w:pPr>
        <w:ind w:firstLine="720"/>
      </w:pPr>
      <w:r>
        <w:rPr>
          <w:rFonts w:eastAsiaTheme="minorEastAsia"/>
        </w:rPr>
        <w:t xml:space="preserve">Before discussing the results of the error analysis, we first orient the reader to the idealized cost effectiveness curves (black open symbols in </w:t>
      </w:r>
      <w:r>
        <w:fldChar w:fldCharType="begin"/>
      </w:r>
      <w:r>
        <w:instrText xml:space="preserve"> REF _Ref418530233 \h </w:instrText>
      </w:r>
      <w:r>
        <w:fldChar w:fldCharType="separate"/>
      </w:r>
      <w:r w:rsidRPr="0029497E">
        <w:t xml:space="preserve">Fig. </w:t>
      </w:r>
      <w:r>
        <w:rPr>
          <w:noProof/>
        </w:rPr>
        <w:t>4</w:t>
      </w:r>
      <w:r w:rsidRPr="0029497E">
        <w:t>.</w:t>
      </w:r>
      <w:r>
        <w:rPr>
          <w:noProof/>
        </w:rPr>
        <w:t>3</w:t>
      </w:r>
      <w:r>
        <w:fldChar w:fldCharType="end"/>
      </w:r>
      <w:r>
        <w:t xml:space="preserve">a-c). At regulator choices below ~0.15, there are no outcomes for </w:t>
      </w:r>
      <w:r>
        <w:rPr>
          <w:i/>
        </w:rPr>
        <w:t xml:space="preserve">Uniform Cap without Trading </w:t>
      </w:r>
      <w:r>
        <w:t xml:space="preserve">where sites are developed. The next two outcomes are two of the most cost effective for </w:t>
      </w:r>
      <w:r>
        <w:rPr>
          <w:i/>
        </w:rPr>
        <w:t>Uniform Cap without Trading</w:t>
      </w:r>
      <w:r>
        <w:t xml:space="preserve"> because they reduce impacts a little while still allowing all development to proceed. At further commitments to reducing impacts, </w:t>
      </w:r>
      <w:r>
        <w:rPr>
          <w:i/>
        </w:rPr>
        <w:t>Uniform Cap without Trading</w:t>
      </w:r>
      <w:r>
        <w:t xml:space="preserve"> outcomes have a low but increasing cost effectiveness, with a peak near (0.55, 0.01). </w:t>
      </w:r>
    </w:p>
    <w:p w:rsidR="00380C0C" w:rsidRDefault="00380C0C" w:rsidP="0058294C">
      <w:r>
        <w:rPr>
          <w:i/>
        </w:rPr>
        <w:t>Cap and Trade</w:t>
      </w:r>
      <w:r>
        <w:t xml:space="preserve"> and the idealized benchmark </w:t>
      </w:r>
      <w:r>
        <w:rPr>
          <w:i/>
        </w:rPr>
        <w:t>Omniscient Social Planner</w:t>
      </w:r>
      <w:r>
        <w:t xml:space="preserve"> both exhibit almost identical outcomes. </w:t>
      </w:r>
      <w:r w:rsidR="0058294C">
        <w:t xml:space="preserve">Increasing commitment to reducing impacts lead to increasingly more cost effective outcomes up to the point just before one site is pushed out of production. Peak cost </w:t>
      </w:r>
    </w:p>
    <w:p w:rsidR="005C1911" w:rsidRDefault="005C1911" w:rsidP="003118BF">
      <w:pPr>
        <w:ind w:firstLine="720"/>
        <w:rPr>
          <w:noProof/>
        </w:rPr>
        <w:sectPr w:rsidR="005C1911" w:rsidSect="002115B4">
          <w:pgSz w:w="12240" w:h="15840" w:code="1"/>
          <w:pgMar w:top="1440" w:right="1800" w:bottom="1440" w:left="1800" w:header="720" w:footer="1440" w:gutter="0"/>
          <w:cols w:space="720"/>
          <w:noEndnote/>
          <w:docGrid w:linePitch="360"/>
        </w:sectPr>
      </w:pPr>
    </w:p>
    <w:p w:rsidR="005C1911" w:rsidRDefault="00F01773" w:rsidP="005C1911">
      <w:pPr>
        <w:rPr>
          <w:noProof/>
        </w:rPr>
        <w:sectPr w:rsidR="005C1911" w:rsidSect="002115B4">
          <w:pgSz w:w="12240" w:h="15840" w:code="1"/>
          <w:pgMar w:top="1440" w:right="1800" w:bottom="1440" w:left="1800" w:header="720" w:footer="1440" w:gutter="0"/>
          <w:cols w:space="720"/>
          <w:noEndnote/>
          <w:docGrid w:linePitch="360"/>
        </w:sectPr>
      </w:pPr>
      <w:r>
        <w:pict>
          <v:shape id="_x0000_s1086" type="#_x0000_t202" style="width:6in;height:126pt;mso-position-horizontal-relative:char;mso-position-vertical-relative:line" stroked="f">
            <v:textbox style="mso-next-textbox:#_x0000_s1086">
              <w:txbxContent>
                <w:p w:rsidR="006A45E8" w:rsidRPr="00304F17" w:rsidRDefault="006A45E8" w:rsidP="005C1911">
                  <w:pPr>
                    <w:pStyle w:val="Caption"/>
                    <w:rPr>
                      <w:rFonts w:eastAsiaTheme="minorEastAsia"/>
                      <w:vanish/>
                      <w:specVanish/>
                    </w:rPr>
                  </w:pPr>
                  <w:bookmarkStart w:id="261" w:name="_Ref418530233"/>
                  <w:bookmarkStart w:id="262" w:name="_Toc421352917"/>
                  <w:bookmarkStart w:id="263" w:name="_Toc417647091"/>
                  <w:proofErr w:type="gramStart"/>
                  <w:r w:rsidRPr="0029497E">
                    <w:t>Fig.</w:t>
                  </w:r>
                  <w:proofErr w:type="gramEnd"/>
                  <w:r w:rsidRPr="0029497E">
                    <w:t xml:space="preserve"> </w:t>
                  </w:r>
                  <w:fldSimple w:instr=" STYLEREF 1 \s ">
                    <w:r>
                      <w:rPr>
                        <w:noProof/>
                      </w:rPr>
                      <w:t>4</w:t>
                    </w:r>
                  </w:fldSimple>
                  <w:r w:rsidRPr="0029497E">
                    <w:t>.</w:t>
                  </w:r>
                  <w:fldSimple w:instr=" SEQ Fig. \* ARABIC \s 1 ">
                    <w:r>
                      <w:rPr>
                        <w:noProof/>
                      </w:rPr>
                      <w:t>3</w:t>
                    </w:r>
                  </w:fldSimple>
                  <w:bookmarkEnd w:id="261"/>
                  <w:r w:rsidRPr="0029497E">
                    <w:t>. Effect of error in regulator’s estimate of impacts in the absence of additional regulation</w:t>
                  </w:r>
                  <w:bookmarkEnd w:id="262"/>
                </w:p>
                <w:p w:rsidR="006A45E8" w:rsidRPr="0029497E" w:rsidRDefault="006A45E8" w:rsidP="005C1911">
                  <w:pPr>
                    <w:pStyle w:val="Caption"/>
                  </w:pPr>
                  <w:r>
                    <w:t xml:space="preserve"> </w:t>
                  </w:r>
                  <w:proofErr w:type="gramStart"/>
                  <w:r w:rsidRPr="0029497E">
                    <w:t>(</w:t>
                  </w:r>
                  <m:oMath>
                    <m:sSub>
                      <m:sSubPr>
                        <m:ctrlPr>
                          <w:rPr>
                            <w:rFonts w:ascii="Cambria Math" w:hAnsi="Cambria Math"/>
                          </w:rPr>
                        </m:ctrlPr>
                      </m:sSubPr>
                      <m:e>
                        <m:acc>
                          <m:accPr>
                            <m:ctrlPr>
                              <w:rPr>
                                <w:rFonts w:ascii="Cambria Math" w:hAnsi="Cambria Math"/>
                              </w:rPr>
                            </m:ctrlPr>
                          </m:accPr>
                          <m:e>
                            <m:r>
                              <w:rPr>
                                <w:rFonts w:ascii="Cambria Math" w:hAnsi="Cambria Math"/>
                              </w:rPr>
                              <m:t>I</m:t>
                            </m:r>
                          </m:e>
                        </m:acc>
                      </m:e>
                      <m:sub>
                        <m:r>
                          <w:rPr>
                            <w:rFonts w:ascii="Cambria Math" w:hAnsi="Cambria Math"/>
                          </w:rPr>
                          <m:t>i</m:t>
                        </m:r>
                      </m:sub>
                    </m:sSub>
                    <m:d>
                      <m:dPr>
                        <m:ctrlPr>
                          <w:rPr>
                            <w:rFonts w:ascii="Cambria Math" w:hAnsi="Cambria Math"/>
                          </w:rPr>
                        </m:ctrlPr>
                      </m:dPr>
                      <m:e>
                        <m:r>
                          <m:rPr>
                            <m:sty m:val="p"/>
                          </m:rPr>
                          <w:rPr>
                            <w:rFonts w:ascii="Cambria Math" w:hAnsi="Cambria Math"/>
                          </w:rPr>
                          <m:t>0</m:t>
                        </m:r>
                      </m:e>
                    </m:d>
                  </m:oMath>
                  <w:r w:rsidRPr="0029497E">
                    <w:t xml:space="preserve">) for Cap and Trade when error is a) </w:t>
                  </w:r>
                  <w:r w:rsidR="00067DF8">
                    <w:t>uniform but unbiased</w:t>
                  </w:r>
                  <w:r w:rsidRPr="0029497E">
                    <w:t>, b) systematically high, and c) systematically low.</w:t>
                  </w:r>
                  <w:proofErr w:type="gramEnd"/>
                  <w:r w:rsidRPr="0029497E">
                    <w:t xml:space="preserve"> Horizontal axis ranges from no commitment to reducing impacts (0.0) up to no allowance of impact (1.0). In all panels, outcomes from a zero-error estimate are shown in black, while increasingly lighter gray shows outcomes with increasing error. Triangles (</w:t>
                  </w:r>
                  <w:r w:rsidRPr="0029497E">
                    <w:rPr>
                      <w:rFonts w:ascii="Cambria Math" w:hAnsi="Cambria Math" w:cs="Cambria Math"/>
                    </w:rPr>
                    <w:t>△</w:t>
                  </w:r>
                  <w:r w:rsidRPr="0029497E">
                    <w:t>) are Uniform Cap without Trading, crosses (</w:t>
                  </w:r>
                  <w:r w:rsidRPr="0029497E">
                    <w:rPr>
                      <w:rFonts w:ascii="Cambria Math" w:hAnsi="Cambria Math" w:cs="Cambria Math"/>
                    </w:rPr>
                    <w:t>⨉</w:t>
                  </w:r>
                  <w:r w:rsidRPr="0029497E">
                    <w:t>) are Omniscient Social Planner, and circles (</w:t>
                  </w:r>
                  <w:r w:rsidRPr="0029497E">
                    <w:rPr>
                      <w:rFonts w:ascii="Times New Roman" w:hAnsi="Times New Roman" w:cs="Times New Roman"/>
                    </w:rPr>
                    <w:t>○</w:t>
                  </w:r>
                  <w:r w:rsidRPr="0029497E">
                    <w:t xml:space="preserve">) are Cap and Trade. Error levels are summarized in </w:t>
                  </w:r>
                  <w:fldSimple w:instr=" REF _Ref417646070 \h  \* MERGEFORMAT ">
                    <w:r>
                      <w:t>Table 4.2</w:t>
                    </w:r>
                  </w:fldSimple>
                  <w:r w:rsidRPr="0029497E">
                    <w:t xml:space="preserve">. In a) shaded regions show a range of outcomes over 100 trials of uniformly distributed error </w:t>
                  </w:r>
                  <w:proofErr w:type="gramStart"/>
                  <w:r w:rsidRPr="0029497E">
                    <w:t xml:space="preserve">in </w:t>
                  </w:r>
                  <m:oMath>
                    <w:proofErr w:type="gramEnd"/>
                    <m:sSub>
                      <m:sSubPr>
                        <m:ctrlPr>
                          <w:rPr>
                            <w:rFonts w:ascii="Cambria Math" w:hAnsi="Cambria Math"/>
                          </w:rPr>
                        </m:ctrlPr>
                      </m:sSubPr>
                      <m:e>
                        <m:acc>
                          <m:accPr>
                            <m:ctrlPr>
                              <w:rPr>
                                <w:rFonts w:ascii="Cambria Math" w:hAnsi="Cambria Math"/>
                              </w:rPr>
                            </m:ctrlPr>
                          </m:accPr>
                          <m:e>
                            <m:r>
                              <w:rPr>
                                <w:rFonts w:ascii="Cambria Math" w:hAnsi="Cambria Math"/>
                              </w:rPr>
                              <m:t>I</m:t>
                            </m:r>
                          </m:e>
                        </m:acc>
                      </m:e>
                      <m:sub>
                        <m:r>
                          <w:rPr>
                            <w:rFonts w:ascii="Cambria Math" w:hAnsi="Cambria Math"/>
                          </w:rPr>
                          <m:t>i</m:t>
                        </m:r>
                      </m:sub>
                    </m:sSub>
                    <m:d>
                      <m:dPr>
                        <m:ctrlPr>
                          <w:rPr>
                            <w:rFonts w:ascii="Cambria Math" w:hAnsi="Cambria Math"/>
                          </w:rPr>
                        </m:ctrlPr>
                      </m:dPr>
                      <m:e>
                        <m:r>
                          <m:rPr>
                            <m:sty m:val="p"/>
                          </m:rPr>
                          <w:rPr>
                            <w:rFonts w:ascii="Cambria Math" w:hAnsi="Cambria Math"/>
                          </w:rPr>
                          <m:t>0</m:t>
                        </m:r>
                      </m:e>
                    </m:d>
                  </m:oMath>
                  <w:r w:rsidRPr="0029497E">
                    <w:t>.</w:t>
                  </w:r>
                  <w:bookmarkEnd w:id="263"/>
                </w:p>
              </w:txbxContent>
            </v:textbox>
            <w10:wrap type="none" anchorx="margin" anchory="margin"/>
            <w10:anchorlock/>
          </v:shape>
        </w:pict>
      </w:r>
    </w:p>
    <w:p w:rsidR="005C1911" w:rsidRDefault="005C1911" w:rsidP="005C1911">
      <w:pPr>
        <w:ind w:firstLine="720"/>
        <w:jc w:val="center"/>
        <w:rPr>
          <w:rFonts w:eastAsiaTheme="minorEastAsia"/>
        </w:rPr>
        <w:sectPr w:rsidR="005C1911" w:rsidSect="005C1911">
          <w:pgSz w:w="12240" w:h="15840" w:code="1"/>
          <w:pgMar w:top="1440" w:right="1800" w:bottom="1440" w:left="1800" w:header="720" w:footer="1440" w:gutter="0"/>
          <w:cols w:space="720"/>
          <w:vAlign w:val="center"/>
          <w:noEndnote/>
          <w:docGrid w:linePitch="360"/>
        </w:sectPr>
      </w:pPr>
      <w:r>
        <w:rPr>
          <w:noProof/>
        </w:rPr>
        <w:lastRenderedPageBreak/>
        <w:drawing>
          <wp:inline distT="0" distB="0" distL="0" distR="0">
            <wp:extent cx="2724150" cy="6955417"/>
            <wp:effectExtent l="19050" t="0" r="0" b="0"/>
            <wp:docPr id="2" name="Picture 1" descr="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png"/>
                    <pic:cNvPicPr/>
                  </pic:nvPicPr>
                  <pic:blipFill>
                    <a:blip r:embed="rId83" cstate="print"/>
                    <a:stretch>
                      <a:fillRect/>
                    </a:stretch>
                  </pic:blipFill>
                  <pic:spPr>
                    <a:xfrm>
                      <a:off x="0" y="0"/>
                      <a:ext cx="2724150" cy="6955417"/>
                    </a:xfrm>
                    <a:prstGeom prst="rect">
                      <a:avLst/>
                    </a:prstGeom>
                  </pic:spPr>
                </pic:pic>
              </a:graphicData>
            </a:graphic>
          </wp:inline>
        </w:drawing>
      </w:r>
    </w:p>
    <w:p w:rsidR="0058294C" w:rsidRDefault="0058294C" w:rsidP="0058294C">
      <w:proofErr w:type="gramStart"/>
      <w:r>
        <w:lastRenderedPageBreak/>
        <w:t>effectiveness</w:t>
      </w:r>
      <w:proofErr w:type="gramEnd"/>
      <w:r>
        <w:t xml:space="preserve"> where all sites are developed occurs at (0.64, 8.5) in </w:t>
      </w:r>
      <w:r>
        <w:fldChar w:fldCharType="begin"/>
      </w:r>
      <w:r>
        <w:instrText xml:space="preserve"> REF _Ref418530233 \h </w:instrText>
      </w:r>
      <w:r>
        <w:fldChar w:fldCharType="separate"/>
      </w:r>
      <w:r w:rsidRPr="0029497E">
        <w:t xml:space="preserve">Fig. </w:t>
      </w:r>
      <w:r>
        <w:rPr>
          <w:noProof/>
        </w:rPr>
        <w:t>4</w:t>
      </w:r>
      <w:r w:rsidRPr="0029497E">
        <w:t>.</w:t>
      </w:r>
      <w:r>
        <w:rPr>
          <w:noProof/>
        </w:rPr>
        <w:t>3</w:t>
      </w:r>
      <w:r>
        <w:fldChar w:fldCharType="end"/>
      </w:r>
      <w:r>
        <w:t>.</w:t>
      </w:r>
    </w:p>
    <w:p w:rsidR="00C619EA" w:rsidRPr="002F28FC" w:rsidRDefault="00C619EA" w:rsidP="003118BF">
      <w:pPr>
        <w:ind w:firstLine="720"/>
        <w:rPr>
          <w:rFonts w:eastAsiaTheme="minorEastAsia"/>
          <w:u w:val="single"/>
        </w:rPr>
      </w:pPr>
      <w:r>
        <w:t xml:space="preserve">In the ideal case, </w:t>
      </w:r>
      <w:r>
        <w:rPr>
          <w:i/>
        </w:rPr>
        <w:t xml:space="preserve">Cap and Trade </w:t>
      </w:r>
      <w:r>
        <w:t xml:space="preserve">is generally more cost effective than </w:t>
      </w:r>
      <w:r>
        <w:rPr>
          <w:i/>
        </w:rPr>
        <w:t>Uniform Cap without Trading</w:t>
      </w:r>
      <w:r>
        <w:t xml:space="preserve">; only at the extreme regulator choices do the two scenarios converge, which is a necessary result. Although both scenarios have peak effectiveness </w:t>
      </w:r>
      <w:r w:rsidR="009C5B2E">
        <w:t xml:space="preserve">up to the point just before one site is pushed out of production (highest triangle and circle in </w:t>
      </w:r>
      <w:r w:rsidR="00F01773">
        <w:fldChar w:fldCharType="begin"/>
      </w:r>
      <w:r w:rsidR="009C5B2E">
        <w:instrText xml:space="preserve"> REF _Ref418530233 \h </w:instrText>
      </w:r>
      <w:r w:rsidR="00F01773">
        <w:fldChar w:fldCharType="separate"/>
      </w:r>
      <w:r w:rsidR="00867AA7" w:rsidRPr="0029497E">
        <w:t xml:space="preserve">Fig. </w:t>
      </w:r>
      <w:r w:rsidR="00867AA7">
        <w:rPr>
          <w:noProof/>
        </w:rPr>
        <w:t>4</w:t>
      </w:r>
      <w:r w:rsidR="00867AA7" w:rsidRPr="0029497E">
        <w:t>.</w:t>
      </w:r>
      <w:r w:rsidR="00867AA7">
        <w:rPr>
          <w:noProof/>
        </w:rPr>
        <w:t>3</w:t>
      </w:r>
      <w:r w:rsidR="00F01773">
        <w:fldChar w:fldCharType="end"/>
      </w:r>
      <w:r w:rsidR="009C5B2E">
        <w:t xml:space="preserve">), </w:t>
      </w:r>
      <w:r w:rsidR="002F28FC">
        <w:t>t</w:t>
      </w:r>
      <w:r w:rsidR="009C5B2E">
        <w:t xml:space="preserve">he cost effectiveness of </w:t>
      </w:r>
      <w:r w:rsidR="009C5B2E">
        <w:rPr>
          <w:i/>
        </w:rPr>
        <w:t>Cap and Trade</w:t>
      </w:r>
      <w:r w:rsidR="009C5B2E">
        <w:t xml:space="preserve"> at its peak is </w:t>
      </w:r>
      <w:r w:rsidR="002F28FC">
        <w:t>more than</w:t>
      </w:r>
      <w:r w:rsidR="009C5B2E">
        <w:t xml:space="preserve"> two orders of magnitude more cost effective than </w:t>
      </w:r>
      <w:r w:rsidR="009C5B2E">
        <w:rPr>
          <w:i/>
        </w:rPr>
        <w:t>Uniform Cap without Trading</w:t>
      </w:r>
      <w:r w:rsidR="009C5B2E">
        <w:t xml:space="preserve"> at its peak. </w:t>
      </w:r>
      <w:r w:rsidR="002F28FC">
        <w:t>At higher commitments to reducing impacts</w:t>
      </w:r>
      <w:r w:rsidR="00BF52A9">
        <w:t xml:space="preserve"> (</w:t>
      </w:r>
      <w:r w:rsidR="00F01773">
        <w:fldChar w:fldCharType="begin"/>
      </w:r>
      <w:r w:rsidR="00BF52A9">
        <w:instrText xml:space="preserve"> REF _Ref418530233 \h </w:instrText>
      </w:r>
      <w:r w:rsidR="00F01773">
        <w:fldChar w:fldCharType="separate"/>
      </w:r>
      <w:r w:rsidR="00867AA7" w:rsidRPr="0029497E">
        <w:t xml:space="preserve">Fig. </w:t>
      </w:r>
      <w:r w:rsidR="00867AA7">
        <w:rPr>
          <w:noProof/>
        </w:rPr>
        <w:t>4</w:t>
      </w:r>
      <w:r w:rsidR="00867AA7" w:rsidRPr="0029497E">
        <w:t>.</w:t>
      </w:r>
      <w:r w:rsidR="00867AA7">
        <w:rPr>
          <w:noProof/>
        </w:rPr>
        <w:t>3</w:t>
      </w:r>
      <w:r w:rsidR="00F01773">
        <w:fldChar w:fldCharType="end"/>
      </w:r>
      <w:r w:rsidR="00BF52A9">
        <w:t xml:space="preserve"> right of ~0.4)</w:t>
      </w:r>
      <w:r w:rsidR="002F28FC">
        <w:t xml:space="preserve">, the two scenarios have more similar cost effectiveness, but </w:t>
      </w:r>
      <w:r w:rsidR="002F28FC">
        <w:rPr>
          <w:i/>
        </w:rPr>
        <w:t>Cap and Trade</w:t>
      </w:r>
      <w:r w:rsidR="002F28FC">
        <w:t xml:space="preserve"> is still five times more cost effective than </w:t>
      </w:r>
      <w:r w:rsidR="002F28FC">
        <w:rPr>
          <w:i/>
        </w:rPr>
        <w:t>Uniform Cap without Trading</w:t>
      </w:r>
      <w:r w:rsidR="002F28FC">
        <w:t xml:space="preserve"> on average.</w:t>
      </w:r>
    </w:p>
    <w:p w:rsidR="003118BF" w:rsidRDefault="003118BF" w:rsidP="003118BF">
      <w:pPr>
        <w:ind w:firstLine="720"/>
        <w:rPr>
          <w:rFonts w:eastAsiaTheme="minorEastAsia"/>
        </w:rPr>
      </w:pPr>
      <w:proofErr w:type="gramStart"/>
      <w:r>
        <w:t xml:space="preserve">Error in </w:t>
      </w:r>
      <m:oMath>
        <m:sSub>
          <m:sSubPr>
            <m:ctrlPr>
              <w:rPr>
                <w:rFonts w:ascii="Cambria Math" w:hAnsi="Cambria Math"/>
                <w:i/>
              </w:rPr>
            </m:ctrlPr>
          </m:sSubPr>
          <m:e>
            <m:acc>
              <m:accPr>
                <m:ctrlPr>
                  <w:rPr>
                    <w:rFonts w:ascii="Cambria Math" w:hAnsi="Cambria Math"/>
                    <w:i/>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xml:space="preserve"> affects the outcomes of implementing </w:t>
      </w:r>
      <w:r>
        <w:rPr>
          <w:rFonts w:eastAsiaTheme="minorEastAsia"/>
          <w:i/>
        </w:rPr>
        <w:t>Cap and Trade</w:t>
      </w:r>
      <w:r>
        <w:rPr>
          <w:rFonts w:eastAsiaTheme="minorEastAsia"/>
        </w:rPr>
        <w:t>.</w:t>
      </w:r>
      <w:proofErr w:type="gramEnd"/>
      <w:r>
        <w:rPr>
          <w:rFonts w:eastAsiaTheme="minorEastAsia"/>
          <w:i/>
        </w:rPr>
        <w:t xml:space="preserve"> </w:t>
      </w:r>
      <w:r>
        <w:t xml:space="preserve">We explored three types of error </w:t>
      </w:r>
      <w:proofErr w:type="gramStart"/>
      <w:r>
        <w:t xml:space="preserve">in </w:t>
      </w:r>
      <m:oMath>
        <w:proofErr w:type="gramEnd"/>
        <m:sSub>
          <m:sSubPr>
            <m:ctrlPr>
              <w:rPr>
                <w:rFonts w:ascii="Cambria Math" w:hAnsi="Cambria Math"/>
                <w:i/>
              </w:rPr>
            </m:ctrlPr>
          </m:sSubPr>
          <m:e>
            <m:acc>
              <m:accPr>
                <m:ctrlPr>
                  <w:rPr>
                    <w:rFonts w:ascii="Cambria Math" w:hAnsi="Cambria Math"/>
                    <w:i/>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oMath>
      <w:r>
        <w:t>: uniformly distributed (</w:t>
      </w:r>
      <w:r w:rsidR="00F01773">
        <w:fldChar w:fldCharType="begin"/>
      </w:r>
      <w:r w:rsidR="001A0160">
        <w:instrText xml:space="preserve"> REF _Ref418530233 \h </w:instrText>
      </w:r>
      <w:r w:rsidR="00F01773">
        <w:fldChar w:fldCharType="separate"/>
      </w:r>
      <w:r w:rsidR="00867AA7" w:rsidRPr="0029497E">
        <w:t xml:space="preserve">Fig. </w:t>
      </w:r>
      <w:r w:rsidR="00867AA7">
        <w:rPr>
          <w:noProof/>
        </w:rPr>
        <w:t>4</w:t>
      </w:r>
      <w:r w:rsidR="00867AA7" w:rsidRPr="0029497E">
        <w:t>.</w:t>
      </w:r>
      <w:r w:rsidR="00867AA7">
        <w:rPr>
          <w:noProof/>
        </w:rPr>
        <w:t>3</w:t>
      </w:r>
      <w:r w:rsidR="00F01773">
        <w:fldChar w:fldCharType="end"/>
      </w:r>
      <w:r>
        <w:t>a), systematically high (</w:t>
      </w:r>
      <w:r w:rsidR="00F01773">
        <w:fldChar w:fldCharType="begin"/>
      </w:r>
      <w:r w:rsidR="001A0160">
        <w:instrText xml:space="preserve"> REF _Ref418530233 \h </w:instrText>
      </w:r>
      <w:r w:rsidR="00F01773">
        <w:fldChar w:fldCharType="separate"/>
      </w:r>
      <w:r w:rsidR="00867AA7" w:rsidRPr="0029497E">
        <w:t xml:space="preserve">Fig. </w:t>
      </w:r>
      <w:r w:rsidR="00867AA7">
        <w:rPr>
          <w:noProof/>
        </w:rPr>
        <w:t>4</w:t>
      </w:r>
      <w:r w:rsidR="00867AA7" w:rsidRPr="0029497E">
        <w:t>.</w:t>
      </w:r>
      <w:r w:rsidR="00867AA7">
        <w:rPr>
          <w:noProof/>
        </w:rPr>
        <w:t>3</w:t>
      </w:r>
      <w:r w:rsidR="00F01773">
        <w:fldChar w:fldCharType="end"/>
      </w:r>
      <w:r>
        <w:t>b), and systematically low (</w:t>
      </w:r>
      <w:r w:rsidR="00F01773">
        <w:fldChar w:fldCharType="begin"/>
      </w:r>
      <w:r w:rsidR="001A0160">
        <w:instrText xml:space="preserve"> REF _Ref418530233 \h </w:instrText>
      </w:r>
      <w:r w:rsidR="00F01773">
        <w:fldChar w:fldCharType="separate"/>
      </w:r>
      <w:r w:rsidR="00867AA7" w:rsidRPr="0029497E">
        <w:t xml:space="preserve">Fig. </w:t>
      </w:r>
      <w:r w:rsidR="00867AA7">
        <w:rPr>
          <w:noProof/>
        </w:rPr>
        <w:t>4</w:t>
      </w:r>
      <w:r w:rsidR="00867AA7" w:rsidRPr="0029497E">
        <w:t>.</w:t>
      </w:r>
      <w:r w:rsidR="00867AA7">
        <w:rPr>
          <w:noProof/>
        </w:rPr>
        <w:t>3</w:t>
      </w:r>
      <w:r w:rsidR="00F01773">
        <w:fldChar w:fldCharType="end"/>
      </w:r>
      <w:r>
        <w:t xml:space="preserve">c). Because outcomes are based on the choice of layouts at sites and these choices </w:t>
      </w:r>
      <w:proofErr w:type="gramStart"/>
      <w:r>
        <w:t>are highly discrete, error</w:t>
      </w:r>
      <w:proofErr w:type="gramEnd"/>
      <w:r>
        <w:t xml:space="preserve"> in </w:t>
      </w:r>
      <m:oMath>
        <m:sSub>
          <m:sSubPr>
            <m:ctrlPr>
              <w:rPr>
                <w:rFonts w:ascii="Cambria Math" w:hAnsi="Cambria Math"/>
                <w:i/>
              </w:rPr>
            </m:ctrlPr>
          </m:sSubPr>
          <m:e>
            <m:acc>
              <m:accPr>
                <m:ctrlPr>
                  <w:rPr>
                    <w:rFonts w:ascii="Cambria Math" w:hAnsi="Cambria Math"/>
                    <w:i/>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xml:space="preserve"> serves mainly to stretch or compress the distribution of outcomes as the regulator’s choice changes rather than reveal entirely different outcomes. </w:t>
      </w:r>
    </w:p>
    <w:p w:rsidR="009663A3" w:rsidRDefault="00207CD6">
      <w:pPr>
        <w:pStyle w:val="Heading4"/>
        <w:numPr>
          <w:ilvl w:val="0"/>
          <w:numId w:val="0"/>
        </w:numPr>
        <w:rPr>
          <w:rFonts w:eastAsiaTheme="minorEastAsia"/>
        </w:rPr>
      </w:pPr>
      <w:r>
        <w:rPr>
          <w:rFonts w:eastAsiaTheme="minorEastAsia"/>
        </w:rPr>
        <w:t xml:space="preserve">Uniformly random error in </w:t>
      </w:r>
      <m:oMath>
        <m:sSub>
          <m:sSubPr>
            <m:ctrlPr>
              <w:rPr>
                <w:rFonts w:ascii="Cambria Math" w:hAnsi="Cambria Math"/>
              </w:rPr>
            </m:ctrlPr>
          </m:sSubPr>
          <m:e>
            <m:acc>
              <m:accPr>
                <m:ctrlPr>
                  <w:rPr>
                    <w:rFonts w:ascii="Cambria Math" w:hAnsi="Cambria Math"/>
                  </w:rPr>
                </m:ctrlPr>
              </m:accPr>
              <m:e>
                <m:r>
                  <w:rPr>
                    <w:rFonts w:ascii="Cambria Math" w:hAnsi="Cambria Math"/>
                  </w:rPr>
                  <m:t>I</m:t>
                </m:r>
              </m:e>
            </m:acc>
          </m:e>
          <m:sub>
            <m:r>
              <w:rPr>
                <w:rFonts w:ascii="Cambria Math" w:hAnsi="Cambria Math"/>
              </w:rPr>
              <m:t>i</m:t>
            </m:r>
          </m:sub>
        </m:sSub>
        <m:d>
          <m:dPr>
            <m:ctrlPr>
              <w:rPr>
                <w:rFonts w:ascii="Cambria Math" w:hAnsi="Cambria Math"/>
              </w:rPr>
            </m:ctrlPr>
          </m:dPr>
          <m:e>
            <m:r>
              <m:rPr>
                <m:sty m:val="p"/>
              </m:rPr>
              <w:rPr>
                <w:rFonts w:ascii="Cambria Math" w:hAnsi="Cambria Math"/>
              </w:rPr>
              <m:t>0</m:t>
            </m:r>
          </m:e>
        </m:d>
      </m:oMath>
    </w:p>
    <w:p w:rsidR="003118BF" w:rsidRDefault="003118BF" w:rsidP="003118BF">
      <w:pPr>
        <w:ind w:firstLine="720"/>
      </w:pPr>
      <w:r>
        <w:rPr>
          <w:rFonts w:eastAsiaTheme="minorEastAsia"/>
        </w:rPr>
        <w:t xml:space="preserve">When error in </w:t>
      </w:r>
      <m:oMath>
        <m:sSub>
          <m:sSubPr>
            <m:ctrlPr>
              <w:rPr>
                <w:rFonts w:ascii="Cambria Math" w:hAnsi="Cambria Math"/>
                <w:i/>
              </w:rPr>
            </m:ctrlPr>
          </m:sSubPr>
          <m:e>
            <m:acc>
              <m:accPr>
                <m:ctrlPr>
                  <w:rPr>
                    <w:rFonts w:ascii="Cambria Math" w:hAnsi="Cambria Math"/>
                    <w:i/>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xml:space="preserve"> is uniformly random across sites, outcomes may be more or less cost effective at a particular regulator choice. For instance, when </w:t>
      </w:r>
      <m:oMath>
        <m:sSub>
          <m:sSubPr>
            <m:ctrlPr>
              <w:rPr>
                <w:rFonts w:ascii="Cambria Math" w:hAnsi="Cambria Math"/>
                <w:i/>
              </w:rPr>
            </m:ctrlPr>
          </m:sSubPr>
          <m:e>
            <m:acc>
              <m:accPr>
                <m:ctrlPr>
                  <w:rPr>
                    <w:rFonts w:ascii="Cambria Math" w:hAnsi="Cambria Math"/>
                    <w:i/>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xml:space="preserve"> is up to 100% different from </w:t>
      </w:r>
      <m:oMath>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xml:space="preserve"> (lightest gray region in </w:t>
      </w:r>
      <w:r w:rsidR="00F01773">
        <w:fldChar w:fldCharType="begin"/>
      </w:r>
      <w:r w:rsidR="001A0160">
        <w:instrText xml:space="preserve"> REF _Ref418530233 \h </w:instrText>
      </w:r>
      <w:r w:rsidR="00F01773">
        <w:fldChar w:fldCharType="separate"/>
      </w:r>
      <w:r w:rsidR="00867AA7" w:rsidRPr="0029497E">
        <w:t xml:space="preserve">Fig. </w:t>
      </w:r>
      <w:r w:rsidR="00867AA7">
        <w:rPr>
          <w:noProof/>
        </w:rPr>
        <w:t>4</w:t>
      </w:r>
      <w:r w:rsidR="00867AA7" w:rsidRPr="0029497E">
        <w:t>.</w:t>
      </w:r>
      <w:r w:rsidR="00867AA7">
        <w:rPr>
          <w:noProof/>
        </w:rPr>
        <w:t>3</w:t>
      </w:r>
      <w:r w:rsidR="00F01773">
        <w:fldChar w:fldCharType="end"/>
      </w:r>
      <w:r>
        <w:t xml:space="preserve">a), the regulator’s decision to reduce potential impacts by 30% may lead to a cost-effectiveness a full order of magnitude lower than if the regulator can perfectly estimate </w:t>
      </w:r>
      <m:oMath>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xml:space="preserve">. Uniformly </w:t>
      </w:r>
      <w:r w:rsidR="00B020A2">
        <w:rPr>
          <w:rFonts w:eastAsiaTheme="minorEastAsia"/>
        </w:rPr>
        <w:t>unbiased</w:t>
      </w:r>
      <w:r>
        <w:rPr>
          <w:rFonts w:eastAsiaTheme="minorEastAsia"/>
        </w:rPr>
        <w:t xml:space="preserve"> error tends to lead to lower cost-efficiency outcomes rather than higher as reflected by the wider range of outcomes below/left of the perfect-estimate outcomes in </w:t>
      </w:r>
      <w:r w:rsidR="00F01773">
        <w:fldChar w:fldCharType="begin"/>
      </w:r>
      <w:r w:rsidR="001A0160">
        <w:instrText xml:space="preserve"> REF _Ref418530233 \h </w:instrText>
      </w:r>
      <w:r w:rsidR="00F01773">
        <w:fldChar w:fldCharType="separate"/>
      </w:r>
      <w:r w:rsidR="00867AA7" w:rsidRPr="0029497E">
        <w:t xml:space="preserve">Fig. </w:t>
      </w:r>
      <w:r w:rsidR="00867AA7">
        <w:rPr>
          <w:noProof/>
        </w:rPr>
        <w:t>4</w:t>
      </w:r>
      <w:r w:rsidR="00867AA7" w:rsidRPr="0029497E">
        <w:t>.</w:t>
      </w:r>
      <w:r w:rsidR="00867AA7">
        <w:rPr>
          <w:noProof/>
        </w:rPr>
        <w:t>3</w:t>
      </w:r>
      <w:r w:rsidR="00F01773">
        <w:fldChar w:fldCharType="end"/>
      </w:r>
      <w:r>
        <w:t>a.</w:t>
      </w:r>
    </w:p>
    <w:p w:rsidR="009663A3" w:rsidRDefault="00207CD6">
      <w:pPr>
        <w:pStyle w:val="Heading4"/>
        <w:numPr>
          <w:ilvl w:val="0"/>
          <w:numId w:val="0"/>
        </w:numPr>
      </w:pPr>
      <w:r>
        <w:t xml:space="preserve">Systematically overestimating </w:t>
      </w:r>
      <m:oMath>
        <m:sSub>
          <m:sSubPr>
            <m:ctrlPr>
              <w:rPr>
                <w:rFonts w:ascii="Cambria Math" w:hAnsi="Cambria Math"/>
                <w:i/>
                <w:u w:val="none"/>
              </w:rPr>
            </m:ctrlPr>
          </m:sSubPr>
          <m:e>
            <m:r>
              <w:rPr>
                <w:rFonts w:ascii="Cambria Math" w:hAnsi="Cambria Math"/>
                <w:u w:val="none"/>
              </w:rPr>
              <m:t>I</m:t>
            </m:r>
          </m:e>
          <m:sub>
            <m:r>
              <w:rPr>
                <w:rFonts w:ascii="Cambria Math" w:hAnsi="Cambria Math"/>
                <w:u w:val="none"/>
              </w:rPr>
              <m:t>i</m:t>
            </m:r>
          </m:sub>
        </m:sSub>
        <m:d>
          <m:dPr>
            <m:ctrlPr>
              <w:rPr>
                <w:rFonts w:ascii="Cambria Math" w:hAnsi="Cambria Math"/>
                <w:i/>
                <w:u w:val="none"/>
              </w:rPr>
            </m:ctrlPr>
          </m:dPr>
          <m:e>
            <m:r>
              <w:rPr>
                <w:rFonts w:ascii="Cambria Math" w:hAnsi="Cambria Math"/>
                <w:u w:val="none"/>
              </w:rPr>
              <m:t>0</m:t>
            </m:r>
          </m:e>
        </m:d>
      </m:oMath>
    </w:p>
    <w:p w:rsidR="003118BF" w:rsidRDefault="003118BF" w:rsidP="00E46586">
      <w:pPr>
        <w:ind w:firstLine="720"/>
        <w:rPr>
          <w:rFonts w:eastAsiaTheme="minorEastAsia"/>
        </w:rPr>
      </w:pPr>
      <w:r>
        <w:t xml:space="preserve">Systematically overestimating </w:t>
      </w:r>
      <m:oMath>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xml:space="preserve"> compresses the possible outcomes from </w:t>
      </w:r>
      <w:r>
        <w:rPr>
          <w:rFonts w:eastAsiaTheme="minorEastAsia"/>
          <w:i/>
        </w:rPr>
        <w:t>Cap and Trade</w:t>
      </w:r>
      <w:r>
        <w:rPr>
          <w:rFonts w:eastAsiaTheme="minorEastAsia"/>
        </w:rPr>
        <w:t>, which has several effects on regulation (</w:t>
      </w:r>
      <w:r w:rsidR="00F01773">
        <w:fldChar w:fldCharType="begin"/>
      </w:r>
      <w:r w:rsidR="001A0160">
        <w:instrText xml:space="preserve"> REF _Ref418530233 \h </w:instrText>
      </w:r>
      <w:r w:rsidR="00F01773">
        <w:fldChar w:fldCharType="separate"/>
      </w:r>
      <w:r w:rsidR="00867AA7" w:rsidRPr="0029497E">
        <w:t xml:space="preserve">Fig. </w:t>
      </w:r>
      <w:r w:rsidR="00867AA7">
        <w:rPr>
          <w:noProof/>
        </w:rPr>
        <w:t>4</w:t>
      </w:r>
      <w:r w:rsidR="00867AA7" w:rsidRPr="0029497E">
        <w:t>.</w:t>
      </w:r>
      <w:r w:rsidR="00867AA7">
        <w:rPr>
          <w:noProof/>
        </w:rPr>
        <w:t>3</w:t>
      </w:r>
      <w:r w:rsidR="00F01773">
        <w:fldChar w:fldCharType="end"/>
      </w:r>
      <w:r>
        <w:t>b</w:t>
      </w:r>
      <w:r>
        <w:rPr>
          <w:rFonts w:eastAsiaTheme="minorEastAsia"/>
        </w:rPr>
        <w:t xml:space="preserve">). Low levels of commitment to reducing impacts may not reduce impacts at all, since developers will not have to change their choice of layout to meet the impact cap (leftmost points for </w:t>
      </w:r>
      <w:r>
        <w:rPr>
          <w:rFonts w:eastAsiaTheme="minorEastAsia"/>
          <w:i/>
        </w:rPr>
        <w:t>Cap and Trade</w:t>
      </w:r>
      <w:r>
        <w:rPr>
          <w:rFonts w:eastAsiaTheme="minorEastAsia"/>
        </w:rPr>
        <w:t xml:space="preserve"> in </w:t>
      </w:r>
      <w:r w:rsidR="00F01773">
        <w:fldChar w:fldCharType="begin"/>
      </w:r>
      <w:r w:rsidR="001A0160">
        <w:instrText xml:space="preserve"> REF _Ref418530233 \h </w:instrText>
      </w:r>
      <w:r w:rsidR="00F01773">
        <w:fldChar w:fldCharType="separate"/>
      </w:r>
      <w:r w:rsidR="00867AA7" w:rsidRPr="0029497E">
        <w:t xml:space="preserve">Fig. </w:t>
      </w:r>
      <w:r w:rsidR="00867AA7">
        <w:rPr>
          <w:noProof/>
        </w:rPr>
        <w:t>4</w:t>
      </w:r>
      <w:r w:rsidR="00867AA7" w:rsidRPr="0029497E">
        <w:t>.</w:t>
      </w:r>
      <w:r w:rsidR="00867AA7">
        <w:rPr>
          <w:noProof/>
        </w:rPr>
        <w:t>3</w:t>
      </w:r>
      <w:r w:rsidR="00F01773">
        <w:fldChar w:fldCharType="end"/>
      </w:r>
      <w:r>
        <w:t>b)</w:t>
      </w:r>
      <w:r>
        <w:rPr>
          <w:rFonts w:eastAsiaTheme="minorEastAsia"/>
        </w:rPr>
        <w:t xml:space="preserve">. Once the cap is high enough to affect developer’s choices, a systematic overestimate of </w:t>
      </w:r>
      <m:oMath>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xml:space="preserve"> will lead to lower cost efficiency of outcomes up to the point where all sites are developed in the </w:t>
      </w:r>
      <m:oMath>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0</m:t>
            </m:r>
          </m:e>
        </m:d>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xml:space="preserve"> case. After this, a systematic overestimate of </w:t>
      </w:r>
      <m:oMath>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xml:space="preserve"> leads to higher cost efficiency of outcomes. Again, this is due to the fact that it </w:t>
      </w:r>
      <w:r>
        <w:rPr>
          <w:rFonts w:eastAsiaTheme="minorEastAsia"/>
        </w:rPr>
        <w:lastRenderedPageBreak/>
        <w:t xml:space="preserve">takes larger commitments to reducing impacts to achieve the same outcomes as </w:t>
      </w:r>
      <w:proofErr w:type="gramStart"/>
      <w:r>
        <w:rPr>
          <w:rFonts w:eastAsiaTheme="minorEastAsia"/>
        </w:rPr>
        <w:t xml:space="preserve">when </w:t>
      </w:r>
      <m:oMath>
        <w:proofErr w:type="gramEnd"/>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0</m:t>
            </m:r>
          </m:e>
        </m:d>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I</m:t>
                </m:r>
              </m:e>
            </m:acc>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At larger error levels, higher cost-efficiency outcomes are more likely, but at a much increased risk of having no effect on development at lower commitments to reducing impact.</w:t>
      </w:r>
    </w:p>
    <w:p w:rsidR="009663A3" w:rsidRDefault="00207CD6">
      <w:pPr>
        <w:pStyle w:val="Heading4"/>
        <w:numPr>
          <w:ilvl w:val="0"/>
          <w:numId w:val="0"/>
        </w:numPr>
      </w:pPr>
      <w:r>
        <w:t xml:space="preserve">Systematically underestimating </w:t>
      </w:r>
      <m:oMath>
        <m:sSub>
          <m:sSubPr>
            <m:ctrlPr>
              <w:rPr>
                <w:rFonts w:ascii="Cambria Math" w:hAnsi="Cambria Math"/>
                <w:i/>
                <w:u w:val="none"/>
              </w:rPr>
            </m:ctrlPr>
          </m:sSubPr>
          <m:e>
            <m:r>
              <w:rPr>
                <w:rFonts w:ascii="Cambria Math" w:hAnsi="Cambria Math"/>
                <w:u w:val="none"/>
              </w:rPr>
              <m:t>I</m:t>
            </m:r>
          </m:e>
          <m:sub>
            <m:r>
              <w:rPr>
                <w:rFonts w:ascii="Cambria Math" w:hAnsi="Cambria Math"/>
                <w:u w:val="none"/>
              </w:rPr>
              <m:t>i</m:t>
            </m:r>
          </m:sub>
        </m:sSub>
        <m:d>
          <m:dPr>
            <m:ctrlPr>
              <w:rPr>
                <w:rFonts w:ascii="Cambria Math" w:hAnsi="Cambria Math"/>
                <w:i/>
                <w:u w:val="none"/>
              </w:rPr>
            </m:ctrlPr>
          </m:dPr>
          <m:e>
            <m:r>
              <w:rPr>
                <w:rFonts w:ascii="Cambria Math" w:hAnsi="Cambria Math"/>
                <w:u w:val="none"/>
              </w:rPr>
              <m:t>0</m:t>
            </m:r>
          </m:e>
        </m:d>
      </m:oMath>
    </w:p>
    <w:p w:rsidR="003118BF" w:rsidRPr="00114595" w:rsidRDefault="003118BF" w:rsidP="00E46586">
      <w:pPr>
        <w:ind w:firstLine="720"/>
      </w:pPr>
      <w:r>
        <w:t xml:space="preserve">Systematically underestimating </w:t>
      </w:r>
      <m:oMath>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xml:space="preserve"> stretches the possible outcomes from </w:t>
      </w:r>
      <w:r>
        <w:rPr>
          <w:rFonts w:eastAsiaTheme="minorEastAsia"/>
          <w:i/>
        </w:rPr>
        <w:t>Cap and Trade</w:t>
      </w:r>
      <w:r>
        <w:rPr>
          <w:rFonts w:eastAsiaTheme="minorEastAsia"/>
        </w:rPr>
        <w:t>, which has several effects on regulation (</w:t>
      </w:r>
      <w:r w:rsidR="00F01773">
        <w:fldChar w:fldCharType="begin"/>
      </w:r>
      <w:r w:rsidR="001A0160">
        <w:instrText xml:space="preserve"> REF _Ref418530233 \h </w:instrText>
      </w:r>
      <w:r w:rsidR="00F01773">
        <w:fldChar w:fldCharType="separate"/>
      </w:r>
      <w:r w:rsidR="00867AA7" w:rsidRPr="0029497E">
        <w:t xml:space="preserve">Fig. </w:t>
      </w:r>
      <w:r w:rsidR="00867AA7">
        <w:rPr>
          <w:noProof/>
        </w:rPr>
        <w:t>4</w:t>
      </w:r>
      <w:r w:rsidR="00867AA7" w:rsidRPr="0029497E">
        <w:t>.</w:t>
      </w:r>
      <w:r w:rsidR="00867AA7">
        <w:rPr>
          <w:noProof/>
        </w:rPr>
        <w:t>3</w:t>
      </w:r>
      <w:r w:rsidR="00F01773">
        <w:fldChar w:fldCharType="end"/>
      </w:r>
      <w:r>
        <w:t>c</w:t>
      </w:r>
      <w:r>
        <w:rPr>
          <w:rFonts w:eastAsiaTheme="minorEastAsia"/>
        </w:rPr>
        <w:t xml:space="preserve">). When error is low, lower commitments to reducing impacts lead to higher efficiency outcomes. However, at error levels larger than 25%, any commitment to reducing impacts will lead to a lower efficiency outcome. At very high error levels, the cost efficiency of </w:t>
      </w:r>
      <w:r>
        <w:rPr>
          <w:rFonts w:eastAsiaTheme="minorEastAsia"/>
          <w:i/>
        </w:rPr>
        <w:t>Cap and Trade</w:t>
      </w:r>
      <w:r>
        <w:rPr>
          <w:rFonts w:eastAsiaTheme="minorEastAsia"/>
        </w:rPr>
        <w:t xml:space="preserve"> may even be lower than </w:t>
      </w:r>
      <w:r>
        <w:rPr>
          <w:rFonts w:eastAsiaTheme="minorEastAsia"/>
          <w:i/>
        </w:rPr>
        <w:t>Uniform Cap without Trade</w:t>
      </w:r>
      <w:r>
        <w:rPr>
          <w:rFonts w:eastAsiaTheme="minorEastAsia"/>
        </w:rPr>
        <w:t xml:space="preserve"> (lightest gray circles are below some triangles in </w:t>
      </w:r>
      <w:r w:rsidR="00F01773">
        <w:fldChar w:fldCharType="begin"/>
      </w:r>
      <w:r w:rsidR="001A0160">
        <w:instrText xml:space="preserve"> REF _Ref418530233 \h </w:instrText>
      </w:r>
      <w:r w:rsidR="00F01773">
        <w:fldChar w:fldCharType="separate"/>
      </w:r>
      <w:r w:rsidR="00867AA7" w:rsidRPr="0029497E">
        <w:t xml:space="preserve">Fig. </w:t>
      </w:r>
      <w:r w:rsidR="00867AA7">
        <w:rPr>
          <w:noProof/>
        </w:rPr>
        <w:t>4</w:t>
      </w:r>
      <w:r w:rsidR="00867AA7" w:rsidRPr="0029497E">
        <w:t>.</w:t>
      </w:r>
      <w:r w:rsidR="00867AA7">
        <w:rPr>
          <w:noProof/>
        </w:rPr>
        <w:t>3</w:t>
      </w:r>
      <w:r w:rsidR="00F01773">
        <w:fldChar w:fldCharType="end"/>
      </w:r>
      <w:r>
        <w:t>c). Since the regulator is underestimating impacts at sites, caps on impact will be almost guaranteed to affect developers’ choices of layouts and consequently lead to lower-impact outcomes, yet this comes with a risk of lower-efficiency outcomes and increased probability of pushing sites out of production.</w:t>
      </w:r>
    </w:p>
    <w:p w:rsidR="003118BF" w:rsidRDefault="003118BF" w:rsidP="00E46586">
      <w:pPr>
        <w:pStyle w:val="Heading2"/>
      </w:pPr>
      <w:bookmarkStart w:id="264" w:name="_Toc417646817"/>
      <w:bookmarkStart w:id="265" w:name="_Toc421352888"/>
      <w:r>
        <w:t>Discussion</w:t>
      </w:r>
      <w:bookmarkEnd w:id="264"/>
      <w:bookmarkEnd w:id="265"/>
    </w:p>
    <w:p w:rsidR="003118BF" w:rsidRDefault="003118BF" w:rsidP="00E46586">
      <w:r>
        <w:t xml:space="preserve">Ongoing shale gas development creates environmental externalities which may be internalized and reduced at reasonable costs through cap and trade. We have analyzed two policy scenarios that may be implemented and how these compare to one another and a best-case scenario in terms of their total resulting impact and monetary cost. We found that the </w:t>
      </w:r>
      <w:r w:rsidR="00F10C92">
        <w:t xml:space="preserve">policy scenario most reflective of current regulations </w:t>
      </w:r>
      <w:r>
        <w:t>(</w:t>
      </w:r>
      <w:r>
        <w:rPr>
          <w:i/>
        </w:rPr>
        <w:t>Uniform Cap without Trading</w:t>
      </w:r>
      <w:r>
        <w:t>), which forces developers to reduce impacts in a uniform fashion or not develop, may lead to expensive outcomes with few options to reduce impacts while still allowing all development to proceed (</w:t>
      </w:r>
      <w:r w:rsidR="00F01773">
        <w:fldChar w:fldCharType="begin"/>
      </w:r>
      <w:r w:rsidR="00197982">
        <w:instrText xml:space="preserve"> REF _Ref417645580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t>a). In contrast, a cap and trade scenario (</w:t>
      </w:r>
      <w:r>
        <w:rPr>
          <w:i/>
        </w:rPr>
        <w:t>Cap and Trade</w:t>
      </w:r>
      <w:r>
        <w:t>) could perform as well as would an omniscient social planner by avoiding impacts across</w:t>
      </w:r>
      <w:r w:rsidR="0099281C">
        <w:t xml:space="preserve"> 56 sites in Pennsylvania by ~36</w:t>
      </w:r>
      <w:r>
        <w:t xml:space="preserve">% for </w:t>
      </w:r>
      <w:r w:rsidR="008C4A3A">
        <w:t>0.0</w:t>
      </w:r>
      <w:r w:rsidR="0099281C">
        <w:t>5</w:t>
      </w:r>
      <w:r w:rsidR="008C4A3A">
        <w:t xml:space="preserve">% of the cost of not developing any sites </w:t>
      </w:r>
      <w:r>
        <w:t>and while still allowing all development to proceed (</w:t>
      </w:r>
      <w:r w:rsidR="00F01773">
        <w:fldChar w:fldCharType="begin"/>
      </w:r>
      <w:r w:rsidR="00197982">
        <w:instrText xml:space="preserve"> REF _Ref417645580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t xml:space="preserve">b). A similar level of impact avoidance in the </w:t>
      </w:r>
      <w:r>
        <w:rPr>
          <w:i/>
        </w:rPr>
        <w:t>Uniform Cap without Trading</w:t>
      </w:r>
      <w:r>
        <w:t xml:space="preserve"> scenario would be close to </w:t>
      </w:r>
      <w:r w:rsidR="00A76162">
        <w:t xml:space="preserve">35 percentage points </w:t>
      </w:r>
      <w:r>
        <w:t xml:space="preserve">more costly. </w:t>
      </w:r>
      <w:r w:rsidR="00F10C92">
        <w:t xml:space="preserve">The relative costs of </w:t>
      </w:r>
      <w:r w:rsidR="00F10C92">
        <w:rPr>
          <w:i/>
        </w:rPr>
        <w:t xml:space="preserve">Cap and Trade </w:t>
      </w:r>
      <w:r w:rsidR="00F10C92">
        <w:t xml:space="preserve">versus </w:t>
      </w:r>
      <w:r w:rsidR="00F10C92">
        <w:rPr>
          <w:i/>
        </w:rPr>
        <w:t xml:space="preserve">Uniform Cap without Trading </w:t>
      </w:r>
      <w:r w:rsidR="00F10C92">
        <w:t xml:space="preserve">converge at higher or lower </w:t>
      </w:r>
      <w:r w:rsidR="00A55F84">
        <w:t>levels of avoidance</w:t>
      </w:r>
      <w:r w:rsidR="00F10C92">
        <w:t>.</w:t>
      </w:r>
      <w:r w:rsidR="00726530">
        <w:t xml:space="preserve"> </w:t>
      </w:r>
      <w:r w:rsidR="009C1DA6">
        <w:t xml:space="preserve">For instance, at 20% and 80% impact avoidance the difference between the two scenarios </w:t>
      </w:r>
      <w:proofErr w:type="gramStart"/>
      <w:r w:rsidR="009C1DA6">
        <w:t>is</w:t>
      </w:r>
      <w:proofErr w:type="gramEnd"/>
      <w:r w:rsidR="009C1DA6">
        <w:t xml:space="preserve"> 20 and 25 percentage points, respectively. However, we </w:t>
      </w:r>
      <w:r>
        <w:t xml:space="preserve">also determined that the ability of a regulator to match its commitment to reducing impacts to actual outcomes depends on the regulator’s ability to estimate impacts in the absence of the new regulation. For instance, </w:t>
      </w:r>
      <w:r>
        <w:rPr>
          <w:i/>
        </w:rPr>
        <w:lastRenderedPageBreak/>
        <w:t xml:space="preserve">Cap and </w:t>
      </w:r>
      <w:r w:rsidRPr="00171989">
        <w:rPr>
          <w:i/>
        </w:rPr>
        <w:t>Trade</w:t>
      </w:r>
      <w:r>
        <w:rPr>
          <w:i/>
        </w:rPr>
        <w:t xml:space="preserve"> </w:t>
      </w:r>
      <w:r>
        <w:t>could be totally ineffective if the regulator systematically overestimated those impacts and had a low commitment to reducing impacts (</w:t>
      </w:r>
      <w:r w:rsidR="00F01773">
        <w:fldChar w:fldCharType="begin"/>
      </w:r>
      <w:r w:rsidR="006602AA">
        <w:instrText xml:space="preserve"> REF _Ref418530233 \h </w:instrText>
      </w:r>
      <w:r w:rsidR="00F01773">
        <w:fldChar w:fldCharType="separate"/>
      </w:r>
      <w:r w:rsidR="00867AA7" w:rsidRPr="0029497E">
        <w:t xml:space="preserve">Fig. </w:t>
      </w:r>
      <w:r w:rsidR="00867AA7">
        <w:rPr>
          <w:noProof/>
        </w:rPr>
        <w:t>4</w:t>
      </w:r>
      <w:r w:rsidR="00867AA7" w:rsidRPr="0029497E">
        <w:t>.</w:t>
      </w:r>
      <w:r w:rsidR="00867AA7">
        <w:rPr>
          <w:noProof/>
        </w:rPr>
        <w:t>3</w:t>
      </w:r>
      <w:r w:rsidR="00F01773">
        <w:fldChar w:fldCharType="end"/>
      </w:r>
      <w:r>
        <w:t xml:space="preserve">b). Similarly, the cost effectiveness of </w:t>
      </w:r>
      <w:r>
        <w:rPr>
          <w:i/>
        </w:rPr>
        <w:t>Cap and Trade</w:t>
      </w:r>
      <w:r>
        <w:t xml:space="preserve"> could be almost three orders of magnitude lower than ideal if the regulator systematically underestimated those impacts by more than 25% (</w:t>
      </w:r>
      <w:r w:rsidR="00F01773">
        <w:fldChar w:fldCharType="begin"/>
      </w:r>
      <w:r w:rsidR="006602AA">
        <w:instrText xml:space="preserve"> REF _Ref418530233 \h </w:instrText>
      </w:r>
      <w:r w:rsidR="00F01773">
        <w:fldChar w:fldCharType="separate"/>
      </w:r>
      <w:r w:rsidR="00867AA7" w:rsidRPr="0029497E">
        <w:t xml:space="preserve">Fig. </w:t>
      </w:r>
      <w:r w:rsidR="00867AA7">
        <w:rPr>
          <w:noProof/>
        </w:rPr>
        <w:t>4</w:t>
      </w:r>
      <w:r w:rsidR="00867AA7" w:rsidRPr="0029497E">
        <w:t>.</w:t>
      </w:r>
      <w:r w:rsidR="00867AA7">
        <w:rPr>
          <w:noProof/>
        </w:rPr>
        <w:t>3</w:t>
      </w:r>
      <w:r w:rsidR="00F01773">
        <w:fldChar w:fldCharType="end"/>
      </w:r>
      <w:r>
        <w:t>c).</w:t>
      </w:r>
    </w:p>
    <w:p w:rsidR="003118BF" w:rsidRDefault="003118BF" w:rsidP="00E46586">
      <w:pPr>
        <w:ind w:firstLine="720"/>
      </w:pPr>
      <w:r>
        <w:t>Our results have several implications for policy design and implementation. Cap and trade can offer large savings over a more traditional uniform</w:t>
      </w:r>
      <w:r w:rsidR="00726530">
        <w:t xml:space="preserve"> and inflexible</w:t>
      </w:r>
      <w:r>
        <w:t xml:space="preserve"> approach</w:t>
      </w:r>
      <w:r w:rsidR="007808CE">
        <w:t>, which agrees with theory</w:t>
      </w:r>
      <w:r w:rsidR="00560194">
        <w:t xml:space="preserve"> </w:t>
      </w:r>
      <w:r w:rsidR="00F01773">
        <w:fldChar w:fldCharType="begin" w:fldLock="1"/>
      </w:r>
      <w:r w:rsidR="00837198">
        <w:instrText>ADDIN CSL_CITATION { "citationItems" : [ { "id" : "ITEM-1", "itemData" : { "ISBN" : "0-321-01428-6", "author" : [ { "dropping-particle" : "", "family" : "Hartwick", "given" : "John M.", "non-dropping-particle" : "", "parse-names" : false, "suffix" : "" }, { "dropping-particle" : "", "family" : "Olewiler", "given" : "Nancy D.", "non-dropping-particle" : "", "parse-names" : false, "suffix" : "" } ], "edition" : "2", "editor" : [ { "dropping-particle" : "", "family" : "Clinton", "given" : "Denise", "non-dropping-particle" : "", "parse-names" : false, "suffix" : "" } ], "id" : "ITEM-1", "issued" : { "date-parts" : [ [ "1998" ] ] }, "publisher" : "Addison-Wesley Educational Publishers, Inc.", "publisher-place" : "Reading, Massachusetts, Massachusetts", "title" : "The Economics of Natural Resource Use", "type" : "book" }, "uris" : [ "http://www.mendeley.com/documents/?uuid=a7bd3111-8677-4912-883e-da256b2d3803" ] }, { "id" : "ITEM-2", "itemData" : { "DOI" : "10.1093/reep/ren005", "abstract" : "The choice of pollution control instrument is a crucial environmental policy decision. We examine the extent to which various environmental policy instruments meet major evaluation criteria, including cost-effectiveness, distributional equity, the ability to address uncertainties, and political feasibility. Instruments considered include emissions taxes, tradable emissions allowances, subsidies for emissions reductions, performance standards, mandates for the adoption of specific technologies, and subsidies for research toward new, \u201cclean\u201d technologies. We consider policies that address pollution externalities and policies that deal with market failures associated with efforts to invent or deploy new technologies. Several themes emerge. First, no single instrument is clearly superior along all the dimensions relevant to policy choice; even the ranking along a single dimension often depends on the circumstances involved. Second, significant trade-offs arise in the choice of instrument: for example, assuring a reasonable degree of distributional equity will often require a sacrifice of cost-effectiveness. Third, it is sometimes desirable to design hybrid instruments that combine features of various \u201cpure\u201d instruments. Fourth, for many pollution problems, more than one market failure may be involved, which may justify (on efficiency grounds, at least) employing more than one instrument. Finally, potential interactions among environmental policy instruments and among regulatory jurisdictions need to be carefully considered. ", "author" : [ { "dropping-particle" : "", "family" : "Goulder", "given" : "Lawrence H", "non-dropping-particle" : "", "parse-names" : false, "suffix" : "" }, { "dropping-particle" : "", "family" : "Parry", "given" : "Ian W H", "non-dropping-particle" : "", "parse-names" : false, "suffix" : "" } ], "container-title" : "Review of Environmental Economics and Policy ", "id" : "ITEM-2", "issue" : "2 ", "issued" : { "date-parts" : [ [ "2008", "7", "1" ] ] }, "note" : "10.1093/reep/ren005", "page" : "152-174", "title" : "Instrument Choice in Environmental Policy", "type" : "article-journal", "volume" : "2 " }, "uris" : [ "http://www.mendeley.com/documents/?uuid=33697984-8e11-4728-89f6-27c4f18ae0a4" ] } ], "mendeley" : { "formattedCitation" : "(Hartwick &amp; Olewiler 1998; Goulder &amp; Parry 2008)", "plainTextFormattedCitation" : "(Hartwick &amp; Olewiler 1998; Goulder &amp; Parry 2008)", "previouslyFormattedCitation" : "(Hartwick &amp; Olewiler 1998; Goulder &amp; Parry 2008)" }, "properties" : { "noteIndex" : 0 }, "schema" : "https://github.com/citation-style-language/schema/raw/master/csl-citation.json" }</w:instrText>
      </w:r>
      <w:r w:rsidR="00F01773">
        <w:fldChar w:fldCharType="separate"/>
      </w:r>
      <w:r w:rsidR="00ED3348" w:rsidRPr="00ED3348">
        <w:rPr>
          <w:noProof/>
        </w:rPr>
        <w:t>(Hartwick &amp; Olewiler 1998; Goulder &amp; Parry 2008)</w:t>
      </w:r>
      <w:r w:rsidR="00F01773">
        <w:fldChar w:fldCharType="end"/>
      </w:r>
      <w:r>
        <w:t xml:space="preserve">. Further, </w:t>
      </w:r>
      <w:r w:rsidR="00EE157A">
        <w:t xml:space="preserve">we find </w:t>
      </w:r>
      <w:r>
        <w:t xml:space="preserve">it can reduce impacts much more while allowing all development to proceed. At the same time, implementation efforts are not the same for the two approaches. In either scenario, the regulator needs to enable the gas industry </w:t>
      </w:r>
      <w:r w:rsidR="000D3F06">
        <w:t xml:space="preserve">to </w:t>
      </w:r>
      <w:r>
        <w:t xml:space="preserve">evaluate impacts produced by an infrastructure layout, which requires the regulator know what impacts are relevant, what priority they have, and how they are calculated. Additionally, both scenarios require the monitoring of surface development, which could be attached to current drilling permitting processes. Intentionally cost effective cap and trade </w:t>
      </w:r>
      <w:r w:rsidR="000D3F06">
        <w:t xml:space="preserve">as outlined here </w:t>
      </w:r>
      <w:r>
        <w:t xml:space="preserve">requires that the regulator must be able to estimate impacts in the absence of the new regulation. This requires some knowledge of the development process in the regulatory region. At minimum, a regulator could evaluate existing development. A more detailed method that models development could ensure </w:t>
      </w:r>
      <w:r w:rsidR="00116176">
        <w:t>higher</w:t>
      </w:r>
      <w:r>
        <w:t xml:space="preserve"> cost effectiveness. Cap and trade also relies on the distribution, tracking, and enforcement of tradable permits, which could be accomplished with an online market system. We expect the total cost of implementing cap and trade at intermediate levels of impact avoidance would be compensated by the long-term savings over </w:t>
      </w:r>
      <w:r w:rsidR="00726530">
        <w:t>the other inflexible approach we explored</w:t>
      </w:r>
      <w:r>
        <w:t xml:space="preserve"> (see </w:t>
      </w:r>
      <w:r w:rsidR="00F01773">
        <w:fldChar w:fldCharType="begin"/>
      </w:r>
      <w:r w:rsidR="00197982">
        <w:instrText xml:space="preserve"> REF _Ref417645580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t>).</w:t>
      </w:r>
    </w:p>
    <w:p w:rsidR="003118BF" w:rsidRDefault="003118BF" w:rsidP="00E46586">
      <w:pPr>
        <w:ind w:firstLine="720"/>
      </w:pPr>
      <w:r>
        <w:t>Although the level of commitment to reducing impacts would ideally be determined by society’s value of impact avoidance, our results do suggest that moderately low commitments will be most cost effective (</w:t>
      </w:r>
      <w:r w:rsidR="00F01773">
        <w:fldChar w:fldCharType="begin"/>
      </w:r>
      <w:r w:rsidR="001A0160">
        <w:instrText xml:space="preserve"> REF _Ref418530233 \h </w:instrText>
      </w:r>
      <w:r w:rsidR="00F01773">
        <w:fldChar w:fldCharType="separate"/>
      </w:r>
      <w:r w:rsidR="00867AA7" w:rsidRPr="0029497E">
        <w:t xml:space="preserve">Fig. </w:t>
      </w:r>
      <w:r w:rsidR="00867AA7">
        <w:rPr>
          <w:noProof/>
        </w:rPr>
        <w:t>4</w:t>
      </w:r>
      <w:r w:rsidR="00867AA7" w:rsidRPr="0029497E">
        <w:t>.</w:t>
      </w:r>
      <w:r w:rsidR="00867AA7">
        <w:rPr>
          <w:noProof/>
        </w:rPr>
        <w:t>3</w:t>
      </w:r>
      <w:r w:rsidR="00F01773">
        <w:fldChar w:fldCharType="end"/>
      </w:r>
      <w:r w:rsidR="001E2177">
        <w:t>) with</w:t>
      </w:r>
      <w:r>
        <w:t xml:space="preserve"> cap and trade. In our case study, the highest cost-effectiveness was achieved by committing to impact reduction around 3</w:t>
      </w:r>
      <w:r w:rsidR="009272F2">
        <w:t>6</w:t>
      </w:r>
      <w:r>
        <w:t>%, which is contingent on being perfectly able to estimate impacts in the absence of the cap and trade syst</w:t>
      </w:r>
      <w:r w:rsidR="009272F2">
        <w:t>em. At commitments lower than 36</w:t>
      </w:r>
      <w:r>
        <w:t xml:space="preserve">%, </w:t>
      </w:r>
      <w:r>
        <w:rPr>
          <w:i/>
        </w:rPr>
        <w:t>Cap and Trade</w:t>
      </w:r>
      <w:r>
        <w:t xml:space="preserve"> was still more cost effective</w:t>
      </w:r>
      <w:r w:rsidR="009272F2">
        <w:t xml:space="preserve"> than commitments larger than 36</w:t>
      </w:r>
      <w:r>
        <w:t>%. Interestingly, the hump shape of the cost effectiveness curve which leads to this outcome is due to a combination of two things. First, our estimates of the cost of developing a site is much lower than our estimates of the profits from gas extraction. As a result, not developing a site leads to large increases in the cost of the system. Second, there is large potential to reduce impacts of the system while still allowing all development to proceed</w:t>
      </w:r>
      <w:r w:rsidR="00726530">
        <w:t xml:space="preserve"> (</w:t>
      </w:r>
      <w:r w:rsidR="00F01773">
        <w:fldChar w:fldCharType="begin"/>
      </w:r>
      <w:r w:rsidR="00726530">
        <w:instrText xml:space="preserve"> REF _Ref417645580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rsidR="00726530">
        <w:t>)</w:t>
      </w:r>
      <w:r>
        <w:t xml:space="preserve">. Combined, large </w:t>
      </w:r>
      <w:r>
        <w:lastRenderedPageBreak/>
        <w:t>reductions in impacts can be achieved without increasing costs a lot relative to profits gained from development (</w:t>
      </w:r>
      <w:r w:rsidR="00F01773">
        <w:fldChar w:fldCharType="begin"/>
      </w:r>
      <w:r w:rsidR="00197982">
        <w:instrText xml:space="preserve"> REF _Ref417645580 \h </w:instrText>
      </w:r>
      <w:r w:rsidR="00F01773">
        <w:fldChar w:fldCharType="separate"/>
      </w:r>
      <w:r w:rsidR="00867AA7" w:rsidRPr="00434898">
        <w:t xml:space="preserve">Fig. </w:t>
      </w:r>
      <w:r w:rsidR="00867AA7">
        <w:rPr>
          <w:noProof/>
        </w:rPr>
        <w:t>4</w:t>
      </w:r>
      <w:r w:rsidR="00867AA7">
        <w:t>.</w:t>
      </w:r>
      <w:r w:rsidR="00867AA7">
        <w:rPr>
          <w:noProof/>
        </w:rPr>
        <w:t>2</w:t>
      </w:r>
      <w:r w:rsidR="00F01773">
        <w:fldChar w:fldCharType="end"/>
      </w:r>
      <w:r w:rsidR="00726530">
        <w:t xml:space="preserve"> gray circles</w:t>
      </w:r>
      <w:r>
        <w:t>). When commitments to reducing im</w:t>
      </w:r>
      <w:r w:rsidR="009272F2">
        <w:t>pacts exceed a certain level (36</w:t>
      </w:r>
      <w:r>
        <w:t>% here), some sites are forced out of production leading to large increases in cost for relatively little change in overall impacts, which greatly reduces the cost effectiveness of the system</w:t>
      </w:r>
      <w:r w:rsidR="00726530">
        <w:t xml:space="preserve"> (</w:t>
      </w:r>
      <w:r w:rsidR="00F01773">
        <w:fldChar w:fldCharType="begin"/>
      </w:r>
      <w:r w:rsidR="001A0160">
        <w:instrText xml:space="preserve"> REF _Ref418530233 \h </w:instrText>
      </w:r>
      <w:r w:rsidR="00F01773">
        <w:fldChar w:fldCharType="separate"/>
      </w:r>
      <w:r w:rsidR="00867AA7" w:rsidRPr="0029497E">
        <w:t xml:space="preserve">Fig. </w:t>
      </w:r>
      <w:r w:rsidR="00867AA7">
        <w:rPr>
          <w:noProof/>
        </w:rPr>
        <w:t>4</w:t>
      </w:r>
      <w:r w:rsidR="00867AA7" w:rsidRPr="0029497E">
        <w:t>.</w:t>
      </w:r>
      <w:r w:rsidR="00867AA7">
        <w:rPr>
          <w:noProof/>
        </w:rPr>
        <w:t>3</w:t>
      </w:r>
      <w:r w:rsidR="00F01773">
        <w:fldChar w:fldCharType="end"/>
      </w:r>
      <w:r w:rsidR="00E81293">
        <w:t xml:space="preserve">: switch happens where the slope of </w:t>
      </w:r>
      <w:r w:rsidR="00E81293">
        <w:rPr>
          <w:i/>
        </w:rPr>
        <w:t>Cap and Trade</w:t>
      </w:r>
      <w:r w:rsidR="00E81293">
        <w:t xml:space="preserve"> becomes negative as regulator choice approaches 1)</w:t>
      </w:r>
      <w:r>
        <w:t xml:space="preserve">. </w:t>
      </w:r>
    </w:p>
    <w:p w:rsidR="003118BF" w:rsidRDefault="003118BF" w:rsidP="00E46586">
      <w:pPr>
        <w:ind w:firstLine="720"/>
      </w:pPr>
      <w:r>
        <w:t xml:space="preserve">One purpose of this study was to apply existing knowledge about the relative cost effectiveness of market-based policies to </w:t>
      </w:r>
      <w:r w:rsidR="00E7448A">
        <w:t>inflexible uniform policies</w:t>
      </w:r>
      <w:r>
        <w:t xml:space="preserve"> in the shale gas context. We show clearly </w:t>
      </w:r>
      <w:r w:rsidR="001E2177">
        <w:t xml:space="preserve">some of </w:t>
      </w:r>
      <w:r>
        <w:t xml:space="preserve">the potential gains from trade created by a cap and trade system that regulates an aggregate impact metric. Other approaches may also be effective in this and other contexts. For instance, cap and trade for individual metrics (e.g. forest clearing) might increase the transparency and understanding of the market and increase support, though at an increased implementation cost due to maintaining multiple markets. In addition, a bubble-offsets approach might obviate the need for a market, especially when there is large spatial heterogeneity in the cost of reducing impacts at individual sites. </w:t>
      </w:r>
      <w:r w:rsidR="00E7448A">
        <w:t>A bubble policy would treat a subset of sites that are close to one another or have the same developer as a single unit (“bubble”), putting a cap on total impacts within the bubble</w:t>
      </w:r>
      <w:r w:rsidR="003F7F27">
        <w:t xml:space="preserve"> </w:t>
      </w:r>
      <w:r w:rsidR="00F01773">
        <w:fldChar w:fldCharType="begin" w:fldLock="1"/>
      </w:r>
      <w:r w:rsidR="0055766C">
        <w:instrText>ADDIN CSL_CITATION { "citationItems" : [ { "id" : "ITEM-1", "itemData" : { "author" : [ { "dropping-particle" : "", "family" : "Tietenberg", "given" : "Thomas H", "non-dropping-particle" : "", "parse-names" : false, "suffix" : "" } ], "id" : "ITEM-1", "issued" : { "date-parts" : [ [ "1985" ] ] }, "publisher" : "Resources for the Future", "title" : "Emissions trading, an exercise in reforming pollution policy", "type" : "book" }, "uris" : [ "http://www.mendeley.com/documents/?uuid=7631f054-10b8-40ca-b548-8665deab8c2c" ] } ], "mendeley" : { "formattedCitation" : "(Tietenberg 1985)", "plainTextFormattedCitation" : "(Tietenberg 1985)", "previouslyFormattedCitation" : "(Tietenberg 1985)" }, "properties" : { "noteIndex" : 0 }, "schema" : "https://github.com/citation-style-language/schema/raw/master/csl-citation.json" }</w:instrText>
      </w:r>
      <w:r w:rsidR="00F01773">
        <w:fldChar w:fldCharType="separate"/>
      </w:r>
      <w:r w:rsidR="003F7F27" w:rsidRPr="003F7F27">
        <w:rPr>
          <w:noProof/>
        </w:rPr>
        <w:t>(Tietenberg 1985)</w:t>
      </w:r>
      <w:r w:rsidR="00F01773">
        <w:fldChar w:fldCharType="end"/>
      </w:r>
      <w:r w:rsidR="00E7448A">
        <w:t xml:space="preserve">. </w:t>
      </w:r>
      <w:r>
        <w:t>Similarly, when development rights across all sites are held by just a few developers, enforcing a cumulative cap for each developer could be effective. To be effective this would require that each developer has development rights at sites with heterogeneous costs of impact avoidance. Many other alternatives exist. We took an approach that should be generally applicable across regions where many sites are ready for development, where developers have rights to one or a few sites, and where reducing aggregate impacts is the major goal.</w:t>
      </w:r>
    </w:p>
    <w:p w:rsidR="003118BF" w:rsidRDefault="003118BF" w:rsidP="00E46586">
      <w:pPr>
        <w:ind w:firstLine="720"/>
      </w:pPr>
      <w:r>
        <w:t xml:space="preserve">More complete analyses could benefit from several adjustments to our methodology. First we assume that each developer has rights to only one site being developed. In Pennsylvania, there are many developers, but the distribution of development is skewed towards developers with many holdings (Pennsylvania Department of Environmental Protection’s permit reporting database). When combined with assumptions about market dynamics, it is likely that those developers with many sites would exert a measurable effect on the market and could compromise the effectiveness of the market </w:t>
      </w:r>
      <w:r w:rsidR="00F01773">
        <w:fldChar w:fldCharType="begin" w:fldLock="1"/>
      </w:r>
      <w:r w:rsidR="00560194">
        <w:instrText>ADDIN CSL_CITATION { "citationItems" : [ { "id" : "ITEM-1", "itemData" : { "ISBN" : "0-321-01428-6", "author" : [ { "dropping-particle" : "", "family" : "Hartwick", "given" : "John M.", "non-dropping-particle" : "", "parse-names" : false, "suffix" : "" }, { "dropping-particle" : "", "family" : "Olewiler", "given" : "Nancy D.", "non-dropping-particle" : "", "parse-names" : false, "suffix" : "" } ], "edition" : "2", "editor" : [ { "dropping-particle" : "", "family" : "Clinton", "given" : "Denise", "non-dropping-particle" : "", "parse-names" : false, "suffix" : "" } ], "id" : "ITEM-1", "issued" : { "date-parts" : [ [ "1998" ] ] }, "publisher" : "Addison-Wesley Educational Publishers, Inc.", "publisher-place" : "Reading, Massachusetts, Massachusetts", "title" : "The Economics of Natural Resource Use", "type" : "book" }, "uris" : [ "http://www.mendeley.com/documents/?uuid=a7bd3111-8677-4912-883e-da256b2d3803" ] } ], "mendeley" : { "formattedCitation" : "(Hartwick &amp; Olewiler 1998)", "plainTextFormattedCitation" : "(Hartwick &amp; Olewiler 1998)", "previouslyFormattedCitation" : "(Hartwick &amp; Olewiler 1998)" }, "properties" : { "noteIndex" : 0 }, "schema" : "https://github.com/citation-style-language/schema/raw/master/csl-citation.json" }</w:instrText>
      </w:r>
      <w:r w:rsidR="00F01773">
        <w:fldChar w:fldCharType="separate"/>
      </w:r>
      <w:r w:rsidR="00B32474" w:rsidRPr="00B32474">
        <w:rPr>
          <w:noProof/>
        </w:rPr>
        <w:t>(Hartwick &amp; Olewiler 1998)</w:t>
      </w:r>
      <w:r w:rsidR="00F01773">
        <w:fldChar w:fldCharType="end"/>
      </w:r>
      <w:r>
        <w:t xml:space="preserve">. Second, we assume all sites are to be developed simultaneously and thus enter the market simultaneously. A more complete analysis on a small market would include the staggering of development over time and adjust developer’s decisions about when to develop (i.e. enter the market). Third, we assume impacts are independent across sites and thus can be combined additively. One alternative approach would be to treat nearby </w:t>
      </w:r>
      <w:r>
        <w:lastRenderedPageBreak/>
        <w:t>or adjacent sites as having dependent impacts, e.g. by combining their development boundaries to treat them as one unit when evaluating impacts. This approach would require a more complex decision process as well as stricter assumptions about the simultaneity of development across sites.</w:t>
      </w:r>
      <w:r w:rsidR="002B11DB">
        <w:t xml:space="preserve"> Finally, </w:t>
      </w:r>
      <w:r w:rsidR="00716D12">
        <w:t>we chose to focus on the</w:t>
      </w:r>
      <w:r w:rsidR="009421B8">
        <w:t xml:space="preserve"> direct regulation of a single aggregate metric such that trading among individual metrics could occur at the site level. This choice ignores one alternative approach to regulating multiple impacts, which is to put a cap on each individual metric. While this approach would </w:t>
      </w:r>
      <w:r w:rsidR="009B5EA7">
        <w:t xml:space="preserve">more directly enforce local priorities for each impact, it would </w:t>
      </w:r>
      <w:r w:rsidR="009421B8">
        <w:t xml:space="preserve">limit </w:t>
      </w:r>
      <w:r w:rsidR="009B5EA7">
        <w:t xml:space="preserve">development </w:t>
      </w:r>
      <w:r w:rsidR="009421B8">
        <w:t>options within sites.</w:t>
      </w:r>
      <w:r w:rsidR="000855C4">
        <w:t xml:space="preserve"> Further, because many impacts are positively correlated and some are negatively correlated (Chapters 2 and 3), the link between an impact’s cap and the resulting development choice could be confounded by choices driven by other impact caps </w:t>
      </w:r>
      <w:r w:rsidR="00F01773">
        <w:fldChar w:fldCharType="begin" w:fldLock="1"/>
      </w:r>
      <w:r w:rsidR="000855C4">
        <w:instrText>ADDIN CSL_CITATION { "citationItems" : [ { "id" : "ITEM-1", "itemData" : { "DOI" : "10.1007/s10640-007-9110-y", "ISSN" : "0924-6460", "author" : [ { "dropping-particle" : "", "family" : "Bennear", "given" : "LoriSnyder", "non-dropping-particle" : "", "parse-names" : false, "suffix" : "" }, { "dropping-particle" : "", "family" : "Stavins", "given" : "RobertN.", "non-dropping-particle" : "", "parse-names" : false, "suffix" : "" } ], "container-title" : "Environmental and Resource Economics", "id" : "ITEM-1", "issue" : "1", "issued" : { "date-parts" : [ [ "2007" ] ] }, "language" : "English", "page" : "111-129", "publisher" : "Kluwer Academic Publishers", "title" : "Second-best theory and the use of multiple policy instruments", "type" : "article-journal", "volume" : "37" }, "uris" : [ "http://www.mendeley.com/documents/?uuid=8b9313d7-756f-4863-80ac-efcc84ca49fb" ] } ], "mendeley" : { "formattedCitation" : "(Bennear &amp; Stavins 2007)", "plainTextFormattedCitation" : "(Bennear &amp; Stavins 2007)" }, "properties" : { "noteIndex" : 0 }, "schema" : "https://github.com/citation-style-language/schema/raw/master/csl-citation.json" }</w:instrText>
      </w:r>
      <w:r w:rsidR="00F01773">
        <w:fldChar w:fldCharType="separate"/>
      </w:r>
      <w:r w:rsidR="000855C4" w:rsidRPr="000855C4">
        <w:rPr>
          <w:noProof/>
        </w:rPr>
        <w:t>(Bennear &amp; Stavins 2007)</w:t>
      </w:r>
      <w:r w:rsidR="00F01773">
        <w:fldChar w:fldCharType="end"/>
      </w:r>
      <w:r w:rsidR="007B237F">
        <w:t>, and thus presents a challenge to matching environmental goals to policy outcomes</w:t>
      </w:r>
      <w:r w:rsidR="000855C4">
        <w:t xml:space="preserve">. This is a unique characteristic of regulating multiple impacts through multiple, impact-specific caps. </w:t>
      </w:r>
    </w:p>
    <w:p w:rsidR="009663A3" w:rsidRDefault="003118BF">
      <w:pPr>
        <w:ind w:firstLine="720"/>
      </w:pPr>
      <w:r>
        <w:t>We have applied existing cost effectiveness analysis methods to the novel context of regulation of environmental impacts from shale gas surface development and found that large gains from trade are possible. As shale gas development proceeds globally, governments at multiple levels should consider the environmental implications of shale gas extraction and design policies that properly internalize environmental externalities. In regions where development rights are centrally owned or distributed, significant environmental savings can potentially be achieved without the need for additional regulations. In other regions, our findings can be used to motivate regulations that do better than traditional command-and-control approaches. As such, we see large potential to develop shale gas more conscientiously in the coming decades.</w:t>
      </w:r>
    </w:p>
    <w:p w:rsidR="009663A3" w:rsidRDefault="00135C2E">
      <w:pPr>
        <w:pStyle w:val="Heading2"/>
      </w:pPr>
      <w:bookmarkStart w:id="266" w:name="_Toc421352889"/>
      <w:r>
        <w:t>Appendix</w:t>
      </w:r>
      <w:bookmarkEnd w:id="266"/>
    </w:p>
    <w:p w:rsidR="00147756" w:rsidRPr="003E14BF" w:rsidRDefault="00147756" w:rsidP="00147756">
      <w:pPr>
        <w:pStyle w:val="Heading3"/>
      </w:pPr>
      <w:bookmarkStart w:id="267" w:name="_Ref417646323"/>
      <w:bookmarkStart w:id="268" w:name="_Toc417646821"/>
      <w:r w:rsidRPr="003E14BF">
        <w:t>Reconfiguring Impact</w:t>
      </w:r>
      <w:bookmarkEnd w:id="267"/>
      <w:bookmarkEnd w:id="268"/>
    </w:p>
    <w:p w:rsidR="00147756" w:rsidRPr="00D37A76" w:rsidRDefault="00147756" w:rsidP="00147756">
      <w:r w:rsidRPr="00D37A76">
        <w:t>Impact Scores output by Bungee are not comparable across sites. However, we need something comparable/tradable to be able to allocate impacts across sites. To accomplish this, we do the following:</w:t>
      </w:r>
    </w:p>
    <w:p w:rsidR="00147756" w:rsidRPr="00D37A76" w:rsidRDefault="00147756" w:rsidP="00525DE8">
      <w:pPr>
        <w:pStyle w:val="ListParagraph"/>
        <w:numPr>
          <w:ilvl w:val="0"/>
          <w:numId w:val="16"/>
        </w:numPr>
        <w:spacing w:before="240" w:line="276" w:lineRule="auto"/>
        <w:contextualSpacing w:val="0"/>
      </w:pPr>
      <w:r w:rsidRPr="00D37A76">
        <w:t xml:space="preserve">Calculate individual impact metrics </w:t>
      </w:r>
      <m:oMath>
        <m:sSub>
          <m:sSubPr>
            <m:ctrlPr>
              <w:rPr>
                <w:rFonts w:ascii="Cambria Math" w:hAnsi="Cambria Math"/>
                <w:i/>
              </w:rPr>
            </m:ctrlPr>
          </m:sSubPr>
          <m:e>
            <m:r>
              <w:rPr>
                <w:rFonts w:ascii="Cambria Math" w:hAnsi="Cambria Math"/>
              </w:rPr>
              <m:t>f</m:t>
            </m:r>
          </m:e>
          <m:sub>
            <m:r>
              <w:rPr>
                <w:rFonts w:ascii="Cambria Math" w:hAnsi="Cambria Math"/>
              </w:rPr>
              <m:t>m</m:t>
            </m:r>
            <m:r>
              <w:rPr>
                <w:rFonts w:ascii="Cambria Math"/>
              </w:rPr>
              <m:t>,</m:t>
            </m:r>
            <m:r>
              <w:rPr>
                <w:rFonts w:ascii="Cambria Math" w:hAnsi="Cambria Math"/>
              </w:rPr>
              <m:t>i</m:t>
            </m:r>
          </m:sub>
        </m:sSub>
        <m:r>
          <w:rPr>
            <w:rFonts w:asci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rPr>
          <m:t>)</m:t>
        </m:r>
      </m:oMath>
      <w:r w:rsidRPr="00C45012">
        <w:rPr>
          <w:rFonts w:eastAsiaTheme="minorEastAsia"/>
        </w:rPr>
        <w:t xml:space="preserve"> where </w:t>
      </w:r>
      <m:oMath>
        <m:r>
          <w:rPr>
            <w:rFonts w:ascii="Cambria Math" w:eastAsiaTheme="minorEastAsia" w:hAnsi="Cambria Math"/>
          </w:rPr>
          <m:t>m</m:t>
        </m:r>
      </m:oMath>
      <w:r w:rsidRPr="00C45012">
        <w:rPr>
          <w:rFonts w:eastAsiaTheme="minorEastAsia"/>
        </w:rPr>
        <w:t xml:space="preserve"> is the metric name, </w:t>
      </w:r>
      <m:oMath>
        <m:r>
          <w:rPr>
            <w:rFonts w:ascii="Cambria Math" w:eastAsiaTheme="minorEastAsia" w:hAnsi="Cambria Math"/>
          </w:rPr>
          <m:t>i</m:t>
        </m:r>
      </m:oMath>
      <w:r w:rsidRPr="00C45012">
        <w:rPr>
          <w:rFonts w:eastAsiaTheme="minorEastAsia"/>
        </w:rPr>
        <w:t xml:space="preserve"> is the index of the site, and </w:t>
      </w:r>
      <m:oMath>
        <m:r>
          <w:rPr>
            <w:rFonts w:ascii="Cambria Math" w:eastAsiaTheme="minorEastAsia" w:hAnsi="Cambria Math"/>
          </w:rPr>
          <m:t>X</m:t>
        </m:r>
      </m:oMath>
      <w:r w:rsidRPr="00C45012">
        <w:rPr>
          <w:rFonts w:eastAsiaTheme="minorEastAsia"/>
        </w:rPr>
        <w:t xml:space="preserve"> is the layout. </w:t>
      </w:r>
    </w:p>
    <w:p w:rsidR="00147756" w:rsidRPr="00D37A76" w:rsidRDefault="00147756" w:rsidP="00B14DF2">
      <w:pPr>
        <w:pStyle w:val="ListParagraph"/>
        <w:numPr>
          <w:ilvl w:val="0"/>
          <w:numId w:val="16"/>
        </w:numPr>
        <w:spacing w:line="276" w:lineRule="auto"/>
      </w:pPr>
      <w:r w:rsidRPr="00C45012">
        <w:rPr>
          <w:rFonts w:eastAsiaTheme="minorEastAsia"/>
        </w:rPr>
        <w:t xml:space="preserve">Likewise, calculate the baselines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i</m:t>
            </m:r>
          </m:sub>
        </m:sSub>
      </m:oMath>
      <w:r w:rsidRPr="00C45012">
        <w:rPr>
          <w:rFonts w:eastAsiaTheme="minorEastAsia"/>
        </w:rPr>
        <w:t xml:space="preserve"> at each site. In our study, the baseline for all metrics is 0.</w:t>
      </w:r>
    </w:p>
    <w:p w:rsidR="00147756" w:rsidRPr="00D37A76" w:rsidRDefault="00147756" w:rsidP="00B14DF2">
      <w:pPr>
        <w:pStyle w:val="ListParagraph"/>
        <w:numPr>
          <w:ilvl w:val="0"/>
          <w:numId w:val="16"/>
        </w:numPr>
        <w:spacing w:line="276" w:lineRule="auto"/>
      </w:pPr>
      <w:r w:rsidRPr="00C45012">
        <w:rPr>
          <w:rFonts w:eastAsiaTheme="minorEastAsia"/>
        </w:rPr>
        <w:lastRenderedPageBreak/>
        <w:t>Find the maximum unit impact for each metric across layouts</w:t>
      </w:r>
      <w:proofErr w:type="gramStart"/>
      <w:r w:rsidRPr="00C45012">
        <w:rPr>
          <w:rFonts w:eastAsiaTheme="minorEastAsia"/>
        </w:rPr>
        <w:t xml:space="preserve">: </w:t>
      </w:r>
      <m:oMath>
        <w:proofErr w:type="gramEnd"/>
        <m:sSub>
          <m:sSubPr>
            <m:ctrlPr>
              <w:rPr>
                <w:rFonts w:ascii="Cambria Math" w:eastAsiaTheme="minorEastAsia" w:hAnsi="Cambria Math"/>
                <w:i/>
              </w:rPr>
            </m:ctrlPr>
          </m:sSub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m:t>
                    </m:r>
                  </m:sub>
                </m:sSub>
                <m:r>
                  <w:rPr>
                    <w:rFonts w:ascii="Cambria Math" w:eastAsiaTheme="minorEastAsia"/>
                  </w:rPr>
                  <m:t>/</m:t>
                </m:r>
                <m:r>
                  <w:rPr>
                    <w:rFonts w:ascii="Cambria Math" w:eastAsiaTheme="minorEastAsia" w:hAnsi="Cambria Math"/>
                  </w:rPr>
                  <m:t>w</m:t>
                </m:r>
              </m:e>
            </m:d>
          </m:e>
          <m:sub>
            <m:r>
              <w:rPr>
                <w:rFonts w:ascii="Cambria Math" w:eastAsiaTheme="minorEastAsia" w:hAnsi="Cambria Math"/>
              </w:rPr>
              <m:t>max</m:t>
            </m:r>
          </m:sub>
        </m:sSub>
        <m:r>
          <w:rPr>
            <w:rFonts w:ascii="Cambria Math" w:eastAsiaTheme="minorEastAsia"/>
          </w:rPr>
          <m:t>=</m:t>
        </m:r>
        <m:func>
          <m:funcPr>
            <m:ctrlPr>
              <w:rPr>
                <w:rFonts w:ascii="Cambria Math" w:eastAsiaTheme="minorEastAsia" w:hAnsi="Cambria Math"/>
                <w:i/>
              </w:rPr>
            </m:ctrlPr>
          </m:funcPr>
          <m:fName>
            <m:r>
              <m:rPr>
                <m:sty m:val="p"/>
              </m:rPr>
              <w:rPr>
                <w:rFonts w:ascii="Cambria Math" w:eastAsiaTheme="minorEastAsia"/>
              </w:rPr>
              <m:t>max</m:t>
            </m:r>
          </m:fName>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m:t>
                    </m:r>
                    <m:r>
                      <w:rPr>
                        <w:rFonts w:ascii="Cambria Math" w:eastAsiaTheme="minorEastAsia"/>
                      </w:rPr>
                      <m:t>,</m:t>
                    </m:r>
                    <m:r>
                      <w:rPr>
                        <w:rFonts w:ascii="Cambria Math" w:eastAsiaTheme="minorEastAsia" w:hAnsi="Cambria Math"/>
                      </w:rPr>
                      <m:t>i</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d>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rPr>
                  <m:t xml:space="preserve"> </m:t>
                </m:r>
                <m:r>
                  <w:rPr>
                    <w:rFonts w:ascii="Cambria Math" w:eastAsiaTheme="minorEastAsia" w:hAnsi="Cambria Math"/>
                  </w:rPr>
                  <m:t>∀</m:t>
                </m:r>
                <m:r>
                  <w:rPr>
                    <w:rFonts w:ascii="Cambria Math" w:eastAsiaTheme="minorEastAsia"/>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d>
          </m:e>
        </m:func>
      </m:oMath>
      <w:r w:rsidRPr="00C45012">
        <w:rPr>
          <w:rFonts w:eastAsiaTheme="minorEastAsia"/>
        </w:rPr>
        <w:t>.</w:t>
      </w:r>
    </w:p>
    <w:p w:rsidR="00147756" w:rsidRDefault="00147756" w:rsidP="009B0E78">
      <w:pPr>
        <w:pStyle w:val="ListParagraph"/>
        <w:numPr>
          <w:ilvl w:val="0"/>
          <w:numId w:val="16"/>
        </w:numPr>
        <w:spacing w:line="276" w:lineRule="auto"/>
      </w:pPr>
      <w:r w:rsidRPr="00D37A76">
        <w:t>Scale each metric for each layout using [3]:</w:t>
      </w:r>
    </w:p>
    <w:p w:rsidR="00147756" w:rsidRPr="000D7938" w:rsidRDefault="00F01773" w:rsidP="00326820">
      <w:pPr>
        <w:pStyle w:val="ListParagraph"/>
        <w:spacing w:before="240" w:after="240"/>
        <w:contextualSpacing w:val="0"/>
        <w:rPr>
          <w:rFonts w:eastAsiaTheme="minorHAnsi"/>
        </w:rPr>
      </w:pPr>
      <m:oMathPara>
        <m:oMath>
          <m:sSub>
            <m:sSubPr>
              <m:ctrlPr>
                <w:rPr>
                  <w:rFonts w:ascii="Cambria Math" w:hAnsi="Cambria Math"/>
                  <w:i/>
                </w:rPr>
              </m:ctrlPr>
            </m:sSubPr>
            <m:e>
              <m:r>
                <w:rPr>
                  <w:rFonts w:ascii="Cambria Math" w:hAnsi="Cambria Math"/>
                </w:rPr>
                <m:t>g</m:t>
              </m:r>
            </m:e>
            <m:sub>
              <m:r>
                <w:rPr>
                  <w:rFonts w:ascii="Cambria Math" w:hAnsi="Cambria Math"/>
                </w:rPr>
                <m:t>m</m:t>
              </m:r>
              <m:r>
                <w:rPr>
                  <w:rFonts w:ascii="Cambria Math"/>
                </w:rPr>
                <m:t>,</m:t>
              </m:r>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rPr>
            <m:t>=</m:t>
          </m:r>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m</m:t>
                      </m:r>
                      <m:r>
                        <w:rPr>
                          <w:rFonts w:ascii="Cambria Math"/>
                        </w:rPr>
                        <m:t>,</m:t>
                      </m:r>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e>
              </m:d>
            </m:num>
            <m:den>
              <m:sSub>
                <m:sSubPr>
                  <m:ctrlPr>
                    <w:rPr>
                      <w:rFonts w:ascii="Cambria Math" w:hAnsi="Cambria Math"/>
                      <w:i/>
                    </w:rPr>
                  </m:ctrlPr>
                </m:sSubPr>
                <m:e>
                  <m:r>
                    <w:rPr>
                      <w:rFonts w:ascii="Cambria Math" w:hAnsi="Cambria Math"/>
                    </w:rPr>
                    <m:t>w</m:t>
                  </m:r>
                </m:e>
                <m:sub>
                  <m:r>
                    <w:rPr>
                      <w:rFonts w:ascii="Cambria Math" w:hAnsi="Cambria Math"/>
                    </w:rPr>
                    <m:t>i</m:t>
                  </m:r>
                </m:sub>
              </m:sSub>
              <m:sSub>
                <m:sSubPr>
                  <m:ctrlPr>
                    <w:rPr>
                      <w:rFonts w:ascii="Cambria Math" w:eastAsiaTheme="minorEastAsia" w:hAnsi="Cambria Math"/>
                      <w:i/>
                    </w:rPr>
                  </m:ctrlPr>
                </m:sSub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m:t>
                          </m:r>
                        </m:sub>
                      </m:sSub>
                      <m:r>
                        <w:rPr>
                          <w:rFonts w:ascii="Cambria Math" w:eastAsiaTheme="minorEastAsia"/>
                        </w:rPr>
                        <m:t>/</m:t>
                      </m:r>
                      <m:r>
                        <w:rPr>
                          <w:rFonts w:ascii="Cambria Math" w:eastAsiaTheme="minorEastAsia" w:hAnsi="Cambria Math"/>
                        </w:rPr>
                        <m:t>w</m:t>
                      </m:r>
                    </m:e>
                  </m:d>
                </m:e>
                <m:sub>
                  <m:r>
                    <w:rPr>
                      <w:rFonts w:ascii="Cambria Math" w:eastAsiaTheme="minorEastAsia" w:hAnsi="Cambria Math"/>
                    </w:rPr>
                    <m:t>max</m:t>
                  </m:r>
                </m:sub>
              </m:sSub>
            </m:den>
          </m:f>
        </m:oMath>
      </m:oMathPara>
    </w:p>
    <w:p w:rsidR="00147756" w:rsidRPr="00D37A76" w:rsidRDefault="00147756" w:rsidP="009B0E78">
      <w:pPr>
        <w:pStyle w:val="ListParagraph"/>
        <w:numPr>
          <w:ilvl w:val="0"/>
          <w:numId w:val="16"/>
        </w:numPr>
        <w:spacing w:line="276" w:lineRule="auto"/>
      </w:pPr>
      <w:r w:rsidRPr="00D37A76">
        <w:t>Finally, we calculate the new Impact Score for each layout as</w:t>
      </w:r>
    </w:p>
    <w:p w:rsidR="00147756" w:rsidRPr="00C45012" w:rsidRDefault="00147756" w:rsidP="00326820">
      <w:pPr>
        <w:pStyle w:val="ListParagraph"/>
        <w:spacing w:before="240" w:after="240"/>
        <w:contextualSpacing w:val="0"/>
        <w:rPr>
          <w:rFonts w:eastAsiaTheme="minorEastAsia"/>
        </w:rPr>
      </w:pPr>
      <m:oMathPara>
        <m:oMath>
          <m:r>
            <m:rPr>
              <m:sty m:val="p"/>
            </m:rPr>
            <w:rPr>
              <w:rFonts w:ascii="Cambria Math"/>
            </w:rPr>
            <m:t>Impact Score</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rPr>
            <m:t>=</m:t>
          </m:r>
          <m:nary>
            <m:naryPr>
              <m:chr m:val="∑"/>
              <m:limLoc m:val="undOvr"/>
              <m:supHide m:val="on"/>
              <m:ctrlPr>
                <w:rPr>
                  <w:rFonts w:ascii="Cambria Math" w:hAnsi="Cambria Math"/>
                  <w:i/>
                </w:rPr>
              </m:ctrlPr>
            </m:naryPr>
            <m:sub>
              <m:r>
                <w:rPr>
                  <w:rFonts w:ascii="Cambria Math" w:hAnsi="Cambria Math"/>
                </w:rPr>
                <m:t>∀</m:t>
              </m:r>
              <m:r>
                <w:rPr>
                  <w:rFonts w:ascii="Cambria Math"/>
                </w:rPr>
                <m:t xml:space="preserve"> </m:t>
              </m:r>
              <m:r>
                <w:rPr>
                  <w:rFonts w:ascii="Cambria Math" w:hAnsi="Cambria Math"/>
                </w:rPr>
                <m:t>m</m:t>
              </m:r>
            </m:sub>
            <m:sup/>
            <m:e>
              <m:sSub>
                <m:sSubPr>
                  <m:ctrlPr>
                    <w:rPr>
                      <w:rFonts w:ascii="Cambria Math" w:hAnsi="Cambria Math"/>
                      <w:i/>
                    </w:rPr>
                  </m:ctrlPr>
                </m:sSubPr>
                <m:e>
                  <m:r>
                    <w:rPr>
                      <w:rFonts w:ascii="Cambria Math" w:hAnsi="Cambria Math"/>
                    </w:rPr>
                    <m:t>v</m:t>
                  </m:r>
                </m:e>
                <m:sub>
                  <m:r>
                    <w:rPr>
                      <w:rFonts w:ascii="Cambria Math" w:hAnsi="Cambria Math"/>
                    </w:rPr>
                    <m:t>m</m:t>
                  </m:r>
                </m:sub>
              </m:sSub>
            </m:e>
          </m:nary>
          <m:func>
            <m:funcPr>
              <m:ctrlPr>
                <w:rPr>
                  <w:rFonts w:ascii="Cambria Math" w:hAnsi="Cambria Math"/>
                  <w:i/>
                </w:rPr>
              </m:ctrlPr>
            </m:funcPr>
            <m:fName>
              <m:r>
                <m:rPr>
                  <m:sty m:val="p"/>
                </m:rPr>
                <w:rPr>
                  <w:rFonts w:asci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m</m:t>
                      </m:r>
                      <m:r>
                        <w:rPr>
                          <w:rFonts w:ascii="Cambria Math"/>
                        </w:rPr>
                        <m:t>,</m:t>
                      </m:r>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rPr>
                    <m:t>+1</m:t>
                  </m:r>
                </m:e>
              </m:d>
            </m:e>
          </m:func>
        </m:oMath>
      </m:oMathPara>
    </w:p>
    <w:p w:rsidR="00147756" w:rsidRDefault="00147756" w:rsidP="00B14DF2">
      <w:pPr>
        <w:pStyle w:val="ListParagraph"/>
      </w:pPr>
      <w:proofErr w:type="gramStart"/>
      <w:r w:rsidRPr="00C45012">
        <w:rPr>
          <w:rFonts w:eastAsiaTheme="minorEastAsia"/>
        </w:rPr>
        <w:t>where</w:t>
      </w:r>
      <w:proofErr w:type="gramEnd"/>
      <w:r w:rsidRPr="00C45012">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oMath>
      <w:r w:rsidRPr="00C45012">
        <w:rPr>
          <w:rFonts w:eastAsiaTheme="minorEastAsia"/>
        </w:rPr>
        <w:t xml:space="preserve"> is the relative priority of the metric.</w:t>
      </w:r>
      <w:r w:rsidR="00B14DF2">
        <w:rPr>
          <w:rFonts w:eastAsiaTheme="minorEastAsia"/>
        </w:rPr>
        <w:t xml:space="preserve"> </w:t>
      </w:r>
      <w:r w:rsidRPr="00D37A76">
        <w:t>This gives us a way to trade impacts across sites since the scaling values across sites are the same.</w:t>
      </w:r>
    </w:p>
    <w:p w:rsidR="00193AF3" w:rsidRDefault="00193AF3" w:rsidP="00B14DF2">
      <w:pPr>
        <w:pStyle w:val="ListParagraph"/>
      </w:pPr>
    </w:p>
    <w:p w:rsidR="00147756" w:rsidRPr="001D2351" w:rsidRDefault="00147756" w:rsidP="004C4795">
      <w:pPr>
        <w:rPr>
          <w:rFonts w:eastAsiaTheme="minorHAnsi"/>
        </w:rPr>
      </w:pPr>
      <w:r w:rsidRPr="00D37A76">
        <w:t xml:space="preserve">This transformation keeps the general shape of tradeoff curves across sites, but fails in one important respect. Many tradeoff curves (28 of 84 sites representing 270 of 607 layouts) no longer satisfy the </w:t>
      </w:r>
      <w:r w:rsidR="00D32E84">
        <w:t>Pareto</w:t>
      </w:r>
      <w:r w:rsidRPr="00D37A76">
        <w:t>-</w:t>
      </w:r>
      <w:r w:rsidR="00931691">
        <w:t>improvement</w:t>
      </w:r>
      <w:r w:rsidR="00931691" w:rsidRPr="00D37A76">
        <w:t xml:space="preserve"> </w:t>
      </w:r>
      <w:r w:rsidRPr="00D37A76">
        <w:t>shape needed for our analysis (see</w:t>
      </w:r>
      <w:r w:rsidR="00197982">
        <w:t xml:space="preserve"> </w:t>
      </w:r>
      <w:r w:rsidR="00F01773">
        <w:fldChar w:fldCharType="begin"/>
      </w:r>
      <w:r w:rsidR="00197982">
        <w:instrText xml:space="preserve"> REF _Ref417645802 \h </w:instrText>
      </w:r>
      <w:r w:rsidR="00F01773">
        <w:fldChar w:fldCharType="separate"/>
      </w:r>
      <w:r w:rsidR="00867AA7">
        <w:t xml:space="preserve">Fig. S </w:t>
      </w:r>
      <w:r w:rsidR="00867AA7">
        <w:rPr>
          <w:noProof/>
        </w:rPr>
        <w:t>4</w:t>
      </w:r>
      <w:r w:rsidR="00867AA7">
        <w:t>.</w:t>
      </w:r>
      <w:r w:rsidR="00867AA7">
        <w:rPr>
          <w:noProof/>
        </w:rPr>
        <w:t>1</w:t>
      </w:r>
      <w:r w:rsidR="00F01773">
        <w:fldChar w:fldCharType="end"/>
      </w:r>
      <w:r w:rsidRPr="00D37A76">
        <w:t xml:space="preserve">). The reason these curves are no long monotonically increasing is because the scaling values for each impact metric have changed relative to other impact metrics in the site. As such, the relative contribution of each metric to the Impact Score changes which causes some layouts to fall away from the newly defined </w:t>
      </w:r>
      <w:r w:rsidR="00D32E84">
        <w:t>Pareto</w:t>
      </w:r>
      <w:r w:rsidRPr="00D37A76">
        <w:t xml:space="preserve"> frontier.</w:t>
      </w:r>
      <w:r>
        <w:t xml:space="preserve"> </w:t>
      </w:r>
      <w:r w:rsidRPr="00D37A76">
        <w:t xml:space="preserve">To get around this, we simply omit from our analysis those sites whose tradeoff curves violate the </w:t>
      </w:r>
      <w:r w:rsidR="00D32E84">
        <w:t>Pareto</w:t>
      </w:r>
      <w:r w:rsidRPr="00D37A76">
        <w:t>-</w:t>
      </w:r>
      <w:r w:rsidR="00931691">
        <w:t>improvement</w:t>
      </w:r>
      <w:r w:rsidR="00931691" w:rsidRPr="00D37A76">
        <w:t xml:space="preserve"> </w:t>
      </w:r>
      <w:r w:rsidRPr="00D37A76">
        <w:t>conditions. We were left with the 56 sites</w:t>
      </w:r>
      <w:r>
        <w:t xml:space="preserve"> (</w:t>
      </w:r>
      <w:r w:rsidR="00F01773">
        <w:fldChar w:fldCharType="begin"/>
      </w:r>
      <w:r w:rsidR="008D5986">
        <w:instrText xml:space="preserve"> REF _Ref418588149 \h </w:instrText>
      </w:r>
      <w:r w:rsidR="00F01773">
        <w:fldChar w:fldCharType="separate"/>
      </w:r>
      <w:r w:rsidR="00867AA7">
        <w:t xml:space="preserve">Fig. S </w:t>
      </w:r>
      <w:r w:rsidR="00867AA7">
        <w:rPr>
          <w:noProof/>
        </w:rPr>
        <w:t>4</w:t>
      </w:r>
      <w:r w:rsidR="00867AA7">
        <w:t>.</w:t>
      </w:r>
      <w:r w:rsidR="00867AA7">
        <w:rPr>
          <w:noProof/>
        </w:rPr>
        <w:t>2</w:t>
      </w:r>
      <w:r w:rsidR="00F01773">
        <w:fldChar w:fldCharType="end"/>
      </w:r>
      <w:r>
        <w:t>)</w:t>
      </w:r>
      <w:r w:rsidRPr="00D37A76">
        <w:t xml:space="preserve"> with </w:t>
      </w:r>
      <w:r w:rsidR="00EE223C" w:rsidRPr="00D37A76">
        <w:t>black tradeoff curves in</w:t>
      </w:r>
      <w:r w:rsidR="00EE223C">
        <w:t xml:space="preserve"> </w:t>
      </w:r>
      <w:r w:rsidR="00EE223C">
        <w:fldChar w:fldCharType="begin"/>
      </w:r>
      <w:r w:rsidR="00EE223C">
        <w:instrText xml:space="preserve"> REF _Ref417645802 \h </w:instrText>
      </w:r>
      <w:r w:rsidR="00EE223C">
        <w:fldChar w:fldCharType="separate"/>
      </w:r>
      <w:r w:rsidR="00EE223C">
        <w:t xml:space="preserve">Fig. S </w:t>
      </w:r>
      <w:r w:rsidR="00EE223C">
        <w:rPr>
          <w:noProof/>
        </w:rPr>
        <w:t>4</w:t>
      </w:r>
      <w:r w:rsidR="00EE223C">
        <w:t>.</w:t>
      </w:r>
      <w:r w:rsidR="00EE223C">
        <w:rPr>
          <w:noProof/>
        </w:rPr>
        <w:t>1</w:t>
      </w:r>
      <w:r w:rsidR="00EE223C">
        <w:fldChar w:fldCharType="end"/>
      </w:r>
      <w:r w:rsidR="00EE223C" w:rsidRPr="00D37A76">
        <w:t>.</w:t>
      </w:r>
      <w:r w:rsidR="00EE223C" w:rsidRPr="004C4795">
        <w:t xml:space="preserve"> </w:t>
      </w:r>
    </w:p>
    <w:p w:rsidR="00147756" w:rsidRPr="003E14BF" w:rsidRDefault="00147756" w:rsidP="00147756">
      <w:pPr>
        <w:pStyle w:val="Heading3"/>
      </w:pPr>
      <w:bookmarkStart w:id="269" w:name="_Ref417646292"/>
      <w:bookmarkStart w:id="270" w:name="_Toc417646822"/>
      <w:r w:rsidRPr="003E14BF">
        <w:t xml:space="preserve">Present Value of Gas Production, </w:t>
      </w:r>
      <m:oMath>
        <m:sSub>
          <m:sSubPr>
            <m:ctrlPr>
              <w:rPr>
                <w:rFonts w:ascii="Cambria Math" w:hAnsi="Cambria Math"/>
              </w:rPr>
            </m:ctrlPr>
          </m:sSubPr>
          <m:e>
            <m:r>
              <w:rPr>
                <w:rFonts w:ascii="Cambria Math" w:hAnsi="Cambria Math"/>
              </w:rPr>
              <m:t>V</m:t>
            </m:r>
          </m:e>
          <m:sub>
            <m:r>
              <w:rPr>
                <w:rFonts w:ascii="Cambria Math" w:hAnsi="Cambria Math"/>
              </w:rPr>
              <m:t>i</m:t>
            </m:r>
          </m:sub>
        </m:sSub>
      </m:oMath>
      <w:bookmarkEnd w:id="269"/>
      <w:bookmarkEnd w:id="270"/>
    </w:p>
    <w:p w:rsidR="00147756" w:rsidRPr="006A520E" w:rsidRDefault="00147756" w:rsidP="00147756">
      <w:r w:rsidRPr="006A520E">
        <w:t xml:space="preserve">We calculate the profit of gas production in a site using the present value. We base our estimates on the flow rate of gas from wells in the counties from our sites in our previous study as well as recent national </w:t>
      </w:r>
      <w:r w:rsidR="009B4512">
        <w:pict>
          <v:shape id="_x0000_s1112" type="#_x0000_t202" style="width:6in;height:324pt;mso-position-horizontal-relative:char;mso-position-vertical-relative:line" stroked="f">
            <v:textbox style="mso-next-textbox:#_x0000_s1112">
              <w:txbxContent>
                <w:p w:rsidR="009B4512" w:rsidRDefault="009B4512" w:rsidP="009B4512">
                  <w:pPr>
                    <w:pStyle w:val="Caption"/>
                  </w:pPr>
                  <w:r>
                    <w:rPr>
                      <w:noProof/>
                    </w:rPr>
                    <w:drawing>
                      <wp:inline distT="0" distB="0" distL="0" distR="0">
                        <wp:extent cx="5297532" cy="2625634"/>
                        <wp:effectExtent l="19050" t="0" r="0" b="0"/>
                        <wp:docPr id="1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4"/>
                                <a:srcRect t="3881" r="3548" b="4119"/>
                                <a:stretch>
                                  <a:fillRect/>
                                </a:stretch>
                              </pic:blipFill>
                              <pic:spPr bwMode="auto">
                                <a:xfrm>
                                  <a:off x="0" y="0"/>
                                  <a:ext cx="5297532" cy="2625634"/>
                                </a:xfrm>
                                <a:prstGeom prst="rect">
                                  <a:avLst/>
                                </a:prstGeom>
                                <a:noFill/>
                                <a:ln w="9525">
                                  <a:noFill/>
                                  <a:miter lim="800000"/>
                                  <a:headEnd/>
                                  <a:tailEnd/>
                                </a:ln>
                              </pic:spPr>
                            </pic:pic>
                          </a:graphicData>
                        </a:graphic>
                      </wp:inline>
                    </w:drawing>
                  </w:r>
                </w:p>
                <w:p w:rsidR="009B4512" w:rsidRPr="002B2090" w:rsidRDefault="009B4512" w:rsidP="009B4512">
                  <w:pPr>
                    <w:pStyle w:val="Caption"/>
                    <w:rPr>
                      <w:vanish/>
                      <w:lang w:val="en-GB"/>
                      <w:specVanish/>
                    </w:rPr>
                  </w:pPr>
                  <w:bookmarkStart w:id="271" w:name="_Ref417645802"/>
                  <w:bookmarkStart w:id="272" w:name="_Toc421352929"/>
                  <w:bookmarkStart w:id="273" w:name="_Toc417647092"/>
                  <w:proofErr w:type="gramStart"/>
                  <w:r>
                    <w:t xml:space="preserve">Fig. S </w:t>
                  </w:r>
                  <w:fldSimple w:instr=" STYLEREF 1 \s ">
                    <w:r>
                      <w:rPr>
                        <w:noProof/>
                      </w:rPr>
                      <w:t>4</w:t>
                    </w:r>
                  </w:fldSimple>
                  <w:r>
                    <w:t>.</w:t>
                  </w:r>
                  <w:proofErr w:type="gramEnd"/>
                  <w:r>
                    <w:fldChar w:fldCharType="begin"/>
                  </w:r>
                  <w:r>
                    <w:instrText xml:space="preserve"> SEQ Fig._S \* ARABIC \s 1 </w:instrText>
                  </w:r>
                  <w:r>
                    <w:fldChar w:fldCharType="separate"/>
                  </w:r>
                  <w:r>
                    <w:rPr>
                      <w:noProof/>
                    </w:rPr>
                    <w:t>1</w:t>
                  </w:r>
                  <w:r>
                    <w:fldChar w:fldCharType="end"/>
                  </w:r>
                  <w:bookmarkEnd w:id="271"/>
                  <w:r>
                    <w:t xml:space="preserve">. (a) </w:t>
                  </w:r>
                  <w:proofErr w:type="gramStart"/>
                  <w:r>
                    <w:t>results</w:t>
                  </w:r>
                  <w:proofErr w:type="gramEnd"/>
                  <w:r>
                    <w:t xml:space="preserve"> from our previous study, where Impact Scores are calculated using site-specific normalization constants</w:t>
                  </w:r>
                  <w:bookmarkEnd w:id="272"/>
                </w:p>
                <w:p w:rsidR="009B4512" w:rsidRDefault="009B4512" w:rsidP="009B4512">
                  <w:pPr>
                    <w:pStyle w:val="Caption"/>
                  </w:pPr>
                  <w:r>
                    <w:t xml:space="preserve"> </w:t>
                  </w:r>
                  <w:proofErr w:type="gramStart"/>
                  <w:r>
                    <w:t>for</w:t>
                  </w:r>
                  <w:proofErr w:type="gramEnd"/>
                  <w:r>
                    <w:t xml:space="preserve"> each impact metric and tradeoff curves are monotonically increasing. (b) </w:t>
                  </w:r>
                  <w:proofErr w:type="gramStart"/>
                  <w:r>
                    <w:t>results</w:t>
                  </w:r>
                  <w:proofErr w:type="gramEnd"/>
                  <w:r>
                    <w:t xml:space="preserve"> of re-scaling impact metrics to calculate tradable impacts, the result of which is that many tradeoff curves (green, n=28 of 84) are no longer monotonically increasing, which violates the conditions necessary for optimal allocation of impacts.</w:t>
                  </w:r>
                  <w:bookmarkEnd w:id="273"/>
                </w:p>
              </w:txbxContent>
            </v:textbox>
            <w10:wrap type="none" anchorx="margin" anchory="margin"/>
            <w10:anchorlock/>
          </v:shape>
        </w:pict>
      </w:r>
      <w:r w:rsidRPr="006A520E">
        <w:t xml:space="preserve">well-head gas prices. </w:t>
      </w:r>
    </w:p>
    <w:p w:rsidR="00147756" w:rsidRPr="006A520E" w:rsidRDefault="00147756" w:rsidP="00147756">
      <w:r w:rsidRPr="006A520E">
        <w:t xml:space="preserve">The present value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rsidRPr="006A520E">
        <w:rPr>
          <w:rFonts w:eastAsiaTheme="minorEastAsia"/>
        </w:rPr>
        <w:t xml:space="preserve"> in a site depends on several things:</w:t>
      </w:r>
    </w:p>
    <w:p w:rsidR="00147756" w:rsidRPr="006A520E" w:rsidRDefault="00F01773" w:rsidP="00AF08A9">
      <w:pPr>
        <w:pStyle w:val="ListParagraph"/>
        <w:numPr>
          <w:ilvl w:val="0"/>
          <w:numId w:val="18"/>
        </w:numPr>
        <w:spacing w:before="240"/>
      </w:pPr>
      <m:oMath>
        <m:sSub>
          <m:sSubPr>
            <m:ctrlPr>
              <w:rPr>
                <w:rFonts w:ascii="Cambria Math" w:hAnsi="Cambria Math"/>
                <w:i/>
              </w:rPr>
            </m:ctrlPr>
          </m:sSubPr>
          <m:e>
            <m:r>
              <w:rPr>
                <w:rFonts w:ascii="Cambria Math" w:hAnsi="Cambria Math"/>
              </w:rPr>
              <m:t>q</m:t>
            </m:r>
          </m:e>
          <m:sub>
            <m:r>
              <w:rPr>
                <w:rFonts w:ascii="Cambria Math"/>
              </w:rPr>
              <m:t>0</m:t>
            </m:r>
          </m:sub>
        </m:sSub>
      </m:oMath>
      <w:r w:rsidR="00147756" w:rsidRPr="00147756">
        <w:rPr>
          <w:rFonts w:eastAsiaTheme="minorEastAsia"/>
        </w:rPr>
        <w:t>, the initial rate of flow of gas from when production begins (Mcf/day)</w:t>
      </w:r>
    </w:p>
    <w:p w:rsidR="00147756" w:rsidRPr="00147756" w:rsidRDefault="002933FE" w:rsidP="00AF08A9">
      <w:pPr>
        <w:pStyle w:val="ListParagraph"/>
        <w:numPr>
          <w:ilvl w:val="0"/>
          <w:numId w:val="18"/>
        </w:numPr>
        <w:rPr>
          <w:rFonts w:eastAsiaTheme="minorEastAsia"/>
        </w:rPr>
      </w:pPr>
      <m:oMath>
        <m:r>
          <w:rPr>
            <w:rFonts w:ascii="Cambria Math" w:hAnsi="Cambria Math"/>
          </w:rPr>
          <m:t>λ</m:t>
        </m:r>
      </m:oMath>
      <w:r w:rsidR="00147756" w:rsidRPr="00147756">
        <w:rPr>
          <w:rFonts w:eastAsiaTheme="minorEastAsia"/>
        </w:rPr>
        <w:t>, the change in the flow rate from a well per unit time (</w:t>
      </w:r>
      <w:proofErr w:type="spellStart"/>
      <w:r w:rsidR="00147756" w:rsidRPr="00147756">
        <w:rPr>
          <w:rFonts w:eastAsiaTheme="minorEastAsia"/>
        </w:rPr>
        <w:t>Mcf</w:t>
      </w:r>
      <w:proofErr w:type="spellEnd"/>
      <w:r w:rsidR="00147756" w:rsidRPr="00147756">
        <w:rPr>
          <w:rFonts w:eastAsiaTheme="minorEastAsia"/>
        </w:rPr>
        <w:t>/day</w:t>
      </w:r>
      <w:r w:rsidR="00147756" w:rsidRPr="00147756">
        <w:rPr>
          <w:rFonts w:eastAsiaTheme="minorEastAsia"/>
          <w:vertAlign w:val="superscript"/>
        </w:rPr>
        <w:t>2</w:t>
      </w:r>
      <w:r w:rsidR="00147756" w:rsidRPr="00147756">
        <w:rPr>
          <w:rFonts w:eastAsiaTheme="minorEastAsia"/>
        </w:rPr>
        <w:t>)</w:t>
      </w:r>
    </w:p>
    <w:p w:rsidR="00147756" w:rsidRPr="00147756" w:rsidRDefault="00147756" w:rsidP="00AF08A9">
      <w:pPr>
        <w:pStyle w:val="ListParagraph"/>
        <w:numPr>
          <w:ilvl w:val="0"/>
          <w:numId w:val="18"/>
        </w:numPr>
        <w:rPr>
          <w:rFonts w:eastAsiaTheme="minorEastAsia"/>
        </w:rPr>
      </w:pPr>
      <m:oMath>
        <m:r>
          <w:rPr>
            <w:rFonts w:ascii="Cambria Math" w:eastAsiaTheme="minorEastAsia" w:hAnsi="Cambria Math"/>
          </w:rPr>
          <m:t>d</m:t>
        </m:r>
      </m:oMath>
      <w:r w:rsidRPr="00147756">
        <w:rPr>
          <w:rFonts w:eastAsiaTheme="minorEastAsia"/>
        </w:rPr>
        <w:t>, the monetary discount rate</w:t>
      </w:r>
    </w:p>
    <w:p w:rsidR="00147756" w:rsidRPr="00147756" w:rsidRDefault="00F01773" w:rsidP="00AF08A9">
      <w:pPr>
        <w:pStyle w:val="ListParagraph"/>
        <w:numPr>
          <w:ilvl w:val="0"/>
          <w:numId w:val="18"/>
        </w:numPr>
        <w:spacing w:after="240"/>
        <w:rPr>
          <w:rFonts w:eastAsiaTheme="minorEastAsia"/>
        </w:rPr>
      </w:pP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oMath>
      <w:r w:rsidR="00147756" w:rsidRPr="00147756">
        <w:rPr>
          <w:rFonts w:eastAsiaTheme="minorEastAsia"/>
        </w:rPr>
        <w:t>, the number of wells in the site</w:t>
      </w:r>
    </w:p>
    <w:p w:rsidR="004C4795" w:rsidRDefault="004C4795" w:rsidP="00147756">
      <w:pPr>
        <w:rPr>
          <w:rFonts w:eastAsiaTheme="minorEastAsia"/>
        </w:rPr>
      </w:pPr>
    </w:p>
    <w:p w:rsidR="005B0E55" w:rsidRPr="006A520E" w:rsidRDefault="005B0E55" w:rsidP="005B0E55">
      <w:pPr>
        <w:rPr>
          <w:rFonts w:eastAsiaTheme="minorEastAsia"/>
        </w:rPr>
      </w:pPr>
      <w:r w:rsidRPr="006A520E">
        <w:rPr>
          <w:rFonts w:eastAsiaTheme="minorEastAsia"/>
        </w:rPr>
        <w:t xml:space="preserve">The flow of gas from a well at a particular time </w:t>
      </w:r>
      <m:oMath>
        <m:r>
          <w:rPr>
            <w:rFonts w:ascii="Cambria Math" w:eastAsiaTheme="minorEastAsia" w:hAnsi="Cambria Math"/>
          </w:rPr>
          <m:t>t</m:t>
        </m:r>
      </m:oMath>
      <w:r w:rsidRPr="006A520E">
        <w:rPr>
          <w:rFonts w:eastAsiaTheme="minorEastAsia"/>
        </w:rPr>
        <w:t xml:space="preserve"> is approximated by the linearly declining curve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20"/>
        <w:gridCol w:w="7200"/>
        <w:gridCol w:w="720"/>
      </w:tblGrid>
      <w:tr w:rsidR="005B0E55" w:rsidRPr="006A520E" w:rsidTr="00CB3AED">
        <w:tc>
          <w:tcPr>
            <w:tcW w:w="720" w:type="dxa"/>
            <w:vAlign w:val="center"/>
          </w:tcPr>
          <w:p w:rsidR="005B0E55" w:rsidRPr="006A520E" w:rsidRDefault="005B0E55" w:rsidP="00CB3AED">
            <w:pPr>
              <w:rPr>
                <w:rFonts w:eastAsiaTheme="minorEastAsia"/>
              </w:rPr>
            </w:pPr>
          </w:p>
        </w:tc>
        <w:tc>
          <w:tcPr>
            <w:tcW w:w="7200" w:type="dxa"/>
            <w:vAlign w:val="center"/>
          </w:tcPr>
          <w:p w:rsidR="005B0E55" w:rsidRPr="006A520E" w:rsidRDefault="005B0E55" w:rsidP="00CB3AED">
            <w:pPr>
              <w:spacing w:before="240" w:after="240"/>
              <w:rPr>
                <w:rFonts w:eastAsiaTheme="minorEastAsia"/>
              </w:rPr>
            </w:pPr>
            <m:oMathPara>
              <m:oMath>
                <m:r>
                  <w:rPr>
                    <w:rFonts w:ascii="Cambria Math" w:eastAsiaTheme="minorEastAsia" w:hAnsi="Cambria Math"/>
                  </w:rPr>
                  <m:t>q</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rPr>
                      <m:t>0</m:t>
                    </m:r>
                  </m:sub>
                </m:sSub>
                <m:r>
                  <w:rPr>
                    <w:rFonts w:ascii="Cambria Math" w:eastAsiaTheme="minorEastAsia" w:hAnsi="Cambria Math"/>
                  </w:rPr>
                  <m:t>-λt</m:t>
                </m:r>
              </m:oMath>
            </m:oMathPara>
          </w:p>
        </w:tc>
        <w:tc>
          <w:tcPr>
            <w:tcW w:w="720" w:type="dxa"/>
            <w:vAlign w:val="center"/>
          </w:tcPr>
          <w:p w:rsidR="005B0E55" w:rsidRPr="006A520E" w:rsidRDefault="005B0E55" w:rsidP="00CB3AED">
            <w:bookmarkStart w:id="274" w:name="_Ref412044737"/>
            <w:r w:rsidRPr="006A520E">
              <w:t xml:space="preserve">( </w:t>
            </w:r>
            <w:r w:rsidRPr="006A520E">
              <w:fldChar w:fldCharType="begin"/>
            </w:r>
            <w:r w:rsidRPr="00764456">
              <w:instrText xml:space="preserve"> SEQ ( \* ARABIC </w:instrText>
            </w:r>
            <w:r w:rsidRPr="006A520E">
              <w:fldChar w:fldCharType="separate"/>
            </w:r>
            <w:r>
              <w:rPr>
                <w:noProof/>
              </w:rPr>
              <w:t>4</w:t>
            </w:r>
            <w:r w:rsidRPr="006A520E">
              <w:fldChar w:fldCharType="end"/>
            </w:r>
            <w:r w:rsidRPr="006A520E">
              <w:t xml:space="preserve"> )</w:t>
            </w:r>
            <w:bookmarkEnd w:id="274"/>
          </w:p>
        </w:tc>
      </w:tr>
    </w:tbl>
    <w:p w:rsidR="005B0E55" w:rsidRDefault="005B0E55" w:rsidP="00147756">
      <w:pPr>
        <w:rPr>
          <w:rFonts w:eastAsiaTheme="minorEastAsia"/>
        </w:rPr>
        <w:sectPr w:rsidR="005B0E55" w:rsidSect="002115B4">
          <w:pgSz w:w="12240" w:h="15840" w:code="1"/>
          <w:pgMar w:top="1440" w:right="1800" w:bottom="1440" w:left="1800" w:header="720" w:footer="1440" w:gutter="0"/>
          <w:cols w:space="720"/>
          <w:noEndnote/>
          <w:docGrid w:linePitch="360"/>
        </w:sectPr>
      </w:pPr>
      <w:proofErr w:type="gramStart"/>
      <w:r w:rsidRPr="006A520E">
        <w:rPr>
          <w:rFonts w:eastAsiaTheme="minorEastAsia"/>
        </w:rPr>
        <w:t>with</w:t>
      </w:r>
      <w:proofErr w:type="gramEnd"/>
      <w:r w:rsidRPr="006A520E">
        <w:rPr>
          <w:rFonts w:eastAsiaTheme="minorEastAsia"/>
        </w:rPr>
        <w:t xml:space="preserve"> units of &lt;amount of gas&gt; per &lt;unit of time&gt;.</w:t>
      </w:r>
      <w:r w:rsidRPr="006A520E">
        <w:rPr>
          <w:rFonts w:eastAsiaTheme="minorEastAsia"/>
          <w:b/>
        </w:rPr>
        <w:t xml:space="preserve"> </w:t>
      </w:r>
      <w:r w:rsidRPr="006A520E">
        <w:rPr>
          <w:rFonts w:eastAsiaTheme="minorEastAsia"/>
        </w:rPr>
        <w:t>Note that several other more complex and accurate estimates of gas flow exist that account for linear decrease in flow in the early portions of the well’s life followed by declining ma</w:t>
      </w:r>
      <w:r>
        <w:rPr>
          <w:rFonts w:eastAsiaTheme="minorEastAsia"/>
        </w:rPr>
        <w:t xml:space="preserve">rginal returns later </w:t>
      </w:r>
      <w:r>
        <w:rPr>
          <w:rFonts w:eastAsiaTheme="minorEastAsia"/>
        </w:rPr>
        <w:fldChar w:fldCharType="begin" w:fldLock="1"/>
      </w:r>
      <w:r>
        <w:rPr>
          <w:rFonts w:eastAsiaTheme="minorEastAsia"/>
        </w:rPr>
        <w:instrText>ADDIN CSL_CITATION { "citationItems" : [ { "id" : "ITEM-1", "itemData" : { "DOI" : "10.2118/139097-MS", "ISBN" : "978-1-55563-310-3", "abstract" : "Abstract In order to more accurately characterize reservoir and hydraulic fracture properties from well performance, a workflow has been developed that effectively integrates variable quality data from a variety of sources. This workflow applies analytical techniques designed specifically for shale gas wells followed by as-needed numerical modeling. The analytical techniques can be applied to multiple wells through time to: a) identify groupings of like-performing wells, b) detect wells with anomalous behaviors, c) develop hypotheses about production mechanisms, and d) choose specific wells for more detailed analysis and numerical modeling. Numerical modeling provides the functionality needed for complex mechanism forensics, performance forecasting, and completion optimization studies. Conventional numerical models typically use finite-difference grids, but these are neither sufficiently complex nor sufficiently flexible for shale gas reservoirs. For this reason, a finite-element modeling technology has been applied that places a large number of closely-spaced nodes near hydraulic fractures, \"where all the action takes place?? in the early life of a well. The finite-element technique also allows complex fracture geometries to be modeled. This workflow, incorporating analytical and numerical solutions, has been applied to multiple shale gas projects, including industry consortia in the Haynesville (US) and Montney (Canada) shales and individual operator projects in the Woodford (US), Horn River (Canada), and Marcellus (US) shales. Through the application of these techniques, fracture and reservoir properties have been characterized and uncertainty associated with forecasted well performance has been reduced. This work has profound implications for quantifying gas reserves, understanding those factors responsible for variations in well performance, and for optimizing well spacing, lateral lengths, and completion techniques. Introduction Gas rates from shale gas wells are comparable to those of conventional wells as a result of rapidly-evolving horizontal drilling and well stimulation technologies. However, an understanding of the factors controlling production rates and recoveries lags behind the knowledge derived from decades of gas production from conventional reservoirs. Some of the specific difficulties in characterizing shale gas production include: \u2022 An inability to distinguish between hydraulic fracture and reservoir contributions from limited prod\u2026", "author" : [ { "dropping-particle" : "", "family" : "Miller", "given" : "Mark A", "non-dropping-particle" : "", "parse-names" : false, "suffix" : "" }, { "dropping-particle" : "", "family" : "Jenkins", "given" : "Creties David", "non-dropping-particle" : "", "parse-names" : false, "suffix" : "" }, { "dropping-particle" : "", "family" : "Rai", "given" : "Rakesh Roshan", "non-dropping-particle" : "", "parse-names" : false, "suffix" : "" } ], "id" : "ITEM-1", "issued" : { "date-parts" : [ [ "2010" ] ] }, "publisher" : "Society of Petroleum Engineers", "title" : "Applying Innovative Production Modeling Techniques to Quantify Fracture Characteristics, Reservoir Properties, and Well Performance in Shale Gas Reservoirs", "type" : "article" }, "uris" : [ "http://www.mendeley.com/documents/?uuid=bf606719-5072-4a0c-a149-bd7a882a22bf" ] }, { "id" : "ITEM-2", "itemData" : { "DOI" : "10.2118/130370-MS", "ISBN" : "978-1-55563-287-8", "abstract" : "Abstract It has often been observed that tight gas wells behave as though they are controlled by transient linear flow. This behavior can be seen as a \"half-slope?? on a type curve and certain reservoir parameters can be evaluated. There can be many causes of linear flow, so the engineer must choose the most likely model for a particular well. Linear flow behavior has also been observed in shale gas wells but these wells tend to exhibit a significant \"skin effect?? that is not so common in tight gas wells. This \"skin effect?? can mask early linear behavior but may be accounted for with a modified equation form which is presented in this paper. Two mathematical models are presented which represent plausible relationships between fractures and matrix rock. Each model can be fit by linear dual porosity solutions. But in either case observed production rates can be represented by transient linear flow out of the matrix since the transient flow in the fracture system dies out in just hours or a few days. Calculation procedures are given which can be used to calculate size of the drainage volume, and the area of the interfaces between the hydraulic fractures and the rock matrix, Acm, and the matrix permeability in some cases. The numerical value of Acm may provide useful information in evaluating a well's completion and stimulation effectiveness. Both the \"skin effect?? and \"drawdown dependence?? are accounted for in the proposed method. Several field examples are presented which show ideal applications of the calculation procedures as well as other cases for which the method does not seem to apply, or at least does not work so well. Some factors that may cause difficulties in analyzing flow behavior are liquid loading, interference with adjacent wells, and fracture patterns that cannot be represented by our idealized model. The proposed method should be thought of as idealized models which may be found to be useful in analyzing production data from shale gas wells in their early life. Other methods may be more useful and more accurate in a well's later life. Introduction Unconventional gas reservoirs constitute a major source of gas production in the United States. Shale gas reservoirs are playing a major rule as they are aggressively developed capitalizing on new technologies, namely horizontal wells with multi-stage fracturing. It has been observed that these wells behave as though they are controlled by transient linear flow. This flow regime could last f\u2026", "author" : [ { "dropping-particle" : "", "family" : "Ahmadi", "given" : "Hasan A", "non-dropping-particle" : "Al", "parse-names" : false, "suffix" : "" }, { "dropping-particle" : "", "family" : "Almarzooq", "given" : "Anas M", "non-dropping-particle" : "", "parse-names" : false, "suffix" : "" }, { "dropping-particle" : "", "family" : "Wattenbarger", "given" : "Robert A", "non-dropping-particle" : "", "parse-names" : false, "suffix" : "" } ], "id" : "ITEM-2", "issued" : { "date-parts" : [ [ "2010" ] ] }, "publisher" : "Society of Petroleum Engineers", "title" : "Application of Linear Flow Analysis to Shale Gas Wells - Field Cases", "type" : "article" }, "uris" : [ "http://www.mendeley.com/documents/?uuid=da448751-6d3a-4a49-8ccc-855e70c9d687" ] } ], "mendeley" : { "formattedCitation" : "(Al Ahmadi, Almarzooq &amp; Wattenbarger 2010; Miller, Jenkins &amp; Rai 2010)", "plainTextFormattedCitation" : "(Al Ahmadi, Almarzooq &amp; Wattenbarger 2010; Miller, Jenkins &amp; Rai 2010)", "previouslyFormattedCitation" : "(Al Ahmadi, Almarzooq &amp; Wattenbarger 2010; Miller, Jenkins &amp; Rai 2010)" }, "properties" : { "noteIndex" : 0 }, "schema" : "https://github.com/citation-style-language/schema/raw/master/csl-citation.json" }</w:instrText>
      </w:r>
      <w:r>
        <w:rPr>
          <w:rFonts w:eastAsiaTheme="minorEastAsia"/>
        </w:rPr>
        <w:fldChar w:fldCharType="separate"/>
      </w:r>
      <w:r w:rsidRPr="00B32474">
        <w:rPr>
          <w:rFonts w:eastAsiaTheme="minorEastAsia"/>
          <w:noProof/>
        </w:rPr>
        <w:t>(Al Ahmadi, Almarzooq &amp; Wattenbarger 2010; Miller, Jenkins &amp; Rai 2010)</w:t>
      </w:r>
      <w:r>
        <w:rPr>
          <w:rFonts w:eastAsiaTheme="minorEastAsia"/>
        </w:rPr>
        <w:fldChar w:fldCharType="end"/>
      </w:r>
      <w:r w:rsidRPr="006A520E">
        <w:rPr>
          <w:rFonts w:eastAsiaTheme="minorEastAsia"/>
        </w:rPr>
        <w:t xml:space="preserve">. We chose this one because the present-value of gas is relatively easy to calculate with it and it provides </w:t>
      </w:r>
    </w:p>
    <w:p w:rsidR="004C4795" w:rsidRDefault="00F01773" w:rsidP="00147756">
      <w:pPr>
        <w:sectPr w:rsidR="004C4795" w:rsidSect="004C4795">
          <w:pgSz w:w="12240" w:h="15840" w:code="1"/>
          <w:pgMar w:top="1440" w:right="1800" w:bottom="1440" w:left="1800" w:header="720" w:footer="1440" w:gutter="0"/>
          <w:cols w:space="720"/>
          <w:vAlign w:val="center"/>
          <w:noEndnote/>
          <w:docGrid w:linePitch="360"/>
        </w:sectPr>
      </w:pPr>
      <w:r>
        <w:pict>
          <v:shape id="_x0000_s1084" type="#_x0000_t202" style="width:6in;height:362.75pt;mso-position-horizontal-relative:char;mso-position-vertical-relative:line" stroked="f">
            <v:textbox style="mso-next-textbox:#_x0000_s1084">
              <w:txbxContent>
                <w:p w:rsidR="006A45E8" w:rsidRDefault="006A45E8" w:rsidP="004C4795">
                  <w:pPr>
                    <w:keepNext/>
                  </w:pPr>
                  <w:r w:rsidRPr="00C902CE">
                    <w:rPr>
                      <w:rFonts w:eastAsiaTheme="minorEastAsia"/>
                      <w:noProof/>
                      <w:szCs w:val="22"/>
                    </w:rPr>
                    <w:drawing>
                      <wp:inline distT="0" distB="0" distL="0" distR="0">
                        <wp:extent cx="5306241" cy="3537493"/>
                        <wp:effectExtent l="19050" t="0" r="8709" b="0"/>
                        <wp:docPr id="103" name="Picture 13" descr="C:\Users\milt\Dropbox\Graduate School\Dissertation\Ch3 Optimization\manuscripts\PNAS\figures\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ilt\Dropbox\Graduate School\Dissertation\Ch3 Optimization\manuscripts\PNAS\figures\Fig2.png"/>
                                <pic:cNvPicPr>
                                  <a:picLocks noChangeAspect="1" noChangeArrowheads="1"/>
                                </pic:cNvPicPr>
                              </pic:nvPicPr>
                              <pic:blipFill>
                                <a:blip r:embed="rId85"/>
                                <a:stretch>
                                  <a:fillRect/>
                                </a:stretch>
                              </pic:blipFill>
                              <pic:spPr bwMode="auto">
                                <a:xfrm>
                                  <a:off x="0" y="0"/>
                                  <a:ext cx="5320845" cy="3547229"/>
                                </a:xfrm>
                                <a:prstGeom prst="rect">
                                  <a:avLst/>
                                </a:prstGeom>
                                <a:noFill/>
                                <a:ln w="9525">
                                  <a:noFill/>
                                  <a:miter lim="800000"/>
                                  <a:headEnd/>
                                  <a:tailEnd/>
                                </a:ln>
                              </pic:spPr>
                            </pic:pic>
                          </a:graphicData>
                        </a:graphic>
                      </wp:inline>
                    </w:drawing>
                  </w:r>
                </w:p>
                <w:p w:rsidR="006A45E8" w:rsidRPr="002B2090" w:rsidRDefault="006A45E8" w:rsidP="004C4795">
                  <w:pPr>
                    <w:pStyle w:val="Caption"/>
                    <w:rPr>
                      <w:vanish/>
                      <w:lang w:val="en-GB"/>
                      <w:specVanish/>
                    </w:rPr>
                  </w:pPr>
                  <w:bookmarkStart w:id="275" w:name="_Ref418588149"/>
                  <w:bookmarkStart w:id="276" w:name="_Toc421352930"/>
                  <w:proofErr w:type="gramStart"/>
                  <w:r>
                    <w:t xml:space="preserve">Fig. S </w:t>
                  </w:r>
                  <w:fldSimple w:instr=" STYLEREF 1 \s ">
                    <w:r>
                      <w:rPr>
                        <w:noProof/>
                      </w:rPr>
                      <w:t>4</w:t>
                    </w:r>
                  </w:fldSimple>
                  <w:r>
                    <w:t>.</w:t>
                  </w:r>
                  <w:proofErr w:type="gramEnd"/>
                  <w:r>
                    <w:fldChar w:fldCharType="begin"/>
                  </w:r>
                  <w:r>
                    <w:instrText xml:space="preserve"> SEQ Fig._S \* ARABIC \s 1 </w:instrText>
                  </w:r>
                  <w:r>
                    <w:fldChar w:fldCharType="separate"/>
                  </w:r>
                  <w:r>
                    <w:rPr>
                      <w:noProof/>
                    </w:rPr>
                    <w:t>2</w:t>
                  </w:r>
                  <w:r>
                    <w:fldChar w:fldCharType="end"/>
                  </w:r>
                  <w:bookmarkEnd w:id="275"/>
                  <w:r>
                    <w:t>. Development sites with grouped well permits (gray) and the Marcellus shale play</w:t>
                  </w:r>
                  <w:bookmarkEnd w:id="276"/>
                </w:p>
                <w:p w:rsidR="006A45E8" w:rsidRDefault="006A45E8" w:rsidP="004C4795">
                  <w:pPr>
                    <w:pStyle w:val="Caption"/>
                  </w:pPr>
                  <w:r>
                    <w:t xml:space="preserve"> (</w:t>
                  </w:r>
                  <w:proofErr w:type="gramStart"/>
                  <w:r>
                    <w:t>beige</w:t>
                  </w:r>
                  <w:proofErr w:type="gramEnd"/>
                  <w:r>
                    <w:t>). Sites were derived by overlaying production units on existing well permits and taking contiguous land parcels under those production units by a single operator. Of the 84 candidate sites (green polygons), 56 (black outlines) were analyzed after transformation of Impact Scores.</w:t>
                  </w:r>
                </w:p>
                <w:p w:rsidR="006A45E8" w:rsidRDefault="006A45E8" w:rsidP="004C4795"/>
              </w:txbxContent>
            </v:textbox>
            <w10:wrap type="none" anchorx="margin" anchory="margin"/>
            <w10:anchorlock/>
          </v:shape>
        </w:pict>
      </w:r>
    </w:p>
    <w:p w:rsidR="00147756" w:rsidRDefault="005B0E55" w:rsidP="00147756">
      <w:pPr>
        <w:rPr>
          <w:rFonts w:eastAsiaTheme="minorEastAsia"/>
        </w:rPr>
      </w:pPr>
      <w:r w:rsidRPr="006A520E">
        <w:rPr>
          <w:rFonts w:eastAsiaTheme="minorEastAsia"/>
        </w:rPr>
        <w:lastRenderedPageBreak/>
        <w:t xml:space="preserve">estimates of the total amount of gas in a well that agree with other findings </w:t>
      </w:r>
      <w:r w:rsidRPr="006A520E">
        <w:rPr>
          <w:rFonts w:eastAsiaTheme="minorEastAsia"/>
        </w:rPr>
        <w:fldChar w:fldCharType="begin" w:fldLock="1"/>
      </w:r>
      <w:r>
        <w:rPr>
          <w:rFonts w:eastAsiaTheme="minorEastAsia"/>
        </w:rPr>
        <w:instrText>ADDIN CSL_CITATION { "citationItems" : [ { "id" : "ITEM-1", "itemData" : { "DOI" : "10.1111/jiec.12040", "ISSN" : "1530-9290", "abstract" : "An analysis of the energy return on investment (EROI) of natural gas obtained from horizontal, hydraulically fractured wells in the Marcellus Shale was conducted using net external energy ratio methodology and available data and estimates of energy inputs and outputs. Used as sources of input data were estimates of carbon dioxide and nitrogen oxides emitted from the gas extraction processes, as well as fuel-use reports from industry and other sources. Estimates of quantities of materials used and the associated embodied energy as well as other energy-using steps were also developed from available data. Total input energy was compared with the energy expected to be made available to end users of the natural gas produced from a typical Marcellus well. The analysis indicates that the EROI of a typical well is likely between 64:1 and 112:1, with a mean of approximately 85:1. This range assumes an estimated ultimate recovery (EUR) of 3.0 billion cubic feet (Bcf) per well. EROI values are directly proportionate to EUR values. If the EUR is greater or lesser than 3 Bcf, the EROI would be proportionately higher or lower. EROI is also sensitive to the energy used or embedded in gathering and transmission pipelines and associated infrastructure and energy used for their construction, energy consumed in well drilling and well completion, and energy used for wastewater treatment.", "author" : [ { "dropping-particle" : "", "family" : "Aucott", "given" : "Michael L", "non-dropping-particle" : "", "parse-names" : false, "suffix" : "" }, { "dropping-particle" : "", "family" : "Melillo", "given" : "Jacqueline M", "non-dropping-particle" : "", "parse-names" : false, "suffix" : "" } ], "container-title" : "Journal of Industrial Ecology", "id" : "ITEM-1", "issue" : "5", "issued" : { "date-parts" : [ [ "2013" ] ] }, "page" : "668-679", "title" : "A Preliminary Energy Return on Investment Analysis of Natural Gas from the Marcellus Shale", "type" : "article-journal", "volume" : "17" }, "uris" : [ "http://www.mendeley.com/documents/?uuid=11292220-0f5c-419c-9e7a-381a90c8b02b" ] } ], "mendeley" : { "formattedCitation" : "(Aucott &amp; Melillo 2013)", "plainTextFormattedCitation" : "(Aucott &amp; Melillo 2013)", "previouslyFormattedCitation" : "(Aucott &amp; Melillo 2013)" }, "properties" : { "noteIndex" : 0 }, "schema" : "https://github.com/citation-style-language/schema/raw/master/csl-citation.json" }</w:instrText>
      </w:r>
      <w:r w:rsidRPr="006A520E">
        <w:rPr>
          <w:rFonts w:eastAsiaTheme="minorEastAsia"/>
        </w:rPr>
        <w:fldChar w:fldCharType="separate"/>
      </w:r>
      <w:r w:rsidRPr="00B32474">
        <w:rPr>
          <w:rFonts w:eastAsiaTheme="minorEastAsia"/>
          <w:noProof/>
        </w:rPr>
        <w:t>(Aucott &amp; Melillo 2013)</w:t>
      </w:r>
      <w:r w:rsidRPr="006A520E">
        <w:rPr>
          <w:rFonts w:eastAsiaTheme="minorEastAsia"/>
        </w:rPr>
        <w:fldChar w:fldCharType="end"/>
      </w:r>
      <w:r w:rsidRPr="006A520E">
        <w:rPr>
          <w:rFonts w:eastAsiaTheme="minorEastAsia"/>
        </w:rPr>
        <w:t>. Further, many wells exhibit linear decreases in flow during the first decade of production</w:t>
      </w:r>
      <w:r>
        <w:rPr>
          <w:rFonts w:eastAsiaTheme="minorEastAsia"/>
        </w:rPr>
        <w:t xml:space="preserve"> </w:t>
      </w:r>
      <w:r>
        <w:rPr>
          <w:rFonts w:eastAsiaTheme="minorEastAsia"/>
        </w:rPr>
        <w:fldChar w:fldCharType="begin" w:fldLock="1"/>
      </w:r>
      <w:r>
        <w:rPr>
          <w:rFonts w:eastAsiaTheme="minorEastAsia"/>
        </w:rPr>
        <w:instrText>ADDIN CSL_CITATION { "citationItems" : [ { "id" : "ITEM-1", "itemData" : { "DOI" : "10.2118/130370-MS", "ISBN" : "978-1-55563-287-8", "abstract" : "Abstract It has often been observed that tight gas wells behave as though they are controlled by transient linear flow. This behavior can be seen as a \"half-slope?? on a type curve and certain reservoir parameters can be evaluated. There can be many causes of linear flow, so the engineer must choose the most likely model for a particular well. Linear flow behavior has also been observed in shale gas wells but these wells tend to exhibit a significant \"skin effect?? that is not so common in tight gas wells. This \"skin effect?? can mask early linear behavior but may be accounted for with a modified equation form which is presented in this paper. Two mathematical models are presented which represent plausible relationships between fractures and matrix rock. Each model can be fit by linear dual porosity solutions. But in either case observed production rates can be represented by transient linear flow out of the matrix since the transient flow in the fracture system dies out in just hours or a few days. Calculation procedures are given which can be used to calculate size of the drainage volume, and the area of the interfaces between the hydraulic fractures and the rock matrix, Acm, and the matrix permeability in some cases. The numerical value of Acm may provide useful information in evaluating a well's completion and stimulation effectiveness. Both the \"skin effect?? and \"drawdown dependence?? are accounted for in the proposed method. Several field examples are presented which show ideal applications of the calculation procedures as well as other cases for which the method does not seem to apply, or at least does not work so well. Some factors that may cause difficulties in analyzing flow behavior are liquid loading, interference with adjacent wells, and fracture patterns that cannot be represented by our idealized model. The proposed method should be thought of as idealized models which may be found to be useful in analyzing production data from shale gas wells in their early life. Other methods may be more useful and more accurate in a well's later life. Introduction Unconventional gas reservoirs constitute a major source of gas production in the United States. Shale gas reservoirs are playing a major rule as they are aggressively developed capitalizing on new technologies, namely horizontal wells with multi-stage fracturing. It has been observed that these wells behave as though they are controlled by transient linear flow. This flow regime could last f\u2026", "author" : [ { "dropping-particle" : "", "family" : "Ahmadi", "given" : "Hasan A", "non-dropping-particle" : "Al", "parse-names" : false, "suffix" : "" }, { "dropping-particle" : "", "family" : "Almarzooq", "given" : "Anas M", "non-dropping-particle" : "", "parse-names" : false, "suffix" : "" }, { "dropping-particle" : "", "family" : "Wattenbarger", "given" : "Robert A", "non-dropping-particle" : "", "parse-names" : false, "suffix" : "" } ], "id" : "ITEM-1", "issued" : { "date-parts" : [ [ "2010" ] ] }, "publisher" : "Society of Petroleum Engineers", "title" : "Application of Linear Flow Analysis to Shale Gas Wells - Field Cases", "type" : "article" }, "uris" : [ "http://www.mendeley.com/documents/?uuid=74a8a871-d4dc-464c-bf04-bc3e58352be3", "http://www.mendeley.com/documents/?uuid=dc2c6df2-635e-4021-99e9-d5a4ce381057" ] }, { "id" : "ITEM-2", "itemData" : { "DOI" : "10.2118/139097-MS", "ISBN" : "978-1-55563-310-3", "abstract" : "Abstract In order to more accurately characterize reservoir and hydraulic fracture properties from well performance, a workflow has been developed that effectively integrates variable quality data from a variety of sources. This workflow applies analytical techniques designed specifically for shale gas wells followed by as-needed numerical modeling. The analytical techniques can be applied to multiple wells through time to: a) identify groupings of like-performing wells, b) detect wells with anomalous behaviors, c) develop hypotheses about production mechanisms, and d) choose specific wells for more detailed analysis and numerical modeling. Numerical modeling provides the functionality needed for complex mechanism forensics, performance forecasting, and completion optimization studies. Conventional numerical models typically use finite-difference grids, but these are neither sufficiently complex nor sufficiently flexible for shale gas reservoirs. For this reason, a finite-element modeling technology has been applied that places a large number of closely-spaced nodes near hydraulic fractures, \"where all the action takes place?? in the early life of a well. The finite-element technique also allows complex fracture geometries to be modeled. This workflow, incorporating analytical and numerical solutions, has been applied to multiple shale gas projects, including industry consortia in the Haynesville (US) and Montney (Canada) shales and individual operator projects in the Woodford (US), Horn River (Canada), and Marcellus (US) shales. Through the application of these techniques, fracture and reservoir properties have been characterized and uncertainty associated with forecasted well performance has been reduced. This work has profound implications for quantifying gas reserves, understanding those factors responsible for variations in well performance, and for optimizing well spacing, lateral lengths, and completion techniques. Introduction Gas rates from shale gas wells are comparable to those of conventional wells as a result of rapidly-evolving horizontal drilling and well stimulation technologies. However, an understanding of the factors controlling production rates and recoveries lags behind the knowledge derived from decades of gas production from conventional reservoirs. Some of the specific difficulties in characterizing shale gas production include: \u2022 An inability to distinguish between hydraulic fracture and reservoir contributions from limited prod\u2026", "author" : [ { "dropping-particle" : "", "family" : "Miller", "given" : "Mark A", "non-dropping-particle" : "", "parse-names" : false, "suffix" : "" }, { "dropping-particle" : "", "family" : "Jenkins", "given" : "Creties David", "non-dropping-particle" : "", "parse-names" : false, "suffix" : "" }, { "dropping-particle" : "", "family" : "Rai", "given" : "Rakesh Roshan", "non-dropping-particle" : "", "parse-names" : false, "suffix" : "" } ], "id" : "ITEM-2", "issued" : { "date-parts" : [ [ "2010" ] ] }, "publisher" : "Society of Petroleum Engineers", "title" : "Applying Innovative Production Modeling Techniques to Quantify Fracture Characteristics, Reservoir Properties, and Well Performance in Shale Gas Reservoirs", "type" : "article" }, "uris" : [ "http://www.mendeley.com/documents/?uuid=6494cd5a-9e44-4e26-a434-bfb88f1cff74", "http://www.mendeley.com/documents/?uuid=e3fa173f-7582-4a39-9821-db6f2ea98d7f", "http://www.mendeley.com/documents/?uuid=fdb06476-d1de-4b0c-98bb-8dcdfc55bd4b" ] } ], "mendeley" : { "formattedCitation" : "(Al Ahmadi, Almarzooq &amp; Wattenbarger 2010; Miller, Jenkins &amp; Rai 2010)", "plainTextFormattedCitation" : "(Al Ahmadi, Almarzooq &amp; Wattenbarger 2010; Miller, Jenkins &amp; Rai 2010)", "previouslyFormattedCitation" : "(Al Ahmadi, Almarzooq &amp; Wattenbarger 2010; Miller, Jenkins &amp; Rai 2010)" }, "properties" : { "noteIndex" : 0 }, "schema" : "https://github.com/citation-style-language/schema/raw/master/csl-citation.json" }</w:instrText>
      </w:r>
      <w:r>
        <w:rPr>
          <w:rFonts w:eastAsiaTheme="minorEastAsia"/>
        </w:rPr>
        <w:fldChar w:fldCharType="separate"/>
      </w:r>
      <w:r w:rsidRPr="00B32474">
        <w:rPr>
          <w:rFonts w:eastAsiaTheme="minorEastAsia"/>
          <w:noProof/>
        </w:rPr>
        <w:t>(Al Ahmadi, Almarzooq &amp; Wattenbarger 2010; Miller, Jenkins &amp; Rai 2010)</w:t>
      </w:r>
      <w:r>
        <w:rPr>
          <w:rFonts w:eastAsiaTheme="minorEastAsia"/>
        </w:rPr>
        <w:fldChar w:fldCharType="end"/>
      </w:r>
      <w:r w:rsidRPr="006A520E">
        <w:rPr>
          <w:rFonts w:eastAsiaTheme="minorEastAsia"/>
        </w:rPr>
        <w:t xml:space="preserve">. The simplest alternative is the exponential decay curve, but using this gave estimates of the total amount of gas in a well three orders of magnitude above </w:t>
      </w:r>
      <w:r w:rsidRPr="006A520E">
        <w:rPr>
          <w:rFonts w:eastAsiaTheme="minorEastAsia"/>
        </w:rPr>
        <w:fldChar w:fldCharType="begin" w:fldLock="1"/>
      </w:r>
      <w:r>
        <w:rPr>
          <w:rFonts w:eastAsiaTheme="minorEastAsia"/>
        </w:rPr>
        <w:instrText>ADDIN CSL_CITATION { "citationItems" : [ { "id" : "ITEM-1", "itemData" : { "DOI" : "10.1111/jiec.12040", "ISSN" : "1530-9290", "abstract" : "An analysis of the energy return on investment (EROI) of natural gas obtained from horizontal, hydraulically fractured wells in the Marcellus Shale was conducted using net external energy ratio methodology and available data and estimates of energy inputs and outputs. Used as sources of input data were estimates of carbon dioxide and nitrogen oxides emitted from the gas extraction processes, as well as fuel-use reports from industry and other sources. Estimates of quantities of materials used and the associated embodied energy as well as other energy-using steps were also developed from available data. Total input energy was compared with the energy expected to be made available to end users of the natural gas produced from a typical Marcellus well. The analysis indicates that the EROI of a typical well is likely between 64:1 and 112:1, with a mean of approximately 85:1. This range assumes an estimated ultimate recovery (EUR) of 3.0 billion cubic feet (Bcf) per well. EROI values are directly proportionate to EUR values. If the EUR is greater or lesser than 3 Bcf, the EROI would be proportionately higher or lower. EROI is also sensitive to the energy used or embedded in gathering and transmission pipelines and associated infrastructure and energy used for their construction, energy consumed in well drilling and well completion, and energy used for wastewater treatment.", "author" : [ { "dropping-particle" : "", "family" : "Aucott", "given" : "Michael L", "non-dropping-particle" : "", "parse-names" : false, "suffix" : "" }, { "dropping-particle" : "", "family" : "Melillo", "given" : "Jacqueline M", "non-dropping-particle" : "", "parse-names" : false, "suffix" : "" } ], "container-title" : "Journal of Industrial Ecology", "id" : "ITEM-1", "issue" : "5", "issued" : { "date-parts" : [ [ "2013" ] ] }, "page" : "668-679", "title" : "A Preliminary Energy Return on Investment Analysis of Natural Gas from the Marcellus Shale", "type" : "article-journal", "volume" : "17" }, "uris" : [ "http://www.mendeley.com/documents/?uuid=11292220-0f5c-419c-9e7a-381a90c8b02b" ] } ], "mendeley" : { "formattedCitation" : "(Aucott &amp; Melillo 2013)", "plainTextFormattedCitation" : "(Aucott &amp; Melillo 2013)", "previouslyFormattedCitation" : "(Aucott &amp; Melillo 2013)" }, "properties" : { "noteIndex" : 0 }, "schema" : "https://github.com/citation-style-language/schema/raw/master/csl-citation.json" }</w:instrText>
      </w:r>
      <w:r w:rsidRPr="006A520E">
        <w:rPr>
          <w:rFonts w:eastAsiaTheme="minorEastAsia"/>
        </w:rPr>
        <w:fldChar w:fldCharType="separate"/>
      </w:r>
      <w:r w:rsidRPr="00B32474">
        <w:rPr>
          <w:rFonts w:eastAsiaTheme="minorEastAsia"/>
          <w:noProof/>
        </w:rPr>
        <w:t>(Aucott &amp; Melillo 2013)</w:t>
      </w:r>
      <w:r w:rsidRPr="006A520E">
        <w:rPr>
          <w:rFonts w:eastAsiaTheme="minorEastAsia"/>
        </w:rPr>
        <w:fldChar w:fldCharType="end"/>
      </w:r>
      <w:r w:rsidRPr="006A520E">
        <w:rPr>
          <w:rFonts w:eastAsiaTheme="minorEastAsia"/>
        </w:rPr>
        <w:t>.</w:t>
      </w:r>
    </w:p>
    <w:p w:rsidR="00147756" w:rsidRPr="006A520E" w:rsidRDefault="00147756" w:rsidP="00147756">
      <w:pPr>
        <w:ind w:firstLine="720"/>
        <w:rPr>
          <w:rFonts w:eastAsiaTheme="minorEastAsia"/>
        </w:rPr>
      </w:pPr>
      <w:r w:rsidRPr="006A520E">
        <w:rPr>
          <w:rFonts w:eastAsiaTheme="minorEastAsia"/>
        </w:rPr>
        <w:t xml:space="preserve">The value of gas at a particular time is </w:t>
      </w:r>
      <w:proofErr w:type="gramStart"/>
      <w:r w:rsidRPr="006A520E">
        <w:rPr>
          <w:rFonts w:eastAsiaTheme="minorEastAsia"/>
        </w:rPr>
        <w:t xml:space="preserve">just </w:t>
      </w:r>
      <m:oMath>
        <w:proofErr w:type="gramEnd"/>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gas</m:t>
            </m:r>
          </m:sub>
        </m:sSub>
        <m:r>
          <w:rPr>
            <w:rFonts w:ascii="Cambria Math" w:eastAsiaTheme="minorEastAsia" w:hAnsi="Cambria Math"/>
          </w:rPr>
          <m:t>q</m:t>
        </m:r>
        <m:d>
          <m:dPr>
            <m:ctrlPr>
              <w:rPr>
                <w:rFonts w:ascii="Cambria Math" w:eastAsiaTheme="minorEastAsia" w:hAnsi="Cambria Math"/>
                <w:i/>
              </w:rPr>
            </m:ctrlPr>
          </m:dPr>
          <m:e>
            <m:r>
              <w:rPr>
                <w:rFonts w:ascii="Cambria Math" w:eastAsiaTheme="minorEastAsia" w:hAnsi="Cambria Math"/>
              </w:rPr>
              <m:t>t</m:t>
            </m:r>
          </m:e>
        </m:d>
      </m:oMath>
      <w:r w:rsidRPr="006A520E">
        <w:rPr>
          <w:rFonts w:eastAsiaTheme="minorEastAsia"/>
        </w:rPr>
        <w:t xml:space="preserve">, where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gas</m:t>
            </m:r>
          </m:sub>
        </m:sSub>
      </m:oMath>
      <w:r w:rsidRPr="006A520E">
        <w:rPr>
          <w:rFonts w:eastAsiaTheme="minorEastAsia"/>
        </w:rPr>
        <w:t xml:space="preserve"> is the price of gas.</w:t>
      </w:r>
      <w:r w:rsidRPr="006A520E">
        <w:rPr>
          <w:rFonts w:eastAsiaTheme="minorEastAsia"/>
          <w:b/>
        </w:rPr>
        <w:t xml:space="preserve"> </w:t>
      </w:r>
      <w:r w:rsidRPr="006A520E">
        <w:rPr>
          <w:rFonts w:eastAsiaTheme="minorEastAsia"/>
        </w:rPr>
        <w:t>The present value of gas from all wells in a site (assuming all wells begin production at the same time) is given by</w:t>
      </w:r>
    </w:p>
    <w:p w:rsidR="00147756" w:rsidRPr="006A520E" w:rsidRDefault="00F01773" w:rsidP="00147756">
      <w:pPr>
        <w:spacing w:before="240" w:after="240"/>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nary>
            <m:naryPr>
              <m:limLoc m:val="undOvr"/>
              <m:ctrlPr>
                <w:rPr>
                  <w:rFonts w:ascii="Cambria Math" w:eastAsiaTheme="minorEastAsia" w:hAnsi="Cambria Math"/>
                  <w:i/>
                </w:rPr>
              </m:ctrlPr>
            </m:naryPr>
            <m:sub>
              <m:r>
                <w:rPr>
                  <w:rFonts w:ascii="Cambria Math" w:eastAsiaTheme="minorEastAsia" w:hAnsi="Cambria Math"/>
                </w:rPr>
                <m:t>t</m:t>
              </m:r>
              <m:r>
                <w:rPr>
                  <w:rFonts w:ascii="Cambria Math" w:eastAsiaTheme="minorEastAsia"/>
                </w:rPr>
                <m:t>=0</m:t>
              </m:r>
            </m:sub>
            <m:sup>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rPr>
                    <m:t>0</m:t>
                  </m:r>
                </m:sub>
              </m:sSub>
              <m:r>
                <w:rPr>
                  <w:rFonts w:ascii="Cambria Math" w:eastAsiaTheme="minorEastAsia"/>
                </w:rPr>
                <m:t>/</m:t>
              </m:r>
              <m:r>
                <w:rPr>
                  <w:rFonts w:ascii="Cambria Math" w:eastAsiaTheme="minorEastAsia" w:hAnsi="Cambria Math"/>
                </w:rPr>
                <m:t>λ</m:t>
              </m:r>
            </m:sup>
            <m:e>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rPr>
                        <m:t>1+</m:t>
                      </m:r>
                      <m:r>
                        <w:rPr>
                          <w:rFonts w:ascii="Cambria Math" w:eastAsiaTheme="minorEastAsia" w:hAnsi="Cambria Math"/>
                        </w:rPr>
                        <m:t>d</m:t>
                      </m:r>
                    </m:e>
                  </m:d>
                </m:e>
                <m:sup>
                  <m:r>
                    <w:rPr>
                      <w:rFonts w:ascii="Cambria Math" w:eastAsiaTheme="minorEastAsia" w:hAnsi="Cambria Math"/>
                    </w:rPr>
                    <m:t>-t</m:t>
                  </m:r>
                </m:sup>
              </m:sSup>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gas</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rPr>
                        <m:t>0</m:t>
                      </m:r>
                    </m:sub>
                  </m:sSub>
                  <m:r>
                    <w:rPr>
                      <w:rFonts w:ascii="Cambria Math" w:eastAsiaTheme="minorEastAsia" w:hAnsi="Cambria Math"/>
                    </w:rPr>
                    <m:t>-λt</m:t>
                  </m:r>
                </m:e>
              </m:d>
            </m:e>
          </m:nary>
        </m:oMath>
      </m:oMathPara>
    </w:p>
    <w:p w:rsidR="00147756" w:rsidRPr="006A520E" w:rsidRDefault="00147756" w:rsidP="00147756">
      <w:pPr>
        <w:rPr>
          <w:rFonts w:eastAsiaTheme="minorEastAsia"/>
        </w:rPr>
      </w:pPr>
      <w:r w:rsidRPr="006A520E">
        <w:rPr>
          <w:rFonts w:eastAsiaTheme="minorEastAsia"/>
        </w:rPr>
        <w:t xml:space="preserve">The integral goes to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rPr>
              <m:t>0</m:t>
            </m:r>
          </m:sub>
        </m:sSub>
        <m:r>
          <w:rPr>
            <w:rFonts w:ascii="Cambria Math" w:eastAsiaTheme="minorEastAsia"/>
          </w:rPr>
          <m:t>/</m:t>
        </m:r>
        <m:r>
          <w:rPr>
            <w:rFonts w:ascii="Cambria Math" w:eastAsiaTheme="minorEastAsia" w:hAnsi="Cambria Math"/>
          </w:rPr>
          <m:t>λ</m:t>
        </m:r>
      </m:oMath>
      <w:r w:rsidRPr="006A520E">
        <w:rPr>
          <w:rFonts w:eastAsiaTheme="minorEastAsia"/>
        </w:rPr>
        <w:t xml:space="preserve"> since this is the point at </w:t>
      </w:r>
      <w:proofErr w:type="gramStart"/>
      <w:r w:rsidRPr="006A520E">
        <w:rPr>
          <w:rFonts w:eastAsiaTheme="minorEastAsia"/>
        </w:rPr>
        <w:t xml:space="preserve">which </w:t>
      </w:r>
      <m:oMath>
        <w:proofErr w:type="gramEnd"/>
        <m:r>
          <w:rPr>
            <w:rFonts w:ascii="Cambria Math" w:eastAsiaTheme="minorEastAsia" w:hAnsi="Cambria Math"/>
          </w:rPr>
          <m:t>q</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rPr>
          <m:t>=0</m:t>
        </m:r>
      </m:oMath>
      <w:r w:rsidRPr="006A520E">
        <w:rPr>
          <w:rFonts w:eastAsiaTheme="minorEastAsia"/>
        </w:rPr>
        <w:t xml:space="preserve">, where the estimate of gas flow breaks down.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20"/>
        <w:gridCol w:w="7200"/>
        <w:gridCol w:w="720"/>
      </w:tblGrid>
      <w:tr w:rsidR="00147756" w:rsidRPr="006A520E" w:rsidTr="002622D4">
        <w:tc>
          <w:tcPr>
            <w:tcW w:w="720" w:type="dxa"/>
            <w:vAlign w:val="center"/>
          </w:tcPr>
          <w:p w:rsidR="00147756" w:rsidRPr="006A520E" w:rsidRDefault="00147756" w:rsidP="00147756">
            <w:pPr>
              <w:rPr>
                <w:rFonts w:eastAsiaTheme="minorEastAsia"/>
              </w:rPr>
            </w:pPr>
          </w:p>
        </w:tc>
        <w:tc>
          <w:tcPr>
            <w:tcW w:w="7200" w:type="dxa"/>
            <w:vAlign w:val="center"/>
          </w:tcPr>
          <w:p w:rsidR="00147756" w:rsidRPr="006A520E" w:rsidRDefault="00F01773" w:rsidP="00147756">
            <w:pPr>
              <w:spacing w:before="240" w:after="240"/>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r>
                  <w:rPr>
                    <w:rFonts w:ascii="Cambria Math" w:eastAsiaTheme="minorEastAsia"/>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gas</m:t>
                        </m:r>
                      </m:sub>
                    </m:sSub>
                  </m:num>
                  <m:den>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rPr>
                              <m:t>ln</m:t>
                            </m:r>
                          </m:e>
                          <m:sup>
                            <m:r>
                              <w:rPr>
                                <w:rFonts w:ascii="Cambria Math" w:eastAsiaTheme="minorEastAsia"/>
                              </w:rPr>
                              <m:t>2</m:t>
                            </m:r>
                            <m:ctrlPr>
                              <w:rPr>
                                <w:rFonts w:ascii="Cambria Math" w:eastAsiaTheme="minorEastAsia" w:hAnsi="Cambria Math"/>
                              </w:rPr>
                            </m:ctrlPr>
                          </m:sup>
                        </m:sSup>
                      </m:fName>
                      <m:e>
                        <m:d>
                          <m:dPr>
                            <m:ctrlPr>
                              <w:rPr>
                                <w:rFonts w:ascii="Cambria Math" w:eastAsiaTheme="minorEastAsia" w:hAnsi="Cambria Math"/>
                                <w:i/>
                              </w:rPr>
                            </m:ctrlPr>
                          </m:dPr>
                          <m:e>
                            <m:r>
                              <w:rPr>
                                <w:rFonts w:ascii="Cambria Math" w:eastAsiaTheme="minorEastAsia" w:hAnsi="Cambria Math"/>
                              </w:rPr>
                              <m:t>d</m:t>
                            </m:r>
                            <m:r>
                              <w:rPr>
                                <w:rFonts w:ascii="Cambria Math" w:eastAsiaTheme="minorEastAsia"/>
                              </w:rPr>
                              <m:t>+1</m:t>
                            </m:r>
                          </m:e>
                        </m:d>
                      </m:e>
                    </m:func>
                  </m:den>
                </m:f>
                <m:d>
                  <m:dPr>
                    <m:begChr m:val="["/>
                    <m:endChr m:val="]"/>
                    <m:ctrlPr>
                      <w:rPr>
                        <w:rFonts w:ascii="Cambria Math" w:eastAsiaTheme="minorEastAsia" w:hAnsi="Cambria Math"/>
                        <w:i/>
                      </w:rPr>
                    </m:ctrlPr>
                  </m:dPr>
                  <m:e>
                    <m:r>
                      <w:rPr>
                        <w:rFonts w:ascii="Cambria Math" w:eastAsiaTheme="minorEastAsia" w:hAnsi="Cambria Math"/>
                      </w:rPr>
                      <m:t>λ</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d</m:t>
                            </m:r>
                            <m:r>
                              <w:rPr>
                                <w:rFonts w:ascii="Cambria Math" w:eastAsiaTheme="minorEastAsia"/>
                              </w:rPr>
                              <m:t>+1</m:t>
                            </m:r>
                          </m:e>
                        </m:d>
                      </m:e>
                      <m:sup>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rPr>
                                  <m:t>0</m:t>
                                </m:r>
                              </m:sub>
                            </m:sSub>
                          </m:num>
                          <m:den>
                            <m:r>
                              <w:rPr>
                                <w:rFonts w:ascii="Cambria Math" w:eastAsiaTheme="minorEastAsia" w:hAnsi="Cambria Math"/>
                              </w:rPr>
                              <m:t>λ</m:t>
                            </m:r>
                          </m:den>
                        </m:f>
                      </m:sup>
                    </m:sSup>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rPr>
                          <m:t>0</m:t>
                        </m:r>
                      </m:sub>
                    </m:sSub>
                    <m:func>
                      <m:funcPr>
                        <m:ctrlPr>
                          <w:rPr>
                            <w:rFonts w:ascii="Cambria Math" w:eastAsiaTheme="minorEastAsia" w:hAnsi="Cambria Math"/>
                            <w:i/>
                          </w:rPr>
                        </m:ctrlPr>
                      </m:funcPr>
                      <m:fName>
                        <m:r>
                          <m:rPr>
                            <m:sty m:val="p"/>
                          </m:rPr>
                          <w:rPr>
                            <w:rFonts w:ascii="Cambria Math" w:eastAsiaTheme="minorEastAsia"/>
                          </w:rPr>
                          <m:t>ln</m:t>
                        </m:r>
                      </m:fName>
                      <m:e>
                        <m:d>
                          <m:dPr>
                            <m:ctrlPr>
                              <w:rPr>
                                <w:rFonts w:ascii="Cambria Math" w:eastAsiaTheme="minorEastAsia" w:hAnsi="Cambria Math"/>
                                <w:i/>
                              </w:rPr>
                            </m:ctrlPr>
                          </m:dPr>
                          <m:e>
                            <m:r>
                              <w:rPr>
                                <w:rFonts w:ascii="Cambria Math" w:eastAsiaTheme="minorEastAsia" w:hAnsi="Cambria Math"/>
                              </w:rPr>
                              <m:t>d</m:t>
                            </m:r>
                            <m:r>
                              <w:rPr>
                                <w:rFonts w:ascii="Cambria Math" w:eastAsiaTheme="minorEastAsia"/>
                              </w:rPr>
                              <m:t>+1</m:t>
                            </m:r>
                          </m:e>
                        </m:d>
                      </m:e>
                    </m:func>
                    <m:r>
                      <w:rPr>
                        <w:rFonts w:ascii="Cambria Math" w:eastAsiaTheme="minorEastAsia" w:hAnsi="Cambria Math"/>
                      </w:rPr>
                      <m:t>-λ</m:t>
                    </m:r>
                  </m:e>
                </m:d>
              </m:oMath>
            </m:oMathPara>
          </w:p>
        </w:tc>
        <w:tc>
          <w:tcPr>
            <w:tcW w:w="720" w:type="dxa"/>
            <w:vAlign w:val="center"/>
          </w:tcPr>
          <w:p w:rsidR="00147756" w:rsidRPr="006A520E" w:rsidRDefault="00147756" w:rsidP="00147756">
            <w:r w:rsidRPr="006A520E">
              <w:t xml:space="preserve">( </w:t>
            </w:r>
            <w:r w:rsidR="00F01773" w:rsidRPr="006A520E">
              <w:fldChar w:fldCharType="begin"/>
            </w:r>
            <w:r w:rsidRPr="00C35851">
              <w:instrText xml:space="preserve"> SEQ ( \* ARABIC </w:instrText>
            </w:r>
            <w:r w:rsidR="00F01773" w:rsidRPr="006A520E">
              <w:fldChar w:fldCharType="separate"/>
            </w:r>
            <w:r w:rsidR="00867AA7">
              <w:rPr>
                <w:noProof/>
              </w:rPr>
              <w:t>5</w:t>
            </w:r>
            <w:r w:rsidR="00F01773" w:rsidRPr="006A520E">
              <w:fldChar w:fldCharType="end"/>
            </w:r>
            <w:r w:rsidRPr="006A520E">
              <w:t xml:space="preserve"> )</w:t>
            </w:r>
          </w:p>
        </w:tc>
      </w:tr>
    </w:tbl>
    <w:p w:rsidR="00C03506" w:rsidRDefault="00147756" w:rsidP="00C03506">
      <w:pPr>
        <w:ind w:firstLine="720"/>
        <w:rPr>
          <w:rFonts w:eastAsiaTheme="minorEastAsia"/>
          <w:noProof/>
        </w:rPr>
      </w:pPr>
      <w:r w:rsidRPr="006D471C">
        <w:rPr>
          <w:rFonts w:eastAsiaTheme="minorEastAsia"/>
        </w:rPr>
        <w:t xml:space="preserve">We estimated these values from existing production data in Pennsylvania and our sites from our previous study. We estimate </w:t>
      </w:r>
      <m:oMath>
        <m:sSub>
          <m:sSubPr>
            <m:ctrlPr>
              <w:rPr>
                <w:rFonts w:ascii="Cambria Math" w:eastAsiaTheme="minorEastAsia" w:hAnsi="Cambria Math"/>
              </w:rPr>
            </m:ctrlPr>
          </m:sSubPr>
          <m:e>
            <m:r>
              <w:rPr>
                <w:rFonts w:ascii="Cambria Math" w:eastAsiaTheme="minorEastAsia" w:hAnsi="Cambria Math"/>
              </w:rPr>
              <m:t>q</m:t>
            </m:r>
          </m:e>
          <m:sub>
            <m:r>
              <m:rPr>
                <m:sty m:val="p"/>
              </m:rPr>
              <w:rPr>
                <w:rFonts w:ascii="Cambria Math" w:eastAsiaTheme="minorEastAsia" w:hAnsi="Cambria Math"/>
              </w:rPr>
              <m:t>0</m:t>
            </m:r>
          </m:sub>
        </m:sSub>
      </m:oMath>
      <w:r w:rsidRPr="006D471C">
        <w:rPr>
          <w:rFonts w:eastAsiaTheme="minorEastAsia"/>
        </w:rPr>
        <w:t xml:space="preserve"> and </w:t>
      </w:r>
      <m:oMath>
        <m:r>
          <w:rPr>
            <w:rFonts w:ascii="Cambria Math" w:eastAsiaTheme="minorEastAsia" w:hAnsi="Cambria Math"/>
          </w:rPr>
          <m:t>λ</m:t>
        </m:r>
      </m:oMath>
      <w:r w:rsidRPr="006D471C">
        <w:rPr>
          <w:rFonts w:eastAsiaTheme="minorEastAsia"/>
        </w:rPr>
        <w:t xml:space="preserve"> by fitting Eq. </w:t>
      </w:r>
      <w:r w:rsidR="00F01773">
        <w:fldChar w:fldCharType="begin"/>
      </w:r>
      <w:r w:rsidR="00250983">
        <w:instrText xml:space="preserve"> REF _Ref412044737 \h  \* MERGEFORMAT </w:instrText>
      </w:r>
      <w:r w:rsidR="00F01773">
        <w:fldChar w:fldCharType="separate"/>
      </w:r>
      <w:proofErr w:type="gramStart"/>
      <w:r w:rsidR="00867AA7" w:rsidRPr="006A520E">
        <w:t xml:space="preserve">( </w:t>
      </w:r>
      <w:r w:rsidR="00867AA7">
        <w:t>4</w:t>
      </w:r>
      <w:proofErr w:type="gramEnd"/>
      <w:r w:rsidR="00867AA7" w:rsidRPr="006A520E">
        <w:t xml:space="preserve"> )</w:t>
      </w:r>
      <w:r w:rsidR="00F01773">
        <w:fldChar w:fldCharType="end"/>
      </w:r>
      <w:r w:rsidRPr="006D471C">
        <w:rPr>
          <w:rFonts w:eastAsiaTheme="minorEastAsia"/>
        </w:rPr>
        <w:t xml:space="preserve"> to 827 production time-series across 5 counties in Pennsylvania (taken from </w:t>
      </w:r>
      <w:hyperlink r:id="rId86" w:history="1">
        <w:r w:rsidRPr="006D471C">
          <w:rPr>
            <w:rFonts w:eastAsiaTheme="minorEastAsia"/>
          </w:rPr>
          <w:t>https://www.paoilandgasreporting.state.pa.us/publicreports/Modules/Production/ProductionByCounty.aspx</w:t>
        </w:r>
      </w:hyperlink>
      <w:r w:rsidRPr="006D471C">
        <w:rPr>
          <w:rFonts w:eastAsiaTheme="minorEastAsia"/>
        </w:rPr>
        <w:t xml:space="preserve">). For each well, we estimated </w:t>
      </w:r>
      <m:oMath>
        <m:sSub>
          <m:sSubPr>
            <m:ctrlPr>
              <w:rPr>
                <w:rFonts w:ascii="Cambria Math" w:eastAsiaTheme="minorEastAsia" w:hAnsi="Cambria Math"/>
              </w:rPr>
            </m:ctrlPr>
          </m:sSubPr>
          <m:e>
            <m:r>
              <w:rPr>
                <w:rFonts w:ascii="Cambria Math" w:eastAsiaTheme="minorEastAsia" w:hAnsi="Cambria Math"/>
              </w:rPr>
              <m:t>q</m:t>
            </m:r>
          </m:e>
          <m:sub>
            <m:r>
              <m:rPr>
                <m:sty m:val="p"/>
              </m:rPr>
              <w:rPr>
                <w:rFonts w:ascii="Cambria Math" w:eastAsiaTheme="minorEastAsia" w:hAnsi="Cambria Math"/>
              </w:rPr>
              <m:t>0</m:t>
            </m:r>
          </m:sub>
        </m:sSub>
      </m:oMath>
      <w:r w:rsidRPr="006D471C">
        <w:rPr>
          <w:rFonts w:eastAsiaTheme="minorEastAsia"/>
        </w:rPr>
        <w:t xml:space="preserve"> </w:t>
      </w:r>
      <w:proofErr w:type="gramStart"/>
      <w:r w:rsidRPr="006D471C">
        <w:rPr>
          <w:rFonts w:eastAsiaTheme="minorEastAsia"/>
        </w:rPr>
        <w:t xml:space="preserve">and </w:t>
      </w:r>
      <m:oMath>
        <w:proofErr w:type="gramEnd"/>
        <m:r>
          <w:rPr>
            <w:rFonts w:ascii="Cambria Math" w:eastAsiaTheme="minorEastAsia" w:hAnsi="Cambria Math"/>
          </w:rPr>
          <m:t>λ</m:t>
        </m:r>
      </m:oMath>
      <w:r w:rsidRPr="006D471C">
        <w:rPr>
          <w:rFonts w:eastAsiaTheme="minorEastAsia"/>
        </w:rPr>
        <w:t xml:space="preserve">. If </w:t>
      </w:r>
      <m:oMath>
        <m:r>
          <w:rPr>
            <w:rFonts w:ascii="Cambria Math" w:eastAsiaTheme="minorEastAsia" w:hAnsi="Cambria Math"/>
          </w:rPr>
          <m:t>λ</m:t>
        </m:r>
        <m:r>
          <m:rPr>
            <m:sty m:val="p"/>
          </m:rPr>
          <w:rPr>
            <w:rFonts w:ascii="Cambria Math" w:eastAsiaTheme="minorEastAsia" w:hAnsi="Cambria Math"/>
          </w:rPr>
          <m:t>≥0</m:t>
        </m:r>
      </m:oMath>
      <w:r w:rsidRPr="006D471C">
        <w:rPr>
          <w:rFonts w:eastAsiaTheme="minorEastAsia"/>
        </w:rPr>
        <w:t xml:space="preserve"> or there were less than 5 data points, we discarded the estimate, which reduced our count from 1,801 to 827 wells. We then took the average values across the wells. We found an average </w:t>
      </w:r>
      <m:oMath>
        <m:acc>
          <m:accPr>
            <m:chr m:val="̅"/>
            <m:ctrlPr>
              <w:rPr>
                <w:rFonts w:ascii="Cambria Math" w:eastAsiaTheme="minorEastAsia" w:hAnsi="Cambria Math"/>
              </w:rPr>
            </m:ctrlPr>
          </m:accPr>
          <m:e>
            <m:sSub>
              <m:sSubPr>
                <m:ctrlPr>
                  <w:rPr>
                    <w:rFonts w:ascii="Cambria Math" w:eastAsiaTheme="minorEastAsia" w:hAnsi="Cambria Math"/>
                  </w:rPr>
                </m:ctrlPr>
              </m:sSubPr>
              <m:e>
                <m:r>
                  <w:rPr>
                    <w:rFonts w:ascii="Cambria Math" w:eastAsiaTheme="minorEastAsia" w:hAnsi="Cambria Math"/>
                  </w:rPr>
                  <m:t>q</m:t>
                </m:r>
              </m:e>
              <m:sub>
                <m:r>
                  <m:rPr>
                    <m:sty m:val="p"/>
                  </m:rPr>
                  <w:rPr>
                    <w:rFonts w:ascii="Cambria Math" w:eastAsiaTheme="minorEastAsia" w:hAnsi="Cambria Math"/>
                  </w:rPr>
                  <m:t>0</m:t>
                </m:r>
              </m:sub>
            </m:sSub>
          </m:e>
        </m:acc>
        <m:r>
          <m:rPr>
            <m:sty m:val="p"/>
          </m:rPr>
          <w:rPr>
            <w:rFonts w:ascii="Cambria Math" w:eastAsiaTheme="minorEastAsia" w:hAnsi="Cambria Math"/>
          </w:rPr>
          <m:t>=3647 Mcf∙</m:t>
        </m:r>
        <m:sSup>
          <m:sSupPr>
            <m:ctrlPr>
              <w:rPr>
                <w:rFonts w:ascii="Cambria Math" w:eastAsiaTheme="minorEastAsia" w:hAnsi="Cambria Math"/>
              </w:rPr>
            </m:ctrlPr>
          </m:sSupPr>
          <m:e>
            <m:r>
              <m:rPr>
                <m:sty m:val="p"/>
              </m:rPr>
              <w:rPr>
                <w:rFonts w:ascii="Cambria Math" w:eastAsiaTheme="minorEastAsia" w:hAnsi="Cambria Math"/>
              </w:rPr>
              <m:t>day</m:t>
            </m:r>
          </m:e>
          <m:sup>
            <m:r>
              <m:rPr>
                <m:sty m:val="p"/>
              </m:rPr>
              <w:rPr>
                <w:rFonts w:ascii="Cambria Math" w:eastAsiaTheme="minorEastAsia" w:hAnsi="Cambria Math"/>
              </w:rPr>
              <m:t>-1</m:t>
            </m:r>
          </m:sup>
        </m:sSup>
        <m:r>
          <m:rPr>
            <m:sty m:val="p"/>
          </m:rPr>
          <w:rPr>
            <w:rFonts w:ascii="Cambria Math" w:eastAsiaTheme="minorEastAsia" w:hAnsi="Cambria Math"/>
          </w:rPr>
          <m:t>(</m:t>
        </m:r>
        <m:r>
          <w:rPr>
            <w:rFonts w:ascii="Cambria Math" w:eastAsiaTheme="minorEastAsia" w:hAnsi="Cambria Math"/>
          </w:rPr>
          <m:t>σ</m:t>
        </m:r>
        <m:r>
          <m:rPr>
            <m:sty m:val="p"/>
          </m:rPr>
          <w:rPr>
            <w:rFonts w:ascii="Cambria Math" w:eastAsiaTheme="minorEastAsia" w:hAnsi="Cambria Math"/>
          </w:rPr>
          <m:t>=1952)</m:t>
        </m:r>
      </m:oMath>
      <w:r w:rsidRPr="006D471C">
        <w:rPr>
          <w:rFonts w:eastAsiaTheme="minorEastAsia"/>
        </w:rPr>
        <w:t xml:space="preserve"> </w:t>
      </w:r>
      <w:proofErr w:type="gramStart"/>
      <w:r w:rsidRPr="006D471C">
        <w:rPr>
          <w:rFonts w:eastAsiaTheme="minorEastAsia"/>
        </w:rPr>
        <w:t xml:space="preserve">and </w:t>
      </w:r>
      <m:oMath>
        <w:proofErr w:type="gramEnd"/>
        <m:acc>
          <m:accPr>
            <m:chr m:val="̅"/>
            <m:ctrlPr>
              <w:rPr>
                <w:rFonts w:ascii="Cambria Math" w:eastAsiaTheme="minorEastAsia" w:hAnsi="Cambria Math"/>
              </w:rPr>
            </m:ctrlPr>
          </m:accPr>
          <m:e>
            <m:r>
              <w:rPr>
                <w:rFonts w:ascii="Cambria Math" w:eastAsiaTheme="minorEastAsia" w:hAnsi="Cambria Math"/>
              </w:rPr>
              <m:t>λ</m:t>
            </m:r>
          </m:e>
        </m:acc>
        <m:r>
          <m:rPr>
            <m:sty m:val="p"/>
          </m:rPr>
          <w:rPr>
            <w:rFonts w:ascii="Cambria Math" w:eastAsiaTheme="minorEastAsia" w:hAnsi="Cambria Math"/>
          </w:rPr>
          <m:t xml:space="preserve">=2.62 Mcf </m:t>
        </m:r>
        <m:sSup>
          <m:sSupPr>
            <m:ctrlPr>
              <w:rPr>
                <w:rFonts w:ascii="Cambria Math" w:eastAsiaTheme="minorEastAsia" w:hAnsi="Cambria Math"/>
              </w:rPr>
            </m:ctrlPr>
          </m:sSupPr>
          <m:e>
            <m:r>
              <m:rPr>
                <m:sty m:val="p"/>
              </m:rPr>
              <w:rPr>
                <w:rFonts w:ascii="Cambria Math" w:eastAsiaTheme="minorEastAsia" w:hAnsi="Cambria Math"/>
              </w:rPr>
              <m:t>day</m:t>
            </m:r>
          </m:e>
          <m:sup>
            <m:r>
              <m:rPr>
                <m:sty m:val="p"/>
              </m:rPr>
              <w:rPr>
                <w:rFonts w:ascii="Cambria Math" w:eastAsiaTheme="minorEastAsia" w:hAnsi="Cambria Math"/>
              </w:rPr>
              <m:t>-2</m:t>
            </m:r>
          </m:sup>
        </m:sSup>
        <m:r>
          <m:rPr>
            <m:sty m:val="p"/>
          </m:rPr>
          <w:rPr>
            <w:rFonts w:ascii="Cambria Math" w:eastAsiaTheme="minorEastAsia" w:hAnsi="Cambria Math"/>
          </w:rPr>
          <m:t xml:space="preserve"> (</m:t>
        </m:r>
        <m:r>
          <w:rPr>
            <w:rFonts w:ascii="Cambria Math" w:eastAsiaTheme="minorEastAsia" w:hAnsi="Cambria Math"/>
          </w:rPr>
          <m:t>σ</m:t>
        </m:r>
        <m:r>
          <m:rPr>
            <m:sty m:val="p"/>
          </m:rPr>
          <w:rPr>
            <w:rFonts w:ascii="Cambria Math" w:eastAsiaTheme="minorEastAsia" w:hAnsi="Cambria Math"/>
          </w:rPr>
          <m:t>=1.70)</m:t>
        </m:r>
      </m:oMath>
      <w:r w:rsidRPr="006D471C">
        <w:rPr>
          <w:rFonts w:eastAsiaTheme="minorEastAsia"/>
        </w:rPr>
        <w:t xml:space="preserve">. For the price of gas we used </w:t>
      </w:r>
      <w:r w:rsidRPr="006D471C">
        <w:t xml:space="preserve">4.5465 </w:t>
      </w:r>
      <w:r w:rsidRPr="006D471C">
        <w:rPr>
          <w:rFonts w:eastAsiaTheme="minorEastAsia"/>
        </w:rPr>
        <w:t>USD per 1000 ft3 - the average wellhead price reported between 2008 and 2012 (most recent year) from the EIA, which is the period over which development we study took place (</w:t>
      </w:r>
      <w:hyperlink r:id="rId87" w:history="1">
        <w:r w:rsidRPr="006D471C">
          <w:rPr>
            <w:rFonts w:eastAsiaTheme="minorEastAsia"/>
          </w:rPr>
          <w:t>http://www.eia.gov/dnav/ng/ng_pri_sum_dcu_nus_m.htm</w:t>
        </w:r>
      </w:hyperlink>
      <w:r w:rsidRPr="006D471C">
        <w:rPr>
          <w:rFonts w:eastAsiaTheme="minorEastAsia"/>
        </w:rPr>
        <w:t xml:space="preserve">). These data from the EIA are at the national level but do not include Pennsylvania. We used a discount rate </w:t>
      </w:r>
      <w:proofErr w:type="gramStart"/>
      <w:r w:rsidRPr="006D471C">
        <w:rPr>
          <w:rFonts w:eastAsiaTheme="minorEastAsia"/>
        </w:rPr>
        <w:t xml:space="preserve">of </w:t>
      </w:r>
      <m:oMath>
        <w:proofErr w:type="gramEnd"/>
        <m:r>
          <w:rPr>
            <w:rFonts w:ascii="Cambria Math" w:eastAsiaTheme="minorEastAsia" w:hAnsi="Cambria Math"/>
          </w:rPr>
          <m:t>d</m:t>
        </m:r>
        <m:r>
          <m:rPr>
            <m:sty m:val="p"/>
          </m:rPr>
          <w:rPr>
            <w:rFonts w:ascii="Cambria Math" w:eastAsiaTheme="minorEastAsia" w:hAnsi="Cambria Math"/>
          </w:rPr>
          <m:t xml:space="preserve">=0.05 </m:t>
        </m:r>
        <m:sSup>
          <m:sSupPr>
            <m:ctrlPr>
              <w:rPr>
                <w:rFonts w:ascii="Cambria Math" w:eastAsiaTheme="minorEastAsia" w:hAnsi="Cambria Math"/>
              </w:rPr>
            </m:ctrlPr>
          </m:sSupPr>
          <m:e>
            <m:r>
              <m:rPr>
                <m:sty m:val="p"/>
              </m:rPr>
              <w:rPr>
                <w:rFonts w:ascii="Cambria Math" w:eastAsiaTheme="minorEastAsia" w:hAnsi="Cambria Math"/>
              </w:rPr>
              <m:t>yr</m:t>
            </m:r>
          </m:e>
          <m:sup>
            <m:r>
              <m:rPr>
                <m:sty m:val="p"/>
              </m:rPr>
              <w:rPr>
                <w:rFonts w:ascii="Cambria Math" w:eastAsiaTheme="minorEastAsia" w:hAnsi="Cambria Math"/>
              </w:rPr>
              <m:t>-1</m:t>
            </m:r>
          </m:sup>
        </m:sSup>
        <m:r>
          <m:rPr>
            <m:sty m:val="p"/>
          </m:rPr>
          <w:rPr>
            <w:rFonts w:ascii="Cambria Math" w:eastAsiaTheme="minorEastAsia" w:hAnsi="Cambria Math"/>
          </w:rPr>
          <m:t xml:space="preserve">=0.00001369863 </m:t>
        </m:r>
        <m:sSup>
          <m:sSupPr>
            <m:ctrlPr>
              <w:rPr>
                <w:rFonts w:ascii="Cambria Math" w:eastAsiaTheme="minorEastAsia" w:hAnsi="Cambria Math"/>
              </w:rPr>
            </m:ctrlPr>
          </m:sSupPr>
          <m:e>
            <m:r>
              <m:rPr>
                <m:sty m:val="p"/>
              </m:rPr>
              <w:rPr>
                <w:rFonts w:ascii="Cambria Math" w:eastAsiaTheme="minorEastAsia" w:hAnsi="Cambria Math"/>
              </w:rPr>
              <m:t>day</m:t>
            </m:r>
          </m:e>
          <m:sup>
            <m:r>
              <m:rPr>
                <m:sty m:val="p"/>
              </m:rPr>
              <w:rPr>
                <w:rFonts w:ascii="Cambria Math" w:eastAsiaTheme="minorEastAsia" w:hAnsi="Cambria Math"/>
              </w:rPr>
              <m:t>-1</m:t>
            </m:r>
          </m:sup>
        </m:sSup>
      </m:oMath>
      <w:r w:rsidRPr="006D471C">
        <w:rPr>
          <w:rFonts w:eastAsiaTheme="minorEastAsia"/>
        </w:rPr>
        <w:t>.</w:t>
      </w:r>
      <w:r w:rsidR="00C03506" w:rsidRPr="00C03506">
        <w:rPr>
          <w:rFonts w:eastAsiaTheme="minorEastAsia"/>
          <w:noProof/>
        </w:rPr>
        <w:t xml:space="preserve"> </w:t>
      </w:r>
    </w:p>
    <w:p w:rsidR="00C03506" w:rsidRDefault="00C03506" w:rsidP="00C03506">
      <w:pPr>
        <w:ind w:firstLine="720"/>
      </w:pPr>
      <w:r w:rsidRPr="006A520E">
        <w:rPr>
          <w:rFonts w:eastAsiaTheme="minorEastAsia"/>
        </w:rPr>
        <w:t>In our previous study we assumed every pad would have six wells, but they varied by the nu</w:t>
      </w:r>
      <w:r>
        <w:rPr>
          <w:rFonts w:eastAsiaTheme="minorEastAsia"/>
        </w:rPr>
        <w:t xml:space="preserve">mber of pads. In </w:t>
      </w:r>
      <w:r>
        <w:rPr>
          <w:rFonts w:eastAsiaTheme="minorEastAsia"/>
        </w:rPr>
        <w:fldChar w:fldCharType="begin"/>
      </w:r>
      <w:r>
        <w:rPr>
          <w:rFonts w:eastAsiaTheme="minorEastAsia"/>
        </w:rPr>
        <w:instrText xml:space="preserve"> REF _Ref417645831 \h </w:instrText>
      </w:r>
      <w:r>
        <w:rPr>
          <w:rFonts w:eastAsiaTheme="minorEastAsia"/>
        </w:rPr>
      </w:r>
      <w:r>
        <w:rPr>
          <w:rFonts w:eastAsiaTheme="minorEastAsia"/>
        </w:rPr>
        <w:fldChar w:fldCharType="separate"/>
      </w:r>
      <w:r>
        <w:t xml:space="preserve">Fig. S </w:t>
      </w:r>
      <w:r>
        <w:rPr>
          <w:noProof/>
        </w:rPr>
        <w:t>4</w:t>
      </w:r>
      <w:r>
        <w:t>.</w:t>
      </w:r>
      <w:r>
        <w:rPr>
          <w:noProof/>
        </w:rPr>
        <w:t>3</w:t>
      </w:r>
      <w:r>
        <w:rPr>
          <w:rFonts w:eastAsiaTheme="minorEastAsia"/>
        </w:rPr>
        <w:fldChar w:fldCharType="end"/>
      </w:r>
      <w:r>
        <w:rPr>
          <w:rFonts w:eastAsiaTheme="minorEastAsia"/>
        </w:rPr>
        <w:t xml:space="preserve"> </w:t>
      </w:r>
      <w:r w:rsidRPr="006A520E">
        <w:rPr>
          <w:rFonts w:eastAsiaTheme="minorEastAsia"/>
        </w:rPr>
        <w:t xml:space="preserve">we show the distribution for the present-value of gas across sites. We calculated a total volume of gas for each well at 1.4 Bcf, which is on the lower end of </w:t>
      </w:r>
      <w:r w:rsidRPr="006A520E">
        <w:rPr>
          <w:rFonts w:eastAsiaTheme="minorEastAsia"/>
        </w:rPr>
        <w:lastRenderedPageBreak/>
        <w:t xml:space="preserve">the best estimates from </w:t>
      </w:r>
      <w:r w:rsidRPr="006A520E">
        <w:rPr>
          <w:rFonts w:eastAsiaTheme="minorEastAsia"/>
        </w:rPr>
        <w:fldChar w:fldCharType="begin" w:fldLock="1"/>
      </w:r>
      <w:r>
        <w:rPr>
          <w:rFonts w:eastAsiaTheme="minorEastAsia"/>
        </w:rPr>
        <w:instrText>ADDIN CSL_CITATION { "citationItems" : [ { "id" : "ITEM-1", "itemData" : { "DOI" : "10.1111/jiec.12040", "ISSN" : "1530-9290", "abstract" : "An analysis of the energy return on investment (EROI) of natural gas obtained from horizontal, hydraulically fractured wells in the Marcellus Shale was conducted using net external energy ratio methodology and available data and estimates of energy inputs and outputs. Used as sources of input data were estimates of carbon dioxide and nitrogen oxides emitted from the gas extraction processes, as well as fuel-use reports from industry and other sources. Estimates of quantities of materials used and the associated embodied energy as well as other energy-using steps were also developed from available data. Total input energy was compared with the energy expected to be made available to end users of the natural gas produced from a typical Marcellus well. The analysis indicates that the EROI of a typical well is likely between 64:1 and 112:1, with a mean of approximately 85:1. This range assumes an estimated ultimate recovery (EUR) of 3.0 billion cubic feet (Bcf) per well. EROI values are directly proportionate to EUR values. If the EUR is greater or lesser than 3 Bcf, the EROI would be proportionately higher or lower. EROI is also sensitive to the energy used or embedded in gathering and transmission pipelines and associated infrastructure and energy used for their construction, energy consumed in well drilling and well completion, and energy used for wastewater treatment.", "author" : [ { "dropping-particle" : "", "family" : "Aucott", "given" : "Michael L", "non-dropping-particle" : "", "parse-names" : false, "suffix" : "" }, { "dropping-particle" : "", "family" : "Melillo", "given" : "Jacqueline M", "non-dropping-particle" : "", "parse-names" : false, "suffix" : "" } ], "container-title" : "Journal of Industrial Ecology", "id" : "ITEM-1", "issue" : "5", "issued" : { "date-parts" : [ [ "2013" ] ] }, "page" : "668-679", "title" : "A Preliminary Energy Return on Investment Analysis of Natural Gas from the Marcellus Shale", "type" : "article-journal", "volume" : "17" }, "uris" : [ "http://www.mendeley.com/documents/?uuid=11292220-0f5c-419c-9e7a-381a90c8b02b" ] } ], "mendeley" : { "formattedCitation" : "(Aucott &amp; Melillo 2013)", "plainTextFormattedCitation" : "(Aucott &amp; Melillo 2013)", "previouslyFormattedCitation" : "(Aucott &amp; Melillo 2013)" }, "properties" : { "noteIndex" : 0 }, "schema" : "https://github.com/citation-style-language/schema/raw/master/csl-citation.json" }</w:instrText>
      </w:r>
      <w:r w:rsidRPr="006A520E">
        <w:rPr>
          <w:rFonts w:eastAsiaTheme="minorEastAsia"/>
        </w:rPr>
        <w:fldChar w:fldCharType="separate"/>
      </w:r>
      <w:r w:rsidRPr="00B32474">
        <w:rPr>
          <w:rFonts w:eastAsiaTheme="minorEastAsia"/>
          <w:noProof/>
        </w:rPr>
        <w:t>(Aucott &amp; Melillo 2013)</w:t>
      </w:r>
      <w:r w:rsidRPr="006A520E">
        <w:rPr>
          <w:rFonts w:eastAsiaTheme="minorEastAsia"/>
        </w:rPr>
        <w:fldChar w:fldCharType="end"/>
      </w:r>
      <w:r w:rsidRPr="006A520E">
        <w:rPr>
          <w:rFonts w:eastAsiaTheme="minorEastAsia"/>
        </w:rPr>
        <w:t>.</w:t>
      </w:r>
      <w:r w:rsidR="00B26A07" w:rsidRPr="00B26A07">
        <w:rPr>
          <w:rFonts w:eastAsiaTheme="minorEastAsia"/>
        </w:rPr>
        <w:t xml:space="preserve"> </w:t>
      </w:r>
      <w:r w:rsidR="00B26A07" w:rsidRPr="00F01773">
        <w:rPr>
          <w:rFonts w:eastAsiaTheme="minorEastAsia"/>
          <w:noProof/>
        </w:rPr>
      </w:r>
      <w:r w:rsidR="00B26A07">
        <w:rPr>
          <w:rFonts w:eastAsiaTheme="minorEastAsia"/>
        </w:rPr>
        <w:pict>
          <v:shape id="_x0000_s1114" type="#_x0000_t202" style="width:6in;height:306pt;mso-position-horizontal-relative:char;mso-position-vertical-relative:line" stroked="f">
            <v:textbox style="mso-next-textbox:#_x0000_s1114">
              <w:txbxContent>
                <w:p w:rsidR="00B26A07" w:rsidRDefault="00B26A07" w:rsidP="00B26A07">
                  <w:pPr>
                    <w:keepNext/>
                    <w:jc w:val="center"/>
                  </w:pPr>
                  <w:r w:rsidRPr="00A931A5">
                    <w:rPr>
                      <w:rFonts w:eastAsiaTheme="minorEastAsia"/>
                      <w:noProof/>
                      <w:szCs w:val="22"/>
                    </w:rPr>
                    <w:drawing>
                      <wp:inline distT="0" distB="0" distL="0" distR="0">
                        <wp:extent cx="4229100" cy="3171825"/>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ent_value_gas"/>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4229478" cy="3172109"/>
                                </a:xfrm>
                                <a:prstGeom prst="rect">
                                  <a:avLst/>
                                </a:prstGeom>
                                <a:noFill/>
                                <a:ln>
                                  <a:noFill/>
                                </a:ln>
                              </pic:spPr>
                            </pic:pic>
                          </a:graphicData>
                        </a:graphic>
                      </wp:inline>
                    </w:drawing>
                  </w:r>
                </w:p>
                <w:p w:rsidR="00B26A07" w:rsidRPr="002B2090" w:rsidRDefault="00B26A07" w:rsidP="00B26A07">
                  <w:pPr>
                    <w:pStyle w:val="Caption"/>
                    <w:rPr>
                      <w:vanish/>
                      <w:lang w:val="en-GB"/>
                      <w:specVanish/>
                    </w:rPr>
                  </w:pPr>
                  <w:bookmarkStart w:id="277" w:name="_Ref417645831"/>
                  <w:bookmarkStart w:id="278" w:name="_Toc421352931"/>
                  <w:bookmarkStart w:id="279" w:name="_Toc417647094"/>
                  <w:proofErr w:type="gramStart"/>
                  <w:r>
                    <w:t xml:space="preserve">Fig. S </w:t>
                  </w:r>
                  <w:fldSimple w:instr=" STYLEREF 1 \s ">
                    <w:r>
                      <w:rPr>
                        <w:noProof/>
                      </w:rPr>
                      <w:t>4</w:t>
                    </w:r>
                  </w:fldSimple>
                  <w:r>
                    <w:t>.</w:t>
                  </w:r>
                  <w:proofErr w:type="gramEnd"/>
                  <w:fldSimple w:instr=" SEQ Fig._S \* ARABIC \s 1 ">
                    <w:r>
                      <w:rPr>
                        <w:noProof/>
                      </w:rPr>
                      <w:t>3</w:t>
                    </w:r>
                  </w:fldSimple>
                  <w:bookmarkEnd w:id="277"/>
                  <w:r>
                    <w:t>. Distribution of gas values across our 56 study sites</w:t>
                  </w:r>
                  <w:bookmarkEnd w:id="278"/>
                </w:p>
                <w:p w:rsidR="00B26A07" w:rsidRDefault="00B26A07" w:rsidP="00B26A07">
                  <w:pPr>
                    <w:pStyle w:val="Caption"/>
                    <w:jc w:val="center"/>
                    <w:rPr>
                      <w:rFonts w:ascii="Times New Roman" w:eastAsiaTheme="minorEastAsia" w:hAnsi="Times New Roman" w:cs="Times New Roman"/>
                      <w:sz w:val="24"/>
                    </w:rPr>
                  </w:pPr>
                  <w:r>
                    <w:t>.</w:t>
                  </w:r>
                  <w:bookmarkEnd w:id="279"/>
                </w:p>
                <w:p w:rsidR="00B26A07" w:rsidRDefault="00B26A07" w:rsidP="00B26A07"/>
              </w:txbxContent>
            </v:textbox>
            <w10:wrap type="none" anchorx="margin" anchory="margin"/>
            <w10:anchorlock/>
          </v:shape>
        </w:pict>
      </w:r>
    </w:p>
    <w:p w:rsidR="00147756" w:rsidRPr="006A520E" w:rsidRDefault="00147756" w:rsidP="00147756"/>
    <w:p w:rsidR="00C10D5A" w:rsidRDefault="00C10D5A" w:rsidP="00C10D5A">
      <w:pPr>
        <w:rPr>
          <w:rFonts w:ascii="Myriad Pro" w:hAnsi="Myriad Pro"/>
          <w:sz w:val="36"/>
        </w:rPr>
      </w:pPr>
      <w:bookmarkStart w:id="280" w:name="_Toc417646824"/>
      <w:r>
        <w:br w:type="page"/>
      </w:r>
    </w:p>
    <w:p w:rsidR="00236E6D" w:rsidRDefault="00884EE0" w:rsidP="00884EE0">
      <w:pPr>
        <w:pStyle w:val="Heading1"/>
        <w:numPr>
          <w:ilvl w:val="0"/>
          <w:numId w:val="0"/>
        </w:numPr>
      </w:pPr>
      <w:bookmarkStart w:id="281" w:name="_Toc417815119"/>
      <w:bookmarkStart w:id="282" w:name="_Toc421352890"/>
      <w:bookmarkEnd w:id="99"/>
      <w:bookmarkEnd w:id="280"/>
      <w:r>
        <w:lastRenderedPageBreak/>
        <w:t>Conclusion</w:t>
      </w:r>
      <w:bookmarkEnd w:id="281"/>
      <w:bookmarkEnd w:id="282"/>
    </w:p>
    <w:p w:rsidR="00F43F84" w:rsidRPr="00F43F84" w:rsidRDefault="00F43F84" w:rsidP="00F43F84"/>
    <w:p w:rsidR="00B639A3" w:rsidRDefault="00B639A3" w:rsidP="00B639A3">
      <w:bookmarkStart w:id="283" w:name="_Toc289175845"/>
      <w:bookmarkStart w:id="284" w:name="_Toc417646826"/>
      <w:r>
        <w:t>As the world changes, it is critical for conservation planning as a practice and science to change in accordance. In my dissertation I created methods and performed analyses to advance the science and practice of applied conservation planning. In Chapter 1 I assessed how new records of species observations change spatial priorities in Tennessee and found that when planning for complementary richness new observations will continue to affect priorities in the coming years. In Chapter 2 I evaluated the relative performance of simple planning guidelines to reduce environmental impacts of surface infrastructure (“impacts”) for shale gas and how such planning produces tradeoffs between impacts. I found that while not pervasive, there are tradeoffs between impacts and that single guidelines do not perform best across all impacts. In Chapter 3 I explored site-level costs of reducing impacts and found heterogeneity across sites in both the ability to reduce impacts and the relative costs of doing so. In Chapter 4 I analyzed the cost effectiveness of different regulations for reducing impacts across multiple sites and found large potential savings by using a market-based, cap and trade approach as opposed to a traditional uniform, inflexible approach.</w:t>
      </w:r>
    </w:p>
    <w:p w:rsidR="00B639A3" w:rsidRDefault="00B639A3" w:rsidP="00B639A3">
      <w:r>
        <w:tab/>
        <w:t>My dissertation has many implications for conservation science and practice. For instance, the results of Chapter 1 suggest that biodiversity sampling is most important in the early stages of conservation effort, but even at later points continued data collection is useful for determining spatial priorities. The results of Chapter 2 justify the use simple planning guidelines in sites where major impacts and conservation priorities are few and obvious, but that tools that explicitly reduce multiple potential impacts are called for in many places. From Chapter 3 I can advocate that while many sites will be able to avoid impacts inexpensively when taking an aggregate approach, a uniform policy that requires developers to act at a median standard will push many sites out of production, perhaps unnecessarily. Finally, the findings of Chapter 4 endorse market-based tools for reducing impacts from shale gas surface infrastructure, especially when regulators make an intermediate commitment to reducing impacts.</w:t>
      </w:r>
    </w:p>
    <w:p w:rsidR="00B639A3" w:rsidRDefault="00B639A3" w:rsidP="00B639A3">
      <w:r>
        <w:tab/>
        <w:t>Several important qualities of my dissertation are apparent when looking across multiple chapters. First, I find that the granularity of biodiversity data used to define benefits for spatial planning is influential for planning outcomes</w:t>
      </w:r>
      <w:r w:rsidR="00DE23A4">
        <w:t xml:space="preserve"> </w:t>
      </w:r>
      <w:r w:rsidR="00F01773">
        <w:fldChar w:fldCharType="begin" w:fldLock="1"/>
      </w:r>
      <w:r w:rsidR="00DE23A4">
        <w:instrText>ADDIN CSL_CITATION { "citationItems" : [ { "id" : "ITEM-1", "itemData" : { "DOI" : "10.1111/cobi.12405", "ISSN" : "1523-1739", "abstract" : "Facing tight resource constraints, conservation organizations must allocate funds available for habitat protection as effectively as possible. Often, they combine spatially referenced economic and biodiversity data to prioritize land for protection. We tested how sensitive these prioritizations could be to differences in the spatial grain of these data by demonstrating how the conclusion of a classic debate in conservation planning between cost and benefit targeting was altered based on the available information. As a case study, we determined parcel-level acquisition costs and biodiversity benefits of land transactions recently undertaken by a nonprofit conservation organization that seeks to protect forests in the eastern United States. Then, we used hypothetical conservation plans to simulate the types of ex ante priorities that an organization could use to prioritize areas for protection. We found the apparent effectiveness of cost and benefit targeting depended on the spatial grain of the data used when prioritizing parcels based on local species richness. However, when accounting for complementarity, benefit targeting consistently was more efficient than a cost targeting strategy regardless of the spatial grain of the data involved. More pertinently for other studies, we found that combining data collected over different spatial grains inflated the apparent effectiveness of a cost targeting strategy and led to overestimation of the efficiency gain offered by adopting a more integrative return-on-investment approach.", "author" : [ { "dropping-particle" : "", "family" : "Sutton", "given" : "N. J.", "non-dropping-particle" : "", "parse-names" : false, "suffix" : "" }, { "dropping-particle" : "", "family" : "Armsworth", "given" : "P. R.", "non-dropping-particle" : "", "parse-names" : false, "suffix" : "" } ], "container-title" : "Conservation Biology", "id" : "ITEM-1", "issue" : "6", "issued" : { "date-parts" : [ [ "2014" ] ] }, "page" : "1451-1461", "title" : "The Grain of Spatially Referenced Economic Cost and Biodiversity Benefit Data and the Effectiveness of a Cost Targeting Strategy", "type" : "article-journal", "volume" : "28" }, "uris" : [ "http://www.mendeley.com/documents/?uuid=98b93664-38ed-4c7e-96dd-1a36157b5dfc" ] } ], "mendeley" : { "formattedCitation" : "(Sutton &amp; Armsworth 2014)", "plainTextFormattedCitation" : "(Sutton &amp; Armsworth 2014)", "previouslyFormattedCitation" : "(Sutton &amp; Armsworth 2014)" }, "properties" : { "noteIndex" : 0 }, "schema" : "https://github.com/citation-style-language/schema/raw/master/csl-citation.json" }</w:instrText>
      </w:r>
      <w:r w:rsidR="00F01773">
        <w:fldChar w:fldCharType="separate"/>
      </w:r>
      <w:r w:rsidR="00DE23A4" w:rsidRPr="00DE23A4">
        <w:rPr>
          <w:noProof/>
        </w:rPr>
        <w:t>(Sutton &amp; Armsworth 2014)</w:t>
      </w:r>
      <w:r w:rsidR="00F01773">
        <w:fldChar w:fldCharType="end"/>
      </w:r>
      <w:r>
        <w:t>. Species are not distributed randomly on the landscape at large or small scales</w:t>
      </w:r>
      <w:r w:rsidR="0087589E">
        <w:t xml:space="preserve"> </w:t>
      </w:r>
      <w:r w:rsidR="00F01773">
        <w:fldChar w:fldCharType="begin" w:fldLock="1"/>
      </w:r>
      <w:r w:rsidR="0087589E">
        <w:instrText>ADDIN CSL_CITATION { "citationItems" : [ { "id" : "ITEM-1", "itemData" : { "ISSN" : "0028-0836", "author" : [ { "dropping-particle" : "", "family" : "Gaston", "given" : "Kevin J", "non-dropping-particle" : "", "parse-names" : false, "suffix" : "" } ], "container-title" : "Nature", "id" : "ITEM-1", "issue" : "6783", "issued" : { "date-parts" : [ [ "2000", "5", "11" ] ] }, "note" : "10.1038/35012228", "page" : "220-227", "publisher" : "Macmillan Magazines Ltd.", "title" : "Global patterns in biodiversity", "type" : "article-journal", "volume" : "405" }, "uris" : [ "http://www.mendeley.com/documents/?uuid=6ed12572-53db-4113-bfb7-ab93bca9c722" ] } ], "mendeley" : { "formattedCitation" : "(Gaston 2000)", "plainTextFormattedCitation" : "(Gaston 2000)", "previouslyFormattedCitation" : "(Gaston 2000)" }, "properties" : { "noteIndex" : 0 }, "schema" : "https://github.com/citation-style-language/schema/raw/master/csl-citation.json" }</w:instrText>
      </w:r>
      <w:r w:rsidR="00F01773">
        <w:fldChar w:fldCharType="separate"/>
      </w:r>
      <w:r w:rsidR="0087589E" w:rsidRPr="0087589E">
        <w:rPr>
          <w:noProof/>
        </w:rPr>
        <w:t>(Gaston 2000)</w:t>
      </w:r>
      <w:r w:rsidR="00F01773">
        <w:fldChar w:fldCharType="end"/>
      </w:r>
      <w:r>
        <w:t>. Combined with the types of data – usually opportunistic, presence-only</w:t>
      </w:r>
      <w:r w:rsidR="007168FF">
        <w:t>,</w:t>
      </w:r>
      <w:r>
        <w:t xml:space="preserve"> element occurrence points of rare species of interest – and the result is very grainy biodiversity data.  In Chapters 1 and 3 I find that grainy biodiversity data play a key role in my results. In Chapter 1, </w:t>
      </w:r>
      <w:r>
        <w:lastRenderedPageBreak/>
        <w:t xml:space="preserve">biodiversity data are concentrated in relatively few sites across Tennessee. This is partially due to the natural distribution of biodiversity as well as sampling bias inherent in an opportunistically collected dataset. The complementary richness of sets of sites for priority action responded to the granularity of the biodiversity data, and this led to qualitatively different outcomes than an approach that focused on site-specific species richness. In Chapter 3, large differences in the numbers of observed species between spatially adjacent habitat types produced a very grainy planning surface for the </w:t>
      </w:r>
      <w:r>
        <w:rPr>
          <w:i/>
        </w:rPr>
        <w:t>rare spp</w:t>
      </w:r>
      <w:r>
        <w:t xml:space="preserve">. impact metric. As a result, in some cases the impacts of expected infrastructure could be greatly reduced by relatively small changes to infrastructure placement. Further, </w:t>
      </w:r>
      <w:r>
        <w:rPr>
          <w:i/>
        </w:rPr>
        <w:t>rare spp</w:t>
      </w:r>
      <w:r>
        <w:t xml:space="preserve">. contributed significantly more to reductions in the </w:t>
      </w:r>
      <w:r>
        <w:rPr>
          <w:i/>
        </w:rPr>
        <w:t>Impact Score</w:t>
      </w:r>
      <w:r>
        <w:t xml:space="preserve"> than the other four metrics included in that chapter.</w:t>
      </w:r>
    </w:p>
    <w:p w:rsidR="00B639A3" w:rsidRDefault="00B639A3" w:rsidP="00B639A3">
      <w:pPr>
        <w:ind w:firstLine="720"/>
      </w:pPr>
      <w:r>
        <w:t>A second important quality of my dissertation is that it crosses multiple scales in space and time. The scale of decision making is essential to consider when designing applied conservation planning research</w:t>
      </w:r>
      <w:r w:rsidR="00DE23A4">
        <w:t xml:space="preserve"> </w:t>
      </w:r>
      <w:r w:rsidR="00F01773">
        <w:fldChar w:fldCharType="begin" w:fldLock="1"/>
      </w:r>
      <w:r w:rsidR="00DE23A4">
        <w:instrText>ADDIN CSL_CITATION { "citationItems" : [ { "id" : "ITEM-1", "itemData" : { "DOI" : "10.1007/978-94-017-0309-3_8", "ISBN" : "978-90-481-6388-5", "author" : [ { "dropping-particle" : "", "family" : "Spies", "given" : "ThomasA.", "non-dropping-particle" : "", "parse-names" : false, "suffix" : "" }, { "dropping-particle" : "", "family" : "Johnson", "given" : "K.Norman", "non-dropping-particle" : "", "parse-names" : false, "suffix" : "" } ], "collection-title" : "Managing Forest Ecosystems", "container-title" : "Compatible Forest Management SE  - 8", "editor" : [ { "dropping-particle" : "", "family" : "Monserud", "given" : "RobertA.", "non-dropping-particle" : "", "parse-names" : false, "suffix" : "" }, { "dropping-particle" : "", "family" : "Haynes", "given" : "RichardW.", "non-dropping-particle" : "", "parse-names" : false, "suffix" : "" }, { "dropping-particle" : "", "family" : "Johnson", "given" : "AdelaideC.", "non-dropping-particle" : "", "parse-names" : false, "suffix" : "" } ], "id" : "ITEM-1", "issued" : { "date-parts" : [ [ "2003" ] ] }, "language" : "English", "page" : "211-235", "publisher" : "Springer Netherlands", "title" : "The Importance of Scale in Assessing the Compatibility of Forest Commodities and Biodiversity", "type" : "chapter", "volume" : "8" }, "uris" : [ "http://www.mendeley.com/documents/?uuid=c9c74b1d-c2c6-4ebc-ba04-1034c22c71ce" ] } ], "mendeley" : { "formattedCitation" : "(Spies &amp; Johnson 2003)", "plainTextFormattedCitation" : "(Spies &amp; Johnson 2003)", "previouslyFormattedCitation" : "(Spies &amp; Johnson 2003)" }, "properties" : { "noteIndex" : 0 }, "schema" : "https://github.com/citation-style-language/schema/raw/master/csl-citation.json" }</w:instrText>
      </w:r>
      <w:r w:rsidR="00F01773">
        <w:fldChar w:fldCharType="separate"/>
      </w:r>
      <w:r w:rsidR="00DE23A4" w:rsidRPr="00DE23A4">
        <w:rPr>
          <w:noProof/>
        </w:rPr>
        <w:t>(Spies &amp; Johnson 2003)</w:t>
      </w:r>
      <w:r w:rsidR="00F01773">
        <w:fldChar w:fldCharType="end"/>
      </w:r>
      <w:r>
        <w:t>. In Chapters 2 and 3, I focus on site-level planning that takes place over a few months. At this scale, developers and conservation groups are making decisions with observable effects on individual organisms and populations</w:t>
      </w:r>
      <w:r w:rsidR="007168FF">
        <w:t xml:space="preserve"> </w:t>
      </w:r>
      <w:r>
        <w:t>that extend throughout the site and to adjacent areas. This is the scale at which development decisions most directly impact conservation priorities. In Chapters 1 and 4 I look at a scale of planning across many sites and longer times. At these larger scales, decisions are being made by individuals higher in organizations and in organizations that operate at larger scales. The information from decisions at smaller scales may play an important role in these larger scale decisions</w:t>
      </w:r>
      <w:r w:rsidR="00DE23A4">
        <w:t xml:space="preserve"> </w:t>
      </w:r>
      <w:r w:rsidR="00F01773">
        <w:fldChar w:fldCharType="begin" w:fldLock="1"/>
      </w:r>
      <w:r w:rsidR="00FA3105">
        <w:instrText>ADDIN CSL_CITATION { "citationItems" : [ { "id" : "ITEM-1", "itemData" : { "DOI" : "10.1007/978-94-017-0309-3_8", "ISBN" : "978-90-481-6388-5", "author" : [ { "dropping-particle" : "", "family" : "Spies", "given" : "ThomasA.", "non-dropping-particle" : "", "parse-names" : false, "suffix" : "" }, { "dropping-particle" : "", "family" : "Johnson", "given" : "K.Norman", "non-dropping-particle" : "", "parse-names" : false, "suffix" : "" } ], "collection-title" : "Managing Forest Ecosystems", "container-title" : "Compatible Forest Management SE  - 8", "editor" : [ { "dropping-particle" : "", "family" : "Monserud", "given" : "RobertA.", "non-dropping-particle" : "", "parse-names" : false, "suffix" : "" }, { "dropping-particle" : "", "family" : "Haynes", "given" : "RichardW.", "non-dropping-particle" : "", "parse-names" : false, "suffix" : "" }, { "dropping-particle" : "", "family" : "Johnson", "given" : "AdelaideC.", "non-dropping-particle" : "", "parse-names" : false, "suffix" : "" } ], "id" : "ITEM-1", "issued" : { "date-parts" : [ [ "2003" ] ] }, "language" : "English", "page" : "211-235", "publisher" : "Springer Netherlands", "title" : "The Importance of Scale in Assessing the Compatibility of Forest Commodities and Biodiversity", "type" : "chapter", "volume" : "8" }, "uris" : [ "http://www.mendeley.com/documents/?uuid=c9c74b1d-c2c6-4ebc-ba04-1034c22c71ce" ] } ], "mendeley" : { "formattedCitation" : "(Spies &amp; Johnson 2003)", "plainTextFormattedCitation" : "(Spies &amp; Johnson 2003)", "previouslyFormattedCitation" : "(Spies &amp; Johnson 2003)" }, "properties" : { "noteIndex" : 0 }, "schema" : "https://github.com/citation-style-language/schema/raw/master/csl-citation.json" }</w:instrText>
      </w:r>
      <w:r w:rsidR="00F01773">
        <w:fldChar w:fldCharType="separate"/>
      </w:r>
      <w:r w:rsidR="00DE23A4" w:rsidRPr="00DE23A4">
        <w:rPr>
          <w:noProof/>
        </w:rPr>
        <w:t>(Spies &amp; Johnson 2003)</w:t>
      </w:r>
      <w:r w:rsidR="00F01773">
        <w:fldChar w:fldCharType="end"/>
      </w:r>
      <w:r>
        <w:t xml:space="preserve">. </w:t>
      </w:r>
    </w:p>
    <w:p w:rsidR="00B639A3" w:rsidRDefault="00B639A3" w:rsidP="00B639A3">
      <w:pPr>
        <w:ind w:firstLine="720"/>
      </w:pPr>
      <w:r>
        <w:t>Third, my dissertation chapters are all motivated by a need to do science that is immediately useful for practice. For instance, In Chapter 1 I make recommendations for the immediate use of my results for large scale planning in Tennessee. I also outline strategies for long-term planning in other places, especially where conservation actions are just beginning. In Chapter 2 I evaluate simple practices for planning surface infrastructure to see in what situations simplified planning is sufficient for avoiding multiple impacts. This kind of “rule of thumb” research is often a goal of conservation groups working to create best management practices or other strategies that can be applied without huge data or analysis resources</w:t>
      </w:r>
      <w:r w:rsidR="00DE23A4">
        <w:t xml:space="preserve"> (</w:t>
      </w:r>
      <w:r w:rsidR="00DE23A4">
        <w:rPr>
          <w:i/>
        </w:rPr>
        <w:t>pers. obs.</w:t>
      </w:r>
      <w:r w:rsidR="00DE23A4">
        <w:t>)</w:t>
      </w:r>
      <w:r>
        <w:t xml:space="preserve">. I go a step further in the later chapters by creating Bungee, a decision-support tool for planning surface infrastructure to avoid aggregate environmental impacts. Bungee is made most directly for use by the gas industry, but also has defined uses for conservation stakeholders and regulators (see Chapter 3 Discussion). At the time of writing, EnSitu – the </w:t>
      </w:r>
      <w:r w:rsidR="00486452">
        <w:t xml:space="preserve">ArcMap Python toolbox </w:t>
      </w:r>
      <w:r>
        <w:t xml:space="preserve">that uses Bungee as the analysis engine – was either being used or was intended to </w:t>
      </w:r>
      <w:r>
        <w:lastRenderedPageBreak/>
        <w:t>be used by 27 groups spanning the conservation, government, industry, and research sectors.</w:t>
      </w:r>
      <w:r w:rsidR="00486452">
        <w:t xml:space="preserve"> EnSitu is a streamlined front-end for Bungee. It combines the individual </w:t>
      </w:r>
      <w:proofErr w:type="spellStart"/>
      <w:r w:rsidR="00486452">
        <w:t>submodules</w:t>
      </w:r>
      <w:proofErr w:type="spellEnd"/>
      <w:r w:rsidR="00486452">
        <w:t xml:space="preserve"> of Bungee into a simpler two-step process in ArcMap. Bungee has its own visual interface, but running it entails more work while offering greater flexibility within ArcMap. Because of its streamlined structure, EnSitu is the product presented to </w:t>
      </w:r>
      <w:r w:rsidR="009C5778">
        <w:t>primary users.</w:t>
      </w:r>
    </w:p>
    <w:p w:rsidR="00B639A3" w:rsidRDefault="00DE5781" w:rsidP="00B639A3">
      <w:pPr>
        <w:ind w:firstLine="720"/>
      </w:pPr>
      <w:r>
        <w:t>One</w:t>
      </w:r>
      <w:r w:rsidR="00B639A3">
        <w:t xml:space="preserve"> challenge I faced in my dissertation was to balance the needs of science with the needs and limitations of conservation practice. In all my chapters I use almost exclusively publicly available datasets, datasets which are used in practice. These datasets are free and usually large, but are not always of a quality or information content that ideally suits the scientific questions being asked. However, in advancing science that advances practice, it is important to reflect the decision processes and inputs used by decision makers. Another notable place where my science met conservation practice is in the design of Bungee. The planning problem addressed by Bungee is one that, in order to solve globally for realistic scenarios, would take massive computational resources and/or a very long time. However, in designing Bungee as a tool for use outside of academia, we constrained ourselves to solutions that could be derived on the order of hours on a desktop personal computer. As a result, Bungee is actually useful for surface infrastructure planning, though at a cost of confidence in the overall (i.e. global) optimality of</w:t>
      </w:r>
      <w:r w:rsidR="00B639A3" w:rsidDel="00A665C5">
        <w:t xml:space="preserve"> </w:t>
      </w:r>
      <w:r w:rsidR="00B639A3">
        <w:t>results.</w:t>
      </w:r>
    </w:p>
    <w:p w:rsidR="00B639A3" w:rsidRDefault="00B639A3" w:rsidP="00B639A3">
      <w:pPr>
        <w:ind w:firstLine="720"/>
      </w:pPr>
      <w:r>
        <w:t>There is no shortage of free spatial conservation planning tools, and as a result much of conservation is (sometimes inappropriately) performed with existing tools (</w:t>
      </w:r>
      <w:r>
        <w:rPr>
          <w:i/>
        </w:rPr>
        <w:t>pers. obs.</w:t>
      </w:r>
      <w:r>
        <w:t xml:space="preserve">). In my dissertation and with Bungee I took a different approach. I chose to design a tool for a specific conservation planning problem, namely the planning of shale gas surface infrastructure to avoid multiple environmental impacts. This decision created some distinct advantages, the largest of which is that I was able to tailor my solution to that problem rather than sacrifice on the relevance of the solution. As a result, my scientific findings address the problem more accurately and represent the actual decision process more directly. In addition, end users of Bungee benefit because they can work in an environment more similar to their experiences, which increases buy-in </w:t>
      </w:r>
      <w:r w:rsidR="00DE5781">
        <w:t xml:space="preserve">and encourages </w:t>
      </w:r>
      <w:r>
        <w:t xml:space="preserve">appropriate use of the software. At the same time, tailoring of software presents challenges relative to using existing tools, since programming, datasets, test scenarios, case studies, and documentation must all be created from scratch. The time and effort to tailor solutions to problems is worthwhile if it leads to those solutions being used in practice. </w:t>
      </w:r>
    </w:p>
    <w:p w:rsidR="00B639A3" w:rsidRDefault="00B639A3" w:rsidP="00B639A3">
      <w:pPr>
        <w:ind w:firstLine="720"/>
      </w:pPr>
      <w:r>
        <w:t>Bungee is not another Marxan (</w:t>
      </w:r>
      <w:r w:rsidRPr="00797D35">
        <w:t>http://www.uq.edu.au/marxan/</w:t>
      </w:r>
      <w:r>
        <w:t>) or Zonation (</w:t>
      </w:r>
      <w:hyperlink r:id="rId89" w:history="1">
        <w:r w:rsidRPr="001C0222">
          <w:rPr>
            <w:rStyle w:val="Hyperlink"/>
          </w:rPr>
          <w:t>http://cbig.it.helsinki.fi/software/zonation</w:t>
        </w:r>
      </w:hyperlink>
      <w:r>
        <w:t>), two of the most widely used conservation planning programs</w:t>
      </w:r>
      <w:r w:rsidR="00F225E1">
        <w:t>,</w:t>
      </w:r>
      <w:r>
        <w:t xml:space="preserve"> because it takes a </w:t>
      </w:r>
      <w:r>
        <w:lastRenderedPageBreak/>
        <w:t xml:space="preserve">fundamentally different approach to conservation. First, the perspective is an intentional balance between conservation and development. On the surface, Bungee is a decision support tool for placing shale gas surface infrastructure. Using EnSitu (the visual interface) can be as simple as inputting two development-related shapefiles and clicking ‘Go’. However, the primary driver of infrastructure placement is a suite of conservation-based, ecologically relevant environmental impact metrics. It is because of this balance that I normally think of Bungee’s planning task as ‘conservation-oriented development’. Second, Bungee plans multiple explicitly interacting geometries. It is not uncommon for spatially non-additive – think complementary richness – objectives to be part of conservation planning </w:t>
      </w:r>
      <w:r w:rsidR="00FA3105">
        <w:t xml:space="preserve">tools </w:t>
      </w:r>
      <w:r w:rsidR="00F01773">
        <w:fldChar w:fldCharType="begin" w:fldLock="1"/>
      </w:r>
      <w:r w:rsidR="00E82BD1">
        <w:instrText>ADDIN CSL_CITATION { "citationItems" : [ { "id" : "ITEM-1", "itemData" : { "DOI" : "10.1146/annurev.energy.31.042606.085844", "ISSN" : "1543-5938", "abstract" : "? Abstract?Species extinctions and the deterioration of other biodiversity features worldwide have led to the adoption of systematic conservation planning in many regions of the world. As a consequence, various software tools for conservation planning have been developed over the past twenty years. These tools implement algorithms designed to identify conservation area networks for the representation and persistence of biodiversity features. Budgetary, ethical, and other sociopolitical constraints dictate that the prioritized sites represent biodiversity with minimum impact on human interests. Planning tools are typically also used to satisfy these criteria. This chapter reviews both the concepts and technical choices that underlie the development of these tools. Conservation planning problems can be formulated as optimization problems, and we evaluate the suitability of different algorithms for their solution. Finally, we also review some key issues associated with the use of these tools, such as computational efficiency, the effectiveness of taxa and abiotic parameters at choosing surrogates for biodiversity, the process of setting explicit targets of representation for biodiversity surrogates, and dealing with multiple criteria. The review concludes by identifying areas for future research, including the scheduling of conservation action over extensive time periods and incorporating data about site vulnerability.", "author" : [ { "dropping-particle" : "", "family" : "Sarkar", "given" : "Sahotra", "non-dropping-particle" : "", "parse-names" : false, "suffix" : "" }, { "dropping-particle" : "", "family" : "Pressey", "given" : "Robert L", "non-dropping-particle" : "", "parse-names" : false, "suffix" : "" }, { "dropping-particle" : "", "family" : "Faith", "given" : "Daniel P", "non-dropping-particle" : "", "parse-names" : false, "suffix" : "" }, { "dropping-particle" : "", "family" : "Margules", "given" : "Christopher R", "non-dropping-particle" : "", "parse-names" : false, "suffix" : "" }, { "dropping-particle" : "", "family" : "Fuller", "given" : "Trevon", "non-dropping-particle" : "", "parse-names" : false, "suffix" : "" }, { "dropping-particle" : "", "family" : "Stoms", "given" : "David M", "non-dropping-particle" : "", "parse-names" : false, "suffix" : "" }, { "dropping-particle" : "", "family" : "Moffett", "given" : "Alexander", "non-dropping-particle" : "", "parse-names" : false, "suffix" : "" }, { "dropping-particle" : "", "family" : "Wilson", "given" : "Kerrie A", "non-dropping-particle" : "", "parse-names" : false, "suffix" : "" }, { "dropping-particle" : "", "family" : "Williams", "given" : "Kristen J", "non-dropping-particle" : "", "parse-names" : false, "suffix" : "" }, { "dropping-particle" : "", "family" : "Williams", "given" : "Paul H", "non-dropping-particle" : "", "parse-names" : false, "suffix" : "" }, { "dropping-particle" : "", "family" : "Andelman", "given" : "Sandy", "non-dropping-particle" : "", "parse-names" : false, "suffix" : "" } ], "container-title" : "Annual Review of Environment and Resources", "id" : "ITEM-1", "issue" : "1", "issued" : { "date-parts" : [ [ "2006", "10", "13" ] ] }, "note" : "doi: 10.1146/annurev.energy.31.042606.085844", "page" : "123-159", "publisher" : "Annual Reviews", "title" : "Biodiversity Conservation Planning Tools: Present Status and Challenges for the Future", "type" : "article-journal", "volume" : "31" }, "uris" : [ "http://www.mendeley.com/documents/?uuid=47206a22-c453-4619-9bed-bc07ad946b88" ] } ], "mendeley" : { "formattedCitation" : "(Sarkar &lt;i&gt;et al.&lt;/i&gt; 2006)", "plainTextFormattedCitation" : "(Sarkar et al. 2006)", "previouslyFormattedCitation" : "(Sarkar &lt;i&gt;et al.&lt;/i&gt; 2006)" }, "properties" : { "noteIndex" : 0 }, "schema" : "https://github.com/citation-style-language/schema/raw/master/csl-citation.json" }</w:instrText>
      </w:r>
      <w:r w:rsidR="00F01773">
        <w:fldChar w:fldCharType="separate"/>
      </w:r>
      <w:r w:rsidR="00FA3105" w:rsidRPr="00FA3105">
        <w:rPr>
          <w:noProof/>
        </w:rPr>
        <w:t xml:space="preserve">(Sarkar </w:t>
      </w:r>
      <w:r w:rsidR="00FA3105" w:rsidRPr="00FA3105">
        <w:rPr>
          <w:i/>
          <w:noProof/>
        </w:rPr>
        <w:t>et al.</w:t>
      </w:r>
      <w:r w:rsidR="00FA3105" w:rsidRPr="00FA3105">
        <w:rPr>
          <w:noProof/>
        </w:rPr>
        <w:t xml:space="preserve"> 2006)</w:t>
      </w:r>
      <w:r w:rsidR="00F01773">
        <w:fldChar w:fldCharType="end"/>
      </w:r>
      <w:r>
        <w:t xml:space="preserve">. But how Bungee differs is by planning well pad (points/polygons), road (lines), and pipeline (lines) features together in a way that goes beyond picking pixels to instead pick spatial configurations that would not be derived by thinking of the geometries independently. Third, Bungee represents a move from ‘where to protect’ to ‘where to condemn’. This is not the first time such an approach has been taken </w:t>
      </w:r>
      <w:r w:rsidR="00F01773">
        <w:fldChar w:fldCharType="begin" w:fldLock="1"/>
      </w:r>
      <w:r w:rsidR="00560194">
        <w:instrText>ADDIN CSL_CITATION { "citationItems" : [ { "id" : "ITEM-1", "itemData" : { "DOI" : "10.1071/WR12083", "ISSN" : "1448-5494", "author" : [ { "dropping-particle" : "", "family" : "Moilanen", "given" : "Atte", "non-dropping-particle" : "", "parse-names" : false, "suffix" : "" } ], "container-title" : "Wildlife Research", "id" : "ITEM-1", "issued" : { "date-parts" : [ [ "2012", "10", "16" ] ] }, "language" : "en", "publisher" : "CSIRO PUBLISHING", "title" : "Planning impact avoidance and biodiversity offsetting using software for spatial conservation prioritisation", "type" : "article-journal" }, "uris" : [ "http://www.mendeley.com/documents/?uuid=7b8095a2-f2ba-46ab-bcca-c27bed22b964" ] } ], "mendeley" : { "formattedCitation" : "(Moilanen 2012)", "plainTextFormattedCitation" : "(Moilanen 2012)", "previouslyFormattedCitation" : "(Moilanen 2012)" }, "properties" : { "noteIndex" : 0 }, "schema" : "https://github.com/citation-style-language/schema/raw/master/csl-citation.json" }</w:instrText>
      </w:r>
      <w:r w:rsidR="00F01773">
        <w:fldChar w:fldCharType="separate"/>
      </w:r>
      <w:r w:rsidRPr="009E5FC2">
        <w:rPr>
          <w:noProof/>
        </w:rPr>
        <w:t>(Moilanen 2012)</w:t>
      </w:r>
      <w:r w:rsidR="00F01773">
        <w:fldChar w:fldCharType="end"/>
      </w:r>
      <w:r>
        <w:t>, but it is a recognition and acceptance that threats to conservation priorities are increasingly best handled by moderating those threats rather than attempting to prevent them.</w:t>
      </w:r>
    </w:p>
    <w:p w:rsidR="00B639A3" w:rsidRPr="00DC4574" w:rsidRDefault="00B639A3" w:rsidP="00B639A3">
      <w:pPr>
        <w:ind w:firstLine="720"/>
      </w:pPr>
      <w:r>
        <w:t xml:space="preserve">Bungee is not limited to planning in the Marcellus shale play or to shale gas, but neither are its applications limitless. Within the shale gas context, Bungee will be most useful in its current form in areas where 1) the shale is moderately uniform thickness, 2) multiple well pads with flexible locations are planned simultaneously, and 3) impacts are </w:t>
      </w:r>
      <w:r w:rsidR="00E53D6C">
        <w:t>spatially</w:t>
      </w:r>
      <w:r>
        <w:t xml:space="preserve"> variable over small (tens of meters) scale. The Marcellus play in Appalachia is by design the most natural place for using Bungee, but groups in other parts of the U.S. and distant countries see low-effort extensions of the tool. Bungee could also be used for planning outside shale gas. In Chapter 3 I draw an analogy to rural home development, which is a comfortable context in which Bungee could be applied. Bungee could also be used to plan wind or solar installations. All of these applications can be achieved with little or no modification to the software, provided the main planning and impacting features are roads, transmission lines, and point/polygon features. Bungee is limited, however, in the scale of analysis. At the moment, the tool plans at 30-m pixel resolution. At resolutions coarser than ~60 m or finer than ~10 m, some of the built in assumptions of the software will be violated. This precludes two natural uses of the tool, which are to do fine scale final planning of infrastructure and separately to simultaneously plan infrastructure over whole regions.</w:t>
      </w:r>
    </w:p>
    <w:p w:rsidR="00B639A3" w:rsidRDefault="00B639A3" w:rsidP="00B639A3">
      <w:r>
        <w:tab/>
        <w:t xml:space="preserve">One future research direction is to apply my fairly general </w:t>
      </w:r>
      <w:r w:rsidR="00E53D6C">
        <w:t>methods to</w:t>
      </w:r>
      <w:r>
        <w:t xml:space="preserve"> similar analyses at multiple scales across the globe. Since all of my </w:t>
      </w:r>
      <w:r>
        <w:lastRenderedPageBreak/>
        <w:t>chapters aim at providing recommendations for conservation practice now, performing such analyses in new places would benefit practitioners in those regions immediately. The challenges of applying my methods elsewhere are largely d</w:t>
      </w:r>
      <w:r w:rsidR="00FA3105">
        <w:t>a</w:t>
      </w:r>
      <w:r>
        <w:t xml:space="preserve">ta challenges. In some of the places where my methods would be most useful, data are sparse and/or poorly maintained, and the only remedy is to collect data and perform intermediate analyses. </w:t>
      </w:r>
      <w:r w:rsidR="00DE5781">
        <w:t xml:space="preserve">In particular, using </w:t>
      </w:r>
      <w:r>
        <w:t xml:space="preserve">Bungee in new regions </w:t>
      </w:r>
      <w:r w:rsidR="00DE5781">
        <w:t xml:space="preserve">would </w:t>
      </w:r>
      <w:r>
        <w:t xml:space="preserve">also require an evaluation of conservation priorities, formulation of metrics of impact, and confirmation of model assumptions, none of which are trivial tasks. </w:t>
      </w:r>
    </w:p>
    <w:p w:rsidR="00B639A3" w:rsidRDefault="00B639A3" w:rsidP="00B639A3">
      <w:pPr>
        <w:ind w:firstLine="720"/>
      </w:pPr>
      <w:r>
        <w:t xml:space="preserve">Other possible research extensions include longer-term and ongoing research, especially with regards to shale gas development, which would increase the certainty of my results. Especially useful would be to see how implementing some of my recommendations </w:t>
      </w:r>
      <w:r w:rsidR="00E53D6C">
        <w:t>affect</w:t>
      </w:r>
      <w:r>
        <w:t xml:space="preserve"> the outcomes </w:t>
      </w:r>
      <w:r w:rsidR="00DE5781">
        <w:t xml:space="preserve">of </w:t>
      </w:r>
      <w:r>
        <w:t>future conservatio</w:t>
      </w:r>
      <w:r w:rsidR="00FA3105">
        <w:t>n-relevant activities. For inst</w:t>
      </w:r>
      <w:r>
        <w:t>ance, a comparison of development using</w:t>
      </w:r>
      <w:r w:rsidR="00DE5781">
        <w:t xml:space="preserve"> 1) standard practices versus 2) Bungee versus 3) rules of thumb</w:t>
      </w:r>
      <w:r>
        <w:t xml:space="preserve"> could strengthen the case for informed spatial planning</w:t>
      </w:r>
      <w:r w:rsidR="00DE5781">
        <w:t xml:space="preserve"> I undertook</w:t>
      </w:r>
      <w:r>
        <w:t>. In addition, examining long time series of the effects of additional data on spatial priorities would inform the generality of my Chapter 1 results. Testing my assumptions about market dynamics and developer behavior in Chapter 4 in the lab using human subjects would inform the cost effectiveness of cap and trade for shale gas</w:t>
      </w:r>
      <w:r w:rsidR="00E82BD1">
        <w:t xml:space="preserve"> </w:t>
      </w:r>
      <w:r w:rsidR="00F01773">
        <w:fldChar w:fldCharType="begin" w:fldLock="1"/>
      </w:r>
      <w:r w:rsidR="00A14641">
        <w:instrText>ADDIN CSL_CITATION { "citationItems" : [ { "id" : "ITEM-1", "itemData" : { "DOI" : "10.1023/A:1022254913539", "ISSN" : "0922-680X", "author" : [ { "dropping-particle" : "", "family" : "Cason", "given" : "TimothyN.", "non-dropping-particle" : "", "parse-names" : false, "suffix" : "" }, { "dropping-particle" : "", "family" : "Gangadharan", "given" : "Lata", "non-dropping-particle" : "", "parse-names" : false, "suffix" : "" } ], "container-title" : "Journal of Regulatory Economics", "id" : "ITEM-1", "issue" : "2", "issued" : { "date-parts" : [ [ "2003" ] ] }, "language" : "English", "page" : "145-165", "publisher" : "Kluwer Academic Publishers", "title" : "Transactions Costs in Tradable Permit Markets: An Experimental Study of Pollution Market Designs", "type" : "article-journal", "volume" : "23" }, "uris" : [ "http://www.mendeley.com/documents/?uuid=eb6fc030-6898-4ec6-b140-b087f5737891" ] } ], "mendeley" : { "formattedCitation" : "(Cason &amp; Gangadharan 2003)", "plainTextFormattedCitation" : "(Cason &amp; Gangadharan 2003)", "previouslyFormattedCitation" : "(Cason &amp; Gangadharan 2003)" }, "properties" : { "noteIndex" : 0 }, "schema" : "https://github.com/citation-style-language/schema/raw/master/csl-citation.json" }</w:instrText>
      </w:r>
      <w:r w:rsidR="00F01773">
        <w:fldChar w:fldCharType="separate"/>
      </w:r>
      <w:r w:rsidR="00E82BD1" w:rsidRPr="00E82BD1">
        <w:rPr>
          <w:noProof/>
        </w:rPr>
        <w:t>(Cason &amp; Gangadharan 2003)</w:t>
      </w:r>
      <w:r w:rsidR="00F01773">
        <w:fldChar w:fldCharType="end"/>
      </w:r>
      <w:r>
        <w:t>.</w:t>
      </w:r>
    </w:p>
    <w:p w:rsidR="00E10E39" w:rsidRDefault="00B639A3" w:rsidP="00E10E39">
      <w:pPr>
        <w:ind w:firstLine="480"/>
      </w:pPr>
      <w:r>
        <w:t xml:space="preserve">One </w:t>
      </w:r>
      <w:proofErr w:type="gramStart"/>
      <w:r>
        <w:t>question</w:t>
      </w:r>
      <w:proofErr w:type="gramEnd"/>
      <w:r>
        <w:t xml:space="preserve"> my dissertation raises is what should be the balance of regulated versus voluntary reduction of environmental impacts from shale gas development. On one hand, the primary goal of creating Bungee is to provide a tool for the gas industry to incorporate environmental priorities in their planning at low or no cost and minimal effort to them. Currently there are few strong incentives for the industry to go above and beyond regulation using Bungee. Namely, the main incentives I have identified are 1) to promote an environmentally friendly image, 2) to adhere to a personal or mission-based conservation ethic, and 3) to reveal the financial bottom-line (</w:t>
      </w:r>
      <w:r>
        <w:rPr>
          <w:i/>
        </w:rPr>
        <w:t>pers. obs.</w:t>
      </w:r>
      <w:r>
        <w:t xml:space="preserve">). Those incentives are probably </w:t>
      </w:r>
      <w:r w:rsidR="00DE5781">
        <w:t xml:space="preserve">overwhelmed </w:t>
      </w:r>
      <w:r>
        <w:t xml:space="preserve">by more certain financial incentives. However, pressure from society to be green may change that. On the other hand, new regulations can create incentives, e.g. by creating a market for impacts. However, there are many issues with creating new regulations. New regulations require administration, research, and infrastructure, </w:t>
      </w:r>
      <w:r w:rsidR="0087589E">
        <w:t xml:space="preserve">all of which can be costly </w:t>
      </w:r>
      <w:r w:rsidR="00F01773">
        <w:fldChar w:fldCharType="begin" w:fldLock="1"/>
      </w:r>
      <w:r w:rsidR="00256E8E">
        <w:instrText>ADDIN CSL_CITATION { "citationItems" : [ { "id" : "ITEM-1", "itemData" : { "DOI" : "10.1111/j.1477-9552.2001.tb00911.x", "ISSN" : "1477-9552", "abstract" : "This paper explores transactions costs in the context of agri-environmental policy schemes based on management agreements. While transactions costs encompass a wide range of organisational costs, the focus here is on the public-sector administrative costs of policy implementation. Empirical administrative cost functions were estimated to investigate the factors affecting the magnitude of such costs, using panel data spanning five years for the 22 English Environmentally Sensitive Areas. The extent of participation appears to be important in explaining administrative cost variability across areas. The data suggested the existence of size economics with regard to the numbers of agreements made in any one ESA, and a significant effect of scheme experience in exerting downwards-pressure on administrative costs. Policy budgeting and evaluation should take into account the non-trivial costs of organisation, particularly if agri-environmental schemes based on the procurement of conservation goods through management agreements are to be extended in future.", "author" : [ { "dropping-particle" : "", "family" : "Falconer", "given" : "Katherine", "non-dropping-particle" : "", "parse-names" : false, "suffix" : "" }, { "dropping-particle" : "", "family" : "Dupraz", "given" : "Pierre", "non-dropping-particle" : "", "parse-names" : false, "suffix" : "" }, { "dropping-particle" : "", "family" : "Whitby", "given" : "Martin", "non-dropping-particle" : "", "parse-names" : false, "suffix" : "" } ], "container-title" : "Journal of Agricultural Economics", "id" : "ITEM-1", "issue" : "1", "issued" : { "date-parts" : [ [ "2001" ] ] }, "page" : "83-103", "publisher" : "Blackwell Publishing Ltd", "title" : "An Investigation of Policy Administrative Costs Using Panel Data for the English Environmentally Sensitive Areas", "type" : "article-journal", "volume" : "52" }, "uris" : [ "http://www.mendeley.com/documents/?uuid=2c7a2d1a-76cd-4ee0-b60f-e3986e551e21" ] }, { "id" : "ITEM-2", "itemData" : { "DOI" : "10.2308/accr.2001.76.2.171", "author" : [ { "dropping-particle" : "", "family" : "Joshi", "given" : "Satish", "non-dropping-particle" : "", "parse-names" : false, "suffix" : "" }, { "dropping-particle" : "", "family" : "Krishnan", "given" : "Ranjani", "non-dropping-particle" : "", "parse-names" : false, "suffix" : "" }, { "dropping-particle" : "", "family" : "Lave", "given" : "Lester", "non-dropping-particle" : "", "parse-names" : false, "suffix" : "" } ], "container-title" : "The Accounting Review", "id" : "ITEM-2", "issue" : "2", "issued" : { "date-parts" : [ [ "2001" ] ] }, "page" : "171-198", "title" : "Estimating the Hidden Costs of Environmental Regulation", "type" : "article-journal", "volume" : "76" }, "uris" : [ "http://www.mendeley.com/documents/?uuid=7e664fa2-e045-4f28-a9fa-5b6d759f12d8" ] }, { "id" : "ITEM-3", "itemData" : { "DOI" : "http://dx.doi.org/10.1006/jeem.1995.1036", "ISSN" : "0095-0696", "abstract" : "Tradeable-permit systems are at the center of current interest and activity in market-based reforms of environmental policy, because these systems can offer significant advantages over conventional approaches to pollution control. Unfortunately, claims made for their relative cost-effectiveness have often been exaggerated. Transaction costs, which may be significant in these markets, reduce trading levels and increase abatement costs. In some cases, equilibrium permit allocations and hence aggregate control costs are sensitive to initial permit distributions, providing an efficiency justification for politicians\u2032 typical focus on initial allocations. ", "author" : [ { "dropping-particle" : "", "family" : "Stavins", "given" : "Robert N", "non-dropping-particle" : "", "parse-names" : false, "suffix" : "" } ], "container-title" : "Journal of Environmental Economics and Management", "id" : "ITEM-3", "issue" : "2", "issued" : { "date-parts" : [ [ "1995" ] ] }, "page" : "133-148", "title" : "Transaction Costs and Tradeable Permits", "type" : "article-journal", "volume" : "29" }, "uris" : [ "http://www.mendeley.com/documents/?uuid=81da15fb-a992-4ab5-aca7-f4c21aa4fcc3" ] } ], "mendeley" : { "formattedCitation" : "(Stavins 1995; Falconer, Dupraz &amp; Whitby 2001; Joshi, Krishnan &amp; Lave 2001)", "plainTextFormattedCitation" : "(Stavins 1995; Falconer, Dupraz &amp; Whitby 2001; Joshi, Krishnan &amp; Lave 2001)", "previouslyFormattedCitation" : "(Stavins 1995; Falconer, Dupraz &amp; Whitby 2001; Joshi, Krishnan &amp; Lave 2001)" }, "properties" : { "noteIndex" : 0 }, "schema" : "https://github.com/citation-style-language/schema/raw/master/csl-citation.json" }</w:instrText>
      </w:r>
      <w:r w:rsidR="00F01773">
        <w:fldChar w:fldCharType="separate"/>
      </w:r>
      <w:r w:rsidR="0087589E" w:rsidRPr="0087589E">
        <w:rPr>
          <w:noProof/>
        </w:rPr>
        <w:t>(Stavins 1995; Falconer, Dupraz &amp; Whitby 2001; Joshi, Krishnan &amp; Lave 2001)</w:t>
      </w:r>
      <w:r w:rsidR="00F01773">
        <w:fldChar w:fldCharType="end"/>
      </w:r>
      <w:r>
        <w:t>. Poorly designed regulations can create moral hazards in which developers are incentivized to</w:t>
      </w:r>
      <w:r w:rsidR="00256E8E">
        <w:t xml:space="preserve"> harm the environment more </w:t>
      </w:r>
      <w:r w:rsidR="00F01773">
        <w:fldChar w:fldCharType="begin" w:fldLock="1"/>
      </w:r>
      <w:r w:rsidR="00837198">
        <w:instrText>ADDIN CSL_CITATION { "citationItems" : [ { "id" : "ITEM-1", "itemData" : { "DOI" : "10.1093/erae/28.3.329", "abstract" : "Agri\u2010environmental policy is modelled as a social welfare maximisation problem that recognises the potential trade\u2010off between increased environmental benefit and increased cost of monitoring compliance. Moral hazard arises because monitoring does not detect all those who fail to comply with contractual obligations. It is shown that if monitoring costs are negligible of fixed, or farmers are highly risk averse, the moral hazard problem can be eliminated. However, if monitoring costs depend on monitoring effort and the degree of risk aversion is low, only a second\u2010best solution can be obtained. Numerical simulations suggest that optimal monitoring effort declines with increasing farmer risk aversion. ", "author" : [ { "dropping-particle" : "", "family" : "Ozanne", "given" : "Adam", "non-dropping-particle" : "", "parse-names" : false, "suffix" : "" }, { "dropping-particle" : "", "family" : "Hogan", "given" : "Tim", "non-dropping-particle" : "", "parse-names" : false, "suffix" : "" }, { "dropping-particle" : "", "family" : "Colman", "given" : "David", "non-dropping-particle" : "", "parse-names" : false, "suffix" : "" } ], "container-title" : "European Review of Agricultural Economics ", "id" : "ITEM-1", "issue" : "3 ", "issued" : { "date-parts" : [ [ "2001", "10", "1" ] ] }, "note" : "10.1093/erae/28.3.329", "page" : "329-348", "title" : "Moral hazard, risk aversion and compliance monitoring in agri\u2010environmental policy", "type" : "article-journal", "volume" : "28 " }, "uris" : [ "http://www.mendeley.com/documents/?uuid=478b77b0-61d6-4e9c-8c11-97bf1867ea66" ] } ], "mendeley" : { "formattedCitation" : "(Ozanne, Hogan &amp; Colman 2001)", "plainTextFormattedCitation" : "(Ozanne, Hogan &amp; Colman 2001)", "previouslyFormattedCitation" : "(Ozanne, Hogan &amp; Colman 2001)" }, "properties" : { "noteIndex" : 0 }, "schema" : "https://github.com/citation-style-language/schema/raw/master/csl-citation.json" }</w:instrText>
      </w:r>
      <w:r w:rsidR="00F01773">
        <w:fldChar w:fldCharType="separate"/>
      </w:r>
      <w:r w:rsidR="00256E8E" w:rsidRPr="00256E8E">
        <w:rPr>
          <w:noProof/>
        </w:rPr>
        <w:t>(Ozanne, Hogan &amp; Colman 2001)</w:t>
      </w:r>
      <w:r w:rsidR="00F01773">
        <w:fldChar w:fldCharType="end"/>
      </w:r>
      <w:r>
        <w:t xml:space="preserve">. Lastly, new regulations that internalize environmental externalities will be politically controversial and thus harder to institute. Though my dissertation does </w:t>
      </w:r>
      <w:r>
        <w:lastRenderedPageBreak/>
        <w:t>not inform the feasibility of reducing impacts voluntarily versus through regulation, it does provide information and tools for both</w:t>
      </w:r>
      <w:r w:rsidR="00CB6A7E">
        <w:t xml:space="preserve"> resolutions</w:t>
      </w:r>
      <w:r>
        <w:t>.</w:t>
      </w:r>
    </w:p>
    <w:p w:rsidR="00E10E39" w:rsidRDefault="00E10E39" w:rsidP="00E10E39">
      <w:pPr>
        <w:ind w:firstLine="480"/>
      </w:pPr>
    </w:p>
    <w:p w:rsidR="00E10E39" w:rsidRDefault="00E10E39" w:rsidP="00E10E39">
      <w:pPr>
        <w:ind w:firstLine="480"/>
        <w:sectPr w:rsidR="00E10E39" w:rsidSect="002115B4">
          <w:pgSz w:w="12240" w:h="15840" w:code="1"/>
          <w:pgMar w:top="1440" w:right="1800" w:bottom="1440" w:left="1800" w:header="720" w:footer="1440" w:gutter="0"/>
          <w:cols w:space="720"/>
          <w:noEndnote/>
          <w:docGrid w:linePitch="360"/>
        </w:sectPr>
      </w:pPr>
    </w:p>
    <w:p w:rsidR="003B13E3" w:rsidRDefault="00341187" w:rsidP="003B13E3">
      <w:pPr>
        <w:pStyle w:val="Heading1"/>
        <w:numPr>
          <w:ilvl w:val="0"/>
          <w:numId w:val="0"/>
        </w:numPr>
      </w:pPr>
      <w:bookmarkStart w:id="285" w:name="_Toc421352891"/>
      <w:r>
        <w:lastRenderedPageBreak/>
        <w:t>Bibliography</w:t>
      </w:r>
      <w:bookmarkEnd w:id="285"/>
      <w:r w:rsidR="003B13E3">
        <w:br w:type="page"/>
      </w:r>
    </w:p>
    <w:p w:rsidR="00746509" w:rsidRDefault="00746509" w:rsidP="003B13E3">
      <w:pPr>
        <w:pStyle w:val="Heading1"/>
        <w:numPr>
          <w:ilvl w:val="0"/>
          <w:numId w:val="0"/>
        </w:numPr>
      </w:pPr>
    </w:p>
    <w:p w:rsidR="000855C4" w:rsidRPr="000855C4" w:rsidRDefault="00F01773">
      <w:pPr>
        <w:pStyle w:val="NormalWeb"/>
        <w:ind w:left="480" w:hanging="480"/>
        <w:divId w:val="186797580"/>
        <w:rPr>
          <w:rFonts w:ascii="Bookman" w:hAnsi="Bookman"/>
          <w:noProof/>
          <w:sz w:val="20"/>
        </w:rPr>
      </w:pPr>
      <w:r>
        <w:fldChar w:fldCharType="begin" w:fldLock="1"/>
      </w:r>
      <w:r w:rsidR="00341187">
        <w:instrText xml:space="preserve">ADDIN Mendeley Bibliography CSL_BIBLIOGRAPHY </w:instrText>
      </w:r>
      <w:r>
        <w:fldChar w:fldCharType="separate"/>
      </w:r>
      <w:r w:rsidR="000855C4" w:rsidRPr="000855C4">
        <w:rPr>
          <w:rFonts w:ascii="Bookman" w:hAnsi="Bookman"/>
          <w:noProof/>
          <w:sz w:val="20"/>
        </w:rPr>
        <w:t>Al Ahmadi, H.A., Almarzooq, A.M. &amp; Wattenbarger, R.A. (2010) Application of Linear Flow Analysis to Shale Gas Wells - Field Cases.</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Ahrends, A., Rahbek, C., Bulling, M.T., Burgess, N.D., Platts, P.J., Lovett, J.C., Kindemba, V.W., Owen, N., Sallu, A.N., Marshall, A.R., Boniface, E.M., Fanning, E. &amp; Marchant, R. (2011) Conservation and the botanist effect. </w:t>
      </w:r>
      <w:r w:rsidRPr="000855C4">
        <w:rPr>
          <w:rFonts w:ascii="Bookman" w:hAnsi="Bookman"/>
          <w:i/>
          <w:iCs/>
          <w:noProof/>
          <w:sz w:val="20"/>
        </w:rPr>
        <w:t>Biological Conservation</w:t>
      </w:r>
      <w:r w:rsidRPr="000855C4">
        <w:rPr>
          <w:rFonts w:ascii="Bookman" w:hAnsi="Bookman"/>
          <w:noProof/>
          <w:sz w:val="20"/>
        </w:rPr>
        <w:t xml:space="preserve">, </w:t>
      </w:r>
      <w:r w:rsidRPr="000855C4">
        <w:rPr>
          <w:rFonts w:ascii="Bookman" w:hAnsi="Bookman"/>
          <w:b/>
          <w:bCs/>
          <w:noProof/>
          <w:sz w:val="20"/>
        </w:rPr>
        <w:t>144</w:t>
      </w:r>
      <w:r w:rsidRPr="000855C4">
        <w:rPr>
          <w:rFonts w:ascii="Bookman" w:hAnsi="Bookman"/>
          <w:noProof/>
          <w:sz w:val="20"/>
        </w:rPr>
        <w:t>, 131–140.</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Ando, A. (1998) Species Distributions, Land Values, and Efficient Conservation. </w:t>
      </w:r>
      <w:r w:rsidRPr="000855C4">
        <w:rPr>
          <w:rFonts w:ascii="Bookman" w:hAnsi="Bookman"/>
          <w:i/>
          <w:iCs/>
          <w:noProof/>
          <w:sz w:val="20"/>
        </w:rPr>
        <w:t>Science</w:t>
      </w:r>
      <w:r w:rsidRPr="000855C4">
        <w:rPr>
          <w:rFonts w:ascii="Bookman" w:hAnsi="Bookman"/>
          <w:noProof/>
          <w:sz w:val="20"/>
        </w:rPr>
        <w:t xml:space="preserve">, </w:t>
      </w:r>
      <w:r w:rsidRPr="000855C4">
        <w:rPr>
          <w:rFonts w:ascii="Bookman" w:hAnsi="Bookman"/>
          <w:b/>
          <w:bCs/>
          <w:noProof/>
          <w:sz w:val="20"/>
        </w:rPr>
        <w:t>279</w:t>
      </w:r>
      <w:r w:rsidRPr="000855C4">
        <w:rPr>
          <w:rFonts w:ascii="Bookman" w:hAnsi="Bookman"/>
          <w:noProof/>
          <w:sz w:val="20"/>
        </w:rPr>
        <w:t>, 2126–2128.</w:t>
      </w:r>
    </w:p>
    <w:p w:rsidR="000855C4" w:rsidRPr="000855C4" w:rsidRDefault="000855C4">
      <w:pPr>
        <w:pStyle w:val="NormalWeb"/>
        <w:ind w:left="480" w:hanging="480"/>
        <w:divId w:val="186797580"/>
        <w:rPr>
          <w:rFonts w:ascii="Bookman" w:hAnsi="Bookman"/>
          <w:noProof/>
          <w:sz w:val="20"/>
        </w:rPr>
      </w:pPr>
      <w:r w:rsidRPr="000855C4">
        <w:rPr>
          <w:rFonts w:ascii="Bookman" w:hAnsi="Bookman"/>
          <w:i/>
          <w:iCs/>
          <w:noProof/>
          <w:sz w:val="20"/>
        </w:rPr>
        <w:t>Annual Energy Outlook 2014</w:t>
      </w:r>
      <w:r w:rsidRPr="000855C4">
        <w:rPr>
          <w:rFonts w:ascii="Bookman" w:hAnsi="Bookman"/>
          <w:noProof/>
          <w:sz w:val="20"/>
        </w:rPr>
        <w:t>. (2014) Washington, DC.</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Araujo, M.B., Thuiller, W., Williams, P.H. &amp; Reginster, I. (2005) Downscaling European species atlas distributions to a finer resolution: implications for conservation planning. </w:t>
      </w:r>
      <w:r w:rsidRPr="000855C4">
        <w:rPr>
          <w:rFonts w:ascii="Bookman" w:hAnsi="Bookman"/>
          <w:i/>
          <w:iCs/>
          <w:noProof/>
          <w:sz w:val="20"/>
        </w:rPr>
        <w:t>Global Ecology and Biogeography</w:t>
      </w:r>
      <w:r w:rsidRPr="000855C4">
        <w:rPr>
          <w:rFonts w:ascii="Bookman" w:hAnsi="Bookman"/>
          <w:noProof/>
          <w:sz w:val="20"/>
        </w:rPr>
        <w:t xml:space="preserve">, </w:t>
      </w:r>
      <w:r w:rsidRPr="000855C4">
        <w:rPr>
          <w:rFonts w:ascii="Bookman" w:hAnsi="Bookman"/>
          <w:b/>
          <w:bCs/>
          <w:noProof/>
          <w:sz w:val="20"/>
        </w:rPr>
        <w:t>14</w:t>
      </w:r>
      <w:r w:rsidRPr="000855C4">
        <w:rPr>
          <w:rFonts w:ascii="Bookman" w:hAnsi="Bookman"/>
          <w:noProof/>
          <w:sz w:val="20"/>
        </w:rPr>
        <w:t>, 17–30.</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Arponen, A., Lehtomäki, J., Leppänen, J., Tomppo, E. &amp; Moilanen, A. (2012) Effects of connectivity and spatial resolution of analyses on conservation prioritization across large extents. </w:t>
      </w:r>
      <w:r w:rsidRPr="000855C4">
        <w:rPr>
          <w:rFonts w:ascii="Bookman" w:hAnsi="Bookman"/>
          <w:i/>
          <w:iCs/>
          <w:noProof/>
          <w:sz w:val="20"/>
        </w:rPr>
        <w:t>Conservation Biology</w:t>
      </w:r>
      <w:r w:rsidRPr="000855C4">
        <w:rPr>
          <w:rFonts w:ascii="Bookman" w:hAnsi="Bookman"/>
          <w:noProof/>
          <w:sz w:val="20"/>
        </w:rPr>
        <w:t xml:space="preserve">, </w:t>
      </w:r>
      <w:r w:rsidRPr="000855C4">
        <w:rPr>
          <w:rFonts w:ascii="Bookman" w:hAnsi="Bookman"/>
          <w:b/>
          <w:bCs/>
          <w:noProof/>
          <w:sz w:val="20"/>
        </w:rPr>
        <w:t>26</w:t>
      </w:r>
      <w:r w:rsidRPr="000855C4">
        <w:rPr>
          <w:rFonts w:ascii="Bookman" w:hAnsi="Bookman"/>
          <w:noProof/>
          <w:sz w:val="20"/>
        </w:rPr>
        <w:t>, 294–304.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Aucott, M.L. &amp; Melillo, J.M. (2013) A Preliminary Energy Return on Investment Analysis of Natural Gas from the Marcellus Shale. </w:t>
      </w:r>
      <w:r w:rsidRPr="000855C4">
        <w:rPr>
          <w:rFonts w:ascii="Bookman" w:hAnsi="Bookman"/>
          <w:i/>
          <w:iCs/>
          <w:noProof/>
          <w:sz w:val="20"/>
        </w:rPr>
        <w:t>Journal of Industrial Ecology</w:t>
      </w:r>
      <w:r w:rsidRPr="000855C4">
        <w:rPr>
          <w:rFonts w:ascii="Bookman" w:hAnsi="Bookman"/>
          <w:noProof/>
          <w:sz w:val="20"/>
        </w:rPr>
        <w:t xml:space="preserve">, </w:t>
      </w:r>
      <w:r w:rsidRPr="000855C4">
        <w:rPr>
          <w:rFonts w:ascii="Bookman" w:hAnsi="Bookman"/>
          <w:b/>
          <w:bCs/>
          <w:noProof/>
          <w:sz w:val="20"/>
        </w:rPr>
        <w:t>17</w:t>
      </w:r>
      <w:r w:rsidRPr="000855C4">
        <w:rPr>
          <w:rFonts w:ascii="Bookman" w:hAnsi="Bookman"/>
          <w:noProof/>
          <w:sz w:val="20"/>
        </w:rPr>
        <w:t>, 668–679.</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Babcock, B.A., Lakshminarayan, P.G., Wu, J. &amp; Zilberman, D. (1997) Targeting Tools for the Purchase of Environmental Amenities. </w:t>
      </w:r>
      <w:r w:rsidRPr="000855C4">
        <w:rPr>
          <w:rFonts w:ascii="Bookman" w:hAnsi="Bookman"/>
          <w:i/>
          <w:iCs/>
          <w:noProof/>
          <w:sz w:val="20"/>
        </w:rPr>
        <w:t>Land Economics</w:t>
      </w:r>
      <w:r w:rsidRPr="000855C4">
        <w:rPr>
          <w:rFonts w:ascii="Bookman" w:hAnsi="Bookman"/>
          <w:noProof/>
          <w:sz w:val="20"/>
        </w:rPr>
        <w:t xml:space="preserve">, </w:t>
      </w:r>
      <w:r w:rsidRPr="000855C4">
        <w:rPr>
          <w:rFonts w:ascii="Bookman" w:hAnsi="Bookman"/>
          <w:b/>
          <w:bCs/>
          <w:noProof/>
          <w:sz w:val="20"/>
        </w:rPr>
        <w:t>73</w:t>
      </w:r>
      <w:r w:rsidRPr="000855C4">
        <w:rPr>
          <w:rFonts w:ascii="Bookman" w:hAnsi="Bookman"/>
          <w:noProof/>
          <w:sz w:val="20"/>
        </w:rPr>
        <w:t>, 325–339.</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Banzhaf, H.S., Burtraw, D., Chung, S., Evans, D.A., Krupnick, A. &amp; Siikamaki, J. (2014) Valuation of Ecosystem Services in the Southern Appalachian Mountains. </w:t>
      </w:r>
      <w:r w:rsidRPr="000855C4">
        <w:rPr>
          <w:rFonts w:ascii="Bookman" w:hAnsi="Bookman"/>
          <w:i/>
          <w:iCs/>
          <w:noProof/>
          <w:sz w:val="20"/>
        </w:rPr>
        <w:t>Resources For the Future, RFF DP</w:t>
      </w:r>
      <w:r w:rsidRPr="000855C4">
        <w:rPr>
          <w:rFonts w:ascii="Bookman" w:hAnsi="Bookman"/>
          <w:noProof/>
          <w:sz w:val="20"/>
        </w:rPr>
        <w:t>, 14–16.</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Bennear, L. &amp; Stavins, R. (2007) Second-best theory and the use of multiple policy instruments. </w:t>
      </w:r>
      <w:r w:rsidRPr="000855C4">
        <w:rPr>
          <w:rFonts w:ascii="Bookman" w:hAnsi="Bookman"/>
          <w:i/>
          <w:iCs/>
          <w:noProof/>
          <w:sz w:val="20"/>
        </w:rPr>
        <w:t>Environmental and Resource Economics</w:t>
      </w:r>
      <w:r w:rsidRPr="000855C4">
        <w:rPr>
          <w:rFonts w:ascii="Bookman" w:hAnsi="Bookman"/>
          <w:noProof/>
          <w:sz w:val="20"/>
        </w:rPr>
        <w:t xml:space="preserve">, </w:t>
      </w:r>
      <w:r w:rsidRPr="000855C4">
        <w:rPr>
          <w:rFonts w:ascii="Bookman" w:hAnsi="Bookman"/>
          <w:b/>
          <w:bCs/>
          <w:noProof/>
          <w:sz w:val="20"/>
        </w:rPr>
        <w:t>37</w:t>
      </w:r>
      <w:r w:rsidRPr="000855C4">
        <w:rPr>
          <w:rFonts w:ascii="Bookman" w:hAnsi="Bookman"/>
          <w:noProof/>
          <w:sz w:val="20"/>
        </w:rPr>
        <w:t>, 111–129.</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Bennett, E.M., Peterson, G.D. &amp; Gordon, L.J. (2009) Understanding relationships among multiple ecosystem services. </w:t>
      </w:r>
      <w:r w:rsidRPr="000855C4">
        <w:rPr>
          <w:rFonts w:ascii="Bookman" w:hAnsi="Bookman"/>
          <w:i/>
          <w:iCs/>
          <w:noProof/>
          <w:sz w:val="20"/>
        </w:rPr>
        <w:t>Ecology Letters</w:t>
      </w:r>
      <w:r w:rsidRPr="000855C4">
        <w:rPr>
          <w:rFonts w:ascii="Bookman" w:hAnsi="Bookman"/>
          <w:noProof/>
          <w:sz w:val="20"/>
        </w:rPr>
        <w:t xml:space="preserve">, </w:t>
      </w:r>
      <w:r w:rsidRPr="000855C4">
        <w:rPr>
          <w:rFonts w:ascii="Bookman" w:hAnsi="Bookman"/>
          <w:b/>
          <w:bCs/>
          <w:noProof/>
          <w:sz w:val="20"/>
        </w:rPr>
        <w:t>12</w:t>
      </w:r>
      <w:r w:rsidRPr="000855C4">
        <w:rPr>
          <w:rFonts w:ascii="Bookman" w:hAnsi="Bookman"/>
          <w:noProof/>
          <w:sz w:val="20"/>
        </w:rPr>
        <w:t>, 1394–1404.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Best, L.B. (1983) Bird Use of Fencerows: Implications of Contemporary Fencerow Management Practices. </w:t>
      </w:r>
      <w:r w:rsidRPr="000855C4">
        <w:rPr>
          <w:rFonts w:ascii="Bookman" w:hAnsi="Bookman"/>
          <w:i/>
          <w:iCs/>
          <w:noProof/>
          <w:sz w:val="20"/>
        </w:rPr>
        <w:t>Wildlife Society Bulletin (1973-2006)</w:t>
      </w:r>
      <w:r w:rsidRPr="000855C4">
        <w:rPr>
          <w:rFonts w:ascii="Bookman" w:hAnsi="Bookman"/>
          <w:noProof/>
          <w:sz w:val="20"/>
        </w:rPr>
        <w:t xml:space="preserve">, </w:t>
      </w:r>
      <w:r w:rsidRPr="000855C4">
        <w:rPr>
          <w:rFonts w:ascii="Bookman" w:hAnsi="Bookman"/>
          <w:b/>
          <w:bCs/>
          <w:noProof/>
          <w:sz w:val="20"/>
        </w:rPr>
        <w:t>11</w:t>
      </w:r>
      <w:r w:rsidRPr="000855C4">
        <w:rPr>
          <w:rFonts w:ascii="Bookman" w:hAnsi="Bookman"/>
          <w:noProof/>
          <w:sz w:val="20"/>
        </w:rPr>
        <w:t>, 343–347 CR  – Copyright &amp;#169; 1983 Wiley.</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Bode, M., Tulloch, A.I.T., Mills, M., Venter, O. &amp; W. Ando, A. (2015) A conservation planning approach to mitigate the impacts of leakage from protected area networks. </w:t>
      </w:r>
      <w:r w:rsidRPr="000855C4">
        <w:rPr>
          <w:rFonts w:ascii="Bookman" w:hAnsi="Bookman"/>
          <w:i/>
          <w:iCs/>
          <w:noProof/>
          <w:sz w:val="20"/>
        </w:rPr>
        <w:t>Conservation Biology</w:t>
      </w:r>
      <w:r w:rsidRPr="000855C4">
        <w:rPr>
          <w:rFonts w:ascii="Bookman" w:hAnsi="Bookman"/>
          <w:noProof/>
          <w:sz w:val="20"/>
        </w:rPr>
        <w:t xml:space="preserve">, </w:t>
      </w:r>
      <w:r w:rsidRPr="000855C4">
        <w:rPr>
          <w:rFonts w:ascii="Bookman" w:hAnsi="Bookman"/>
          <w:b/>
          <w:bCs/>
          <w:noProof/>
          <w:sz w:val="20"/>
        </w:rPr>
        <w:t>29</w:t>
      </w:r>
      <w:r w:rsidRPr="000855C4">
        <w:rPr>
          <w:rFonts w:ascii="Bookman" w:hAnsi="Bookman"/>
          <w:noProof/>
          <w:sz w:val="20"/>
        </w:rPr>
        <w:t>, 765–774.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lastRenderedPageBreak/>
        <w:t xml:space="preserve">Bottrill, M.C., Joseph, L.N., Carwardine, J., Bode, M., Cook, C., Game, E.T., Grantham, H., Kark, S., Linke, S., McDonald-Madden, E., Pressey, R.L., Walker, S., Wilson, K.A. &amp; Possingham, H.P. (2008) Is conservation triage just smart decision making? </w:t>
      </w:r>
      <w:r w:rsidRPr="000855C4">
        <w:rPr>
          <w:rFonts w:ascii="Bookman" w:hAnsi="Bookman"/>
          <w:i/>
          <w:iCs/>
          <w:noProof/>
          <w:sz w:val="20"/>
        </w:rPr>
        <w:t>Trends in ecology &amp; evolution</w:t>
      </w:r>
      <w:r w:rsidRPr="000855C4">
        <w:rPr>
          <w:rFonts w:ascii="Bookman" w:hAnsi="Bookman"/>
          <w:noProof/>
          <w:sz w:val="20"/>
        </w:rPr>
        <w:t xml:space="preserve">, </w:t>
      </w:r>
      <w:r w:rsidRPr="000855C4">
        <w:rPr>
          <w:rFonts w:ascii="Bookman" w:hAnsi="Bookman"/>
          <w:b/>
          <w:bCs/>
          <w:noProof/>
          <w:sz w:val="20"/>
        </w:rPr>
        <w:t>23</w:t>
      </w:r>
      <w:r w:rsidRPr="000855C4">
        <w:rPr>
          <w:rFonts w:ascii="Bookman" w:hAnsi="Bookman"/>
          <w:noProof/>
          <w:sz w:val="20"/>
        </w:rPr>
        <w:t>, 649–54.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Boxall, A.B.A. &amp; Maltby, L. (1995) The characterization and toxicity of sediment contaminated with road runoff. </w:t>
      </w:r>
      <w:r w:rsidRPr="000855C4">
        <w:rPr>
          <w:rFonts w:ascii="Bookman" w:hAnsi="Bookman"/>
          <w:i/>
          <w:iCs/>
          <w:noProof/>
          <w:sz w:val="20"/>
        </w:rPr>
        <w:t>Water Research</w:t>
      </w:r>
      <w:r w:rsidRPr="000855C4">
        <w:rPr>
          <w:rFonts w:ascii="Bookman" w:hAnsi="Bookman"/>
          <w:noProof/>
          <w:sz w:val="20"/>
        </w:rPr>
        <w:t xml:space="preserve">, </w:t>
      </w:r>
      <w:r w:rsidRPr="000855C4">
        <w:rPr>
          <w:rFonts w:ascii="Bookman" w:hAnsi="Bookman"/>
          <w:b/>
          <w:bCs/>
          <w:noProof/>
          <w:sz w:val="20"/>
        </w:rPr>
        <w:t>29</w:t>
      </w:r>
      <w:r w:rsidRPr="000855C4">
        <w:rPr>
          <w:rFonts w:ascii="Bookman" w:hAnsi="Bookman"/>
          <w:noProof/>
          <w:sz w:val="20"/>
        </w:rPr>
        <w:t>, 2043–2050.</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Boyd, J., Epanchin-Niell, R. &amp; Siikamäki, J. (2015) Conservation Planning: A Review of Return on Investment Analysis. </w:t>
      </w:r>
      <w:r w:rsidRPr="000855C4">
        <w:rPr>
          <w:rFonts w:ascii="Bookman" w:hAnsi="Bookman"/>
          <w:i/>
          <w:iCs/>
          <w:noProof/>
          <w:sz w:val="20"/>
        </w:rPr>
        <w:t xml:space="preserve">Review of Environmental Economics and Policy </w:t>
      </w:r>
      <w:r w:rsidRPr="000855C4">
        <w:rPr>
          <w:rFonts w:ascii="Bookman" w:hAnsi="Bookman"/>
          <w:noProof/>
          <w:sz w:val="20"/>
        </w:rPr>
        <w:t>.</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Ten Brink, P., Mazza, L., Badura, M., Kettunen, M. &amp; Withana, S. (2012) </w:t>
      </w:r>
      <w:r w:rsidRPr="000855C4">
        <w:rPr>
          <w:rFonts w:ascii="Bookman" w:hAnsi="Bookman"/>
          <w:i/>
          <w:iCs/>
          <w:noProof/>
          <w:sz w:val="20"/>
        </w:rPr>
        <w:t>Nature and Its Role in the Transition to a Green Economy</w:t>
      </w:r>
      <w:r w:rsidRPr="000855C4">
        <w:rPr>
          <w:rFonts w:ascii="Bookman" w:hAnsi="Bookman"/>
          <w:noProof/>
          <w:sz w:val="20"/>
        </w:rPr>
        <w:t>.</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Brooks, T.M., Mittermeier, R.A., da Fonseca, G.A.B., Gerlach, J., Hoffmann, M., Lamoreux, J.F., Mittermeier, C.G., Pilgrim, J.D. &amp; Rodrigues, A.S.L. (2006) Global biodiversity conservation priorities. </w:t>
      </w:r>
      <w:r w:rsidRPr="000855C4">
        <w:rPr>
          <w:rFonts w:ascii="Bookman" w:hAnsi="Bookman"/>
          <w:i/>
          <w:iCs/>
          <w:noProof/>
          <w:sz w:val="20"/>
        </w:rPr>
        <w:t>Science</w:t>
      </w:r>
      <w:r w:rsidRPr="000855C4">
        <w:rPr>
          <w:rFonts w:ascii="Bookman" w:hAnsi="Bookman"/>
          <w:noProof/>
          <w:sz w:val="20"/>
        </w:rPr>
        <w:t xml:space="preserve">, </w:t>
      </w:r>
      <w:r w:rsidRPr="000855C4">
        <w:rPr>
          <w:rFonts w:ascii="Bookman" w:hAnsi="Bookman"/>
          <w:b/>
          <w:bCs/>
          <w:noProof/>
          <w:sz w:val="20"/>
        </w:rPr>
        <w:t>313</w:t>
      </w:r>
      <w:r w:rsidRPr="000855C4">
        <w:rPr>
          <w:rFonts w:ascii="Bookman" w:hAnsi="Bookman"/>
          <w:noProof/>
          <w:sz w:val="20"/>
        </w:rPr>
        <w:t>, 58–61.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Burke, D.M. &amp; Nol, E. (1998) Influence of Food Abundance, Nest-Site Habitat, and Forest Fragmentation on Breeding Ovenbirds. , </w:t>
      </w:r>
      <w:r w:rsidRPr="000855C4">
        <w:rPr>
          <w:rFonts w:ascii="Bookman" w:hAnsi="Bookman"/>
          <w:b/>
          <w:bCs/>
          <w:noProof/>
          <w:sz w:val="20"/>
        </w:rPr>
        <w:t>115</w:t>
      </w:r>
      <w:r w:rsidRPr="000855C4">
        <w:rPr>
          <w:rFonts w:ascii="Bookman" w:hAnsi="Bookman"/>
          <w:noProof/>
          <w:sz w:val="20"/>
        </w:rPr>
        <w:t>, 96–104.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Burton, G.A., Basu, N., Ellis, B.R., Kapo, K.E., Entrekin, S. &amp; Nadelhoffer, K. (2014) Hydraulic ‘Fracking’: Are surface water impacts an ecological concern? </w:t>
      </w:r>
      <w:r w:rsidRPr="000855C4">
        <w:rPr>
          <w:rFonts w:ascii="Bookman" w:hAnsi="Bookman"/>
          <w:i/>
          <w:iCs/>
          <w:noProof/>
          <w:sz w:val="20"/>
        </w:rPr>
        <w:t>Environmental Toxicology and Chemistry</w:t>
      </w:r>
      <w:r w:rsidRPr="000855C4">
        <w:rPr>
          <w:rFonts w:ascii="Bookman" w:hAnsi="Bookman"/>
          <w:noProof/>
          <w:sz w:val="20"/>
        </w:rPr>
        <w:t xml:space="preserve">, </w:t>
      </w:r>
      <w:r w:rsidRPr="000855C4">
        <w:rPr>
          <w:rFonts w:ascii="Bookman" w:hAnsi="Bookman"/>
          <w:b/>
          <w:bCs/>
          <w:noProof/>
          <w:sz w:val="20"/>
        </w:rPr>
        <w:t>33</w:t>
      </w:r>
      <w:r w:rsidRPr="000855C4">
        <w:rPr>
          <w:rFonts w:ascii="Bookman" w:hAnsi="Bookman"/>
          <w:noProof/>
          <w:sz w:val="20"/>
        </w:rPr>
        <w:t>, 1679–1689.</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Cabeza, M. &amp; Moilanen, A. (2001) Design of reserve networks and the persistence of biodiversity. </w:t>
      </w:r>
      <w:r w:rsidRPr="000855C4">
        <w:rPr>
          <w:rFonts w:ascii="Bookman" w:hAnsi="Bookman"/>
          <w:i/>
          <w:iCs/>
          <w:noProof/>
          <w:sz w:val="20"/>
        </w:rPr>
        <w:t>Trends in Ecology &amp; Evolution</w:t>
      </w:r>
      <w:r w:rsidRPr="000855C4">
        <w:rPr>
          <w:rFonts w:ascii="Bookman" w:hAnsi="Bookman"/>
          <w:noProof/>
          <w:sz w:val="20"/>
        </w:rPr>
        <w:t xml:space="preserve">, </w:t>
      </w:r>
      <w:r w:rsidRPr="000855C4">
        <w:rPr>
          <w:rFonts w:ascii="Bookman" w:hAnsi="Bookman"/>
          <w:b/>
          <w:bCs/>
          <w:noProof/>
          <w:sz w:val="20"/>
        </w:rPr>
        <w:t>16</w:t>
      </w:r>
      <w:r w:rsidRPr="000855C4">
        <w:rPr>
          <w:rFonts w:ascii="Bookman" w:hAnsi="Bookman"/>
          <w:noProof/>
          <w:sz w:val="20"/>
        </w:rPr>
        <w:t>, 242–248.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Caddy, J.F. (1973) Underwater Observations on Tracks of Dredges and Trawls and Some Effects of Dredging on a Scallop Ground. </w:t>
      </w:r>
      <w:r w:rsidRPr="000855C4">
        <w:rPr>
          <w:rFonts w:ascii="Bookman" w:hAnsi="Bookman"/>
          <w:i/>
          <w:iCs/>
          <w:noProof/>
          <w:sz w:val="20"/>
        </w:rPr>
        <w:t>Journal of the Fisheries Research Board of Canada</w:t>
      </w:r>
      <w:r w:rsidRPr="000855C4">
        <w:rPr>
          <w:rFonts w:ascii="Bookman" w:hAnsi="Bookman"/>
          <w:noProof/>
          <w:sz w:val="20"/>
        </w:rPr>
        <w:t xml:space="preserve">, </w:t>
      </w:r>
      <w:r w:rsidRPr="000855C4">
        <w:rPr>
          <w:rFonts w:ascii="Bookman" w:hAnsi="Bookman"/>
          <w:b/>
          <w:bCs/>
          <w:noProof/>
          <w:sz w:val="20"/>
        </w:rPr>
        <w:t>30</w:t>
      </w:r>
      <w:r w:rsidRPr="000855C4">
        <w:rPr>
          <w:rFonts w:ascii="Bookman" w:hAnsi="Bookman"/>
          <w:noProof/>
          <w:sz w:val="20"/>
        </w:rPr>
        <w:t>, 173–180.</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Cadenasso, M.L. &amp; Pickett, S.T.A. (2001) Effect of Edge Structure on the Flux of Species into Forest Interiors. </w:t>
      </w:r>
      <w:r w:rsidRPr="000855C4">
        <w:rPr>
          <w:rFonts w:ascii="Bookman" w:hAnsi="Bookman"/>
          <w:i/>
          <w:iCs/>
          <w:noProof/>
          <w:sz w:val="20"/>
        </w:rPr>
        <w:t>Conservation Biology</w:t>
      </w:r>
      <w:r w:rsidRPr="000855C4">
        <w:rPr>
          <w:rFonts w:ascii="Bookman" w:hAnsi="Bookman"/>
          <w:noProof/>
          <w:sz w:val="20"/>
        </w:rPr>
        <w:t xml:space="preserve">, </w:t>
      </w:r>
      <w:r w:rsidRPr="000855C4">
        <w:rPr>
          <w:rFonts w:ascii="Bookman" w:hAnsi="Bookman"/>
          <w:b/>
          <w:bCs/>
          <w:noProof/>
          <w:sz w:val="20"/>
        </w:rPr>
        <w:t>15</w:t>
      </w:r>
      <w:r w:rsidRPr="000855C4">
        <w:rPr>
          <w:rFonts w:ascii="Bookman" w:hAnsi="Bookman"/>
          <w:noProof/>
          <w:sz w:val="20"/>
        </w:rPr>
        <w:t>, 91–97.</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Carwardine, J., O’Connor, T., Legge, S., Mackey, B., Possingham, H.P. &amp; Martin, T.G. (2012) Prioritizing threat management for biodiversity conservation. </w:t>
      </w:r>
      <w:r w:rsidRPr="000855C4">
        <w:rPr>
          <w:rFonts w:ascii="Bookman" w:hAnsi="Bookman"/>
          <w:i/>
          <w:iCs/>
          <w:noProof/>
          <w:sz w:val="20"/>
        </w:rPr>
        <w:t>Conservation Letters</w:t>
      </w:r>
      <w:r w:rsidRPr="000855C4">
        <w:rPr>
          <w:rFonts w:ascii="Bookman" w:hAnsi="Bookman"/>
          <w:noProof/>
          <w:sz w:val="20"/>
        </w:rPr>
        <w:t xml:space="preserve">, </w:t>
      </w:r>
      <w:r w:rsidRPr="000855C4">
        <w:rPr>
          <w:rFonts w:ascii="Bookman" w:hAnsi="Bookman"/>
          <w:b/>
          <w:bCs/>
          <w:noProof/>
          <w:sz w:val="20"/>
        </w:rPr>
        <w:t>5</w:t>
      </w:r>
      <w:r w:rsidRPr="000855C4">
        <w:rPr>
          <w:rFonts w:ascii="Bookman" w:hAnsi="Bookman"/>
          <w:noProof/>
          <w:sz w:val="20"/>
        </w:rPr>
        <w:t>, 196–204.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Cason, T. &amp; Gangadharan, L. (2003) Transactions Costs in Tradable Permit Markets: An Experimental Study of Pollution Market Designs. </w:t>
      </w:r>
      <w:r w:rsidRPr="000855C4">
        <w:rPr>
          <w:rFonts w:ascii="Bookman" w:hAnsi="Bookman"/>
          <w:i/>
          <w:iCs/>
          <w:noProof/>
          <w:sz w:val="20"/>
        </w:rPr>
        <w:t>Journal of Regulatory Economics</w:t>
      </w:r>
      <w:r w:rsidRPr="000855C4">
        <w:rPr>
          <w:rFonts w:ascii="Bookman" w:hAnsi="Bookman"/>
          <w:noProof/>
          <w:sz w:val="20"/>
        </w:rPr>
        <w:t xml:space="preserve">, </w:t>
      </w:r>
      <w:r w:rsidRPr="000855C4">
        <w:rPr>
          <w:rFonts w:ascii="Bookman" w:hAnsi="Bookman"/>
          <w:b/>
          <w:bCs/>
          <w:noProof/>
          <w:sz w:val="20"/>
        </w:rPr>
        <w:t>23</w:t>
      </w:r>
      <w:r w:rsidRPr="000855C4">
        <w:rPr>
          <w:rFonts w:ascii="Bookman" w:hAnsi="Bookman"/>
          <w:noProof/>
          <w:sz w:val="20"/>
        </w:rPr>
        <w:t>, 145–165.</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Cattaneo, A., Hellerstein, D., Nickerson, C. &amp; Myers, C. (2006) </w:t>
      </w:r>
      <w:r w:rsidRPr="000855C4">
        <w:rPr>
          <w:rFonts w:ascii="Bookman" w:hAnsi="Bookman"/>
          <w:i/>
          <w:iCs/>
          <w:noProof/>
          <w:sz w:val="20"/>
        </w:rPr>
        <w:t>Balancing the Multiple Objectives of Conservation Programs</w:t>
      </w:r>
      <w:r w:rsidRPr="000855C4">
        <w:rPr>
          <w:rFonts w:ascii="Bookman" w:hAnsi="Bookman"/>
          <w:noProof/>
          <w:sz w:val="20"/>
        </w:rPr>
        <w:t>.</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Clark, C.E., Burnham, A.J., Harto, C.B. &amp; Horner, R.M. (2012) The Technology and Policy of Hydraulic Fracturing and Potential Environmental Impacts of Shale Gas Development. </w:t>
      </w:r>
      <w:r w:rsidRPr="000855C4">
        <w:rPr>
          <w:rFonts w:ascii="Bookman" w:hAnsi="Bookman"/>
          <w:i/>
          <w:iCs/>
          <w:noProof/>
          <w:sz w:val="20"/>
        </w:rPr>
        <w:t>Environmental Practice</w:t>
      </w:r>
      <w:r w:rsidRPr="000855C4">
        <w:rPr>
          <w:rFonts w:ascii="Bookman" w:hAnsi="Bookman"/>
          <w:noProof/>
          <w:sz w:val="20"/>
        </w:rPr>
        <w:t xml:space="preserve">, </w:t>
      </w:r>
      <w:r w:rsidRPr="000855C4">
        <w:rPr>
          <w:rFonts w:ascii="Bookman" w:hAnsi="Bookman"/>
          <w:b/>
          <w:bCs/>
          <w:noProof/>
          <w:sz w:val="20"/>
        </w:rPr>
        <w:t>14</w:t>
      </w:r>
      <w:r w:rsidRPr="000855C4">
        <w:rPr>
          <w:rFonts w:ascii="Bookman" w:hAnsi="Bookman"/>
          <w:noProof/>
          <w:sz w:val="20"/>
        </w:rPr>
        <w:t>, 249–261.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lastRenderedPageBreak/>
        <w:t xml:space="preserve">Coll, M., Piroddi, C., Albouy, C., Ben Rais Lasram, F., Cheung, W.W.L., Christensen, V., Karpouzi, V.S., Guilhaumon, F., Mouillot, D., Paleczny, M., Palomares, M.L., Steenbeek, J., Trujillo, P., Watson, R. &amp; Pauly, D. (2012) The Mediterranean Sea under siege: spatial overlap between marine biodiversity, cumulative threats and marine reserves. </w:t>
      </w:r>
      <w:r w:rsidRPr="000855C4">
        <w:rPr>
          <w:rFonts w:ascii="Bookman" w:hAnsi="Bookman"/>
          <w:i/>
          <w:iCs/>
          <w:noProof/>
          <w:sz w:val="20"/>
        </w:rPr>
        <w:t>Global Ecology and Biogeography</w:t>
      </w:r>
      <w:r w:rsidRPr="000855C4">
        <w:rPr>
          <w:rFonts w:ascii="Bookman" w:hAnsi="Bookman"/>
          <w:noProof/>
          <w:sz w:val="20"/>
        </w:rPr>
        <w:t xml:space="preserve">, </w:t>
      </w:r>
      <w:r w:rsidRPr="000855C4">
        <w:rPr>
          <w:rFonts w:ascii="Bookman" w:hAnsi="Bookman"/>
          <w:b/>
          <w:bCs/>
          <w:noProof/>
          <w:sz w:val="20"/>
        </w:rPr>
        <w:t>21</w:t>
      </w:r>
      <w:r w:rsidRPr="000855C4">
        <w:rPr>
          <w:rFonts w:ascii="Bookman" w:hAnsi="Bookman"/>
          <w:noProof/>
          <w:sz w:val="20"/>
        </w:rPr>
        <w:t>, 465–480.</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Cover, M.R., May, C.L., Dietrich, W.E. &amp; Resh, V.H. (2008) Quantitative linkages among sediment supply, streambed fine sediment, and benthic macroinvertebrates in northern California streams. </w:t>
      </w:r>
      <w:r w:rsidRPr="000855C4">
        <w:rPr>
          <w:rFonts w:ascii="Bookman" w:hAnsi="Bookman"/>
          <w:i/>
          <w:iCs/>
          <w:noProof/>
          <w:sz w:val="20"/>
        </w:rPr>
        <w:t>Journal of the North American Benthological Society</w:t>
      </w:r>
      <w:r w:rsidRPr="000855C4">
        <w:rPr>
          <w:rFonts w:ascii="Bookman" w:hAnsi="Bookman"/>
          <w:noProof/>
          <w:sz w:val="20"/>
        </w:rPr>
        <w:t xml:space="preserve">, </w:t>
      </w:r>
      <w:r w:rsidRPr="000855C4">
        <w:rPr>
          <w:rFonts w:ascii="Bookman" w:hAnsi="Bookman"/>
          <w:b/>
          <w:bCs/>
          <w:noProof/>
          <w:sz w:val="20"/>
        </w:rPr>
        <w:t>27</w:t>
      </w:r>
      <w:r w:rsidRPr="000855C4">
        <w:rPr>
          <w:rFonts w:ascii="Bookman" w:hAnsi="Bookman"/>
          <w:noProof/>
          <w:sz w:val="20"/>
        </w:rPr>
        <w:t>, 135–149.</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Cox, T.M., Lewison, R.L., Zydelis, R., Crowder, L.B., Safina, C. &amp; Read, A.J. (2007) Comparing Effectiveness of Experimental and Implemented Bycatch Reduction Measures: the Ideal and the Real. </w:t>
      </w:r>
      <w:r w:rsidRPr="000855C4">
        <w:rPr>
          <w:rFonts w:ascii="Bookman" w:hAnsi="Bookman"/>
          <w:i/>
          <w:iCs/>
          <w:noProof/>
          <w:sz w:val="20"/>
        </w:rPr>
        <w:t>Conservation Biology</w:t>
      </w:r>
      <w:r w:rsidRPr="000855C4">
        <w:rPr>
          <w:rFonts w:ascii="Bookman" w:hAnsi="Bookman"/>
          <w:noProof/>
          <w:sz w:val="20"/>
        </w:rPr>
        <w:t xml:space="preserve">, </w:t>
      </w:r>
      <w:r w:rsidRPr="000855C4">
        <w:rPr>
          <w:rFonts w:ascii="Bookman" w:hAnsi="Bookman"/>
          <w:b/>
          <w:bCs/>
          <w:noProof/>
          <w:sz w:val="20"/>
        </w:rPr>
        <w:t>21</w:t>
      </w:r>
      <w:r w:rsidRPr="000855C4">
        <w:rPr>
          <w:rFonts w:ascii="Bookman" w:hAnsi="Bookman"/>
          <w:noProof/>
          <w:sz w:val="20"/>
        </w:rPr>
        <w:t>, 1155–1164.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Crawley, M.J. (2007) </w:t>
      </w:r>
      <w:r w:rsidRPr="000855C4">
        <w:rPr>
          <w:rFonts w:ascii="Bookman" w:hAnsi="Bookman"/>
          <w:i/>
          <w:iCs/>
          <w:noProof/>
          <w:sz w:val="20"/>
        </w:rPr>
        <w:t>The R Book</w:t>
      </w:r>
      <w:r w:rsidRPr="000855C4">
        <w:rPr>
          <w:rFonts w:ascii="Bookman" w:hAnsi="Bookman"/>
          <w:noProof/>
          <w:sz w:val="20"/>
        </w:rPr>
        <w:t>. John Wiley &amp; Sons, Ltd.</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Crouse, D.T., Crowder, L.B. &amp; Caswell, H. (1987) A Stage-Based Population Model for Loggerhead Sea Turtles and Implications for Conservation. </w:t>
      </w:r>
      <w:r w:rsidRPr="000855C4">
        <w:rPr>
          <w:rFonts w:ascii="Bookman" w:hAnsi="Bookman"/>
          <w:i/>
          <w:iCs/>
          <w:noProof/>
          <w:sz w:val="20"/>
        </w:rPr>
        <w:t>Ecology</w:t>
      </w:r>
      <w:r w:rsidRPr="000855C4">
        <w:rPr>
          <w:rFonts w:ascii="Bookman" w:hAnsi="Bookman"/>
          <w:noProof/>
          <w:sz w:val="20"/>
        </w:rPr>
        <w:t xml:space="preserve">, </w:t>
      </w:r>
      <w:r w:rsidRPr="000855C4">
        <w:rPr>
          <w:rFonts w:ascii="Bookman" w:hAnsi="Bookman"/>
          <w:b/>
          <w:bCs/>
          <w:noProof/>
          <w:sz w:val="20"/>
        </w:rPr>
        <w:t>68</w:t>
      </w:r>
      <w:r w:rsidRPr="000855C4">
        <w:rPr>
          <w:rFonts w:ascii="Bookman" w:hAnsi="Bookman"/>
          <w:noProof/>
          <w:sz w:val="20"/>
        </w:rPr>
        <w:t>, 1412–1423.</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Crowder, L.B., Crouse, D.T., Heppell, S.S. &amp; Martin, T.H. (1994) Predicting the Impact of Turtle Excluder Devices on Loggerhead Sea Turtle Populations. </w:t>
      </w:r>
      <w:r w:rsidRPr="000855C4">
        <w:rPr>
          <w:rFonts w:ascii="Bookman" w:hAnsi="Bookman"/>
          <w:i/>
          <w:iCs/>
          <w:noProof/>
          <w:sz w:val="20"/>
        </w:rPr>
        <w:t>Ecological Applications</w:t>
      </w:r>
      <w:r w:rsidRPr="000855C4">
        <w:rPr>
          <w:rFonts w:ascii="Bookman" w:hAnsi="Bookman"/>
          <w:noProof/>
          <w:sz w:val="20"/>
        </w:rPr>
        <w:t xml:space="preserve">, </w:t>
      </w:r>
      <w:r w:rsidRPr="000855C4">
        <w:rPr>
          <w:rFonts w:ascii="Bookman" w:hAnsi="Bookman"/>
          <w:b/>
          <w:bCs/>
          <w:noProof/>
          <w:sz w:val="20"/>
        </w:rPr>
        <w:t>4</w:t>
      </w:r>
      <w:r w:rsidRPr="000855C4">
        <w:rPr>
          <w:rFonts w:ascii="Bookman" w:hAnsi="Bookman"/>
          <w:noProof/>
          <w:sz w:val="20"/>
        </w:rPr>
        <w:t>, 437–445.</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Crowder, L.B. &amp; Murawski, S.A. (1998) Fisheries Bycatch: Implications for Management. </w:t>
      </w:r>
      <w:r w:rsidRPr="000855C4">
        <w:rPr>
          <w:rFonts w:ascii="Bookman" w:hAnsi="Bookman"/>
          <w:i/>
          <w:iCs/>
          <w:noProof/>
          <w:sz w:val="20"/>
        </w:rPr>
        <w:t>Fisheries</w:t>
      </w:r>
      <w:r w:rsidRPr="000855C4">
        <w:rPr>
          <w:rFonts w:ascii="Bookman" w:hAnsi="Bookman"/>
          <w:noProof/>
          <w:sz w:val="20"/>
        </w:rPr>
        <w:t xml:space="preserve">, </w:t>
      </w:r>
      <w:r w:rsidRPr="000855C4">
        <w:rPr>
          <w:rFonts w:ascii="Bookman" w:hAnsi="Bookman"/>
          <w:b/>
          <w:bCs/>
          <w:noProof/>
          <w:sz w:val="20"/>
        </w:rPr>
        <w:t>23</w:t>
      </w:r>
      <w:r w:rsidRPr="000855C4">
        <w:rPr>
          <w:rFonts w:ascii="Bookman" w:hAnsi="Bookman"/>
          <w:noProof/>
          <w:sz w:val="20"/>
        </w:rPr>
        <w:t>, 8–17.</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Csuti, B., Polasky, S., Williams, P.H., Pressey, R.L., Camm, J.D., Kershaw, M., Kiester, A.R., Downs, B., Hamilton, R., Huso, M. &amp; Sahr, K. (1997) A comparison of reserve selection algorithms using data on terrestrial vertebrates in Oregon. </w:t>
      </w:r>
      <w:r w:rsidRPr="000855C4">
        <w:rPr>
          <w:rFonts w:ascii="Bookman" w:hAnsi="Bookman"/>
          <w:i/>
          <w:iCs/>
          <w:noProof/>
          <w:sz w:val="20"/>
        </w:rPr>
        <w:t>Biological Conservation</w:t>
      </w:r>
      <w:r w:rsidRPr="000855C4">
        <w:rPr>
          <w:rFonts w:ascii="Bookman" w:hAnsi="Bookman"/>
          <w:noProof/>
          <w:sz w:val="20"/>
        </w:rPr>
        <w:t xml:space="preserve">, </w:t>
      </w:r>
      <w:r w:rsidRPr="000855C4">
        <w:rPr>
          <w:rFonts w:ascii="Bookman" w:hAnsi="Bookman"/>
          <w:b/>
          <w:bCs/>
          <w:noProof/>
          <w:sz w:val="20"/>
        </w:rPr>
        <w:t>80</w:t>
      </w:r>
      <w:r w:rsidRPr="000855C4">
        <w:rPr>
          <w:rFonts w:ascii="Bookman" w:hAnsi="Bookman"/>
          <w:noProof/>
          <w:sz w:val="20"/>
        </w:rPr>
        <w:t>, 83–97.</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Curry, R.A. &amp; MacNeill, W.S. (2004) Population-level responses to sediment during early life inbrook trout. </w:t>
      </w:r>
      <w:r w:rsidRPr="000855C4">
        <w:rPr>
          <w:rFonts w:ascii="Bookman" w:hAnsi="Bookman"/>
          <w:i/>
          <w:iCs/>
          <w:noProof/>
          <w:sz w:val="20"/>
        </w:rPr>
        <w:t>Journal of the North American Benthological Society</w:t>
      </w:r>
      <w:r w:rsidRPr="000855C4">
        <w:rPr>
          <w:rFonts w:ascii="Bookman" w:hAnsi="Bookman"/>
          <w:noProof/>
          <w:sz w:val="20"/>
        </w:rPr>
        <w:t xml:space="preserve">, </w:t>
      </w:r>
      <w:r w:rsidRPr="000855C4">
        <w:rPr>
          <w:rFonts w:ascii="Bookman" w:hAnsi="Bookman"/>
          <w:b/>
          <w:bCs/>
          <w:noProof/>
          <w:sz w:val="20"/>
        </w:rPr>
        <w:t>23</w:t>
      </w:r>
      <w:r w:rsidRPr="000855C4">
        <w:rPr>
          <w:rFonts w:ascii="Bookman" w:hAnsi="Bookman"/>
          <w:noProof/>
          <w:sz w:val="20"/>
        </w:rPr>
        <w:t>, 140–150.</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Davies, K.F., Margules, C.R. &amp; Lawrence, J.F. (2000) Which traits of species predict population declines in experiment forest fragments? </w:t>
      </w:r>
      <w:r w:rsidRPr="000855C4">
        <w:rPr>
          <w:rFonts w:ascii="Bookman" w:hAnsi="Bookman"/>
          <w:i/>
          <w:iCs/>
          <w:noProof/>
          <w:sz w:val="20"/>
        </w:rPr>
        <w:t>Ecology</w:t>
      </w:r>
      <w:r w:rsidRPr="000855C4">
        <w:rPr>
          <w:rFonts w:ascii="Bookman" w:hAnsi="Bookman"/>
          <w:noProof/>
          <w:sz w:val="20"/>
        </w:rPr>
        <w:t xml:space="preserve">, </w:t>
      </w:r>
      <w:r w:rsidRPr="000855C4">
        <w:rPr>
          <w:rFonts w:ascii="Bookman" w:hAnsi="Bookman"/>
          <w:b/>
          <w:bCs/>
          <w:noProof/>
          <w:sz w:val="20"/>
        </w:rPr>
        <w:t>81</w:t>
      </w:r>
      <w:r w:rsidRPr="000855C4">
        <w:rPr>
          <w:rFonts w:ascii="Bookman" w:hAnsi="Bookman"/>
          <w:noProof/>
          <w:sz w:val="20"/>
        </w:rPr>
        <w:t>, 1450–1461.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Davis, J.B. &amp; Robinson, G.R. (2012) A Geographic Model to Assess and Limit Cumulative Ecological Degradation from Marcellus Shale Exploitation in New York , USA. </w:t>
      </w:r>
      <w:r w:rsidRPr="000855C4">
        <w:rPr>
          <w:rFonts w:ascii="Bookman" w:hAnsi="Bookman"/>
          <w:i/>
          <w:iCs/>
          <w:noProof/>
          <w:sz w:val="20"/>
        </w:rPr>
        <w:t>Ecology and Society</w:t>
      </w:r>
      <w:r w:rsidRPr="000855C4">
        <w:rPr>
          <w:rFonts w:ascii="Bookman" w:hAnsi="Bookman"/>
          <w:noProof/>
          <w:sz w:val="20"/>
        </w:rPr>
        <w:t xml:space="preserve">, </w:t>
      </w:r>
      <w:r w:rsidRPr="000855C4">
        <w:rPr>
          <w:rFonts w:ascii="Bookman" w:hAnsi="Bookman"/>
          <w:b/>
          <w:bCs/>
          <w:noProof/>
          <w:sz w:val="20"/>
        </w:rPr>
        <w:t>17</w:t>
      </w:r>
      <w:r w:rsidRPr="000855C4">
        <w:rPr>
          <w:rFonts w:ascii="Bookman" w:hAnsi="Bookman"/>
          <w:noProof/>
          <w:sz w:val="20"/>
        </w:rPr>
        <w:t>.</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Detrow, S. (2012) Lycoming County Fracking Spill: Truck Belongs To Spill Response Company. </w:t>
      </w:r>
      <w:r w:rsidRPr="000855C4">
        <w:rPr>
          <w:rFonts w:ascii="Bookman" w:hAnsi="Bookman"/>
          <w:i/>
          <w:iCs/>
          <w:noProof/>
          <w:sz w:val="20"/>
        </w:rPr>
        <w:t>StateImpact</w:t>
      </w:r>
      <w:r w:rsidRPr="000855C4">
        <w:rPr>
          <w:rFonts w:ascii="Bookman" w:hAnsi="Bookman"/>
          <w:noProof/>
          <w:sz w:val="20"/>
        </w:rPr>
        <w:t>, 3–5.</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Diamond, J.M. (1975) The island dilemma: Lessons of modern biogeographic studies for the design of natural reserves. </w:t>
      </w:r>
      <w:r w:rsidRPr="000855C4">
        <w:rPr>
          <w:rFonts w:ascii="Bookman" w:hAnsi="Bookman"/>
          <w:i/>
          <w:iCs/>
          <w:noProof/>
          <w:sz w:val="20"/>
        </w:rPr>
        <w:t>Biological Conservation</w:t>
      </w:r>
      <w:r w:rsidRPr="000855C4">
        <w:rPr>
          <w:rFonts w:ascii="Bookman" w:hAnsi="Bookman"/>
          <w:noProof/>
          <w:sz w:val="20"/>
        </w:rPr>
        <w:t xml:space="preserve">, </w:t>
      </w:r>
      <w:r w:rsidRPr="000855C4">
        <w:rPr>
          <w:rFonts w:ascii="Bookman" w:hAnsi="Bookman"/>
          <w:b/>
          <w:bCs/>
          <w:noProof/>
          <w:sz w:val="20"/>
        </w:rPr>
        <w:t>7</w:t>
      </w:r>
      <w:r w:rsidRPr="000855C4">
        <w:rPr>
          <w:rFonts w:ascii="Bookman" w:hAnsi="Bookman"/>
          <w:noProof/>
          <w:sz w:val="20"/>
        </w:rPr>
        <w:t>, 129–146.</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lastRenderedPageBreak/>
        <w:t xml:space="preserve">Didham, R.K., Hammond, P.M., Lawton, J.H., Eggleton, P. &amp; Stork, N.E. (1998) Beetle species responses to tropical forest fragmentation. </w:t>
      </w:r>
      <w:r w:rsidRPr="000855C4">
        <w:rPr>
          <w:rFonts w:ascii="Bookman" w:hAnsi="Bookman"/>
          <w:i/>
          <w:iCs/>
          <w:noProof/>
          <w:sz w:val="20"/>
        </w:rPr>
        <w:t>Ecological Monographs</w:t>
      </w:r>
      <w:r w:rsidRPr="000855C4">
        <w:rPr>
          <w:rFonts w:ascii="Bookman" w:hAnsi="Bookman"/>
          <w:noProof/>
          <w:sz w:val="20"/>
        </w:rPr>
        <w:t xml:space="preserve">, </w:t>
      </w:r>
      <w:r w:rsidRPr="000855C4">
        <w:rPr>
          <w:rFonts w:ascii="Bookman" w:hAnsi="Bookman"/>
          <w:b/>
          <w:bCs/>
          <w:noProof/>
          <w:sz w:val="20"/>
        </w:rPr>
        <w:t>68</w:t>
      </w:r>
      <w:r w:rsidRPr="000855C4">
        <w:rPr>
          <w:rFonts w:ascii="Bookman" w:hAnsi="Bookman"/>
          <w:noProof/>
          <w:sz w:val="20"/>
        </w:rPr>
        <w:t>, 295–323.</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Didier, K.A., Glennon, M.J., Novaro, A., Sanderson, E.W., Strindberg, S., Walker, S. &amp; Di Martino, S. (2009) The Landscape Species Approach: spatially-explicit conservation planning applied in the Adirondacks, USA, and San Guillermo-Laguna Brava, Argentina, landscapes. </w:t>
      </w:r>
      <w:r w:rsidRPr="000855C4">
        <w:rPr>
          <w:rFonts w:ascii="Bookman" w:hAnsi="Bookman"/>
          <w:i/>
          <w:iCs/>
          <w:noProof/>
          <w:sz w:val="20"/>
        </w:rPr>
        <w:t>Oryx</w:t>
      </w:r>
      <w:r w:rsidRPr="000855C4">
        <w:rPr>
          <w:rFonts w:ascii="Bookman" w:hAnsi="Bookman"/>
          <w:noProof/>
          <w:sz w:val="20"/>
        </w:rPr>
        <w:t xml:space="preserve">, </w:t>
      </w:r>
      <w:r w:rsidRPr="000855C4">
        <w:rPr>
          <w:rFonts w:ascii="Bookman" w:hAnsi="Bookman"/>
          <w:b/>
          <w:bCs/>
          <w:noProof/>
          <w:sz w:val="20"/>
        </w:rPr>
        <w:t>43</w:t>
      </w:r>
      <w:r w:rsidRPr="000855C4">
        <w:rPr>
          <w:rFonts w:ascii="Bookman" w:hAnsi="Bookman"/>
          <w:noProof/>
          <w:sz w:val="20"/>
        </w:rPr>
        <w:t>, 476–487.</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Dijkstra, E.W. (1959) A Note on Two Problems in Connexion with Graphs. </w:t>
      </w:r>
      <w:r w:rsidRPr="000855C4">
        <w:rPr>
          <w:rFonts w:ascii="Bookman" w:hAnsi="Bookman"/>
          <w:i/>
          <w:iCs/>
          <w:noProof/>
          <w:sz w:val="20"/>
        </w:rPr>
        <w:t>Numerische Mathematik</w:t>
      </w:r>
      <w:r w:rsidRPr="000855C4">
        <w:rPr>
          <w:rFonts w:ascii="Bookman" w:hAnsi="Bookman"/>
          <w:noProof/>
          <w:sz w:val="20"/>
        </w:rPr>
        <w:t xml:space="preserve">, </w:t>
      </w:r>
      <w:r w:rsidRPr="000855C4">
        <w:rPr>
          <w:rFonts w:ascii="Bookman" w:hAnsi="Bookman"/>
          <w:b/>
          <w:bCs/>
          <w:noProof/>
          <w:sz w:val="20"/>
        </w:rPr>
        <w:t>1</w:t>
      </w:r>
      <w:r w:rsidRPr="000855C4">
        <w:rPr>
          <w:rFonts w:ascii="Bookman" w:hAnsi="Bookman"/>
          <w:noProof/>
          <w:sz w:val="20"/>
        </w:rPr>
        <w:t>, 269–271.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Dobson, A.P., Rodriguez, J.P., Roberts, W.M. &amp; Wilcove, D.S. (1997) Geographic distribution of endangered species in the United States. </w:t>
      </w:r>
      <w:r w:rsidRPr="000855C4">
        <w:rPr>
          <w:rFonts w:ascii="Bookman" w:hAnsi="Bookman"/>
          <w:i/>
          <w:iCs/>
          <w:noProof/>
          <w:sz w:val="20"/>
        </w:rPr>
        <w:t>Science</w:t>
      </w:r>
      <w:r w:rsidRPr="000855C4">
        <w:rPr>
          <w:rFonts w:ascii="Bookman" w:hAnsi="Bookman"/>
          <w:noProof/>
          <w:sz w:val="20"/>
        </w:rPr>
        <w:t xml:space="preserve">, </w:t>
      </w:r>
      <w:r w:rsidRPr="000855C4">
        <w:rPr>
          <w:rFonts w:ascii="Bookman" w:hAnsi="Bookman"/>
          <w:b/>
          <w:bCs/>
          <w:noProof/>
          <w:sz w:val="20"/>
        </w:rPr>
        <w:t>275</w:t>
      </w:r>
      <w:r w:rsidRPr="000855C4">
        <w:rPr>
          <w:rFonts w:ascii="Bookman" w:hAnsi="Bookman"/>
          <w:noProof/>
          <w:sz w:val="20"/>
        </w:rPr>
        <w:t>, 550–553.</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Drohan, P.J., Brittingham, M., Bishop, J. &amp; Yoder, K. (2012) Early trends in landcover change and forest fragmentation due to shale-gas development in Pennsylvania: a potential outcome for the Northcentral Appalachians. </w:t>
      </w:r>
      <w:r w:rsidRPr="000855C4">
        <w:rPr>
          <w:rFonts w:ascii="Bookman" w:hAnsi="Bookman"/>
          <w:i/>
          <w:iCs/>
          <w:noProof/>
          <w:sz w:val="20"/>
        </w:rPr>
        <w:t>Environmental Management</w:t>
      </w:r>
      <w:r w:rsidRPr="000855C4">
        <w:rPr>
          <w:rFonts w:ascii="Bookman" w:hAnsi="Bookman"/>
          <w:noProof/>
          <w:sz w:val="20"/>
        </w:rPr>
        <w:t xml:space="preserve">, </w:t>
      </w:r>
      <w:r w:rsidRPr="000855C4">
        <w:rPr>
          <w:rFonts w:ascii="Bookman" w:hAnsi="Bookman"/>
          <w:b/>
          <w:bCs/>
          <w:noProof/>
          <w:sz w:val="20"/>
        </w:rPr>
        <w:t>49</w:t>
      </w:r>
      <w:r w:rsidRPr="000855C4">
        <w:rPr>
          <w:rFonts w:ascii="Bookman" w:hAnsi="Bookman"/>
          <w:noProof/>
          <w:sz w:val="20"/>
        </w:rPr>
        <w:t>, 1–15.</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Engel, S., Pagiola, S. &amp; Wunder, S. (2008) Designing payments for environmental services in theory and practice: An overview of the issues. </w:t>
      </w:r>
      <w:r w:rsidRPr="000855C4">
        <w:rPr>
          <w:rFonts w:ascii="Bookman" w:hAnsi="Bookman"/>
          <w:i/>
          <w:iCs/>
          <w:noProof/>
          <w:sz w:val="20"/>
        </w:rPr>
        <w:t>Ecological Economics</w:t>
      </w:r>
      <w:r w:rsidRPr="000855C4">
        <w:rPr>
          <w:rFonts w:ascii="Bookman" w:hAnsi="Bookman"/>
          <w:noProof/>
          <w:sz w:val="20"/>
        </w:rPr>
        <w:t xml:space="preserve">, </w:t>
      </w:r>
      <w:r w:rsidRPr="000855C4">
        <w:rPr>
          <w:rFonts w:ascii="Bookman" w:hAnsi="Bookman"/>
          <w:b/>
          <w:bCs/>
          <w:noProof/>
          <w:sz w:val="20"/>
        </w:rPr>
        <w:t>65</w:t>
      </w:r>
      <w:r w:rsidRPr="000855C4">
        <w:rPr>
          <w:rFonts w:ascii="Bookman" w:hAnsi="Bookman"/>
          <w:noProof/>
          <w:sz w:val="20"/>
        </w:rPr>
        <w:t>, 663–674.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Entrekin, S., Evans-White, M., Johnson, B. &amp; Hagenbuch, E. (2011) Rapid expansion of natural gas development poses a threat to surface waters. </w:t>
      </w:r>
      <w:r w:rsidRPr="000855C4">
        <w:rPr>
          <w:rFonts w:ascii="Bookman" w:hAnsi="Bookman"/>
          <w:i/>
          <w:iCs/>
          <w:noProof/>
          <w:sz w:val="20"/>
        </w:rPr>
        <w:t>Frontiers in Ecology and the Environment</w:t>
      </w:r>
      <w:r w:rsidRPr="000855C4">
        <w:rPr>
          <w:rFonts w:ascii="Bookman" w:hAnsi="Bookman"/>
          <w:noProof/>
          <w:sz w:val="20"/>
        </w:rPr>
        <w:t xml:space="preserve">, </w:t>
      </w:r>
      <w:r w:rsidRPr="000855C4">
        <w:rPr>
          <w:rFonts w:ascii="Bookman" w:hAnsi="Bookman"/>
          <w:b/>
          <w:bCs/>
          <w:noProof/>
          <w:sz w:val="20"/>
        </w:rPr>
        <w:t>9</w:t>
      </w:r>
      <w:r w:rsidRPr="000855C4">
        <w:rPr>
          <w:rFonts w:ascii="Bookman" w:hAnsi="Bookman"/>
          <w:noProof/>
          <w:sz w:val="20"/>
        </w:rPr>
        <w:t>, 503–511.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ESRI. (2013) ArcMap.</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Evans, J.S. &amp; Kiesecker, J.M. (2014) Shale Gas, Wind and Water: Assessing the Potential Cumulative Impacts of Energy Development on Ecosystem Services within the Marcellus Play. </w:t>
      </w:r>
      <w:r w:rsidRPr="000855C4">
        <w:rPr>
          <w:rFonts w:ascii="Bookman" w:hAnsi="Bookman"/>
          <w:i/>
          <w:iCs/>
          <w:noProof/>
          <w:sz w:val="20"/>
        </w:rPr>
        <w:t>PLoS ONE</w:t>
      </w:r>
      <w:r w:rsidRPr="000855C4">
        <w:rPr>
          <w:rFonts w:ascii="Bookman" w:hAnsi="Bookman"/>
          <w:noProof/>
          <w:sz w:val="20"/>
        </w:rPr>
        <w:t xml:space="preserve">, </w:t>
      </w:r>
      <w:r w:rsidRPr="000855C4">
        <w:rPr>
          <w:rFonts w:ascii="Bookman" w:hAnsi="Bookman"/>
          <w:b/>
          <w:bCs/>
          <w:noProof/>
          <w:sz w:val="20"/>
        </w:rPr>
        <w:t>9</w:t>
      </w:r>
      <w:r w:rsidRPr="000855C4">
        <w:rPr>
          <w:rFonts w:ascii="Bookman" w:hAnsi="Bookman"/>
          <w:noProof/>
          <w:sz w:val="20"/>
        </w:rPr>
        <w:t>, e89210.</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Fahrig, L. (2003) Effects of Habitat Fragmentation on Biodiversity. </w:t>
      </w:r>
      <w:r w:rsidRPr="000855C4">
        <w:rPr>
          <w:rFonts w:ascii="Bookman" w:hAnsi="Bookman"/>
          <w:i/>
          <w:iCs/>
          <w:noProof/>
          <w:sz w:val="20"/>
        </w:rPr>
        <w:t>Annual Review of Ecology, Evolution, and Systematics</w:t>
      </w:r>
      <w:r w:rsidRPr="000855C4">
        <w:rPr>
          <w:rFonts w:ascii="Bookman" w:hAnsi="Bookman"/>
          <w:noProof/>
          <w:sz w:val="20"/>
        </w:rPr>
        <w:t xml:space="preserve">, </w:t>
      </w:r>
      <w:r w:rsidRPr="000855C4">
        <w:rPr>
          <w:rFonts w:ascii="Bookman" w:hAnsi="Bookman"/>
          <w:b/>
          <w:bCs/>
          <w:noProof/>
          <w:sz w:val="20"/>
        </w:rPr>
        <w:t>34</w:t>
      </w:r>
      <w:r w:rsidRPr="000855C4">
        <w:rPr>
          <w:rFonts w:ascii="Bookman" w:hAnsi="Bookman"/>
          <w:noProof/>
          <w:sz w:val="20"/>
        </w:rPr>
        <w:t>, 487–515.</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Falconer, K., Dupraz, P. &amp; Whitby, M. (2001) An Investigation of Policy Administrative Costs Using Panel Data for the English Environmentally Sensitive Areas. </w:t>
      </w:r>
      <w:r w:rsidRPr="000855C4">
        <w:rPr>
          <w:rFonts w:ascii="Bookman" w:hAnsi="Bookman"/>
          <w:i/>
          <w:iCs/>
          <w:noProof/>
          <w:sz w:val="20"/>
        </w:rPr>
        <w:t>Journal of Agricultural Economics</w:t>
      </w:r>
      <w:r w:rsidRPr="000855C4">
        <w:rPr>
          <w:rFonts w:ascii="Bookman" w:hAnsi="Bookman"/>
          <w:noProof/>
          <w:sz w:val="20"/>
        </w:rPr>
        <w:t xml:space="preserve">, </w:t>
      </w:r>
      <w:r w:rsidRPr="000855C4">
        <w:rPr>
          <w:rFonts w:ascii="Bookman" w:hAnsi="Bookman"/>
          <w:b/>
          <w:bCs/>
          <w:noProof/>
          <w:sz w:val="20"/>
        </w:rPr>
        <w:t>52</w:t>
      </w:r>
      <w:r w:rsidRPr="000855C4">
        <w:rPr>
          <w:rFonts w:ascii="Bookman" w:hAnsi="Bookman"/>
          <w:noProof/>
          <w:sz w:val="20"/>
        </w:rPr>
        <w:t>, 83–103.</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Felinks, B., Pardini, R., Dixo, M., Follner, K., Metzger, J.P. &amp; Henle, K. (2011) Effects of species turnover on reserve site selection in a fragmented landscape. </w:t>
      </w:r>
      <w:r w:rsidRPr="000855C4">
        <w:rPr>
          <w:rFonts w:ascii="Bookman" w:hAnsi="Bookman"/>
          <w:i/>
          <w:iCs/>
          <w:noProof/>
          <w:sz w:val="20"/>
        </w:rPr>
        <w:t>Biodiversity and Conservation</w:t>
      </w:r>
      <w:r w:rsidRPr="000855C4">
        <w:rPr>
          <w:rFonts w:ascii="Bookman" w:hAnsi="Bookman"/>
          <w:noProof/>
          <w:sz w:val="20"/>
        </w:rPr>
        <w:t xml:space="preserve">, </w:t>
      </w:r>
      <w:r w:rsidRPr="000855C4">
        <w:rPr>
          <w:rFonts w:ascii="Bookman" w:hAnsi="Bookman"/>
          <w:b/>
          <w:bCs/>
          <w:noProof/>
          <w:sz w:val="20"/>
        </w:rPr>
        <w:t>20</w:t>
      </w:r>
      <w:r w:rsidRPr="000855C4">
        <w:rPr>
          <w:rFonts w:ascii="Bookman" w:hAnsi="Bookman"/>
          <w:noProof/>
          <w:sz w:val="20"/>
        </w:rPr>
        <w:t>, 1057–1072.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Ferraro, P.J. (2008) Asymmetric information and contract design for payments for environmental services. </w:t>
      </w:r>
      <w:r w:rsidRPr="000855C4">
        <w:rPr>
          <w:rFonts w:ascii="Bookman" w:hAnsi="Bookman"/>
          <w:i/>
          <w:iCs/>
          <w:noProof/>
          <w:sz w:val="20"/>
        </w:rPr>
        <w:t>Ecological Economics</w:t>
      </w:r>
      <w:r w:rsidRPr="000855C4">
        <w:rPr>
          <w:rFonts w:ascii="Bookman" w:hAnsi="Bookman"/>
          <w:noProof/>
          <w:sz w:val="20"/>
        </w:rPr>
        <w:t xml:space="preserve">, </w:t>
      </w:r>
      <w:r w:rsidRPr="000855C4">
        <w:rPr>
          <w:rFonts w:ascii="Bookman" w:hAnsi="Bookman"/>
          <w:b/>
          <w:bCs/>
          <w:noProof/>
          <w:sz w:val="20"/>
        </w:rPr>
        <w:t>65</w:t>
      </w:r>
      <w:r w:rsidRPr="000855C4">
        <w:rPr>
          <w:rFonts w:ascii="Bookman" w:hAnsi="Bookman"/>
          <w:noProof/>
          <w:sz w:val="20"/>
        </w:rPr>
        <w:t>, 810–821.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Forman, R.T.T. &amp; Alexander, L.E. (1998) Roads and their major ecological effects. </w:t>
      </w:r>
      <w:r w:rsidRPr="000855C4">
        <w:rPr>
          <w:rFonts w:ascii="Bookman" w:hAnsi="Bookman"/>
          <w:i/>
          <w:iCs/>
          <w:noProof/>
          <w:sz w:val="20"/>
        </w:rPr>
        <w:t>Annual Review of Ecology and Systematics</w:t>
      </w:r>
      <w:r w:rsidRPr="000855C4">
        <w:rPr>
          <w:rFonts w:ascii="Bookman" w:hAnsi="Bookman"/>
          <w:noProof/>
          <w:sz w:val="20"/>
        </w:rPr>
        <w:t xml:space="preserve">, </w:t>
      </w:r>
      <w:r w:rsidRPr="000855C4">
        <w:rPr>
          <w:rFonts w:ascii="Bookman" w:hAnsi="Bookman"/>
          <w:b/>
          <w:bCs/>
          <w:noProof/>
          <w:sz w:val="20"/>
        </w:rPr>
        <w:t>29</w:t>
      </w:r>
      <w:r w:rsidRPr="000855C4">
        <w:rPr>
          <w:rFonts w:ascii="Bookman" w:hAnsi="Bookman"/>
          <w:noProof/>
          <w:sz w:val="20"/>
        </w:rPr>
        <w:t>, 207–231.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lastRenderedPageBreak/>
        <w:t xml:space="preserve">Foster, V. &amp; Hahn, R.W. (1995) Designing more efficient markets: lessons from Los Angeles smog control. </w:t>
      </w:r>
      <w:r w:rsidRPr="000855C4">
        <w:rPr>
          <w:rFonts w:ascii="Bookman" w:hAnsi="Bookman"/>
          <w:i/>
          <w:iCs/>
          <w:noProof/>
          <w:sz w:val="20"/>
        </w:rPr>
        <w:t>Journal of Law and Economics</w:t>
      </w:r>
      <w:r w:rsidRPr="000855C4">
        <w:rPr>
          <w:rFonts w:ascii="Bookman" w:hAnsi="Bookman"/>
          <w:noProof/>
          <w:sz w:val="20"/>
        </w:rPr>
        <w:t>, 19–48.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Franklin, J. &amp; Forman, R.T. (1987) Creating landscape patterns by forest cutting: Ecological consequences and principles. </w:t>
      </w:r>
      <w:r w:rsidRPr="000855C4">
        <w:rPr>
          <w:rFonts w:ascii="Bookman" w:hAnsi="Bookman"/>
          <w:i/>
          <w:iCs/>
          <w:noProof/>
          <w:sz w:val="20"/>
        </w:rPr>
        <w:t>Landscape Ecology</w:t>
      </w:r>
      <w:r w:rsidRPr="000855C4">
        <w:rPr>
          <w:rFonts w:ascii="Bookman" w:hAnsi="Bookman"/>
          <w:noProof/>
          <w:sz w:val="20"/>
        </w:rPr>
        <w:t xml:space="preserve">, </w:t>
      </w:r>
      <w:r w:rsidRPr="000855C4">
        <w:rPr>
          <w:rFonts w:ascii="Bookman" w:hAnsi="Bookman"/>
          <w:b/>
          <w:bCs/>
          <w:noProof/>
          <w:sz w:val="20"/>
        </w:rPr>
        <w:t>1</w:t>
      </w:r>
      <w:r w:rsidRPr="000855C4">
        <w:rPr>
          <w:rFonts w:ascii="Bookman" w:hAnsi="Bookman"/>
          <w:noProof/>
          <w:sz w:val="20"/>
        </w:rPr>
        <w:t>, 5–18.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Freitag, S. &amp; van Jaarsveld, A.S. (1998) Sensitivity of selection procedures for priority conservation areas to survey extent, survey intensity and taxonomic knowledge. </w:t>
      </w:r>
      <w:r w:rsidRPr="000855C4">
        <w:rPr>
          <w:rFonts w:ascii="Bookman" w:hAnsi="Bookman"/>
          <w:i/>
          <w:iCs/>
          <w:noProof/>
          <w:sz w:val="20"/>
        </w:rPr>
        <w:t>Proceedings of the Royal Society of London B.</w:t>
      </w:r>
      <w:r w:rsidRPr="000855C4">
        <w:rPr>
          <w:rFonts w:ascii="Bookman" w:hAnsi="Bookman"/>
          <w:noProof/>
          <w:sz w:val="20"/>
        </w:rPr>
        <w:t xml:space="preserve">, </w:t>
      </w:r>
      <w:r w:rsidRPr="000855C4">
        <w:rPr>
          <w:rFonts w:ascii="Bookman" w:hAnsi="Bookman"/>
          <w:b/>
          <w:bCs/>
          <w:noProof/>
          <w:sz w:val="20"/>
        </w:rPr>
        <w:t>265</w:t>
      </w:r>
      <w:r w:rsidRPr="000855C4">
        <w:rPr>
          <w:rFonts w:ascii="Bookman" w:hAnsi="Bookman"/>
          <w:noProof/>
          <w:sz w:val="20"/>
        </w:rPr>
        <w:t>, 1475–1482.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García-Tejero, S., Taboada, Á., Tárrega, R. &amp; Salgado, J.M. (2013) Land use changes and ground dwelling beetle conservation in extensive grazing dehesa systems of north-west Spain. </w:t>
      </w:r>
      <w:r w:rsidRPr="000855C4">
        <w:rPr>
          <w:rFonts w:ascii="Bookman" w:hAnsi="Bookman"/>
          <w:i/>
          <w:iCs/>
          <w:noProof/>
          <w:sz w:val="20"/>
        </w:rPr>
        <w:t>Biological Conservation</w:t>
      </w:r>
      <w:r w:rsidRPr="000855C4">
        <w:rPr>
          <w:rFonts w:ascii="Bookman" w:hAnsi="Bookman"/>
          <w:noProof/>
          <w:sz w:val="20"/>
        </w:rPr>
        <w:t xml:space="preserve">, </w:t>
      </w:r>
      <w:r w:rsidRPr="000855C4">
        <w:rPr>
          <w:rFonts w:ascii="Bookman" w:hAnsi="Bookman"/>
          <w:b/>
          <w:bCs/>
          <w:noProof/>
          <w:sz w:val="20"/>
        </w:rPr>
        <w:t>161</w:t>
      </w:r>
      <w:r w:rsidRPr="000855C4">
        <w:rPr>
          <w:rFonts w:ascii="Bookman" w:hAnsi="Bookman"/>
          <w:noProof/>
          <w:sz w:val="20"/>
        </w:rPr>
        <w:t>, 58–66.</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Gaston, K.J. (2000) Global patterns in biodiversity. </w:t>
      </w:r>
      <w:r w:rsidRPr="000855C4">
        <w:rPr>
          <w:rFonts w:ascii="Bookman" w:hAnsi="Bookman"/>
          <w:i/>
          <w:iCs/>
          <w:noProof/>
          <w:sz w:val="20"/>
        </w:rPr>
        <w:t>Nature</w:t>
      </w:r>
      <w:r w:rsidRPr="000855C4">
        <w:rPr>
          <w:rFonts w:ascii="Bookman" w:hAnsi="Bookman"/>
          <w:noProof/>
          <w:sz w:val="20"/>
        </w:rPr>
        <w:t xml:space="preserve">, </w:t>
      </w:r>
      <w:r w:rsidRPr="000855C4">
        <w:rPr>
          <w:rFonts w:ascii="Bookman" w:hAnsi="Bookman"/>
          <w:b/>
          <w:bCs/>
          <w:noProof/>
          <w:sz w:val="20"/>
        </w:rPr>
        <w:t>405</w:t>
      </w:r>
      <w:r w:rsidRPr="000855C4">
        <w:rPr>
          <w:rFonts w:ascii="Bookman" w:hAnsi="Bookman"/>
          <w:noProof/>
          <w:sz w:val="20"/>
        </w:rPr>
        <w:t>, 220–227.</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Gaston, K.J. &amp; Rodrigues, A.S.L. (2003) Reserve selection in regions with poor biological data. </w:t>
      </w:r>
      <w:r w:rsidRPr="000855C4">
        <w:rPr>
          <w:rFonts w:ascii="Bookman" w:hAnsi="Bookman"/>
          <w:i/>
          <w:iCs/>
          <w:noProof/>
          <w:sz w:val="20"/>
        </w:rPr>
        <w:t>Conservation Biology</w:t>
      </w:r>
      <w:r w:rsidRPr="000855C4">
        <w:rPr>
          <w:rFonts w:ascii="Bookman" w:hAnsi="Bookman"/>
          <w:noProof/>
          <w:sz w:val="20"/>
        </w:rPr>
        <w:t xml:space="preserve">, </w:t>
      </w:r>
      <w:r w:rsidRPr="000855C4">
        <w:rPr>
          <w:rFonts w:ascii="Bookman" w:hAnsi="Bookman"/>
          <w:b/>
          <w:bCs/>
          <w:noProof/>
          <w:sz w:val="20"/>
        </w:rPr>
        <w:t>17</w:t>
      </w:r>
      <w:r w:rsidRPr="000855C4">
        <w:rPr>
          <w:rFonts w:ascii="Bookman" w:hAnsi="Bookman"/>
          <w:noProof/>
          <w:sz w:val="20"/>
        </w:rPr>
        <w:t>, 188–195.</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Gibbs, J.P. (1998) Distribution of woodland amphibians along a forest fragmentation gradient. </w:t>
      </w:r>
      <w:r w:rsidRPr="000855C4">
        <w:rPr>
          <w:rFonts w:ascii="Bookman" w:hAnsi="Bookman"/>
          <w:i/>
          <w:iCs/>
          <w:noProof/>
          <w:sz w:val="20"/>
        </w:rPr>
        <w:t>Landscape Ecology</w:t>
      </w:r>
      <w:r w:rsidRPr="000855C4">
        <w:rPr>
          <w:rFonts w:ascii="Bookman" w:hAnsi="Bookman"/>
          <w:noProof/>
          <w:sz w:val="20"/>
        </w:rPr>
        <w:t xml:space="preserve">, </w:t>
      </w:r>
      <w:r w:rsidRPr="000855C4">
        <w:rPr>
          <w:rFonts w:ascii="Bookman" w:hAnsi="Bookman"/>
          <w:b/>
          <w:bCs/>
          <w:noProof/>
          <w:sz w:val="20"/>
        </w:rPr>
        <w:t>13</w:t>
      </w:r>
      <w:r w:rsidRPr="000855C4">
        <w:rPr>
          <w:rFonts w:ascii="Bookman" w:hAnsi="Bookman"/>
          <w:noProof/>
          <w:sz w:val="20"/>
        </w:rPr>
        <w:t>, 263–268.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Gillen, J.L. &amp; Kiviat, E. (2012) Hydraulic Fracturing Threats to Species with Restricted Geographic Ranges in the Eastern United States. </w:t>
      </w:r>
      <w:r w:rsidRPr="000855C4">
        <w:rPr>
          <w:rFonts w:ascii="Bookman" w:hAnsi="Bookman"/>
          <w:i/>
          <w:iCs/>
          <w:noProof/>
          <w:sz w:val="20"/>
        </w:rPr>
        <w:t>Environmental Practice</w:t>
      </w:r>
      <w:r w:rsidRPr="000855C4">
        <w:rPr>
          <w:rFonts w:ascii="Bookman" w:hAnsi="Bookman"/>
          <w:noProof/>
          <w:sz w:val="20"/>
        </w:rPr>
        <w:t xml:space="preserve">, </w:t>
      </w:r>
      <w:r w:rsidRPr="000855C4">
        <w:rPr>
          <w:rFonts w:ascii="Bookman" w:hAnsi="Bookman"/>
          <w:b/>
          <w:bCs/>
          <w:noProof/>
          <w:sz w:val="20"/>
        </w:rPr>
        <w:t>14</w:t>
      </w:r>
      <w:r w:rsidRPr="000855C4">
        <w:rPr>
          <w:rFonts w:ascii="Bookman" w:hAnsi="Bookman"/>
          <w:noProof/>
          <w:sz w:val="20"/>
        </w:rPr>
        <w:t>, 320–331.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Gladstone, W. &amp; Davis, J. (2003) Reduced survey intensity and its consequences for marine reserve selection. </w:t>
      </w:r>
      <w:r w:rsidRPr="000855C4">
        <w:rPr>
          <w:rFonts w:ascii="Bookman" w:hAnsi="Bookman"/>
          <w:i/>
          <w:iCs/>
          <w:noProof/>
          <w:sz w:val="20"/>
        </w:rPr>
        <w:t>Biodiversity &amp; Conservation</w:t>
      </w:r>
      <w:r w:rsidRPr="000855C4">
        <w:rPr>
          <w:rFonts w:ascii="Bookman" w:hAnsi="Bookman"/>
          <w:noProof/>
          <w:sz w:val="20"/>
        </w:rPr>
        <w:t xml:space="preserve">, </w:t>
      </w:r>
      <w:r w:rsidRPr="000855C4">
        <w:rPr>
          <w:rFonts w:ascii="Bookman" w:hAnsi="Bookman"/>
          <w:b/>
          <w:bCs/>
          <w:noProof/>
          <w:sz w:val="20"/>
        </w:rPr>
        <w:t>12</w:t>
      </w:r>
      <w:r w:rsidRPr="000855C4">
        <w:rPr>
          <w:rFonts w:ascii="Bookman" w:hAnsi="Bookman"/>
          <w:noProof/>
          <w:sz w:val="20"/>
        </w:rPr>
        <w:t>, 1525–1536.</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Gómez-Baggethun, E. &amp; Muradian, R. (2015) In markets we trust? Setting the boundaries of Market-Based Instruments in ecosystem services governance. </w:t>
      </w:r>
      <w:r w:rsidRPr="000855C4">
        <w:rPr>
          <w:rFonts w:ascii="Bookman" w:hAnsi="Bookman"/>
          <w:i/>
          <w:iCs/>
          <w:noProof/>
          <w:sz w:val="20"/>
        </w:rPr>
        <w:t>Ecological Economics</w:t>
      </w:r>
      <w:r w:rsidRPr="000855C4">
        <w:rPr>
          <w:rFonts w:ascii="Bookman" w:hAnsi="Bookman"/>
          <w:noProof/>
          <w:sz w:val="20"/>
        </w:rPr>
        <w:t xml:space="preserve">, </w:t>
      </w:r>
      <w:r w:rsidRPr="000855C4">
        <w:rPr>
          <w:rFonts w:ascii="Bookman" w:hAnsi="Bookman"/>
          <w:b/>
          <w:bCs/>
          <w:noProof/>
          <w:sz w:val="20"/>
        </w:rPr>
        <w:t>In Press</w:t>
      </w:r>
      <w:r w:rsidRPr="000855C4">
        <w:rPr>
          <w:rFonts w:ascii="Bookman" w:hAnsi="Bookman"/>
          <w:noProof/>
          <w:sz w:val="20"/>
        </w:rPr>
        <w:t>.</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Gotelli, N.J. &amp; Colwell, R.K. (2001) Quantifying biodiversity: procedures and pitfalls in the measurement and comparison of species richness. </w:t>
      </w:r>
      <w:r w:rsidRPr="000855C4">
        <w:rPr>
          <w:rFonts w:ascii="Bookman" w:hAnsi="Bookman"/>
          <w:i/>
          <w:iCs/>
          <w:noProof/>
          <w:sz w:val="20"/>
        </w:rPr>
        <w:t>Ecology Letters</w:t>
      </w:r>
      <w:r w:rsidRPr="000855C4">
        <w:rPr>
          <w:rFonts w:ascii="Bookman" w:hAnsi="Bookman"/>
          <w:noProof/>
          <w:sz w:val="20"/>
        </w:rPr>
        <w:t xml:space="preserve">, </w:t>
      </w:r>
      <w:r w:rsidRPr="000855C4">
        <w:rPr>
          <w:rFonts w:ascii="Bookman" w:hAnsi="Bookman"/>
          <w:b/>
          <w:bCs/>
          <w:noProof/>
          <w:sz w:val="20"/>
        </w:rPr>
        <w:t>4</w:t>
      </w:r>
      <w:r w:rsidRPr="000855C4">
        <w:rPr>
          <w:rFonts w:ascii="Bookman" w:hAnsi="Bookman"/>
          <w:noProof/>
          <w:sz w:val="20"/>
        </w:rPr>
        <w:t>, 379–391.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Goulder, L.H. &amp; Parry, I.W.H. (2008) Instrument Choice in Environmental Policy. </w:t>
      </w:r>
      <w:r w:rsidRPr="000855C4">
        <w:rPr>
          <w:rFonts w:ascii="Bookman" w:hAnsi="Bookman"/>
          <w:i/>
          <w:iCs/>
          <w:noProof/>
          <w:sz w:val="20"/>
        </w:rPr>
        <w:t xml:space="preserve">Review of Environmental Economics and Policy </w:t>
      </w:r>
      <w:r w:rsidRPr="000855C4">
        <w:rPr>
          <w:rFonts w:ascii="Bookman" w:hAnsi="Bookman"/>
          <w:noProof/>
          <w:sz w:val="20"/>
        </w:rPr>
        <w:t xml:space="preserve">, </w:t>
      </w:r>
      <w:r w:rsidRPr="000855C4">
        <w:rPr>
          <w:rFonts w:ascii="Bookman" w:hAnsi="Bookman"/>
          <w:b/>
          <w:bCs/>
          <w:noProof/>
          <w:sz w:val="20"/>
        </w:rPr>
        <w:t xml:space="preserve">2 </w:t>
      </w:r>
      <w:r w:rsidRPr="000855C4">
        <w:rPr>
          <w:rFonts w:ascii="Bookman" w:hAnsi="Bookman"/>
          <w:noProof/>
          <w:sz w:val="20"/>
        </w:rPr>
        <w:t>, 152–174.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Goulder, L.H., Parry, I.W.H., III, R.C.W. &amp; Burtraw, D. (1999) The cost-effectiveness of alternative instruments for environmental protection in a second-best setting. </w:t>
      </w:r>
      <w:r w:rsidRPr="000855C4">
        <w:rPr>
          <w:rFonts w:ascii="Bookman" w:hAnsi="Bookman"/>
          <w:i/>
          <w:iCs/>
          <w:noProof/>
          <w:sz w:val="20"/>
        </w:rPr>
        <w:t>Journal of Public Economics</w:t>
      </w:r>
      <w:r w:rsidRPr="000855C4">
        <w:rPr>
          <w:rFonts w:ascii="Bookman" w:hAnsi="Bookman"/>
          <w:noProof/>
          <w:sz w:val="20"/>
        </w:rPr>
        <w:t xml:space="preserve">, </w:t>
      </w:r>
      <w:r w:rsidRPr="000855C4">
        <w:rPr>
          <w:rFonts w:ascii="Bookman" w:hAnsi="Bookman"/>
          <w:b/>
          <w:bCs/>
          <w:noProof/>
          <w:sz w:val="20"/>
        </w:rPr>
        <w:t>72</w:t>
      </w:r>
      <w:r w:rsidRPr="000855C4">
        <w:rPr>
          <w:rFonts w:ascii="Bookman" w:hAnsi="Bookman"/>
          <w:noProof/>
          <w:sz w:val="20"/>
        </w:rPr>
        <w:t>, 329–360.</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Graham, M. (1955) Effect of trawling on animals of the sea bed. </w:t>
      </w:r>
      <w:r w:rsidRPr="000855C4">
        <w:rPr>
          <w:rFonts w:ascii="Bookman" w:hAnsi="Bookman"/>
          <w:i/>
          <w:iCs/>
          <w:noProof/>
          <w:sz w:val="20"/>
        </w:rPr>
        <w:t>Deep Sea Res</w:t>
      </w:r>
      <w:r w:rsidRPr="000855C4">
        <w:rPr>
          <w:rFonts w:ascii="Bookman" w:hAnsi="Bookman"/>
          <w:noProof/>
          <w:sz w:val="20"/>
        </w:rPr>
        <w:t xml:space="preserve">, </w:t>
      </w:r>
      <w:r w:rsidRPr="000855C4">
        <w:rPr>
          <w:rFonts w:ascii="Bookman" w:hAnsi="Bookman"/>
          <w:b/>
          <w:bCs/>
          <w:noProof/>
          <w:sz w:val="20"/>
        </w:rPr>
        <w:t>3</w:t>
      </w:r>
      <w:r w:rsidRPr="000855C4">
        <w:rPr>
          <w:rFonts w:ascii="Bookman" w:hAnsi="Bookman"/>
          <w:noProof/>
          <w:sz w:val="20"/>
        </w:rPr>
        <w:t>, 1–6.</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Grantham, H.S., Moilanen, A., Wilson, K.A., Pressey, R.L., Rebelo, T.G. &amp; Possingham, H.P. (2008) Diminishing return on investment for biodiversity data in conservation planning. </w:t>
      </w:r>
      <w:r w:rsidRPr="000855C4">
        <w:rPr>
          <w:rFonts w:ascii="Bookman" w:hAnsi="Bookman"/>
          <w:i/>
          <w:iCs/>
          <w:noProof/>
          <w:sz w:val="20"/>
        </w:rPr>
        <w:t>Conservation Letters</w:t>
      </w:r>
      <w:r w:rsidRPr="000855C4">
        <w:rPr>
          <w:rFonts w:ascii="Bookman" w:hAnsi="Bookman"/>
          <w:noProof/>
          <w:sz w:val="20"/>
        </w:rPr>
        <w:t xml:space="preserve">, </w:t>
      </w:r>
      <w:r w:rsidRPr="000855C4">
        <w:rPr>
          <w:rFonts w:ascii="Bookman" w:hAnsi="Bookman"/>
          <w:b/>
          <w:bCs/>
          <w:noProof/>
          <w:sz w:val="20"/>
        </w:rPr>
        <w:t>1</w:t>
      </w:r>
      <w:r w:rsidRPr="000855C4">
        <w:rPr>
          <w:rFonts w:ascii="Bookman" w:hAnsi="Bookman"/>
          <w:noProof/>
          <w:sz w:val="20"/>
        </w:rPr>
        <w:t>, 190–198.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lastRenderedPageBreak/>
        <w:t xml:space="preserve">Grantham, H.S., Pressey, R.L., Wells, J.A. &amp; Beattie, A.J. (2010) Effectiveness of Biodiversity Surrogates for Conservation Planning: Different Measures of Effectiveness Generate a Kaleidoscope of Variation. </w:t>
      </w:r>
      <w:r w:rsidRPr="000855C4">
        <w:rPr>
          <w:rFonts w:ascii="Bookman" w:hAnsi="Bookman"/>
          <w:i/>
          <w:iCs/>
          <w:noProof/>
          <w:sz w:val="20"/>
        </w:rPr>
        <w:t>PLoS ONE</w:t>
      </w:r>
      <w:r w:rsidRPr="000855C4">
        <w:rPr>
          <w:rFonts w:ascii="Bookman" w:hAnsi="Bookman"/>
          <w:noProof/>
          <w:sz w:val="20"/>
        </w:rPr>
        <w:t xml:space="preserve">, </w:t>
      </w:r>
      <w:r w:rsidRPr="000855C4">
        <w:rPr>
          <w:rFonts w:ascii="Bookman" w:hAnsi="Bookman"/>
          <w:b/>
          <w:bCs/>
          <w:noProof/>
          <w:sz w:val="20"/>
        </w:rPr>
        <w:t>5</w:t>
      </w:r>
      <w:r w:rsidRPr="000855C4">
        <w:rPr>
          <w:rFonts w:ascii="Bookman" w:hAnsi="Bookman"/>
          <w:noProof/>
          <w:sz w:val="20"/>
        </w:rPr>
        <w:t>, e11430.</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Grantham, H.S., Wilson, K.A., Moilanen, A., Rebelo, T. &amp; Possingham, H.P. (2009) Delaying conservation actions for improved knowledge: how long should we wait? </w:t>
      </w:r>
      <w:r w:rsidRPr="000855C4">
        <w:rPr>
          <w:rFonts w:ascii="Bookman" w:hAnsi="Bookman"/>
          <w:i/>
          <w:iCs/>
          <w:noProof/>
          <w:sz w:val="20"/>
        </w:rPr>
        <w:t>Ecology Letters</w:t>
      </w:r>
      <w:r w:rsidRPr="000855C4">
        <w:rPr>
          <w:rFonts w:ascii="Bookman" w:hAnsi="Bookman"/>
          <w:noProof/>
          <w:sz w:val="20"/>
        </w:rPr>
        <w:t xml:space="preserve">, </w:t>
      </w:r>
      <w:r w:rsidRPr="000855C4">
        <w:rPr>
          <w:rFonts w:ascii="Bookman" w:hAnsi="Bookman"/>
          <w:b/>
          <w:bCs/>
          <w:noProof/>
          <w:sz w:val="20"/>
        </w:rPr>
        <w:t>12</w:t>
      </w:r>
      <w:r w:rsidRPr="000855C4">
        <w:rPr>
          <w:rFonts w:ascii="Bookman" w:hAnsi="Bookman"/>
          <w:noProof/>
          <w:sz w:val="20"/>
        </w:rPr>
        <w:t>, 293–301.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Groves, C.R., Game, E.T., Anderson, M.G., Cross, M., Enquist, C., Ferdaña, Z., Girvetz, E., Gondor, A., Hall, K.R., Higgins, J., Marshall, R., Popper, K., Schill, S. &amp; Shafer, S.L. (2012) Incorporating climate change into systematic conservation planning. </w:t>
      </w:r>
      <w:r w:rsidRPr="000855C4">
        <w:rPr>
          <w:rFonts w:ascii="Bookman" w:hAnsi="Bookman"/>
          <w:i/>
          <w:iCs/>
          <w:noProof/>
          <w:sz w:val="20"/>
        </w:rPr>
        <w:t>Biodiversity and Conservation</w:t>
      </w:r>
      <w:r w:rsidRPr="000855C4">
        <w:rPr>
          <w:rFonts w:ascii="Bookman" w:hAnsi="Bookman"/>
          <w:noProof/>
          <w:sz w:val="20"/>
        </w:rPr>
        <w:t xml:space="preserve">, </w:t>
      </w:r>
      <w:r w:rsidRPr="000855C4">
        <w:rPr>
          <w:rFonts w:ascii="Bookman" w:hAnsi="Bookman"/>
          <w:b/>
          <w:bCs/>
          <w:noProof/>
          <w:sz w:val="20"/>
        </w:rPr>
        <w:t>21</w:t>
      </w:r>
      <w:r w:rsidRPr="000855C4">
        <w:rPr>
          <w:rFonts w:ascii="Bookman" w:hAnsi="Bookman"/>
          <w:noProof/>
          <w:sz w:val="20"/>
        </w:rPr>
        <w:t>, 1651–1671.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Hampton, S.E., Strasser, C.A., Tewksbury, J.J., Gram, W.K., Budden, A.E., Batcheller, A.L., Duke, C.S. &amp; Porter, J.H. (2013) Big data and the future of ecology. </w:t>
      </w:r>
      <w:r w:rsidRPr="000855C4">
        <w:rPr>
          <w:rFonts w:ascii="Bookman" w:hAnsi="Bookman"/>
          <w:i/>
          <w:iCs/>
          <w:noProof/>
          <w:sz w:val="20"/>
        </w:rPr>
        <w:t>Frontiers in Ecology and the Environment</w:t>
      </w:r>
      <w:r w:rsidRPr="000855C4">
        <w:rPr>
          <w:rFonts w:ascii="Bookman" w:hAnsi="Bookman"/>
          <w:noProof/>
          <w:sz w:val="20"/>
        </w:rPr>
        <w:t xml:space="preserve">, </w:t>
      </w:r>
      <w:r w:rsidRPr="000855C4">
        <w:rPr>
          <w:rFonts w:ascii="Bookman" w:hAnsi="Bookman"/>
          <w:b/>
          <w:bCs/>
          <w:noProof/>
          <w:sz w:val="20"/>
        </w:rPr>
        <w:t>11</w:t>
      </w:r>
      <w:r w:rsidRPr="000855C4">
        <w:rPr>
          <w:rFonts w:ascii="Bookman" w:hAnsi="Bookman"/>
          <w:noProof/>
          <w:sz w:val="20"/>
        </w:rPr>
        <w:t>, 156–162.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Hansen, A.J., Spies, T.A., Swanson, F.J. &amp; Ohmann, J.L. (1991) Conserving Biodiversity in Managed Forests. </w:t>
      </w:r>
      <w:r w:rsidRPr="000855C4">
        <w:rPr>
          <w:rFonts w:ascii="Bookman" w:hAnsi="Bookman"/>
          <w:i/>
          <w:iCs/>
          <w:noProof/>
          <w:sz w:val="20"/>
        </w:rPr>
        <w:t>BioScience</w:t>
      </w:r>
      <w:r w:rsidRPr="000855C4">
        <w:rPr>
          <w:rFonts w:ascii="Bookman" w:hAnsi="Bookman"/>
          <w:noProof/>
          <w:sz w:val="20"/>
        </w:rPr>
        <w:t xml:space="preserve">, </w:t>
      </w:r>
      <w:r w:rsidRPr="000855C4">
        <w:rPr>
          <w:rFonts w:ascii="Bookman" w:hAnsi="Bookman"/>
          <w:b/>
          <w:bCs/>
          <w:noProof/>
          <w:sz w:val="20"/>
        </w:rPr>
        <w:t>41</w:t>
      </w:r>
      <w:r w:rsidRPr="000855C4">
        <w:rPr>
          <w:rFonts w:ascii="Bookman" w:hAnsi="Bookman"/>
          <w:noProof/>
          <w:sz w:val="20"/>
        </w:rPr>
        <w:t>, 382–392.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Hartwick, J.M. &amp; Olewiler, N.D. (1998) </w:t>
      </w:r>
      <w:r w:rsidRPr="000855C4">
        <w:rPr>
          <w:rFonts w:ascii="Bookman" w:hAnsi="Bookman"/>
          <w:i/>
          <w:iCs/>
          <w:noProof/>
          <w:sz w:val="20"/>
        </w:rPr>
        <w:t>The Economics of Natural Resource Use</w:t>
      </w:r>
      <w:r w:rsidRPr="000855C4">
        <w:rPr>
          <w:rFonts w:ascii="Bookman" w:hAnsi="Bookman"/>
          <w:noProof/>
          <w:sz w:val="20"/>
        </w:rPr>
        <w:t>, 2nd ed (ed D Clinton). Addison-Wesley Educational Publishers, Inc., Reading, Massachusetts, Massachusetts.</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Haskell, D.G. (2000) Effects of Forest Roads on Macroinvertebrate Soil Fauna of the Southern Appalachian Mountains. </w:t>
      </w:r>
      <w:r w:rsidRPr="000855C4">
        <w:rPr>
          <w:rFonts w:ascii="Bookman" w:hAnsi="Bookman"/>
          <w:i/>
          <w:iCs/>
          <w:noProof/>
          <w:sz w:val="20"/>
        </w:rPr>
        <w:t>Conservation Biology</w:t>
      </w:r>
      <w:r w:rsidRPr="000855C4">
        <w:rPr>
          <w:rFonts w:ascii="Bookman" w:hAnsi="Bookman"/>
          <w:noProof/>
          <w:sz w:val="20"/>
        </w:rPr>
        <w:t xml:space="preserve">, </w:t>
      </w:r>
      <w:r w:rsidRPr="000855C4">
        <w:rPr>
          <w:rFonts w:ascii="Bookman" w:hAnsi="Bookman"/>
          <w:b/>
          <w:bCs/>
          <w:noProof/>
          <w:sz w:val="20"/>
        </w:rPr>
        <w:t>14</w:t>
      </w:r>
      <w:r w:rsidRPr="000855C4">
        <w:rPr>
          <w:rFonts w:ascii="Bookman" w:hAnsi="Bookman"/>
          <w:noProof/>
          <w:sz w:val="20"/>
        </w:rPr>
        <w:t>, 57–63.</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Hays, J., Finkel, M.L., Depledge, M., Law, A. &amp; Shonkoff, S.B.C. (2015) Considerations for the development of shale gas in the United Kingdom. </w:t>
      </w:r>
      <w:r w:rsidRPr="000855C4">
        <w:rPr>
          <w:rFonts w:ascii="Bookman" w:hAnsi="Bookman"/>
          <w:i/>
          <w:iCs/>
          <w:noProof/>
          <w:sz w:val="20"/>
        </w:rPr>
        <w:t>The Science of the total environment</w:t>
      </w:r>
      <w:r w:rsidRPr="000855C4">
        <w:rPr>
          <w:rFonts w:ascii="Bookman" w:hAnsi="Bookman"/>
          <w:noProof/>
          <w:sz w:val="20"/>
        </w:rPr>
        <w:t xml:space="preserve">, </w:t>
      </w:r>
      <w:r w:rsidRPr="000855C4">
        <w:rPr>
          <w:rFonts w:ascii="Bookman" w:hAnsi="Bookman"/>
          <w:b/>
          <w:bCs/>
          <w:noProof/>
          <w:sz w:val="20"/>
        </w:rPr>
        <w:t>512-513C</w:t>
      </w:r>
      <w:r w:rsidRPr="000855C4">
        <w:rPr>
          <w:rFonts w:ascii="Bookman" w:hAnsi="Bookman"/>
          <w:noProof/>
          <w:sz w:val="20"/>
        </w:rPr>
        <w:t>, 36–42.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Hefley, W. &amp; Seydor, S. (2015) Direct Economic Impact of the Value Chain of a Marcellus Shale Gas Well. </w:t>
      </w:r>
      <w:r w:rsidRPr="000855C4">
        <w:rPr>
          <w:rFonts w:ascii="Bookman" w:hAnsi="Bookman"/>
          <w:i/>
          <w:iCs/>
          <w:noProof/>
          <w:sz w:val="20"/>
        </w:rPr>
        <w:t>Economics of Unconventional Shale Gas Development SE - 2</w:t>
      </w:r>
      <w:r w:rsidRPr="000855C4">
        <w:rPr>
          <w:rFonts w:ascii="Bookman" w:hAnsi="Bookman"/>
          <w:noProof/>
          <w:sz w:val="20"/>
        </w:rPr>
        <w:t xml:space="preserve"> Natural Resource Management and Policy. (eds W.E. Hefley &amp; Y. Wang), pp. 15–45. Springer International Publishing.</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Henson, A., Williams, D., Dupain, J., Gichohi, H. &amp; Muruthi, P. (2009) The Heartland Conservation Process: enhancing biodiversity conservation and livelihoods through landscape-scale conservation planning in Africa. </w:t>
      </w:r>
      <w:r w:rsidRPr="000855C4">
        <w:rPr>
          <w:rFonts w:ascii="Bookman" w:hAnsi="Bookman"/>
          <w:i/>
          <w:iCs/>
          <w:noProof/>
          <w:sz w:val="20"/>
        </w:rPr>
        <w:t>Oryx</w:t>
      </w:r>
      <w:r w:rsidRPr="000855C4">
        <w:rPr>
          <w:rFonts w:ascii="Bookman" w:hAnsi="Bookman"/>
          <w:noProof/>
          <w:sz w:val="20"/>
        </w:rPr>
        <w:t xml:space="preserve">, </w:t>
      </w:r>
      <w:r w:rsidRPr="000855C4">
        <w:rPr>
          <w:rFonts w:ascii="Bookman" w:hAnsi="Bookman"/>
          <w:b/>
          <w:bCs/>
          <w:noProof/>
          <w:sz w:val="20"/>
        </w:rPr>
        <w:t>43</w:t>
      </w:r>
      <w:r w:rsidRPr="000855C4">
        <w:rPr>
          <w:rFonts w:ascii="Bookman" w:hAnsi="Bookman"/>
          <w:noProof/>
          <w:sz w:val="20"/>
        </w:rPr>
        <w:t>, 508–519.</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Howarth, R.W., Ingraffea, A. &amp; Engelder, T. (2011) Natural gas: Should fracking stop? </w:t>
      </w:r>
      <w:r w:rsidRPr="000855C4">
        <w:rPr>
          <w:rFonts w:ascii="Bookman" w:hAnsi="Bookman"/>
          <w:i/>
          <w:iCs/>
          <w:noProof/>
          <w:sz w:val="20"/>
        </w:rPr>
        <w:t>Nature</w:t>
      </w:r>
      <w:r w:rsidRPr="000855C4">
        <w:rPr>
          <w:rFonts w:ascii="Bookman" w:hAnsi="Bookman"/>
          <w:noProof/>
          <w:sz w:val="20"/>
        </w:rPr>
        <w:t xml:space="preserve">, </w:t>
      </w:r>
      <w:r w:rsidRPr="000855C4">
        <w:rPr>
          <w:rFonts w:ascii="Bookman" w:hAnsi="Bookman"/>
          <w:b/>
          <w:bCs/>
          <w:noProof/>
          <w:sz w:val="20"/>
        </w:rPr>
        <w:t>477</w:t>
      </w:r>
      <w:r w:rsidRPr="000855C4">
        <w:rPr>
          <w:rFonts w:ascii="Bookman" w:hAnsi="Bookman"/>
          <w:noProof/>
          <w:sz w:val="20"/>
        </w:rPr>
        <w:t>, 271–275.</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Howe, C., Suich, H., Vira, B. &amp; Mace, G.M. (2014) Creating win-wins from trade-offs? Ecosystem services for human well-being: A meta-analysis of ecosystem service trade-offs and synergies in the real world. </w:t>
      </w:r>
      <w:r w:rsidRPr="000855C4">
        <w:rPr>
          <w:rFonts w:ascii="Bookman" w:hAnsi="Bookman"/>
          <w:i/>
          <w:iCs/>
          <w:noProof/>
          <w:sz w:val="20"/>
        </w:rPr>
        <w:t>Global Environmental Change</w:t>
      </w:r>
      <w:r w:rsidRPr="000855C4">
        <w:rPr>
          <w:rFonts w:ascii="Bookman" w:hAnsi="Bookman"/>
          <w:noProof/>
          <w:sz w:val="20"/>
        </w:rPr>
        <w:t xml:space="preserve">, </w:t>
      </w:r>
      <w:r w:rsidRPr="000855C4">
        <w:rPr>
          <w:rFonts w:ascii="Bookman" w:hAnsi="Bookman"/>
          <w:b/>
          <w:bCs/>
          <w:noProof/>
          <w:sz w:val="20"/>
        </w:rPr>
        <w:t>28</w:t>
      </w:r>
      <w:r w:rsidRPr="000855C4">
        <w:rPr>
          <w:rFonts w:ascii="Bookman" w:hAnsi="Bookman"/>
          <w:noProof/>
          <w:sz w:val="20"/>
        </w:rPr>
        <w:t>, 263–275.</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Jaeger, J.A.G. (2000) Landscape division, splitting index, and effective mesh size : new measures of landscape fragmentation. </w:t>
      </w:r>
      <w:r w:rsidRPr="000855C4">
        <w:rPr>
          <w:rFonts w:ascii="Bookman" w:hAnsi="Bookman"/>
          <w:i/>
          <w:iCs/>
          <w:noProof/>
          <w:sz w:val="20"/>
        </w:rPr>
        <w:t>Landscape Ecology</w:t>
      </w:r>
      <w:r w:rsidRPr="000855C4">
        <w:rPr>
          <w:rFonts w:ascii="Bookman" w:hAnsi="Bookman"/>
          <w:noProof/>
          <w:sz w:val="20"/>
        </w:rPr>
        <w:t xml:space="preserve">, </w:t>
      </w:r>
      <w:r w:rsidRPr="000855C4">
        <w:rPr>
          <w:rFonts w:ascii="Bookman" w:hAnsi="Bookman"/>
          <w:b/>
          <w:bCs/>
          <w:noProof/>
          <w:sz w:val="20"/>
        </w:rPr>
        <w:t>15</w:t>
      </w:r>
      <w:r w:rsidRPr="000855C4">
        <w:rPr>
          <w:rFonts w:ascii="Bookman" w:hAnsi="Bookman"/>
          <w:noProof/>
          <w:sz w:val="20"/>
        </w:rPr>
        <w:t>, 115–130.</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lastRenderedPageBreak/>
        <w:t xml:space="preserve">Johnson, N., Gagnolet, T., Ralls, R., Zimmerman, E., Eichelberger, B., Tracey, C., Kreitler, G., Orndorff, S., Tomlinson, J., Bearer, S. &amp; Sargent, S. (2010) </w:t>
      </w:r>
      <w:r w:rsidRPr="000855C4">
        <w:rPr>
          <w:rFonts w:ascii="Bookman" w:hAnsi="Bookman"/>
          <w:i/>
          <w:iCs/>
          <w:noProof/>
          <w:sz w:val="20"/>
        </w:rPr>
        <w:t>Pennsylvania Energy Impacts Assessment</w:t>
      </w:r>
      <w:r w:rsidRPr="000855C4">
        <w:rPr>
          <w:rFonts w:ascii="Bookman" w:hAnsi="Bookman"/>
          <w:noProof/>
          <w:sz w:val="20"/>
        </w:rPr>
        <w:t>. Harrisburg, PA.</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Jones, J.B. (1992) Environmental impact of trawling on the seabed: A review. </w:t>
      </w:r>
      <w:r w:rsidRPr="000855C4">
        <w:rPr>
          <w:rFonts w:ascii="Bookman" w:hAnsi="Bookman"/>
          <w:i/>
          <w:iCs/>
          <w:noProof/>
          <w:sz w:val="20"/>
        </w:rPr>
        <w:t>New Zealand Journal of Marine and Freshwater Research</w:t>
      </w:r>
      <w:r w:rsidRPr="000855C4">
        <w:rPr>
          <w:rFonts w:ascii="Bookman" w:hAnsi="Bookman"/>
          <w:noProof/>
          <w:sz w:val="20"/>
        </w:rPr>
        <w:t xml:space="preserve">, </w:t>
      </w:r>
      <w:r w:rsidRPr="000855C4">
        <w:rPr>
          <w:rFonts w:ascii="Bookman" w:hAnsi="Bookman"/>
          <w:b/>
          <w:bCs/>
          <w:noProof/>
          <w:sz w:val="20"/>
        </w:rPr>
        <w:t>26</w:t>
      </w:r>
      <w:r w:rsidRPr="000855C4">
        <w:rPr>
          <w:rFonts w:ascii="Bookman" w:hAnsi="Bookman"/>
          <w:noProof/>
          <w:sz w:val="20"/>
        </w:rPr>
        <w:t>, 59–67.</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Jones, I.L., Bull, J.W., Milner-Gulland, E.J., Esipov, A. V &amp; Suttle, K.B. (2014) Quantifying habitat impacts of natural gas infrastructure to facilitate biodiversity offsetting. </w:t>
      </w:r>
      <w:r w:rsidRPr="000855C4">
        <w:rPr>
          <w:rFonts w:ascii="Bookman" w:hAnsi="Bookman"/>
          <w:i/>
          <w:iCs/>
          <w:noProof/>
          <w:sz w:val="20"/>
        </w:rPr>
        <w:t>Ecology and Evolution</w:t>
      </w:r>
      <w:r w:rsidRPr="000855C4">
        <w:rPr>
          <w:rFonts w:ascii="Bookman" w:hAnsi="Bookman"/>
          <w:noProof/>
          <w:sz w:val="20"/>
        </w:rPr>
        <w:t xml:space="preserve">, </w:t>
      </w:r>
      <w:r w:rsidRPr="000855C4">
        <w:rPr>
          <w:rFonts w:ascii="Bookman" w:hAnsi="Bookman"/>
          <w:b/>
          <w:bCs/>
          <w:noProof/>
          <w:sz w:val="20"/>
        </w:rPr>
        <w:t>4</w:t>
      </w:r>
      <w:r w:rsidRPr="000855C4">
        <w:rPr>
          <w:rFonts w:ascii="Bookman" w:hAnsi="Bookman"/>
          <w:noProof/>
          <w:sz w:val="20"/>
        </w:rPr>
        <w:t>, 79–90.</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Joseph, L.N., Maloney, R.F. &amp; Possingham, H.P. (2009) Optimal allocation of resources among threatened species: a project prioritization protocol. </w:t>
      </w:r>
      <w:r w:rsidRPr="000855C4">
        <w:rPr>
          <w:rFonts w:ascii="Bookman" w:hAnsi="Bookman"/>
          <w:i/>
          <w:iCs/>
          <w:noProof/>
          <w:sz w:val="20"/>
        </w:rPr>
        <w:t>Conservation Biology</w:t>
      </w:r>
      <w:r w:rsidRPr="000855C4">
        <w:rPr>
          <w:rFonts w:ascii="Bookman" w:hAnsi="Bookman"/>
          <w:noProof/>
          <w:sz w:val="20"/>
        </w:rPr>
        <w:t xml:space="preserve">, </w:t>
      </w:r>
      <w:r w:rsidRPr="000855C4">
        <w:rPr>
          <w:rFonts w:ascii="Bookman" w:hAnsi="Bookman"/>
          <w:b/>
          <w:bCs/>
          <w:noProof/>
          <w:sz w:val="20"/>
        </w:rPr>
        <w:t>23</w:t>
      </w:r>
      <w:r w:rsidRPr="000855C4">
        <w:rPr>
          <w:rFonts w:ascii="Bookman" w:hAnsi="Bookman"/>
          <w:noProof/>
          <w:sz w:val="20"/>
        </w:rPr>
        <w:t>, 328–338.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Joshi, S., Krishnan, R. &amp; Lave, L. (2001) Estimating the Hidden Costs of Environmental Regulation. </w:t>
      </w:r>
      <w:r w:rsidRPr="000855C4">
        <w:rPr>
          <w:rFonts w:ascii="Bookman" w:hAnsi="Bookman"/>
          <w:i/>
          <w:iCs/>
          <w:noProof/>
          <w:sz w:val="20"/>
        </w:rPr>
        <w:t>The Accounting Review</w:t>
      </w:r>
      <w:r w:rsidRPr="000855C4">
        <w:rPr>
          <w:rFonts w:ascii="Bookman" w:hAnsi="Bookman"/>
          <w:noProof/>
          <w:sz w:val="20"/>
        </w:rPr>
        <w:t xml:space="preserve">, </w:t>
      </w:r>
      <w:r w:rsidRPr="000855C4">
        <w:rPr>
          <w:rFonts w:ascii="Bookman" w:hAnsi="Bookman"/>
          <w:b/>
          <w:bCs/>
          <w:noProof/>
          <w:sz w:val="20"/>
        </w:rPr>
        <w:t>76</w:t>
      </w:r>
      <w:r w:rsidRPr="000855C4">
        <w:rPr>
          <w:rFonts w:ascii="Bookman" w:hAnsi="Bookman"/>
          <w:noProof/>
          <w:sz w:val="20"/>
        </w:rPr>
        <w:t>, 171–198.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Kargbo, D.M., Wilhelm, R.G. &amp; Campbell, D.J. (2010) Natural gas plays in the Marcellus Shale: challenges and potential opportunities. </w:t>
      </w:r>
      <w:r w:rsidRPr="000855C4">
        <w:rPr>
          <w:rFonts w:ascii="Bookman" w:hAnsi="Bookman"/>
          <w:i/>
          <w:iCs/>
          <w:noProof/>
          <w:sz w:val="20"/>
        </w:rPr>
        <w:t>Environmental science &amp; technology</w:t>
      </w:r>
      <w:r w:rsidRPr="000855C4">
        <w:rPr>
          <w:rFonts w:ascii="Bookman" w:hAnsi="Bookman"/>
          <w:noProof/>
          <w:sz w:val="20"/>
        </w:rPr>
        <w:t xml:space="preserve">, </w:t>
      </w:r>
      <w:r w:rsidRPr="000855C4">
        <w:rPr>
          <w:rFonts w:ascii="Bookman" w:hAnsi="Bookman"/>
          <w:b/>
          <w:bCs/>
          <w:noProof/>
          <w:sz w:val="20"/>
        </w:rPr>
        <w:t>44</w:t>
      </w:r>
      <w:r w:rsidRPr="000855C4">
        <w:rPr>
          <w:rFonts w:ascii="Bookman" w:hAnsi="Bookman"/>
          <w:noProof/>
          <w:sz w:val="20"/>
        </w:rPr>
        <w:t>, 5679–84.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Kassotis, C.D., Tillitt, D.E., Davis, J.W., Hormann, A.M. &amp; Nagel, S.C. (2013) Estrogen and Androgen Receptor Activities of Hydraulic Fracturing Chemicals and Surface and Ground Water in a Drilling-Dense Region. </w:t>
      </w:r>
      <w:r w:rsidRPr="000855C4">
        <w:rPr>
          <w:rFonts w:ascii="Bookman" w:hAnsi="Bookman"/>
          <w:i/>
          <w:iCs/>
          <w:noProof/>
          <w:sz w:val="20"/>
        </w:rPr>
        <w:t>Endocrinology</w:t>
      </w:r>
      <w:r w:rsidRPr="000855C4">
        <w:rPr>
          <w:rFonts w:ascii="Bookman" w:hAnsi="Bookman"/>
          <w:noProof/>
          <w:sz w:val="20"/>
        </w:rPr>
        <w:t xml:space="preserve">, </w:t>
      </w:r>
      <w:r w:rsidRPr="000855C4">
        <w:rPr>
          <w:rFonts w:ascii="Bookman" w:hAnsi="Bookman"/>
          <w:b/>
          <w:bCs/>
          <w:noProof/>
          <w:sz w:val="20"/>
        </w:rPr>
        <w:t>155</w:t>
      </w:r>
      <w:r w:rsidRPr="000855C4">
        <w:rPr>
          <w:rFonts w:ascii="Bookman" w:hAnsi="Bookman"/>
          <w:noProof/>
          <w:sz w:val="20"/>
        </w:rPr>
        <w:t>, 897–907.</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Kiviat, E. (2013) Risks to biodiversity from hydraulic fracturing for natural gas in the Marcellus and Utica shales. </w:t>
      </w:r>
      <w:r w:rsidRPr="000855C4">
        <w:rPr>
          <w:rFonts w:ascii="Bookman" w:hAnsi="Bookman"/>
          <w:i/>
          <w:iCs/>
          <w:noProof/>
          <w:sz w:val="20"/>
        </w:rPr>
        <w:t>Annals of the New York Academy of Sciences</w:t>
      </w:r>
      <w:r w:rsidRPr="000855C4">
        <w:rPr>
          <w:rFonts w:ascii="Bookman" w:hAnsi="Bookman"/>
          <w:noProof/>
          <w:sz w:val="20"/>
        </w:rPr>
        <w:t xml:space="preserve">, </w:t>
      </w:r>
      <w:r w:rsidRPr="000855C4">
        <w:rPr>
          <w:rFonts w:ascii="Bookman" w:hAnsi="Bookman"/>
          <w:b/>
          <w:bCs/>
          <w:noProof/>
          <w:sz w:val="20"/>
        </w:rPr>
        <w:t>1286</w:t>
      </w:r>
      <w:r w:rsidRPr="000855C4">
        <w:rPr>
          <w:rFonts w:ascii="Bookman" w:hAnsi="Bookman"/>
          <w:noProof/>
          <w:sz w:val="20"/>
        </w:rPr>
        <w:t>, 1–14.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Konschnik, K.E. &amp; Boling, M.K. (2014) Shale Gas Development: A Smart Regulation Framework. </w:t>
      </w:r>
      <w:r w:rsidRPr="000855C4">
        <w:rPr>
          <w:rFonts w:ascii="Bookman" w:hAnsi="Bookman"/>
          <w:i/>
          <w:iCs/>
          <w:noProof/>
          <w:sz w:val="20"/>
        </w:rPr>
        <w:t>Environmental Science &amp; Technology</w:t>
      </w:r>
      <w:r w:rsidRPr="000855C4">
        <w:rPr>
          <w:rFonts w:ascii="Bookman" w:hAnsi="Bookman"/>
          <w:noProof/>
          <w:sz w:val="20"/>
        </w:rPr>
        <w:t xml:space="preserve">, </w:t>
      </w:r>
      <w:r w:rsidRPr="000855C4">
        <w:rPr>
          <w:rFonts w:ascii="Bookman" w:hAnsi="Bookman"/>
          <w:b/>
          <w:bCs/>
          <w:noProof/>
          <w:sz w:val="20"/>
        </w:rPr>
        <w:t>48</w:t>
      </w:r>
      <w:r w:rsidRPr="000855C4">
        <w:rPr>
          <w:rFonts w:ascii="Bookman" w:hAnsi="Bookman"/>
          <w:noProof/>
          <w:sz w:val="20"/>
        </w:rPr>
        <w:t>, 8404–8416.</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Kroeger, T. &amp; Casey, F. (2007) An assessment of market-based approaches to providing ecosystem services on agricultural lands. </w:t>
      </w:r>
      <w:r w:rsidRPr="000855C4">
        <w:rPr>
          <w:rFonts w:ascii="Bookman" w:hAnsi="Bookman"/>
          <w:i/>
          <w:iCs/>
          <w:noProof/>
          <w:sz w:val="20"/>
        </w:rPr>
        <w:t>Ecological Economics</w:t>
      </w:r>
      <w:r w:rsidRPr="000855C4">
        <w:rPr>
          <w:rFonts w:ascii="Bookman" w:hAnsi="Bookman"/>
          <w:noProof/>
          <w:sz w:val="20"/>
        </w:rPr>
        <w:t xml:space="preserve">, </w:t>
      </w:r>
      <w:r w:rsidRPr="000855C4">
        <w:rPr>
          <w:rFonts w:ascii="Bookman" w:hAnsi="Bookman"/>
          <w:b/>
          <w:bCs/>
          <w:noProof/>
          <w:sz w:val="20"/>
        </w:rPr>
        <w:t>64</w:t>
      </w:r>
      <w:r w:rsidRPr="000855C4">
        <w:rPr>
          <w:rFonts w:ascii="Bookman" w:hAnsi="Bookman"/>
          <w:noProof/>
          <w:sz w:val="20"/>
        </w:rPr>
        <w:t>, 321–332.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Kukkala, A.S. &amp; Moilanen, A. (2013) Core concepts of spatial prioritisation in systematic conservation planning. </w:t>
      </w:r>
      <w:r w:rsidRPr="000855C4">
        <w:rPr>
          <w:rFonts w:ascii="Bookman" w:hAnsi="Bookman"/>
          <w:i/>
          <w:iCs/>
          <w:noProof/>
          <w:sz w:val="20"/>
        </w:rPr>
        <w:t>Biological Reviews</w:t>
      </w:r>
      <w:r w:rsidRPr="000855C4">
        <w:rPr>
          <w:rFonts w:ascii="Bookman" w:hAnsi="Bookman"/>
          <w:noProof/>
          <w:sz w:val="20"/>
        </w:rPr>
        <w:t xml:space="preserve">, </w:t>
      </w:r>
      <w:r w:rsidRPr="000855C4">
        <w:rPr>
          <w:rFonts w:ascii="Bookman" w:hAnsi="Bookman"/>
          <w:b/>
          <w:bCs/>
          <w:noProof/>
          <w:sz w:val="20"/>
        </w:rPr>
        <w:t>88</w:t>
      </w:r>
      <w:r w:rsidRPr="000855C4">
        <w:rPr>
          <w:rFonts w:ascii="Bookman" w:hAnsi="Bookman"/>
          <w:noProof/>
          <w:sz w:val="20"/>
        </w:rPr>
        <w:t>, 443–464.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Lane, P.N.J. &amp; Sheridan, G.J. (2002) Impact of an unsealed forest road stream crossing: water quality and sediment sources. </w:t>
      </w:r>
      <w:r w:rsidRPr="000855C4">
        <w:rPr>
          <w:rFonts w:ascii="Bookman" w:hAnsi="Bookman"/>
          <w:i/>
          <w:iCs/>
          <w:noProof/>
          <w:sz w:val="20"/>
        </w:rPr>
        <w:t>Hydrological Processes</w:t>
      </w:r>
      <w:r w:rsidRPr="000855C4">
        <w:rPr>
          <w:rFonts w:ascii="Bookman" w:hAnsi="Bookman"/>
          <w:noProof/>
          <w:sz w:val="20"/>
        </w:rPr>
        <w:t xml:space="preserve">, </w:t>
      </w:r>
      <w:r w:rsidRPr="000855C4">
        <w:rPr>
          <w:rFonts w:ascii="Bookman" w:hAnsi="Bookman"/>
          <w:b/>
          <w:bCs/>
          <w:noProof/>
          <w:sz w:val="20"/>
        </w:rPr>
        <w:t>16</w:t>
      </w:r>
      <w:r w:rsidRPr="000855C4">
        <w:rPr>
          <w:rFonts w:ascii="Bookman" w:hAnsi="Bookman"/>
          <w:noProof/>
          <w:sz w:val="20"/>
        </w:rPr>
        <w:t>, 2599–2612.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Lapeyre, R., Froger, G. &amp; Hrabanski, M. (2015) Biodiversity offsets as market-based instruments for ecosystem services? From discourses to practices. </w:t>
      </w:r>
      <w:r w:rsidRPr="000855C4">
        <w:rPr>
          <w:rFonts w:ascii="Bookman" w:hAnsi="Bookman"/>
          <w:i/>
          <w:iCs/>
          <w:noProof/>
          <w:sz w:val="20"/>
        </w:rPr>
        <w:t>Ecosystem Services</w:t>
      </w:r>
      <w:r w:rsidRPr="000855C4">
        <w:rPr>
          <w:rFonts w:ascii="Bookman" w:hAnsi="Bookman"/>
          <w:noProof/>
          <w:sz w:val="20"/>
        </w:rPr>
        <w:t xml:space="preserve">, </w:t>
      </w:r>
      <w:r w:rsidRPr="000855C4">
        <w:rPr>
          <w:rFonts w:ascii="Bookman" w:hAnsi="Bookman"/>
          <w:b/>
          <w:bCs/>
          <w:noProof/>
          <w:sz w:val="20"/>
        </w:rPr>
        <w:t>In Press</w:t>
      </w:r>
      <w:r w:rsidRPr="000855C4">
        <w:rPr>
          <w:rFonts w:ascii="Bookman" w:hAnsi="Bookman"/>
          <w:noProof/>
          <w:sz w:val="20"/>
        </w:rPr>
        <w:t>.</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Lawler, J.J., Ruesch, A.S., Olden, J.D. &amp; McRae, B.H. (2013) Projected climate-driven faunal movement routes. </w:t>
      </w:r>
      <w:r w:rsidRPr="000855C4">
        <w:rPr>
          <w:rFonts w:ascii="Bookman" w:hAnsi="Bookman"/>
          <w:i/>
          <w:iCs/>
          <w:noProof/>
          <w:sz w:val="20"/>
        </w:rPr>
        <w:t>Ecology Letters</w:t>
      </w:r>
      <w:r w:rsidRPr="000855C4">
        <w:rPr>
          <w:rFonts w:ascii="Bookman" w:hAnsi="Bookman"/>
          <w:noProof/>
          <w:sz w:val="20"/>
        </w:rPr>
        <w:t xml:space="preserve">, </w:t>
      </w:r>
      <w:r w:rsidRPr="000855C4">
        <w:rPr>
          <w:rFonts w:ascii="Bookman" w:hAnsi="Bookman"/>
          <w:b/>
          <w:bCs/>
          <w:noProof/>
          <w:sz w:val="20"/>
        </w:rPr>
        <w:t>16</w:t>
      </w:r>
      <w:r w:rsidRPr="000855C4">
        <w:rPr>
          <w:rFonts w:ascii="Bookman" w:hAnsi="Bookman"/>
          <w:noProof/>
          <w:sz w:val="20"/>
        </w:rPr>
        <w:t>, 1014–1022.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lastRenderedPageBreak/>
        <w:t xml:space="preserve">Lehtinen, R.M., Galatowitsch, S.M. &amp; Tester, J.R. (1999) Consequences of habitat loss and fragmentation for wetland amphibian assemblages. </w:t>
      </w:r>
      <w:r w:rsidRPr="000855C4">
        <w:rPr>
          <w:rFonts w:ascii="Bookman" w:hAnsi="Bookman"/>
          <w:i/>
          <w:iCs/>
          <w:noProof/>
          <w:sz w:val="20"/>
        </w:rPr>
        <w:t>Wetlands</w:t>
      </w:r>
      <w:r w:rsidRPr="000855C4">
        <w:rPr>
          <w:rFonts w:ascii="Bookman" w:hAnsi="Bookman"/>
          <w:noProof/>
          <w:sz w:val="20"/>
        </w:rPr>
        <w:t xml:space="preserve">, </w:t>
      </w:r>
      <w:r w:rsidRPr="000855C4">
        <w:rPr>
          <w:rFonts w:ascii="Bookman" w:hAnsi="Bookman"/>
          <w:b/>
          <w:bCs/>
          <w:noProof/>
          <w:sz w:val="20"/>
        </w:rPr>
        <w:t>19</w:t>
      </w:r>
      <w:r w:rsidRPr="000855C4">
        <w:rPr>
          <w:rFonts w:ascii="Bookman" w:hAnsi="Bookman"/>
          <w:noProof/>
          <w:sz w:val="20"/>
        </w:rPr>
        <w:t>, 1–12.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Lentini, P.E. &amp; Wintle, B.A. (2015) Spatial conservation priorities are highly sensitive to choice of biodiversity surrogates and species distribution model type. </w:t>
      </w:r>
      <w:r w:rsidRPr="000855C4">
        <w:rPr>
          <w:rFonts w:ascii="Bookman" w:hAnsi="Bookman"/>
          <w:i/>
          <w:iCs/>
          <w:noProof/>
          <w:sz w:val="20"/>
        </w:rPr>
        <w:t>Ecography</w:t>
      </w:r>
      <w:r w:rsidRPr="000855C4">
        <w:rPr>
          <w:rFonts w:ascii="Bookman" w:hAnsi="Bookman"/>
          <w:noProof/>
          <w:sz w:val="20"/>
        </w:rPr>
        <w:t xml:space="preserve">, </w:t>
      </w:r>
      <w:r w:rsidRPr="000855C4">
        <w:rPr>
          <w:rFonts w:ascii="Bookman" w:hAnsi="Bookman"/>
          <w:b/>
          <w:bCs/>
          <w:noProof/>
          <w:sz w:val="20"/>
        </w:rPr>
        <w:t>In Press</w:t>
      </w:r>
      <w:r w:rsidRPr="000855C4">
        <w:rPr>
          <w:rFonts w:ascii="Bookman" w:hAnsi="Bookman"/>
          <w:noProof/>
          <w:sz w:val="20"/>
        </w:rPr>
        <w:t>.</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Lewison, R.L., Freeman, S.A. &amp; Crowder, L.B. (2004) Quantifying the effects of fisheries on threatened species: the impact of pelagic longlines on loggerhead and leatherback sea turtles. </w:t>
      </w:r>
      <w:r w:rsidRPr="000855C4">
        <w:rPr>
          <w:rFonts w:ascii="Bookman" w:hAnsi="Bookman"/>
          <w:i/>
          <w:iCs/>
          <w:noProof/>
          <w:sz w:val="20"/>
        </w:rPr>
        <w:t>Ecology Letters</w:t>
      </w:r>
      <w:r w:rsidRPr="000855C4">
        <w:rPr>
          <w:rFonts w:ascii="Bookman" w:hAnsi="Bookman"/>
          <w:noProof/>
          <w:sz w:val="20"/>
        </w:rPr>
        <w:t xml:space="preserve">, </w:t>
      </w:r>
      <w:r w:rsidRPr="000855C4">
        <w:rPr>
          <w:rFonts w:ascii="Bookman" w:hAnsi="Bookman"/>
          <w:b/>
          <w:bCs/>
          <w:noProof/>
          <w:sz w:val="20"/>
        </w:rPr>
        <w:t>7</w:t>
      </w:r>
      <w:r w:rsidRPr="000855C4">
        <w:rPr>
          <w:rFonts w:ascii="Bookman" w:hAnsi="Bookman"/>
          <w:noProof/>
          <w:sz w:val="20"/>
        </w:rPr>
        <w:t>, 221–231.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Lindenmayer, D.B., Franklin, J.F. &amp; Fischer, J. (2006) General management principles and a checklist of strategies to guide forest biodiversity conservation. </w:t>
      </w:r>
      <w:r w:rsidRPr="000855C4">
        <w:rPr>
          <w:rFonts w:ascii="Bookman" w:hAnsi="Bookman"/>
          <w:i/>
          <w:iCs/>
          <w:noProof/>
          <w:sz w:val="20"/>
        </w:rPr>
        <w:t>Biological Conservation</w:t>
      </w:r>
      <w:r w:rsidRPr="000855C4">
        <w:rPr>
          <w:rFonts w:ascii="Bookman" w:hAnsi="Bookman"/>
          <w:noProof/>
          <w:sz w:val="20"/>
        </w:rPr>
        <w:t xml:space="preserve">, </w:t>
      </w:r>
      <w:r w:rsidRPr="000855C4">
        <w:rPr>
          <w:rFonts w:ascii="Bookman" w:hAnsi="Bookman"/>
          <w:b/>
          <w:bCs/>
          <w:noProof/>
          <w:sz w:val="20"/>
        </w:rPr>
        <w:t>131</w:t>
      </w:r>
      <w:r w:rsidRPr="000855C4">
        <w:rPr>
          <w:rFonts w:ascii="Bookman" w:hAnsi="Bookman"/>
          <w:noProof/>
          <w:sz w:val="20"/>
        </w:rPr>
        <w:t>, 433–445.</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Lindenmayer, D.B., Margules, C.R. &amp; Botkin, D.B. (2000) Indicators of Biodiversity for Ecologically Sustainable Forest Management. </w:t>
      </w:r>
      <w:r w:rsidRPr="000855C4">
        <w:rPr>
          <w:rFonts w:ascii="Bookman" w:hAnsi="Bookman"/>
          <w:i/>
          <w:iCs/>
          <w:noProof/>
          <w:sz w:val="20"/>
        </w:rPr>
        <w:t>Conservation Biology</w:t>
      </w:r>
      <w:r w:rsidRPr="000855C4">
        <w:rPr>
          <w:rFonts w:ascii="Bookman" w:hAnsi="Bookman"/>
          <w:noProof/>
          <w:sz w:val="20"/>
        </w:rPr>
        <w:t xml:space="preserve">, </w:t>
      </w:r>
      <w:r w:rsidRPr="000855C4">
        <w:rPr>
          <w:rFonts w:ascii="Bookman" w:hAnsi="Bookman"/>
          <w:b/>
          <w:bCs/>
          <w:noProof/>
          <w:sz w:val="20"/>
        </w:rPr>
        <w:t>14</w:t>
      </w:r>
      <w:r w:rsidRPr="000855C4">
        <w:rPr>
          <w:rFonts w:ascii="Bookman" w:hAnsi="Bookman"/>
          <w:noProof/>
          <w:sz w:val="20"/>
        </w:rPr>
        <w:t>, 941–950.</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Lockie, S. (2013) Market instruments, ecosystem services, and property rights: Assumptions and conditions for sustained social and ecological benefits. </w:t>
      </w:r>
      <w:r w:rsidRPr="000855C4">
        <w:rPr>
          <w:rFonts w:ascii="Bookman" w:hAnsi="Bookman"/>
          <w:i/>
          <w:iCs/>
          <w:noProof/>
          <w:sz w:val="20"/>
        </w:rPr>
        <w:t>Land Use Policy</w:t>
      </w:r>
      <w:r w:rsidRPr="000855C4">
        <w:rPr>
          <w:rFonts w:ascii="Bookman" w:hAnsi="Bookman"/>
          <w:noProof/>
          <w:sz w:val="20"/>
        </w:rPr>
        <w:t xml:space="preserve">, </w:t>
      </w:r>
      <w:r w:rsidRPr="000855C4">
        <w:rPr>
          <w:rFonts w:ascii="Bookman" w:hAnsi="Bookman"/>
          <w:b/>
          <w:bCs/>
          <w:noProof/>
          <w:sz w:val="20"/>
        </w:rPr>
        <w:t>31</w:t>
      </w:r>
      <w:r w:rsidRPr="000855C4">
        <w:rPr>
          <w:rFonts w:ascii="Bookman" w:hAnsi="Bookman"/>
          <w:noProof/>
          <w:sz w:val="20"/>
        </w:rPr>
        <w:t>, 90–98.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Lustgarten, A. (2009) Frack Fluid Spill in Dimock Contaminates Stream , Killing Fish. </w:t>
      </w:r>
      <w:r w:rsidRPr="000855C4">
        <w:rPr>
          <w:rFonts w:ascii="Bookman" w:hAnsi="Bookman"/>
          <w:i/>
          <w:iCs/>
          <w:noProof/>
          <w:sz w:val="20"/>
        </w:rPr>
        <w:t>ProPublica</w:t>
      </w:r>
      <w:r w:rsidRPr="000855C4">
        <w:rPr>
          <w:rFonts w:ascii="Bookman" w:hAnsi="Bookman"/>
          <w:noProof/>
          <w:sz w:val="20"/>
        </w:rPr>
        <w:t>, 3–4.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Magurran, A.E., Baillie, S.R., Buckland, S.T., Dick, J.M., Elston, D.A., Scott, E.M., Smith, R.I., Somerfield, P.J. &amp; Watt, A.D. (2010) Long-term datasets in biodiversity research and monitoring: assessing change in ecological communities through time. </w:t>
      </w:r>
      <w:r w:rsidRPr="000855C4">
        <w:rPr>
          <w:rFonts w:ascii="Bookman" w:hAnsi="Bookman"/>
          <w:i/>
          <w:iCs/>
          <w:noProof/>
          <w:sz w:val="20"/>
        </w:rPr>
        <w:t>Trends in Ecology &amp; Evolution&amp; evolution</w:t>
      </w:r>
      <w:r w:rsidRPr="000855C4">
        <w:rPr>
          <w:rFonts w:ascii="Bookman" w:hAnsi="Bookman"/>
          <w:noProof/>
          <w:sz w:val="20"/>
        </w:rPr>
        <w:t xml:space="preserve">, </w:t>
      </w:r>
      <w:r w:rsidRPr="000855C4">
        <w:rPr>
          <w:rFonts w:ascii="Bookman" w:hAnsi="Bookman"/>
          <w:b/>
          <w:bCs/>
          <w:noProof/>
          <w:sz w:val="20"/>
        </w:rPr>
        <w:t>25</w:t>
      </w:r>
      <w:r w:rsidRPr="000855C4">
        <w:rPr>
          <w:rFonts w:ascii="Bookman" w:hAnsi="Bookman"/>
          <w:noProof/>
          <w:sz w:val="20"/>
        </w:rPr>
        <w:t>, 574–582.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Margules, C.R., Milkovits, G.A. &amp; Smith, G.T. (1994) Constrasting Effects of Habitat Fragmentation on the Scorpion Cercophonius Squama and an Amphipod. </w:t>
      </w:r>
      <w:r w:rsidRPr="000855C4">
        <w:rPr>
          <w:rFonts w:ascii="Bookman" w:hAnsi="Bookman"/>
          <w:i/>
          <w:iCs/>
          <w:noProof/>
          <w:sz w:val="20"/>
        </w:rPr>
        <w:t>Ecology</w:t>
      </w:r>
      <w:r w:rsidRPr="000855C4">
        <w:rPr>
          <w:rFonts w:ascii="Bookman" w:hAnsi="Bookman"/>
          <w:noProof/>
          <w:sz w:val="20"/>
        </w:rPr>
        <w:t xml:space="preserve">, </w:t>
      </w:r>
      <w:r w:rsidRPr="000855C4">
        <w:rPr>
          <w:rFonts w:ascii="Bookman" w:hAnsi="Bookman"/>
          <w:b/>
          <w:bCs/>
          <w:noProof/>
          <w:sz w:val="20"/>
        </w:rPr>
        <w:t>75</w:t>
      </w:r>
      <w:r w:rsidRPr="000855C4">
        <w:rPr>
          <w:rFonts w:ascii="Bookman" w:hAnsi="Bookman"/>
          <w:noProof/>
          <w:sz w:val="20"/>
        </w:rPr>
        <w:t>, 2033–2042.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Margules, C.R. &amp; Pressey, R.L. (2000) Systematic conservation planning. </w:t>
      </w:r>
      <w:r w:rsidRPr="000855C4">
        <w:rPr>
          <w:rFonts w:ascii="Bookman" w:hAnsi="Bookman"/>
          <w:i/>
          <w:iCs/>
          <w:noProof/>
          <w:sz w:val="20"/>
        </w:rPr>
        <w:t>Nature</w:t>
      </w:r>
      <w:r w:rsidRPr="000855C4">
        <w:rPr>
          <w:rFonts w:ascii="Bookman" w:hAnsi="Bookman"/>
          <w:noProof/>
          <w:sz w:val="20"/>
        </w:rPr>
        <w:t xml:space="preserve">, </w:t>
      </w:r>
      <w:r w:rsidRPr="000855C4">
        <w:rPr>
          <w:rFonts w:ascii="Bookman" w:hAnsi="Bookman"/>
          <w:b/>
          <w:bCs/>
          <w:noProof/>
          <w:sz w:val="20"/>
        </w:rPr>
        <w:t>405</w:t>
      </w:r>
      <w:r w:rsidRPr="000855C4">
        <w:rPr>
          <w:rFonts w:ascii="Bookman" w:hAnsi="Bookman"/>
          <w:noProof/>
          <w:sz w:val="20"/>
        </w:rPr>
        <w:t>, 243–53.</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Martin, L.J., Blossey, B. &amp; Ellis, E. (2012) Mapping where ecologists work: biases in the global distribution of terrestrial ecological observations. </w:t>
      </w:r>
      <w:r w:rsidRPr="000855C4">
        <w:rPr>
          <w:rFonts w:ascii="Bookman" w:hAnsi="Bookman"/>
          <w:i/>
          <w:iCs/>
          <w:noProof/>
          <w:sz w:val="20"/>
        </w:rPr>
        <w:t>Frontiers in Ecology and the Environment</w:t>
      </w:r>
      <w:r w:rsidRPr="000855C4">
        <w:rPr>
          <w:rFonts w:ascii="Bookman" w:hAnsi="Bookman"/>
          <w:noProof/>
          <w:sz w:val="20"/>
        </w:rPr>
        <w:t xml:space="preserve">, </w:t>
      </w:r>
      <w:r w:rsidRPr="000855C4">
        <w:rPr>
          <w:rFonts w:ascii="Bookman" w:hAnsi="Bookman"/>
          <w:b/>
          <w:bCs/>
          <w:noProof/>
          <w:sz w:val="20"/>
        </w:rPr>
        <w:t>10</w:t>
      </w:r>
      <w:r w:rsidRPr="000855C4">
        <w:rPr>
          <w:rFonts w:ascii="Bookman" w:hAnsi="Bookman"/>
          <w:noProof/>
          <w:sz w:val="20"/>
        </w:rPr>
        <w:t>, 195–201.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Maskell, L.C., Crowe, A., Dunbar, M.J., Emmett, B., Henrys, P., Keith, A.M., Norton, L.R., Scholefield, P., Clark, D.B., Simpson, I.C. &amp; Smart, S.M. (2013) Exploring the ecological constraints to multiple ecosystem service delivery and biodiversity. </w:t>
      </w:r>
      <w:r w:rsidRPr="000855C4">
        <w:rPr>
          <w:rFonts w:ascii="Bookman" w:hAnsi="Bookman"/>
          <w:i/>
          <w:iCs/>
          <w:noProof/>
          <w:sz w:val="20"/>
        </w:rPr>
        <w:t>Journal of Applied Ecology</w:t>
      </w:r>
      <w:r w:rsidRPr="000855C4">
        <w:rPr>
          <w:rFonts w:ascii="Bookman" w:hAnsi="Bookman"/>
          <w:noProof/>
          <w:sz w:val="20"/>
        </w:rPr>
        <w:t xml:space="preserve">, </w:t>
      </w:r>
      <w:r w:rsidRPr="000855C4">
        <w:rPr>
          <w:rFonts w:ascii="Bookman" w:hAnsi="Bookman"/>
          <w:b/>
          <w:bCs/>
          <w:noProof/>
          <w:sz w:val="20"/>
        </w:rPr>
        <w:t>50</w:t>
      </w:r>
      <w:r w:rsidRPr="000855C4">
        <w:rPr>
          <w:rFonts w:ascii="Bookman" w:hAnsi="Bookman"/>
          <w:noProof/>
          <w:sz w:val="20"/>
        </w:rPr>
        <w:t>, 561–571.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Mateo, R.G., de la Estrella, M., Felicísimo, Á.M., Muñoz, J. &amp; Guisan, A. (2013) A new spin on a compositionalist predictive modelling framework for conservation planning: a tropical case study in Ecuador. </w:t>
      </w:r>
      <w:r w:rsidRPr="000855C4">
        <w:rPr>
          <w:rFonts w:ascii="Bookman" w:hAnsi="Bookman"/>
          <w:i/>
          <w:iCs/>
          <w:noProof/>
          <w:sz w:val="20"/>
        </w:rPr>
        <w:t>Biological Conservation</w:t>
      </w:r>
      <w:r w:rsidRPr="000855C4">
        <w:rPr>
          <w:rFonts w:ascii="Bookman" w:hAnsi="Bookman"/>
          <w:noProof/>
          <w:sz w:val="20"/>
        </w:rPr>
        <w:t xml:space="preserve">, </w:t>
      </w:r>
      <w:r w:rsidRPr="000855C4">
        <w:rPr>
          <w:rFonts w:ascii="Bookman" w:hAnsi="Bookman"/>
          <w:b/>
          <w:bCs/>
          <w:noProof/>
          <w:sz w:val="20"/>
        </w:rPr>
        <w:t>160</w:t>
      </w:r>
      <w:r w:rsidRPr="000855C4">
        <w:rPr>
          <w:rFonts w:ascii="Bookman" w:hAnsi="Bookman"/>
          <w:noProof/>
          <w:sz w:val="20"/>
        </w:rPr>
        <w:t>, 150–161.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lastRenderedPageBreak/>
        <w:t xml:space="preserve">Matlack, G.R. (1993) Microenvironment variation within and among forest edge sites in the eastern United States. </w:t>
      </w:r>
      <w:r w:rsidRPr="000855C4">
        <w:rPr>
          <w:rFonts w:ascii="Bookman" w:hAnsi="Bookman"/>
          <w:i/>
          <w:iCs/>
          <w:noProof/>
          <w:sz w:val="20"/>
        </w:rPr>
        <w:t>Biological Conservation</w:t>
      </w:r>
      <w:r w:rsidRPr="000855C4">
        <w:rPr>
          <w:rFonts w:ascii="Bookman" w:hAnsi="Bookman"/>
          <w:noProof/>
          <w:sz w:val="20"/>
        </w:rPr>
        <w:t xml:space="preserve">, </w:t>
      </w:r>
      <w:r w:rsidRPr="000855C4">
        <w:rPr>
          <w:rFonts w:ascii="Bookman" w:hAnsi="Bookman"/>
          <w:b/>
          <w:bCs/>
          <w:noProof/>
          <w:sz w:val="20"/>
        </w:rPr>
        <w:t>66</w:t>
      </w:r>
      <w:r w:rsidRPr="000855C4">
        <w:rPr>
          <w:rFonts w:ascii="Bookman" w:hAnsi="Bookman"/>
          <w:noProof/>
          <w:sz w:val="20"/>
        </w:rPr>
        <w:t>, 185–194.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Metcalfe, K., Delavenne, J., Garcia, C., Foveau, A., Dauvin, J.C., Coggan, R., Vaz, S., Harrop, S.R. &amp; Smith, R.J. (2013) Impacts of data quality on the setting of conservation planning targets using the species–area relationship. </w:t>
      </w:r>
      <w:r w:rsidRPr="000855C4">
        <w:rPr>
          <w:rFonts w:ascii="Bookman" w:hAnsi="Bookman"/>
          <w:i/>
          <w:iCs/>
          <w:noProof/>
          <w:sz w:val="20"/>
        </w:rPr>
        <w:t>Diversity and Distributions</w:t>
      </w:r>
      <w:r w:rsidRPr="000855C4">
        <w:rPr>
          <w:rFonts w:ascii="Bookman" w:hAnsi="Bookman"/>
          <w:noProof/>
          <w:sz w:val="20"/>
        </w:rPr>
        <w:t xml:space="preserve">, </w:t>
      </w:r>
      <w:r w:rsidRPr="000855C4">
        <w:rPr>
          <w:rFonts w:ascii="Bookman" w:hAnsi="Bookman"/>
          <w:b/>
          <w:bCs/>
          <w:noProof/>
          <w:sz w:val="20"/>
        </w:rPr>
        <w:t>19</w:t>
      </w:r>
      <w:r w:rsidRPr="000855C4">
        <w:rPr>
          <w:rFonts w:ascii="Bookman" w:hAnsi="Bookman"/>
          <w:noProof/>
          <w:sz w:val="20"/>
        </w:rPr>
        <w:t>, 1–13.</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Miles, L. &amp; Kapos, V. (2008) Reducing Greenhouse Gas Emissions from Deforestation and Forest Degradation: Global Land-Use Implications. </w:t>
      </w:r>
      <w:r w:rsidRPr="000855C4">
        <w:rPr>
          <w:rFonts w:ascii="Bookman" w:hAnsi="Bookman"/>
          <w:i/>
          <w:iCs/>
          <w:noProof/>
          <w:sz w:val="20"/>
        </w:rPr>
        <w:t xml:space="preserve">Science </w:t>
      </w:r>
      <w:r w:rsidRPr="000855C4">
        <w:rPr>
          <w:rFonts w:ascii="Bookman" w:hAnsi="Bookman"/>
          <w:noProof/>
          <w:sz w:val="20"/>
        </w:rPr>
        <w:t xml:space="preserve">, </w:t>
      </w:r>
      <w:r w:rsidRPr="000855C4">
        <w:rPr>
          <w:rFonts w:ascii="Bookman" w:hAnsi="Bookman"/>
          <w:b/>
          <w:bCs/>
          <w:noProof/>
          <w:sz w:val="20"/>
        </w:rPr>
        <w:t xml:space="preserve">320 </w:t>
      </w:r>
      <w:r w:rsidRPr="000855C4">
        <w:rPr>
          <w:rFonts w:ascii="Bookman" w:hAnsi="Bookman"/>
          <w:noProof/>
          <w:sz w:val="20"/>
        </w:rPr>
        <w:t>, 1454–1455.</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Miller, M.A., Jenkins, C.D. &amp; Rai, R.R. (2010) Applying Innovative Production Modeling Techniques to Quantify Fracture Characteristics, Reservoir Properties, and Well Performance in Shale Gas Reservoirs.</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Moilanen, A. (2012) Planning impact avoidance and biodiversity offsetting using software for spatial conservation prioritisation. </w:t>
      </w:r>
      <w:r w:rsidRPr="000855C4">
        <w:rPr>
          <w:rFonts w:ascii="Bookman" w:hAnsi="Bookman"/>
          <w:i/>
          <w:iCs/>
          <w:noProof/>
          <w:sz w:val="20"/>
        </w:rPr>
        <w:t>Wildlife Research</w:t>
      </w:r>
      <w:r w:rsidRPr="000855C4">
        <w:rPr>
          <w:rFonts w:ascii="Bookman" w:hAnsi="Bookman"/>
          <w:noProof/>
          <w:sz w:val="20"/>
        </w:rPr>
        <w:t>.</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Moilanen, A., Anderson, B.J., Eigenbrod, F., Heinemeyer, A., Roy, D.B., Gillings, S., Armsworth, P.R., Gaston, K.J. &amp; Thomas, C.D. (2011) Balancing alternative land uses in conservation prioritization. </w:t>
      </w:r>
      <w:r w:rsidRPr="000855C4">
        <w:rPr>
          <w:rFonts w:ascii="Bookman" w:hAnsi="Bookman"/>
          <w:i/>
          <w:iCs/>
          <w:noProof/>
          <w:sz w:val="20"/>
        </w:rPr>
        <w:t>Ecological Applications</w:t>
      </w:r>
      <w:r w:rsidRPr="000855C4">
        <w:rPr>
          <w:rFonts w:ascii="Bookman" w:hAnsi="Bookman"/>
          <w:noProof/>
          <w:sz w:val="20"/>
        </w:rPr>
        <w:t xml:space="preserve">, </w:t>
      </w:r>
      <w:r w:rsidRPr="000855C4">
        <w:rPr>
          <w:rFonts w:ascii="Bookman" w:hAnsi="Bookman"/>
          <w:b/>
          <w:bCs/>
          <w:noProof/>
          <w:sz w:val="20"/>
        </w:rPr>
        <w:t>21</w:t>
      </w:r>
      <w:r w:rsidRPr="000855C4">
        <w:rPr>
          <w:rFonts w:ascii="Bookman" w:hAnsi="Bookman"/>
          <w:noProof/>
          <w:sz w:val="20"/>
        </w:rPr>
        <w:t>, 1419–1426.</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Muggeo, V.M.R. (2008) segmented: an R package to fit regression models with broken-line relationships. </w:t>
      </w:r>
      <w:r w:rsidRPr="000855C4">
        <w:rPr>
          <w:rFonts w:ascii="Bookman" w:hAnsi="Bookman"/>
          <w:i/>
          <w:iCs/>
          <w:noProof/>
          <w:sz w:val="20"/>
        </w:rPr>
        <w:t>R News</w:t>
      </w:r>
      <w:r w:rsidRPr="000855C4">
        <w:rPr>
          <w:rFonts w:ascii="Bookman" w:hAnsi="Bookman"/>
          <w:noProof/>
          <w:sz w:val="20"/>
        </w:rPr>
        <w:t xml:space="preserve">, </w:t>
      </w:r>
      <w:r w:rsidRPr="000855C4">
        <w:rPr>
          <w:rFonts w:ascii="Bookman" w:hAnsi="Bookman"/>
          <w:b/>
          <w:bCs/>
          <w:noProof/>
          <w:sz w:val="20"/>
        </w:rPr>
        <w:t>8</w:t>
      </w:r>
      <w:r w:rsidRPr="000855C4">
        <w:rPr>
          <w:rFonts w:ascii="Bookman" w:hAnsi="Bookman"/>
          <w:noProof/>
          <w:sz w:val="20"/>
        </w:rPr>
        <w:t>, 20–25.</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Myers, N., Mittermeier, R.A., Mittermeier, C.G., da Fonseca, G.A.B. &amp; Kent, J. (2000) Biodiversity hotspots for conservation priorities. </w:t>
      </w:r>
      <w:r w:rsidRPr="000855C4">
        <w:rPr>
          <w:rFonts w:ascii="Bookman" w:hAnsi="Bookman"/>
          <w:i/>
          <w:iCs/>
          <w:noProof/>
          <w:sz w:val="20"/>
        </w:rPr>
        <w:t>Nature</w:t>
      </w:r>
      <w:r w:rsidRPr="000855C4">
        <w:rPr>
          <w:rFonts w:ascii="Bookman" w:hAnsi="Bookman"/>
          <w:noProof/>
          <w:sz w:val="20"/>
        </w:rPr>
        <w:t xml:space="preserve">, </w:t>
      </w:r>
      <w:r w:rsidRPr="000855C4">
        <w:rPr>
          <w:rFonts w:ascii="Bookman" w:hAnsi="Bookman"/>
          <w:b/>
          <w:bCs/>
          <w:noProof/>
          <w:sz w:val="20"/>
        </w:rPr>
        <w:t>403</w:t>
      </w:r>
      <w:r w:rsidRPr="000855C4">
        <w:rPr>
          <w:rFonts w:ascii="Bookman" w:hAnsi="Bookman"/>
          <w:noProof/>
          <w:sz w:val="20"/>
        </w:rPr>
        <w:t>, 853–858.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Naidoo, R., Balmford, A., Costanza, R., Fisher, B., Green, R.E., Lehner, B., Malcolm, T.R. &amp; Ricketts, T.H. (2008) Global mapping of ecosystem services and conservation priorities. </w:t>
      </w:r>
      <w:r w:rsidRPr="000855C4">
        <w:rPr>
          <w:rFonts w:ascii="Bookman" w:hAnsi="Bookman"/>
          <w:i/>
          <w:iCs/>
          <w:noProof/>
          <w:sz w:val="20"/>
        </w:rPr>
        <w:t xml:space="preserve">Proceedings of the National Academy of Sciences </w:t>
      </w:r>
      <w:r w:rsidRPr="000855C4">
        <w:rPr>
          <w:rFonts w:ascii="Bookman" w:hAnsi="Bookman"/>
          <w:noProof/>
          <w:sz w:val="20"/>
        </w:rPr>
        <w:t xml:space="preserve">, </w:t>
      </w:r>
      <w:r w:rsidRPr="000855C4">
        <w:rPr>
          <w:rFonts w:ascii="Bookman" w:hAnsi="Bookman"/>
          <w:b/>
          <w:bCs/>
          <w:noProof/>
          <w:sz w:val="20"/>
        </w:rPr>
        <w:t xml:space="preserve">105 </w:t>
      </w:r>
      <w:r w:rsidRPr="000855C4">
        <w:rPr>
          <w:rFonts w:ascii="Bookman" w:hAnsi="Bookman"/>
          <w:noProof/>
          <w:sz w:val="20"/>
        </w:rPr>
        <w:t>, 9495–9500.</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Ni, S.J. &amp; Zhang, J.H. (2007) Variation of chemical properties as affected by soil erosion on hillslopes and terraces. </w:t>
      </w:r>
      <w:r w:rsidRPr="000855C4">
        <w:rPr>
          <w:rFonts w:ascii="Bookman" w:hAnsi="Bookman"/>
          <w:i/>
          <w:iCs/>
          <w:noProof/>
          <w:sz w:val="20"/>
        </w:rPr>
        <w:t>European Journal of Soil Science</w:t>
      </w:r>
      <w:r w:rsidRPr="000855C4">
        <w:rPr>
          <w:rFonts w:ascii="Bookman" w:hAnsi="Bookman"/>
          <w:noProof/>
          <w:sz w:val="20"/>
        </w:rPr>
        <w:t xml:space="preserve">, </w:t>
      </w:r>
      <w:r w:rsidRPr="000855C4">
        <w:rPr>
          <w:rFonts w:ascii="Bookman" w:hAnsi="Bookman"/>
          <w:b/>
          <w:bCs/>
          <w:noProof/>
          <w:sz w:val="20"/>
        </w:rPr>
        <w:t>58</w:t>
      </w:r>
      <w:r w:rsidRPr="000855C4">
        <w:rPr>
          <w:rFonts w:ascii="Bookman" w:hAnsi="Bookman"/>
          <w:noProof/>
          <w:sz w:val="20"/>
        </w:rPr>
        <w:t>, 1285–1292.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Olden, J.D., Jackson, D.A. &amp; Peres-Neto, P.R. (2002) Predictive Models of Fish Species Distributions: A Note on Proper Validation and Chance Predictions. </w:t>
      </w:r>
      <w:r w:rsidRPr="000855C4">
        <w:rPr>
          <w:rFonts w:ascii="Bookman" w:hAnsi="Bookman"/>
          <w:i/>
          <w:iCs/>
          <w:noProof/>
          <w:sz w:val="20"/>
        </w:rPr>
        <w:t>Transactions of the American Fisheries Society</w:t>
      </w:r>
      <w:r w:rsidRPr="000855C4">
        <w:rPr>
          <w:rFonts w:ascii="Bookman" w:hAnsi="Bookman"/>
          <w:noProof/>
          <w:sz w:val="20"/>
        </w:rPr>
        <w:t xml:space="preserve">, </w:t>
      </w:r>
      <w:r w:rsidRPr="000855C4">
        <w:rPr>
          <w:rFonts w:ascii="Bookman" w:hAnsi="Bookman"/>
          <w:b/>
          <w:bCs/>
          <w:noProof/>
          <w:sz w:val="20"/>
        </w:rPr>
        <w:t>131</w:t>
      </w:r>
      <w:r w:rsidRPr="000855C4">
        <w:rPr>
          <w:rFonts w:ascii="Bookman" w:hAnsi="Bookman"/>
          <w:noProof/>
          <w:sz w:val="20"/>
        </w:rPr>
        <w:t>, 329–336.</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Olmstead, S.M., Muehlenbachs, L.A., Shih, J.-S., Chu, Z. &amp; Krupnick, A.J. (2013) Shale gas development impacts on surface water quality in Pennsylvania. </w:t>
      </w:r>
      <w:r w:rsidRPr="000855C4">
        <w:rPr>
          <w:rFonts w:ascii="Bookman" w:hAnsi="Bookman"/>
          <w:i/>
          <w:iCs/>
          <w:noProof/>
          <w:sz w:val="20"/>
        </w:rPr>
        <w:t>Proceedings of the National Academy of Sciences of the United States of America</w:t>
      </w:r>
      <w:r w:rsidRPr="000855C4">
        <w:rPr>
          <w:rFonts w:ascii="Bookman" w:hAnsi="Bookman"/>
          <w:noProof/>
          <w:sz w:val="20"/>
        </w:rPr>
        <w:t xml:space="preserve">, </w:t>
      </w:r>
      <w:r w:rsidRPr="000855C4">
        <w:rPr>
          <w:rFonts w:ascii="Bookman" w:hAnsi="Bookman"/>
          <w:b/>
          <w:bCs/>
          <w:noProof/>
          <w:sz w:val="20"/>
        </w:rPr>
        <w:t>110</w:t>
      </w:r>
      <w:r w:rsidRPr="000855C4">
        <w:rPr>
          <w:rFonts w:ascii="Bookman" w:hAnsi="Bookman"/>
          <w:noProof/>
          <w:sz w:val="20"/>
        </w:rPr>
        <w:t>, 4962–4967.</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De Ornellas, P., Milner-Gulland, E.J. &amp; Nicholson, E. (2011) The impact of data realities on conservation planning. </w:t>
      </w:r>
      <w:r w:rsidRPr="000855C4">
        <w:rPr>
          <w:rFonts w:ascii="Bookman" w:hAnsi="Bookman"/>
          <w:i/>
          <w:iCs/>
          <w:noProof/>
          <w:sz w:val="20"/>
        </w:rPr>
        <w:t>Biological Conservation</w:t>
      </w:r>
      <w:r w:rsidRPr="000855C4">
        <w:rPr>
          <w:rFonts w:ascii="Bookman" w:hAnsi="Bookman"/>
          <w:noProof/>
          <w:sz w:val="20"/>
        </w:rPr>
        <w:t xml:space="preserve">, </w:t>
      </w:r>
      <w:r w:rsidRPr="000855C4">
        <w:rPr>
          <w:rFonts w:ascii="Bookman" w:hAnsi="Bookman"/>
          <w:b/>
          <w:bCs/>
          <w:noProof/>
          <w:sz w:val="20"/>
        </w:rPr>
        <w:t>144</w:t>
      </w:r>
      <w:r w:rsidRPr="000855C4">
        <w:rPr>
          <w:rFonts w:ascii="Bookman" w:hAnsi="Bookman"/>
          <w:noProof/>
          <w:sz w:val="20"/>
        </w:rPr>
        <w:t>, 1980–1988.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Owens, R.A. &amp; Myres, M.T. (1973) Effects of agriculture upon populations of native passerine birds of an Alberta fescue grassland. </w:t>
      </w:r>
      <w:r w:rsidRPr="000855C4">
        <w:rPr>
          <w:rFonts w:ascii="Bookman" w:hAnsi="Bookman"/>
          <w:i/>
          <w:iCs/>
          <w:noProof/>
          <w:sz w:val="20"/>
        </w:rPr>
        <w:t>Canadian Journal of Zoology</w:t>
      </w:r>
      <w:r w:rsidRPr="000855C4">
        <w:rPr>
          <w:rFonts w:ascii="Bookman" w:hAnsi="Bookman"/>
          <w:noProof/>
          <w:sz w:val="20"/>
        </w:rPr>
        <w:t xml:space="preserve">, </w:t>
      </w:r>
      <w:r w:rsidRPr="000855C4">
        <w:rPr>
          <w:rFonts w:ascii="Bookman" w:hAnsi="Bookman"/>
          <w:b/>
          <w:bCs/>
          <w:noProof/>
          <w:sz w:val="20"/>
        </w:rPr>
        <w:t>51</w:t>
      </w:r>
      <w:r w:rsidRPr="000855C4">
        <w:rPr>
          <w:rFonts w:ascii="Bookman" w:hAnsi="Bookman"/>
          <w:noProof/>
          <w:sz w:val="20"/>
        </w:rPr>
        <w:t>, 697–713.</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lastRenderedPageBreak/>
        <w:t>Ozanne, A., Hogan, T. &amp; Colman, D. (2001) Moral hazard, risk aversion and compliance monitoring in agri</w:t>
      </w:r>
      <w:r w:rsidRPr="000855C4">
        <w:rPr>
          <w:rFonts w:ascii="Cambria Math" w:hAnsi="Cambria Math" w:cs="Cambria Math"/>
          <w:noProof/>
          <w:sz w:val="20"/>
        </w:rPr>
        <w:t>‐</w:t>
      </w:r>
      <w:r w:rsidRPr="000855C4">
        <w:rPr>
          <w:noProof/>
          <w:sz w:val="20"/>
        </w:rPr>
        <w:t xml:space="preserve">environmental policy. </w:t>
      </w:r>
      <w:r w:rsidRPr="000855C4">
        <w:rPr>
          <w:rFonts w:ascii="Bookman" w:hAnsi="Bookman"/>
          <w:i/>
          <w:iCs/>
          <w:noProof/>
          <w:sz w:val="20"/>
        </w:rPr>
        <w:t xml:space="preserve">European Review of Agricultural Economics </w:t>
      </w:r>
      <w:r w:rsidRPr="000855C4">
        <w:rPr>
          <w:rFonts w:ascii="Bookman" w:hAnsi="Bookman"/>
          <w:noProof/>
          <w:sz w:val="20"/>
        </w:rPr>
        <w:t xml:space="preserve">, </w:t>
      </w:r>
      <w:r w:rsidRPr="000855C4">
        <w:rPr>
          <w:rFonts w:ascii="Bookman" w:hAnsi="Bookman"/>
          <w:b/>
          <w:bCs/>
          <w:noProof/>
          <w:sz w:val="20"/>
        </w:rPr>
        <w:t xml:space="preserve">28 </w:t>
      </w:r>
      <w:r w:rsidRPr="000855C4">
        <w:rPr>
          <w:rFonts w:ascii="Bookman" w:hAnsi="Bookman"/>
          <w:noProof/>
          <w:sz w:val="20"/>
        </w:rPr>
        <w:t>, 329–348.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Pagiola, S. &amp; Platais, G. (2002) Payments for environmental services. </w:t>
      </w:r>
      <w:r w:rsidRPr="000855C4">
        <w:rPr>
          <w:rFonts w:ascii="Bookman" w:hAnsi="Bookman"/>
          <w:i/>
          <w:iCs/>
          <w:noProof/>
          <w:sz w:val="20"/>
        </w:rPr>
        <w:t>Environment Strategy Notes</w:t>
      </w:r>
      <w:r w:rsidRPr="000855C4">
        <w:rPr>
          <w:rFonts w:ascii="Bookman" w:hAnsi="Bookman"/>
          <w:noProof/>
          <w:sz w:val="20"/>
        </w:rPr>
        <w:t xml:space="preserve">, </w:t>
      </w:r>
      <w:r w:rsidRPr="000855C4">
        <w:rPr>
          <w:rFonts w:ascii="Bookman" w:hAnsi="Bookman"/>
          <w:b/>
          <w:bCs/>
          <w:noProof/>
          <w:sz w:val="20"/>
        </w:rPr>
        <w:t>3</w:t>
      </w:r>
      <w:r w:rsidRPr="000855C4">
        <w:rPr>
          <w:rFonts w:ascii="Bookman" w:hAnsi="Bookman"/>
          <w:noProof/>
          <w:sz w:val="20"/>
        </w:rPr>
        <w:t>, 1–23.</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Pauchard, A. &amp; Alaback, P.B. (2006) Edge type defines alien plant species invasions along Pinus contorta burned, highway and clearcut forest edges. </w:t>
      </w:r>
      <w:r w:rsidRPr="000855C4">
        <w:rPr>
          <w:rFonts w:ascii="Bookman" w:hAnsi="Bookman"/>
          <w:i/>
          <w:iCs/>
          <w:noProof/>
          <w:sz w:val="20"/>
        </w:rPr>
        <w:t>Forest Ecology and Management</w:t>
      </w:r>
      <w:r w:rsidRPr="000855C4">
        <w:rPr>
          <w:rFonts w:ascii="Bookman" w:hAnsi="Bookman"/>
          <w:noProof/>
          <w:sz w:val="20"/>
        </w:rPr>
        <w:t xml:space="preserve">, </w:t>
      </w:r>
      <w:r w:rsidRPr="000855C4">
        <w:rPr>
          <w:rFonts w:ascii="Bookman" w:hAnsi="Bookman"/>
          <w:b/>
          <w:bCs/>
          <w:noProof/>
          <w:sz w:val="20"/>
        </w:rPr>
        <w:t>223</w:t>
      </w:r>
      <w:r w:rsidRPr="000855C4">
        <w:rPr>
          <w:rFonts w:ascii="Bookman" w:hAnsi="Bookman"/>
          <w:noProof/>
          <w:sz w:val="20"/>
        </w:rPr>
        <w:t>, 327–335.</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Pépino, M., Rodríguez, M.A. &amp; Magnan, P. (2012) Impacts of highway crossings on density of brook charr in streams. </w:t>
      </w:r>
      <w:r w:rsidRPr="000855C4">
        <w:rPr>
          <w:rFonts w:ascii="Bookman" w:hAnsi="Bookman"/>
          <w:i/>
          <w:iCs/>
          <w:noProof/>
          <w:sz w:val="20"/>
        </w:rPr>
        <w:t>Journal of Applied Ecology</w:t>
      </w:r>
      <w:r w:rsidRPr="000855C4">
        <w:rPr>
          <w:rFonts w:ascii="Bookman" w:hAnsi="Bookman"/>
          <w:noProof/>
          <w:sz w:val="20"/>
        </w:rPr>
        <w:t xml:space="preserve">, </w:t>
      </w:r>
      <w:r w:rsidRPr="000855C4">
        <w:rPr>
          <w:rFonts w:ascii="Bookman" w:hAnsi="Bookman"/>
          <w:b/>
          <w:bCs/>
          <w:noProof/>
          <w:sz w:val="20"/>
        </w:rPr>
        <w:t>49</w:t>
      </w:r>
      <w:r w:rsidRPr="000855C4">
        <w:rPr>
          <w:rFonts w:ascii="Bookman" w:hAnsi="Bookman"/>
          <w:noProof/>
          <w:sz w:val="20"/>
        </w:rPr>
        <w:t>, 395–403.</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Perry, S.L. (2012) Addressing the Societal Costs of Unconventional Oil and Gas Exploration and Production : Cumulative Risks and Uncertainties of Hydrofracking. </w:t>
      </w:r>
      <w:r w:rsidRPr="000855C4">
        <w:rPr>
          <w:rFonts w:ascii="Bookman" w:hAnsi="Bookman"/>
          <w:i/>
          <w:iCs/>
          <w:noProof/>
          <w:sz w:val="20"/>
        </w:rPr>
        <w:t>Environmental Practice</w:t>
      </w:r>
      <w:r w:rsidRPr="000855C4">
        <w:rPr>
          <w:rFonts w:ascii="Bookman" w:hAnsi="Bookman"/>
          <w:noProof/>
          <w:sz w:val="20"/>
        </w:rPr>
        <w:t xml:space="preserve">, </w:t>
      </w:r>
      <w:r w:rsidRPr="000855C4">
        <w:rPr>
          <w:rFonts w:ascii="Bookman" w:hAnsi="Bookman"/>
          <w:b/>
          <w:bCs/>
          <w:noProof/>
          <w:sz w:val="20"/>
        </w:rPr>
        <w:t>14</w:t>
      </w:r>
      <w:r w:rsidRPr="000855C4">
        <w:rPr>
          <w:rFonts w:ascii="Bookman" w:hAnsi="Bookman"/>
          <w:noProof/>
          <w:sz w:val="20"/>
        </w:rPr>
        <w:t>, 352–365.</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Phalan, B., Onial, M., Balmford, A. &amp; Green, R.E. (2011) Reconciling Food Production and Biodiversity Conservation: Land Sharing and Land Sparing Compared. </w:t>
      </w:r>
      <w:r w:rsidRPr="000855C4">
        <w:rPr>
          <w:rFonts w:ascii="Bookman" w:hAnsi="Bookman"/>
          <w:i/>
          <w:iCs/>
          <w:noProof/>
          <w:sz w:val="20"/>
        </w:rPr>
        <w:t xml:space="preserve">Science </w:t>
      </w:r>
      <w:r w:rsidRPr="000855C4">
        <w:rPr>
          <w:rFonts w:ascii="Bookman" w:hAnsi="Bookman"/>
          <w:noProof/>
          <w:sz w:val="20"/>
        </w:rPr>
        <w:t xml:space="preserve">, </w:t>
      </w:r>
      <w:r w:rsidRPr="000855C4">
        <w:rPr>
          <w:rFonts w:ascii="Bookman" w:hAnsi="Bookman"/>
          <w:b/>
          <w:bCs/>
          <w:noProof/>
          <w:sz w:val="20"/>
        </w:rPr>
        <w:t xml:space="preserve">333 </w:t>
      </w:r>
      <w:r w:rsidRPr="000855C4">
        <w:rPr>
          <w:rFonts w:ascii="Bookman" w:hAnsi="Bookman"/>
          <w:noProof/>
          <w:sz w:val="20"/>
        </w:rPr>
        <w:t>, 1289–1291.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Polasky, S. &amp; Solow, A.R. (2001) The value of information in reserve site selection. </w:t>
      </w:r>
      <w:r w:rsidRPr="000855C4">
        <w:rPr>
          <w:rFonts w:ascii="Bookman" w:hAnsi="Bookman"/>
          <w:i/>
          <w:iCs/>
          <w:noProof/>
          <w:sz w:val="20"/>
        </w:rPr>
        <w:t>Biodiversity and Conservation</w:t>
      </w:r>
      <w:r w:rsidRPr="000855C4">
        <w:rPr>
          <w:rFonts w:ascii="Bookman" w:hAnsi="Bookman"/>
          <w:noProof/>
          <w:sz w:val="20"/>
        </w:rPr>
        <w:t xml:space="preserve">, </w:t>
      </w:r>
      <w:r w:rsidRPr="000855C4">
        <w:rPr>
          <w:rFonts w:ascii="Bookman" w:hAnsi="Bookman"/>
          <w:b/>
          <w:bCs/>
          <w:noProof/>
          <w:sz w:val="20"/>
        </w:rPr>
        <w:t>10</w:t>
      </w:r>
      <w:r w:rsidRPr="000855C4">
        <w:rPr>
          <w:rFonts w:ascii="Bookman" w:hAnsi="Bookman"/>
          <w:noProof/>
          <w:sz w:val="20"/>
        </w:rPr>
        <w:t>, 1051–1058.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Pressey, R.L., Cabeza, M., Watts, M.E., Cowling, R.M. &amp; Wilson, K.A. (2007) Conservation planning in a changing world. </w:t>
      </w:r>
      <w:r w:rsidRPr="000855C4">
        <w:rPr>
          <w:rFonts w:ascii="Bookman" w:hAnsi="Bookman"/>
          <w:i/>
          <w:iCs/>
          <w:noProof/>
          <w:sz w:val="20"/>
        </w:rPr>
        <w:t>Trends in ecology &amp; evolution</w:t>
      </w:r>
      <w:r w:rsidRPr="000855C4">
        <w:rPr>
          <w:rFonts w:ascii="Bookman" w:hAnsi="Bookman"/>
          <w:noProof/>
          <w:sz w:val="20"/>
        </w:rPr>
        <w:t xml:space="preserve">, </w:t>
      </w:r>
      <w:r w:rsidRPr="000855C4">
        <w:rPr>
          <w:rFonts w:ascii="Bookman" w:hAnsi="Bookman"/>
          <w:b/>
          <w:bCs/>
          <w:noProof/>
          <w:sz w:val="20"/>
        </w:rPr>
        <w:t>22</w:t>
      </w:r>
      <w:r w:rsidRPr="000855C4">
        <w:rPr>
          <w:rFonts w:ascii="Bookman" w:hAnsi="Bookman"/>
          <w:noProof/>
          <w:sz w:val="20"/>
        </w:rPr>
        <w:t>, 583–92.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Pressey, R.L., Johnson, I.R. &amp; Wilson, P.D. (1994) Shades of irreplaceability: towards a measure of the contribution of sites to a reservation goal. </w:t>
      </w:r>
      <w:r w:rsidRPr="000855C4">
        <w:rPr>
          <w:rFonts w:ascii="Bookman" w:hAnsi="Bookman"/>
          <w:i/>
          <w:iCs/>
          <w:noProof/>
          <w:sz w:val="20"/>
        </w:rPr>
        <w:t>Biodiversity and Conservation</w:t>
      </w:r>
      <w:r w:rsidRPr="000855C4">
        <w:rPr>
          <w:rFonts w:ascii="Bookman" w:hAnsi="Bookman"/>
          <w:noProof/>
          <w:sz w:val="20"/>
        </w:rPr>
        <w:t xml:space="preserve">, </w:t>
      </w:r>
      <w:r w:rsidRPr="000855C4">
        <w:rPr>
          <w:rFonts w:ascii="Bookman" w:hAnsi="Bookman"/>
          <w:b/>
          <w:bCs/>
          <w:noProof/>
          <w:sz w:val="20"/>
        </w:rPr>
        <w:t>3</w:t>
      </w:r>
      <w:r w:rsidRPr="000855C4">
        <w:rPr>
          <w:rFonts w:ascii="Bookman" w:hAnsi="Bookman"/>
          <w:noProof/>
          <w:sz w:val="20"/>
        </w:rPr>
        <w:t>, 242–262.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Pryce, B., Iachetti, P., Wilhere, G., Ciruna, K., Floberg, J., Crawford, R., Dye, R., Fairbarns, M., Farone, S., Ford, S., Goering, M., Heiner, M., Kittel, G., Lewis, J., Nicolson, D. &amp; Warner, N. (2006) </w:t>
      </w:r>
      <w:r w:rsidRPr="000855C4">
        <w:rPr>
          <w:rFonts w:ascii="Bookman" w:hAnsi="Bookman"/>
          <w:i/>
          <w:iCs/>
          <w:noProof/>
          <w:sz w:val="20"/>
        </w:rPr>
        <w:t>Okanagan Ecoregional Assessment, Volume 1 - Report</w:t>
      </w:r>
      <w:r w:rsidRPr="000855C4">
        <w:rPr>
          <w:rFonts w:ascii="Bookman" w:hAnsi="Bookman"/>
          <w:noProof/>
          <w:sz w:val="20"/>
        </w:rPr>
        <w:t>. Victoria, British Columbia.</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Qiu, J. &amp; Turner, M.G. (2013) Spatial interactions among ecosystem services in an urbanizing agricultural watershed. </w:t>
      </w:r>
      <w:r w:rsidRPr="000855C4">
        <w:rPr>
          <w:rFonts w:ascii="Bookman" w:hAnsi="Bookman"/>
          <w:i/>
          <w:iCs/>
          <w:noProof/>
          <w:sz w:val="20"/>
        </w:rPr>
        <w:t xml:space="preserve">Proceedings of the National Academy of Sciences </w:t>
      </w:r>
      <w:r w:rsidRPr="000855C4">
        <w:rPr>
          <w:rFonts w:ascii="Bookman" w:hAnsi="Bookman"/>
          <w:noProof/>
          <w:sz w:val="20"/>
        </w:rPr>
        <w:t xml:space="preserve">, </w:t>
      </w:r>
      <w:r w:rsidRPr="000855C4">
        <w:rPr>
          <w:rFonts w:ascii="Bookman" w:hAnsi="Bookman"/>
          <w:b/>
          <w:bCs/>
          <w:noProof/>
          <w:sz w:val="20"/>
        </w:rPr>
        <w:t xml:space="preserve">110 </w:t>
      </w:r>
      <w:r w:rsidRPr="000855C4">
        <w:rPr>
          <w:rFonts w:ascii="Bookman" w:hAnsi="Bookman"/>
          <w:noProof/>
          <w:sz w:val="20"/>
        </w:rPr>
        <w:t>, 12149–12154.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Quinn, G.P. &amp; Keough, M.J. (2002) </w:t>
      </w:r>
      <w:r w:rsidRPr="000855C4">
        <w:rPr>
          <w:rFonts w:ascii="Bookman" w:hAnsi="Bookman"/>
          <w:i/>
          <w:iCs/>
          <w:noProof/>
          <w:sz w:val="20"/>
        </w:rPr>
        <w:t>Experimental Design and Analysis for Biologists</w:t>
      </w:r>
      <w:r w:rsidRPr="000855C4">
        <w:rPr>
          <w:rFonts w:ascii="Bookman" w:hAnsi="Bookman"/>
          <w:noProof/>
          <w:sz w:val="20"/>
        </w:rPr>
        <w:t>. Cambridge University Press, New York.</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Racicot, A., Babin-Roussel, V., Dauphinais, J.-F., Joly, J.-S., Noël, P. &amp; Lavoie, C. (2014) A Framework to Predict the Impacts of Shale Gas Infrastructures on the Forest Fragmentation of an Agroforest Region. </w:t>
      </w:r>
      <w:r w:rsidRPr="000855C4">
        <w:rPr>
          <w:rFonts w:ascii="Bookman" w:hAnsi="Bookman"/>
          <w:i/>
          <w:iCs/>
          <w:noProof/>
          <w:sz w:val="20"/>
        </w:rPr>
        <w:t>Environmental management</w:t>
      </w:r>
      <w:r w:rsidRPr="000855C4">
        <w:rPr>
          <w:rFonts w:ascii="Bookman" w:hAnsi="Bookman"/>
          <w:noProof/>
          <w:sz w:val="20"/>
        </w:rPr>
        <w:t>, 1–11.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lastRenderedPageBreak/>
        <w:t xml:space="preserve">Rahm, D. (2011) Regulating hydraulic fracturing in shale gas plays: The case of Texas. </w:t>
      </w:r>
      <w:r w:rsidRPr="000855C4">
        <w:rPr>
          <w:rFonts w:ascii="Bookman" w:hAnsi="Bookman"/>
          <w:i/>
          <w:iCs/>
          <w:noProof/>
          <w:sz w:val="20"/>
        </w:rPr>
        <w:t>Energy Policy</w:t>
      </w:r>
      <w:r w:rsidRPr="000855C4">
        <w:rPr>
          <w:rFonts w:ascii="Bookman" w:hAnsi="Bookman"/>
          <w:noProof/>
          <w:sz w:val="20"/>
        </w:rPr>
        <w:t xml:space="preserve">, </w:t>
      </w:r>
      <w:r w:rsidRPr="000855C4">
        <w:rPr>
          <w:rFonts w:ascii="Bookman" w:hAnsi="Bookman"/>
          <w:b/>
          <w:bCs/>
          <w:noProof/>
          <w:sz w:val="20"/>
        </w:rPr>
        <w:t>39</w:t>
      </w:r>
      <w:r w:rsidRPr="000855C4">
        <w:rPr>
          <w:rFonts w:ascii="Bookman" w:hAnsi="Bookman"/>
          <w:noProof/>
          <w:sz w:val="20"/>
        </w:rPr>
        <w:t>, 2974–2981.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Rainho, A. &amp; Palmeirim, J.M. (2013) Prioritizing conservation areas around multispecies bat colonies using spatial modeling. </w:t>
      </w:r>
      <w:r w:rsidRPr="000855C4">
        <w:rPr>
          <w:rFonts w:ascii="Bookman" w:hAnsi="Bookman"/>
          <w:i/>
          <w:iCs/>
          <w:noProof/>
          <w:sz w:val="20"/>
        </w:rPr>
        <w:t>Animal Conservation</w:t>
      </w:r>
      <w:r w:rsidRPr="000855C4">
        <w:rPr>
          <w:rFonts w:ascii="Bookman" w:hAnsi="Bookman"/>
          <w:noProof/>
          <w:sz w:val="20"/>
        </w:rPr>
        <w:t xml:space="preserve">, </w:t>
      </w:r>
      <w:r w:rsidRPr="000855C4">
        <w:rPr>
          <w:rFonts w:ascii="Bookman" w:hAnsi="Bookman"/>
          <w:b/>
          <w:bCs/>
          <w:noProof/>
          <w:sz w:val="20"/>
        </w:rPr>
        <w:t>16</w:t>
      </w:r>
      <w:r w:rsidRPr="000855C4">
        <w:rPr>
          <w:rFonts w:ascii="Bookman" w:hAnsi="Bookman"/>
          <w:noProof/>
          <w:sz w:val="20"/>
        </w:rPr>
        <w:t>, 438–448.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Rands, M.R.W., Adams, W.M., Bennun, L., Butchart, S.H.M., Clements, A., Coomes, D., Entwistle, A., Hodge, I., Kapos, V., Scharlemann, J.P.W., Sutherland, W.J. &amp; Vira, B. (2010) Biodiversity Conservation: Challenges Beyond 2010. </w:t>
      </w:r>
      <w:r w:rsidRPr="000855C4">
        <w:rPr>
          <w:rFonts w:ascii="Bookman" w:hAnsi="Bookman"/>
          <w:i/>
          <w:iCs/>
          <w:noProof/>
          <w:sz w:val="20"/>
        </w:rPr>
        <w:t xml:space="preserve">Science </w:t>
      </w:r>
      <w:r w:rsidRPr="000855C4">
        <w:rPr>
          <w:rFonts w:ascii="Bookman" w:hAnsi="Bookman"/>
          <w:noProof/>
          <w:sz w:val="20"/>
        </w:rPr>
        <w:t xml:space="preserve">, </w:t>
      </w:r>
      <w:r w:rsidRPr="000855C4">
        <w:rPr>
          <w:rFonts w:ascii="Bookman" w:hAnsi="Bookman"/>
          <w:b/>
          <w:bCs/>
          <w:noProof/>
          <w:sz w:val="20"/>
        </w:rPr>
        <w:t xml:space="preserve">329 </w:t>
      </w:r>
      <w:r w:rsidRPr="000855C4">
        <w:rPr>
          <w:rFonts w:ascii="Bookman" w:hAnsi="Bookman"/>
          <w:noProof/>
          <w:sz w:val="20"/>
        </w:rPr>
        <w:t>, 1298–1303.</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Ranta, P., Blom, T., Niemela, J., Joensuu, E. &amp; Siitonen, M. (1998) The fragmented Atlantic rain forest of Brazil: size, shape and distribution of forest fragments. </w:t>
      </w:r>
      <w:r w:rsidRPr="000855C4">
        <w:rPr>
          <w:rFonts w:ascii="Bookman" w:hAnsi="Bookman"/>
          <w:i/>
          <w:iCs/>
          <w:noProof/>
          <w:sz w:val="20"/>
        </w:rPr>
        <w:t>Biodiversity &amp; Conservation</w:t>
      </w:r>
      <w:r w:rsidRPr="000855C4">
        <w:rPr>
          <w:rFonts w:ascii="Bookman" w:hAnsi="Bookman"/>
          <w:noProof/>
          <w:sz w:val="20"/>
        </w:rPr>
        <w:t xml:space="preserve">, </w:t>
      </w:r>
      <w:r w:rsidRPr="000855C4">
        <w:rPr>
          <w:rFonts w:ascii="Bookman" w:hAnsi="Bookman"/>
          <w:b/>
          <w:bCs/>
          <w:noProof/>
          <w:sz w:val="20"/>
        </w:rPr>
        <w:t>7</w:t>
      </w:r>
      <w:r w:rsidRPr="000855C4">
        <w:rPr>
          <w:rFonts w:ascii="Bookman" w:hAnsi="Bookman"/>
          <w:noProof/>
          <w:sz w:val="20"/>
        </w:rPr>
        <w:t>, 385–403.</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Raudsepp-Hearne, C., Peterson, G.D. &amp; Bennett, E.M. (2010) Ecosystem service bundles for analyzing tradeoffs in diverse landscapes. </w:t>
      </w:r>
      <w:r w:rsidRPr="000855C4">
        <w:rPr>
          <w:rFonts w:ascii="Bookman" w:hAnsi="Bookman"/>
          <w:i/>
          <w:iCs/>
          <w:noProof/>
          <w:sz w:val="20"/>
        </w:rPr>
        <w:t xml:space="preserve">Proceedings of the National Academy of Sciences </w:t>
      </w:r>
      <w:r w:rsidRPr="000855C4">
        <w:rPr>
          <w:rFonts w:ascii="Bookman" w:hAnsi="Bookman"/>
          <w:noProof/>
          <w:sz w:val="20"/>
        </w:rPr>
        <w:t xml:space="preserve">, </w:t>
      </w:r>
      <w:r w:rsidRPr="000855C4">
        <w:rPr>
          <w:rFonts w:ascii="Bookman" w:hAnsi="Bookman"/>
          <w:b/>
          <w:bCs/>
          <w:noProof/>
          <w:sz w:val="20"/>
        </w:rPr>
        <w:t xml:space="preserve">107 </w:t>
      </w:r>
      <w:r w:rsidRPr="000855C4">
        <w:rPr>
          <w:rFonts w:ascii="Bookman" w:hAnsi="Bookman"/>
          <w:noProof/>
          <w:sz w:val="20"/>
        </w:rPr>
        <w:t>, 5242–5247.</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Redford, K.H., Coppolillo, P., Sanderson, E.W., Da Fonseca, G.A.B., Dinerstein, E., Groves, C., Mace, G., Maginnis, S., Mittermeier, R.A., Noss, R., Olson, D., Robinson, J.G., Vedder, A. &amp; Wright, M. (2003) Mapping the conservation landscape. </w:t>
      </w:r>
      <w:r w:rsidRPr="000855C4">
        <w:rPr>
          <w:rFonts w:ascii="Bookman" w:hAnsi="Bookman"/>
          <w:i/>
          <w:iCs/>
          <w:noProof/>
          <w:sz w:val="20"/>
        </w:rPr>
        <w:t>Conservation Biology</w:t>
      </w:r>
      <w:r w:rsidRPr="000855C4">
        <w:rPr>
          <w:rFonts w:ascii="Bookman" w:hAnsi="Bookman"/>
          <w:noProof/>
          <w:sz w:val="20"/>
        </w:rPr>
        <w:t xml:space="preserve">, </w:t>
      </w:r>
      <w:r w:rsidRPr="000855C4">
        <w:rPr>
          <w:rFonts w:ascii="Bookman" w:hAnsi="Bookman"/>
          <w:b/>
          <w:bCs/>
          <w:noProof/>
          <w:sz w:val="20"/>
        </w:rPr>
        <w:t>17</w:t>
      </w:r>
      <w:r w:rsidRPr="000855C4">
        <w:rPr>
          <w:rFonts w:ascii="Bookman" w:hAnsi="Bookman"/>
          <w:noProof/>
          <w:sz w:val="20"/>
        </w:rPr>
        <w:t>, 116–131.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Reid, L.M. &amp; Dunne, T. (1984) Sediment production from forest road surfaces. </w:t>
      </w:r>
      <w:r w:rsidRPr="000855C4">
        <w:rPr>
          <w:rFonts w:ascii="Bookman" w:hAnsi="Bookman"/>
          <w:i/>
          <w:iCs/>
          <w:noProof/>
          <w:sz w:val="20"/>
        </w:rPr>
        <w:t>Water Resources Research</w:t>
      </w:r>
      <w:r w:rsidRPr="000855C4">
        <w:rPr>
          <w:rFonts w:ascii="Bookman" w:hAnsi="Bookman"/>
          <w:noProof/>
          <w:sz w:val="20"/>
        </w:rPr>
        <w:t xml:space="preserve">, </w:t>
      </w:r>
      <w:r w:rsidRPr="000855C4">
        <w:rPr>
          <w:rFonts w:ascii="Bookman" w:hAnsi="Bookman"/>
          <w:b/>
          <w:bCs/>
          <w:noProof/>
          <w:sz w:val="20"/>
        </w:rPr>
        <w:t>20</w:t>
      </w:r>
      <w:r w:rsidRPr="000855C4">
        <w:rPr>
          <w:rFonts w:ascii="Bookman" w:hAnsi="Bookman"/>
          <w:noProof/>
          <w:sz w:val="20"/>
        </w:rPr>
        <w:t>, 1753–1761.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Richardson, N.D., Gottlieb, M., Krupnick, A. &amp; Wiseman, H. (2013) </w:t>
      </w:r>
      <w:r w:rsidRPr="000855C4">
        <w:rPr>
          <w:rFonts w:ascii="Bookman" w:hAnsi="Bookman"/>
          <w:i/>
          <w:iCs/>
          <w:noProof/>
          <w:sz w:val="20"/>
        </w:rPr>
        <w:t>The State of State Shale Gas Regulation</w:t>
      </w:r>
      <w:r w:rsidRPr="000855C4">
        <w:rPr>
          <w:rFonts w:ascii="Bookman" w:hAnsi="Bookman"/>
          <w:noProof/>
          <w:sz w:val="20"/>
        </w:rPr>
        <w:t>. Resources for the Future Washington, DC.</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Rico, A., Kindlmann, P. &amp; Sedláček, F. (2007) Barrier effects of roads on movements of small mammals. </w:t>
      </w:r>
      <w:r w:rsidRPr="000855C4">
        <w:rPr>
          <w:rFonts w:ascii="Bookman" w:hAnsi="Bookman"/>
          <w:i/>
          <w:iCs/>
          <w:noProof/>
          <w:sz w:val="20"/>
        </w:rPr>
        <w:t>Folia Zoologica</w:t>
      </w:r>
      <w:r w:rsidRPr="000855C4">
        <w:rPr>
          <w:rFonts w:ascii="Bookman" w:hAnsi="Bookman"/>
          <w:noProof/>
          <w:sz w:val="20"/>
        </w:rPr>
        <w:t xml:space="preserve">, </w:t>
      </w:r>
      <w:r w:rsidRPr="000855C4">
        <w:rPr>
          <w:rFonts w:ascii="Bookman" w:hAnsi="Bookman"/>
          <w:b/>
          <w:bCs/>
          <w:noProof/>
          <w:sz w:val="20"/>
        </w:rPr>
        <w:t>56</w:t>
      </w:r>
      <w:r w:rsidRPr="000855C4">
        <w:rPr>
          <w:rFonts w:ascii="Bookman" w:hAnsi="Bookman"/>
          <w:noProof/>
          <w:sz w:val="20"/>
        </w:rPr>
        <w:t>, 1–12.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Robles, M.D., Flather, C.H., Stein, S.M., Nelson, M.D. &amp; Cutko, A. (2008) The geography of private forests that support at-risk species in the conterminous United States. </w:t>
      </w:r>
      <w:r w:rsidRPr="000855C4">
        <w:rPr>
          <w:rFonts w:ascii="Bookman" w:hAnsi="Bookman"/>
          <w:i/>
          <w:iCs/>
          <w:noProof/>
          <w:sz w:val="20"/>
        </w:rPr>
        <w:t>Frontiers in Ecology and the Environment</w:t>
      </w:r>
      <w:r w:rsidRPr="000855C4">
        <w:rPr>
          <w:rFonts w:ascii="Bookman" w:hAnsi="Bookman"/>
          <w:noProof/>
          <w:sz w:val="20"/>
        </w:rPr>
        <w:t xml:space="preserve">, </w:t>
      </w:r>
      <w:r w:rsidRPr="000855C4">
        <w:rPr>
          <w:rFonts w:ascii="Bookman" w:hAnsi="Bookman"/>
          <w:b/>
          <w:bCs/>
          <w:noProof/>
          <w:sz w:val="20"/>
        </w:rPr>
        <w:t>6</w:t>
      </w:r>
      <w:r w:rsidRPr="000855C4">
        <w:rPr>
          <w:rFonts w:ascii="Bookman" w:hAnsi="Bookman"/>
          <w:noProof/>
          <w:sz w:val="20"/>
        </w:rPr>
        <w:t>, 301–307.</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Rondinini, C., Wilson, K.A., Boitani, L., Grantham, H. &amp; Possingham, H.P. (2006) Tradeoffs of different types of species occurrence data for use in systematic conservation planning. </w:t>
      </w:r>
      <w:r w:rsidRPr="000855C4">
        <w:rPr>
          <w:rFonts w:ascii="Bookman" w:hAnsi="Bookman"/>
          <w:i/>
          <w:iCs/>
          <w:noProof/>
          <w:sz w:val="20"/>
        </w:rPr>
        <w:t>Ecology letters</w:t>
      </w:r>
      <w:r w:rsidRPr="000855C4">
        <w:rPr>
          <w:rFonts w:ascii="Bookman" w:hAnsi="Bookman"/>
          <w:noProof/>
          <w:sz w:val="20"/>
        </w:rPr>
        <w:t xml:space="preserve">, </w:t>
      </w:r>
      <w:r w:rsidRPr="000855C4">
        <w:rPr>
          <w:rFonts w:ascii="Bookman" w:hAnsi="Bookman"/>
          <w:b/>
          <w:bCs/>
          <w:noProof/>
          <w:sz w:val="20"/>
        </w:rPr>
        <w:t>9</w:t>
      </w:r>
      <w:r w:rsidRPr="000855C4">
        <w:rPr>
          <w:rFonts w:ascii="Bookman" w:hAnsi="Bookman"/>
          <w:noProof/>
          <w:sz w:val="20"/>
        </w:rPr>
        <w:t>, 1136–45.</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Ruijs, A., Wossink, A., Kortelainen, M., Alkemade, R. &amp; Schulp, C.J.E. (2013) Trade-off analysis of ecosystem services in Eastern Europe. </w:t>
      </w:r>
      <w:r w:rsidRPr="000855C4">
        <w:rPr>
          <w:rFonts w:ascii="Bookman" w:hAnsi="Bookman"/>
          <w:i/>
          <w:iCs/>
          <w:noProof/>
          <w:sz w:val="20"/>
        </w:rPr>
        <w:t>Ecosystem Services</w:t>
      </w:r>
      <w:r w:rsidRPr="000855C4">
        <w:rPr>
          <w:rFonts w:ascii="Bookman" w:hAnsi="Bookman"/>
          <w:noProof/>
          <w:sz w:val="20"/>
        </w:rPr>
        <w:t xml:space="preserve">, </w:t>
      </w:r>
      <w:r w:rsidRPr="000855C4">
        <w:rPr>
          <w:rFonts w:ascii="Bookman" w:hAnsi="Bookman"/>
          <w:b/>
          <w:bCs/>
          <w:noProof/>
          <w:sz w:val="20"/>
        </w:rPr>
        <w:t>4</w:t>
      </w:r>
      <w:r w:rsidRPr="000855C4">
        <w:rPr>
          <w:rFonts w:ascii="Bookman" w:hAnsi="Bookman"/>
          <w:noProof/>
          <w:sz w:val="20"/>
        </w:rPr>
        <w:t>, 82–94.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Salafsky, N., Margoluis, R., Redford, K.H. &amp; Robinson, J.G. (2002) Improving the Practice of Conservation: a Conceptual Framework and Research Agenda for Conservation Science. </w:t>
      </w:r>
      <w:r w:rsidRPr="000855C4">
        <w:rPr>
          <w:rFonts w:ascii="Bookman" w:hAnsi="Bookman"/>
          <w:i/>
          <w:iCs/>
          <w:noProof/>
          <w:sz w:val="20"/>
        </w:rPr>
        <w:t>Conservation Biology</w:t>
      </w:r>
      <w:r w:rsidRPr="000855C4">
        <w:rPr>
          <w:rFonts w:ascii="Bookman" w:hAnsi="Bookman"/>
          <w:noProof/>
          <w:sz w:val="20"/>
        </w:rPr>
        <w:t xml:space="preserve">, </w:t>
      </w:r>
      <w:r w:rsidRPr="000855C4">
        <w:rPr>
          <w:rFonts w:ascii="Bookman" w:hAnsi="Bookman"/>
          <w:b/>
          <w:bCs/>
          <w:noProof/>
          <w:sz w:val="20"/>
        </w:rPr>
        <w:t>16</w:t>
      </w:r>
      <w:r w:rsidRPr="000855C4">
        <w:rPr>
          <w:rFonts w:ascii="Bookman" w:hAnsi="Bookman"/>
          <w:noProof/>
          <w:sz w:val="20"/>
        </w:rPr>
        <w:t>, 1469–1479.</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Salzman, J. &amp; Ruhl, J.B. (2000) Currencies and the commodification of environmental law. </w:t>
      </w:r>
      <w:r w:rsidRPr="000855C4">
        <w:rPr>
          <w:rFonts w:ascii="Bookman" w:hAnsi="Bookman"/>
          <w:i/>
          <w:iCs/>
          <w:noProof/>
          <w:sz w:val="20"/>
        </w:rPr>
        <w:t>Stanford Law Review</w:t>
      </w:r>
      <w:r w:rsidRPr="000855C4">
        <w:rPr>
          <w:rFonts w:ascii="Bookman" w:hAnsi="Bookman"/>
          <w:noProof/>
          <w:sz w:val="20"/>
        </w:rPr>
        <w:t>, 607–694.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lastRenderedPageBreak/>
        <w:t xml:space="preserve">Sandel, M.J. (2012) </w:t>
      </w:r>
      <w:r w:rsidRPr="000855C4">
        <w:rPr>
          <w:rFonts w:ascii="Bookman" w:hAnsi="Bookman"/>
          <w:i/>
          <w:iCs/>
          <w:noProof/>
          <w:sz w:val="20"/>
        </w:rPr>
        <w:t>What Money Can’t Buy: The Moral Limits of Markets</w:t>
      </w:r>
      <w:r w:rsidRPr="000855C4">
        <w:rPr>
          <w:rFonts w:ascii="Bookman" w:hAnsi="Bookman"/>
          <w:noProof/>
          <w:sz w:val="20"/>
        </w:rPr>
        <w:t>. Macmillan.</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Sarkar, S., Pressey, R.L., Faith, D.P., Margules, C.R., Fuller, T., Stoms, D.M., Moffett, A., Wilson, K.A., Williams, K.J., Williams, P.H. &amp; Andelman, S. (2006) Biodiversity Conservation Planning Tools: Present Status and Challenges for the Future. </w:t>
      </w:r>
      <w:r w:rsidRPr="000855C4">
        <w:rPr>
          <w:rFonts w:ascii="Bookman" w:hAnsi="Bookman"/>
          <w:i/>
          <w:iCs/>
          <w:noProof/>
          <w:sz w:val="20"/>
        </w:rPr>
        <w:t>Annual Review of Environment and Resources</w:t>
      </w:r>
      <w:r w:rsidRPr="000855C4">
        <w:rPr>
          <w:rFonts w:ascii="Bookman" w:hAnsi="Bookman"/>
          <w:noProof/>
          <w:sz w:val="20"/>
        </w:rPr>
        <w:t xml:space="preserve">, </w:t>
      </w:r>
      <w:r w:rsidRPr="000855C4">
        <w:rPr>
          <w:rFonts w:ascii="Bookman" w:hAnsi="Bookman"/>
          <w:b/>
          <w:bCs/>
          <w:noProof/>
          <w:sz w:val="20"/>
        </w:rPr>
        <w:t>31</w:t>
      </w:r>
      <w:r w:rsidRPr="000855C4">
        <w:rPr>
          <w:rFonts w:ascii="Bookman" w:hAnsi="Bookman"/>
          <w:noProof/>
          <w:sz w:val="20"/>
        </w:rPr>
        <w:t>, 123–159.</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Saunders, D.A., Hobbs, R.J. &amp; Margules, C.R. (1991) Biological Consequences of Ecosystem A Review Fragmentation. </w:t>
      </w:r>
      <w:r w:rsidRPr="000855C4">
        <w:rPr>
          <w:rFonts w:ascii="Bookman" w:hAnsi="Bookman"/>
          <w:i/>
          <w:iCs/>
          <w:noProof/>
          <w:sz w:val="20"/>
        </w:rPr>
        <w:t>Conservation Biology</w:t>
      </w:r>
      <w:r w:rsidRPr="000855C4">
        <w:rPr>
          <w:rFonts w:ascii="Bookman" w:hAnsi="Bookman"/>
          <w:noProof/>
          <w:sz w:val="20"/>
        </w:rPr>
        <w:t xml:space="preserve">, </w:t>
      </w:r>
      <w:r w:rsidRPr="000855C4">
        <w:rPr>
          <w:rFonts w:ascii="Bookman" w:hAnsi="Bookman"/>
          <w:b/>
          <w:bCs/>
          <w:noProof/>
          <w:sz w:val="20"/>
        </w:rPr>
        <w:t>5</w:t>
      </w:r>
      <w:r w:rsidRPr="000855C4">
        <w:rPr>
          <w:rFonts w:ascii="Bookman" w:hAnsi="Bookman"/>
          <w:noProof/>
          <w:sz w:val="20"/>
        </w:rPr>
        <w:t>, 18–32.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Sayer, J., Sunderland, T., Ghazoul, J., Pfund, J.-L., Sheil, D., Meijaard, E., Venter, M., Boedhihartono, A.K., Day, M., Garcia, C., van Oosten, C. &amp; Buck, L.E. (2013) Ten principles for a landscape approach to reconciling agriculture, conservation, and other competing land uses. </w:t>
      </w:r>
      <w:r w:rsidRPr="000855C4">
        <w:rPr>
          <w:rFonts w:ascii="Bookman" w:hAnsi="Bookman"/>
          <w:i/>
          <w:iCs/>
          <w:noProof/>
          <w:sz w:val="20"/>
        </w:rPr>
        <w:t xml:space="preserve">Proceedings of the National Academy of Sciences </w:t>
      </w:r>
      <w:r w:rsidRPr="000855C4">
        <w:rPr>
          <w:rFonts w:ascii="Bookman" w:hAnsi="Bookman"/>
          <w:noProof/>
          <w:sz w:val="20"/>
        </w:rPr>
        <w:t xml:space="preserve">, </w:t>
      </w:r>
      <w:r w:rsidRPr="000855C4">
        <w:rPr>
          <w:rFonts w:ascii="Bookman" w:hAnsi="Bookman"/>
          <w:b/>
          <w:bCs/>
          <w:noProof/>
          <w:sz w:val="20"/>
        </w:rPr>
        <w:t xml:space="preserve">110 </w:t>
      </w:r>
      <w:r w:rsidRPr="000855C4">
        <w:rPr>
          <w:rFonts w:ascii="Bookman" w:hAnsi="Bookman"/>
          <w:noProof/>
          <w:sz w:val="20"/>
        </w:rPr>
        <w:t>, 8349–8356.</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Schloss, C.A., Lawler, J.J., Larson, E.R., Papendick, H.L., Case, M.J., Evans, D.M., DeLap, J.H., Langdon, J.G.R., Hall, S.A. &amp; McRae, B.H. (2011) Systematic Conservation Planning in the Face of Climate Change: Bet-Hedging on the Columbia Plateau. </w:t>
      </w:r>
      <w:r w:rsidRPr="000855C4">
        <w:rPr>
          <w:rFonts w:ascii="Bookman" w:hAnsi="Bookman"/>
          <w:i/>
          <w:iCs/>
          <w:noProof/>
          <w:sz w:val="20"/>
        </w:rPr>
        <w:t>PLoS ONE</w:t>
      </w:r>
      <w:r w:rsidRPr="000855C4">
        <w:rPr>
          <w:rFonts w:ascii="Bookman" w:hAnsi="Bookman"/>
          <w:noProof/>
          <w:sz w:val="20"/>
        </w:rPr>
        <w:t xml:space="preserve">, </w:t>
      </w:r>
      <w:r w:rsidRPr="000855C4">
        <w:rPr>
          <w:rFonts w:ascii="Bookman" w:hAnsi="Bookman"/>
          <w:b/>
          <w:bCs/>
          <w:noProof/>
          <w:sz w:val="20"/>
        </w:rPr>
        <w:t>6</w:t>
      </w:r>
      <w:r w:rsidRPr="000855C4">
        <w:rPr>
          <w:rFonts w:ascii="Bookman" w:hAnsi="Bookman"/>
          <w:noProof/>
          <w:sz w:val="20"/>
        </w:rPr>
        <w:t>, e28788.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Shepard, D.B., Kuhns, A.R., Dreslik, M.J. &amp; Phillips, C.A. (2008) Roads as barriers to animal movement in fragmented landscapes. </w:t>
      </w:r>
      <w:r w:rsidRPr="000855C4">
        <w:rPr>
          <w:rFonts w:ascii="Bookman" w:hAnsi="Bookman"/>
          <w:i/>
          <w:iCs/>
          <w:noProof/>
          <w:sz w:val="20"/>
        </w:rPr>
        <w:t>Animal Conservation</w:t>
      </w:r>
      <w:r w:rsidRPr="000855C4">
        <w:rPr>
          <w:rFonts w:ascii="Bookman" w:hAnsi="Bookman"/>
          <w:noProof/>
          <w:sz w:val="20"/>
        </w:rPr>
        <w:t xml:space="preserve">, </w:t>
      </w:r>
      <w:r w:rsidRPr="000855C4">
        <w:rPr>
          <w:rFonts w:ascii="Bookman" w:hAnsi="Bookman"/>
          <w:b/>
          <w:bCs/>
          <w:noProof/>
          <w:sz w:val="20"/>
        </w:rPr>
        <w:t>11</w:t>
      </w:r>
      <w:r w:rsidRPr="000855C4">
        <w:rPr>
          <w:rFonts w:ascii="Bookman" w:hAnsi="Bookman"/>
          <w:noProof/>
          <w:sz w:val="20"/>
        </w:rPr>
        <w:t>, 288–296.</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Simaika, J.P., Samways, M.J., Kipping, J., Suhling, F., Dijkstra, K.D.B., Clausnitzer, V., Boudot, J.P. &amp; Domisch, S. (2013) Continental-scale conservation prioritization of African dragonflies. </w:t>
      </w:r>
      <w:r w:rsidRPr="000855C4">
        <w:rPr>
          <w:rFonts w:ascii="Bookman" w:hAnsi="Bookman"/>
          <w:i/>
          <w:iCs/>
          <w:noProof/>
          <w:sz w:val="20"/>
        </w:rPr>
        <w:t>Biological Conservation</w:t>
      </w:r>
      <w:r w:rsidRPr="000855C4">
        <w:rPr>
          <w:rFonts w:ascii="Bookman" w:hAnsi="Bookman"/>
          <w:noProof/>
          <w:sz w:val="20"/>
        </w:rPr>
        <w:t xml:space="preserve">, </w:t>
      </w:r>
      <w:r w:rsidRPr="000855C4">
        <w:rPr>
          <w:rFonts w:ascii="Bookman" w:hAnsi="Bookman"/>
          <w:b/>
          <w:bCs/>
          <w:noProof/>
          <w:sz w:val="20"/>
        </w:rPr>
        <w:t>157</w:t>
      </w:r>
      <w:r w:rsidRPr="000855C4">
        <w:rPr>
          <w:rFonts w:ascii="Bookman" w:hAnsi="Bookman"/>
          <w:noProof/>
          <w:sz w:val="20"/>
        </w:rPr>
        <w:t>, 245–254.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Slonecker, E.T., Milheim, L.E., Roig-Silva, C.M., Malizia, A.R., Marr, D.A. &amp; Fisher, G.B. (2012) </w:t>
      </w:r>
      <w:r w:rsidRPr="000855C4">
        <w:rPr>
          <w:rFonts w:ascii="Bookman" w:hAnsi="Bookman"/>
          <w:i/>
          <w:iCs/>
          <w:noProof/>
          <w:sz w:val="20"/>
        </w:rPr>
        <w:t>Landscape Consequences of Natural Gas Extraction in Bradford and Washington Counties , Pennsylvania , 2004 – 2010</w:t>
      </w:r>
      <w:r w:rsidRPr="000855C4">
        <w:rPr>
          <w:rFonts w:ascii="Bookman" w:hAnsi="Bookman"/>
          <w:noProof/>
          <w:sz w:val="20"/>
        </w:rPr>
        <w:t>.</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Smith, R.K., Freeman, P.L., Higgins, J.V., Wheaton, K.S., FitzHugh, T.W., Ernstrom, K.J. &amp; Das, A.A. (2002) </w:t>
      </w:r>
      <w:r w:rsidRPr="000855C4">
        <w:rPr>
          <w:rFonts w:ascii="Bookman" w:hAnsi="Bookman"/>
          <w:i/>
          <w:iCs/>
          <w:noProof/>
          <w:sz w:val="20"/>
        </w:rPr>
        <w:t>Priority Areas for Freshwater Conservation Action: A Biodiversity Assessment of the Southeastern United States</w:t>
      </w:r>
      <w:r w:rsidRPr="000855C4">
        <w:rPr>
          <w:rFonts w:ascii="Bookman" w:hAnsi="Bookman"/>
          <w:noProof/>
          <w:sz w:val="20"/>
        </w:rPr>
        <w:t>.</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Smith, D.R., Snyder, C.D., Hitt, N.P., Young, J.A. &amp; Faulkner, S.P. (2012) Shale Gas Development and Brook Trout: Scaling Best Management Practices to Anticipate Cumulative Effects. </w:t>
      </w:r>
      <w:r w:rsidRPr="000855C4">
        <w:rPr>
          <w:rFonts w:ascii="Bookman" w:hAnsi="Bookman"/>
          <w:i/>
          <w:iCs/>
          <w:noProof/>
          <w:sz w:val="20"/>
        </w:rPr>
        <w:t>Environmental Practice</w:t>
      </w:r>
      <w:r w:rsidRPr="000855C4">
        <w:rPr>
          <w:rFonts w:ascii="Bookman" w:hAnsi="Bookman"/>
          <w:noProof/>
          <w:sz w:val="20"/>
        </w:rPr>
        <w:t xml:space="preserve">, </w:t>
      </w:r>
      <w:r w:rsidRPr="000855C4">
        <w:rPr>
          <w:rFonts w:ascii="Bookman" w:hAnsi="Bookman"/>
          <w:b/>
          <w:bCs/>
          <w:noProof/>
          <w:sz w:val="20"/>
        </w:rPr>
        <w:t>14</w:t>
      </w:r>
      <w:r w:rsidRPr="000855C4">
        <w:rPr>
          <w:rFonts w:ascii="Bookman" w:hAnsi="Bookman"/>
          <w:noProof/>
          <w:sz w:val="20"/>
        </w:rPr>
        <w:t>, 366–381.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Sovacool, B.K. (2014) Cornucopia or curse? Reviewing the costs and benefits of shale gas hydraulic fracturing (fracking). </w:t>
      </w:r>
      <w:r w:rsidRPr="000855C4">
        <w:rPr>
          <w:rFonts w:ascii="Bookman" w:hAnsi="Bookman"/>
          <w:i/>
          <w:iCs/>
          <w:noProof/>
          <w:sz w:val="20"/>
        </w:rPr>
        <w:t>Renewable and Sustainable Energy Reviews</w:t>
      </w:r>
      <w:r w:rsidRPr="000855C4">
        <w:rPr>
          <w:rFonts w:ascii="Bookman" w:hAnsi="Bookman"/>
          <w:noProof/>
          <w:sz w:val="20"/>
        </w:rPr>
        <w:t xml:space="preserve">, </w:t>
      </w:r>
      <w:r w:rsidRPr="000855C4">
        <w:rPr>
          <w:rFonts w:ascii="Bookman" w:hAnsi="Bookman"/>
          <w:b/>
          <w:bCs/>
          <w:noProof/>
          <w:sz w:val="20"/>
        </w:rPr>
        <w:t>37</w:t>
      </w:r>
      <w:r w:rsidRPr="000855C4">
        <w:rPr>
          <w:rFonts w:ascii="Bookman" w:hAnsi="Bookman"/>
          <w:noProof/>
          <w:sz w:val="20"/>
        </w:rPr>
        <w:t>, 249–264.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Spies, T. &amp; Johnson, K.N. (2003) The Importance of Scale in Assessing the Compatibility of Forest Commodities and Biodiversity. </w:t>
      </w:r>
      <w:r w:rsidRPr="000855C4">
        <w:rPr>
          <w:rFonts w:ascii="Bookman" w:hAnsi="Bookman"/>
          <w:i/>
          <w:iCs/>
          <w:noProof/>
          <w:sz w:val="20"/>
        </w:rPr>
        <w:t>Compatible Forest Management SE  - 8</w:t>
      </w:r>
      <w:r w:rsidRPr="000855C4">
        <w:rPr>
          <w:rFonts w:ascii="Bookman" w:hAnsi="Bookman"/>
          <w:noProof/>
          <w:sz w:val="20"/>
        </w:rPr>
        <w:t xml:space="preserve"> Managing Forest Ecosystems. (eds R. Monserud, R. Haynes &amp; A. Johnson), pp. 211–235. Springer Netherlands.</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lastRenderedPageBreak/>
        <w:t xml:space="preserve">Stavins, R.N. (1995) Transaction Costs and Tradeable Permits. </w:t>
      </w:r>
      <w:r w:rsidRPr="000855C4">
        <w:rPr>
          <w:rFonts w:ascii="Bookman" w:hAnsi="Bookman"/>
          <w:i/>
          <w:iCs/>
          <w:noProof/>
          <w:sz w:val="20"/>
        </w:rPr>
        <w:t>Journal of Environmental Economics and Management</w:t>
      </w:r>
      <w:r w:rsidRPr="000855C4">
        <w:rPr>
          <w:rFonts w:ascii="Bookman" w:hAnsi="Bookman"/>
          <w:noProof/>
          <w:sz w:val="20"/>
        </w:rPr>
        <w:t xml:space="preserve">, </w:t>
      </w:r>
      <w:r w:rsidRPr="000855C4">
        <w:rPr>
          <w:rFonts w:ascii="Bookman" w:hAnsi="Bookman"/>
          <w:b/>
          <w:bCs/>
          <w:noProof/>
          <w:sz w:val="20"/>
        </w:rPr>
        <w:t>29</w:t>
      </w:r>
      <w:r w:rsidRPr="000855C4">
        <w:rPr>
          <w:rFonts w:ascii="Bookman" w:hAnsi="Bookman"/>
          <w:noProof/>
          <w:sz w:val="20"/>
        </w:rPr>
        <w:t>, 133–148.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Stein, B.A. (2002) </w:t>
      </w:r>
      <w:r w:rsidRPr="000855C4">
        <w:rPr>
          <w:rFonts w:ascii="Bookman" w:hAnsi="Bookman"/>
          <w:i/>
          <w:iCs/>
          <w:noProof/>
          <w:sz w:val="20"/>
        </w:rPr>
        <w:t>States of the Union: Ranking America’s Biodiversity</w:t>
      </w:r>
      <w:r w:rsidRPr="000855C4">
        <w:rPr>
          <w:rFonts w:ascii="Bookman" w:hAnsi="Bookman"/>
          <w:noProof/>
          <w:sz w:val="20"/>
        </w:rPr>
        <w:t>. Arlington, VA.</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Stein, B.A., Kutner, L.S. &amp; Adams, J.S. (eds). (2000) </w:t>
      </w:r>
      <w:r w:rsidRPr="000855C4">
        <w:rPr>
          <w:rFonts w:ascii="Bookman" w:hAnsi="Bookman"/>
          <w:i/>
          <w:iCs/>
          <w:noProof/>
          <w:sz w:val="20"/>
        </w:rPr>
        <w:t>Precious Heritage: The Status of Biodiversity in the United States.</w:t>
      </w:r>
      <w:r w:rsidRPr="000855C4">
        <w:rPr>
          <w:rFonts w:ascii="Bookman" w:hAnsi="Bookman"/>
          <w:noProof/>
          <w:sz w:val="20"/>
        </w:rPr>
        <w:t xml:space="preserve"> Oxford University Press, New York.</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Sunderland, T., Sunderland-Groves, J., Shanley, P. &amp; Campbell, B. (2009) Bridging the Gap: How Can Information Access and Exchange Between Conservation Biologists and Field Practitioners be Improved for Better Conservation Outcomes? </w:t>
      </w:r>
      <w:r w:rsidRPr="000855C4">
        <w:rPr>
          <w:rFonts w:ascii="Bookman" w:hAnsi="Bookman"/>
          <w:i/>
          <w:iCs/>
          <w:noProof/>
          <w:sz w:val="20"/>
        </w:rPr>
        <w:t>Biotropica</w:t>
      </w:r>
      <w:r w:rsidRPr="000855C4">
        <w:rPr>
          <w:rFonts w:ascii="Bookman" w:hAnsi="Bookman"/>
          <w:noProof/>
          <w:sz w:val="20"/>
        </w:rPr>
        <w:t xml:space="preserve">, </w:t>
      </w:r>
      <w:r w:rsidRPr="000855C4">
        <w:rPr>
          <w:rFonts w:ascii="Bookman" w:hAnsi="Bookman"/>
          <w:b/>
          <w:bCs/>
          <w:noProof/>
          <w:sz w:val="20"/>
        </w:rPr>
        <w:t>41</w:t>
      </w:r>
      <w:r w:rsidRPr="000855C4">
        <w:rPr>
          <w:rFonts w:ascii="Bookman" w:hAnsi="Bookman"/>
          <w:noProof/>
          <w:sz w:val="20"/>
        </w:rPr>
        <w:t>, 549–554.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Sutherland, W.J., Adams, W.M., Aronson, R.B., Aveling, R., Blackburn, T.M., Broad, S., Ceballos, G., Côté, I.M., Cowling, R.M., Da Fonseca, G.A.B., Dinerstein, E., Ferraro, P.J., Fleishman, E., Gascon, C., Hunter Jr., M., Hutton, J., Kereiva, P., Kuria, A., MacDonald, D.W., Mackinnon, K., Madgwick, F.J., Mascia, M.B., McNeely, J., Milner-Gulland, E.J., Moon, S., Morley, C.G., Nelson, S., Osborn, D., Pai, M., Parsons, E.C.M., Peck, L.S., Possingham, H., Prior, S. V., Pullin, A.S., Rands, M.R.W., Ranganthan, J., Redford, K.H., Rodriguez, J.P., Seymour, F., Sobel, J., Sodhi, N.S., Stott, A., Vance-Borland, K. &amp; Watkinson, A.R. (2009) One Hundred Questions of Importance to the Conservation of Global Biological Diversity. </w:t>
      </w:r>
      <w:r w:rsidRPr="000855C4">
        <w:rPr>
          <w:rFonts w:ascii="Bookman" w:hAnsi="Bookman"/>
          <w:i/>
          <w:iCs/>
          <w:noProof/>
          <w:sz w:val="20"/>
        </w:rPr>
        <w:t>Conservation Biology</w:t>
      </w:r>
      <w:r w:rsidRPr="000855C4">
        <w:rPr>
          <w:rFonts w:ascii="Bookman" w:hAnsi="Bookman"/>
          <w:noProof/>
          <w:sz w:val="20"/>
        </w:rPr>
        <w:t xml:space="preserve">, </w:t>
      </w:r>
      <w:r w:rsidRPr="000855C4">
        <w:rPr>
          <w:rFonts w:ascii="Bookman" w:hAnsi="Bookman"/>
          <w:b/>
          <w:bCs/>
          <w:noProof/>
          <w:sz w:val="20"/>
        </w:rPr>
        <w:t>23</w:t>
      </w:r>
      <w:r w:rsidRPr="000855C4">
        <w:rPr>
          <w:rFonts w:ascii="Bookman" w:hAnsi="Bookman"/>
          <w:noProof/>
          <w:sz w:val="20"/>
        </w:rPr>
        <w:t>, 557–567.</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Sutton, N.J. &amp; Armsworth, P.R. (2014) The Grain of Spatially Referenced Economic Cost and Biodiversity Benefit Data and the Effectiveness of a Cost Targeting Strategy. </w:t>
      </w:r>
      <w:r w:rsidRPr="000855C4">
        <w:rPr>
          <w:rFonts w:ascii="Bookman" w:hAnsi="Bookman"/>
          <w:i/>
          <w:iCs/>
          <w:noProof/>
          <w:sz w:val="20"/>
        </w:rPr>
        <w:t>Conservation Biology</w:t>
      </w:r>
      <w:r w:rsidRPr="000855C4">
        <w:rPr>
          <w:rFonts w:ascii="Bookman" w:hAnsi="Bookman"/>
          <w:noProof/>
          <w:sz w:val="20"/>
        </w:rPr>
        <w:t xml:space="preserve">, </w:t>
      </w:r>
      <w:r w:rsidRPr="000855C4">
        <w:rPr>
          <w:rFonts w:ascii="Bookman" w:hAnsi="Bookman"/>
          <w:b/>
          <w:bCs/>
          <w:noProof/>
          <w:sz w:val="20"/>
        </w:rPr>
        <w:t>28</w:t>
      </w:r>
      <w:r w:rsidRPr="000855C4">
        <w:rPr>
          <w:rFonts w:ascii="Bookman" w:hAnsi="Bookman"/>
          <w:noProof/>
          <w:sz w:val="20"/>
        </w:rPr>
        <w:t>, 1451–1461.</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Tennessee Department of Environment and Conservation. (2014) </w:t>
      </w:r>
      <w:r w:rsidRPr="000855C4">
        <w:rPr>
          <w:rFonts w:ascii="Bookman" w:hAnsi="Bookman"/>
          <w:i/>
          <w:iCs/>
          <w:noProof/>
          <w:sz w:val="20"/>
        </w:rPr>
        <w:t>Year 2012 303(d) List: Final Version</w:t>
      </w:r>
      <w:r w:rsidRPr="000855C4">
        <w:rPr>
          <w:rFonts w:ascii="Bookman" w:hAnsi="Bookman"/>
          <w:noProof/>
          <w:sz w:val="20"/>
        </w:rPr>
        <w:t>. Nashville, TN.</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Tennessee Wildlife Resources Agency. (2005) </w:t>
      </w:r>
      <w:r w:rsidRPr="000855C4">
        <w:rPr>
          <w:rFonts w:ascii="Bookman" w:hAnsi="Bookman"/>
          <w:i/>
          <w:iCs/>
          <w:noProof/>
          <w:sz w:val="20"/>
        </w:rPr>
        <w:t>Tennessee’s Comprehensive Wildlife Conservation Strategy. TWRA Wildife Technical Report 05-08</w:t>
      </w:r>
      <w:r w:rsidRPr="000855C4">
        <w:rPr>
          <w:rFonts w:ascii="Bookman" w:hAnsi="Bookman"/>
          <w:noProof/>
          <w:sz w:val="20"/>
        </w:rPr>
        <w:t>. Nashville, TN.</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The Nature Conservancy. (2006) </w:t>
      </w:r>
      <w:r w:rsidRPr="000855C4">
        <w:rPr>
          <w:rFonts w:ascii="Bookman" w:hAnsi="Bookman"/>
          <w:i/>
          <w:iCs/>
          <w:noProof/>
          <w:sz w:val="20"/>
        </w:rPr>
        <w:t>Standards for Ecoregional Assessments and Biodiversity Visions</w:t>
      </w:r>
      <w:r w:rsidRPr="000855C4">
        <w:rPr>
          <w:rFonts w:ascii="Bookman" w:hAnsi="Bookman"/>
          <w:noProof/>
          <w:sz w:val="20"/>
        </w:rPr>
        <w:t>. Arlington, VA.</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Tietenberg, T.H. (1985) </w:t>
      </w:r>
      <w:r w:rsidRPr="000855C4">
        <w:rPr>
          <w:rFonts w:ascii="Bookman" w:hAnsi="Bookman"/>
          <w:i/>
          <w:iCs/>
          <w:noProof/>
          <w:sz w:val="20"/>
        </w:rPr>
        <w:t>Emissions Trading, an Exercise in Reforming Pollution Policy</w:t>
      </w:r>
      <w:r w:rsidRPr="000855C4">
        <w:rPr>
          <w:rFonts w:ascii="Bookman" w:hAnsi="Bookman"/>
          <w:noProof/>
          <w:sz w:val="20"/>
        </w:rPr>
        <w:t>. Resources for the Future.</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U.S. Energy Information Administration. (2013) </w:t>
      </w:r>
      <w:r w:rsidRPr="000855C4">
        <w:rPr>
          <w:rFonts w:ascii="Bookman" w:hAnsi="Bookman"/>
          <w:i/>
          <w:iCs/>
          <w:noProof/>
          <w:sz w:val="20"/>
        </w:rPr>
        <w:t>Technically Recoverable Shale Oil and Shale Gas Resources: An Assessment of 137 Shale Formations in 41 Countries Outside the United States</w:t>
      </w:r>
      <w:r w:rsidRPr="000855C4">
        <w:rPr>
          <w:rFonts w:ascii="Bookman" w:hAnsi="Bookman"/>
          <w:noProof/>
          <w:sz w:val="20"/>
        </w:rPr>
        <w:t>.</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United Nations Development Program. (2011) </w:t>
      </w:r>
      <w:r w:rsidRPr="000855C4">
        <w:rPr>
          <w:rFonts w:ascii="Bookman" w:hAnsi="Bookman"/>
          <w:i/>
          <w:iCs/>
          <w:noProof/>
          <w:sz w:val="20"/>
        </w:rPr>
        <w:t>Towards a Green Economy: Pathways to Sustainable Development and Poverty Eradication</w:t>
      </w:r>
      <w:r w:rsidRPr="000855C4">
        <w:rPr>
          <w:rFonts w:ascii="Bookman" w:hAnsi="Bookman"/>
          <w:noProof/>
          <w:sz w:val="20"/>
        </w:rPr>
        <w:t>. United Nations Environment Programme.</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United States Department of Agriculture Farm Service Agency. (2011) Conservation Reserve Program Sign-Up 41 Environmental Benefits Index (EBI).</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lastRenderedPageBreak/>
        <w:t xml:space="preserve">Vane-Wright, R.I., Humphries, C.J. &amp; Williams, P.H. (1991) What to protect?—Systematics and the agony of choice. </w:t>
      </w:r>
      <w:r w:rsidRPr="000855C4">
        <w:rPr>
          <w:rFonts w:ascii="Bookman" w:hAnsi="Bookman"/>
          <w:i/>
          <w:iCs/>
          <w:noProof/>
          <w:sz w:val="20"/>
        </w:rPr>
        <w:t>Biological Conservation</w:t>
      </w:r>
      <w:r w:rsidRPr="000855C4">
        <w:rPr>
          <w:rFonts w:ascii="Bookman" w:hAnsi="Bookman"/>
          <w:noProof/>
          <w:sz w:val="20"/>
        </w:rPr>
        <w:t xml:space="preserve">, </w:t>
      </w:r>
      <w:r w:rsidRPr="000855C4">
        <w:rPr>
          <w:rFonts w:ascii="Bookman" w:hAnsi="Bookman"/>
          <w:b/>
          <w:bCs/>
          <w:noProof/>
          <w:sz w:val="20"/>
        </w:rPr>
        <w:t>55</w:t>
      </w:r>
      <w:r w:rsidRPr="000855C4">
        <w:rPr>
          <w:rFonts w:ascii="Bookman" w:hAnsi="Bookman"/>
          <w:noProof/>
          <w:sz w:val="20"/>
        </w:rPr>
        <w:t>, 235–254.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Varian, H.R. (2003) </w:t>
      </w:r>
      <w:r w:rsidRPr="000855C4">
        <w:rPr>
          <w:rFonts w:ascii="Bookman" w:hAnsi="Bookman"/>
          <w:i/>
          <w:iCs/>
          <w:noProof/>
          <w:sz w:val="20"/>
        </w:rPr>
        <w:t>Intermediate Microeconomics</w:t>
      </w:r>
      <w:r w:rsidRPr="000855C4">
        <w:rPr>
          <w:rFonts w:ascii="Bookman" w:hAnsi="Bookman"/>
          <w:noProof/>
          <w:sz w:val="20"/>
        </w:rPr>
        <w:t>, 6th ed (ed E Parsons). W.W. Norton &amp; Company, New York, NY, NY.</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Verity, G.E. &amp; Anderson, D.W. (1990) Soil erosion effects on soil quality and yield. </w:t>
      </w:r>
      <w:r w:rsidRPr="000855C4">
        <w:rPr>
          <w:rFonts w:ascii="Bookman" w:hAnsi="Bookman"/>
          <w:i/>
          <w:iCs/>
          <w:noProof/>
          <w:sz w:val="20"/>
        </w:rPr>
        <w:t>Canadian Journal of Soil Science</w:t>
      </w:r>
      <w:r w:rsidRPr="000855C4">
        <w:rPr>
          <w:rFonts w:ascii="Bookman" w:hAnsi="Bookman"/>
          <w:noProof/>
          <w:sz w:val="20"/>
        </w:rPr>
        <w:t xml:space="preserve">, </w:t>
      </w:r>
      <w:r w:rsidRPr="000855C4">
        <w:rPr>
          <w:rFonts w:ascii="Bookman" w:hAnsi="Bookman"/>
          <w:b/>
          <w:bCs/>
          <w:noProof/>
          <w:sz w:val="20"/>
        </w:rPr>
        <w:t>70</w:t>
      </w:r>
      <w:r w:rsidRPr="000855C4">
        <w:rPr>
          <w:rFonts w:ascii="Bookman" w:hAnsi="Bookman"/>
          <w:noProof/>
          <w:sz w:val="20"/>
        </w:rPr>
        <w:t>, 471–484.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Waldron, A., Mooers, A.O., Miller, D.C., Nibbelink, N., Redding, D., Kuhn, T.S., Roberts, J.T. &amp; Gittleman, J.L. (2013) Targeting global conservation funding to limit immediate biodiversity declines. </w:t>
      </w:r>
      <w:r w:rsidRPr="000855C4">
        <w:rPr>
          <w:rFonts w:ascii="Bookman" w:hAnsi="Bookman"/>
          <w:i/>
          <w:iCs/>
          <w:noProof/>
          <w:sz w:val="20"/>
        </w:rPr>
        <w:t xml:space="preserve">Proceedings of the National Academy of Sciences </w:t>
      </w:r>
      <w:r w:rsidRPr="000855C4">
        <w:rPr>
          <w:rFonts w:ascii="Bookman" w:hAnsi="Bookman"/>
          <w:noProof/>
          <w:sz w:val="20"/>
        </w:rPr>
        <w:t xml:space="preserve">, </w:t>
      </w:r>
      <w:r w:rsidRPr="000855C4">
        <w:rPr>
          <w:rFonts w:ascii="Bookman" w:hAnsi="Bookman"/>
          <w:b/>
          <w:bCs/>
          <w:noProof/>
          <w:sz w:val="20"/>
        </w:rPr>
        <w:t xml:space="preserve">110 </w:t>
      </w:r>
      <w:r w:rsidRPr="000855C4">
        <w:rPr>
          <w:rFonts w:ascii="Bookman" w:hAnsi="Bookman"/>
          <w:noProof/>
          <w:sz w:val="20"/>
        </w:rPr>
        <w:t>, 12144–12148.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Walters, C.J. &amp; Hilborn, R. (1978) Ecological optimization and adaptive management. </w:t>
      </w:r>
      <w:r w:rsidRPr="000855C4">
        <w:rPr>
          <w:rFonts w:ascii="Bookman" w:hAnsi="Bookman"/>
          <w:i/>
          <w:iCs/>
          <w:noProof/>
          <w:sz w:val="20"/>
        </w:rPr>
        <w:t>Annual Review of Ecology and Systematics</w:t>
      </w:r>
      <w:r w:rsidRPr="000855C4">
        <w:rPr>
          <w:rFonts w:ascii="Bookman" w:hAnsi="Bookman"/>
          <w:noProof/>
          <w:sz w:val="20"/>
        </w:rPr>
        <w:t xml:space="preserve">, </w:t>
      </w:r>
      <w:r w:rsidRPr="000855C4">
        <w:rPr>
          <w:rFonts w:ascii="Bookman" w:hAnsi="Bookman"/>
          <w:b/>
          <w:bCs/>
          <w:noProof/>
          <w:sz w:val="20"/>
        </w:rPr>
        <w:t>9</w:t>
      </w:r>
      <w:r w:rsidRPr="000855C4">
        <w:rPr>
          <w:rFonts w:ascii="Bookman" w:hAnsi="Bookman"/>
          <w:noProof/>
          <w:sz w:val="20"/>
        </w:rPr>
        <w:t>, 157–188.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Walther, B.A., Cotgreave, P., Price, R.D., Gregory, R.D. &amp; Clayton, D.H. (1995) Sampling effort and parasite species richness. </w:t>
      </w:r>
      <w:r w:rsidRPr="000855C4">
        <w:rPr>
          <w:rFonts w:ascii="Bookman" w:hAnsi="Bookman"/>
          <w:i/>
          <w:iCs/>
          <w:noProof/>
          <w:sz w:val="20"/>
        </w:rPr>
        <w:t>Parasitology Today</w:t>
      </w:r>
      <w:r w:rsidRPr="000855C4">
        <w:rPr>
          <w:rFonts w:ascii="Bookman" w:hAnsi="Bookman"/>
          <w:noProof/>
          <w:sz w:val="20"/>
        </w:rPr>
        <w:t xml:space="preserve">, </w:t>
      </w:r>
      <w:r w:rsidRPr="000855C4">
        <w:rPr>
          <w:rFonts w:ascii="Bookman" w:hAnsi="Bookman"/>
          <w:b/>
          <w:bCs/>
          <w:noProof/>
          <w:sz w:val="20"/>
        </w:rPr>
        <w:t>11</w:t>
      </w:r>
      <w:r w:rsidRPr="000855C4">
        <w:rPr>
          <w:rFonts w:ascii="Bookman" w:hAnsi="Bookman"/>
          <w:noProof/>
          <w:sz w:val="20"/>
        </w:rPr>
        <w:t>, 306–310.</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Watkins, R.Z., Chen, J., Pickens, J. &amp; Brosofske, K.D. (2003) Effects of Forest Roads on Understory Plants in a Managed Hardwood Landscape. </w:t>
      </w:r>
      <w:r w:rsidRPr="000855C4">
        <w:rPr>
          <w:rFonts w:ascii="Bookman" w:hAnsi="Bookman"/>
          <w:i/>
          <w:iCs/>
          <w:noProof/>
          <w:sz w:val="20"/>
        </w:rPr>
        <w:t>Conservation Biology</w:t>
      </w:r>
      <w:r w:rsidRPr="000855C4">
        <w:rPr>
          <w:rFonts w:ascii="Bookman" w:hAnsi="Bookman"/>
          <w:noProof/>
          <w:sz w:val="20"/>
        </w:rPr>
        <w:t xml:space="preserve">, </w:t>
      </w:r>
      <w:r w:rsidRPr="000855C4">
        <w:rPr>
          <w:rFonts w:ascii="Bookman" w:hAnsi="Bookman"/>
          <w:b/>
          <w:bCs/>
          <w:noProof/>
          <w:sz w:val="20"/>
        </w:rPr>
        <w:t>17</w:t>
      </w:r>
      <w:r w:rsidRPr="000855C4">
        <w:rPr>
          <w:rFonts w:ascii="Bookman" w:hAnsi="Bookman"/>
          <w:noProof/>
          <w:sz w:val="20"/>
        </w:rPr>
        <w:t>, 411–419.</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Watson, J.E.M., Grantham, H.S., Wilson, K.A. &amp; Possingham, H.P. (2011) Systematic Conservation Planning: Past , Present and Future. </w:t>
      </w:r>
      <w:r w:rsidRPr="000855C4">
        <w:rPr>
          <w:rFonts w:ascii="Bookman" w:hAnsi="Bookman"/>
          <w:i/>
          <w:iCs/>
          <w:noProof/>
          <w:sz w:val="20"/>
        </w:rPr>
        <w:t>Conservation Biogeography</w:t>
      </w:r>
      <w:r w:rsidRPr="000855C4">
        <w:rPr>
          <w:rFonts w:ascii="Bookman" w:hAnsi="Bookman"/>
          <w:noProof/>
          <w:sz w:val="20"/>
        </w:rPr>
        <w:t xml:space="preserve"> (eds R.J. Ladle &amp; R.J. Whittaker), pp. 136–160. John Wiley &amp; Sons, Ltd., Chichester, UK.</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Wenner, C.A. (1983) Species associations and day-night variability of trawl-caught fishes from the inshore sponge-coral habitat, South Atlantic bight. </w:t>
      </w:r>
      <w:r w:rsidRPr="000855C4">
        <w:rPr>
          <w:rFonts w:ascii="Bookman" w:hAnsi="Bookman"/>
          <w:i/>
          <w:iCs/>
          <w:noProof/>
          <w:sz w:val="20"/>
        </w:rPr>
        <w:t>Fishery Bulletin</w:t>
      </w:r>
      <w:r w:rsidRPr="000855C4">
        <w:rPr>
          <w:rFonts w:ascii="Bookman" w:hAnsi="Bookman"/>
          <w:noProof/>
          <w:sz w:val="20"/>
        </w:rPr>
        <w:t xml:space="preserve">, </w:t>
      </w:r>
      <w:r w:rsidRPr="000855C4">
        <w:rPr>
          <w:rFonts w:ascii="Bookman" w:hAnsi="Bookman"/>
          <w:b/>
          <w:bCs/>
          <w:noProof/>
          <w:sz w:val="20"/>
        </w:rPr>
        <w:t>81</w:t>
      </w:r>
      <w:r w:rsidRPr="000855C4">
        <w:rPr>
          <w:rFonts w:ascii="Bookman" w:hAnsi="Bookman"/>
          <w:noProof/>
          <w:sz w:val="20"/>
        </w:rPr>
        <w:t>, 537–552.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West Virginia TAGIS Unit. (2014) Oil &amp; Gas permit download, http://tagis.dep.wv.gov/home/OGPermitDownload</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Whitacre, J. (2014) Carnegie Museum of Natural History Pennsylvania Unconventional Natural Gas Wells Geodatabase.</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Williams, B.K. (2011) Passive and active adaptive management: approaches and an example. </w:t>
      </w:r>
      <w:r w:rsidRPr="000855C4">
        <w:rPr>
          <w:rFonts w:ascii="Bookman" w:hAnsi="Bookman"/>
          <w:i/>
          <w:iCs/>
          <w:noProof/>
          <w:sz w:val="20"/>
        </w:rPr>
        <w:t>Journal of Environmental Management</w:t>
      </w:r>
      <w:r w:rsidRPr="000855C4">
        <w:rPr>
          <w:rFonts w:ascii="Bookman" w:hAnsi="Bookman"/>
          <w:noProof/>
          <w:sz w:val="20"/>
        </w:rPr>
        <w:t xml:space="preserve">, </w:t>
      </w:r>
      <w:r w:rsidRPr="000855C4">
        <w:rPr>
          <w:rFonts w:ascii="Bookman" w:hAnsi="Bookman"/>
          <w:b/>
          <w:bCs/>
          <w:noProof/>
          <w:sz w:val="20"/>
        </w:rPr>
        <w:t>92</w:t>
      </w:r>
      <w:r w:rsidRPr="000855C4">
        <w:rPr>
          <w:rFonts w:ascii="Bookman" w:hAnsi="Bookman"/>
          <w:noProof/>
          <w:sz w:val="20"/>
        </w:rPr>
        <w:t>, 1371–1378.</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Williams, P., Gibbons, D., Margules, C., Rebelo, A., Humphries, C. &amp; Pressey, R. (1996) A comparison of richness hotspots, rarity hotspots, and complementary areas for conserving diversity of British birds. </w:t>
      </w:r>
      <w:r w:rsidRPr="000855C4">
        <w:rPr>
          <w:rFonts w:ascii="Bookman" w:hAnsi="Bookman"/>
          <w:i/>
          <w:iCs/>
          <w:noProof/>
          <w:sz w:val="20"/>
        </w:rPr>
        <w:t>Conservation Biology</w:t>
      </w:r>
      <w:r w:rsidRPr="000855C4">
        <w:rPr>
          <w:rFonts w:ascii="Bookman" w:hAnsi="Bookman"/>
          <w:noProof/>
          <w:sz w:val="20"/>
        </w:rPr>
        <w:t xml:space="preserve">, </w:t>
      </w:r>
      <w:r w:rsidRPr="000855C4">
        <w:rPr>
          <w:rFonts w:ascii="Bookman" w:hAnsi="Bookman"/>
          <w:b/>
          <w:bCs/>
          <w:noProof/>
          <w:sz w:val="20"/>
        </w:rPr>
        <w:t>10</w:t>
      </w:r>
      <w:r w:rsidRPr="000855C4">
        <w:rPr>
          <w:rFonts w:ascii="Bookman" w:hAnsi="Bookman"/>
          <w:noProof/>
          <w:sz w:val="20"/>
        </w:rPr>
        <w:t>, 155–174.</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Wilson, C.R. (2011) </w:t>
      </w:r>
      <w:r w:rsidRPr="000855C4">
        <w:rPr>
          <w:rFonts w:ascii="Bookman" w:hAnsi="Bookman"/>
          <w:i/>
          <w:iCs/>
          <w:noProof/>
          <w:sz w:val="20"/>
        </w:rPr>
        <w:t>Documenting and Protecting Biodiversity on Land Trust Projects: An Introduction and Practical Guide</w:t>
      </w:r>
      <w:r w:rsidRPr="000855C4">
        <w:rPr>
          <w:rFonts w:ascii="Bookman" w:hAnsi="Bookman"/>
          <w:noProof/>
          <w:sz w:val="20"/>
        </w:rPr>
        <w:t xml:space="preserve"> (ed K Mueller). Land Trust Alliance.</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lastRenderedPageBreak/>
        <w:t xml:space="preserve">Wilson, K.A., Westphal, M.I., Possingham, H.P. &amp; Elith, J. (2005) Sensitivity of conservation planning to different approaches to using predicted species distribution data. </w:t>
      </w:r>
      <w:r w:rsidRPr="000855C4">
        <w:rPr>
          <w:rFonts w:ascii="Bookman" w:hAnsi="Bookman"/>
          <w:i/>
          <w:iCs/>
          <w:noProof/>
          <w:sz w:val="20"/>
        </w:rPr>
        <w:t>Biological Conservation</w:t>
      </w:r>
      <w:r w:rsidRPr="000855C4">
        <w:rPr>
          <w:rFonts w:ascii="Bookman" w:hAnsi="Bookman"/>
          <w:noProof/>
          <w:sz w:val="20"/>
        </w:rPr>
        <w:t xml:space="preserve">, </w:t>
      </w:r>
      <w:r w:rsidRPr="000855C4">
        <w:rPr>
          <w:rFonts w:ascii="Bookman" w:hAnsi="Bookman"/>
          <w:b/>
          <w:bCs/>
          <w:noProof/>
          <w:sz w:val="20"/>
        </w:rPr>
        <w:t>122</w:t>
      </w:r>
      <w:r w:rsidRPr="000855C4">
        <w:rPr>
          <w:rFonts w:ascii="Bookman" w:hAnsi="Bookman"/>
          <w:noProof/>
          <w:sz w:val="20"/>
        </w:rPr>
        <w:t>, 99–112.</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Wiseman, H.J. (2014) The Capacity of States to Govern Shale Gas Development Risks. </w:t>
      </w:r>
      <w:r w:rsidRPr="000855C4">
        <w:rPr>
          <w:rFonts w:ascii="Bookman" w:hAnsi="Bookman"/>
          <w:i/>
          <w:iCs/>
          <w:noProof/>
          <w:sz w:val="20"/>
        </w:rPr>
        <w:t>Environmental Science &amp; Technology</w:t>
      </w:r>
      <w:r w:rsidRPr="000855C4">
        <w:rPr>
          <w:rFonts w:ascii="Bookman" w:hAnsi="Bookman"/>
          <w:noProof/>
          <w:sz w:val="20"/>
        </w:rPr>
        <w:t xml:space="preserve">, </w:t>
      </w:r>
      <w:r w:rsidRPr="000855C4">
        <w:rPr>
          <w:rFonts w:ascii="Bookman" w:hAnsi="Bookman"/>
          <w:b/>
          <w:bCs/>
          <w:noProof/>
          <w:sz w:val="20"/>
        </w:rPr>
        <w:t>48</w:t>
      </w:r>
      <w:r w:rsidRPr="000855C4">
        <w:rPr>
          <w:rFonts w:ascii="Bookman" w:hAnsi="Bookman"/>
          <w:noProof/>
          <w:sz w:val="20"/>
        </w:rPr>
        <w:t>, 8376–8387.</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Wisz, M.S., Hijmans, R.J., Li, J., Peterson, A.T., Graham, C.H., Guisan, A. &amp; Group, N.P.S.D.W. (2008) Effects of sample size on the performance of species distribution models. </w:t>
      </w:r>
      <w:r w:rsidRPr="000855C4">
        <w:rPr>
          <w:rFonts w:ascii="Bookman" w:hAnsi="Bookman"/>
          <w:i/>
          <w:iCs/>
          <w:noProof/>
          <w:sz w:val="20"/>
        </w:rPr>
        <w:t>Diversity and Distributions</w:t>
      </w:r>
      <w:r w:rsidRPr="000855C4">
        <w:rPr>
          <w:rFonts w:ascii="Bookman" w:hAnsi="Bookman"/>
          <w:noProof/>
          <w:sz w:val="20"/>
        </w:rPr>
        <w:t xml:space="preserve">, </w:t>
      </w:r>
      <w:r w:rsidRPr="000855C4">
        <w:rPr>
          <w:rFonts w:ascii="Bookman" w:hAnsi="Bookman"/>
          <w:b/>
          <w:bCs/>
          <w:noProof/>
          <w:sz w:val="20"/>
        </w:rPr>
        <w:t>14</w:t>
      </w:r>
      <w:r w:rsidRPr="000855C4">
        <w:rPr>
          <w:rFonts w:ascii="Bookman" w:hAnsi="Bookman"/>
          <w:noProof/>
          <w:sz w:val="20"/>
        </w:rPr>
        <w:t>, 763–773.</w:t>
      </w:r>
    </w:p>
    <w:p w:rsidR="000855C4" w:rsidRPr="000855C4" w:rsidRDefault="000855C4">
      <w:pPr>
        <w:pStyle w:val="NormalWeb"/>
        <w:ind w:left="480" w:hanging="480"/>
        <w:divId w:val="186797580"/>
        <w:rPr>
          <w:rFonts w:ascii="Bookman" w:hAnsi="Bookman"/>
          <w:noProof/>
          <w:sz w:val="20"/>
        </w:rPr>
      </w:pPr>
      <w:r w:rsidRPr="000855C4">
        <w:rPr>
          <w:rFonts w:ascii="Bookman" w:hAnsi="Bookman"/>
          <w:noProof/>
          <w:sz w:val="20"/>
        </w:rPr>
        <w:t xml:space="preserve">Zafra-Calvo, N., Cerro, R., Fuller, T., Lobo, J.M., Rodríguez, M.Á. &amp; Sarkar, S. (2010) Prioritizing areas for conservation and vegetation restoration in post-agricultural landscapes: a Biosphere Reserve plan for Bioko, Equatorial Guinea. </w:t>
      </w:r>
      <w:r w:rsidRPr="000855C4">
        <w:rPr>
          <w:rFonts w:ascii="Bookman" w:hAnsi="Bookman"/>
          <w:i/>
          <w:iCs/>
          <w:noProof/>
          <w:sz w:val="20"/>
        </w:rPr>
        <w:t>Biological Conservation</w:t>
      </w:r>
      <w:r w:rsidRPr="000855C4">
        <w:rPr>
          <w:rFonts w:ascii="Bookman" w:hAnsi="Bookman"/>
          <w:noProof/>
          <w:sz w:val="20"/>
        </w:rPr>
        <w:t xml:space="preserve">, </w:t>
      </w:r>
      <w:r w:rsidRPr="000855C4">
        <w:rPr>
          <w:rFonts w:ascii="Bookman" w:hAnsi="Bookman"/>
          <w:b/>
          <w:bCs/>
          <w:noProof/>
          <w:sz w:val="20"/>
        </w:rPr>
        <w:t>143</w:t>
      </w:r>
      <w:r w:rsidRPr="000855C4">
        <w:rPr>
          <w:rFonts w:ascii="Bookman" w:hAnsi="Bookman"/>
          <w:noProof/>
          <w:sz w:val="20"/>
        </w:rPr>
        <w:t>, 787–794.</w:t>
      </w:r>
    </w:p>
    <w:p w:rsidR="00341187" w:rsidRPr="00341187" w:rsidRDefault="00F01773" w:rsidP="000855C4">
      <w:pPr>
        <w:pStyle w:val="NormalWeb"/>
        <w:ind w:left="480" w:hanging="480"/>
        <w:divId w:val="1701515794"/>
      </w:pPr>
      <w:r>
        <w:fldChar w:fldCharType="end"/>
      </w:r>
    </w:p>
    <w:p w:rsidR="00B10A58" w:rsidRDefault="00B10A58" w:rsidP="00341187">
      <w:pPr>
        <w:pStyle w:val="Heading1"/>
        <w:numPr>
          <w:ilvl w:val="0"/>
          <w:numId w:val="0"/>
        </w:numPr>
        <w:sectPr w:rsidR="00B10A58" w:rsidSect="002115B4">
          <w:pgSz w:w="12240" w:h="15840" w:code="1"/>
          <w:pgMar w:top="1440" w:right="1800" w:bottom="1440" w:left="1800" w:header="720" w:footer="1440" w:gutter="0"/>
          <w:cols w:space="720"/>
          <w:noEndnote/>
          <w:docGrid w:linePitch="360"/>
        </w:sectPr>
      </w:pPr>
    </w:p>
    <w:p w:rsidR="00236E6D" w:rsidRDefault="001A5B40" w:rsidP="00077C96">
      <w:pPr>
        <w:pStyle w:val="Heading1"/>
        <w:numPr>
          <w:ilvl w:val="0"/>
          <w:numId w:val="0"/>
        </w:numPr>
      </w:pPr>
      <w:bookmarkStart w:id="286" w:name="_Toc417815120"/>
      <w:bookmarkStart w:id="287" w:name="_Toc421352892"/>
      <w:bookmarkEnd w:id="283"/>
      <w:bookmarkEnd w:id="284"/>
      <w:r w:rsidRPr="00077C96">
        <w:lastRenderedPageBreak/>
        <w:t>Vita</w:t>
      </w:r>
      <w:bookmarkEnd w:id="286"/>
      <w:bookmarkEnd w:id="287"/>
    </w:p>
    <w:p w:rsidR="00F43F84" w:rsidRPr="00F43F84" w:rsidRDefault="00F43F84" w:rsidP="00F43F84"/>
    <w:p w:rsidR="003D63DF" w:rsidRPr="005E54E2" w:rsidRDefault="00C249CD" w:rsidP="0003672C">
      <w:r>
        <w:t>As both</w:t>
      </w:r>
      <w:r w:rsidR="00211754">
        <w:t xml:space="preserve"> child of the woods and child of the </w:t>
      </w:r>
      <w:r w:rsidR="00FA37D7">
        <w:t>chip</w:t>
      </w:r>
      <w:r w:rsidR="00211754">
        <w:t>, Austin has always searched for ways to apply his loves of math and programming to his passion for saving nature.</w:t>
      </w:r>
      <w:r w:rsidR="00FA37D7">
        <w:t xml:space="preserve"> As an undergraduate at the University of North Carolina at Chapel Hill, Austin majored in environmental sciences and minored in mathematics. His undergraduate research experience includes modeling the effects of </w:t>
      </w:r>
      <w:proofErr w:type="spellStart"/>
      <w:r w:rsidR="00FA37D7">
        <w:t>biofuel</w:t>
      </w:r>
      <w:proofErr w:type="spellEnd"/>
      <w:r w:rsidR="00FA37D7">
        <w:t xml:space="preserve"> substitution on ground-level ozone formation in Bangkok, Thailand, creating software for the identification of Red-cockaded Woodpecker habitat near military installations in North Carolina, USA, and running and analyzing </w:t>
      </w:r>
      <w:proofErr w:type="spellStart"/>
      <w:r w:rsidR="00FA37D7">
        <w:t>paleoclimate</w:t>
      </w:r>
      <w:proofErr w:type="spellEnd"/>
      <w:r w:rsidR="00FA37D7">
        <w:t xml:space="preserve"> models. Austin became one of three members of the inaugural </w:t>
      </w:r>
      <w:proofErr w:type="spellStart"/>
      <w:r w:rsidR="00FA37D7">
        <w:t>Armsworthian</w:t>
      </w:r>
      <w:proofErr w:type="spellEnd"/>
      <w:r w:rsidR="00FA37D7">
        <w:t xml:space="preserve"> Clan at the University of Tennessee at Knoxville in 2010. Starting with his dissertation, Austin worked closely with Tamara Gagnolet and others at The Nature Conservancy to develop software for the spatial planning of shale gas surface infrastructure, software which was used for his third chapter. This concurrent creation of tools for conservation science and practice </w:t>
      </w:r>
      <w:r w:rsidR="005020C4">
        <w:t>are indicative of</w:t>
      </w:r>
      <w:r w:rsidR="00FA37D7">
        <w:t xml:space="preserve"> Austin’s </w:t>
      </w:r>
      <w:r w:rsidR="005020C4">
        <w:t>current and future career goals.</w:t>
      </w:r>
    </w:p>
    <w:sectPr w:rsidR="003D63DF" w:rsidRPr="005E54E2" w:rsidSect="002115B4">
      <w:pgSz w:w="12240" w:h="15840" w:code="1"/>
      <w:pgMar w:top="1440" w:right="1800" w:bottom="1440" w:left="1800" w:header="720" w:footer="1440" w:gutter="0"/>
      <w:cols w:space="720"/>
      <w:vAlign w:val="center"/>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FB7" w:rsidRDefault="00797FB7" w:rsidP="005E54E2">
      <w:r>
        <w:separator/>
      </w:r>
    </w:p>
    <w:p w:rsidR="00797FB7" w:rsidRDefault="00797FB7" w:rsidP="005E54E2"/>
    <w:p w:rsidR="00797FB7" w:rsidRDefault="00797FB7" w:rsidP="005E54E2"/>
    <w:p w:rsidR="00797FB7" w:rsidRDefault="00797FB7" w:rsidP="005E54E2"/>
  </w:endnote>
  <w:endnote w:type="continuationSeparator" w:id="0">
    <w:p w:rsidR="00797FB7" w:rsidRDefault="00797FB7" w:rsidP="005E54E2">
      <w:r>
        <w:continuationSeparator/>
      </w:r>
    </w:p>
    <w:p w:rsidR="00797FB7" w:rsidRDefault="00797FB7" w:rsidP="005E54E2"/>
    <w:p w:rsidR="00797FB7" w:rsidRDefault="00797FB7" w:rsidP="005E54E2"/>
    <w:p w:rsidR="00797FB7" w:rsidRDefault="00797FB7" w:rsidP="005E54E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Helvetica">
    <w:panose1 w:val="020B0604020202030204"/>
    <w:charset w:val="00"/>
    <w:family w:val="swiss"/>
    <w:pitch w:val="variable"/>
    <w:sig w:usb0="20002A87" w:usb1="00000000" w:usb2="00000000" w:usb3="00000000" w:csb0="000001FF" w:csb1="00000000"/>
  </w:font>
  <w:font w:name="Times">
    <w:panose1 w:val="02020603060405020304"/>
    <w:charset w:val="00"/>
    <w:family w:val="roman"/>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9027377"/>
      <w:docPartObj>
        <w:docPartGallery w:val="Page Numbers (Bottom of Page)"/>
        <w:docPartUnique/>
      </w:docPartObj>
    </w:sdtPr>
    <w:sdtContent>
      <w:p w:rsidR="006A45E8" w:rsidRDefault="006A45E8">
        <w:pPr>
          <w:pStyle w:val="Footer"/>
          <w:jc w:val="center"/>
        </w:pPr>
        <w:r>
          <w:fldChar w:fldCharType="begin"/>
        </w:r>
        <w:r w:rsidRPr="00E742FA">
          <w:instrText xml:space="preserve"> PAGE   \* MERGEFORMAT </w:instrText>
        </w:r>
        <w:r>
          <w:fldChar w:fldCharType="separate"/>
        </w:r>
        <w:r w:rsidR="007C61E6">
          <w:rPr>
            <w:noProof/>
          </w:rPr>
          <w:t>vi</w:t>
        </w:r>
        <w:r>
          <w:fldChar w:fldCharType="end"/>
        </w:r>
      </w:p>
    </w:sdtContent>
  </w:sdt>
  <w:p w:rsidR="006A45E8" w:rsidRDefault="006A45E8" w:rsidP="005E54E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5E8" w:rsidRDefault="006A45E8">
    <w:pPr>
      <w:pStyle w:val="Footer"/>
      <w:jc w:val="center"/>
    </w:pPr>
  </w:p>
  <w:p w:rsidR="006A45E8" w:rsidRDefault="006A45E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6760786"/>
      <w:docPartObj>
        <w:docPartGallery w:val="Page Numbers (Bottom of Page)"/>
        <w:docPartUnique/>
      </w:docPartObj>
    </w:sdtPr>
    <w:sdtContent>
      <w:p w:rsidR="006A45E8" w:rsidRDefault="006A45E8">
        <w:pPr>
          <w:pStyle w:val="Footer"/>
          <w:jc w:val="center"/>
        </w:pPr>
        <w:r>
          <w:fldChar w:fldCharType="begin"/>
        </w:r>
        <w:r w:rsidRPr="00FF2ED4">
          <w:instrText xml:space="preserve"> PAGE   \* MERGEFORMAT </w:instrText>
        </w:r>
        <w:r>
          <w:fldChar w:fldCharType="separate"/>
        </w:r>
        <w:r>
          <w:rPr>
            <w:noProof/>
          </w:rPr>
          <w:t>ii</w:t>
        </w:r>
        <w:r>
          <w:fldChar w:fldCharType="end"/>
        </w:r>
      </w:p>
    </w:sdtContent>
  </w:sdt>
  <w:p w:rsidR="006A45E8" w:rsidRDefault="006A45E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6760765"/>
      <w:docPartObj>
        <w:docPartGallery w:val="Page Numbers (Bottom of Page)"/>
        <w:docPartUnique/>
      </w:docPartObj>
    </w:sdtPr>
    <w:sdtContent>
      <w:p w:rsidR="006A45E8" w:rsidRDefault="006A45E8">
        <w:pPr>
          <w:pStyle w:val="Footer"/>
          <w:jc w:val="center"/>
        </w:pPr>
        <w:r>
          <w:fldChar w:fldCharType="begin"/>
        </w:r>
        <w:r w:rsidRPr="006E7589">
          <w:instrText xml:space="preserve"> PAGE   \* MERGEFORMAT </w:instrText>
        </w:r>
        <w:r>
          <w:fldChar w:fldCharType="separate"/>
        </w:r>
        <w:r w:rsidR="007C61E6">
          <w:rPr>
            <w:noProof/>
          </w:rPr>
          <w:t>32</w:t>
        </w:r>
        <w:r>
          <w:fldChar w:fldCharType="end"/>
        </w:r>
      </w:p>
    </w:sdtContent>
  </w:sdt>
  <w:p w:rsidR="006A45E8" w:rsidRDefault="006A45E8" w:rsidP="006E7589">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FB7" w:rsidRDefault="00797FB7" w:rsidP="005E54E2">
      <w:r>
        <w:separator/>
      </w:r>
    </w:p>
    <w:p w:rsidR="00797FB7" w:rsidRDefault="00797FB7" w:rsidP="005E54E2"/>
    <w:p w:rsidR="00797FB7" w:rsidRDefault="00797FB7" w:rsidP="005E54E2"/>
    <w:p w:rsidR="00797FB7" w:rsidRDefault="00797FB7" w:rsidP="005E54E2"/>
  </w:footnote>
  <w:footnote w:type="continuationSeparator" w:id="0">
    <w:p w:rsidR="00797FB7" w:rsidRDefault="00797FB7" w:rsidP="005E54E2">
      <w:r>
        <w:continuationSeparator/>
      </w:r>
    </w:p>
    <w:p w:rsidR="00797FB7" w:rsidRDefault="00797FB7" w:rsidP="005E54E2"/>
    <w:p w:rsidR="00797FB7" w:rsidRDefault="00797FB7" w:rsidP="005E54E2"/>
    <w:p w:rsidR="00797FB7" w:rsidRDefault="00797FB7" w:rsidP="005E54E2"/>
  </w:footnote>
  <w:footnote w:id="1">
    <w:p w:rsidR="006A45E8" w:rsidRDefault="006A45E8" w:rsidP="00C130A2">
      <w:pPr>
        <w:pStyle w:val="FootnoteText"/>
      </w:pPr>
      <w:r>
        <w:rPr>
          <w:rStyle w:val="FootnoteReference"/>
        </w:rPr>
        <w:footnoteRef/>
      </w:r>
      <w:r>
        <w:t xml:space="preserve"> </w:t>
      </w:r>
      <w:r>
        <w:rPr>
          <w:rFonts w:ascii="Calibri" w:hAnsi="Calibri" w:cs="Calibri"/>
          <w:szCs w:val="22"/>
        </w:rPr>
        <w:t xml:space="preserve">Fernandez C, Wu JQ, McCool DK, </w:t>
      </w:r>
      <w:proofErr w:type="spellStart"/>
      <w:r>
        <w:rPr>
          <w:rFonts w:ascii="Calibri" w:hAnsi="Calibri" w:cs="Calibri"/>
          <w:szCs w:val="22"/>
        </w:rPr>
        <w:t>Stöckle</w:t>
      </w:r>
      <w:proofErr w:type="spellEnd"/>
      <w:r>
        <w:rPr>
          <w:rFonts w:ascii="Calibri" w:hAnsi="Calibri" w:cs="Calibri"/>
          <w:szCs w:val="22"/>
        </w:rPr>
        <w:t xml:space="preserve"> CO (2003) Estimating water erosion and sediment yield with GIS, RUSLE, and SEDD. </w:t>
      </w:r>
      <w:r>
        <w:rPr>
          <w:rFonts w:ascii="Calibri" w:hAnsi="Calibri" w:cs="Calibri"/>
          <w:i/>
          <w:iCs/>
          <w:szCs w:val="22"/>
        </w:rPr>
        <w:t xml:space="preserve">J Soil Water </w:t>
      </w:r>
      <w:proofErr w:type="spellStart"/>
      <w:r>
        <w:rPr>
          <w:rFonts w:ascii="Calibri" w:hAnsi="Calibri" w:cs="Calibri"/>
          <w:i/>
          <w:iCs/>
          <w:szCs w:val="22"/>
        </w:rPr>
        <w:t>Conserv</w:t>
      </w:r>
      <w:proofErr w:type="spellEnd"/>
      <w:r>
        <w:rPr>
          <w:rFonts w:ascii="Calibri" w:hAnsi="Calibri" w:cs="Calibri"/>
          <w:i/>
          <w:iCs/>
          <w:szCs w:val="22"/>
        </w:rPr>
        <w:t xml:space="preserve"> </w:t>
      </w:r>
      <w:r>
        <w:rPr>
          <w:rFonts w:ascii="Calibri" w:hAnsi="Calibri" w:cs="Calibri"/>
          <w:szCs w:val="22"/>
        </w:rPr>
        <w:t>58 (</w:t>
      </w:r>
      <w:proofErr w:type="gramStart"/>
      <w:r>
        <w:rPr>
          <w:rFonts w:ascii="Calibri" w:hAnsi="Calibri" w:cs="Calibri"/>
          <w:szCs w:val="22"/>
        </w:rPr>
        <w:t>3 )</w:t>
      </w:r>
      <w:proofErr w:type="gramEnd"/>
      <w:r>
        <w:rPr>
          <w:rFonts w:ascii="Calibri" w:hAnsi="Calibri" w:cs="Calibri"/>
          <w:szCs w:val="22"/>
        </w:rPr>
        <w:t xml:space="preserve">:128–136. Available at: </w:t>
      </w:r>
      <w:hyperlink r:id="rId1" w:history="1">
        <w:r>
          <w:rPr>
            <w:rFonts w:ascii="Calibri" w:hAnsi="Calibri" w:cs="Calibri"/>
            <w:szCs w:val="22"/>
          </w:rPr>
          <w:t>http://www.jswconline.org/content/58/3/128.abstract</w:t>
        </w:r>
      </w:hyperlink>
      <w:r>
        <w:rPr>
          <w:rFonts w:ascii="Calibri" w:hAnsi="Calibri" w:cs="Calibri"/>
          <w:szCs w:val="22"/>
        </w:rPr>
        <w:t>.</w:t>
      </w:r>
    </w:p>
  </w:footnote>
  <w:footnote w:id="2">
    <w:p w:rsidR="006A45E8" w:rsidRDefault="006A45E8" w:rsidP="00C30D4F">
      <w:pPr>
        <w:pStyle w:val="FootnoteText"/>
      </w:pPr>
      <w:r>
        <w:rPr>
          <w:rStyle w:val="FootnoteReference"/>
        </w:rPr>
        <w:footnoteRef/>
      </w:r>
      <w:r>
        <w:t xml:space="preserve"> </w:t>
      </w:r>
      <w:proofErr w:type="spellStart"/>
      <w:r>
        <w:rPr>
          <w:rFonts w:ascii="Calibri" w:hAnsi="Calibri" w:cs="Calibri"/>
          <w:szCs w:val="22"/>
        </w:rPr>
        <w:t>Dijkstra</w:t>
      </w:r>
      <w:proofErr w:type="spellEnd"/>
      <w:r>
        <w:rPr>
          <w:rFonts w:ascii="Calibri" w:hAnsi="Calibri" w:cs="Calibri"/>
          <w:szCs w:val="22"/>
        </w:rPr>
        <w:t xml:space="preserve"> EW (1959) A Note on Two Problems in </w:t>
      </w:r>
      <w:proofErr w:type="spellStart"/>
      <w:r>
        <w:rPr>
          <w:rFonts w:ascii="Calibri" w:hAnsi="Calibri" w:cs="Calibri"/>
          <w:szCs w:val="22"/>
        </w:rPr>
        <w:t>Connexion</w:t>
      </w:r>
      <w:proofErr w:type="spellEnd"/>
      <w:r>
        <w:rPr>
          <w:rFonts w:ascii="Calibri" w:hAnsi="Calibri" w:cs="Calibri"/>
          <w:szCs w:val="22"/>
        </w:rPr>
        <w:t xml:space="preserve"> with Graphs. </w:t>
      </w:r>
      <w:proofErr w:type="spellStart"/>
      <w:r>
        <w:rPr>
          <w:rFonts w:ascii="Calibri" w:hAnsi="Calibri" w:cs="Calibri"/>
          <w:i/>
          <w:iCs/>
          <w:szCs w:val="22"/>
        </w:rPr>
        <w:t>Numer</w:t>
      </w:r>
      <w:proofErr w:type="spellEnd"/>
      <w:r>
        <w:rPr>
          <w:rFonts w:ascii="Calibri" w:hAnsi="Calibri" w:cs="Calibri"/>
          <w:i/>
          <w:iCs/>
          <w:szCs w:val="22"/>
        </w:rPr>
        <w:t xml:space="preserve"> Math</w:t>
      </w:r>
      <w:r>
        <w:rPr>
          <w:rFonts w:ascii="Calibri" w:hAnsi="Calibri" w:cs="Calibri"/>
          <w:szCs w:val="22"/>
        </w:rPr>
        <w:t xml:space="preserve"> 1(1):269–271.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B1E42"/>
    <w:multiLevelType w:val="hybridMultilevel"/>
    <w:tmpl w:val="2A8A3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5A92D4C"/>
    <w:multiLevelType w:val="hybridMultilevel"/>
    <w:tmpl w:val="1ADE2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B3759D"/>
    <w:multiLevelType w:val="hybridMultilevel"/>
    <w:tmpl w:val="A5D0A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FB1501"/>
    <w:multiLevelType w:val="hybridMultilevel"/>
    <w:tmpl w:val="0F42A4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0BE4A92"/>
    <w:multiLevelType w:val="hybridMultilevel"/>
    <w:tmpl w:val="1B945F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D7E640F"/>
    <w:multiLevelType w:val="hybridMultilevel"/>
    <w:tmpl w:val="8CD8C922"/>
    <w:lvl w:ilvl="0" w:tplc="3C48E630">
      <w:start w:val="1"/>
      <w:numFmt w:val="decimal"/>
      <w:lvlText w:val="%1."/>
      <w:lvlJc w:val="left"/>
      <w:pPr>
        <w:ind w:left="720" w:hanging="360"/>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
    <w:nsid w:val="3CE43DCC"/>
    <w:multiLevelType w:val="hybridMultilevel"/>
    <w:tmpl w:val="F4CCF1D8"/>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7">
    <w:nsid w:val="4AF014B4"/>
    <w:multiLevelType w:val="hybridMultilevel"/>
    <w:tmpl w:val="C8420284"/>
    <w:lvl w:ilvl="0" w:tplc="B7AE11F4">
      <w:start w:val="1"/>
      <w:numFmt w:val="bullet"/>
      <w:lvlText w:val=""/>
      <w:lvlJc w:val="left"/>
      <w:pPr>
        <w:ind w:left="1440" w:hanging="360"/>
      </w:pPr>
      <w:rPr>
        <w:rFonts w:ascii="Symbol" w:hAnsi="Symbol" w:hint="default"/>
      </w:rPr>
    </w:lvl>
    <w:lvl w:ilvl="1" w:tplc="3BF21C94" w:tentative="1">
      <w:start w:val="1"/>
      <w:numFmt w:val="bullet"/>
      <w:lvlText w:val="o"/>
      <w:lvlJc w:val="left"/>
      <w:pPr>
        <w:ind w:left="2160" w:hanging="360"/>
      </w:pPr>
      <w:rPr>
        <w:rFonts w:ascii="Courier New" w:hAnsi="Courier New" w:cs="Courier New" w:hint="default"/>
      </w:rPr>
    </w:lvl>
    <w:lvl w:ilvl="2" w:tplc="BA609B2A" w:tentative="1">
      <w:start w:val="1"/>
      <w:numFmt w:val="bullet"/>
      <w:lvlText w:val=""/>
      <w:lvlJc w:val="left"/>
      <w:pPr>
        <w:ind w:left="2880" w:hanging="360"/>
      </w:pPr>
      <w:rPr>
        <w:rFonts w:ascii="Wingdings" w:hAnsi="Wingdings" w:hint="default"/>
      </w:rPr>
    </w:lvl>
    <w:lvl w:ilvl="3" w:tplc="3F7CF6A8" w:tentative="1">
      <w:start w:val="1"/>
      <w:numFmt w:val="bullet"/>
      <w:lvlText w:val=""/>
      <w:lvlJc w:val="left"/>
      <w:pPr>
        <w:ind w:left="3600" w:hanging="360"/>
      </w:pPr>
      <w:rPr>
        <w:rFonts w:ascii="Symbol" w:hAnsi="Symbol" w:hint="default"/>
      </w:rPr>
    </w:lvl>
    <w:lvl w:ilvl="4" w:tplc="419431A6" w:tentative="1">
      <w:start w:val="1"/>
      <w:numFmt w:val="bullet"/>
      <w:lvlText w:val="o"/>
      <w:lvlJc w:val="left"/>
      <w:pPr>
        <w:ind w:left="4320" w:hanging="360"/>
      </w:pPr>
      <w:rPr>
        <w:rFonts w:ascii="Courier New" w:hAnsi="Courier New" w:cs="Courier New" w:hint="default"/>
      </w:rPr>
    </w:lvl>
    <w:lvl w:ilvl="5" w:tplc="04266FF8" w:tentative="1">
      <w:start w:val="1"/>
      <w:numFmt w:val="bullet"/>
      <w:lvlText w:val=""/>
      <w:lvlJc w:val="left"/>
      <w:pPr>
        <w:ind w:left="5040" w:hanging="360"/>
      </w:pPr>
      <w:rPr>
        <w:rFonts w:ascii="Wingdings" w:hAnsi="Wingdings" w:hint="default"/>
      </w:rPr>
    </w:lvl>
    <w:lvl w:ilvl="6" w:tplc="E44CD948" w:tentative="1">
      <w:start w:val="1"/>
      <w:numFmt w:val="bullet"/>
      <w:lvlText w:val=""/>
      <w:lvlJc w:val="left"/>
      <w:pPr>
        <w:ind w:left="5760" w:hanging="360"/>
      </w:pPr>
      <w:rPr>
        <w:rFonts w:ascii="Symbol" w:hAnsi="Symbol" w:hint="default"/>
      </w:rPr>
    </w:lvl>
    <w:lvl w:ilvl="7" w:tplc="373EB94E" w:tentative="1">
      <w:start w:val="1"/>
      <w:numFmt w:val="bullet"/>
      <w:lvlText w:val="o"/>
      <w:lvlJc w:val="left"/>
      <w:pPr>
        <w:ind w:left="6480" w:hanging="360"/>
      </w:pPr>
      <w:rPr>
        <w:rFonts w:ascii="Courier New" w:hAnsi="Courier New" w:cs="Courier New" w:hint="default"/>
      </w:rPr>
    </w:lvl>
    <w:lvl w:ilvl="8" w:tplc="91C0197E" w:tentative="1">
      <w:start w:val="1"/>
      <w:numFmt w:val="bullet"/>
      <w:lvlText w:val=""/>
      <w:lvlJc w:val="left"/>
      <w:pPr>
        <w:ind w:left="7200" w:hanging="360"/>
      </w:pPr>
      <w:rPr>
        <w:rFonts w:ascii="Wingdings" w:hAnsi="Wingdings" w:hint="default"/>
      </w:rPr>
    </w:lvl>
  </w:abstractNum>
  <w:abstractNum w:abstractNumId="8">
    <w:nsid w:val="4C023519"/>
    <w:multiLevelType w:val="multilevel"/>
    <w:tmpl w:val="9634B1F0"/>
    <w:lvl w:ilvl="0">
      <w:start w:val="1"/>
      <w:numFmt w:val="decimal"/>
      <w:pStyle w:val="Heading1"/>
      <w:suff w:val="space"/>
      <w:lvlText w:val="Chapter %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9">
    <w:nsid w:val="4EF3072F"/>
    <w:multiLevelType w:val="hybridMultilevel"/>
    <w:tmpl w:val="9120E330"/>
    <w:lvl w:ilvl="0" w:tplc="3708A95A">
      <w:start w:val="1"/>
      <w:numFmt w:val="bullet"/>
      <w:lvlText w:val=""/>
      <w:lvlJc w:val="left"/>
      <w:pPr>
        <w:ind w:left="720" w:hanging="360"/>
      </w:pPr>
      <w:rPr>
        <w:rFonts w:ascii="Symbol" w:hAnsi="Symbol" w:hint="default"/>
      </w:rPr>
    </w:lvl>
    <w:lvl w:ilvl="1" w:tplc="8E2E11E2" w:tentative="1">
      <w:start w:val="1"/>
      <w:numFmt w:val="bullet"/>
      <w:lvlText w:val="o"/>
      <w:lvlJc w:val="left"/>
      <w:pPr>
        <w:ind w:left="1440" w:hanging="360"/>
      </w:pPr>
      <w:rPr>
        <w:rFonts w:ascii="Courier New" w:hAnsi="Courier New" w:cs="Courier New" w:hint="default"/>
      </w:rPr>
    </w:lvl>
    <w:lvl w:ilvl="2" w:tplc="58005CC2" w:tentative="1">
      <w:start w:val="1"/>
      <w:numFmt w:val="bullet"/>
      <w:lvlText w:val=""/>
      <w:lvlJc w:val="left"/>
      <w:pPr>
        <w:ind w:left="2160" w:hanging="360"/>
      </w:pPr>
      <w:rPr>
        <w:rFonts w:ascii="Wingdings" w:hAnsi="Wingdings" w:hint="default"/>
      </w:rPr>
    </w:lvl>
    <w:lvl w:ilvl="3" w:tplc="ECE0F2E4" w:tentative="1">
      <w:start w:val="1"/>
      <w:numFmt w:val="bullet"/>
      <w:lvlText w:val=""/>
      <w:lvlJc w:val="left"/>
      <w:pPr>
        <w:ind w:left="2880" w:hanging="360"/>
      </w:pPr>
      <w:rPr>
        <w:rFonts w:ascii="Symbol" w:hAnsi="Symbol" w:hint="default"/>
      </w:rPr>
    </w:lvl>
    <w:lvl w:ilvl="4" w:tplc="948411BA" w:tentative="1">
      <w:start w:val="1"/>
      <w:numFmt w:val="bullet"/>
      <w:lvlText w:val="o"/>
      <w:lvlJc w:val="left"/>
      <w:pPr>
        <w:ind w:left="3600" w:hanging="360"/>
      </w:pPr>
      <w:rPr>
        <w:rFonts w:ascii="Courier New" w:hAnsi="Courier New" w:cs="Courier New" w:hint="default"/>
      </w:rPr>
    </w:lvl>
    <w:lvl w:ilvl="5" w:tplc="7624D96E" w:tentative="1">
      <w:start w:val="1"/>
      <w:numFmt w:val="bullet"/>
      <w:lvlText w:val=""/>
      <w:lvlJc w:val="left"/>
      <w:pPr>
        <w:ind w:left="4320" w:hanging="360"/>
      </w:pPr>
      <w:rPr>
        <w:rFonts w:ascii="Wingdings" w:hAnsi="Wingdings" w:hint="default"/>
      </w:rPr>
    </w:lvl>
    <w:lvl w:ilvl="6" w:tplc="0AAA82F6" w:tentative="1">
      <w:start w:val="1"/>
      <w:numFmt w:val="bullet"/>
      <w:lvlText w:val=""/>
      <w:lvlJc w:val="left"/>
      <w:pPr>
        <w:ind w:left="5040" w:hanging="360"/>
      </w:pPr>
      <w:rPr>
        <w:rFonts w:ascii="Symbol" w:hAnsi="Symbol" w:hint="default"/>
      </w:rPr>
    </w:lvl>
    <w:lvl w:ilvl="7" w:tplc="99944720" w:tentative="1">
      <w:start w:val="1"/>
      <w:numFmt w:val="bullet"/>
      <w:lvlText w:val="o"/>
      <w:lvlJc w:val="left"/>
      <w:pPr>
        <w:ind w:left="5760" w:hanging="360"/>
      </w:pPr>
      <w:rPr>
        <w:rFonts w:ascii="Courier New" w:hAnsi="Courier New" w:cs="Courier New" w:hint="default"/>
      </w:rPr>
    </w:lvl>
    <w:lvl w:ilvl="8" w:tplc="0C7A0B08" w:tentative="1">
      <w:start w:val="1"/>
      <w:numFmt w:val="bullet"/>
      <w:lvlText w:val=""/>
      <w:lvlJc w:val="left"/>
      <w:pPr>
        <w:ind w:left="6480" w:hanging="360"/>
      </w:pPr>
      <w:rPr>
        <w:rFonts w:ascii="Wingdings" w:hAnsi="Wingdings" w:hint="default"/>
      </w:rPr>
    </w:lvl>
  </w:abstractNum>
  <w:abstractNum w:abstractNumId="10">
    <w:nsid w:val="4F6D47C0"/>
    <w:multiLevelType w:val="hybridMultilevel"/>
    <w:tmpl w:val="8A660A44"/>
    <w:lvl w:ilvl="0" w:tplc="0409000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D2509E"/>
    <w:multiLevelType w:val="hybridMultilevel"/>
    <w:tmpl w:val="15A47130"/>
    <w:lvl w:ilvl="0" w:tplc="0409000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37C02D1"/>
    <w:multiLevelType w:val="hybridMultilevel"/>
    <w:tmpl w:val="623C32EE"/>
    <w:lvl w:ilvl="0" w:tplc="04090001">
      <w:start w:val="1"/>
      <w:numFmt w:val="decimal"/>
      <w:lvlText w:val="%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nsid w:val="54F8768A"/>
    <w:multiLevelType w:val="hybridMultilevel"/>
    <w:tmpl w:val="D07A5308"/>
    <w:lvl w:ilvl="0" w:tplc="04090001">
      <w:start w:val="1"/>
      <w:numFmt w:val="decimal"/>
      <w:lvlText w:val="%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4">
    <w:nsid w:val="64166E43"/>
    <w:multiLevelType w:val="hybridMultilevel"/>
    <w:tmpl w:val="ABB4AD00"/>
    <w:lvl w:ilvl="0" w:tplc="0409000F">
      <w:start w:val="1"/>
      <w:numFmt w:val="bullet"/>
      <w:lvlText w:val=""/>
      <w:lvlJc w:val="left"/>
      <w:pPr>
        <w:ind w:left="768" w:hanging="360"/>
      </w:pPr>
      <w:rPr>
        <w:rFonts w:ascii="Symbol" w:hAnsi="Symbol" w:hint="default"/>
      </w:rPr>
    </w:lvl>
    <w:lvl w:ilvl="1" w:tplc="04090019" w:tentative="1">
      <w:start w:val="1"/>
      <w:numFmt w:val="bullet"/>
      <w:lvlText w:val="o"/>
      <w:lvlJc w:val="left"/>
      <w:pPr>
        <w:ind w:left="1488" w:hanging="360"/>
      </w:pPr>
      <w:rPr>
        <w:rFonts w:ascii="Courier New" w:hAnsi="Courier New" w:cs="Courier New" w:hint="default"/>
      </w:rPr>
    </w:lvl>
    <w:lvl w:ilvl="2" w:tplc="0409001B" w:tentative="1">
      <w:start w:val="1"/>
      <w:numFmt w:val="bullet"/>
      <w:lvlText w:val=""/>
      <w:lvlJc w:val="left"/>
      <w:pPr>
        <w:ind w:left="2208" w:hanging="360"/>
      </w:pPr>
      <w:rPr>
        <w:rFonts w:ascii="Wingdings" w:hAnsi="Wingdings" w:hint="default"/>
      </w:rPr>
    </w:lvl>
    <w:lvl w:ilvl="3" w:tplc="0409000F" w:tentative="1">
      <w:start w:val="1"/>
      <w:numFmt w:val="bullet"/>
      <w:lvlText w:val=""/>
      <w:lvlJc w:val="left"/>
      <w:pPr>
        <w:ind w:left="2928" w:hanging="360"/>
      </w:pPr>
      <w:rPr>
        <w:rFonts w:ascii="Symbol" w:hAnsi="Symbol" w:hint="default"/>
      </w:rPr>
    </w:lvl>
    <w:lvl w:ilvl="4" w:tplc="04090019" w:tentative="1">
      <w:start w:val="1"/>
      <w:numFmt w:val="bullet"/>
      <w:lvlText w:val="o"/>
      <w:lvlJc w:val="left"/>
      <w:pPr>
        <w:ind w:left="3648" w:hanging="360"/>
      </w:pPr>
      <w:rPr>
        <w:rFonts w:ascii="Courier New" w:hAnsi="Courier New" w:cs="Courier New" w:hint="default"/>
      </w:rPr>
    </w:lvl>
    <w:lvl w:ilvl="5" w:tplc="0409001B" w:tentative="1">
      <w:start w:val="1"/>
      <w:numFmt w:val="bullet"/>
      <w:lvlText w:val=""/>
      <w:lvlJc w:val="left"/>
      <w:pPr>
        <w:ind w:left="4368" w:hanging="360"/>
      </w:pPr>
      <w:rPr>
        <w:rFonts w:ascii="Wingdings" w:hAnsi="Wingdings" w:hint="default"/>
      </w:rPr>
    </w:lvl>
    <w:lvl w:ilvl="6" w:tplc="0409000F" w:tentative="1">
      <w:start w:val="1"/>
      <w:numFmt w:val="bullet"/>
      <w:lvlText w:val=""/>
      <w:lvlJc w:val="left"/>
      <w:pPr>
        <w:ind w:left="5088" w:hanging="360"/>
      </w:pPr>
      <w:rPr>
        <w:rFonts w:ascii="Symbol" w:hAnsi="Symbol" w:hint="default"/>
      </w:rPr>
    </w:lvl>
    <w:lvl w:ilvl="7" w:tplc="04090019" w:tentative="1">
      <w:start w:val="1"/>
      <w:numFmt w:val="bullet"/>
      <w:lvlText w:val="o"/>
      <w:lvlJc w:val="left"/>
      <w:pPr>
        <w:ind w:left="5808" w:hanging="360"/>
      </w:pPr>
      <w:rPr>
        <w:rFonts w:ascii="Courier New" w:hAnsi="Courier New" w:cs="Courier New" w:hint="default"/>
      </w:rPr>
    </w:lvl>
    <w:lvl w:ilvl="8" w:tplc="0409001B" w:tentative="1">
      <w:start w:val="1"/>
      <w:numFmt w:val="bullet"/>
      <w:lvlText w:val=""/>
      <w:lvlJc w:val="left"/>
      <w:pPr>
        <w:ind w:left="6528" w:hanging="360"/>
      </w:pPr>
      <w:rPr>
        <w:rFonts w:ascii="Wingdings" w:hAnsi="Wingdings" w:hint="default"/>
      </w:rPr>
    </w:lvl>
  </w:abstractNum>
  <w:abstractNum w:abstractNumId="15">
    <w:nsid w:val="69187CA9"/>
    <w:multiLevelType w:val="hybridMultilevel"/>
    <w:tmpl w:val="478423E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6">
    <w:nsid w:val="72E462C9"/>
    <w:multiLevelType w:val="hybridMultilevel"/>
    <w:tmpl w:val="B52E4C5E"/>
    <w:lvl w:ilvl="0" w:tplc="3C48E630">
      <w:start w:val="1"/>
      <w:numFmt w:val="decimal"/>
      <w:lvlText w:val="%1."/>
      <w:lvlJc w:val="left"/>
      <w:pPr>
        <w:ind w:left="720" w:hanging="360"/>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nsid w:val="78204417"/>
    <w:multiLevelType w:val="hybridMultilevel"/>
    <w:tmpl w:val="1ADE2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0"/>
  </w:num>
  <w:num w:numId="4">
    <w:abstractNumId w:val="3"/>
  </w:num>
  <w:num w:numId="5">
    <w:abstractNumId w:val="9"/>
  </w:num>
  <w:num w:numId="6">
    <w:abstractNumId w:val="7"/>
  </w:num>
  <w:num w:numId="7">
    <w:abstractNumId w:val="11"/>
  </w:num>
  <w:num w:numId="8">
    <w:abstractNumId w:val="16"/>
  </w:num>
  <w:num w:numId="9">
    <w:abstractNumId w:val="10"/>
  </w:num>
  <w:num w:numId="10">
    <w:abstractNumId w:val="2"/>
  </w:num>
  <w:num w:numId="11">
    <w:abstractNumId w:val="15"/>
  </w:num>
  <w:num w:numId="12">
    <w:abstractNumId w:val="14"/>
  </w:num>
  <w:num w:numId="13">
    <w:abstractNumId w:val="13"/>
  </w:num>
  <w:num w:numId="14">
    <w:abstractNumId w:val="6"/>
  </w:num>
  <w:num w:numId="15">
    <w:abstractNumId w:val="12"/>
  </w:num>
  <w:num w:numId="16">
    <w:abstractNumId w:val="1"/>
  </w:num>
  <w:num w:numId="1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removePersonalInformation/>
  <w:removeDateAndTime/>
  <w:proofState w:spelling="clean" w:grammar="clean"/>
  <w:attachedTemplate r:id="rId1"/>
  <w:stylePaneFormatFilter w:val="3F04"/>
  <w:defaultTabStop w:val="720"/>
  <w:drawingGridHorizontalSpacing w:val="120"/>
  <w:displayHorizontalDrawingGridEvery w:val="2"/>
  <w:displayVerticalDrawingGridEvery w:val="2"/>
  <w:noPunctuationKerning/>
  <w:characterSpacingControl w:val="doNotCompress"/>
  <w:hdrShapeDefaults>
    <o:shapedefaults v:ext="edit" spidmax="17410"/>
  </w:hdrShapeDefaults>
  <w:footnotePr>
    <w:footnote w:id="-1"/>
    <w:footnote w:id="0"/>
  </w:footnotePr>
  <w:endnotePr>
    <w:endnote w:id="-1"/>
    <w:endnote w:id="0"/>
  </w:endnotePr>
  <w:compat/>
  <w:rsids>
    <w:rsidRoot w:val="000033A9"/>
    <w:rsid w:val="00000B51"/>
    <w:rsid w:val="00000D19"/>
    <w:rsid w:val="000033A9"/>
    <w:rsid w:val="00003F6A"/>
    <w:rsid w:val="00004E2C"/>
    <w:rsid w:val="000074ED"/>
    <w:rsid w:val="00010A83"/>
    <w:rsid w:val="000131D1"/>
    <w:rsid w:val="000132D5"/>
    <w:rsid w:val="000141B9"/>
    <w:rsid w:val="00014A3E"/>
    <w:rsid w:val="000166A9"/>
    <w:rsid w:val="000168DD"/>
    <w:rsid w:val="00016E97"/>
    <w:rsid w:val="00023E71"/>
    <w:rsid w:val="0002415B"/>
    <w:rsid w:val="00024AEB"/>
    <w:rsid w:val="00026AF1"/>
    <w:rsid w:val="00026C0B"/>
    <w:rsid w:val="000311B3"/>
    <w:rsid w:val="00031B59"/>
    <w:rsid w:val="0003209E"/>
    <w:rsid w:val="000326F1"/>
    <w:rsid w:val="0003511E"/>
    <w:rsid w:val="0003522A"/>
    <w:rsid w:val="0003672C"/>
    <w:rsid w:val="00040F40"/>
    <w:rsid w:val="000438E0"/>
    <w:rsid w:val="00043D07"/>
    <w:rsid w:val="000448DD"/>
    <w:rsid w:val="0005350F"/>
    <w:rsid w:val="00053F8D"/>
    <w:rsid w:val="000546FD"/>
    <w:rsid w:val="00056A50"/>
    <w:rsid w:val="00057004"/>
    <w:rsid w:val="0006199E"/>
    <w:rsid w:val="00066D75"/>
    <w:rsid w:val="00067DF8"/>
    <w:rsid w:val="00071FB8"/>
    <w:rsid w:val="00072B02"/>
    <w:rsid w:val="00076A95"/>
    <w:rsid w:val="00076D7A"/>
    <w:rsid w:val="00077C96"/>
    <w:rsid w:val="00077F37"/>
    <w:rsid w:val="00082C43"/>
    <w:rsid w:val="00082E0B"/>
    <w:rsid w:val="000855C4"/>
    <w:rsid w:val="00086E70"/>
    <w:rsid w:val="00087B09"/>
    <w:rsid w:val="00090516"/>
    <w:rsid w:val="00090D62"/>
    <w:rsid w:val="000958DE"/>
    <w:rsid w:val="00097088"/>
    <w:rsid w:val="000A2A10"/>
    <w:rsid w:val="000A5A7E"/>
    <w:rsid w:val="000B160B"/>
    <w:rsid w:val="000B2182"/>
    <w:rsid w:val="000B26E9"/>
    <w:rsid w:val="000B4C46"/>
    <w:rsid w:val="000B5C42"/>
    <w:rsid w:val="000C03A5"/>
    <w:rsid w:val="000C175C"/>
    <w:rsid w:val="000C1A7C"/>
    <w:rsid w:val="000C23C6"/>
    <w:rsid w:val="000C30C7"/>
    <w:rsid w:val="000C4DAF"/>
    <w:rsid w:val="000C67AC"/>
    <w:rsid w:val="000C6844"/>
    <w:rsid w:val="000D3F06"/>
    <w:rsid w:val="000D641F"/>
    <w:rsid w:val="000D6462"/>
    <w:rsid w:val="000D6A2F"/>
    <w:rsid w:val="000E3253"/>
    <w:rsid w:val="000E66B5"/>
    <w:rsid w:val="000E72C1"/>
    <w:rsid w:val="000F082A"/>
    <w:rsid w:val="000F17FC"/>
    <w:rsid w:val="000F5F44"/>
    <w:rsid w:val="000F60B2"/>
    <w:rsid w:val="001020C9"/>
    <w:rsid w:val="0010217F"/>
    <w:rsid w:val="001022B2"/>
    <w:rsid w:val="00103436"/>
    <w:rsid w:val="001042E2"/>
    <w:rsid w:val="00110067"/>
    <w:rsid w:val="00110723"/>
    <w:rsid w:val="001118C0"/>
    <w:rsid w:val="00116176"/>
    <w:rsid w:val="00116A68"/>
    <w:rsid w:val="00120E01"/>
    <w:rsid w:val="0012188B"/>
    <w:rsid w:val="00121CA0"/>
    <w:rsid w:val="00123724"/>
    <w:rsid w:val="00125A91"/>
    <w:rsid w:val="001337E4"/>
    <w:rsid w:val="00134181"/>
    <w:rsid w:val="00135C2E"/>
    <w:rsid w:val="00142A97"/>
    <w:rsid w:val="00144F17"/>
    <w:rsid w:val="00147756"/>
    <w:rsid w:val="0015081F"/>
    <w:rsid w:val="00150B5C"/>
    <w:rsid w:val="00150D12"/>
    <w:rsid w:val="00151732"/>
    <w:rsid w:val="00152EC1"/>
    <w:rsid w:val="00153D63"/>
    <w:rsid w:val="00155D48"/>
    <w:rsid w:val="00157ABE"/>
    <w:rsid w:val="00157C56"/>
    <w:rsid w:val="00160114"/>
    <w:rsid w:val="00161C0B"/>
    <w:rsid w:val="001710CD"/>
    <w:rsid w:val="001714BF"/>
    <w:rsid w:val="001723FB"/>
    <w:rsid w:val="00172E02"/>
    <w:rsid w:val="00173DD0"/>
    <w:rsid w:val="00176C2E"/>
    <w:rsid w:val="0017753C"/>
    <w:rsid w:val="00180306"/>
    <w:rsid w:val="00183972"/>
    <w:rsid w:val="00184ADD"/>
    <w:rsid w:val="0018536A"/>
    <w:rsid w:val="001854FB"/>
    <w:rsid w:val="00190106"/>
    <w:rsid w:val="00190CFA"/>
    <w:rsid w:val="001918C0"/>
    <w:rsid w:val="001929B3"/>
    <w:rsid w:val="00193642"/>
    <w:rsid w:val="00193AF3"/>
    <w:rsid w:val="001955B2"/>
    <w:rsid w:val="0019655E"/>
    <w:rsid w:val="00197982"/>
    <w:rsid w:val="001A0160"/>
    <w:rsid w:val="001A0FBF"/>
    <w:rsid w:val="001A1D6B"/>
    <w:rsid w:val="001A2E9C"/>
    <w:rsid w:val="001A3256"/>
    <w:rsid w:val="001A33EF"/>
    <w:rsid w:val="001A3AF2"/>
    <w:rsid w:val="001A5B40"/>
    <w:rsid w:val="001B1034"/>
    <w:rsid w:val="001B166F"/>
    <w:rsid w:val="001B1EB2"/>
    <w:rsid w:val="001B769D"/>
    <w:rsid w:val="001C0492"/>
    <w:rsid w:val="001C23BB"/>
    <w:rsid w:val="001C291B"/>
    <w:rsid w:val="001C39F6"/>
    <w:rsid w:val="001C3BE4"/>
    <w:rsid w:val="001C5772"/>
    <w:rsid w:val="001C66FE"/>
    <w:rsid w:val="001C6B07"/>
    <w:rsid w:val="001D1E24"/>
    <w:rsid w:val="001D4908"/>
    <w:rsid w:val="001D5218"/>
    <w:rsid w:val="001D6904"/>
    <w:rsid w:val="001E2177"/>
    <w:rsid w:val="001E46B2"/>
    <w:rsid w:val="001E4FF3"/>
    <w:rsid w:val="001F1C35"/>
    <w:rsid w:val="001F3497"/>
    <w:rsid w:val="001F38DE"/>
    <w:rsid w:val="001F43C1"/>
    <w:rsid w:val="001F522F"/>
    <w:rsid w:val="002008ED"/>
    <w:rsid w:val="00201115"/>
    <w:rsid w:val="002024A2"/>
    <w:rsid w:val="00203419"/>
    <w:rsid w:val="0020640F"/>
    <w:rsid w:val="00207874"/>
    <w:rsid w:val="00207C13"/>
    <w:rsid w:val="00207CD6"/>
    <w:rsid w:val="00207D83"/>
    <w:rsid w:val="002115B4"/>
    <w:rsid w:val="00211754"/>
    <w:rsid w:val="00212D18"/>
    <w:rsid w:val="00215A10"/>
    <w:rsid w:val="00215C1D"/>
    <w:rsid w:val="002213AC"/>
    <w:rsid w:val="0022210F"/>
    <w:rsid w:val="0022401C"/>
    <w:rsid w:val="0022627C"/>
    <w:rsid w:val="00226C1A"/>
    <w:rsid w:val="00227DFE"/>
    <w:rsid w:val="002300B2"/>
    <w:rsid w:val="00236E6D"/>
    <w:rsid w:val="00237B41"/>
    <w:rsid w:val="002414BB"/>
    <w:rsid w:val="002429E5"/>
    <w:rsid w:val="00244436"/>
    <w:rsid w:val="002447A6"/>
    <w:rsid w:val="00244941"/>
    <w:rsid w:val="00246B01"/>
    <w:rsid w:val="0024720A"/>
    <w:rsid w:val="00247705"/>
    <w:rsid w:val="00247C24"/>
    <w:rsid w:val="00250983"/>
    <w:rsid w:val="0025197C"/>
    <w:rsid w:val="00251F91"/>
    <w:rsid w:val="0025561C"/>
    <w:rsid w:val="00256E8E"/>
    <w:rsid w:val="00257830"/>
    <w:rsid w:val="00261B12"/>
    <w:rsid w:val="002622D4"/>
    <w:rsid w:val="002629AC"/>
    <w:rsid w:val="002629AD"/>
    <w:rsid w:val="0026761C"/>
    <w:rsid w:val="00270FBE"/>
    <w:rsid w:val="0027558F"/>
    <w:rsid w:val="002779EC"/>
    <w:rsid w:val="00277ADB"/>
    <w:rsid w:val="00280226"/>
    <w:rsid w:val="002804CD"/>
    <w:rsid w:val="0028096F"/>
    <w:rsid w:val="00280CEF"/>
    <w:rsid w:val="00281300"/>
    <w:rsid w:val="0028173A"/>
    <w:rsid w:val="00282CB6"/>
    <w:rsid w:val="002831DC"/>
    <w:rsid w:val="00283E9A"/>
    <w:rsid w:val="00284561"/>
    <w:rsid w:val="00284B4E"/>
    <w:rsid w:val="00285DB1"/>
    <w:rsid w:val="00285ECF"/>
    <w:rsid w:val="002867FD"/>
    <w:rsid w:val="00286C37"/>
    <w:rsid w:val="0028757A"/>
    <w:rsid w:val="00291E51"/>
    <w:rsid w:val="00291F54"/>
    <w:rsid w:val="002933FE"/>
    <w:rsid w:val="0029497E"/>
    <w:rsid w:val="00294EF2"/>
    <w:rsid w:val="00297FC8"/>
    <w:rsid w:val="002A11FE"/>
    <w:rsid w:val="002A12F0"/>
    <w:rsid w:val="002A20AA"/>
    <w:rsid w:val="002A3264"/>
    <w:rsid w:val="002A36D8"/>
    <w:rsid w:val="002A50A1"/>
    <w:rsid w:val="002A669F"/>
    <w:rsid w:val="002A6DE4"/>
    <w:rsid w:val="002A7629"/>
    <w:rsid w:val="002B0EE3"/>
    <w:rsid w:val="002B11DB"/>
    <w:rsid w:val="002B2090"/>
    <w:rsid w:val="002B3F31"/>
    <w:rsid w:val="002B708B"/>
    <w:rsid w:val="002C0DE1"/>
    <w:rsid w:val="002C1A18"/>
    <w:rsid w:val="002C1FC9"/>
    <w:rsid w:val="002C2A0C"/>
    <w:rsid w:val="002C2D72"/>
    <w:rsid w:val="002C3DF5"/>
    <w:rsid w:val="002C43B7"/>
    <w:rsid w:val="002C7021"/>
    <w:rsid w:val="002D021E"/>
    <w:rsid w:val="002D4E16"/>
    <w:rsid w:val="002D4E3C"/>
    <w:rsid w:val="002D5922"/>
    <w:rsid w:val="002E065B"/>
    <w:rsid w:val="002E0C33"/>
    <w:rsid w:val="002E2492"/>
    <w:rsid w:val="002E5B8D"/>
    <w:rsid w:val="002E5F14"/>
    <w:rsid w:val="002F13A6"/>
    <w:rsid w:val="002F28FC"/>
    <w:rsid w:val="002F319F"/>
    <w:rsid w:val="002F5B35"/>
    <w:rsid w:val="002F6C76"/>
    <w:rsid w:val="002F76F2"/>
    <w:rsid w:val="003004F5"/>
    <w:rsid w:val="00300E0F"/>
    <w:rsid w:val="003041FD"/>
    <w:rsid w:val="00304BD0"/>
    <w:rsid w:val="00304F17"/>
    <w:rsid w:val="003050D2"/>
    <w:rsid w:val="00305D5B"/>
    <w:rsid w:val="00307206"/>
    <w:rsid w:val="00307772"/>
    <w:rsid w:val="00307CA8"/>
    <w:rsid w:val="00307D77"/>
    <w:rsid w:val="00307EB2"/>
    <w:rsid w:val="003118BF"/>
    <w:rsid w:val="00313E84"/>
    <w:rsid w:val="00313E9E"/>
    <w:rsid w:val="003150D5"/>
    <w:rsid w:val="003206F1"/>
    <w:rsid w:val="00320F78"/>
    <w:rsid w:val="00321A5B"/>
    <w:rsid w:val="00322BE0"/>
    <w:rsid w:val="003236F1"/>
    <w:rsid w:val="00323D2D"/>
    <w:rsid w:val="003247C0"/>
    <w:rsid w:val="00326820"/>
    <w:rsid w:val="00332041"/>
    <w:rsid w:val="003335ED"/>
    <w:rsid w:val="00334400"/>
    <w:rsid w:val="003348A6"/>
    <w:rsid w:val="00336C9A"/>
    <w:rsid w:val="00340064"/>
    <w:rsid w:val="0034117E"/>
    <w:rsid w:val="00341187"/>
    <w:rsid w:val="00343EFC"/>
    <w:rsid w:val="0034487C"/>
    <w:rsid w:val="00344CDB"/>
    <w:rsid w:val="0034560A"/>
    <w:rsid w:val="00350965"/>
    <w:rsid w:val="0035162E"/>
    <w:rsid w:val="00351D4D"/>
    <w:rsid w:val="00354615"/>
    <w:rsid w:val="003573D2"/>
    <w:rsid w:val="0035768F"/>
    <w:rsid w:val="00360B3C"/>
    <w:rsid w:val="00362082"/>
    <w:rsid w:val="0036251E"/>
    <w:rsid w:val="0036372E"/>
    <w:rsid w:val="00363F59"/>
    <w:rsid w:val="00364B11"/>
    <w:rsid w:val="00370BEA"/>
    <w:rsid w:val="00371861"/>
    <w:rsid w:val="00372C0A"/>
    <w:rsid w:val="003761C0"/>
    <w:rsid w:val="00380C0C"/>
    <w:rsid w:val="0038177C"/>
    <w:rsid w:val="0038233D"/>
    <w:rsid w:val="00382C4C"/>
    <w:rsid w:val="003836EB"/>
    <w:rsid w:val="003846AA"/>
    <w:rsid w:val="0038476B"/>
    <w:rsid w:val="00387024"/>
    <w:rsid w:val="00387656"/>
    <w:rsid w:val="003876E6"/>
    <w:rsid w:val="00387EA3"/>
    <w:rsid w:val="003A0A45"/>
    <w:rsid w:val="003A1E69"/>
    <w:rsid w:val="003A24AF"/>
    <w:rsid w:val="003A26F0"/>
    <w:rsid w:val="003A3B5F"/>
    <w:rsid w:val="003A3DEC"/>
    <w:rsid w:val="003B037F"/>
    <w:rsid w:val="003B13E3"/>
    <w:rsid w:val="003B2F2C"/>
    <w:rsid w:val="003B3EE1"/>
    <w:rsid w:val="003B4AFB"/>
    <w:rsid w:val="003B5CE7"/>
    <w:rsid w:val="003C0234"/>
    <w:rsid w:val="003C070F"/>
    <w:rsid w:val="003C1575"/>
    <w:rsid w:val="003C7FC5"/>
    <w:rsid w:val="003D07F7"/>
    <w:rsid w:val="003D0E62"/>
    <w:rsid w:val="003D1340"/>
    <w:rsid w:val="003D5264"/>
    <w:rsid w:val="003D5275"/>
    <w:rsid w:val="003D63DF"/>
    <w:rsid w:val="003D6FDE"/>
    <w:rsid w:val="003D737F"/>
    <w:rsid w:val="003E0D1B"/>
    <w:rsid w:val="003E156B"/>
    <w:rsid w:val="003E2CBD"/>
    <w:rsid w:val="003E56C3"/>
    <w:rsid w:val="003E58FA"/>
    <w:rsid w:val="003F1143"/>
    <w:rsid w:val="003F24E7"/>
    <w:rsid w:val="003F7474"/>
    <w:rsid w:val="003F7F27"/>
    <w:rsid w:val="0040038A"/>
    <w:rsid w:val="00402035"/>
    <w:rsid w:val="00402819"/>
    <w:rsid w:val="00404616"/>
    <w:rsid w:val="004048A8"/>
    <w:rsid w:val="004049FF"/>
    <w:rsid w:val="00406F6E"/>
    <w:rsid w:val="00407B6A"/>
    <w:rsid w:val="00410DBD"/>
    <w:rsid w:val="00411F78"/>
    <w:rsid w:val="00412F1F"/>
    <w:rsid w:val="00414400"/>
    <w:rsid w:val="0042099D"/>
    <w:rsid w:val="00420D13"/>
    <w:rsid w:val="004210AC"/>
    <w:rsid w:val="00421CD4"/>
    <w:rsid w:val="0042251E"/>
    <w:rsid w:val="00422932"/>
    <w:rsid w:val="004238D2"/>
    <w:rsid w:val="00423D18"/>
    <w:rsid w:val="00423EA7"/>
    <w:rsid w:val="0042472E"/>
    <w:rsid w:val="004272BE"/>
    <w:rsid w:val="004274B0"/>
    <w:rsid w:val="00427833"/>
    <w:rsid w:val="004330B6"/>
    <w:rsid w:val="004335E8"/>
    <w:rsid w:val="0043378A"/>
    <w:rsid w:val="00434898"/>
    <w:rsid w:val="00435E2D"/>
    <w:rsid w:val="00436123"/>
    <w:rsid w:val="00440532"/>
    <w:rsid w:val="0044196E"/>
    <w:rsid w:val="00443115"/>
    <w:rsid w:val="004455EB"/>
    <w:rsid w:val="00446B59"/>
    <w:rsid w:val="004474C5"/>
    <w:rsid w:val="004538AB"/>
    <w:rsid w:val="00455506"/>
    <w:rsid w:val="00460479"/>
    <w:rsid w:val="00463757"/>
    <w:rsid w:val="004679BE"/>
    <w:rsid w:val="004720AC"/>
    <w:rsid w:val="004722D1"/>
    <w:rsid w:val="00472C53"/>
    <w:rsid w:val="00473EE7"/>
    <w:rsid w:val="00474210"/>
    <w:rsid w:val="004758A8"/>
    <w:rsid w:val="00480B94"/>
    <w:rsid w:val="00480B96"/>
    <w:rsid w:val="0048303E"/>
    <w:rsid w:val="00486452"/>
    <w:rsid w:val="0049004B"/>
    <w:rsid w:val="00491BFC"/>
    <w:rsid w:val="004920F6"/>
    <w:rsid w:val="00493263"/>
    <w:rsid w:val="00494191"/>
    <w:rsid w:val="00497636"/>
    <w:rsid w:val="004A0D4C"/>
    <w:rsid w:val="004A15A2"/>
    <w:rsid w:val="004A1748"/>
    <w:rsid w:val="004A445C"/>
    <w:rsid w:val="004A67E8"/>
    <w:rsid w:val="004A6A4B"/>
    <w:rsid w:val="004B188E"/>
    <w:rsid w:val="004B213E"/>
    <w:rsid w:val="004B3888"/>
    <w:rsid w:val="004B3BC3"/>
    <w:rsid w:val="004B4486"/>
    <w:rsid w:val="004B5D49"/>
    <w:rsid w:val="004C08C4"/>
    <w:rsid w:val="004C2071"/>
    <w:rsid w:val="004C2281"/>
    <w:rsid w:val="004C357F"/>
    <w:rsid w:val="004C39E2"/>
    <w:rsid w:val="004C3A24"/>
    <w:rsid w:val="004C3A6B"/>
    <w:rsid w:val="004C3D65"/>
    <w:rsid w:val="004C4466"/>
    <w:rsid w:val="004C4795"/>
    <w:rsid w:val="004C63A0"/>
    <w:rsid w:val="004D0467"/>
    <w:rsid w:val="004D4F25"/>
    <w:rsid w:val="004D5CF6"/>
    <w:rsid w:val="004D6472"/>
    <w:rsid w:val="004D6B9B"/>
    <w:rsid w:val="004E17B8"/>
    <w:rsid w:val="004E2823"/>
    <w:rsid w:val="004E391A"/>
    <w:rsid w:val="004E495C"/>
    <w:rsid w:val="004E4A78"/>
    <w:rsid w:val="004F2072"/>
    <w:rsid w:val="004F6CAC"/>
    <w:rsid w:val="005004C9"/>
    <w:rsid w:val="00500682"/>
    <w:rsid w:val="00501F7C"/>
    <w:rsid w:val="005020C4"/>
    <w:rsid w:val="005049EE"/>
    <w:rsid w:val="005130D3"/>
    <w:rsid w:val="00520284"/>
    <w:rsid w:val="005224E0"/>
    <w:rsid w:val="005238C5"/>
    <w:rsid w:val="00525DA6"/>
    <w:rsid w:val="00525DE8"/>
    <w:rsid w:val="00526151"/>
    <w:rsid w:val="00526CAD"/>
    <w:rsid w:val="00534CA3"/>
    <w:rsid w:val="00535D05"/>
    <w:rsid w:val="00537CF6"/>
    <w:rsid w:val="00541F4B"/>
    <w:rsid w:val="00542B7E"/>
    <w:rsid w:val="0054312A"/>
    <w:rsid w:val="00544273"/>
    <w:rsid w:val="00544872"/>
    <w:rsid w:val="00546147"/>
    <w:rsid w:val="00546F6B"/>
    <w:rsid w:val="00547E3F"/>
    <w:rsid w:val="00550A87"/>
    <w:rsid w:val="00551293"/>
    <w:rsid w:val="00551607"/>
    <w:rsid w:val="00551D71"/>
    <w:rsid w:val="005547D2"/>
    <w:rsid w:val="0055766C"/>
    <w:rsid w:val="00560194"/>
    <w:rsid w:val="00562F10"/>
    <w:rsid w:val="00563512"/>
    <w:rsid w:val="00573685"/>
    <w:rsid w:val="0058294C"/>
    <w:rsid w:val="00583A04"/>
    <w:rsid w:val="005937E5"/>
    <w:rsid w:val="00595975"/>
    <w:rsid w:val="00597AD2"/>
    <w:rsid w:val="00597D3F"/>
    <w:rsid w:val="005A0AFE"/>
    <w:rsid w:val="005A3CF7"/>
    <w:rsid w:val="005A3E68"/>
    <w:rsid w:val="005A45D8"/>
    <w:rsid w:val="005A5698"/>
    <w:rsid w:val="005A5B59"/>
    <w:rsid w:val="005A6A51"/>
    <w:rsid w:val="005A6BC6"/>
    <w:rsid w:val="005B0E55"/>
    <w:rsid w:val="005B2E5C"/>
    <w:rsid w:val="005B3738"/>
    <w:rsid w:val="005B3D83"/>
    <w:rsid w:val="005B79E9"/>
    <w:rsid w:val="005C0229"/>
    <w:rsid w:val="005C1911"/>
    <w:rsid w:val="005C1B28"/>
    <w:rsid w:val="005C4A06"/>
    <w:rsid w:val="005C4C00"/>
    <w:rsid w:val="005C70B3"/>
    <w:rsid w:val="005D5DA2"/>
    <w:rsid w:val="005D6FEE"/>
    <w:rsid w:val="005D738E"/>
    <w:rsid w:val="005D7FA8"/>
    <w:rsid w:val="005E0F46"/>
    <w:rsid w:val="005E1DC0"/>
    <w:rsid w:val="005E2C4F"/>
    <w:rsid w:val="005E4912"/>
    <w:rsid w:val="005E54E2"/>
    <w:rsid w:val="005E60AE"/>
    <w:rsid w:val="005E6F1F"/>
    <w:rsid w:val="005E7C16"/>
    <w:rsid w:val="005F02A4"/>
    <w:rsid w:val="005F0825"/>
    <w:rsid w:val="005F44D1"/>
    <w:rsid w:val="006053F3"/>
    <w:rsid w:val="006104D3"/>
    <w:rsid w:val="00610BDA"/>
    <w:rsid w:val="006119F8"/>
    <w:rsid w:val="00611B90"/>
    <w:rsid w:val="006126DB"/>
    <w:rsid w:val="006127F3"/>
    <w:rsid w:val="00612B46"/>
    <w:rsid w:val="006130B9"/>
    <w:rsid w:val="00613417"/>
    <w:rsid w:val="00614E37"/>
    <w:rsid w:val="00621129"/>
    <w:rsid w:val="00621AA7"/>
    <w:rsid w:val="0062342D"/>
    <w:rsid w:val="006278D0"/>
    <w:rsid w:val="00630770"/>
    <w:rsid w:val="00633916"/>
    <w:rsid w:val="00634775"/>
    <w:rsid w:val="00641D2B"/>
    <w:rsid w:val="006465E8"/>
    <w:rsid w:val="0064742B"/>
    <w:rsid w:val="00651694"/>
    <w:rsid w:val="00651E4E"/>
    <w:rsid w:val="00652687"/>
    <w:rsid w:val="006602AA"/>
    <w:rsid w:val="00662D3E"/>
    <w:rsid w:val="00663951"/>
    <w:rsid w:val="00663D98"/>
    <w:rsid w:val="00665C7E"/>
    <w:rsid w:val="00667737"/>
    <w:rsid w:val="006718E9"/>
    <w:rsid w:val="00672DDD"/>
    <w:rsid w:val="00672E40"/>
    <w:rsid w:val="00675653"/>
    <w:rsid w:val="00676C91"/>
    <w:rsid w:val="00676D5E"/>
    <w:rsid w:val="00677427"/>
    <w:rsid w:val="00682D93"/>
    <w:rsid w:val="00684033"/>
    <w:rsid w:val="006858A9"/>
    <w:rsid w:val="0068659D"/>
    <w:rsid w:val="00690B77"/>
    <w:rsid w:val="0069259B"/>
    <w:rsid w:val="00692BED"/>
    <w:rsid w:val="00695811"/>
    <w:rsid w:val="00695AB5"/>
    <w:rsid w:val="006970AD"/>
    <w:rsid w:val="006A19EF"/>
    <w:rsid w:val="006A2D7B"/>
    <w:rsid w:val="006A3F57"/>
    <w:rsid w:val="006A45E8"/>
    <w:rsid w:val="006A4F48"/>
    <w:rsid w:val="006A6CA7"/>
    <w:rsid w:val="006A7889"/>
    <w:rsid w:val="006B091E"/>
    <w:rsid w:val="006B0E24"/>
    <w:rsid w:val="006B1A10"/>
    <w:rsid w:val="006B3751"/>
    <w:rsid w:val="006C0D23"/>
    <w:rsid w:val="006C4000"/>
    <w:rsid w:val="006C5378"/>
    <w:rsid w:val="006C5E8D"/>
    <w:rsid w:val="006C621F"/>
    <w:rsid w:val="006D06AA"/>
    <w:rsid w:val="006D0CA9"/>
    <w:rsid w:val="006D471C"/>
    <w:rsid w:val="006D59E8"/>
    <w:rsid w:val="006E089F"/>
    <w:rsid w:val="006E15A0"/>
    <w:rsid w:val="006E209F"/>
    <w:rsid w:val="006E26CB"/>
    <w:rsid w:val="006E316F"/>
    <w:rsid w:val="006E56E8"/>
    <w:rsid w:val="006E5B01"/>
    <w:rsid w:val="006E7589"/>
    <w:rsid w:val="006E7E5A"/>
    <w:rsid w:val="006F22B8"/>
    <w:rsid w:val="006F57CF"/>
    <w:rsid w:val="006F58F8"/>
    <w:rsid w:val="006F5AA4"/>
    <w:rsid w:val="00703938"/>
    <w:rsid w:val="00703FC5"/>
    <w:rsid w:val="007052A4"/>
    <w:rsid w:val="00705D10"/>
    <w:rsid w:val="00706E10"/>
    <w:rsid w:val="00711200"/>
    <w:rsid w:val="007116D2"/>
    <w:rsid w:val="00712A49"/>
    <w:rsid w:val="0071689F"/>
    <w:rsid w:val="007168FF"/>
    <w:rsid w:val="00716D12"/>
    <w:rsid w:val="00717332"/>
    <w:rsid w:val="00721AD9"/>
    <w:rsid w:val="0072397F"/>
    <w:rsid w:val="00723FED"/>
    <w:rsid w:val="0072414D"/>
    <w:rsid w:val="00724843"/>
    <w:rsid w:val="00726530"/>
    <w:rsid w:val="00727250"/>
    <w:rsid w:val="00727861"/>
    <w:rsid w:val="00731922"/>
    <w:rsid w:val="00731ACB"/>
    <w:rsid w:val="00731E17"/>
    <w:rsid w:val="0073356E"/>
    <w:rsid w:val="007350C2"/>
    <w:rsid w:val="007368AD"/>
    <w:rsid w:val="0074133D"/>
    <w:rsid w:val="00745DF6"/>
    <w:rsid w:val="00746509"/>
    <w:rsid w:val="0075196D"/>
    <w:rsid w:val="00751A97"/>
    <w:rsid w:val="00752236"/>
    <w:rsid w:val="0075558C"/>
    <w:rsid w:val="00755D68"/>
    <w:rsid w:val="00755E1A"/>
    <w:rsid w:val="00757237"/>
    <w:rsid w:val="00761EFA"/>
    <w:rsid w:val="00764456"/>
    <w:rsid w:val="00764873"/>
    <w:rsid w:val="007674D6"/>
    <w:rsid w:val="0076778D"/>
    <w:rsid w:val="00770853"/>
    <w:rsid w:val="00772213"/>
    <w:rsid w:val="00774F02"/>
    <w:rsid w:val="00776A9C"/>
    <w:rsid w:val="007778DD"/>
    <w:rsid w:val="007808CE"/>
    <w:rsid w:val="0078536C"/>
    <w:rsid w:val="00787617"/>
    <w:rsid w:val="007901E6"/>
    <w:rsid w:val="007903EA"/>
    <w:rsid w:val="00790761"/>
    <w:rsid w:val="00791DE5"/>
    <w:rsid w:val="007936F2"/>
    <w:rsid w:val="00793BEB"/>
    <w:rsid w:val="00794277"/>
    <w:rsid w:val="00794DD0"/>
    <w:rsid w:val="00795418"/>
    <w:rsid w:val="00796693"/>
    <w:rsid w:val="00797FB7"/>
    <w:rsid w:val="007A0F41"/>
    <w:rsid w:val="007A2A8A"/>
    <w:rsid w:val="007A38C3"/>
    <w:rsid w:val="007A46E0"/>
    <w:rsid w:val="007A537A"/>
    <w:rsid w:val="007A5984"/>
    <w:rsid w:val="007B0DB0"/>
    <w:rsid w:val="007B237F"/>
    <w:rsid w:val="007B4889"/>
    <w:rsid w:val="007B739A"/>
    <w:rsid w:val="007B74BC"/>
    <w:rsid w:val="007C3151"/>
    <w:rsid w:val="007C61E6"/>
    <w:rsid w:val="007C6529"/>
    <w:rsid w:val="007C7591"/>
    <w:rsid w:val="007D0D3B"/>
    <w:rsid w:val="007D1C7E"/>
    <w:rsid w:val="007D5CD5"/>
    <w:rsid w:val="007D682B"/>
    <w:rsid w:val="007D6AA6"/>
    <w:rsid w:val="007D6D8D"/>
    <w:rsid w:val="007E0C41"/>
    <w:rsid w:val="007E29DD"/>
    <w:rsid w:val="007E75B4"/>
    <w:rsid w:val="007E7CB5"/>
    <w:rsid w:val="007F25A0"/>
    <w:rsid w:val="007F4296"/>
    <w:rsid w:val="007F6AE9"/>
    <w:rsid w:val="007F79C4"/>
    <w:rsid w:val="008013B9"/>
    <w:rsid w:val="00804D87"/>
    <w:rsid w:val="008050CC"/>
    <w:rsid w:val="00812304"/>
    <w:rsid w:val="00815D74"/>
    <w:rsid w:val="00816BB7"/>
    <w:rsid w:val="00820F33"/>
    <w:rsid w:val="008218B9"/>
    <w:rsid w:val="00824DEA"/>
    <w:rsid w:val="00825933"/>
    <w:rsid w:val="008261D0"/>
    <w:rsid w:val="00826D54"/>
    <w:rsid w:val="00827D0B"/>
    <w:rsid w:val="00831534"/>
    <w:rsid w:val="008316E4"/>
    <w:rsid w:val="008329FB"/>
    <w:rsid w:val="008344BA"/>
    <w:rsid w:val="00834CBF"/>
    <w:rsid w:val="00835ACD"/>
    <w:rsid w:val="00836F89"/>
    <w:rsid w:val="00837198"/>
    <w:rsid w:val="0084009E"/>
    <w:rsid w:val="00840159"/>
    <w:rsid w:val="00840FB5"/>
    <w:rsid w:val="008424BF"/>
    <w:rsid w:val="0084562B"/>
    <w:rsid w:val="00846459"/>
    <w:rsid w:val="0084651D"/>
    <w:rsid w:val="008506DD"/>
    <w:rsid w:val="00851CE2"/>
    <w:rsid w:val="008527AC"/>
    <w:rsid w:val="008534C9"/>
    <w:rsid w:val="008536F4"/>
    <w:rsid w:val="00853EEA"/>
    <w:rsid w:val="008560A3"/>
    <w:rsid w:val="0085757D"/>
    <w:rsid w:val="00857937"/>
    <w:rsid w:val="00857AFB"/>
    <w:rsid w:val="00857E75"/>
    <w:rsid w:val="00860D70"/>
    <w:rsid w:val="00863435"/>
    <w:rsid w:val="00864954"/>
    <w:rsid w:val="00865D59"/>
    <w:rsid w:val="00867487"/>
    <w:rsid w:val="008678AF"/>
    <w:rsid w:val="00867AA7"/>
    <w:rsid w:val="00871A27"/>
    <w:rsid w:val="00872827"/>
    <w:rsid w:val="0087349A"/>
    <w:rsid w:val="008742A9"/>
    <w:rsid w:val="008749A6"/>
    <w:rsid w:val="0087532D"/>
    <w:rsid w:val="0087589E"/>
    <w:rsid w:val="008778E5"/>
    <w:rsid w:val="00881B56"/>
    <w:rsid w:val="00881F2F"/>
    <w:rsid w:val="008828DC"/>
    <w:rsid w:val="008828EF"/>
    <w:rsid w:val="00883C8C"/>
    <w:rsid w:val="00884EE0"/>
    <w:rsid w:val="008851D6"/>
    <w:rsid w:val="00885C16"/>
    <w:rsid w:val="008865B6"/>
    <w:rsid w:val="00890F5A"/>
    <w:rsid w:val="008933BF"/>
    <w:rsid w:val="008956A4"/>
    <w:rsid w:val="00895DF4"/>
    <w:rsid w:val="008A1954"/>
    <w:rsid w:val="008A7971"/>
    <w:rsid w:val="008B0A19"/>
    <w:rsid w:val="008B1A4D"/>
    <w:rsid w:val="008B1E7E"/>
    <w:rsid w:val="008B26F5"/>
    <w:rsid w:val="008B32C6"/>
    <w:rsid w:val="008B4769"/>
    <w:rsid w:val="008B6121"/>
    <w:rsid w:val="008C4A3A"/>
    <w:rsid w:val="008C68CD"/>
    <w:rsid w:val="008C7AA2"/>
    <w:rsid w:val="008D0A54"/>
    <w:rsid w:val="008D1327"/>
    <w:rsid w:val="008D2003"/>
    <w:rsid w:val="008D589C"/>
    <w:rsid w:val="008D5986"/>
    <w:rsid w:val="008D694A"/>
    <w:rsid w:val="008E2480"/>
    <w:rsid w:val="008E6F0E"/>
    <w:rsid w:val="008E7085"/>
    <w:rsid w:val="008F1F0C"/>
    <w:rsid w:val="008F24C1"/>
    <w:rsid w:val="008F60C3"/>
    <w:rsid w:val="009008EC"/>
    <w:rsid w:val="009015E0"/>
    <w:rsid w:val="00904969"/>
    <w:rsid w:val="0090662C"/>
    <w:rsid w:val="00914086"/>
    <w:rsid w:val="00916837"/>
    <w:rsid w:val="00916ADF"/>
    <w:rsid w:val="009254D6"/>
    <w:rsid w:val="0092669B"/>
    <w:rsid w:val="009272F2"/>
    <w:rsid w:val="009310DB"/>
    <w:rsid w:val="0093163E"/>
    <w:rsid w:val="00931691"/>
    <w:rsid w:val="00936436"/>
    <w:rsid w:val="00941726"/>
    <w:rsid w:val="009421B8"/>
    <w:rsid w:val="0094221F"/>
    <w:rsid w:val="009436C3"/>
    <w:rsid w:val="009471C4"/>
    <w:rsid w:val="0095638F"/>
    <w:rsid w:val="00960CE6"/>
    <w:rsid w:val="00961ECC"/>
    <w:rsid w:val="009663A3"/>
    <w:rsid w:val="00966BAC"/>
    <w:rsid w:val="0097017F"/>
    <w:rsid w:val="00971E02"/>
    <w:rsid w:val="009729FE"/>
    <w:rsid w:val="00975E37"/>
    <w:rsid w:val="00977F92"/>
    <w:rsid w:val="00980C3D"/>
    <w:rsid w:val="00981FE0"/>
    <w:rsid w:val="00983CB4"/>
    <w:rsid w:val="009844AE"/>
    <w:rsid w:val="00987ACD"/>
    <w:rsid w:val="00990D86"/>
    <w:rsid w:val="009927DA"/>
    <w:rsid w:val="0099281C"/>
    <w:rsid w:val="009937E0"/>
    <w:rsid w:val="0099498C"/>
    <w:rsid w:val="009A02F9"/>
    <w:rsid w:val="009A0399"/>
    <w:rsid w:val="009A138B"/>
    <w:rsid w:val="009A167A"/>
    <w:rsid w:val="009A26E4"/>
    <w:rsid w:val="009A2ABE"/>
    <w:rsid w:val="009A3CA6"/>
    <w:rsid w:val="009A40D2"/>
    <w:rsid w:val="009A6A2F"/>
    <w:rsid w:val="009A732C"/>
    <w:rsid w:val="009A75E1"/>
    <w:rsid w:val="009B0E78"/>
    <w:rsid w:val="009B25FB"/>
    <w:rsid w:val="009B2AB6"/>
    <w:rsid w:val="009B4512"/>
    <w:rsid w:val="009B453E"/>
    <w:rsid w:val="009B564E"/>
    <w:rsid w:val="009B5EA7"/>
    <w:rsid w:val="009B7FF5"/>
    <w:rsid w:val="009C1DA6"/>
    <w:rsid w:val="009C209D"/>
    <w:rsid w:val="009C3005"/>
    <w:rsid w:val="009C3518"/>
    <w:rsid w:val="009C4B78"/>
    <w:rsid w:val="009C5778"/>
    <w:rsid w:val="009C5B2E"/>
    <w:rsid w:val="009C6EA9"/>
    <w:rsid w:val="009C755C"/>
    <w:rsid w:val="009C780F"/>
    <w:rsid w:val="009D345E"/>
    <w:rsid w:val="009D3693"/>
    <w:rsid w:val="009D4867"/>
    <w:rsid w:val="009D5F4E"/>
    <w:rsid w:val="009D794C"/>
    <w:rsid w:val="009E0980"/>
    <w:rsid w:val="009E2A9A"/>
    <w:rsid w:val="009E427F"/>
    <w:rsid w:val="009E4468"/>
    <w:rsid w:val="009F24AB"/>
    <w:rsid w:val="009F2DA2"/>
    <w:rsid w:val="009F3861"/>
    <w:rsid w:val="009F7F73"/>
    <w:rsid w:val="00A013D8"/>
    <w:rsid w:val="00A01487"/>
    <w:rsid w:val="00A02748"/>
    <w:rsid w:val="00A03EA8"/>
    <w:rsid w:val="00A13A6B"/>
    <w:rsid w:val="00A13DD3"/>
    <w:rsid w:val="00A14641"/>
    <w:rsid w:val="00A216EA"/>
    <w:rsid w:val="00A22A3B"/>
    <w:rsid w:val="00A22A7F"/>
    <w:rsid w:val="00A23B8E"/>
    <w:rsid w:val="00A25353"/>
    <w:rsid w:val="00A31757"/>
    <w:rsid w:val="00A31EC0"/>
    <w:rsid w:val="00A34F5F"/>
    <w:rsid w:val="00A369C8"/>
    <w:rsid w:val="00A41A5E"/>
    <w:rsid w:val="00A429AD"/>
    <w:rsid w:val="00A42F33"/>
    <w:rsid w:val="00A460EC"/>
    <w:rsid w:val="00A46A68"/>
    <w:rsid w:val="00A50EE9"/>
    <w:rsid w:val="00A50F5A"/>
    <w:rsid w:val="00A524B4"/>
    <w:rsid w:val="00A52A39"/>
    <w:rsid w:val="00A52E5F"/>
    <w:rsid w:val="00A548DA"/>
    <w:rsid w:val="00A55F84"/>
    <w:rsid w:val="00A56050"/>
    <w:rsid w:val="00A6059E"/>
    <w:rsid w:val="00A63345"/>
    <w:rsid w:val="00A6504A"/>
    <w:rsid w:val="00A665C5"/>
    <w:rsid w:val="00A6681A"/>
    <w:rsid w:val="00A71B3F"/>
    <w:rsid w:val="00A7203D"/>
    <w:rsid w:val="00A72FB0"/>
    <w:rsid w:val="00A746DE"/>
    <w:rsid w:val="00A74D29"/>
    <w:rsid w:val="00A76162"/>
    <w:rsid w:val="00A76C65"/>
    <w:rsid w:val="00A81934"/>
    <w:rsid w:val="00A82014"/>
    <w:rsid w:val="00A8280F"/>
    <w:rsid w:val="00A82B6A"/>
    <w:rsid w:val="00A847CB"/>
    <w:rsid w:val="00A85298"/>
    <w:rsid w:val="00A86619"/>
    <w:rsid w:val="00A86F48"/>
    <w:rsid w:val="00A87B02"/>
    <w:rsid w:val="00A92035"/>
    <w:rsid w:val="00A933D0"/>
    <w:rsid w:val="00A979FE"/>
    <w:rsid w:val="00AA0490"/>
    <w:rsid w:val="00AA3E0C"/>
    <w:rsid w:val="00AA51B0"/>
    <w:rsid w:val="00AA53CF"/>
    <w:rsid w:val="00AA5D80"/>
    <w:rsid w:val="00AB057B"/>
    <w:rsid w:val="00AB197B"/>
    <w:rsid w:val="00AB213E"/>
    <w:rsid w:val="00AB23E1"/>
    <w:rsid w:val="00AB308C"/>
    <w:rsid w:val="00AB3776"/>
    <w:rsid w:val="00AB4126"/>
    <w:rsid w:val="00AB4142"/>
    <w:rsid w:val="00AB4C96"/>
    <w:rsid w:val="00AB59A0"/>
    <w:rsid w:val="00AB6429"/>
    <w:rsid w:val="00AB645D"/>
    <w:rsid w:val="00AB6E53"/>
    <w:rsid w:val="00AC17C0"/>
    <w:rsid w:val="00AC199B"/>
    <w:rsid w:val="00AC24BF"/>
    <w:rsid w:val="00AC5AE7"/>
    <w:rsid w:val="00AC715E"/>
    <w:rsid w:val="00AD0A33"/>
    <w:rsid w:val="00AD31BE"/>
    <w:rsid w:val="00AD5DC4"/>
    <w:rsid w:val="00AE0982"/>
    <w:rsid w:val="00AE0CE2"/>
    <w:rsid w:val="00AE2CBB"/>
    <w:rsid w:val="00AE3F6A"/>
    <w:rsid w:val="00AE7F45"/>
    <w:rsid w:val="00AF08A9"/>
    <w:rsid w:val="00AF19D4"/>
    <w:rsid w:val="00AF1D3E"/>
    <w:rsid w:val="00AF2AD1"/>
    <w:rsid w:val="00AF2F6B"/>
    <w:rsid w:val="00AF4BA4"/>
    <w:rsid w:val="00AF4D0C"/>
    <w:rsid w:val="00B01B06"/>
    <w:rsid w:val="00B020A2"/>
    <w:rsid w:val="00B02B96"/>
    <w:rsid w:val="00B030BF"/>
    <w:rsid w:val="00B03A06"/>
    <w:rsid w:val="00B03CD8"/>
    <w:rsid w:val="00B05665"/>
    <w:rsid w:val="00B0579E"/>
    <w:rsid w:val="00B0673B"/>
    <w:rsid w:val="00B07524"/>
    <w:rsid w:val="00B078F6"/>
    <w:rsid w:val="00B10475"/>
    <w:rsid w:val="00B10A58"/>
    <w:rsid w:val="00B10BAE"/>
    <w:rsid w:val="00B113E7"/>
    <w:rsid w:val="00B11F2D"/>
    <w:rsid w:val="00B14DF2"/>
    <w:rsid w:val="00B1687B"/>
    <w:rsid w:val="00B16B21"/>
    <w:rsid w:val="00B20966"/>
    <w:rsid w:val="00B24457"/>
    <w:rsid w:val="00B26A07"/>
    <w:rsid w:val="00B27A3D"/>
    <w:rsid w:val="00B32474"/>
    <w:rsid w:val="00B35B7C"/>
    <w:rsid w:val="00B35E9C"/>
    <w:rsid w:val="00B36790"/>
    <w:rsid w:val="00B401C3"/>
    <w:rsid w:val="00B4097B"/>
    <w:rsid w:val="00B41C2D"/>
    <w:rsid w:val="00B421FD"/>
    <w:rsid w:val="00B4454E"/>
    <w:rsid w:val="00B4752F"/>
    <w:rsid w:val="00B52180"/>
    <w:rsid w:val="00B53C15"/>
    <w:rsid w:val="00B53E43"/>
    <w:rsid w:val="00B5406A"/>
    <w:rsid w:val="00B552C2"/>
    <w:rsid w:val="00B56212"/>
    <w:rsid w:val="00B62462"/>
    <w:rsid w:val="00B639A3"/>
    <w:rsid w:val="00B65CC5"/>
    <w:rsid w:val="00B67611"/>
    <w:rsid w:val="00B72291"/>
    <w:rsid w:val="00B73192"/>
    <w:rsid w:val="00B73B35"/>
    <w:rsid w:val="00B7746D"/>
    <w:rsid w:val="00B81027"/>
    <w:rsid w:val="00B819A9"/>
    <w:rsid w:val="00B831DE"/>
    <w:rsid w:val="00B90095"/>
    <w:rsid w:val="00B90452"/>
    <w:rsid w:val="00B93DE7"/>
    <w:rsid w:val="00B96339"/>
    <w:rsid w:val="00B97D24"/>
    <w:rsid w:val="00BA4751"/>
    <w:rsid w:val="00BA7092"/>
    <w:rsid w:val="00BA7201"/>
    <w:rsid w:val="00BB134B"/>
    <w:rsid w:val="00BB1DD4"/>
    <w:rsid w:val="00BB2C13"/>
    <w:rsid w:val="00BB31DB"/>
    <w:rsid w:val="00BB5518"/>
    <w:rsid w:val="00BB6E3D"/>
    <w:rsid w:val="00BC0AA6"/>
    <w:rsid w:val="00BC0B8B"/>
    <w:rsid w:val="00BC2E21"/>
    <w:rsid w:val="00BC2E52"/>
    <w:rsid w:val="00BC3A8E"/>
    <w:rsid w:val="00BC777B"/>
    <w:rsid w:val="00BD2513"/>
    <w:rsid w:val="00BD2CC6"/>
    <w:rsid w:val="00BD3467"/>
    <w:rsid w:val="00BD3522"/>
    <w:rsid w:val="00BD3CC9"/>
    <w:rsid w:val="00BD43E6"/>
    <w:rsid w:val="00BD6CF2"/>
    <w:rsid w:val="00BD7FEA"/>
    <w:rsid w:val="00BE11D6"/>
    <w:rsid w:val="00BE451C"/>
    <w:rsid w:val="00BE5478"/>
    <w:rsid w:val="00BF020F"/>
    <w:rsid w:val="00BF1114"/>
    <w:rsid w:val="00BF2546"/>
    <w:rsid w:val="00BF52A9"/>
    <w:rsid w:val="00BF642C"/>
    <w:rsid w:val="00BF6556"/>
    <w:rsid w:val="00C00615"/>
    <w:rsid w:val="00C03506"/>
    <w:rsid w:val="00C04103"/>
    <w:rsid w:val="00C0435B"/>
    <w:rsid w:val="00C051C9"/>
    <w:rsid w:val="00C0716E"/>
    <w:rsid w:val="00C0799A"/>
    <w:rsid w:val="00C07E82"/>
    <w:rsid w:val="00C07EFE"/>
    <w:rsid w:val="00C10D5A"/>
    <w:rsid w:val="00C118BD"/>
    <w:rsid w:val="00C11D0D"/>
    <w:rsid w:val="00C129F0"/>
    <w:rsid w:val="00C130A2"/>
    <w:rsid w:val="00C14B6E"/>
    <w:rsid w:val="00C15F82"/>
    <w:rsid w:val="00C21B8C"/>
    <w:rsid w:val="00C21E97"/>
    <w:rsid w:val="00C24136"/>
    <w:rsid w:val="00C2470D"/>
    <w:rsid w:val="00C2494C"/>
    <w:rsid w:val="00C249CD"/>
    <w:rsid w:val="00C25615"/>
    <w:rsid w:val="00C25F72"/>
    <w:rsid w:val="00C26544"/>
    <w:rsid w:val="00C30D4F"/>
    <w:rsid w:val="00C31CD0"/>
    <w:rsid w:val="00C329A9"/>
    <w:rsid w:val="00C40EFF"/>
    <w:rsid w:val="00C42710"/>
    <w:rsid w:val="00C45785"/>
    <w:rsid w:val="00C45A63"/>
    <w:rsid w:val="00C4678F"/>
    <w:rsid w:val="00C47354"/>
    <w:rsid w:val="00C50028"/>
    <w:rsid w:val="00C509C3"/>
    <w:rsid w:val="00C50A17"/>
    <w:rsid w:val="00C52F8B"/>
    <w:rsid w:val="00C53312"/>
    <w:rsid w:val="00C53A02"/>
    <w:rsid w:val="00C53F0F"/>
    <w:rsid w:val="00C56E95"/>
    <w:rsid w:val="00C56F4A"/>
    <w:rsid w:val="00C57361"/>
    <w:rsid w:val="00C60244"/>
    <w:rsid w:val="00C619EA"/>
    <w:rsid w:val="00C6690C"/>
    <w:rsid w:val="00C6740E"/>
    <w:rsid w:val="00C706D0"/>
    <w:rsid w:val="00C70EAE"/>
    <w:rsid w:val="00C7255D"/>
    <w:rsid w:val="00C72974"/>
    <w:rsid w:val="00C72AE3"/>
    <w:rsid w:val="00C75C87"/>
    <w:rsid w:val="00C75CE9"/>
    <w:rsid w:val="00C7793E"/>
    <w:rsid w:val="00C807AA"/>
    <w:rsid w:val="00C8281A"/>
    <w:rsid w:val="00C83B65"/>
    <w:rsid w:val="00C84BFA"/>
    <w:rsid w:val="00C86440"/>
    <w:rsid w:val="00C925BC"/>
    <w:rsid w:val="00C93744"/>
    <w:rsid w:val="00C94160"/>
    <w:rsid w:val="00CA0908"/>
    <w:rsid w:val="00CA0B12"/>
    <w:rsid w:val="00CA587B"/>
    <w:rsid w:val="00CA5F48"/>
    <w:rsid w:val="00CA7912"/>
    <w:rsid w:val="00CB0292"/>
    <w:rsid w:val="00CB403C"/>
    <w:rsid w:val="00CB4175"/>
    <w:rsid w:val="00CB45F0"/>
    <w:rsid w:val="00CB664A"/>
    <w:rsid w:val="00CB6A7E"/>
    <w:rsid w:val="00CB6CF8"/>
    <w:rsid w:val="00CB6E26"/>
    <w:rsid w:val="00CC00DE"/>
    <w:rsid w:val="00CC26EC"/>
    <w:rsid w:val="00CD18BC"/>
    <w:rsid w:val="00CD2B00"/>
    <w:rsid w:val="00CD418D"/>
    <w:rsid w:val="00CD50B5"/>
    <w:rsid w:val="00CD73A9"/>
    <w:rsid w:val="00CE0241"/>
    <w:rsid w:val="00CE08FD"/>
    <w:rsid w:val="00CE27C8"/>
    <w:rsid w:val="00CE3A3E"/>
    <w:rsid w:val="00CE4CA2"/>
    <w:rsid w:val="00CE4D4B"/>
    <w:rsid w:val="00CE53F7"/>
    <w:rsid w:val="00CE6D58"/>
    <w:rsid w:val="00CF20F2"/>
    <w:rsid w:val="00CF45B5"/>
    <w:rsid w:val="00CF6A5A"/>
    <w:rsid w:val="00CF77CF"/>
    <w:rsid w:val="00CF7CFB"/>
    <w:rsid w:val="00D000D3"/>
    <w:rsid w:val="00D011F1"/>
    <w:rsid w:val="00D018B2"/>
    <w:rsid w:val="00D02EB2"/>
    <w:rsid w:val="00D04645"/>
    <w:rsid w:val="00D04B38"/>
    <w:rsid w:val="00D06F12"/>
    <w:rsid w:val="00D075B9"/>
    <w:rsid w:val="00D21EF3"/>
    <w:rsid w:val="00D223D7"/>
    <w:rsid w:val="00D230F5"/>
    <w:rsid w:val="00D23AEA"/>
    <w:rsid w:val="00D24372"/>
    <w:rsid w:val="00D261F2"/>
    <w:rsid w:val="00D262C5"/>
    <w:rsid w:val="00D26704"/>
    <w:rsid w:val="00D329CB"/>
    <w:rsid w:val="00D32E84"/>
    <w:rsid w:val="00D3379C"/>
    <w:rsid w:val="00D34FA6"/>
    <w:rsid w:val="00D350AC"/>
    <w:rsid w:val="00D37CBE"/>
    <w:rsid w:val="00D41205"/>
    <w:rsid w:val="00D42DD1"/>
    <w:rsid w:val="00D432A5"/>
    <w:rsid w:val="00D43E84"/>
    <w:rsid w:val="00D44960"/>
    <w:rsid w:val="00D46790"/>
    <w:rsid w:val="00D46DA4"/>
    <w:rsid w:val="00D46EA9"/>
    <w:rsid w:val="00D47860"/>
    <w:rsid w:val="00D47A91"/>
    <w:rsid w:val="00D50BE9"/>
    <w:rsid w:val="00D533AD"/>
    <w:rsid w:val="00D5481E"/>
    <w:rsid w:val="00D57CE8"/>
    <w:rsid w:val="00D601A7"/>
    <w:rsid w:val="00D60C91"/>
    <w:rsid w:val="00D619E4"/>
    <w:rsid w:val="00D62081"/>
    <w:rsid w:val="00D630BC"/>
    <w:rsid w:val="00D6504C"/>
    <w:rsid w:val="00D72242"/>
    <w:rsid w:val="00D73F4D"/>
    <w:rsid w:val="00D74407"/>
    <w:rsid w:val="00D77AE1"/>
    <w:rsid w:val="00D80587"/>
    <w:rsid w:val="00D80C2C"/>
    <w:rsid w:val="00D81FA4"/>
    <w:rsid w:val="00D82229"/>
    <w:rsid w:val="00D82E57"/>
    <w:rsid w:val="00D84614"/>
    <w:rsid w:val="00D850AF"/>
    <w:rsid w:val="00D91C27"/>
    <w:rsid w:val="00D9290E"/>
    <w:rsid w:val="00D968DA"/>
    <w:rsid w:val="00DA1284"/>
    <w:rsid w:val="00DA52C0"/>
    <w:rsid w:val="00DB200C"/>
    <w:rsid w:val="00DB291F"/>
    <w:rsid w:val="00DB29D3"/>
    <w:rsid w:val="00DB6C6A"/>
    <w:rsid w:val="00DC2A89"/>
    <w:rsid w:val="00DC2C87"/>
    <w:rsid w:val="00DC364A"/>
    <w:rsid w:val="00DC50EC"/>
    <w:rsid w:val="00DC5925"/>
    <w:rsid w:val="00DC60FA"/>
    <w:rsid w:val="00DC6833"/>
    <w:rsid w:val="00DD00DE"/>
    <w:rsid w:val="00DD3533"/>
    <w:rsid w:val="00DD398B"/>
    <w:rsid w:val="00DD4F14"/>
    <w:rsid w:val="00DE23A4"/>
    <w:rsid w:val="00DE23AF"/>
    <w:rsid w:val="00DE5781"/>
    <w:rsid w:val="00DF2133"/>
    <w:rsid w:val="00DF227A"/>
    <w:rsid w:val="00DF3B9A"/>
    <w:rsid w:val="00E0175F"/>
    <w:rsid w:val="00E07CC9"/>
    <w:rsid w:val="00E10E39"/>
    <w:rsid w:val="00E124CA"/>
    <w:rsid w:val="00E1439D"/>
    <w:rsid w:val="00E155AE"/>
    <w:rsid w:val="00E15BB3"/>
    <w:rsid w:val="00E172C8"/>
    <w:rsid w:val="00E17598"/>
    <w:rsid w:val="00E208E2"/>
    <w:rsid w:val="00E20A25"/>
    <w:rsid w:val="00E24F36"/>
    <w:rsid w:val="00E25466"/>
    <w:rsid w:val="00E26BDA"/>
    <w:rsid w:val="00E300E4"/>
    <w:rsid w:val="00E3537A"/>
    <w:rsid w:val="00E44854"/>
    <w:rsid w:val="00E44A85"/>
    <w:rsid w:val="00E459DC"/>
    <w:rsid w:val="00E46586"/>
    <w:rsid w:val="00E476C8"/>
    <w:rsid w:val="00E50AB1"/>
    <w:rsid w:val="00E51E31"/>
    <w:rsid w:val="00E53D6C"/>
    <w:rsid w:val="00E55FB0"/>
    <w:rsid w:val="00E57769"/>
    <w:rsid w:val="00E579B9"/>
    <w:rsid w:val="00E6033C"/>
    <w:rsid w:val="00E633BE"/>
    <w:rsid w:val="00E64157"/>
    <w:rsid w:val="00E65936"/>
    <w:rsid w:val="00E67997"/>
    <w:rsid w:val="00E71D7C"/>
    <w:rsid w:val="00E71F55"/>
    <w:rsid w:val="00E742FA"/>
    <w:rsid w:val="00E7448A"/>
    <w:rsid w:val="00E76047"/>
    <w:rsid w:val="00E76621"/>
    <w:rsid w:val="00E76E3D"/>
    <w:rsid w:val="00E81038"/>
    <w:rsid w:val="00E81293"/>
    <w:rsid w:val="00E8157D"/>
    <w:rsid w:val="00E8165C"/>
    <w:rsid w:val="00E82BD1"/>
    <w:rsid w:val="00E84D34"/>
    <w:rsid w:val="00E913AC"/>
    <w:rsid w:val="00E941E8"/>
    <w:rsid w:val="00E94A5D"/>
    <w:rsid w:val="00E952C7"/>
    <w:rsid w:val="00E96C6D"/>
    <w:rsid w:val="00E97E5E"/>
    <w:rsid w:val="00EA4113"/>
    <w:rsid w:val="00EA464C"/>
    <w:rsid w:val="00EA5199"/>
    <w:rsid w:val="00EA5C4F"/>
    <w:rsid w:val="00EA7302"/>
    <w:rsid w:val="00EB64EC"/>
    <w:rsid w:val="00EB6A1E"/>
    <w:rsid w:val="00EB75C3"/>
    <w:rsid w:val="00EC5651"/>
    <w:rsid w:val="00EC6A02"/>
    <w:rsid w:val="00ED1197"/>
    <w:rsid w:val="00ED1FCE"/>
    <w:rsid w:val="00ED3348"/>
    <w:rsid w:val="00ED3754"/>
    <w:rsid w:val="00ED7A05"/>
    <w:rsid w:val="00EE038F"/>
    <w:rsid w:val="00EE1209"/>
    <w:rsid w:val="00EE157A"/>
    <w:rsid w:val="00EE223C"/>
    <w:rsid w:val="00EE2586"/>
    <w:rsid w:val="00EE2840"/>
    <w:rsid w:val="00EE334C"/>
    <w:rsid w:val="00EE4383"/>
    <w:rsid w:val="00EE4776"/>
    <w:rsid w:val="00EE6717"/>
    <w:rsid w:val="00EE6F3B"/>
    <w:rsid w:val="00EF4E49"/>
    <w:rsid w:val="00EF7DCA"/>
    <w:rsid w:val="00F01773"/>
    <w:rsid w:val="00F02153"/>
    <w:rsid w:val="00F030AA"/>
    <w:rsid w:val="00F03D5E"/>
    <w:rsid w:val="00F050BD"/>
    <w:rsid w:val="00F051EC"/>
    <w:rsid w:val="00F058DF"/>
    <w:rsid w:val="00F063AE"/>
    <w:rsid w:val="00F06840"/>
    <w:rsid w:val="00F06B30"/>
    <w:rsid w:val="00F10C92"/>
    <w:rsid w:val="00F1111F"/>
    <w:rsid w:val="00F116BA"/>
    <w:rsid w:val="00F124F1"/>
    <w:rsid w:val="00F15675"/>
    <w:rsid w:val="00F15768"/>
    <w:rsid w:val="00F17B80"/>
    <w:rsid w:val="00F17D72"/>
    <w:rsid w:val="00F21250"/>
    <w:rsid w:val="00F225E1"/>
    <w:rsid w:val="00F2398D"/>
    <w:rsid w:val="00F23D46"/>
    <w:rsid w:val="00F25383"/>
    <w:rsid w:val="00F26C23"/>
    <w:rsid w:val="00F278DC"/>
    <w:rsid w:val="00F33518"/>
    <w:rsid w:val="00F40135"/>
    <w:rsid w:val="00F407AC"/>
    <w:rsid w:val="00F42D99"/>
    <w:rsid w:val="00F43F84"/>
    <w:rsid w:val="00F44489"/>
    <w:rsid w:val="00F47295"/>
    <w:rsid w:val="00F50577"/>
    <w:rsid w:val="00F50B1D"/>
    <w:rsid w:val="00F51A03"/>
    <w:rsid w:val="00F5289C"/>
    <w:rsid w:val="00F53FE5"/>
    <w:rsid w:val="00F548EF"/>
    <w:rsid w:val="00F5587E"/>
    <w:rsid w:val="00F6240F"/>
    <w:rsid w:val="00F634A3"/>
    <w:rsid w:val="00F6722F"/>
    <w:rsid w:val="00F70716"/>
    <w:rsid w:val="00F710F9"/>
    <w:rsid w:val="00F71ADC"/>
    <w:rsid w:val="00F757C7"/>
    <w:rsid w:val="00F7620F"/>
    <w:rsid w:val="00F76F05"/>
    <w:rsid w:val="00F77805"/>
    <w:rsid w:val="00F77C11"/>
    <w:rsid w:val="00F80CF8"/>
    <w:rsid w:val="00F87F40"/>
    <w:rsid w:val="00F9037A"/>
    <w:rsid w:val="00F9328A"/>
    <w:rsid w:val="00F95317"/>
    <w:rsid w:val="00F95F27"/>
    <w:rsid w:val="00FA0AE4"/>
    <w:rsid w:val="00FA0F29"/>
    <w:rsid w:val="00FA1452"/>
    <w:rsid w:val="00FA3105"/>
    <w:rsid w:val="00FA35D7"/>
    <w:rsid w:val="00FA37D7"/>
    <w:rsid w:val="00FA4525"/>
    <w:rsid w:val="00FA5496"/>
    <w:rsid w:val="00FA66F1"/>
    <w:rsid w:val="00FA75A5"/>
    <w:rsid w:val="00FB02FC"/>
    <w:rsid w:val="00FB1B91"/>
    <w:rsid w:val="00FB1C0D"/>
    <w:rsid w:val="00FB38F1"/>
    <w:rsid w:val="00FB4DBA"/>
    <w:rsid w:val="00FB4FB5"/>
    <w:rsid w:val="00FB574D"/>
    <w:rsid w:val="00FB667E"/>
    <w:rsid w:val="00FC11F7"/>
    <w:rsid w:val="00FC2B01"/>
    <w:rsid w:val="00FC51D3"/>
    <w:rsid w:val="00FC5A1B"/>
    <w:rsid w:val="00FC6B1E"/>
    <w:rsid w:val="00FD13E2"/>
    <w:rsid w:val="00FD1EC2"/>
    <w:rsid w:val="00FD2FB5"/>
    <w:rsid w:val="00FD307A"/>
    <w:rsid w:val="00FD3E9F"/>
    <w:rsid w:val="00FD4607"/>
    <w:rsid w:val="00FD4E2A"/>
    <w:rsid w:val="00FD52CC"/>
    <w:rsid w:val="00FD558E"/>
    <w:rsid w:val="00FD70FB"/>
    <w:rsid w:val="00FE0FBE"/>
    <w:rsid w:val="00FE46BD"/>
    <w:rsid w:val="00FE4F21"/>
    <w:rsid w:val="00FE4F61"/>
    <w:rsid w:val="00FE552D"/>
    <w:rsid w:val="00FE6ACE"/>
    <w:rsid w:val="00FF02B5"/>
    <w:rsid w:val="00FF1665"/>
    <w:rsid w:val="00FF1891"/>
    <w:rsid w:val="00FF195C"/>
    <w:rsid w:val="00FF2ED4"/>
    <w:rsid w:val="00FF33EE"/>
    <w:rsid w:val="00FF5247"/>
    <w:rsid w:val="00FF545D"/>
    <w:rsid w:val="00FF6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line number" w:uiPriority="99"/>
    <w:lsdException w:name="endnote reference" w:uiPriority="99"/>
    <w:lsdException w:name="endnote text" w:uiPriority="99"/>
    <w:lsdException w:name="List Number"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209D"/>
    <w:rPr>
      <w:rFonts w:ascii="Bookman" w:hAnsi="Bookman" w:cs="Arial"/>
      <w:sz w:val="24"/>
      <w:szCs w:val="24"/>
    </w:rPr>
  </w:style>
  <w:style w:type="paragraph" w:styleId="Heading1">
    <w:name w:val="heading 1"/>
    <w:basedOn w:val="Normal"/>
    <w:next w:val="Normal"/>
    <w:link w:val="Heading1Char"/>
    <w:uiPriority w:val="9"/>
    <w:qFormat/>
    <w:rsid w:val="00F77805"/>
    <w:pPr>
      <w:numPr>
        <w:numId w:val="1"/>
      </w:numPr>
      <w:autoSpaceDE w:val="0"/>
      <w:autoSpaceDN w:val="0"/>
      <w:adjustRightInd w:val="0"/>
      <w:outlineLvl w:val="0"/>
    </w:pPr>
    <w:rPr>
      <w:b/>
      <w:bCs/>
      <w:sz w:val="36"/>
    </w:rPr>
  </w:style>
  <w:style w:type="paragraph" w:styleId="Heading2">
    <w:name w:val="heading 2"/>
    <w:basedOn w:val="Normal"/>
    <w:next w:val="Normal"/>
    <w:link w:val="Heading2Char"/>
    <w:uiPriority w:val="9"/>
    <w:qFormat/>
    <w:rsid w:val="00F77805"/>
    <w:pPr>
      <w:keepNext/>
      <w:numPr>
        <w:ilvl w:val="1"/>
        <w:numId w:val="1"/>
      </w:numPr>
      <w:spacing w:before="480" w:after="60"/>
      <w:outlineLvl w:val="1"/>
    </w:pPr>
    <w:rPr>
      <w:bCs/>
      <w:iCs/>
      <w:sz w:val="32"/>
      <w:szCs w:val="28"/>
    </w:rPr>
  </w:style>
  <w:style w:type="paragraph" w:styleId="Heading3">
    <w:name w:val="heading 3"/>
    <w:basedOn w:val="Normal"/>
    <w:next w:val="Normal"/>
    <w:link w:val="Heading3Char"/>
    <w:uiPriority w:val="9"/>
    <w:qFormat/>
    <w:rsid w:val="00F77805"/>
    <w:pPr>
      <w:keepNext/>
      <w:numPr>
        <w:ilvl w:val="2"/>
        <w:numId w:val="1"/>
      </w:numPr>
      <w:spacing w:before="360" w:after="60"/>
      <w:outlineLvl w:val="2"/>
    </w:pPr>
    <w:rPr>
      <w:bCs/>
      <w:i/>
      <w:sz w:val="28"/>
      <w:szCs w:val="26"/>
    </w:rPr>
  </w:style>
  <w:style w:type="paragraph" w:styleId="Heading4">
    <w:name w:val="heading 4"/>
    <w:basedOn w:val="Heading3"/>
    <w:next w:val="Normal"/>
    <w:link w:val="Heading4Char"/>
    <w:uiPriority w:val="9"/>
    <w:unhideWhenUsed/>
    <w:qFormat/>
    <w:rsid w:val="00C21B8C"/>
    <w:pPr>
      <w:keepLines/>
      <w:numPr>
        <w:ilvl w:val="3"/>
      </w:numPr>
      <w:spacing w:before="200"/>
      <w:outlineLvl w:val="3"/>
    </w:pPr>
    <w:rPr>
      <w:rFonts w:eastAsiaTheme="majorEastAsia" w:cstheme="majorBidi"/>
      <w:bCs w:val="0"/>
      <w:i w:val="0"/>
      <w:iCs/>
      <w:sz w:val="24"/>
      <w:u w:val="single"/>
    </w:rPr>
  </w:style>
  <w:style w:type="paragraph" w:styleId="Heading5">
    <w:name w:val="heading 5"/>
    <w:basedOn w:val="Heading4"/>
    <w:next w:val="Normal"/>
    <w:link w:val="Heading5Char"/>
    <w:uiPriority w:val="9"/>
    <w:unhideWhenUsed/>
    <w:qFormat/>
    <w:rsid w:val="00C21B8C"/>
    <w:pPr>
      <w:numPr>
        <w:ilvl w:val="4"/>
      </w:numPr>
      <w:outlineLvl w:val="4"/>
    </w:pPr>
    <w:rPr>
      <w:i/>
      <w:color w:val="404040" w:themeColor="text1" w:themeTint="BF"/>
      <w:u w:val="none"/>
    </w:rPr>
  </w:style>
  <w:style w:type="paragraph" w:styleId="Heading6">
    <w:name w:val="heading 6"/>
    <w:basedOn w:val="Normal"/>
    <w:next w:val="Normal"/>
    <w:link w:val="Heading6Char"/>
    <w:uiPriority w:val="9"/>
    <w:unhideWhenUsed/>
    <w:qFormat/>
    <w:rsid w:val="00F7780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DC2A8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C2A8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C2A8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uiPriority w:val="10"/>
    <w:rsid w:val="00F77805"/>
    <w:rPr>
      <w:rFonts w:ascii="Bookman" w:hAnsi="Bookman" w:cs="Arial"/>
      <w:b/>
      <w:sz w:val="36"/>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uiPriority w:val="10"/>
    <w:qFormat/>
    <w:rsid w:val="00F77805"/>
    <w:pPr>
      <w:jc w:val="left"/>
    </w:pPr>
    <w:rPr>
      <w:sz w:val="36"/>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outlineLvl w:val="9"/>
    </w:pPr>
    <w:rPr>
      <w:rFonts w:ascii="Cambria" w:eastAsia="MS Gothic" w:hAnsi="Cambria" w:cs="Times New Roman"/>
      <w:caps/>
      <w:color w:val="365F91"/>
      <w:szCs w:val="28"/>
      <w:lang w:eastAsia="ja-JP"/>
    </w:rPr>
  </w:style>
  <w:style w:type="paragraph" w:styleId="Caption">
    <w:name w:val="caption"/>
    <w:basedOn w:val="Normal"/>
    <w:next w:val="Normal"/>
    <w:link w:val="CaptionChar"/>
    <w:uiPriority w:val="35"/>
    <w:qFormat/>
    <w:rsid w:val="00721AD9"/>
    <w:pPr>
      <w:keepNext/>
      <w:spacing w:before="120" w:after="120"/>
      <w:jc w:val="both"/>
    </w:pPr>
    <w:rPr>
      <w:bCs/>
      <w:sz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F77805"/>
    <w:rPr>
      <w:rFonts w:ascii="Bookman" w:hAnsi="Bookman" w:cs="Arial"/>
      <w:b/>
      <w:bCs/>
      <w:sz w:val="36"/>
      <w:szCs w:val="24"/>
    </w:rPr>
  </w:style>
  <w:style w:type="character" w:customStyle="1" w:styleId="Heading3Char">
    <w:name w:val="Heading 3 Char"/>
    <w:link w:val="Heading3"/>
    <w:uiPriority w:val="9"/>
    <w:rsid w:val="00F77805"/>
    <w:rPr>
      <w:rFonts w:ascii="Bookman" w:hAnsi="Bookman" w:cs="Arial"/>
      <w:bCs/>
      <w:i/>
      <w:sz w:val="28"/>
      <w:szCs w:val="26"/>
    </w:r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BC0AA6"/>
    <w:rPr>
      <w:rFonts w:eastAsia="Calibri"/>
      <w:sz w:val="24"/>
      <w:szCs w:val="22"/>
    </w:rPr>
  </w:style>
  <w:style w:type="character" w:styleId="PlaceholderText">
    <w:name w:val="Placeholder Text"/>
    <w:basedOn w:val="DefaultParagraphFont"/>
    <w:uiPriority w:val="99"/>
    <w:semiHidden/>
    <w:rsid w:val="004538AB"/>
    <w:rPr>
      <w:color w:val="808080"/>
    </w:rPr>
  </w:style>
  <w:style w:type="paragraph" w:styleId="BalloonText">
    <w:name w:val="Balloon Text"/>
    <w:basedOn w:val="Normal"/>
    <w:link w:val="BalloonTextChar"/>
    <w:uiPriority w:val="99"/>
    <w:rsid w:val="004538AB"/>
    <w:rPr>
      <w:rFonts w:ascii="Tahoma" w:hAnsi="Tahoma" w:cs="Tahoma"/>
      <w:sz w:val="16"/>
      <w:szCs w:val="16"/>
    </w:rPr>
  </w:style>
  <w:style w:type="character" w:customStyle="1" w:styleId="BalloonTextChar">
    <w:name w:val="Balloon Text Char"/>
    <w:basedOn w:val="DefaultParagraphFont"/>
    <w:link w:val="BalloonText"/>
    <w:uiPriority w:val="99"/>
    <w:rsid w:val="004538AB"/>
    <w:rPr>
      <w:rFonts w:ascii="Tahoma" w:hAnsi="Tahoma" w:cs="Tahoma"/>
      <w:sz w:val="16"/>
      <w:szCs w:val="16"/>
    </w:rPr>
  </w:style>
  <w:style w:type="paragraph" w:styleId="ListParagraph">
    <w:name w:val="List Paragraph"/>
    <w:basedOn w:val="Normal"/>
    <w:uiPriority w:val="34"/>
    <w:qFormat/>
    <w:rsid w:val="00790761"/>
    <w:pPr>
      <w:ind w:left="720"/>
      <w:contextualSpacing/>
    </w:pPr>
  </w:style>
  <w:style w:type="paragraph" w:customStyle="1" w:styleId="Reference">
    <w:name w:val="Reference"/>
    <w:basedOn w:val="Normal"/>
    <w:qFormat/>
    <w:rsid w:val="00721AD9"/>
    <w:pPr>
      <w:spacing w:after="120"/>
      <w:ind w:left="360" w:hanging="360"/>
    </w:pPr>
    <w:rPr>
      <w:sz w:val="20"/>
    </w:rPr>
  </w:style>
  <w:style w:type="character" w:customStyle="1" w:styleId="Heading4Char">
    <w:name w:val="Heading 4 Char"/>
    <w:basedOn w:val="DefaultParagraphFont"/>
    <w:link w:val="Heading4"/>
    <w:uiPriority w:val="9"/>
    <w:rsid w:val="00C21B8C"/>
    <w:rPr>
      <w:rFonts w:ascii="Myriad Pro" w:eastAsiaTheme="majorEastAsia" w:hAnsi="Myriad Pro" w:cstheme="majorBidi"/>
      <w:iCs/>
      <w:sz w:val="24"/>
      <w:szCs w:val="26"/>
      <w:u w:val="single"/>
    </w:rPr>
  </w:style>
  <w:style w:type="character" w:customStyle="1" w:styleId="Heading5Char">
    <w:name w:val="Heading 5 Char"/>
    <w:basedOn w:val="DefaultParagraphFont"/>
    <w:link w:val="Heading5"/>
    <w:uiPriority w:val="9"/>
    <w:rsid w:val="00C21B8C"/>
    <w:rPr>
      <w:rFonts w:ascii="Myriad Pro" w:eastAsiaTheme="majorEastAsia" w:hAnsi="Myriad Pro" w:cstheme="majorBidi"/>
      <w:i/>
      <w:iCs/>
      <w:color w:val="404040" w:themeColor="text1" w:themeTint="BF"/>
      <w:sz w:val="24"/>
      <w:szCs w:val="26"/>
    </w:rPr>
  </w:style>
  <w:style w:type="character" w:customStyle="1" w:styleId="Heading6Char">
    <w:name w:val="Heading 6 Char"/>
    <w:basedOn w:val="DefaultParagraphFont"/>
    <w:link w:val="Heading6"/>
    <w:uiPriority w:val="9"/>
    <w:rsid w:val="00F77805"/>
    <w:rPr>
      <w:rFonts w:ascii="Bookman" w:eastAsiaTheme="majorEastAsia" w:hAnsi="Bookman"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DC2A89"/>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DC2A89"/>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DC2A89"/>
    <w:rPr>
      <w:rFonts w:asciiTheme="majorHAnsi" w:eastAsiaTheme="majorEastAsia" w:hAnsiTheme="majorHAnsi" w:cstheme="majorBidi"/>
      <w:i/>
      <w:iCs/>
      <w:color w:val="404040" w:themeColor="text1" w:themeTint="BF"/>
    </w:rPr>
  </w:style>
  <w:style w:type="character" w:customStyle="1" w:styleId="CaptionChar">
    <w:name w:val="Caption Char"/>
    <w:basedOn w:val="DefaultParagraphFont"/>
    <w:link w:val="Caption"/>
    <w:uiPriority w:val="35"/>
    <w:rsid w:val="000F082A"/>
    <w:rPr>
      <w:rFonts w:ascii="Arial" w:hAnsi="Arial" w:cs="Arial"/>
      <w:bCs/>
      <w:szCs w:val="24"/>
    </w:rPr>
  </w:style>
  <w:style w:type="character" w:styleId="LineNumber">
    <w:name w:val="line number"/>
    <w:basedOn w:val="DefaultParagraphFont"/>
    <w:uiPriority w:val="99"/>
    <w:rsid w:val="00284561"/>
  </w:style>
  <w:style w:type="paragraph" w:styleId="NormalWeb">
    <w:name w:val="Normal (Web)"/>
    <w:basedOn w:val="Normal"/>
    <w:uiPriority w:val="99"/>
    <w:unhideWhenUsed/>
    <w:rsid w:val="00E24F36"/>
    <w:pPr>
      <w:spacing w:before="100" w:beforeAutospacing="1" w:after="100" w:afterAutospacing="1"/>
    </w:pPr>
    <w:rPr>
      <w:rFonts w:ascii="Times New Roman" w:eastAsiaTheme="minorEastAsia" w:hAnsi="Times New Roman" w:cs="Times New Roman"/>
    </w:rPr>
  </w:style>
  <w:style w:type="character" w:customStyle="1" w:styleId="Heading2Char">
    <w:name w:val="Heading 2 Char"/>
    <w:basedOn w:val="DefaultParagraphFont"/>
    <w:link w:val="Heading2"/>
    <w:uiPriority w:val="9"/>
    <w:rsid w:val="00F77805"/>
    <w:rPr>
      <w:rFonts w:ascii="Bookman" w:hAnsi="Bookman" w:cs="Arial"/>
      <w:bCs/>
      <w:iCs/>
      <w:sz w:val="32"/>
      <w:szCs w:val="28"/>
    </w:rPr>
  </w:style>
  <w:style w:type="character" w:styleId="CommentReference">
    <w:name w:val="annotation reference"/>
    <w:basedOn w:val="DefaultParagraphFont"/>
    <w:uiPriority w:val="99"/>
    <w:unhideWhenUsed/>
    <w:rsid w:val="00B01B06"/>
    <w:rPr>
      <w:sz w:val="16"/>
      <w:szCs w:val="16"/>
    </w:rPr>
  </w:style>
  <w:style w:type="paragraph" w:styleId="CommentText">
    <w:name w:val="annotation text"/>
    <w:basedOn w:val="Normal"/>
    <w:link w:val="CommentTextChar"/>
    <w:uiPriority w:val="99"/>
    <w:unhideWhenUsed/>
    <w:rsid w:val="00B01B06"/>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rsid w:val="00B01B06"/>
    <w:rPr>
      <w:rFonts w:eastAsiaTheme="minorHAnsi" w:cstheme="minorBidi"/>
    </w:rPr>
  </w:style>
  <w:style w:type="paragraph" w:styleId="CommentSubject">
    <w:name w:val="annotation subject"/>
    <w:basedOn w:val="CommentText"/>
    <w:next w:val="CommentText"/>
    <w:link w:val="CommentSubjectChar"/>
    <w:uiPriority w:val="99"/>
    <w:unhideWhenUsed/>
    <w:rsid w:val="00B01B06"/>
    <w:rPr>
      <w:b/>
      <w:bCs/>
    </w:rPr>
  </w:style>
  <w:style w:type="character" w:customStyle="1" w:styleId="CommentSubjectChar">
    <w:name w:val="Comment Subject Char"/>
    <w:basedOn w:val="CommentTextChar"/>
    <w:link w:val="CommentSubject"/>
    <w:uiPriority w:val="99"/>
    <w:rsid w:val="00B01B06"/>
    <w:rPr>
      <w:rFonts w:eastAsiaTheme="minorHAnsi" w:cstheme="minorBidi"/>
      <w:b/>
      <w:bCs/>
    </w:rPr>
  </w:style>
  <w:style w:type="paragraph" w:styleId="FootnoteText">
    <w:name w:val="footnote text"/>
    <w:basedOn w:val="Normal"/>
    <w:link w:val="FootnoteTextChar"/>
    <w:uiPriority w:val="99"/>
    <w:unhideWhenUsed/>
    <w:rsid w:val="00B01B06"/>
    <w:rPr>
      <w:rFonts w:ascii="Times New Roman" w:eastAsiaTheme="minorHAnsi" w:hAnsi="Times New Roman" w:cstheme="minorBidi"/>
      <w:sz w:val="20"/>
      <w:szCs w:val="20"/>
    </w:rPr>
  </w:style>
  <w:style w:type="character" w:customStyle="1" w:styleId="FootnoteTextChar">
    <w:name w:val="Footnote Text Char"/>
    <w:basedOn w:val="DefaultParagraphFont"/>
    <w:link w:val="FootnoteText"/>
    <w:uiPriority w:val="99"/>
    <w:rsid w:val="00B01B06"/>
    <w:rPr>
      <w:rFonts w:eastAsiaTheme="minorHAnsi" w:cstheme="minorBidi"/>
    </w:rPr>
  </w:style>
  <w:style w:type="character" w:styleId="FootnoteReference">
    <w:name w:val="footnote reference"/>
    <w:basedOn w:val="DefaultParagraphFont"/>
    <w:uiPriority w:val="99"/>
    <w:unhideWhenUsed/>
    <w:rsid w:val="00B01B06"/>
    <w:rPr>
      <w:vertAlign w:val="superscript"/>
    </w:rPr>
  </w:style>
  <w:style w:type="character" w:styleId="FollowedHyperlink">
    <w:name w:val="FollowedHyperlink"/>
    <w:basedOn w:val="DefaultParagraphFont"/>
    <w:uiPriority w:val="99"/>
    <w:unhideWhenUsed/>
    <w:rsid w:val="00B01B06"/>
    <w:rPr>
      <w:color w:val="800080" w:themeColor="followedHyperlink"/>
      <w:u w:val="single"/>
    </w:rPr>
  </w:style>
  <w:style w:type="paragraph" w:customStyle="1" w:styleId="xl65">
    <w:name w:val="xl65"/>
    <w:basedOn w:val="Normal"/>
    <w:rsid w:val="00B01B06"/>
    <w:pPr>
      <w:spacing w:before="100" w:beforeAutospacing="1" w:after="100" w:afterAutospacing="1"/>
    </w:pPr>
  </w:style>
  <w:style w:type="paragraph" w:customStyle="1" w:styleId="xl66">
    <w:name w:val="xl66"/>
    <w:basedOn w:val="Normal"/>
    <w:rsid w:val="00B01B06"/>
    <w:pPr>
      <w:spacing w:before="100" w:beforeAutospacing="1" w:after="100" w:afterAutospacing="1"/>
    </w:pPr>
  </w:style>
  <w:style w:type="paragraph" w:customStyle="1" w:styleId="xl67">
    <w:name w:val="xl67"/>
    <w:basedOn w:val="Normal"/>
    <w:rsid w:val="00B01B06"/>
    <w:pPr>
      <w:spacing w:before="100" w:beforeAutospacing="1" w:after="100" w:afterAutospacing="1"/>
    </w:pPr>
  </w:style>
  <w:style w:type="paragraph" w:customStyle="1" w:styleId="xl68">
    <w:name w:val="xl68"/>
    <w:basedOn w:val="Normal"/>
    <w:rsid w:val="00B01B06"/>
    <w:pPr>
      <w:pBdr>
        <w:bottom w:val="single" w:sz="4" w:space="0" w:color="auto"/>
      </w:pBdr>
      <w:spacing w:before="100" w:beforeAutospacing="1" w:after="100" w:afterAutospacing="1"/>
    </w:pPr>
    <w:rPr>
      <w:b/>
      <w:bCs/>
    </w:rPr>
  </w:style>
  <w:style w:type="paragraph" w:customStyle="1" w:styleId="xl69">
    <w:name w:val="xl69"/>
    <w:basedOn w:val="Normal"/>
    <w:rsid w:val="00B01B06"/>
    <w:pPr>
      <w:pBdr>
        <w:left w:val="single" w:sz="4" w:space="0" w:color="auto"/>
      </w:pBdr>
      <w:spacing w:before="100" w:beforeAutospacing="1" w:after="100" w:afterAutospacing="1"/>
    </w:pPr>
  </w:style>
  <w:style w:type="paragraph" w:customStyle="1" w:styleId="xl70">
    <w:name w:val="xl70"/>
    <w:basedOn w:val="Normal"/>
    <w:rsid w:val="00B01B06"/>
    <w:pPr>
      <w:pBdr>
        <w:left w:val="single" w:sz="4" w:space="0" w:color="auto"/>
        <w:bottom w:val="single" w:sz="4" w:space="0" w:color="auto"/>
      </w:pBdr>
      <w:spacing w:before="100" w:beforeAutospacing="1" w:after="100" w:afterAutospacing="1"/>
    </w:pPr>
    <w:rPr>
      <w:b/>
      <w:bCs/>
    </w:rPr>
  </w:style>
  <w:style w:type="paragraph" w:customStyle="1" w:styleId="xl71">
    <w:name w:val="xl71"/>
    <w:basedOn w:val="Normal"/>
    <w:rsid w:val="00B01B06"/>
    <w:pPr>
      <w:pBdr>
        <w:left w:val="single" w:sz="4" w:space="0" w:color="auto"/>
      </w:pBdr>
      <w:spacing w:before="100" w:beforeAutospacing="1" w:after="100" w:afterAutospacing="1"/>
    </w:pPr>
  </w:style>
  <w:style w:type="paragraph" w:customStyle="1" w:styleId="xl72">
    <w:name w:val="xl72"/>
    <w:basedOn w:val="Normal"/>
    <w:rsid w:val="00B01B06"/>
    <w:pPr>
      <w:spacing w:before="100" w:beforeAutospacing="1" w:after="100" w:afterAutospacing="1"/>
    </w:pPr>
    <w:rPr>
      <w:b/>
      <w:bCs/>
    </w:rPr>
  </w:style>
  <w:style w:type="paragraph" w:customStyle="1" w:styleId="xl73">
    <w:name w:val="xl73"/>
    <w:basedOn w:val="Normal"/>
    <w:rsid w:val="00B01B06"/>
    <w:pPr>
      <w:pBdr>
        <w:right w:val="single" w:sz="4" w:space="0" w:color="auto"/>
      </w:pBdr>
      <w:spacing w:before="100" w:beforeAutospacing="1" w:after="100" w:afterAutospacing="1"/>
    </w:pPr>
  </w:style>
  <w:style w:type="paragraph" w:customStyle="1" w:styleId="xl74">
    <w:name w:val="xl74"/>
    <w:basedOn w:val="Normal"/>
    <w:rsid w:val="00B01B06"/>
    <w:pPr>
      <w:pBdr>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B01B06"/>
    <w:pPr>
      <w:pBdr>
        <w:right w:val="single" w:sz="4" w:space="0" w:color="auto"/>
      </w:pBdr>
      <w:spacing w:before="100" w:beforeAutospacing="1" w:after="100" w:afterAutospacing="1"/>
    </w:pPr>
  </w:style>
  <w:style w:type="character" w:customStyle="1" w:styleId="HeaderChar">
    <w:name w:val="Header Char"/>
    <w:basedOn w:val="DefaultParagraphFont"/>
    <w:link w:val="Header"/>
    <w:uiPriority w:val="99"/>
    <w:rsid w:val="00B01B06"/>
    <w:rPr>
      <w:rFonts w:ascii="Arial" w:hAnsi="Arial" w:cs="Arial"/>
      <w:sz w:val="24"/>
      <w:szCs w:val="24"/>
    </w:rPr>
  </w:style>
  <w:style w:type="paragraph" w:styleId="EndnoteText">
    <w:name w:val="endnote text"/>
    <w:basedOn w:val="Normal"/>
    <w:link w:val="EndnoteTextChar"/>
    <w:uiPriority w:val="99"/>
    <w:unhideWhenUsed/>
    <w:rsid w:val="00B01B06"/>
    <w:rPr>
      <w:rFonts w:ascii="Times New Roman" w:eastAsiaTheme="minorHAnsi" w:hAnsi="Times New Roman" w:cstheme="minorBidi"/>
      <w:sz w:val="20"/>
      <w:szCs w:val="20"/>
    </w:rPr>
  </w:style>
  <w:style w:type="character" w:customStyle="1" w:styleId="EndnoteTextChar">
    <w:name w:val="Endnote Text Char"/>
    <w:basedOn w:val="DefaultParagraphFont"/>
    <w:link w:val="EndnoteText"/>
    <w:uiPriority w:val="99"/>
    <w:rsid w:val="00B01B06"/>
    <w:rPr>
      <w:rFonts w:eastAsiaTheme="minorHAnsi" w:cstheme="minorBidi"/>
    </w:rPr>
  </w:style>
  <w:style w:type="character" w:styleId="EndnoteReference">
    <w:name w:val="endnote reference"/>
    <w:basedOn w:val="DefaultParagraphFont"/>
    <w:uiPriority w:val="99"/>
    <w:unhideWhenUsed/>
    <w:rsid w:val="00B01B06"/>
    <w:rPr>
      <w:vertAlign w:val="superscript"/>
    </w:rPr>
  </w:style>
  <w:style w:type="paragraph" w:styleId="Revision">
    <w:name w:val="Revision"/>
    <w:hidden/>
    <w:uiPriority w:val="99"/>
    <w:semiHidden/>
    <w:rsid w:val="00B01B06"/>
    <w:rPr>
      <w:rFonts w:eastAsiaTheme="minorHAnsi" w:cstheme="minorBidi"/>
      <w:sz w:val="24"/>
      <w:szCs w:val="22"/>
    </w:rPr>
  </w:style>
  <w:style w:type="table" w:customStyle="1" w:styleId="LightShading1">
    <w:name w:val="Light Shading1"/>
    <w:basedOn w:val="TableNormal"/>
    <w:uiPriority w:val="60"/>
    <w:rsid w:val="00C30D4F"/>
    <w:pPr>
      <w:spacing w:before="200"/>
    </w:pPr>
    <w:rPr>
      <w:rFonts w:asciiTheme="minorHAnsi" w:eastAsiaTheme="minorEastAsia" w:hAnsiTheme="minorHAnsi" w:cstheme="minorBidi"/>
      <w:color w:val="000000" w:themeColor="text1" w:themeShade="BF"/>
      <w:sz w:val="22"/>
      <w:szCs w:val="22"/>
      <w:lang w:bidi="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C30D4F"/>
    <w:pPr>
      <w:spacing w:before="200"/>
    </w:pPr>
    <w:rPr>
      <w:rFonts w:asciiTheme="minorHAnsi" w:eastAsiaTheme="minorEastAsia" w:hAnsiTheme="minorHAnsi" w:cstheme="minorBidi"/>
      <w:color w:val="365F91" w:themeColor="accent1" w:themeShade="BF"/>
      <w:sz w:val="22"/>
      <w:szCs w:val="22"/>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CrossRef">
    <w:name w:val="CrossRef"/>
    <w:basedOn w:val="Normal"/>
    <w:link w:val="CrossRefChar"/>
    <w:rsid w:val="00C30D4F"/>
    <w:pPr>
      <w:spacing w:before="200" w:after="200" w:line="276" w:lineRule="auto"/>
    </w:pPr>
    <w:rPr>
      <w:rFonts w:asciiTheme="minorHAnsi" w:eastAsiaTheme="minorEastAsia" w:hAnsiTheme="minorHAnsi" w:cstheme="minorBidi"/>
      <w:i/>
      <w:color w:val="1F497D" w:themeColor="text2"/>
      <w:sz w:val="22"/>
      <w:szCs w:val="20"/>
      <w:lang w:bidi="en-US"/>
    </w:rPr>
  </w:style>
  <w:style w:type="character" w:customStyle="1" w:styleId="CrossRefChar">
    <w:name w:val="CrossRef Char"/>
    <w:basedOn w:val="DefaultParagraphFont"/>
    <w:link w:val="CrossRef"/>
    <w:rsid w:val="00C30D4F"/>
    <w:rPr>
      <w:rFonts w:asciiTheme="minorHAnsi" w:eastAsiaTheme="minorEastAsia" w:hAnsiTheme="minorHAnsi" w:cstheme="minorBidi"/>
      <w:i/>
      <w:color w:val="1F497D" w:themeColor="text2"/>
      <w:sz w:val="22"/>
      <w:lang w:bidi="en-US"/>
    </w:rPr>
  </w:style>
  <w:style w:type="paragraph" w:customStyle="1" w:styleId="StepsParagraph">
    <w:name w:val="Steps Paragraph"/>
    <w:basedOn w:val="ListNumber"/>
    <w:rsid w:val="00C30D4F"/>
    <w:pPr>
      <w:spacing w:before="120" w:after="240"/>
      <w:contextualSpacing w:val="0"/>
    </w:pPr>
  </w:style>
  <w:style w:type="paragraph" w:styleId="ListNumber">
    <w:name w:val="List Number"/>
    <w:basedOn w:val="Normal"/>
    <w:uiPriority w:val="99"/>
    <w:unhideWhenUsed/>
    <w:rsid w:val="00C30D4F"/>
    <w:pPr>
      <w:tabs>
        <w:tab w:val="num" w:pos="720"/>
      </w:tabs>
      <w:spacing w:before="200" w:after="200" w:line="276" w:lineRule="auto"/>
      <w:ind w:hanging="360"/>
      <w:contextualSpacing/>
    </w:pPr>
    <w:rPr>
      <w:rFonts w:asciiTheme="minorHAnsi" w:eastAsiaTheme="minorEastAsia" w:hAnsiTheme="minorHAnsi" w:cstheme="minorBidi"/>
      <w:sz w:val="22"/>
      <w:szCs w:val="20"/>
      <w:lang w:bidi="en-US"/>
    </w:rPr>
  </w:style>
  <w:style w:type="paragraph" w:styleId="Subtitle">
    <w:name w:val="Subtitle"/>
    <w:basedOn w:val="Normal"/>
    <w:next w:val="Normal"/>
    <w:link w:val="SubtitleChar"/>
    <w:uiPriority w:val="11"/>
    <w:qFormat/>
    <w:rsid w:val="00F77805"/>
    <w:pPr>
      <w:spacing w:before="360" w:after="240"/>
    </w:pPr>
    <w:rPr>
      <w:rFonts w:eastAsiaTheme="minorEastAsia" w:cstheme="minorBidi"/>
      <w:spacing w:val="10"/>
      <w:sz w:val="32"/>
      <w:lang w:bidi="en-US"/>
    </w:rPr>
  </w:style>
  <w:style w:type="character" w:customStyle="1" w:styleId="SubtitleChar">
    <w:name w:val="Subtitle Char"/>
    <w:basedOn w:val="DefaultParagraphFont"/>
    <w:link w:val="Subtitle"/>
    <w:uiPriority w:val="11"/>
    <w:rsid w:val="00F77805"/>
    <w:rPr>
      <w:rFonts w:ascii="Bookman" w:eastAsiaTheme="minorEastAsia" w:hAnsi="Bookman" w:cstheme="minorBidi"/>
      <w:spacing w:val="10"/>
      <w:sz w:val="32"/>
      <w:szCs w:val="24"/>
      <w:lang w:bidi="en-US"/>
    </w:rPr>
  </w:style>
  <w:style w:type="character" w:styleId="Strong">
    <w:name w:val="Strong"/>
    <w:uiPriority w:val="22"/>
    <w:qFormat/>
    <w:rsid w:val="00C30D4F"/>
    <w:rPr>
      <w:b/>
      <w:bCs/>
    </w:rPr>
  </w:style>
  <w:style w:type="character" w:styleId="Emphasis">
    <w:name w:val="Emphasis"/>
    <w:uiPriority w:val="20"/>
    <w:qFormat/>
    <w:rsid w:val="00C30D4F"/>
    <w:rPr>
      <w:caps/>
      <w:color w:val="243F60" w:themeColor="accent1" w:themeShade="7F"/>
      <w:spacing w:val="5"/>
    </w:rPr>
  </w:style>
  <w:style w:type="character" w:customStyle="1" w:styleId="NoSpacingChar">
    <w:name w:val="No Spacing Char"/>
    <w:basedOn w:val="DefaultParagraphFont"/>
    <w:link w:val="NoSpacing"/>
    <w:uiPriority w:val="1"/>
    <w:rsid w:val="00C30D4F"/>
    <w:rPr>
      <w:rFonts w:eastAsia="Calibri"/>
      <w:sz w:val="24"/>
      <w:szCs w:val="22"/>
    </w:rPr>
  </w:style>
  <w:style w:type="paragraph" w:styleId="Quote">
    <w:name w:val="Quote"/>
    <w:basedOn w:val="Normal"/>
    <w:next w:val="Normal"/>
    <w:link w:val="QuoteChar"/>
    <w:uiPriority w:val="29"/>
    <w:qFormat/>
    <w:rsid w:val="00C30D4F"/>
    <w:pPr>
      <w:spacing w:before="200" w:after="200" w:line="276" w:lineRule="auto"/>
    </w:pPr>
    <w:rPr>
      <w:rFonts w:asciiTheme="minorHAnsi" w:eastAsiaTheme="minorEastAsia" w:hAnsiTheme="minorHAnsi" w:cstheme="minorBidi"/>
      <w:i/>
      <w:iCs/>
      <w:sz w:val="22"/>
      <w:szCs w:val="20"/>
      <w:lang w:bidi="en-US"/>
    </w:rPr>
  </w:style>
  <w:style w:type="character" w:customStyle="1" w:styleId="QuoteChar">
    <w:name w:val="Quote Char"/>
    <w:basedOn w:val="DefaultParagraphFont"/>
    <w:link w:val="Quote"/>
    <w:uiPriority w:val="29"/>
    <w:rsid w:val="00C30D4F"/>
    <w:rPr>
      <w:rFonts w:asciiTheme="minorHAnsi" w:eastAsiaTheme="minorEastAsia" w:hAnsiTheme="minorHAnsi" w:cstheme="minorBidi"/>
      <w:i/>
      <w:iCs/>
      <w:sz w:val="22"/>
      <w:lang w:bidi="en-US"/>
    </w:rPr>
  </w:style>
  <w:style w:type="paragraph" w:styleId="IntenseQuote">
    <w:name w:val="Intense Quote"/>
    <w:basedOn w:val="Normal"/>
    <w:next w:val="Normal"/>
    <w:link w:val="IntenseQuoteChar"/>
    <w:uiPriority w:val="30"/>
    <w:qFormat/>
    <w:rsid w:val="00C30D4F"/>
    <w:pPr>
      <w:pBdr>
        <w:top w:val="single" w:sz="4" w:space="10" w:color="4F81BD" w:themeColor="accent1"/>
        <w:left w:val="single" w:sz="4" w:space="10" w:color="4F81BD" w:themeColor="accent1"/>
      </w:pBdr>
      <w:spacing w:before="200" w:line="276" w:lineRule="auto"/>
      <w:ind w:left="1296" w:right="1152"/>
      <w:jc w:val="both"/>
    </w:pPr>
    <w:rPr>
      <w:rFonts w:asciiTheme="minorHAnsi" w:eastAsiaTheme="minorEastAsia" w:hAnsiTheme="minorHAnsi" w:cstheme="minorBidi"/>
      <w:i/>
      <w:iCs/>
      <w:color w:val="4F81BD" w:themeColor="accent1"/>
      <w:sz w:val="22"/>
      <w:szCs w:val="20"/>
      <w:lang w:bidi="en-US"/>
    </w:rPr>
  </w:style>
  <w:style w:type="character" w:customStyle="1" w:styleId="IntenseQuoteChar">
    <w:name w:val="Intense Quote Char"/>
    <w:basedOn w:val="DefaultParagraphFont"/>
    <w:link w:val="IntenseQuote"/>
    <w:uiPriority w:val="30"/>
    <w:rsid w:val="00C30D4F"/>
    <w:rPr>
      <w:rFonts w:asciiTheme="minorHAnsi" w:eastAsiaTheme="minorEastAsia" w:hAnsiTheme="minorHAnsi" w:cstheme="minorBidi"/>
      <w:i/>
      <w:iCs/>
      <w:color w:val="4F81BD" w:themeColor="accent1"/>
      <w:sz w:val="22"/>
      <w:lang w:bidi="en-US"/>
    </w:rPr>
  </w:style>
  <w:style w:type="character" w:styleId="SubtleEmphasis">
    <w:name w:val="Subtle Emphasis"/>
    <w:uiPriority w:val="19"/>
    <w:qFormat/>
    <w:rsid w:val="00C30D4F"/>
    <w:rPr>
      <w:i/>
      <w:iCs/>
      <w:color w:val="243F60" w:themeColor="accent1" w:themeShade="7F"/>
    </w:rPr>
  </w:style>
  <w:style w:type="character" w:styleId="IntenseEmphasis">
    <w:name w:val="Intense Emphasis"/>
    <w:uiPriority w:val="21"/>
    <w:qFormat/>
    <w:rsid w:val="00C30D4F"/>
    <w:rPr>
      <w:b/>
      <w:bCs/>
      <w:caps/>
      <w:color w:val="243F60" w:themeColor="accent1" w:themeShade="7F"/>
      <w:spacing w:val="10"/>
    </w:rPr>
  </w:style>
  <w:style w:type="character" w:styleId="SubtleReference">
    <w:name w:val="Subtle Reference"/>
    <w:uiPriority w:val="31"/>
    <w:qFormat/>
    <w:rsid w:val="00C30D4F"/>
    <w:rPr>
      <w:b/>
      <w:bCs/>
      <w:color w:val="4F81BD" w:themeColor="accent1"/>
    </w:rPr>
  </w:style>
  <w:style w:type="character" w:styleId="IntenseReference">
    <w:name w:val="Intense Reference"/>
    <w:uiPriority w:val="32"/>
    <w:qFormat/>
    <w:rsid w:val="00C30D4F"/>
    <w:rPr>
      <w:b/>
      <w:bCs/>
      <w:i/>
      <w:iCs/>
      <w:caps/>
      <w:color w:val="4F81BD" w:themeColor="accent1"/>
    </w:rPr>
  </w:style>
  <w:style w:type="character" w:styleId="BookTitle">
    <w:name w:val="Book Title"/>
    <w:uiPriority w:val="33"/>
    <w:qFormat/>
    <w:rsid w:val="00C30D4F"/>
    <w:rPr>
      <w:b/>
      <w:bCs/>
      <w:i/>
      <w:iCs/>
      <w:spacing w:val="9"/>
    </w:rPr>
  </w:style>
  <w:style w:type="table" w:styleId="Table3Deffects3">
    <w:name w:val="Table 3D effects 3"/>
    <w:basedOn w:val="TableNormal"/>
    <w:rsid w:val="003C0234"/>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255401">
      <w:bodyDiv w:val="1"/>
      <w:marLeft w:val="0"/>
      <w:marRight w:val="0"/>
      <w:marTop w:val="0"/>
      <w:marBottom w:val="0"/>
      <w:divBdr>
        <w:top w:val="none" w:sz="0" w:space="0" w:color="auto"/>
        <w:left w:val="none" w:sz="0" w:space="0" w:color="auto"/>
        <w:bottom w:val="none" w:sz="0" w:space="0" w:color="auto"/>
        <w:right w:val="none" w:sz="0" w:space="0" w:color="auto"/>
      </w:divBdr>
      <w:divsChild>
        <w:div w:id="1353608205">
          <w:marLeft w:val="0"/>
          <w:marRight w:val="0"/>
          <w:marTop w:val="0"/>
          <w:marBottom w:val="0"/>
          <w:divBdr>
            <w:top w:val="none" w:sz="0" w:space="0" w:color="auto"/>
            <w:left w:val="none" w:sz="0" w:space="0" w:color="auto"/>
            <w:bottom w:val="none" w:sz="0" w:space="0" w:color="auto"/>
            <w:right w:val="none" w:sz="0" w:space="0" w:color="auto"/>
          </w:divBdr>
          <w:divsChild>
            <w:div w:id="1394936390">
              <w:marLeft w:val="0"/>
              <w:marRight w:val="0"/>
              <w:marTop w:val="0"/>
              <w:marBottom w:val="0"/>
              <w:divBdr>
                <w:top w:val="none" w:sz="0" w:space="0" w:color="auto"/>
                <w:left w:val="none" w:sz="0" w:space="0" w:color="auto"/>
                <w:bottom w:val="none" w:sz="0" w:space="0" w:color="auto"/>
                <w:right w:val="none" w:sz="0" w:space="0" w:color="auto"/>
              </w:divBdr>
              <w:divsChild>
                <w:div w:id="745226294">
                  <w:marLeft w:val="0"/>
                  <w:marRight w:val="0"/>
                  <w:marTop w:val="0"/>
                  <w:marBottom w:val="0"/>
                  <w:divBdr>
                    <w:top w:val="none" w:sz="0" w:space="0" w:color="auto"/>
                    <w:left w:val="none" w:sz="0" w:space="0" w:color="auto"/>
                    <w:bottom w:val="none" w:sz="0" w:space="0" w:color="auto"/>
                    <w:right w:val="none" w:sz="0" w:space="0" w:color="auto"/>
                  </w:divBdr>
                  <w:divsChild>
                    <w:div w:id="1124276130">
                      <w:marLeft w:val="0"/>
                      <w:marRight w:val="0"/>
                      <w:marTop w:val="0"/>
                      <w:marBottom w:val="0"/>
                      <w:divBdr>
                        <w:top w:val="none" w:sz="0" w:space="0" w:color="auto"/>
                        <w:left w:val="none" w:sz="0" w:space="0" w:color="auto"/>
                        <w:bottom w:val="none" w:sz="0" w:space="0" w:color="auto"/>
                        <w:right w:val="none" w:sz="0" w:space="0" w:color="auto"/>
                      </w:divBdr>
                      <w:divsChild>
                        <w:div w:id="252982687">
                          <w:marLeft w:val="0"/>
                          <w:marRight w:val="0"/>
                          <w:marTop w:val="0"/>
                          <w:marBottom w:val="0"/>
                          <w:divBdr>
                            <w:top w:val="none" w:sz="0" w:space="0" w:color="auto"/>
                            <w:left w:val="none" w:sz="0" w:space="0" w:color="auto"/>
                            <w:bottom w:val="none" w:sz="0" w:space="0" w:color="auto"/>
                            <w:right w:val="none" w:sz="0" w:space="0" w:color="auto"/>
                          </w:divBdr>
                          <w:divsChild>
                            <w:div w:id="2048917839">
                              <w:marLeft w:val="0"/>
                              <w:marRight w:val="0"/>
                              <w:marTop w:val="0"/>
                              <w:marBottom w:val="0"/>
                              <w:divBdr>
                                <w:top w:val="none" w:sz="0" w:space="0" w:color="auto"/>
                                <w:left w:val="none" w:sz="0" w:space="0" w:color="auto"/>
                                <w:bottom w:val="none" w:sz="0" w:space="0" w:color="auto"/>
                                <w:right w:val="none" w:sz="0" w:space="0" w:color="auto"/>
                              </w:divBdr>
                              <w:divsChild>
                                <w:div w:id="13700222">
                                  <w:marLeft w:val="0"/>
                                  <w:marRight w:val="0"/>
                                  <w:marTop w:val="0"/>
                                  <w:marBottom w:val="0"/>
                                  <w:divBdr>
                                    <w:top w:val="none" w:sz="0" w:space="0" w:color="auto"/>
                                    <w:left w:val="none" w:sz="0" w:space="0" w:color="auto"/>
                                    <w:bottom w:val="none" w:sz="0" w:space="0" w:color="auto"/>
                                    <w:right w:val="none" w:sz="0" w:space="0" w:color="auto"/>
                                  </w:divBdr>
                                  <w:divsChild>
                                    <w:div w:id="294410588">
                                      <w:marLeft w:val="0"/>
                                      <w:marRight w:val="0"/>
                                      <w:marTop w:val="0"/>
                                      <w:marBottom w:val="0"/>
                                      <w:divBdr>
                                        <w:top w:val="none" w:sz="0" w:space="0" w:color="auto"/>
                                        <w:left w:val="none" w:sz="0" w:space="0" w:color="auto"/>
                                        <w:bottom w:val="none" w:sz="0" w:space="0" w:color="auto"/>
                                        <w:right w:val="none" w:sz="0" w:space="0" w:color="auto"/>
                                      </w:divBdr>
                                      <w:divsChild>
                                        <w:div w:id="151533177">
                                          <w:marLeft w:val="0"/>
                                          <w:marRight w:val="0"/>
                                          <w:marTop w:val="0"/>
                                          <w:marBottom w:val="0"/>
                                          <w:divBdr>
                                            <w:top w:val="none" w:sz="0" w:space="0" w:color="auto"/>
                                            <w:left w:val="none" w:sz="0" w:space="0" w:color="auto"/>
                                            <w:bottom w:val="none" w:sz="0" w:space="0" w:color="auto"/>
                                            <w:right w:val="none" w:sz="0" w:space="0" w:color="auto"/>
                                          </w:divBdr>
                                          <w:divsChild>
                                            <w:div w:id="473064108">
                                              <w:marLeft w:val="0"/>
                                              <w:marRight w:val="0"/>
                                              <w:marTop w:val="0"/>
                                              <w:marBottom w:val="0"/>
                                              <w:divBdr>
                                                <w:top w:val="none" w:sz="0" w:space="0" w:color="auto"/>
                                                <w:left w:val="none" w:sz="0" w:space="0" w:color="auto"/>
                                                <w:bottom w:val="none" w:sz="0" w:space="0" w:color="auto"/>
                                                <w:right w:val="none" w:sz="0" w:space="0" w:color="auto"/>
                                              </w:divBdr>
                                              <w:divsChild>
                                                <w:div w:id="41298636">
                                                  <w:marLeft w:val="0"/>
                                                  <w:marRight w:val="0"/>
                                                  <w:marTop w:val="0"/>
                                                  <w:marBottom w:val="0"/>
                                                  <w:divBdr>
                                                    <w:top w:val="none" w:sz="0" w:space="0" w:color="auto"/>
                                                    <w:left w:val="none" w:sz="0" w:space="0" w:color="auto"/>
                                                    <w:bottom w:val="none" w:sz="0" w:space="0" w:color="auto"/>
                                                    <w:right w:val="none" w:sz="0" w:space="0" w:color="auto"/>
                                                  </w:divBdr>
                                                  <w:divsChild>
                                                    <w:div w:id="284585100">
                                                      <w:marLeft w:val="0"/>
                                                      <w:marRight w:val="0"/>
                                                      <w:marTop w:val="0"/>
                                                      <w:marBottom w:val="0"/>
                                                      <w:divBdr>
                                                        <w:top w:val="none" w:sz="0" w:space="0" w:color="auto"/>
                                                        <w:left w:val="none" w:sz="0" w:space="0" w:color="auto"/>
                                                        <w:bottom w:val="none" w:sz="0" w:space="0" w:color="auto"/>
                                                        <w:right w:val="none" w:sz="0" w:space="0" w:color="auto"/>
                                                      </w:divBdr>
                                                      <w:divsChild>
                                                        <w:div w:id="1805077855">
                                                          <w:marLeft w:val="0"/>
                                                          <w:marRight w:val="0"/>
                                                          <w:marTop w:val="0"/>
                                                          <w:marBottom w:val="0"/>
                                                          <w:divBdr>
                                                            <w:top w:val="none" w:sz="0" w:space="0" w:color="auto"/>
                                                            <w:left w:val="none" w:sz="0" w:space="0" w:color="auto"/>
                                                            <w:bottom w:val="none" w:sz="0" w:space="0" w:color="auto"/>
                                                            <w:right w:val="none" w:sz="0" w:space="0" w:color="auto"/>
                                                          </w:divBdr>
                                                          <w:divsChild>
                                                            <w:div w:id="1291666935">
                                                              <w:marLeft w:val="0"/>
                                                              <w:marRight w:val="0"/>
                                                              <w:marTop w:val="0"/>
                                                              <w:marBottom w:val="0"/>
                                                              <w:divBdr>
                                                                <w:top w:val="none" w:sz="0" w:space="0" w:color="auto"/>
                                                                <w:left w:val="none" w:sz="0" w:space="0" w:color="auto"/>
                                                                <w:bottom w:val="none" w:sz="0" w:space="0" w:color="auto"/>
                                                                <w:right w:val="none" w:sz="0" w:space="0" w:color="auto"/>
                                                              </w:divBdr>
                                                              <w:divsChild>
                                                                <w:div w:id="726496490">
                                                                  <w:marLeft w:val="0"/>
                                                                  <w:marRight w:val="0"/>
                                                                  <w:marTop w:val="0"/>
                                                                  <w:marBottom w:val="0"/>
                                                                  <w:divBdr>
                                                                    <w:top w:val="none" w:sz="0" w:space="0" w:color="auto"/>
                                                                    <w:left w:val="none" w:sz="0" w:space="0" w:color="auto"/>
                                                                    <w:bottom w:val="none" w:sz="0" w:space="0" w:color="auto"/>
                                                                    <w:right w:val="none" w:sz="0" w:space="0" w:color="auto"/>
                                                                  </w:divBdr>
                                                                  <w:divsChild>
                                                                    <w:div w:id="323509018">
                                                                      <w:marLeft w:val="0"/>
                                                                      <w:marRight w:val="0"/>
                                                                      <w:marTop w:val="0"/>
                                                                      <w:marBottom w:val="0"/>
                                                                      <w:divBdr>
                                                                        <w:top w:val="none" w:sz="0" w:space="0" w:color="auto"/>
                                                                        <w:left w:val="none" w:sz="0" w:space="0" w:color="auto"/>
                                                                        <w:bottom w:val="none" w:sz="0" w:space="0" w:color="auto"/>
                                                                        <w:right w:val="none" w:sz="0" w:space="0" w:color="auto"/>
                                                                      </w:divBdr>
                                                                      <w:divsChild>
                                                                        <w:div w:id="1837186070">
                                                                          <w:marLeft w:val="0"/>
                                                                          <w:marRight w:val="0"/>
                                                                          <w:marTop w:val="0"/>
                                                                          <w:marBottom w:val="0"/>
                                                                          <w:divBdr>
                                                                            <w:top w:val="none" w:sz="0" w:space="0" w:color="auto"/>
                                                                            <w:left w:val="none" w:sz="0" w:space="0" w:color="auto"/>
                                                                            <w:bottom w:val="none" w:sz="0" w:space="0" w:color="auto"/>
                                                                            <w:right w:val="none" w:sz="0" w:space="0" w:color="auto"/>
                                                                          </w:divBdr>
                                                                          <w:divsChild>
                                                                            <w:div w:id="64033783">
                                                                              <w:marLeft w:val="0"/>
                                                                              <w:marRight w:val="0"/>
                                                                              <w:marTop w:val="0"/>
                                                                              <w:marBottom w:val="0"/>
                                                                              <w:divBdr>
                                                                                <w:top w:val="none" w:sz="0" w:space="0" w:color="auto"/>
                                                                                <w:left w:val="none" w:sz="0" w:space="0" w:color="auto"/>
                                                                                <w:bottom w:val="none" w:sz="0" w:space="0" w:color="auto"/>
                                                                                <w:right w:val="none" w:sz="0" w:space="0" w:color="auto"/>
                                                                              </w:divBdr>
                                                                              <w:divsChild>
                                                                                <w:div w:id="223833553">
                                                                                  <w:marLeft w:val="0"/>
                                                                                  <w:marRight w:val="0"/>
                                                                                  <w:marTop w:val="0"/>
                                                                                  <w:marBottom w:val="0"/>
                                                                                  <w:divBdr>
                                                                                    <w:top w:val="none" w:sz="0" w:space="0" w:color="auto"/>
                                                                                    <w:left w:val="none" w:sz="0" w:space="0" w:color="auto"/>
                                                                                    <w:bottom w:val="none" w:sz="0" w:space="0" w:color="auto"/>
                                                                                    <w:right w:val="none" w:sz="0" w:space="0" w:color="auto"/>
                                                                                  </w:divBdr>
                                                                                  <w:divsChild>
                                                                                    <w:div w:id="294258543">
                                                                                      <w:marLeft w:val="0"/>
                                                                                      <w:marRight w:val="0"/>
                                                                                      <w:marTop w:val="0"/>
                                                                                      <w:marBottom w:val="0"/>
                                                                                      <w:divBdr>
                                                                                        <w:top w:val="none" w:sz="0" w:space="0" w:color="auto"/>
                                                                                        <w:left w:val="none" w:sz="0" w:space="0" w:color="auto"/>
                                                                                        <w:bottom w:val="none" w:sz="0" w:space="0" w:color="auto"/>
                                                                                        <w:right w:val="none" w:sz="0" w:space="0" w:color="auto"/>
                                                                                      </w:divBdr>
                                                                                      <w:divsChild>
                                                                                        <w:div w:id="1935168774">
                                                                                          <w:marLeft w:val="0"/>
                                                                                          <w:marRight w:val="0"/>
                                                                                          <w:marTop w:val="0"/>
                                                                                          <w:marBottom w:val="0"/>
                                                                                          <w:divBdr>
                                                                                            <w:top w:val="none" w:sz="0" w:space="0" w:color="auto"/>
                                                                                            <w:left w:val="none" w:sz="0" w:space="0" w:color="auto"/>
                                                                                            <w:bottom w:val="none" w:sz="0" w:space="0" w:color="auto"/>
                                                                                            <w:right w:val="none" w:sz="0" w:space="0" w:color="auto"/>
                                                                                          </w:divBdr>
                                                                                          <w:divsChild>
                                                                                            <w:div w:id="1147432359">
                                                                                              <w:marLeft w:val="0"/>
                                                                                              <w:marRight w:val="0"/>
                                                                                              <w:marTop w:val="0"/>
                                                                                              <w:marBottom w:val="0"/>
                                                                                              <w:divBdr>
                                                                                                <w:top w:val="none" w:sz="0" w:space="0" w:color="auto"/>
                                                                                                <w:left w:val="none" w:sz="0" w:space="0" w:color="auto"/>
                                                                                                <w:bottom w:val="none" w:sz="0" w:space="0" w:color="auto"/>
                                                                                                <w:right w:val="none" w:sz="0" w:space="0" w:color="auto"/>
                                                                                              </w:divBdr>
                                                                                              <w:divsChild>
                                                                                                <w:div w:id="286161730">
                                                                                                  <w:marLeft w:val="0"/>
                                                                                                  <w:marRight w:val="0"/>
                                                                                                  <w:marTop w:val="0"/>
                                                                                                  <w:marBottom w:val="0"/>
                                                                                                  <w:divBdr>
                                                                                                    <w:top w:val="none" w:sz="0" w:space="0" w:color="auto"/>
                                                                                                    <w:left w:val="none" w:sz="0" w:space="0" w:color="auto"/>
                                                                                                    <w:bottom w:val="none" w:sz="0" w:space="0" w:color="auto"/>
                                                                                                    <w:right w:val="none" w:sz="0" w:space="0" w:color="auto"/>
                                                                                                  </w:divBdr>
                                                                                                  <w:divsChild>
                                                                                                    <w:div w:id="1315839612">
                                                                                                      <w:marLeft w:val="0"/>
                                                                                                      <w:marRight w:val="0"/>
                                                                                                      <w:marTop w:val="0"/>
                                                                                                      <w:marBottom w:val="0"/>
                                                                                                      <w:divBdr>
                                                                                                        <w:top w:val="none" w:sz="0" w:space="0" w:color="auto"/>
                                                                                                        <w:left w:val="none" w:sz="0" w:space="0" w:color="auto"/>
                                                                                                        <w:bottom w:val="none" w:sz="0" w:space="0" w:color="auto"/>
                                                                                                        <w:right w:val="none" w:sz="0" w:space="0" w:color="auto"/>
                                                                                                      </w:divBdr>
                                                                                                      <w:divsChild>
                                                                                                        <w:div w:id="817235046">
                                                                                                          <w:marLeft w:val="0"/>
                                                                                                          <w:marRight w:val="0"/>
                                                                                                          <w:marTop w:val="0"/>
                                                                                                          <w:marBottom w:val="0"/>
                                                                                                          <w:divBdr>
                                                                                                            <w:top w:val="none" w:sz="0" w:space="0" w:color="auto"/>
                                                                                                            <w:left w:val="none" w:sz="0" w:space="0" w:color="auto"/>
                                                                                                            <w:bottom w:val="none" w:sz="0" w:space="0" w:color="auto"/>
                                                                                                            <w:right w:val="none" w:sz="0" w:space="0" w:color="auto"/>
                                                                                                          </w:divBdr>
                                                                                                          <w:divsChild>
                                                                                                            <w:div w:id="252863968">
                                                                                                              <w:marLeft w:val="0"/>
                                                                                                              <w:marRight w:val="0"/>
                                                                                                              <w:marTop w:val="0"/>
                                                                                                              <w:marBottom w:val="0"/>
                                                                                                              <w:divBdr>
                                                                                                                <w:top w:val="none" w:sz="0" w:space="0" w:color="auto"/>
                                                                                                                <w:left w:val="none" w:sz="0" w:space="0" w:color="auto"/>
                                                                                                                <w:bottom w:val="none" w:sz="0" w:space="0" w:color="auto"/>
                                                                                                                <w:right w:val="none" w:sz="0" w:space="0" w:color="auto"/>
                                                                                                              </w:divBdr>
                                                                                                              <w:divsChild>
                                                                                                                <w:div w:id="610013032">
                                                                                                                  <w:marLeft w:val="0"/>
                                                                                                                  <w:marRight w:val="0"/>
                                                                                                                  <w:marTop w:val="0"/>
                                                                                                                  <w:marBottom w:val="0"/>
                                                                                                                  <w:divBdr>
                                                                                                                    <w:top w:val="none" w:sz="0" w:space="0" w:color="auto"/>
                                                                                                                    <w:left w:val="none" w:sz="0" w:space="0" w:color="auto"/>
                                                                                                                    <w:bottom w:val="none" w:sz="0" w:space="0" w:color="auto"/>
                                                                                                                    <w:right w:val="none" w:sz="0" w:space="0" w:color="auto"/>
                                                                                                                  </w:divBdr>
                                                                                                                  <w:divsChild>
                                                                                                                    <w:div w:id="267079988">
                                                                                                                      <w:marLeft w:val="0"/>
                                                                                                                      <w:marRight w:val="0"/>
                                                                                                                      <w:marTop w:val="0"/>
                                                                                                                      <w:marBottom w:val="0"/>
                                                                                                                      <w:divBdr>
                                                                                                                        <w:top w:val="none" w:sz="0" w:space="0" w:color="auto"/>
                                                                                                                        <w:left w:val="none" w:sz="0" w:space="0" w:color="auto"/>
                                                                                                                        <w:bottom w:val="none" w:sz="0" w:space="0" w:color="auto"/>
                                                                                                                        <w:right w:val="none" w:sz="0" w:space="0" w:color="auto"/>
                                                                                                                      </w:divBdr>
                                                                                                                      <w:divsChild>
                                                                                                                        <w:div w:id="1109661907">
                                                                                                                          <w:marLeft w:val="0"/>
                                                                                                                          <w:marRight w:val="0"/>
                                                                                                                          <w:marTop w:val="0"/>
                                                                                                                          <w:marBottom w:val="0"/>
                                                                                                                          <w:divBdr>
                                                                                                                            <w:top w:val="none" w:sz="0" w:space="0" w:color="auto"/>
                                                                                                                            <w:left w:val="none" w:sz="0" w:space="0" w:color="auto"/>
                                                                                                                            <w:bottom w:val="none" w:sz="0" w:space="0" w:color="auto"/>
                                                                                                                            <w:right w:val="none" w:sz="0" w:space="0" w:color="auto"/>
                                                                                                                          </w:divBdr>
                                                                                                                          <w:divsChild>
                                                                                                                            <w:div w:id="499807105">
                                                                                                                              <w:marLeft w:val="0"/>
                                                                                                                              <w:marRight w:val="0"/>
                                                                                                                              <w:marTop w:val="0"/>
                                                                                                                              <w:marBottom w:val="0"/>
                                                                                                                              <w:divBdr>
                                                                                                                                <w:top w:val="none" w:sz="0" w:space="0" w:color="auto"/>
                                                                                                                                <w:left w:val="none" w:sz="0" w:space="0" w:color="auto"/>
                                                                                                                                <w:bottom w:val="none" w:sz="0" w:space="0" w:color="auto"/>
                                                                                                                                <w:right w:val="none" w:sz="0" w:space="0" w:color="auto"/>
                                                                                                                              </w:divBdr>
                                                                                                                              <w:divsChild>
                                                                                                                                <w:div w:id="1237978631">
                                                                                                                                  <w:marLeft w:val="0"/>
                                                                                                                                  <w:marRight w:val="0"/>
                                                                                                                                  <w:marTop w:val="0"/>
                                                                                                                                  <w:marBottom w:val="0"/>
                                                                                                                                  <w:divBdr>
                                                                                                                                    <w:top w:val="none" w:sz="0" w:space="0" w:color="auto"/>
                                                                                                                                    <w:left w:val="none" w:sz="0" w:space="0" w:color="auto"/>
                                                                                                                                    <w:bottom w:val="none" w:sz="0" w:space="0" w:color="auto"/>
                                                                                                                                    <w:right w:val="none" w:sz="0" w:space="0" w:color="auto"/>
                                                                                                                                  </w:divBdr>
                                                                                                                                  <w:divsChild>
                                                                                                                                    <w:div w:id="1778022676">
                                                                                                                                      <w:marLeft w:val="0"/>
                                                                                                                                      <w:marRight w:val="0"/>
                                                                                                                                      <w:marTop w:val="0"/>
                                                                                                                                      <w:marBottom w:val="0"/>
                                                                                                                                      <w:divBdr>
                                                                                                                                        <w:top w:val="none" w:sz="0" w:space="0" w:color="auto"/>
                                                                                                                                        <w:left w:val="none" w:sz="0" w:space="0" w:color="auto"/>
                                                                                                                                        <w:bottom w:val="none" w:sz="0" w:space="0" w:color="auto"/>
                                                                                                                                        <w:right w:val="none" w:sz="0" w:space="0" w:color="auto"/>
                                                                                                                                      </w:divBdr>
                                                                                                                                      <w:divsChild>
                                                                                                                                        <w:div w:id="999314475">
                                                                                                                                          <w:marLeft w:val="0"/>
                                                                                                                                          <w:marRight w:val="0"/>
                                                                                                                                          <w:marTop w:val="0"/>
                                                                                                                                          <w:marBottom w:val="0"/>
                                                                                                                                          <w:divBdr>
                                                                                                                                            <w:top w:val="none" w:sz="0" w:space="0" w:color="auto"/>
                                                                                                                                            <w:left w:val="none" w:sz="0" w:space="0" w:color="auto"/>
                                                                                                                                            <w:bottom w:val="none" w:sz="0" w:space="0" w:color="auto"/>
                                                                                                                                            <w:right w:val="none" w:sz="0" w:space="0" w:color="auto"/>
                                                                                                                                          </w:divBdr>
                                                                                                                                          <w:divsChild>
                                                                                                                                            <w:div w:id="804808773">
                                                                                                                                              <w:marLeft w:val="0"/>
                                                                                                                                              <w:marRight w:val="0"/>
                                                                                                                                              <w:marTop w:val="0"/>
                                                                                                                                              <w:marBottom w:val="0"/>
                                                                                                                                              <w:divBdr>
                                                                                                                                                <w:top w:val="none" w:sz="0" w:space="0" w:color="auto"/>
                                                                                                                                                <w:left w:val="none" w:sz="0" w:space="0" w:color="auto"/>
                                                                                                                                                <w:bottom w:val="none" w:sz="0" w:space="0" w:color="auto"/>
                                                                                                                                                <w:right w:val="none" w:sz="0" w:space="0" w:color="auto"/>
                                                                                                                                              </w:divBdr>
                                                                                                                                              <w:divsChild>
                                                                                                                                                <w:div w:id="1759791902">
                                                                                                                                                  <w:marLeft w:val="0"/>
                                                                                                                                                  <w:marRight w:val="0"/>
                                                                                                                                                  <w:marTop w:val="0"/>
                                                                                                                                                  <w:marBottom w:val="0"/>
                                                                                                                                                  <w:divBdr>
                                                                                                                                                    <w:top w:val="none" w:sz="0" w:space="0" w:color="auto"/>
                                                                                                                                                    <w:left w:val="none" w:sz="0" w:space="0" w:color="auto"/>
                                                                                                                                                    <w:bottom w:val="none" w:sz="0" w:space="0" w:color="auto"/>
                                                                                                                                                    <w:right w:val="none" w:sz="0" w:space="0" w:color="auto"/>
                                                                                                                                                  </w:divBdr>
                                                                                                                                                  <w:divsChild>
                                                                                                                                                    <w:div w:id="1036155780">
                                                                                                                                                      <w:marLeft w:val="0"/>
                                                                                                                                                      <w:marRight w:val="0"/>
                                                                                                                                                      <w:marTop w:val="0"/>
                                                                                                                                                      <w:marBottom w:val="0"/>
                                                                                                                                                      <w:divBdr>
                                                                                                                                                        <w:top w:val="none" w:sz="0" w:space="0" w:color="auto"/>
                                                                                                                                                        <w:left w:val="none" w:sz="0" w:space="0" w:color="auto"/>
                                                                                                                                                        <w:bottom w:val="none" w:sz="0" w:space="0" w:color="auto"/>
                                                                                                                                                        <w:right w:val="none" w:sz="0" w:space="0" w:color="auto"/>
                                                                                                                                                      </w:divBdr>
                                                                                                                                                      <w:divsChild>
                                                                                                                                                        <w:div w:id="1955936943">
                                                                                                                                                          <w:marLeft w:val="0"/>
                                                                                                                                                          <w:marRight w:val="0"/>
                                                                                                                                                          <w:marTop w:val="0"/>
                                                                                                                                                          <w:marBottom w:val="0"/>
                                                                                                                                                          <w:divBdr>
                                                                                                                                                            <w:top w:val="none" w:sz="0" w:space="0" w:color="auto"/>
                                                                                                                                                            <w:left w:val="none" w:sz="0" w:space="0" w:color="auto"/>
                                                                                                                                                            <w:bottom w:val="none" w:sz="0" w:space="0" w:color="auto"/>
                                                                                                                                                            <w:right w:val="none" w:sz="0" w:space="0" w:color="auto"/>
                                                                                                                                                          </w:divBdr>
                                                                                                                                                          <w:divsChild>
                                                                                                                                                            <w:div w:id="334917967">
                                                                                                                                                              <w:marLeft w:val="0"/>
                                                                                                                                                              <w:marRight w:val="0"/>
                                                                                                                                                              <w:marTop w:val="0"/>
                                                                                                                                                              <w:marBottom w:val="0"/>
                                                                                                                                                              <w:divBdr>
                                                                                                                                                                <w:top w:val="none" w:sz="0" w:space="0" w:color="auto"/>
                                                                                                                                                                <w:left w:val="none" w:sz="0" w:space="0" w:color="auto"/>
                                                                                                                                                                <w:bottom w:val="none" w:sz="0" w:space="0" w:color="auto"/>
                                                                                                                                                                <w:right w:val="none" w:sz="0" w:space="0" w:color="auto"/>
                                                                                                                                                              </w:divBdr>
                                                                                                                                                              <w:divsChild>
                                                                                                                                                                <w:div w:id="443504823">
                                                                                                                                                                  <w:marLeft w:val="0"/>
                                                                                                                                                                  <w:marRight w:val="0"/>
                                                                                                                                                                  <w:marTop w:val="0"/>
                                                                                                                                                                  <w:marBottom w:val="0"/>
                                                                                                                                                                  <w:divBdr>
                                                                                                                                                                    <w:top w:val="none" w:sz="0" w:space="0" w:color="auto"/>
                                                                                                                                                                    <w:left w:val="none" w:sz="0" w:space="0" w:color="auto"/>
                                                                                                                                                                    <w:bottom w:val="none" w:sz="0" w:space="0" w:color="auto"/>
                                                                                                                                                                    <w:right w:val="none" w:sz="0" w:space="0" w:color="auto"/>
                                                                                                                                                                  </w:divBdr>
                                                                                                                                                                  <w:divsChild>
                                                                                                                                                                    <w:div w:id="350960781">
                                                                                                                                                                      <w:marLeft w:val="0"/>
                                                                                                                                                                      <w:marRight w:val="0"/>
                                                                                                                                                                      <w:marTop w:val="0"/>
                                                                                                                                                                      <w:marBottom w:val="0"/>
                                                                                                                                                                      <w:divBdr>
                                                                                                                                                                        <w:top w:val="none" w:sz="0" w:space="0" w:color="auto"/>
                                                                                                                                                                        <w:left w:val="none" w:sz="0" w:space="0" w:color="auto"/>
                                                                                                                                                                        <w:bottom w:val="none" w:sz="0" w:space="0" w:color="auto"/>
                                                                                                                                                                        <w:right w:val="none" w:sz="0" w:space="0" w:color="auto"/>
                                                                                                                                                                      </w:divBdr>
                                                                                                                                                                      <w:divsChild>
                                                                                                                                                                        <w:div w:id="2132476705">
                                                                                                                                                                          <w:marLeft w:val="0"/>
                                                                                                                                                                          <w:marRight w:val="0"/>
                                                                                                                                                                          <w:marTop w:val="0"/>
                                                                                                                                                                          <w:marBottom w:val="0"/>
                                                                                                                                                                          <w:divBdr>
                                                                                                                                                                            <w:top w:val="none" w:sz="0" w:space="0" w:color="auto"/>
                                                                                                                                                                            <w:left w:val="none" w:sz="0" w:space="0" w:color="auto"/>
                                                                                                                                                                            <w:bottom w:val="none" w:sz="0" w:space="0" w:color="auto"/>
                                                                                                                                                                            <w:right w:val="none" w:sz="0" w:space="0" w:color="auto"/>
                                                                                                                                                                          </w:divBdr>
                                                                                                                                                                          <w:divsChild>
                                                                                                                                                                            <w:div w:id="2056390124">
                                                                                                                                                                              <w:marLeft w:val="0"/>
                                                                                                                                                                              <w:marRight w:val="0"/>
                                                                                                                                                                              <w:marTop w:val="0"/>
                                                                                                                                                                              <w:marBottom w:val="0"/>
                                                                                                                                                                              <w:divBdr>
                                                                                                                                                                                <w:top w:val="none" w:sz="0" w:space="0" w:color="auto"/>
                                                                                                                                                                                <w:left w:val="none" w:sz="0" w:space="0" w:color="auto"/>
                                                                                                                                                                                <w:bottom w:val="none" w:sz="0" w:space="0" w:color="auto"/>
                                                                                                                                                                                <w:right w:val="none" w:sz="0" w:space="0" w:color="auto"/>
                                                                                                                                                                              </w:divBdr>
                                                                                                                                                                              <w:divsChild>
                                                                                                                                                                                <w:div w:id="1025211850">
                                                                                                                                                                                  <w:marLeft w:val="0"/>
                                                                                                                                                                                  <w:marRight w:val="0"/>
                                                                                                                                                                                  <w:marTop w:val="0"/>
                                                                                                                                                                                  <w:marBottom w:val="0"/>
                                                                                                                                                                                  <w:divBdr>
                                                                                                                                                                                    <w:top w:val="none" w:sz="0" w:space="0" w:color="auto"/>
                                                                                                                                                                                    <w:left w:val="none" w:sz="0" w:space="0" w:color="auto"/>
                                                                                                                                                                                    <w:bottom w:val="none" w:sz="0" w:space="0" w:color="auto"/>
                                                                                                                                                                                    <w:right w:val="none" w:sz="0" w:space="0" w:color="auto"/>
                                                                                                                                                                                  </w:divBdr>
                                                                                                                                                                                  <w:divsChild>
                                                                                                                                                                                    <w:div w:id="1681463893">
                                                                                                                                                                                      <w:marLeft w:val="0"/>
                                                                                                                                                                                      <w:marRight w:val="0"/>
                                                                                                                                                                                      <w:marTop w:val="0"/>
                                                                                                                                                                                      <w:marBottom w:val="0"/>
                                                                                                                                                                                      <w:divBdr>
                                                                                                                                                                                        <w:top w:val="none" w:sz="0" w:space="0" w:color="auto"/>
                                                                                                                                                                                        <w:left w:val="none" w:sz="0" w:space="0" w:color="auto"/>
                                                                                                                                                                                        <w:bottom w:val="none" w:sz="0" w:space="0" w:color="auto"/>
                                                                                                                                                                                        <w:right w:val="none" w:sz="0" w:space="0" w:color="auto"/>
                                                                                                                                                                                      </w:divBdr>
                                                                                                                                                                                      <w:divsChild>
                                                                                                                                                                                        <w:div w:id="483667742">
                                                                                                                                                                                          <w:marLeft w:val="0"/>
                                                                                                                                                                                          <w:marRight w:val="0"/>
                                                                                                                                                                                          <w:marTop w:val="0"/>
                                                                                                                                                                                          <w:marBottom w:val="0"/>
                                                                                                                                                                                          <w:divBdr>
                                                                                                                                                                                            <w:top w:val="none" w:sz="0" w:space="0" w:color="auto"/>
                                                                                                                                                                                            <w:left w:val="none" w:sz="0" w:space="0" w:color="auto"/>
                                                                                                                                                                                            <w:bottom w:val="none" w:sz="0" w:space="0" w:color="auto"/>
                                                                                                                                                                                            <w:right w:val="none" w:sz="0" w:space="0" w:color="auto"/>
                                                                                                                                                                                          </w:divBdr>
                                                                                                                                                                                          <w:divsChild>
                                                                                                                                                                                            <w:div w:id="1286540216">
                                                                                                                                                                                              <w:marLeft w:val="0"/>
                                                                                                                                                                                              <w:marRight w:val="0"/>
                                                                                                                                                                                              <w:marTop w:val="0"/>
                                                                                                                                                                                              <w:marBottom w:val="0"/>
                                                                                                                                                                                              <w:divBdr>
                                                                                                                                                                                                <w:top w:val="none" w:sz="0" w:space="0" w:color="auto"/>
                                                                                                                                                                                                <w:left w:val="none" w:sz="0" w:space="0" w:color="auto"/>
                                                                                                                                                                                                <w:bottom w:val="none" w:sz="0" w:space="0" w:color="auto"/>
                                                                                                                                                                                                <w:right w:val="none" w:sz="0" w:space="0" w:color="auto"/>
                                                                                                                                                                                              </w:divBdr>
                                                                                                                                                                                              <w:divsChild>
                                                                                                                                                                                                <w:div w:id="1459182623">
                                                                                                                                                                                                  <w:marLeft w:val="0"/>
                                                                                                                                                                                                  <w:marRight w:val="0"/>
                                                                                                                                                                                                  <w:marTop w:val="0"/>
                                                                                                                                                                                                  <w:marBottom w:val="0"/>
                                                                                                                                                                                                  <w:divBdr>
                                                                                                                                                                                                    <w:top w:val="none" w:sz="0" w:space="0" w:color="auto"/>
                                                                                                                                                                                                    <w:left w:val="none" w:sz="0" w:space="0" w:color="auto"/>
                                                                                                                                                                                                    <w:bottom w:val="none" w:sz="0" w:space="0" w:color="auto"/>
                                                                                                                                                                                                    <w:right w:val="none" w:sz="0" w:space="0" w:color="auto"/>
                                                                                                                                                                                                  </w:divBdr>
                                                                                                                                                                                                  <w:divsChild>
                                                                                                                                                                                                    <w:div w:id="1701515794">
                                                                                                                                                                                                      <w:marLeft w:val="0"/>
                                                                                                                                                                                                      <w:marRight w:val="0"/>
                                                                                                                                                                                                      <w:marTop w:val="0"/>
                                                                                                                                                                                                      <w:marBottom w:val="0"/>
                                                                                                                                                                                                      <w:divBdr>
                                                                                                                                                                                                        <w:top w:val="none" w:sz="0" w:space="0" w:color="auto"/>
                                                                                                                                                                                                        <w:left w:val="none" w:sz="0" w:space="0" w:color="auto"/>
                                                                                                                                                                                                        <w:bottom w:val="none" w:sz="0" w:space="0" w:color="auto"/>
                                                                                                                                                                                                        <w:right w:val="none" w:sz="0" w:space="0" w:color="auto"/>
                                                                                                                                                                                                      </w:divBdr>
                                                                                                                                                                                                      <w:divsChild>
                                                                                                                                                                                                        <w:div w:id="18679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521043">
      <w:bodyDiv w:val="1"/>
      <w:marLeft w:val="0"/>
      <w:marRight w:val="0"/>
      <w:marTop w:val="0"/>
      <w:marBottom w:val="0"/>
      <w:divBdr>
        <w:top w:val="none" w:sz="0" w:space="0" w:color="auto"/>
        <w:left w:val="none" w:sz="0" w:space="0" w:color="auto"/>
        <w:bottom w:val="none" w:sz="0" w:space="0" w:color="auto"/>
        <w:right w:val="none" w:sz="0" w:space="0" w:color="auto"/>
      </w:divBdr>
      <w:divsChild>
        <w:div w:id="679090516">
          <w:marLeft w:val="0"/>
          <w:marRight w:val="0"/>
          <w:marTop w:val="0"/>
          <w:marBottom w:val="0"/>
          <w:divBdr>
            <w:top w:val="none" w:sz="0" w:space="0" w:color="auto"/>
            <w:left w:val="none" w:sz="0" w:space="0" w:color="auto"/>
            <w:bottom w:val="none" w:sz="0" w:space="0" w:color="auto"/>
            <w:right w:val="none" w:sz="0" w:space="0" w:color="auto"/>
          </w:divBdr>
          <w:divsChild>
            <w:div w:id="1501382800">
              <w:marLeft w:val="0"/>
              <w:marRight w:val="0"/>
              <w:marTop w:val="0"/>
              <w:marBottom w:val="0"/>
              <w:divBdr>
                <w:top w:val="none" w:sz="0" w:space="0" w:color="auto"/>
                <w:left w:val="none" w:sz="0" w:space="0" w:color="auto"/>
                <w:bottom w:val="none" w:sz="0" w:space="0" w:color="auto"/>
                <w:right w:val="none" w:sz="0" w:space="0" w:color="auto"/>
              </w:divBdr>
              <w:divsChild>
                <w:div w:id="1668170768">
                  <w:marLeft w:val="0"/>
                  <w:marRight w:val="0"/>
                  <w:marTop w:val="0"/>
                  <w:marBottom w:val="0"/>
                  <w:divBdr>
                    <w:top w:val="none" w:sz="0" w:space="0" w:color="auto"/>
                    <w:left w:val="none" w:sz="0" w:space="0" w:color="auto"/>
                    <w:bottom w:val="none" w:sz="0" w:space="0" w:color="auto"/>
                    <w:right w:val="none" w:sz="0" w:space="0" w:color="auto"/>
                  </w:divBdr>
                  <w:divsChild>
                    <w:div w:id="281765675">
                      <w:marLeft w:val="0"/>
                      <w:marRight w:val="0"/>
                      <w:marTop w:val="0"/>
                      <w:marBottom w:val="0"/>
                      <w:divBdr>
                        <w:top w:val="none" w:sz="0" w:space="0" w:color="auto"/>
                        <w:left w:val="none" w:sz="0" w:space="0" w:color="auto"/>
                        <w:bottom w:val="none" w:sz="0" w:space="0" w:color="auto"/>
                        <w:right w:val="none" w:sz="0" w:space="0" w:color="auto"/>
                      </w:divBdr>
                      <w:divsChild>
                        <w:div w:id="539435671">
                          <w:marLeft w:val="0"/>
                          <w:marRight w:val="0"/>
                          <w:marTop w:val="0"/>
                          <w:marBottom w:val="0"/>
                          <w:divBdr>
                            <w:top w:val="none" w:sz="0" w:space="0" w:color="auto"/>
                            <w:left w:val="none" w:sz="0" w:space="0" w:color="auto"/>
                            <w:bottom w:val="none" w:sz="0" w:space="0" w:color="auto"/>
                            <w:right w:val="none" w:sz="0" w:space="0" w:color="auto"/>
                          </w:divBdr>
                          <w:divsChild>
                            <w:div w:id="1401253745">
                              <w:marLeft w:val="0"/>
                              <w:marRight w:val="0"/>
                              <w:marTop w:val="0"/>
                              <w:marBottom w:val="0"/>
                              <w:divBdr>
                                <w:top w:val="none" w:sz="0" w:space="0" w:color="auto"/>
                                <w:left w:val="none" w:sz="0" w:space="0" w:color="auto"/>
                                <w:bottom w:val="none" w:sz="0" w:space="0" w:color="auto"/>
                                <w:right w:val="none" w:sz="0" w:space="0" w:color="auto"/>
                              </w:divBdr>
                              <w:divsChild>
                                <w:div w:id="688333470">
                                  <w:marLeft w:val="0"/>
                                  <w:marRight w:val="0"/>
                                  <w:marTop w:val="0"/>
                                  <w:marBottom w:val="0"/>
                                  <w:divBdr>
                                    <w:top w:val="none" w:sz="0" w:space="0" w:color="auto"/>
                                    <w:left w:val="none" w:sz="0" w:space="0" w:color="auto"/>
                                    <w:bottom w:val="none" w:sz="0" w:space="0" w:color="auto"/>
                                    <w:right w:val="none" w:sz="0" w:space="0" w:color="auto"/>
                                  </w:divBdr>
                                  <w:divsChild>
                                    <w:div w:id="754982246">
                                      <w:marLeft w:val="0"/>
                                      <w:marRight w:val="0"/>
                                      <w:marTop w:val="0"/>
                                      <w:marBottom w:val="0"/>
                                      <w:divBdr>
                                        <w:top w:val="none" w:sz="0" w:space="0" w:color="auto"/>
                                        <w:left w:val="none" w:sz="0" w:space="0" w:color="auto"/>
                                        <w:bottom w:val="none" w:sz="0" w:space="0" w:color="auto"/>
                                        <w:right w:val="none" w:sz="0" w:space="0" w:color="auto"/>
                                      </w:divBdr>
                                      <w:divsChild>
                                        <w:div w:id="1399746624">
                                          <w:marLeft w:val="0"/>
                                          <w:marRight w:val="0"/>
                                          <w:marTop w:val="0"/>
                                          <w:marBottom w:val="0"/>
                                          <w:divBdr>
                                            <w:top w:val="none" w:sz="0" w:space="0" w:color="auto"/>
                                            <w:left w:val="none" w:sz="0" w:space="0" w:color="auto"/>
                                            <w:bottom w:val="none" w:sz="0" w:space="0" w:color="auto"/>
                                            <w:right w:val="none" w:sz="0" w:space="0" w:color="auto"/>
                                          </w:divBdr>
                                          <w:divsChild>
                                            <w:div w:id="655260454">
                                              <w:marLeft w:val="0"/>
                                              <w:marRight w:val="0"/>
                                              <w:marTop w:val="0"/>
                                              <w:marBottom w:val="0"/>
                                              <w:divBdr>
                                                <w:top w:val="none" w:sz="0" w:space="0" w:color="auto"/>
                                                <w:left w:val="none" w:sz="0" w:space="0" w:color="auto"/>
                                                <w:bottom w:val="none" w:sz="0" w:space="0" w:color="auto"/>
                                                <w:right w:val="none" w:sz="0" w:space="0" w:color="auto"/>
                                              </w:divBdr>
                                              <w:divsChild>
                                                <w:div w:id="211967030">
                                                  <w:marLeft w:val="0"/>
                                                  <w:marRight w:val="0"/>
                                                  <w:marTop w:val="0"/>
                                                  <w:marBottom w:val="0"/>
                                                  <w:divBdr>
                                                    <w:top w:val="none" w:sz="0" w:space="0" w:color="auto"/>
                                                    <w:left w:val="none" w:sz="0" w:space="0" w:color="auto"/>
                                                    <w:bottom w:val="none" w:sz="0" w:space="0" w:color="auto"/>
                                                    <w:right w:val="none" w:sz="0" w:space="0" w:color="auto"/>
                                                  </w:divBdr>
                                                  <w:divsChild>
                                                    <w:div w:id="1571187585">
                                                      <w:marLeft w:val="0"/>
                                                      <w:marRight w:val="0"/>
                                                      <w:marTop w:val="0"/>
                                                      <w:marBottom w:val="0"/>
                                                      <w:divBdr>
                                                        <w:top w:val="none" w:sz="0" w:space="0" w:color="auto"/>
                                                        <w:left w:val="none" w:sz="0" w:space="0" w:color="auto"/>
                                                        <w:bottom w:val="none" w:sz="0" w:space="0" w:color="auto"/>
                                                        <w:right w:val="none" w:sz="0" w:space="0" w:color="auto"/>
                                                      </w:divBdr>
                                                      <w:divsChild>
                                                        <w:div w:id="1519588482">
                                                          <w:marLeft w:val="0"/>
                                                          <w:marRight w:val="0"/>
                                                          <w:marTop w:val="0"/>
                                                          <w:marBottom w:val="0"/>
                                                          <w:divBdr>
                                                            <w:top w:val="none" w:sz="0" w:space="0" w:color="auto"/>
                                                            <w:left w:val="none" w:sz="0" w:space="0" w:color="auto"/>
                                                            <w:bottom w:val="none" w:sz="0" w:space="0" w:color="auto"/>
                                                            <w:right w:val="none" w:sz="0" w:space="0" w:color="auto"/>
                                                          </w:divBdr>
                                                          <w:divsChild>
                                                            <w:div w:id="767578136">
                                                              <w:marLeft w:val="0"/>
                                                              <w:marRight w:val="0"/>
                                                              <w:marTop w:val="0"/>
                                                              <w:marBottom w:val="0"/>
                                                              <w:divBdr>
                                                                <w:top w:val="none" w:sz="0" w:space="0" w:color="auto"/>
                                                                <w:left w:val="none" w:sz="0" w:space="0" w:color="auto"/>
                                                                <w:bottom w:val="none" w:sz="0" w:space="0" w:color="auto"/>
                                                                <w:right w:val="none" w:sz="0" w:space="0" w:color="auto"/>
                                                              </w:divBdr>
                                                              <w:divsChild>
                                                                <w:div w:id="974606302">
                                                                  <w:marLeft w:val="0"/>
                                                                  <w:marRight w:val="0"/>
                                                                  <w:marTop w:val="0"/>
                                                                  <w:marBottom w:val="0"/>
                                                                  <w:divBdr>
                                                                    <w:top w:val="none" w:sz="0" w:space="0" w:color="auto"/>
                                                                    <w:left w:val="none" w:sz="0" w:space="0" w:color="auto"/>
                                                                    <w:bottom w:val="none" w:sz="0" w:space="0" w:color="auto"/>
                                                                    <w:right w:val="none" w:sz="0" w:space="0" w:color="auto"/>
                                                                  </w:divBdr>
                                                                  <w:divsChild>
                                                                    <w:div w:id="942615837">
                                                                      <w:marLeft w:val="0"/>
                                                                      <w:marRight w:val="0"/>
                                                                      <w:marTop w:val="0"/>
                                                                      <w:marBottom w:val="0"/>
                                                                      <w:divBdr>
                                                                        <w:top w:val="none" w:sz="0" w:space="0" w:color="auto"/>
                                                                        <w:left w:val="none" w:sz="0" w:space="0" w:color="auto"/>
                                                                        <w:bottom w:val="none" w:sz="0" w:space="0" w:color="auto"/>
                                                                        <w:right w:val="none" w:sz="0" w:space="0" w:color="auto"/>
                                                                      </w:divBdr>
                                                                      <w:divsChild>
                                                                        <w:div w:id="363135138">
                                                                          <w:marLeft w:val="0"/>
                                                                          <w:marRight w:val="0"/>
                                                                          <w:marTop w:val="0"/>
                                                                          <w:marBottom w:val="0"/>
                                                                          <w:divBdr>
                                                                            <w:top w:val="none" w:sz="0" w:space="0" w:color="auto"/>
                                                                            <w:left w:val="none" w:sz="0" w:space="0" w:color="auto"/>
                                                                            <w:bottom w:val="none" w:sz="0" w:space="0" w:color="auto"/>
                                                                            <w:right w:val="none" w:sz="0" w:space="0" w:color="auto"/>
                                                                          </w:divBdr>
                                                                          <w:divsChild>
                                                                            <w:div w:id="2013296260">
                                                                              <w:marLeft w:val="0"/>
                                                                              <w:marRight w:val="0"/>
                                                                              <w:marTop w:val="0"/>
                                                                              <w:marBottom w:val="0"/>
                                                                              <w:divBdr>
                                                                                <w:top w:val="none" w:sz="0" w:space="0" w:color="auto"/>
                                                                                <w:left w:val="none" w:sz="0" w:space="0" w:color="auto"/>
                                                                                <w:bottom w:val="none" w:sz="0" w:space="0" w:color="auto"/>
                                                                                <w:right w:val="none" w:sz="0" w:space="0" w:color="auto"/>
                                                                              </w:divBdr>
                                                                              <w:divsChild>
                                                                                <w:div w:id="963341788">
                                                                                  <w:marLeft w:val="0"/>
                                                                                  <w:marRight w:val="0"/>
                                                                                  <w:marTop w:val="0"/>
                                                                                  <w:marBottom w:val="0"/>
                                                                                  <w:divBdr>
                                                                                    <w:top w:val="none" w:sz="0" w:space="0" w:color="auto"/>
                                                                                    <w:left w:val="none" w:sz="0" w:space="0" w:color="auto"/>
                                                                                    <w:bottom w:val="none" w:sz="0" w:space="0" w:color="auto"/>
                                                                                    <w:right w:val="none" w:sz="0" w:space="0" w:color="auto"/>
                                                                                  </w:divBdr>
                                                                                  <w:divsChild>
                                                                                    <w:div w:id="1286471809">
                                                                                      <w:marLeft w:val="0"/>
                                                                                      <w:marRight w:val="0"/>
                                                                                      <w:marTop w:val="0"/>
                                                                                      <w:marBottom w:val="0"/>
                                                                                      <w:divBdr>
                                                                                        <w:top w:val="none" w:sz="0" w:space="0" w:color="auto"/>
                                                                                        <w:left w:val="none" w:sz="0" w:space="0" w:color="auto"/>
                                                                                        <w:bottom w:val="none" w:sz="0" w:space="0" w:color="auto"/>
                                                                                        <w:right w:val="none" w:sz="0" w:space="0" w:color="auto"/>
                                                                                      </w:divBdr>
                                                                                      <w:divsChild>
                                                                                        <w:div w:id="14024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6495535">
      <w:bodyDiv w:val="1"/>
      <w:marLeft w:val="0"/>
      <w:marRight w:val="0"/>
      <w:marTop w:val="0"/>
      <w:marBottom w:val="0"/>
      <w:divBdr>
        <w:top w:val="none" w:sz="0" w:space="0" w:color="auto"/>
        <w:left w:val="none" w:sz="0" w:space="0" w:color="auto"/>
        <w:bottom w:val="none" w:sz="0" w:space="0" w:color="auto"/>
        <w:right w:val="none" w:sz="0" w:space="0" w:color="auto"/>
      </w:divBdr>
      <w:divsChild>
        <w:div w:id="1373770108">
          <w:marLeft w:val="0"/>
          <w:marRight w:val="0"/>
          <w:marTop w:val="0"/>
          <w:marBottom w:val="0"/>
          <w:divBdr>
            <w:top w:val="none" w:sz="0" w:space="0" w:color="auto"/>
            <w:left w:val="none" w:sz="0" w:space="0" w:color="auto"/>
            <w:bottom w:val="none" w:sz="0" w:space="0" w:color="auto"/>
            <w:right w:val="none" w:sz="0" w:space="0" w:color="auto"/>
          </w:divBdr>
          <w:divsChild>
            <w:div w:id="347029935">
              <w:marLeft w:val="0"/>
              <w:marRight w:val="0"/>
              <w:marTop w:val="0"/>
              <w:marBottom w:val="0"/>
              <w:divBdr>
                <w:top w:val="none" w:sz="0" w:space="0" w:color="auto"/>
                <w:left w:val="none" w:sz="0" w:space="0" w:color="auto"/>
                <w:bottom w:val="none" w:sz="0" w:space="0" w:color="auto"/>
                <w:right w:val="none" w:sz="0" w:space="0" w:color="auto"/>
              </w:divBdr>
              <w:divsChild>
                <w:div w:id="1153986305">
                  <w:marLeft w:val="0"/>
                  <w:marRight w:val="0"/>
                  <w:marTop w:val="0"/>
                  <w:marBottom w:val="0"/>
                  <w:divBdr>
                    <w:top w:val="none" w:sz="0" w:space="0" w:color="auto"/>
                    <w:left w:val="none" w:sz="0" w:space="0" w:color="auto"/>
                    <w:bottom w:val="none" w:sz="0" w:space="0" w:color="auto"/>
                    <w:right w:val="none" w:sz="0" w:space="0" w:color="auto"/>
                  </w:divBdr>
                  <w:divsChild>
                    <w:div w:id="1148015437">
                      <w:marLeft w:val="0"/>
                      <w:marRight w:val="0"/>
                      <w:marTop w:val="0"/>
                      <w:marBottom w:val="0"/>
                      <w:divBdr>
                        <w:top w:val="none" w:sz="0" w:space="0" w:color="auto"/>
                        <w:left w:val="none" w:sz="0" w:space="0" w:color="auto"/>
                        <w:bottom w:val="none" w:sz="0" w:space="0" w:color="auto"/>
                        <w:right w:val="none" w:sz="0" w:space="0" w:color="auto"/>
                      </w:divBdr>
                    </w:div>
                    <w:div w:id="1135834150">
                      <w:marLeft w:val="0"/>
                      <w:marRight w:val="0"/>
                      <w:marTop w:val="0"/>
                      <w:marBottom w:val="0"/>
                      <w:divBdr>
                        <w:top w:val="none" w:sz="0" w:space="0" w:color="auto"/>
                        <w:left w:val="none" w:sz="0" w:space="0" w:color="auto"/>
                        <w:bottom w:val="none" w:sz="0" w:space="0" w:color="auto"/>
                        <w:right w:val="none" w:sz="0" w:space="0" w:color="auto"/>
                      </w:divBdr>
                      <w:divsChild>
                        <w:div w:id="401022757">
                          <w:marLeft w:val="0"/>
                          <w:marRight w:val="0"/>
                          <w:marTop w:val="0"/>
                          <w:marBottom w:val="0"/>
                          <w:divBdr>
                            <w:top w:val="none" w:sz="0" w:space="0" w:color="auto"/>
                            <w:left w:val="none" w:sz="0" w:space="0" w:color="auto"/>
                            <w:bottom w:val="none" w:sz="0" w:space="0" w:color="auto"/>
                            <w:right w:val="none" w:sz="0" w:space="0" w:color="auto"/>
                          </w:divBdr>
                          <w:divsChild>
                            <w:div w:id="238443782">
                              <w:marLeft w:val="0"/>
                              <w:marRight w:val="0"/>
                              <w:marTop w:val="0"/>
                              <w:marBottom w:val="0"/>
                              <w:divBdr>
                                <w:top w:val="none" w:sz="0" w:space="0" w:color="auto"/>
                                <w:left w:val="none" w:sz="0" w:space="0" w:color="auto"/>
                                <w:bottom w:val="none" w:sz="0" w:space="0" w:color="auto"/>
                                <w:right w:val="none" w:sz="0" w:space="0" w:color="auto"/>
                              </w:divBdr>
                              <w:divsChild>
                                <w:div w:id="278487319">
                                  <w:marLeft w:val="0"/>
                                  <w:marRight w:val="0"/>
                                  <w:marTop w:val="0"/>
                                  <w:marBottom w:val="0"/>
                                  <w:divBdr>
                                    <w:top w:val="none" w:sz="0" w:space="0" w:color="auto"/>
                                    <w:left w:val="none" w:sz="0" w:space="0" w:color="auto"/>
                                    <w:bottom w:val="none" w:sz="0" w:space="0" w:color="auto"/>
                                    <w:right w:val="none" w:sz="0" w:space="0" w:color="auto"/>
                                  </w:divBdr>
                                  <w:divsChild>
                                    <w:div w:id="388965358">
                                      <w:marLeft w:val="0"/>
                                      <w:marRight w:val="0"/>
                                      <w:marTop w:val="0"/>
                                      <w:marBottom w:val="0"/>
                                      <w:divBdr>
                                        <w:top w:val="none" w:sz="0" w:space="0" w:color="auto"/>
                                        <w:left w:val="none" w:sz="0" w:space="0" w:color="auto"/>
                                        <w:bottom w:val="none" w:sz="0" w:space="0" w:color="auto"/>
                                        <w:right w:val="none" w:sz="0" w:space="0" w:color="auto"/>
                                      </w:divBdr>
                                      <w:divsChild>
                                        <w:div w:id="1737896957">
                                          <w:marLeft w:val="0"/>
                                          <w:marRight w:val="0"/>
                                          <w:marTop w:val="0"/>
                                          <w:marBottom w:val="0"/>
                                          <w:divBdr>
                                            <w:top w:val="none" w:sz="0" w:space="0" w:color="auto"/>
                                            <w:left w:val="none" w:sz="0" w:space="0" w:color="auto"/>
                                            <w:bottom w:val="none" w:sz="0" w:space="0" w:color="auto"/>
                                            <w:right w:val="none" w:sz="0" w:space="0" w:color="auto"/>
                                          </w:divBdr>
                                          <w:divsChild>
                                            <w:div w:id="1777752011">
                                              <w:marLeft w:val="0"/>
                                              <w:marRight w:val="0"/>
                                              <w:marTop w:val="0"/>
                                              <w:marBottom w:val="0"/>
                                              <w:divBdr>
                                                <w:top w:val="none" w:sz="0" w:space="0" w:color="auto"/>
                                                <w:left w:val="none" w:sz="0" w:space="0" w:color="auto"/>
                                                <w:bottom w:val="none" w:sz="0" w:space="0" w:color="auto"/>
                                                <w:right w:val="none" w:sz="0" w:space="0" w:color="auto"/>
                                              </w:divBdr>
                                              <w:divsChild>
                                                <w:div w:id="1164932171">
                                                  <w:marLeft w:val="0"/>
                                                  <w:marRight w:val="0"/>
                                                  <w:marTop w:val="0"/>
                                                  <w:marBottom w:val="0"/>
                                                  <w:divBdr>
                                                    <w:top w:val="none" w:sz="0" w:space="0" w:color="auto"/>
                                                    <w:left w:val="none" w:sz="0" w:space="0" w:color="auto"/>
                                                    <w:bottom w:val="none" w:sz="0" w:space="0" w:color="auto"/>
                                                    <w:right w:val="none" w:sz="0" w:space="0" w:color="auto"/>
                                                  </w:divBdr>
                                                  <w:divsChild>
                                                    <w:div w:id="521478243">
                                                      <w:marLeft w:val="0"/>
                                                      <w:marRight w:val="0"/>
                                                      <w:marTop w:val="0"/>
                                                      <w:marBottom w:val="0"/>
                                                      <w:divBdr>
                                                        <w:top w:val="none" w:sz="0" w:space="0" w:color="auto"/>
                                                        <w:left w:val="none" w:sz="0" w:space="0" w:color="auto"/>
                                                        <w:bottom w:val="none" w:sz="0" w:space="0" w:color="auto"/>
                                                        <w:right w:val="none" w:sz="0" w:space="0" w:color="auto"/>
                                                      </w:divBdr>
                                                      <w:divsChild>
                                                        <w:div w:id="1917010416">
                                                          <w:marLeft w:val="0"/>
                                                          <w:marRight w:val="0"/>
                                                          <w:marTop w:val="0"/>
                                                          <w:marBottom w:val="0"/>
                                                          <w:divBdr>
                                                            <w:top w:val="none" w:sz="0" w:space="0" w:color="auto"/>
                                                            <w:left w:val="none" w:sz="0" w:space="0" w:color="auto"/>
                                                            <w:bottom w:val="none" w:sz="0" w:space="0" w:color="auto"/>
                                                            <w:right w:val="none" w:sz="0" w:space="0" w:color="auto"/>
                                                          </w:divBdr>
                                                          <w:divsChild>
                                                            <w:div w:id="565067377">
                                                              <w:marLeft w:val="0"/>
                                                              <w:marRight w:val="0"/>
                                                              <w:marTop w:val="0"/>
                                                              <w:marBottom w:val="0"/>
                                                              <w:divBdr>
                                                                <w:top w:val="none" w:sz="0" w:space="0" w:color="auto"/>
                                                                <w:left w:val="none" w:sz="0" w:space="0" w:color="auto"/>
                                                                <w:bottom w:val="none" w:sz="0" w:space="0" w:color="auto"/>
                                                                <w:right w:val="none" w:sz="0" w:space="0" w:color="auto"/>
                                                              </w:divBdr>
                                                              <w:divsChild>
                                                                <w:div w:id="305087655">
                                                                  <w:marLeft w:val="0"/>
                                                                  <w:marRight w:val="0"/>
                                                                  <w:marTop w:val="0"/>
                                                                  <w:marBottom w:val="0"/>
                                                                  <w:divBdr>
                                                                    <w:top w:val="none" w:sz="0" w:space="0" w:color="auto"/>
                                                                    <w:left w:val="none" w:sz="0" w:space="0" w:color="auto"/>
                                                                    <w:bottom w:val="none" w:sz="0" w:space="0" w:color="auto"/>
                                                                    <w:right w:val="none" w:sz="0" w:space="0" w:color="auto"/>
                                                                  </w:divBdr>
                                                                  <w:divsChild>
                                                                    <w:div w:id="1833444875">
                                                                      <w:marLeft w:val="0"/>
                                                                      <w:marRight w:val="0"/>
                                                                      <w:marTop w:val="0"/>
                                                                      <w:marBottom w:val="0"/>
                                                                      <w:divBdr>
                                                                        <w:top w:val="none" w:sz="0" w:space="0" w:color="auto"/>
                                                                        <w:left w:val="none" w:sz="0" w:space="0" w:color="auto"/>
                                                                        <w:bottom w:val="none" w:sz="0" w:space="0" w:color="auto"/>
                                                                        <w:right w:val="none" w:sz="0" w:space="0" w:color="auto"/>
                                                                      </w:divBdr>
                                                                      <w:divsChild>
                                                                        <w:div w:id="1730836185">
                                                                          <w:marLeft w:val="0"/>
                                                                          <w:marRight w:val="0"/>
                                                                          <w:marTop w:val="0"/>
                                                                          <w:marBottom w:val="0"/>
                                                                          <w:divBdr>
                                                                            <w:top w:val="none" w:sz="0" w:space="0" w:color="auto"/>
                                                                            <w:left w:val="none" w:sz="0" w:space="0" w:color="auto"/>
                                                                            <w:bottom w:val="none" w:sz="0" w:space="0" w:color="auto"/>
                                                                            <w:right w:val="none" w:sz="0" w:space="0" w:color="auto"/>
                                                                          </w:divBdr>
                                                                          <w:divsChild>
                                                                            <w:div w:id="154230198">
                                                                              <w:marLeft w:val="0"/>
                                                                              <w:marRight w:val="0"/>
                                                                              <w:marTop w:val="0"/>
                                                                              <w:marBottom w:val="0"/>
                                                                              <w:divBdr>
                                                                                <w:top w:val="none" w:sz="0" w:space="0" w:color="auto"/>
                                                                                <w:left w:val="none" w:sz="0" w:space="0" w:color="auto"/>
                                                                                <w:bottom w:val="none" w:sz="0" w:space="0" w:color="auto"/>
                                                                                <w:right w:val="none" w:sz="0" w:space="0" w:color="auto"/>
                                                                              </w:divBdr>
                                                                              <w:divsChild>
                                                                                <w:div w:id="553853788">
                                                                                  <w:marLeft w:val="0"/>
                                                                                  <w:marRight w:val="0"/>
                                                                                  <w:marTop w:val="0"/>
                                                                                  <w:marBottom w:val="0"/>
                                                                                  <w:divBdr>
                                                                                    <w:top w:val="none" w:sz="0" w:space="0" w:color="auto"/>
                                                                                    <w:left w:val="none" w:sz="0" w:space="0" w:color="auto"/>
                                                                                    <w:bottom w:val="none" w:sz="0" w:space="0" w:color="auto"/>
                                                                                    <w:right w:val="none" w:sz="0" w:space="0" w:color="auto"/>
                                                                                  </w:divBdr>
                                                                                  <w:divsChild>
                                                                                    <w:div w:id="2099447769">
                                                                                      <w:marLeft w:val="0"/>
                                                                                      <w:marRight w:val="0"/>
                                                                                      <w:marTop w:val="0"/>
                                                                                      <w:marBottom w:val="0"/>
                                                                                      <w:divBdr>
                                                                                        <w:top w:val="none" w:sz="0" w:space="0" w:color="auto"/>
                                                                                        <w:left w:val="none" w:sz="0" w:space="0" w:color="auto"/>
                                                                                        <w:bottom w:val="none" w:sz="0" w:space="0" w:color="auto"/>
                                                                                        <w:right w:val="none" w:sz="0" w:space="0" w:color="auto"/>
                                                                                      </w:divBdr>
                                                                                      <w:divsChild>
                                                                                        <w:div w:id="301498075">
                                                                                          <w:marLeft w:val="0"/>
                                                                                          <w:marRight w:val="0"/>
                                                                                          <w:marTop w:val="0"/>
                                                                                          <w:marBottom w:val="0"/>
                                                                                          <w:divBdr>
                                                                                            <w:top w:val="none" w:sz="0" w:space="0" w:color="auto"/>
                                                                                            <w:left w:val="none" w:sz="0" w:space="0" w:color="auto"/>
                                                                                            <w:bottom w:val="none" w:sz="0" w:space="0" w:color="auto"/>
                                                                                            <w:right w:val="none" w:sz="0" w:space="0" w:color="auto"/>
                                                                                          </w:divBdr>
                                                                                          <w:divsChild>
                                                                                            <w:div w:id="1046031876">
                                                                                              <w:marLeft w:val="0"/>
                                                                                              <w:marRight w:val="0"/>
                                                                                              <w:marTop w:val="0"/>
                                                                                              <w:marBottom w:val="0"/>
                                                                                              <w:divBdr>
                                                                                                <w:top w:val="none" w:sz="0" w:space="0" w:color="auto"/>
                                                                                                <w:left w:val="none" w:sz="0" w:space="0" w:color="auto"/>
                                                                                                <w:bottom w:val="none" w:sz="0" w:space="0" w:color="auto"/>
                                                                                                <w:right w:val="none" w:sz="0" w:space="0" w:color="auto"/>
                                                                                              </w:divBdr>
                                                                                              <w:divsChild>
                                                                                                <w:div w:id="866020785">
                                                                                                  <w:marLeft w:val="0"/>
                                                                                                  <w:marRight w:val="0"/>
                                                                                                  <w:marTop w:val="0"/>
                                                                                                  <w:marBottom w:val="0"/>
                                                                                                  <w:divBdr>
                                                                                                    <w:top w:val="none" w:sz="0" w:space="0" w:color="auto"/>
                                                                                                    <w:left w:val="none" w:sz="0" w:space="0" w:color="auto"/>
                                                                                                    <w:bottom w:val="none" w:sz="0" w:space="0" w:color="auto"/>
                                                                                                    <w:right w:val="none" w:sz="0" w:space="0" w:color="auto"/>
                                                                                                  </w:divBdr>
                                                                                                  <w:divsChild>
                                                                                                    <w:div w:id="98526999">
                                                                                                      <w:marLeft w:val="0"/>
                                                                                                      <w:marRight w:val="0"/>
                                                                                                      <w:marTop w:val="0"/>
                                                                                                      <w:marBottom w:val="0"/>
                                                                                                      <w:divBdr>
                                                                                                        <w:top w:val="none" w:sz="0" w:space="0" w:color="auto"/>
                                                                                                        <w:left w:val="none" w:sz="0" w:space="0" w:color="auto"/>
                                                                                                        <w:bottom w:val="none" w:sz="0" w:space="0" w:color="auto"/>
                                                                                                        <w:right w:val="none" w:sz="0" w:space="0" w:color="auto"/>
                                                                                                      </w:divBdr>
                                                                                                      <w:divsChild>
                                                                                                        <w:div w:id="208714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50522979">
      <w:bodyDiv w:val="1"/>
      <w:marLeft w:val="0"/>
      <w:marRight w:val="0"/>
      <w:marTop w:val="0"/>
      <w:marBottom w:val="0"/>
      <w:divBdr>
        <w:top w:val="none" w:sz="0" w:space="0" w:color="auto"/>
        <w:left w:val="none" w:sz="0" w:space="0" w:color="auto"/>
        <w:bottom w:val="none" w:sz="0" w:space="0" w:color="auto"/>
        <w:right w:val="none" w:sz="0" w:space="0" w:color="auto"/>
      </w:divBdr>
      <w:divsChild>
        <w:div w:id="241648320">
          <w:marLeft w:val="0"/>
          <w:marRight w:val="0"/>
          <w:marTop w:val="0"/>
          <w:marBottom w:val="0"/>
          <w:divBdr>
            <w:top w:val="none" w:sz="0" w:space="0" w:color="auto"/>
            <w:left w:val="none" w:sz="0" w:space="0" w:color="auto"/>
            <w:bottom w:val="none" w:sz="0" w:space="0" w:color="auto"/>
            <w:right w:val="none" w:sz="0" w:space="0" w:color="auto"/>
          </w:divBdr>
          <w:divsChild>
            <w:div w:id="1270822487">
              <w:marLeft w:val="0"/>
              <w:marRight w:val="0"/>
              <w:marTop w:val="0"/>
              <w:marBottom w:val="0"/>
              <w:divBdr>
                <w:top w:val="none" w:sz="0" w:space="0" w:color="auto"/>
                <w:left w:val="none" w:sz="0" w:space="0" w:color="auto"/>
                <w:bottom w:val="none" w:sz="0" w:space="0" w:color="auto"/>
                <w:right w:val="none" w:sz="0" w:space="0" w:color="auto"/>
              </w:divBdr>
              <w:divsChild>
                <w:div w:id="549460239">
                  <w:marLeft w:val="0"/>
                  <w:marRight w:val="0"/>
                  <w:marTop w:val="0"/>
                  <w:marBottom w:val="0"/>
                  <w:divBdr>
                    <w:top w:val="none" w:sz="0" w:space="0" w:color="auto"/>
                    <w:left w:val="none" w:sz="0" w:space="0" w:color="auto"/>
                    <w:bottom w:val="none" w:sz="0" w:space="0" w:color="auto"/>
                    <w:right w:val="none" w:sz="0" w:space="0" w:color="auto"/>
                  </w:divBdr>
                  <w:divsChild>
                    <w:div w:id="331225223">
                      <w:marLeft w:val="0"/>
                      <w:marRight w:val="0"/>
                      <w:marTop w:val="0"/>
                      <w:marBottom w:val="0"/>
                      <w:divBdr>
                        <w:top w:val="none" w:sz="0" w:space="0" w:color="auto"/>
                        <w:left w:val="none" w:sz="0" w:space="0" w:color="auto"/>
                        <w:bottom w:val="none" w:sz="0" w:space="0" w:color="auto"/>
                        <w:right w:val="none" w:sz="0" w:space="0" w:color="auto"/>
                      </w:divBdr>
                    </w:div>
                    <w:div w:id="1956206610">
                      <w:marLeft w:val="0"/>
                      <w:marRight w:val="0"/>
                      <w:marTop w:val="0"/>
                      <w:marBottom w:val="0"/>
                      <w:divBdr>
                        <w:top w:val="none" w:sz="0" w:space="0" w:color="auto"/>
                        <w:left w:val="none" w:sz="0" w:space="0" w:color="auto"/>
                        <w:bottom w:val="none" w:sz="0" w:space="0" w:color="auto"/>
                        <w:right w:val="none" w:sz="0" w:space="0" w:color="auto"/>
                      </w:divBdr>
                      <w:divsChild>
                        <w:div w:id="1862013860">
                          <w:marLeft w:val="0"/>
                          <w:marRight w:val="0"/>
                          <w:marTop w:val="0"/>
                          <w:marBottom w:val="0"/>
                          <w:divBdr>
                            <w:top w:val="none" w:sz="0" w:space="0" w:color="auto"/>
                            <w:left w:val="none" w:sz="0" w:space="0" w:color="auto"/>
                            <w:bottom w:val="none" w:sz="0" w:space="0" w:color="auto"/>
                            <w:right w:val="none" w:sz="0" w:space="0" w:color="auto"/>
                          </w:divBdr>
                          <w:divsChild>
                            <w:div w:id="1457798257">
                              <w:marLeft w:val="0"/>
                              <w:marRight w:val="0"/>
                              <w:marTop w:val="0"/>
                              <w:marBottom w:val="0"/>
                              <w:divBdr>
                                <w:top w:val="none" w:sz="0" w:space="0" w:color="auto"/>
                                <w:left w:val="none" w:sz="0" w:space="0" w:color="auto"/>
                                <w:bottom w:val="none" w:sz="0" w:space="0" w:color="auto"/>
                                <w:right w:val="none" w:sz="0" w:space="0" w:color="auto"/>
                              </w:divBdr>
                              <w:divsChild>
                                <w:div w:id="742869521">
                                  <w:marLeft w:val="0"/>
                                  <w:marRight w:val="0"/>
                                  <w:marTop w:val="0"/>
                                  <w:marBottom w:val="0"/>
                                  <w:divBdr>
                                    <w:top w:val="none" w:sz="0" w:space="0" w:color="auto"/>
                                    <w:left w:val="none" w:sz="0" w:space="0" w:color="auto"/>
                                    <w:bottom w:val="none" w:sz="0" w:space="0" w:color="auto"/>
                                    <w:right w:val="none" w:sz="0" w:space="0" w:color="auto"/>
                                  </w:divBdr>
                                  <w:divsChild>
                                    <w:div w:id="1510025271">
                                      <w:marLeft w:val="0"/>
                                      <w:marRight w:val="0"/>
                                      <w:marTop w:val="0"/>
                                      <w:marBottom w:val="0"/>
                                      <w:divBdr>
                                        <w:top w:val="none" w:sz="0" w:space="0" w:color="auto"/>
                                        <w:left w:val="none" w:sz="0" w:space="0" w:color="auto"/>
                                        <w:bottom w:val="none" w:sz="0" w:space="0" w:color="auto"/>
                                        <w:right w:val="none" w:sz="0" w:space="0" w:color="auto"/>
                                      </w:divBdr>
                                      <w:divsChild>
                                        <w:div w:id="1815292437">
                                          <w:marLeft w:val="0"/>
                                          <w:marRight w:val="0"/>
                                          <w:marTop w:val="0"/>
                                          <w:marBottom w:val="0"/>
                                          <w:divBdr>
                                            <w:top w:val="none" w:sz="0" w:space="0" w:color="auto"/>
                                            <w:left w:val="none" w:sz="0" w:space="0" w:color="auto"/>
                                            <w:bottom w:val="none" w:sz="0" w:space="0" w:color="auto"/>
                                            <w:right w:val="none" w:sz="0" w:space="0" w:color="auto"/>
                                          </w:divBdr>
                                          <w:divsChild>
                                            <w:div w:id="1405645025">
                                              <w:marLeft w:val="0"/>
                                              <w:marRight w:val="0"/>
                                              <w:marTop w:val="0"/>
                                              <w:marBottom w:val="0"/>
                                              <w:divBdr>
                                                <w:top w:val="none" w:sz="0" w:space="0" w:color="auto"/>
                                                <w:left w:val="none" w:sz="0" w:space="0" w:color="auto"/>
                                                <w:bottom w:val="none" w:sz="0" w:space="0" w:color="auto"/>
                                                <w:right w:val="none" w:sz="0" w:space="0" w:color="auto"/>
                                              </w:divBdr>
                                              <w:divsChild>
                                                <w:div w:id="220873626">
                                                  <w:marLeft w:val="0"/>
                                                  <w:marRight w:val="0"/>
                                                  <w:marTop w:val="0"/>
                                                  <w:marBottom w:val="0"/>
                                                  <w:divBdr>
                                                    <w:top w:val="none" w:sz="0" w:space="0" w:color="auto"/>
                                                    <w:left w:val="none" w:sz="0" w:space="0" w:color="auto"/>
                                                    <w:bottom w:val="none" w:sz="0" w:space="0" w:color="auto"/>
                                                    <w:right w:val="none" w:sz="0" w:space="0" w:color="auto"/>
                                                  </w:divBdr>
                                                  <w:divsChild>
                                                    <w:div w:id="815417017">
                                                      <w:marLeft w:val="0"/>
                                                      <w:marRight w:val="0"/>
                                                      <w:marTop w:val="0"/>
                                                      <w:marBottom w:val="0"/>
                                                      <w:divBdr>
                                                        <w:top w:val="none" w:sz="0" w:space="0" w:color="auto"/>
                                                        <w:left w:val="none" w:sz="0" w:space="0" w:color="auto"/>
                                                        <w:bottom w:val="none" w:sz="0" w:space="0" w:color="auto"/>
                                                        <w:right w:val="none" w:sz="0" w:space="0" w:color="auto"/>
                                                      </w:divBdr>
                                                      <w:divsChild>
                                                        <w:div w:id="864489235">
                                                          <w:marLeft w:val="0"/>
                                                          <w:marRight w:val="0"/>
                                                          <w:marTop w:val="0"/>
                                                          <w:marBottom w:val="0"/>
                                                          <w:divBdr>
                                                            <w:top w:val="none" w:sz="0" w:space="0" w:color="auto"/>
                                                            <w:left w:val="none" w:sz="0" w:space="0" w:color="auto"/>
                                                            <w:bottom w:val="none" w:sz="0" w:space="0" w:color="auto"/>
                                                            <w:right w:val="none" w:sz="0" w:space="0" w:color="auto"/>
                                                          </w:divBdr>
                                                          <w:divsChild>
                                                            <w:div w:id="1117214338">
                                                              <w:marLeft w:val="0"/>
                                                              <w:marRight w:val="0"/>
                                                              <w:marTop w:val="0"/>
                                                              <w:marBottom w:val="0"/>
                                                              <w:divBdr>
                                                                <w:top w:val="none" w:sz="0" w:space="0" w:color="auto"/>
                                                                <w:left w:val="none" w:sz="0" w:space="0" w:color="auto"/>
                                                                <w:bottom w:val="none" w:sz="0" w:space="0" w:color="auto"/>
                                                                <w:right w:val="none" w:sz="0" w:space="0" w:color="auto"/>
                                                              </w:divBdr>
                                                              <w:divsChild>
                                                                <w:div w:id="406996821">
                                                                  <w:marLeft w:val="0"/>
                                                                  <w:marRight w:val="0"/>
                                                                  <w:marTop w:val="0"/>
                                                                  <w:marBottom w:val="0"/>
                                                                  <w:divBdr>
                                                                    <w:top w:val="none" w:sz="0" w:space="0" w:color="auto"/>
                                                                    <w:left w:val="none" w:sz="0" w:space="0" w:color="auto"/>
                                                                    <w:bottom w:val="none" w:sz="0" w:space="0" w:color="auto"/>
                                                                    <w:right w:val="none" w:sz="0" w:space="0" w:color="auto"/>
                                                                  </w:divBdr>
                                                                  <w:divsChild>
                                                                    <w:div w:id="1760910491">
                                                                      <w:marLeft w:val="0"/>
                                                                      <w:marRight w:val="0"/>
                                                                      <w:marTop w:val="0"/>
                                                                      <w:marBottom w:val="0"/>
                                                                      <w:divBdr>
                                                                        <w:top w:val="none" w:sz="0" w:space="0" w:color="auto"/>
                                                                        <w:left w:val="none" w:sz="0" w:space="0" w:color="auto"/>
                                                                        <w:bottom w:val="none" w:sz="0" w:space="0" w:color="auto"/>
                                                                        <w:right w:val="none" w:sz="0" w:space="0" w:color="auto"/>
                                                                      </w:divBdr>
                                                                      <w:divsChild>
                                                                        <w:div w:id="1806508211">
                                                                          <w:marLeft w:val="0"/>
                                                                          <w:marRight w:val="0"/>
                                                                          <w:marTop w:val="0"/>
                                                                          <w:marBottom w:val="0"/>
                                                                          <w:divBdr>
                                                                            <w:top w:val="none" w:sz="0" w:space="0" w:color="auto"/>
                                                                            <w:left w:val="none" w:sz="0" w:space="0" w:color="auto"/>
                                                                            <w:bottom w:val="none" w:sz="0" w:space="0" w:color="auto"/>
                                                                            <w:right w:val="none" w:sz="0" w:space="0" w:color="auto"/>
                                                                          </w:divBdr>
                                                                          <w:divsChild>
                                                                            <w:div w:id="2129271759">
                                                                              <w:marLeft w:val="0"/>
                                                                              <w:marRight w:val="0"/>
                                                                              <w:marTop w:val="0"/>
                                                                              <w:marBottom w:val="0"/>
                                                                              <w:divBdr>
                                                                                <w:top w:val="none" w:sz="0" w:space="0" w:color="auto"/>
                                                                                <w:left w:val="none" w:sz="0" w:space="0" w:color="auto"/>
                                                                                <w:bottom w:val="none" w:sz="0" w:space="0" w:color="auto"/>
                                                                                <w:right w:val="none" w:sz="0" w:space="0" w:color="auto"/>
                                                                              </w:divBdr>
                                                                              <w:divsChild>
                                                                                <w:div w:id="1742675211">
                                                                                  <w:marLeft w:val="0"/>
                                                                                  <w:marRight w:val="0"/>
                                                                                  <w:marTop w:val="0"/>
                                                                                  <w:marBottom w:val="0"/>
                                                                                  <w:divBdr>
                                                                                    <w:top w:val="none" w:sz="0" w:space="0" w:color="auto"/>
                                                                                    <w:left w:val="none" w:sz="0" w:space="0" w:color="auto"/>
                                                                                    <w:bottom w:val="none" w:sz="0" w:space="0" w:color="auto"/>
                                                                                    <w:right w:val="none" w:sz="0" w:space="0" w:color="auto"/>
                                                                                  </w:divBdr>
                                                                                  <w:divsChild>
                                                                                    <w:div w:id="1120300386">
                                                                                      <w:marLeft w:val="0"/>
                                                                                      <w:marRight w:val="0"/>
                                                                                      <w:marTop w:val="0"/>
                                                                                      <w:marBottom w:val="0"/>
                                                                                      <w:divBdr>
                                                                                        <w:top w:val="none" w:sz="0" w:space="0" w:color="auto"/>
                                                                                        <w:left w:val="none" w:sz="0" w:space="0" w:color="auto"/>
                                                                                        <w:bottom w:val="none" w:sz="0" w:space="0" w:color="auto"/>
                                                                                        <w:right w:val="none" w:sz="0" w:space="0" w:color="auto"/>
                                                                                      </w:divBdr>
                                                                                      <w:divsChild>
                                                                                        <w:div w:id="1889299227">
                                                                                          <w:marLeft w:val="0"/>
                                                                                          <w:marRight w:val="0"/>
                                                                                          <w:marTop w:val="0"/>
                                                                                          <w:marBottom w:val="0"/>
                                                                                          <w:divBdr>
                                                                                            <w:top w:val="none" w:sz="0" w:space="0" w:color="auto"/>
                                                                                            <w:left w:val="none" w:sz="0" w:space="0" w:color="auto"/>
                                                                                            <w:bottom w:val="none" w:sz="0" w:space="0" w:color="auto"/>
                                                                                            <w:right w:val="none" w:sz="0" w:space="0" w:color="auto"/>
                                                                                          </w:divBdr>
                                                                                          <w:divsChild>
                                                                                            <w:div w:id="1522085233">
                                                                                              <w:marLeft w:val="0"/>
                                                                                              <w:marRight w:val="0"/>
                                                                                              <w:marTop w:val="0"/>
                                                                                              <w:marBottom w:val="0"/>
                                                                                              <w:divBdr>
                                                                                                <w:top w:val="none" w:sz="0" w:space="0" w:color="auto"/>
                                                                                                <w:left w:val="none" w:sz="0" w:space="0" w:color="auto"/>
                                                                                                <w:bottom w:val="none" w:sz="0" w:space="0" w:color="auto"/>
                                                                                                <w:right w:val="none" w:sz="0" w:space="0" w:color="auto"/>
                                                                                              </w:divBdr>
                                                                                              <w:divsChild>
                                                                                                <w:div w:id="879702544">
                                                                                                  <w:marLeft w:val="0"/>
                                                                                                  <w:marRight w:val="0"/>
                                                                                                  <w:marTop w:val="0"/>
                                                                                                  <w:marBottom w:val="0"/>
                                                                                                  <w:divBdr>
                                                                                                    <w:top w:val="none" w:sz="0" w:space="0" w:color="auto"/>
                                                                                                    <w:left w:val="none" w:sz="0" w:space="0" w:color="auto"/>
                                                                                                    <w:bottom w:val="none" w:sz="0" w:space="0" w:color="auto"/>
                                                                                                    <w:right w:val="none" w:sz="0" w:space="0" w:color="auto"/>
                                                                                                  </w:divBdr>
                                                                                                  <w:divsChild>
                                                                                                    <w:div w:id="1652561545">
                                                                                                      <w:marLeft w:val="0"/>
                                                                                                      <w:marRight w:val="0"/>
                                                                                                      <w:marTop w:val="0"/>
                                                                                                      <w:marBottom w:val="0"/>
                                                                                                      <w:divBdr>
                                                                                                        <w:top w:val="none" w:sz="0" w:space="0" w:color="auto"/>
                                                                                                        <w:left w:val="none" w:sz="0" w:space="0" w:color="auto"/>
                                                                                                        <w:bottom w:val="none" w:sz="0" w:space="0" w:color="auto"/>
                                                                                                        <w:right w:val="none" w:sz="0" w:space="0" w:color="auto"/>
                                                                                                      </w:divBdr>
                                                                                                      <w:divsChild>
                                                                                                        <w:div w:id="115641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5254862">
      <w:bodyDiv w:val="1"/>
      <w:marLeft w:val="0"/>
      <w:marRight w:val="0"/>
      <w:marTop w:val="0"/>
      <w:marBottom w:val="0"/>
      <w:divBdr>
        <w:top w:val="none" w:sz="0" w:space="0" w:color="auto"/>
        <w:left w:val="none" w:sz="0" w:space="0" w:color="auto"/>
        <w:bottom w:val="none" w:sz="0" w:space="0" w:color="auto"/>
        <w:right w:val="none" w:sz="0" w:space="0" w:color="auto"/>
      </w:divBdr>
      <w:divsChild>
        <w:div w:id="21908616">
          <w:marLeft w:val="0"/>
          <w:marRight w:val="0"/>
          <w:marTop w:val="0"/>
          <w:marBottom w:val="0"/>
          <w:divBdr>
            <w:top w:val="none" w:sz="0" w:space="0" w:color="auto"/>
            <w:left w:val="none" w:sz="0" w:space="0" w:color="auto"/>
            <w:bottom w:val="none" w:sz="0" w:space="0" w:color="auto"/>
            <w:right w:val="none" w:sz="0" w:space="0" w:color="auto"/>
          </w:divBdr>
          <w:divsChild>
            <w:div w:id="1850876454">
              <w:marLeft w:val="0"/>
              <w:marRight w:val="0"/>
              <w:marTop w:val="0"/>
              <w:marBottom w:val="0"/>
              <w:divBdr>
                <w:top w:val="none" w:sz="0" w:space="0" w:color="auto"/>
                <w:left w:val="none" w:sz="0" w:space="0" w:color="auto"/>
                <w:bottom w:val="none" w:sz="0" w:space="0" w:color="auto"/>
                <w:right w:val="none" w:sz="0" w:space="0" w:color="auto"/>
              </w:divBdr>
              <w:divsChild>
                <w:div w:id="735277105">
                  <w:marLeft w:val="0"/>
                  <w:marRight w:val="0"/>
                  <w:marTop w:val="0"/>
                  <w:marBottom w:val="0"/>
                  <w:divBdr>
                    <w:top w:val="none" w:sz="0" w:space="0" w:color="auto"/>
                    <w:left w:val="none" w:sz="0" w:space="0" w:color="auto"/>
                    <w:bottom w:val="none" w:sz="0" w:space="0" w:color="auto"/>
                    <w:right w:val="none" w:sz="0" w:space="0" w:color="auto"/>
                  </w:divBdr>
                  <w:divsChild>
                    <w:div w:id="828131596">
                      <w:marLeft w:val="0"/>
                      <w:marRight w:val="0"/>
                      <w:marTop w:val="0"/>
                      <w:marBottom w:val="0"/>
                      <w:divBdr>
                        <w:top w:val="none" w:sz="0" w:space="0" w:color="auto"/>
                        <w:left w:val="none" w:sz="0" w:space="0" w:color="auto"/>
                        <w:bottom w:val="none" w:sz="0" w:space="0" w:color="auto"/>
                        <w:right w:val="none" w:sz="0" w:space="0" w:color="auto"/>
                      </w:divBdr>
                    </w:div>
                    <w:div w:id="490487998">
                      <w:marLeft w:val="0"/>
                      <w:marRight w:val="0"/>
                      <w:marTop w:val="0"/>
                      <w:marBottom w:val="0"/>
                      <w:divBdr>
                        <w:top w:val="none" w:sz="0" w:space="0" w:color="auto"/>
                        <w:left w:val="none" w:sz="0" w:space="0" w:color="auto"/>
                        <w:bottom w:val="none" w:sz="0" w:space="0" w:color="auto"/>
                        <w:right w:val="none" w:sz="0" w:space="0" w:color="auto"/>
                      </w:divBdr>
                      <w:divsChild>
                        <w:div w:id="1555241890">
                          <w:marLeft w:val="0"/>
                          <w:marRight w:val="0"/>
                          <w:marTop w:val="0"/>
                          <w:marBottom w:val="0"/>
                          <w:divBdr>
                            <w:top w:val="none" w:sz="0" w:space="0" w:color="auto"/>
                            <w:left w:val="none" w:sz="0" w:space="0" w:color="auto"/>
                            <w:bottom w:val="none" w:sz="0" w:space="0" w:color="auto"/>
                            <w:right w:val="none" w:sz="0" w:space="0" w:color="auto"/>
                          </w:divBdr>
                          <w:divsChild>
                            <w:div w:id="775946722">
                              <w:marLeft w:val="0"/>
                              <w:marRight w:val="0"/>
                              <w:marTop w:val="0"/>
                              <w:marBottom w:val="0"/>
                              <w:divBdr>
                                <w:top w:val="none" w:sz="0" w:space="0" w:color="auto"/>
                                <w:left w:val="none" w:sz="0" w:space="0" w:color="auto"/>
                                <w:bottom w:val="none" w:sz="0" w:space="0" w:color="auto"/>
                                <w:right w:val="none" w:sz="0" w:space="0" w:color="auto"/>
                              </w:divBdr>
                              <w:divsChild>
                                <w:div w:id="1005523360">
                                  <w:marLeft w:val="0"/>
                                  <w:marRight w:val="0"/>
                                  <w:marTop w:val="0"/>
                                  <w:marBottom w:val="0"/>
                                  <w:divBdr>
                                    <w:top w:val="none" w:sz="0" w:space="0" w:color="auto"/>
                                    <w:left w:val="none" w:sz="0" w:space="0" w:color="auto"/>
                                    <w:bottom w:val="none" w:sz="0" w:space="0" w:color="auto"/>
                                    <w:right w:val="none" w:sz="0" w:space="0" w:color="auto"/>
                                  </w:divBdr>
                                  <w:divsChild>
                                    <w:div w:id="1222213227">
                                      <w:marLeft w:val="0"/>
                                      <w:marRight w:val="0"/>
                                      <w:marTop w:val="0"/>
                                      <w:marBottom w:val="0"/>
                                      <w:divBdr>
                                        <w:top w:val="none" w:sz="0" w:space="0" w:color="auto"/>
                                        <w:left w:val="none" w:sz="0" w:space="0" w:color="auto"/>
                                        <w:bottom w:val="none" w:sz="0" w:space="0" w:color="auto"/>
                                        <w:right w:val="none" w:sz="0" w:space="0" w:color="auto"/>
                                      </w:divBdr>
                                      <w:divsChild>
                                        <w:div w:id="1057702350">
                                          <w:marLeft w:val="0"/>
                                          <w:marRight w:val="0"/>
                                          <w:marTop w:val="0"/>
                                          <w:marBottom w:val="0"/>
                                          <w:divBdr>
                                            <w:top w:val="none" w:sz="0" w:space="0" w:color="auto"/>
                                            <w:left w:val="none" w:sz="0" w:space="0" w:color="auto"/>
                                            <w:bottom w:val="none" w:sz="0" w:space="0" w:color="auto"/>
                                            <w:right w:val="none" w:sz="0" w:space="0" w:color="auto"/>
                                          </w:divBdr>
                                          <w:divsChild>
                                            <w:div w:id="1071538689">
                                              <w:marLeft w:val="0"/>
                                              <w:marRight w:val="0"/>
                                              <w:marTop w:val="0"/>
                                              <w:marBottom w:val="0"/>
                                              <w:divBdr>
                                                <w:top w:val="none" w:sz="0" w:space="0" w:color="auto"/>
                                                <w:left w:val="none" w:sz="0" w:space="0" w:color="auto"/>
                                                <w:bottom w:val="none" w:sz="0" w:space="0" w:color="auto"/>
                                                <w:right w:val="none" w:sz="0" w:space="0" w:color="auto"/>
                                              </w:divBdr>
                                              <w:divsChild>
                                                <w:div w:id="1645500681">
                                                  <w:marLeft w:val="0"/>
                                                  <w:marRight w:val="0"/>
                                                  <w:marTop w:val="0"/>
                                                  <w:marBottom w:val="0"/>
                                                  <w:divBdr>
                                                    <w:top w:val="none" w:sz="0" w:space="0" w:color="auto"/>
                                                    <w:left w:val="none" w:sz="0" w:space="0" w:color="auto"/>
                                                    <w:bottom w:val="none" w:sz="0" w:space="0" w:color="auto"/>
                                                    <w:right w:val="none" w:sz="0" w:space="0" w:color="auto"/>
                                                  </w:divBdr>
                                                  <w:divsChild>
                                                    <w:div w:id="1804882695">
                                                      <w:marLeft w:val="0"/>
                                                      <w:marRight w:val="0"/>
                                                      <w:marTop w:val="0"/>
                                                      <w:marBottom w:val="0"/>
                                                      <w:divBdr>
                                                        <w:top w:val="none" w:sz="0" w:space="0" w:color="auto"/>
                                                        <w:left w:val="none" w:sz="0" w:space="0" w:color="auto"/>
                                                        <w:bottom w:val="none" w:sz="0" w:space="0" w:color="auto"/>
                                                        <w:right w:val="none" w:sz="0" w:space="0" w:color="auto"/>
                                                      </w:divBdr>
                                                      <w:divsChild>
                                                        <w:div w:id="493959429">
                                                          <w:marLeft w:val="0"/>
                                                          <w:marRight w:val="0"/>
                                                          <w:marTop w:val="0"/>
                                                          <w:marBottom w:val="0"/>
                                                          <w:divBdr>
                                                            <w:top w:val="none" w:sz="0" w:space="0" w:color="auto"/>
                                                            <w:left w:val="none" w:sz="0" w:space="0" w:color="auto"/>
                                                            <w:bottom w:val="none" w:sz="0" w:space="0" w:color="auto"/>
                                                            <w:right w:val="none" w:sz="0" w:space="0" w:color="auto"/>
                                                          </w:divBdr>
                                                          <w:divsChild>
                                                            <w:div w:id="1982537880">
                                                              <w:marLeft w:val="0"/>
                                                              <w:marRight w:val="0"/>
                                                              <w:marTop w:val="0"/>
                                                              <w:marBottom w:val="0"/>
                                                              <w:divBdr>
                                                                <w:top w:val="none" w:sz="0" w:space="0" w:color="auto"/>
                                                                <w:left w:val="none" w:sz="0" w:space="0" w:color="auto"/>
                                                                <w:bottom w:val="none" w:sz="0" w:space="0" w:color="auto"/>
                                                                <w:right w:val="none" w:sz="0" w:space="0" w:color="auto"/>
                                                              </w:divBdr>
                                                              <w:divsChild>
                                                                <w:div w:id="428702716">
                                                                  <w:marLeft w:val="0"/>
                                                                  <w:marRight w:val="0"/>
                                                                  <w:marTop w:val="0"/>
                                                                  <w:marBottom w:val="0"/>
                                                                  <w:divBdr>
                                                                    <w:top w:val="none" w:sz="0" w:space="0" w:color="auto"/>
                                                                    <w:left w:val="none" w:sz="0" w:space="0" w:color="auto"/>
                                                                    <w:bottom w:val="none" w:sz="0" w:space="0" w:color="auto"/>
                                                                    <w:right w:val="none" w:sz="0" w:space="0" w:color="auto"/>
                                                                  </w:divBdr>
                                                                  <w:divsChild>
                                                                    <w:div w:id="1318268430">
                                                                      <w:marLeft w:val="0"/>
                                                                      <w:marRight w:val="0"/>
                                                                      <w:marTop w:val="0"/>
                                                                      <w:marBottom w:val="0"/>
                                                                      <w:divBdr>
                                                                        <w:top w:val="none" w:sz="0" w:space="0" w:color="auto"/>
                                                                        <w:left w:val="none" w:sz="0" w:space="0" w:color="auto"/>
                                                                        <w:bottom w:val="none" w:sz="0" w:space="0" w:color="auto"/>
                                                                        <w:right w:val="none" w:sz="0" w:space="0" w:color="auto"/>
                                                                      </w:divBdr>
                                                                      <w:divsChild>
                                                                        <w:div w:id="1530952503">
                                                                          <w:marLeft w:val="0"/>
                                                                          <w:marRight w:val="0"/>
                                                                          <w:marTop w:val="0"/>
                                                                          <w:marBottom w:val="0"/>
                                                                          <w:divBdr>
                                                                            <w:top w:val="none" w:sz="0" w:space="0" w:color="auto"/>
                                                                            <w:left w:val="none" w:sz="0" w:space="0" w:color="auto"/>
                                                                            <w:bottom w:val="none" w:sz="0" w:space="0" w:color="auto"/>
                                                                            <w:right w:val="none" w:sz="0" w:space="0" w:color="auto"/>
                                                                          </w:divBdr>
                                                                          <w:divsChild>
                                                                            <w:div w:id="1251543076">
                                                                              <w:marLeft w:val="0"/>
                                                                              <w:marRight w:val="0"/>
                                                                              <w:marTop w:val="0"/>
                                                                              <w:marBottom w:val="0"/>
                                                                              <w:divBdr>
                                                                                <w:top w:val="none" w:sz="0" w:space="0" w:color="auto"/>
                                                                                <w:left w:val="none" w:sz="0" w:space="0" w:color="auto"/>
                                                                                <w:bottom w:val="none" w:sz="0" w:space="0" w:color="auto"/>
                                                                                <w:right w:val="none" w:sz="0" w:space="0" w:color="auto"/>
                                                                              </w:divBdr>
                                                                              <w:divsChild>
                                                                                <w:div w:id="2100129640">
                                                                                  <w:marLeft w:val="0"/>
                                                                                  <w:marRight w:val="0"/>
                                                                                  <w:marTop w:val="0"/>
                                                                                  <w:marBottom w:val="0"/>
                                                                                  <w:divBdr>
                                                                                    <w:top w:val="none" w:sz="0" w:space="0" w:color="auto"/>
                                                                                    <w:left w:val="none" w:sz="0" w:space="0" w:color="auto"/>
                                                                                    <w:bottom w:val="none" w:sz="0" w:space="0" w:color="auto"/>
                                                                                    <w:right w:val="none" w:sz="0" w:space="0" w:color="auto"/>
                                                                                  </w:divBdr>
                                                                                  <w:divsChild>
                                                                                    <w:div w:id="57241445">
                                                                                      <w:marLeft w:val="0"/>
                                                                                      <w:marRight w:val="0"/>
                                                                                      <w:marTop w:val="0"/>
                                                                                      <w:marBottom w:val="0"/>
                                                                                      <w:divBdr>
                                                                                        <w:top w:val="none" w:sz="0" w:space="0" w:color="auto"/>
                                                                                        <w:left w:val="none" w:sz="0" w:space="0" w:color="auto"/>
                                                                                        <w:bottom w:val="none" w:sz="0" w:space="0" w:color="auto"/>
                                                                                        <w:right w:val="none" w:sz="0" w:space="0" w:color="auto"/>
                                                                                      </w:divBdr>
                                                                                      <w:divsChild>
                                                                                        <w:div w:id="1089084916">
                                                                                          <w:marLeft w:val="0"/>
                                                                                          <w:marRight w:val="0"/>
                                                                                          <w:marTop w:val="0"/>
                                                                                          <w:marBottom w:val="0"/>
                                                                                          <w:divBdr>
                                                                                            <w:top w:val="none" w:sz="0" w:space="0" w:color="auto"/>
                                                                                            <w:left w:val="none" w:sz="0" w:space="0" w:color="auto"/>
                                                                                            <w:bottom w:val="none" w:sz="0" w:space="0" w:color="auto"/>
                                                                                            <w:right w:val="none" w:sz="0" w:space="0" w:color="auto"/>
                                                                                          </w:divBdr>
                                                                                          <w:divsChild>
                                                                                            <w:div w:id="430004295">
                                                                                              <w:marLeft w:val="0"/>
                                                                                              <w:marRight w:val="0"/>
                                                                                              <w:marTop w:val="0"/>
                                                                                              <w:marBottom w:val="0"/>
                                                                                              <w:divBdr>
                                                                                                <w:top w:val="none" w:sz="0" w:space="0" w:color="auto"/>
                                                                                                <w:left w:val="none" w:sz="0" w:space="0" w:color="auto"/>
                                                                                                <w:bottom w:val="none" w:sz="0" w:space="0" w:color="auto"/>
                                                                                                <w:right w:val="none" w:sz="0" w:space="0" w:color="auto"/>
                                                                                              </w:divBdr>
                                                                                              <w:divsChild>
                                                                                                <w:div w:id="750085652">
                                                                                                  <w:marLeft w:val="0"/>
                                                                                                  <w:marRight w:val="0"/>
                                                                                                  <w:marTop w:val="0"/>
                                                                                                  <w:marBottom w:val="0"/>
                                                                                                  <w:divBdr>
                                                                                                    <w:top w:val="none" w:sz="0" w:space="0" w:color="auto"/>
                                                                                                    <w:left w:val="none" w:sz="0" w:space="0" w:color="auto"/>
                                                                                                    <w:bottom w:val="none" w:sz="0" w:space="0" w:color="auto"/>
                                                                                                    <w:right w:val="none" w:sz="0" w:space="0" w:color="auto"/>
                                                                                                  </w:divBdr>
                                                                                                  <w:divsChild>
                                                                                                    <w:div w:id="370107387">
                                                                                                      <w:marLeft w:val="0"/>
                                                                                                      <w:marRight w:val="0"/>
                                                                                                      <w:marTop w:val="0"/>
                                                                                                      <w:marBottom w:val="0"/>
                                                                                                      <w:divBdr>
                                                                                                        <w:top w:val="none" w:sz="0" w:space="0" w:color="auto"/>
                                                                                                        <w:left w:val="none" w:sz="0" w:space="0" w:color="auto"/>
                                                                                                        <w:bottom w:val="none" w:sz="0" w:space="0" w:color="auto"/>
                                                                                                        <w:right w:val="none" w:sz="0" w:space="0" w:color="auto"/>
                                                                                                      </w:divBdr>
                                                                                                      <w:divsChild>
                                                                                                        <w:div w:id="2411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5564336">
      <w:bodyDiv w:val="1"/>
      <w:marLeft w:val="0"/>
      <w:marRight w:val="0"/>
      <w:marTop w:val="0"/>
      <w:marBottom w:val="0"/>
      <w:divBdr>
        <w:top w:val="none" w:sz="0" w:space="0" w:color="auto"/>
        <w:left w:val="none" w:sz="0" w:space="0" w:color="auto"/>
        <w:bottom w:val="none" w:sz="0" w:space="0" w:color="auto"/>
        <w:right w:val="none" w:sz="0" w:space="0" w:color="auto"/>
      </w:divBdr>
      <w:divsChild>
        <w:div w:id="1592934338">
          <w:marLeft w:val="0"/>
          <w:marRight w:val="0"/>
          <w:marTop w:val="0"/>
          <w:marBottom w:val="0"/>
          <w:divBdr>
            <w:top w:val="none" w:sz="0" w:space="0" w:color="auto"/>
            <w:left w:val="none" w:sz="0" w:space="0" w:color="auto"/>
            <w:bottom w:val="none" w:sz="0" w:space="0" w:color="auto"/>
            <w:right w:val="none" w:sz="0" w:space="0" w:color="auto"/>
          </w:divBdr>
          <w:divsChild>
            <w:div w:id="991175634">
              <w:marLeft w:val="0"/>
              <w:marRight w:val="0"/>
              <w:marTop w:val="0"/>
              <w:marBottom w:val="0"/>
              <w:divBdr>
                <w:top w:val="none" w:sz="0" w:space="0" w:color="auto"/>
                <w:left w:val="none" w:sz="0" w:space="0" w:color="auto"/>
                <w:bottom w:val="none" w:sz="0" w:space="0" w:color="auto"/>
                <w:right w:val="none" w:sz="0" w:space="0" w:color="auto"/>
              </w:divBdr>
              <w:divsChild>
                <w:div w:id="1150054616">
                  <w:marLeft w:val="0"/>
                  <w:marRight w:val="0"/>
                  <w:marTop w:val="0"/>
                  <w:marBottom w:val="0"/>
                  <w:divBdr>
                    <w:top w:val="none" w:sz="0" w:space="0" w:color="auto"/>
                    <w:left w:val="none" w:sz="0" w:space="0" w:color="auto"/>
                    <w:bottom w:val="none" w:sz="0" w:space="0" w:color="auto"/>
                    <w:right w:val="none" w:sz="0" w:space="0" w:color="auto"/>
                  </w:divBdr>
                  <w:divsChild>
                    <w:div w:id="34428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983470">
      <w:bodyDiv w:val="1"/>
      <w:marLeft w:val="0"/>
      <w:marRight w:val="0"/>
      <w:marTop w:val="0"/>
      <w:marBottom w:val="0"/>
      <w:divBdr>
        <w:top w:val="none" w:sz="0" w:space="0" w:color="auto"/>
        <w:left w:val="none" w:sz="0" w:space="0" w:color="auto"/>
        <w:bottom w:val="none" w:sz="0" w:space="0" w:color="auto"/>
        <w:right w:val="none" w:sz="0" w:space="0" w:color="auto"/>
      </w:divBdr>
      <w:divsChild>
        <w:div w:id="1543786233">
          <w:marLeft w:val="0"/>
          <w:marRight w:val="0"/>
          <w:marTop w:val="0"/>
          <w:marBottom w:val="0"/>
          <w:divBdr>
            <w:top w:val="none" w:sz="0" w:space="0" w:color="auto"/>
            <w:left w:val="none" w:sz="0" w:space="0" w:color="auto"/>
            <w:bottom w:val="none" w:sz="0" w:space="0" w:color="auto"/>
            <w:right w:val="none" w:sz="0" w:space="0" w:color="auto"/>
          </w:divBdr>
          <w:divsChild>
            <w:div w:id="290284935">
              <w:marLeft w:val="0"/>
              <w:marRight w:val="0"/>
              <w:marTop w:val="0"/>
              <w:marBottom w:val="0"/>
              <w:divBdr>
                <w:top w:val="none" w:sz="0" w:space="0" w:color="auto"/>
                <w:left w:val="none" w:sz="0" w:space="0" w:color="auto"/>
                <w:bottom w:val="none" w:sz="0" w:space="0" w:color="auto"/>
                <w:right w:val="none" w:sz="0" w:space="0" w:color="auto"/>
              </w:divBdr>
              <w:divsChild>
                <w:div w:id="1329823384">
                  <w:marLeft w:val="0"/>
                  <w:marRight w:val="0"/>
                  <w:marTop w:val="0"/>
                  <w:marBottom w:val="0"/>
                  <w:divBdr>
                    <w:top w:val="none" w:sz="0" w:space="0" w:color="auto"/>
                    <w:left w:val="none" w:sz="0" w:space="0" w:color="auto"/>
                    <w:bottom w:val="none" w:sz="0" w:space="0" w:color="auto"/>
                    <w:right w:val="none" w:sz="0" w:space="0" w:color="auto"/>
                  </w:divBdr>
                  <w:divsChild>
                    <w:div w:id="733623300">
                      <w:marLeft w:val="0"/>
                      <w:marRight w:val="0"/>
                      <w:marTop w:val="0"/>
                      <w:marBottom w:val="0"/>
                      <w:divBdr>
                        <w:top w:val="none" w:sz="0" w:space="0" w:color="auto"/>
                        <w:left w:val="none" w:sz="0" w:space="0" w:color="auto"/>
                        <w:bottom w:val="none" w:sz="0" w:space="0" w:color="auto"/>
                        <w:right w:val="none" w:sz="0" w:space="0" w:color="auto"/>
                      </w:divBdr>
                    </w:div>
                    <w:div w:id="670183436">
                      <w:marLeft w:val="0"/>
                      <w:marRight w:val="0"/>
                      <w:marTop w:val="0"/>
                      <w:marBottom w:val="0"/>
                      <w:divBdr>
                        <w:top w:val="none" w:sz="0" w:space="0" w:color="auto"/>
                        <w:left w:val="none" w:sz="0" w:space="0" w:color="auto"/>
                        <w:bottom w:val="none" w:sz="0" w:space="0" w:color="auto"/>
                        <w:right w:val="none" w:sz="0" w:space="0" w:color="auto"/>
                      </w:divBdr>
                      <w:divsChild>
                        <w:div w:id="1631276330">
                          <w:marLeft w:val="0"/>
                          <w:marRight w:val="0"/>
                          <w:marTop w:val="0"/>
                          <w:marBottom w:val="0"/>
                          <w:divBdr>
                            <w:top w:val="none" w:sz="0" w:space="0" w:color="auto"/>
                            <w:left w:val="none" w:sz="0" w:space="0" w:color="auto"/>
                            <w:bottom w:val="none" w:sz="0" w:space="0" w:color="auto"/>
                            <w:right w:val="none" w:sz="0" w:space="0" w:color="auto"/>
                          </w:divBdr>
                          <w:divsChild>
                            <w:div w:id="1651444550">
                              <w:marLeft w:val="0"/>
                              <w:marRight w:val="0"/>
                              <w:marTop w:val="0"/>
                              <w:marBottom w:val="0"/>
                              <w:divBdr>
                                <w:top w:val="none" w:sz="0" w:space="0" w:color="auto"/>
                                <w:left w:val="none" w:sz="0" w:space="0" w:color="auto"/>
                                <w:bottom w:val="none" w:sz="0" w:space="0" w:color="auto"/>
                                <w:right w:val="none" w:sz="0" w:space="0" w:color="auto"/>
                              </w:divBdr>
                              <w:divsChild>
                                <w:div w:id="803540794">
                                  <w:marLeft w:val="0"/>
                                  <w:marRight w:val="0"/>
                                  <w:marTop w:val="0"/>
                                  <w:marBottom w:val="0"/>
                                  <w:divBdr>
                                    <w:top w:val="none" w:sz="0" w:space="0" w:color="auto"/>
                                    <w:left w:val="none" w:sz="0" w:space="0" w:color="auto"/>
                                    <w:bottom w:val="none" w:sz="0" w:space="0" w:color="auto"/>
                                    <w:right w:val="none" w:sz="0" w:space="0" w:color="auto"/>
                                  </w:divBdr>
                                  <w:divsChild>
                                    <w:div w:id="403722348">
                                      <w:marLeft w:val="0"/>
                                      <w:marRight w:val="0"/>
                                      <w:marTop w:val="0"/>
                                      <w:marBottom w:val="0"/>
                                      <w:divBdr>
                                        <w:top w:val="none" w:sz="0" w:space="0" w:color="auto"/>
                                        <w:left w:val="none" w:sz="0" w:space="0" w:color="auto"/>
                                        <w:bottom w:val="none" w:sz="0" w:space="0" w:color="auto"/>
                                        <w:right w:val="none" w:sz="0" w:space="0" w:color="auto"/>
                                      </w:divBdr>
                                      <w:divsChild>
                                        <w:div w:id="618225536">
                                          <w:marLeft w:val="0"/>
                                          <w:marRight w:val="0"/>
                                          <w:marTop w:val="0"/>
                                          <w:marBottom w:val="0"/>
                                          <w:divBdr>
                                            <w:top w:val="none" w:sz="0" w:space="0" w:color="auto"/>
                                            <w:left w:val="none" w:sz="0" w:space="0" w:color="auto"/>
                                            <w:bottom w:val="none" w:sz="0" w:space="0" w:color="auto"/>
                                            <w:right w:val="none" w:sz="0" w:space="0" w:color="auto"/>
                                          </w:divBdr>
                                          <w:divsChild>
                                            <w:div w:id="1999264936">
                                              <w:marLeft w:val="0"/>
                                              <w:marRight w:val="0"/>
                                              <w:marTop w:val="0"/>
                                              <w:marBottom w:val="0"/>
                                              <w:divBdr>
                                                <w:top w:val="none" w:sz="0" w:space="0" w:color="auto"/>
                                                <w:left w:val="none" w:sz="0" w:space="0" w:color="auto"/>
                                                <w:bottom w:val="none" w:sz="0" w:space="0" w:color="auto"/>
                                                <w:right w:val="none" w:sz="0" w:space="0" w:color="auto"/>
                                              </w:divBdr>
                                              <w:divsChild>
                                                <w:div w:id="1030227393">
                                                  <w:marLeft w:val="0"/>
                                                  <w:marRight w:val="0"/>
                                                  <w:marTop w:val="0"/>
                                                  <w:marBottom w:val="0"/>
                                                  <w:divBdr>
                                                    <w:top w:val="none" w:sz="0" w:space="0" w:color="auto"/>
                                                    <w:left w:val="none" w:sz="0" w:space="0" w:color="auto"/>
                                                    <w:bottom w:val="none" w:sz="0" w:space="0" w:color="auto"/>
                                                    <w:right w:val="none" w:sz="0" w:space="0" w:color="auto"/>
                                                  </w:divBdr>
                                                  <w:divsChild>
                                                    <w:div w:id="167912195">
                                                      <w:marLeft w:val="0"/>
                                                      <w:marRight w:val="0"/>
                                                      <w:marTop w:val="0"/>
                                                      <w:marBottom w:val="0"/>
                                                      <w:divBdr>
                                                        <w:top w:val="none" w:sz="0" w:space="0" w:color="auto"/>
                                                        <w:left w:val="none" w:sz="0" w:space="0" w:color="auto"/>
                                                        <w:bottom w:val="none" w:sz="0" w:space="0" w:color="auto"/>
                                                        <w:right w:val="none" w:sz="0" w:space="0" w:color="auto"/>
                                                      </w:divBdr>
                                                      <w:divsChild>
                                                        <w:div w:id="410322967">
                                                          <w:marLeft w:val="0"/>
                                                          <w:marRight w:val="0"/>
                                                          <w:marTop w:val="0"/>
                                                          <w:marBottom w:val="0"/>
                                                          <w:divBdr>
                                                            <w:top w:val="none" w:sz="0" w:space="0" w:color="auto"/>
                                                            <w:left w:val="none" w:sz="0" w:space="0" w:color="auto"/>
                                                            <w:bottom w:val="none" w:sz="0" w:space="0" w:color="auto"/>
                                                            <w:right w:val="none" w:sz="0" w:space="0" w:color="auto"/>
                                                          </w:divBdr>
                                                          <w:divsChild>
                                                            <w:div w:id="740755152">
                                                              <w:marLeft w:val="0"/>
                                                              <w:marRight w:val="0"/>
                                                              <w:marTop w:val="0"/>
                                                              <w:marBottom w:val="0"/>
                                                              <w:divBdr>
                                                                <w:top w:val="none" w:sz="0" w:space="0" w:color="auto"/>
                                                                <w:left w:val="none" w:sz="0" w:space="0" w:color="auto"/>
                                                                <w:bottom w:val="none" w:sz="0" w:space="0" w:color="auto"/>
                                                                <w:right w:val="none" w:sz="0" w:space="0" w:color="auto"/>
                                                              </w:divBdr>
                                                              <w:divsChild>
                                                                <w:div w:id="489755962">
                                                                  <w:marLeft w:val="0"/>
                                                                  <w:marRight w:val="0"/>
                                                                  <w:marTop w:val="0"/>
                                                                  <w:marBottom w:val="0"/>
                                                                  <w:divBdr>
                                                                    <w:top w:val="none" w:sz="0" w:space="0" w:color="auto"/>
                                                                    <w:left w:val="none" w:sz="0" w:space="0" w:color="auto"/>
                                                                    <w:bottom w:val="none" w:sz="0" w:space="0" w:color="auto"/>
                                                                    <w:right w:val="none" w:sz="0" w:space="0" w:color="auto"/>
                                                                  </w:divBdr>
                                                                  <w:divsChild>
                                                                    <w:div w:id="1074083402">
                                                                      <w:marLeft w:val="0"/>
                                                                      <w:marRight w:val="0"/>
                                                                      <w:marTop w:val="0"/>
                                                                      <w:marBottom w:val="0"/>
                                                                      <w:divBdr>
                                                                        <w:top w:val="none" w:sz="0" w:space="0" w:color="auto"/>
                                                                        <w:left w:val="none" w:sz="0" w:space="0" w:color="auto"/>
                                                                        <w:bottom w:val="none" w:sz="0" w:space="0" w:color="auto"/>
                                                                        <w:right w:val="none" w:sz="0" w:space="0" w:color="auto"/>
                                                                      </w:divBdr>
                                                                      <w:divsChild>
                                                                        <w:div w:id="680471490">
                                                                          <w:marLeft w:val="0"/>
                                                                          <w:marRight w:val="0"/>
                                                                          <w:marTop w:val="0"/>
                                                                          <w:marBottom w:val="0"/>
                                                                          <w:divBdr>
                                                                            <w:top w:val="none" w:sz="0" w:space="0" w:color="auto"/>
                                                                            <w:left w:val="none" w:sz="0" w:space="0" w:color="auto"/>
                                                                            <w:bottom w:val="none" w:sz="0" w:space="0" w:color="auto"/>
                                                                            <w:right w:val="none" w:sz="0" w:space="0" w:color="auto"/>
                                                                          </w:divBdr>
                                                                          <w:divsChild>
                                                                            <w:div w:id="979186238">
                                                                              <w:marLeft w:val="0"/>
                                                                              <w:marRight w:val="0"/>
                                                                              <w:marTop w:val="0"/>
                                                                              <w:marBottom w:val="0"/>
                                                                              <w:divBdr>
                                                                                <w:top w:val="none" w:sz="0" w:space="0" w:color="auto"/>
                                                                                <w:left w:val="none" w:sz="0" w:space="0" w:color="auto"/>
                                                                                <w:bottom w:val="none" w:sz="0" w:space="0" w:color="auto"/>
                                                                                <w:right w:val="none" w:sz="0" w:space="0" w:color="auto"/>
                                                                              </w:divBdr>
                                                                              <w:divsChild>
                                                                                <w:div w:id="1630471685">
                                                                                  <w:marLeft w:val="0"/>
                                                                                  <w:marRight w:val="0"/>
                                                                                  <w:marTop w:val="0"/>
                                                                                  <w:marBottom w:val="0"/>
                                                                                  <w:divBdr>
                                                                                    <w:top w:val="none" w:sz="0" w:space="0" w:color="auto"/>
                                                                                    <w:left w:val="none" w:sz="0" w:space="0" w:color="auto"/>
                                                                                    <w:bottom w:val="none" w:sz="0" w:space="0" w:color="auto"/>
                                                                                    <w:right w:val="none" w:sz="0" w:space="0" w:color="auto"/>
                                                                                  </w:divBdr>
                                                                                  <w:divsChild>
                                                                                    <w:div w:id="524247312">
                                                                                      <w:marLeft w:val="0"/>
                                                                                      <w:marRight w:val="0"/>
                                                                                      <w:marTop w:val="0"/>
                                                                                      <w:marBottom w:val="0"/>
                                                                                      <w:divBdr>
                                                                                        <w:top w:val="none" w:sz="0" w:space="0" w:color="auto"/>
                                                                                        <w:left w:val="none" w:sz="0" w:space="0" w:color="auto"/>
                                                                                        <w:bottom w:val="none" w:sz="0" w:space="0" w:color="auto"/>
                                                                                        <w:right w:val="none" w:sz="0" w:space="0" w:color="auto"/>
                                                                                      </w:divBdr>
                                                                                      <w:divsChild>
                                                                                        <w:div w:id="906692200">
                                                                                          <w:marLeft w:val="0"/>
                                                                                          <w:marRight w:val="0"/>
                                                                                          <w:marTop w:val="0"/>
                                                                                          <w:marBottom w:val="0"/>
                                                                                          <w:divBdr>
                                                                                            <w:top w:val="none" w:sz="0" w:space="0" w:color="auto"/>
                                                                                            <w:left w:val="none" w:sz="0" w:space="0" w:color="auto"/>
                                                                                            <w:bottom w:val="none" w:sz="0" w:space="0" w:color="auto"/>
                                                                                            <w:right w:val="none" w:sz="0" w:space="0" w:color="auto"/>
                                                                                          </w:divBdr>
                                                                                          <w:divsChild>
                                                                                            <w:div w:id="189999075">
                                                                                              <w:marLeft w:val="0"/>
                                                                                              <w:marRight w:val="0"/>
                                                                                              <w:marTop w:val="0"/>
                                                                                              <w:marBottom w:val="0"/>
                                                                                              <w:divBdr>
                                                                                                <w:top w:val="none" w:sz="0" w:space="0" w:color="auto"/>
                                                                                                <w:left w:val="none" w:sz="0" w:space="0" w:color="auto"/>
                                                                                                <w:bottom w:val="none" w:sz="0" w:space="0" w:color="auto"/>
                                                                                                <w:right w:val="none" w:sz="0" w:space="0" w:color="auto"/>
                                                                                              </w:divBdr>
                                                                                              <w:divsChild>
                                                                                                <w:div w:id="342124157">
                                                                                                  <w:marLeft w:val="0"/>
                                                                                                  <w:marRight w:val="0"/>
                                                                                                  <w:marTop w:val="0"/>
                                                                                                  <w:marBottom w:val="0"/>
                                                                                                  <w:divBdr>
                                                                                                    <w:top w:val="none" w:sz="0" w:space="0" w:color="auto"/>
                                                                                                    <w:left w:val="none" w:sz="0" w:space="0" w:color="auto"/>
                                                                                                    <w:bottom w:val="none" w:sz="0" w:space="0" w:color="auto"/>
                                                                                                    <w:right w:val="none" w:sz="0" w:space="0" w:color="auto"/>
                                                                                                  </w:divBdr>
                                                                                                  <w:divsChild>
                                                                                                    <w:div w:id="1586843257">
                                                                                                      <w:marLeft w:val="0"/>
                                                                                                      <w:marRight w:val="0"/>
                                                                                                      <w:marTop w:val="0"/>
                                                                                                      <w:marBottom w:val="0"/>
                                                                                                      <w:divBdr>
                                                                                                        <w:top w:val="none" w:sz="0" w:space="0" w:color="auto"/>
                                                                                                        <w:left w:val="none" w:sz="0" w:space="0" w:color="auto"/>
                                                                                                        <w:bottom w:val="none" w:sz="0" w:space="0" w:color="auto"/>
                                                                                                        <w:right w:val="none" w:sz="0" w:space="0" w:color="auto"/>
                                                                                                      </w:divBdr>
                                                                                                      <w:divsChild>
                                                                                                        <w:div w:id="68578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milt\Dropbox\Graduate%20School\Dissertation\Comittee%20Things\DissertationDocument\Milt_Dissertation.docx" TargetMode="External"/><Relationship Id="rId18" Type="http://schemas.openxmlformats.org/officeDocument/2006/relationships/hyperlink" Target="file:///C:\Users\milt\Dropbox\Graduate%20School\Dissertation\Comittee%20Things\DissertationDocument\Milt_Dissertation.docx" TargetMode="External"/><Relationship Id="rId26" Type="http://schemas.openxmlformats.org/officeDocument/2006/relationships/hyperlink" Target="file:///C:\Users\milt\Dropbox\Graduate%20School\Dissertation\Comittee%20Things\DissertationDocument\Milt_Dissertation.docx" TargetMode="External"/><Relationship Id="rId39" Type="http://schemas.openxmlformats.org/officeDocument/2006/relationships/footer" Target="footer4.xml"/><Relationship Id="rId21" Type="http://schemas.openxmlformats.org/officeDocument/2006/relationships/hyperlink" Target="file:///C:\Users\milt\Dropbox\Graduate%20School\Dissertation\Comittee%20Things\DissertationDocument\Milt_Dissertation.docx" TargetMode="External"/><Relationship Id="rId34" Type="http://schemas.openxmlformats.org/officeDocument/2006/relationships/hyperlink" Target="file:///C:\Users\milt\Dropbox\Graduate%20School\Dissertation\Comittee%20Things\DissertationDocument\Milt_Dissertation.docx" TargetMode="External"/><Relationship Id="rId42" Type="http://schemas.openxmlformats.org/officeDocument/2006/relationships/image" Target="media/image6.png"/><Relationship Id="rId47" Type="http://schemas.openxmlformats.org/officeDocument/2006/relationships/image" Target="media/image11.png"/><Relationship Id="rId50" Type="http://schemas.openxmlformats.org/officeDocument/2006/relationships/image" Target="media/image14.tiff"/><Relationship Id="rId55" Type="http://schemas.openxmlformats.org/officeDocument/2006/relationships/hyperlink" Target="http://www.fws.gov/wetlands/Data/Data-Download.html" TargetMode="External"/><Relationship Id="rId63" Type="http://schemas.openxmlformats.org/officeDocument/2006/relationships/image" Target="media/image18.png"/><Relationship Id="rId68" Type="http://schemas.openxmlformats.org/officeDocument/2006/relationships/image" Target="media/image23.png"/><Relationship Id="rId76" Type="http://schemas.openxmlformats.org/officeDocument/2006/relationships/hyperlink" Target="http://conserveonline.org/workspaces/ecs/documents/ne-terrestrial-habitat-mapping-project" TargetMode="External"/><Relationship Id="rId84" Type="http://schemas.openxmlformats.org/officeDocument/2006/relationships/image" Target="media/image31.emf"/><Relationship Id="rId89" Type="http://schemas.openxmlformats.org/officeDocument/2006/relationships/hyperlink" Target="http://cbig.it.helsinki.fi/software/zonation" TargetMode="External"/><Relationship Id="rId7" Type="http://schemas.openxmlformats.org/officeDocument/2006/relationships/endnotes" Target="endnotes.xml"/><Relationship Id="rId71"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hyperlink" Target="file:///C:\Users\milt\Dropbox\Graduate%20School\Dissertation\Comittee%20Things\DissertationDocument\Milt_Dissertation.docx" TargetMode="External"/><Relationship Id="rId29" Type="http://schemas.openxmlformats.org/officeDocument/2006/relationships/hyperlink" Target="file:///C:\Users\milt\Dropbox\Graduate%20School\Dissertation\Comittee%20Things\DissertationDocument\Milt_Dissertation.docx" TargetMode="External"/><Relationship Id="rId11" Type="http://schemas.openxmlformats.org/officeDocument/2006/relationships/hyperlink" Target="file:///C:\Users\milt\Dropbox\Graduate%20School\Dissertation\Comittee%20Things\DissertationDocument\Milt_Dissertation.docx" TargetMode="External"/><Relationship Id="rId24" Type="http://schemas.openxmlformats.org/officeDocument/2006/relationships/hyperlink" Target="file:///C:\Users\milt\Dropbox\Graduate%20School\Dissertation\Comittee%20Things\DissertationDocument\Milt_Dissertation.docx" TargetMode="External"/><Relationship Id="rId32" Type="http://schemas.openxmlformats.org/officeDocument/2006/relationships/hyperlink" Target="file:///C:\Users\milt\Dropbox\Graduate%20School\Dissertation\Comittee%20Things\DissertationDocument\Milt_Dissertation.docx" TargetMode="External"/><Relationship Id="rId37" Type="http://schemas.openxmlformats.org/officeDocument/2006/relationships/image" Target="media/image2.png"/><Relationship Id="rId40" Type="http://schemas.openxmlformats.org/officeDocument/2006/relationships/image" Target="media/image4.png"/><Relationship Id="rId45" Type="http://schemas.openxmlformats.org/officeDocument/2006/relationships/image" Target="media/image9.jpeg"/><Relationship Id="rId53" Type="http://schemas.openxmlformats.org/officeDocument/2006/relationships/image" Target="media/image16.tiff"/><Relationship Id="rId58" Type="http://schemas.openxmlformats.org/officeDocument/2006/relationships/hyperlink" Target="http://ned.usgs.gov/" TargetMode="External"/><Relationship Id="rId66" Type="http://schemas.openxmlformats.org/officeDocument/2006/relationships/image" Target="media/image21.tiff"/><Relationship Id="rId74" Type="http://schemas.openxmlformats.org/officeDocument/2006/relationships/hyperlink" Target="http://www.mrlc.gov/nlcd06_data.php" TargetMode="External"/><Relationship Id="rId79" Type="http://schemas.openxmlformats.org/officeDocument/2006/relationships/hyperlink" Target="http://geonames.usgs.gov/domestic/download_data.htm" TargetMode="External"/><Relationship Id="rId87" Type="http://schemas.openxmlformats.org/officeDocument/2006/relationships/hyperlink" Target="http://www.eia.gov/dnav/ng/ng_pri_sum_dcu_nus_m.htm" TargetMode="External"/><Relationship Id="rId5" Type="http://schemas.openxmlformats.org/officeDocument/2006/relationships/webSettings" Target="webSettings.xml"/><Relationship Id="rId61" Type="http://schemas.openxmlformats.org/officeDocument/2006/relationships/hyperlink" Target="http://www.pasda.psu.edu/default.asp" TargetMode="External"/><Relationship Id="rId82" Type="http://schemas.openxmlformats.org/officeDocument/2006/relationships/image" Target="media/image29.png"/><Relationship Id="rId90" Type="http://schemas.openxmlformats.org/officeDocument/2006/relationships/fontTable" Target="fontTable.xml"/><Relationship Id="rId19" Type="http://schemas.openxmlformats.org/officeDocument/2006/relationships/hyperlink" Target="file:///C:\Users\milt\Dropbox\Graduate%20School\Dissertation\Comittee%20Things\DissertationDocument\Milt_Dissertation.docx" TargetMode="External"/><Relationship Id="rId14" Type="http://schemas.openxmlformats.org/officeDocument/2006/relationships/hyperlink" Target="file:///C:\Users\milt\Dropbox\Graduate%20School\Dissertation\Comittee%20Things\DissertationDocument\Milt_Dissertation.docx" TargetMode="External"/><Relationship Id="rId22" Type="http://schemas.openxmlformats.org/officeDocument/2006/relationships/hyperlink" Target="file:///C:\Users\milt\Dropbox\Graduate%20School\Dissertation\Comittee%20Things\DissertationDocument\Milt_Dissertation.docx" TargetMode="External"/><Relationship Id="rId27" Type="http://schemas.openxmlformats.org/officeDocument/2006/relationships/hyperlink" Target="file:///C:\Users\milt\Dropbox\Graduate%20School\Dissertation\Comittee%20Things\DissertationDocument\Milt_Dissertation.docx" TargetMode="External"/><Relationship Id="rId30" Type="http://schemas.openxmlformats.org/officeDocument/2006/relationships/hyperlink" Target="file:///C:\Users\milt\Dropbox\Graduate%20School\Dissertation\Comittee%20Things\DissertationDocument\Milt_Dissertation.docx" TargetMode="External"/><Relationship Id="rId35" Type="http://schemas.openxmlformats.org/officeDocument/2006/relationships/hyperlink" Target="file:///C:\Users\milt\Dropbox\Graduate%20School\Dissertation\Comittee%20Things\DissertationDocument\Milt_Dissertation.docx" TargetMode="External"/><Relationship Id="rId43" Type="http://schemas.openxmlformats.org/officeDocument/2006/relationships/image" Target="media/image7.png"/><Relationship Id="rId48" Type="http://schemas.openxmlformats.org/officeDocument/2006/relationships/image" Target="media/image12.tiff"/><Relationship Id="rId56" Type="http://schemas.openxmlformats.org/officeDocument/2006/relationships/hyperlink" Target="http://conserveonline.org/workspaces/ecs/documents/ne-terrestrial-habitat-mapping-project" TargetMode="External"/><Relationship Id="rId64" Type="http://schemas.openxmlformats.org/officeDocument/2006/relationships/image" Target="media/image19.png"/><Relationship Id="rId69" Type="http://schemas.openxmlformats.org/officeDocument/2006/relationships/image" Target="media/image24.png"/><Relationship Id="rId77" Type="http://schemas.openxmlformats.org/officeDocument/2006/relationships/hyperlink" Target="ftp://nhdftp.usgs.gov/DataSets/Staged/States/FileGDB/HighResolution/" TargetMode="External"/><Relationship Id="rId8" Type="http://schemas.openxmlformats.org/officeDocument/2006/relationships/footer" Target="footer1.xml"/><Relationship Id="rId51" Type="http://schemas.openxmlformats.org/officeDocument/2006/relationships/image" Target="media/image15.png"/><Relationship Id="rId72" Type="http://schemas.openxmlformats.org/officeDocument/2006/relationships/image" Target="media/image27.png"/><Relationship Id="rId80" Type="http://schemas.openxmlformats.org/officeDocument/2006/relationships/hyperlink" Target="http://www.pasda.psu.edu/default.asp" TargetMode="External"/><Relationship Id="rId85" Type="http://schemas.openxmlformats.org/officeDocument/2006/relationships/image" Target="media/image32.png"/><Relationship Id="rId93"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yperlink" Target="file:///C:\Users\milt\Dropbox\Graduate%20School\Dissertation\Comittee%20Things\DissertationDocument\Milt_Dissertation.docx" TargetMode="External"/><Relationship Id="rId17" Type="http://schemas.openxmlformats.org/officeDocument/2006/relationships/hyperlink" Target="file:///C:\Users\milt\Dropbox\Graduate%20School\Dissertation\Comittee%20Things\DissertationDocument\Milt_Dissertation.docx" TargetMode="External"/><Relationship Id="rId25" Type="http://schemas.openxmlformats.org/officeDocument/2006/relationships/hyperlink" Target="file:///C:\Users\milt\Dropbox\Graduate%20School\Dissertation\Comittee%20Things\DissertationDocument\Milt_Dissertation.docx" TargetMode="External"/><Relationship Id="rId33" Type="http://schemas.openxmlformats.org/officeDocument/2006/relationships/hyperlink" Target="file:///C:\Users\milt\Dropbox\Graduate%20School\Dissertation\Comittee%20Things\DissertationDocument\Milt_Dissertation.docx" TargetMode="External"/><Relationship Id="rId38" Type="http://schemas.openxmlformats.org/officeDocument/2006/relationships/image" Target="media/image3.jpeg"/><Relationship Id="rId46" Type="http://schemas.openxmlformats.org/officeDocument/2006/relationships/image" Target="media/image10.png"/><Relationship Id="rId59" Type="http://schemas.openxmlformats.org/officeDocument/2006/relationships/hyperlink" Target="http://www.pasda.psu.edu/default.asp" TargetMode="External"/><Relationship Id="rId67" Type="http://schemas.openxmlformats.org/officeDocument/2006/relationships/image" Target="media/image22.png"/><Relationship Id="rId20" Type="http://schemas.openxmlformats.org/officeDocument/2006/relationships/hyperlink" Target="file:///C:\Users\milt\Dropbox\Graduate%20School\Dissertation\Comittee%20Things\DissertationDocument\Milt_Dissertation.docx" TargetMode="External"/><Relationship Id="rId41" Type="http://schemas.openxmlformats.org/officeDocument/2006/relationships/image" Target="media/image5.png"/><Relationship Id="rId54" Type="http://schemas.openxmlformats.org/officeDocument/2006/relationships/hyperlink" Target="http://www.mrlc.gov/nlcd06_data.php" TargetMode="External"/><Relationship Id="rId62" Type="http://schemas.openxmlformats.org/officeDocument/2006/relationships/image" Target="media/image17.png"/><Relationship Id="rId70" Type="http://schemas.openxmlformats.org/officeDocument/2006/relationships/image" Target="media/image25.png"/><Relationship Id="rId75" Type="http://schemas.openxmlformats.org/officeDocument/2006/relationships/hyperlink" Target="http://www.fws.gov/wetlands/Data/Mapper.html" TargetMode="External"/><Relationship Id="rId83" Type="http://schemas.openxmlformats.org/officeDocument/2006/relationships/image" Target="media/image30.png"/><Relationship Id="rId88" Type="http://schemas.openxmlformats.org/officeDocument/2006/relationships/image" Target="media/image33.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milt\Dropbox\Graduate%20School\Dissertation\Comittee%20Things\DissertationDocument\Milt_Dissertation.docx" TargetMode="External"/><Relationship Id="rId23" Type="http://schemas.openxmlformats.org/officeDocument/2006/relationships/hyperlink" Target="file:///C:\Users\milt\Dropbox\Graduate%20School\Dissertation\Comittee%20Things\DissertationDocument\Milt_Dissertation.docx" TargetMode="External"/><Relationship Id="rId28" Type="http://schemas.openxmlformats.org/officeDocument/2006/relationships/hyperlink" Target="file:///C:\Users\milt\Dropbox\Graduate%20School\Dissertation\Comittee%20Things\DissertationDocument\Milt_Dissertation.docx" TargetMode="External"/><Relationship Id="rId36" Type="http://schemas.openxmlformats.org/officeDocument/2006/relationships/image" Target="media/image1.png"/><Relationship Id="rId49" Type="http://schemas.openxmlformats.org/officeDocument/2006/relationships/image" Target="media/image13.png"/><Relationship Id="rId57" Type="http://schemas.openxmlformats.org/officeDocument/2006/relationships/hyperlink" Target="http://www.pasda.psu.edu/default.asp" TargetMode="External"/><Relationship Id="rId10" Type="http://schemas.openxmlformats.org/officeDocument/2006/relationships/footer" Target="footer3.xml"/><Relationship Id="rId31" Type="http://schemas.openxmlformats.org/officeDocument/2006/relationships/hyperlink" Target="file:///C:\Users\milt\Dropbox\Graduate%20School\Dissertation\Comittee%20Things\DissertationDocument\Milt_Dissertation.docx" TargetMode="External"/><Relationship Id="rId44" Type="http://schemas.openxmlformats.org/officeDocument/2006/relationships/image" Target="media/image8.png"/><Relationship Id="rId52" Type="http://schemas.openxmlformats.org/officeDocument/2006/relationships/hyperlink" Target="http://www.gis.dcnr.state.pa.us/hgis-er/Login.aspx" TargetMode="External"/><Relationship Id="rId60" Type="http://schemas.openxmlformats.org/officeDocument/2006/relationships/hyperlink" Target="http://www.pasda.psu.edu/default.asp" TargetMode="External"/><Relationship Id="rId65" Type="http://schemas.openxmlformats.org/officeDocument/2006/relationships/image" Target="media/image20.png"/><Relationship Id="rId73" Type="http://schemas.openxmlformats.org/officeDocument/2006/relationships/hyperlink" Target="http://www.portal.state.pa.us/" TargetMode="External"/><Relationship Id="rId78" Type="http://schemas.openxmlformats.org/officeDocument/2006/relationships/hyperlink" Target="http://www.horizon-systems.com/NHDPlus/NHDPlusV2_data.php" TargetMode="External"/><Relationship Id="rId81" Type="http://schemas.openxmlformats.org/officeDocument/2006/relationships/image" Target="media/image28.png"/><Relationship Id="rId86" Type="http://schemas.openxmlformats.org/officeDocument/2006/relationships/hyperlink" Target="https://www.paoilandgasreporting.state.pa.us/publicreports/Modules/Production/ProductionByCounty.aspx" TargetMode="Externa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jswconline.org/content/58/3/128.abstr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tone12\AppData\Local\Temp\UTK%20GS%20Multipart%20ET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E509A-7AB0-4EC2-848B-D11E59ED6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UTK GS Multipart ETD Template.dot</Template>
  <TotalTime>0</TotalTime>
  <Pages>175</Pages>
  <Words>154749</Words>
  <Characters>843388</Characters>
  <Application>Microsoft Office Word</Application>
  <DocSecurity>0</DocSecurity>
  <Lines>22194</Lines>
  <Paragraphs>9785</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988352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2015-04-21T20:00:00Z</dcterms:created>
  <dcterms:modified xsi:type="dcterms:W3CDTF">2015-06-22T19:36:00Z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http://www.zotero.org/styles/journal-of-applied-ecology</vt:lpwstr>
  </property>
  <property fmtid="{D5CDD505-2E9C-101B-9397-08002B2CF9AE}" pid="3" name="Mendeley Document_1">
    <vt:lpwstr>True</vt:lpwstr>
  </property>
  <property fmtid="{D5CDD505-2E9C-101B-9397-08002B2CF9AE}" pid="4" name="Mendeley User Name_1">
    <vt:lpwstr>austin.milt@utk.edu@www.mendeley.com</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http://www.zotero.org/styles/conservation-letters</vt:lpwstr>
  </property>
  <property fmtid="{D5CDD505-2E9C-101B-9397-08002B2CF9AE}" pid="14" name="Mendeley Recent Style Name 4_1">
    <vt:lpwstr>Conservation Letters</vt:lpwstr>
  </property>
  <property fmtid="{D5CDD505-2E9C-101B-9397-08002B2CF9AE}" pid="15" name="Mendeley Recent Style Id 5_1">
    <vt:lpwstr>http://www.zotero.org/styles/ecological-economics</vt:lpwstr>
  </property>
  <property fmtid="{D5CDD505-2E9C-101B-9397-08002B2CF9AE}" pid="16" name="Mendeley Recent Style Name 5_1">
    <vt:lpwstr>Ecological Economics</vt:lpwstr>
  </property>
  <property fmtid="{D5CDD505-2E9C-101B-9397-08002B2CF9AE}" pid="17" name="Mendeley Recent Style Id 6_1">
    <vt:lpwstr>http://www.zotero.org/styles/environmental-management</vt:lpwstr>
  </property>
  <property fmtid="{D5CDD505-2E9C-101B-9397-08002B2CF9AE}" pid="18" name="Mendeley Recent Style Name 6_1">
    <vt:lpwstr>Environmental Management</vt:lpwstr>
  </property>
  <property fmtid="{D5CDD505-2E9C-101B-9397-08002B2CF9AE}" pid="19" name="Mendeley Recent Style Id 7_1">
    <vt:lpwstr>http://www.zotero.org/styles/frontiers-in-ecology-and-the-environment</vt:lpwstr>
  </property>
  <property fmtid="{D5CDD505-2E9C-101B-9397-08002B2CF9AE}" pid="20" name="Mendeley Recent Style Name 7_1">
    <vt:lpwstr>Frontiers in Ecology and the Environment</vt:lpwstr>
  </property>
  <property fmtid="{D5CDD505-2E9C-101B-9397-08002B2CF9AE}" pid="21" name="Mendeley Recent Style Id 8_1">
    <vt:lpwstr>http://www.zotero.org/styles/journal-of-applied-ecology</vt:lpwstr>
  </property>
  <property fmtid="{D5CDD505-2E9C-101B-9397-08002B2CF9AE}" pid="22" name="Mendeley Recent Style Name 8_1">
    <vt:lpwstr>Journal of Applied Ecology</vt:lpwstr>
  </property>
  <property fmtid="{D5CDD505-2E9C-101B-9397-08002B2CF9AE}" pid="23" name="Mendeley Recent Style Id 9_1">
    <vt:lpwstr>http://www.zotero.org/styles/pnas</vt:lpwstr>
  </property>
  <property fmtid="{D5CDD505-2E9C-101B-9397-08002B2CF9AE}" pid="24" name="Mendeley Recent Style Name 9_1">
    <vt:lpwstr>Proceedings of the National Academy of Sciences of the United States of America</vt:lpwstr>
  </property>
</Properties>
</file>