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6FF9A" w14:textId="397E9618" w:rsidR="00526151" w:rsidRPr="00DF7C87" w:rsidRDefault="005418F2" w:rsidP="008949E3">
      <w:pPr>
        <w:pStyle w:val="Title"/>
        <w:rPr>
          <w:szCs w:val="28"/>
        </w:rPr>
      </w:pPr>
      <w:r>
        <w:rPr>
          <w:szCs w:val="28"/>
        </w:rPr>
        <w:t>Ge</w:t>
      </w:r>
      <w:r w:rsidR="00FD7A36">
        <w:rPr>
          <w:szCs w:val="28"/>
        </w:rPr>
        <w:t xml:space="preserve">ographic patterns of genetic diversity </w:t>
      </w:r>
      <w:r w:rsidR="00111949">
        <w:rPr>
          <w:szCs w:val="28"/>
        </w:rPr>
        <w:t xml:space="preserve">under climate change: linking genes </w:t>
      </w:r>
      <w:r w:rsidR="005E6942">
        <w:rPr>
          <w:szCs w:val="28"/>
        </w:rPr>
        <w:t>and</w:t>
      </w:r>
      <w:r w:rsidR="00111949">
        <w:rPr>
          <w:szCs w:val="28"/>
        </w:rPr>
        <w:t xml:space="preserve"> ecosystems</w:t>
      </w:r>
    </w:p>
    <w:p w14:paraId="78B8882A" w14:textId="77777777" w:rsidR="003D07F7" w:rsidRPr="00DF7C87" w:rsidRDefault="00DD00DE" w:rsidP="00387656">
      <w:pPr>
        <w:pStyle w:val="Title"/>
        <w:rPr>
          <w:szCs w:val="28"/>
        </w:rPr>
      </w:pPr>
      <w:r w:rsidRPr="00DF7C87">
        <w:rPr>
          <w:szCs w:val="28"/>
        </w:rPr>
        <w:tab/>
      </w:r>
    </w:p>
    <w:p w14:paraId="5A4CAF90" w14:textId="77777777" w:rsidR="00236E6D" w:rsidRPr="00DF7C87" w:rsidRDefault="00236E6D" w:rsidP="00387656">
      <w:pPr>
        <w:pStyle w:val="Title"/>
        <w:rPr>
          <w:sz w:val="24"/>
        </w:rPr>
      </w:pPr>
    </w:p>
    <w:p w14:paraId="4AF80E57" w14:textId="77777777" w:rsidR="00236E6D" w:rsidRPr="00DF7C87" w:rsidRDefault="00236E6D" w:rsidP="00387656">
      <w:pPr>
        <w:pStyle w:val="Title"/>
        <w:rPr>
          <w:sz w:val="24"/>
        </w:rPr>
      </w:pPr>
    </w:p>
    <w:p w14:paraId="294AF015" w14:textId="77777777" w:rsidR="00236E6D" w:rsidRPr="00DF7C87" w:rsidRDefault="00236E6D" w:rsidP="00387656">
      <w:pPr>
        <w:pStyle w:val="Title"/>
        <w:rPr>
          <w:sz w:val="24"/>
        </w:rPr>
      </w:pPr>
    </w:p>
    <w:p w14:paraId="3AE90C41" w14:textId="77777777" w:rsidR="00236E6D" w:rsidRPr="00DF7C87" w:rsidRDefault="00236E6D" w:rsidP="00387656">
      <w:pPr>
        <w:pStyle w:val="Title"/>
        <w:rPr>
          <w:sz w:val="24"/>
        </w:rPr>
      </w:pPr>
    </w:p>
    <w:p w14:paraId="1987DD0D" w14:textId="77777777" w:rsidR="00387656" w:rsidRPr="00DF7C87" w:rsidRDefault="00387656" w:rsidP="00387656">
      <w:pPr>
        <w:pStyle w:val="Title"/>
        <w:rPr>
          <w:sz w:val="24"/>
        </w:rPr>
      </w:pPr>
    </w:p>
    <w:p w14:paraId="0C38017C" w14:textId="77777777" w:rsidR="00387656" w:rsidRPr="00DF7C87" w:rsidRDefault="00387656" w:rsidP="00387656">
      <w:pPr>
        <w:pStyle w:val="Title"/>
        <w:rPr>
          <w:sz w:val="24"/>
        </w:rPr>
      </w:pPr>
    </w:p>
    <w:p w14:paraId="5B9DA9A4" w14:textId="77777777" w:rsidR="00387656" w:rsidRPr="00DF7C87" w:rsidRDefault="00387656" w:rsidP="00387656">
      <w:pPr>
        <w:pStyle w:val="Title"/>
        <w:rPr>
          <w:sz w:val="24"/>
        </w:rPr>
      </w:pPr>
    </w:p>
    <w:p w14:paraId="4A81F03D" w14:textId="77777777" w:rsidR="00387656" w:rsidRPr="00DF7C87" w:rsidRDefault="00387656" w:rsidP="00387656">
      <w:pPr>
        <w:pStyle w:val="Title"/>
        <w:rPr>
          <w:sz w:val="24"/>
        </w:rPr>
      </w:pPr>
    </w:p>
    <w:p w14:paraId="75EA3111" w14:textId="77777777" w:rsidR="00387656" w:rsidRPr="00DF7C87" w:rsidRDefault="00387656" w:rsidP="00387656">
      <w:pPr>
        <w:pStyle w:val="Title"/>
        <w:rPr>
          <w:sz w:val="24"/>
        </w:rPr>
      </w:pPr>
    </w:p>
    <w:p w14:paraId="3469625F" w14:textId="77777777" w:rsidR="00387656" w:rsidRPr="00DF7C87" w:rsidRDefault="00387656" w:rsidP="00387656">
      <w:pPr>
        <w:pStyle w:val="Title"/>
        <w:rPr>
          <w:sz w:val="24"/>
        </w:rPr>
      </w:pPr>
    </w:p>
    <w:p w14:paraId="49EFA077" w14:textId="77777777" w:rsidR="00236E6D" w:rsidRPr="00DF7C87" w:rsidRDefault="00236E6D" w:rsidP="00387656">
      <w:pPr>
        <w:pStyle w:val="Title"/>
        <w:rPr>
          <w:sz w:val="24"/>
        </w:rPr>
      </w:pPr>
    </w:p>
    <w:p w14:paraId="08EBD9CA" w14:textId="77777777" w:rsidR="00236E6D" w:rsidRPr="00DF7C87" w:rsidRDefault="00236E6D" w:rsidP="00387656">
      <w:pPr>
        <w:pStyle w:val="Title"/>
        <w:rPr>
          <w:sz w:val="24"/>
        </w:rPr>
      </w:pPr>
    </w:p>
    <w:p w14:paraId="5B0EC4B7" w14:textId="77777777" w:rsidR="00236E6D" w:rsidRPr="00CD341E" w:rsidRDefault="00236E6D" w:rsidP="00387656">
      <w:pPr>
        <w:pStyle w:val="Title"/>
        <w:jc w:val="left"/>
        <w:rPr>
          <w:b w:val="0"/>
          <w:bCs/>
          <w:sz w:val="24"/>
        </w:rPr>
      </w:pPr>
    </w:p>
    <w:p w14:paraId="609D925F" w14:textId="42C66FCA" w:rsidR="00236E6D" w:rsidRPr="00CD341E" w:rsidRDefault="009C755C" w:rsidP="00387656">
      <w:pPr>
        <w:pStyle w:val="Title"/>
        <w:rPr>
          <w:b w:val="0"/>
          <w:bCs/>
          <w:szCs w:val="28"/>
        </w:rPr>
      </w:pPr>
      <w:r w:rsidRPr="00CD341E">
        <w:rPr>
          <w:b w:val="0"/>
          <w:bCs/>
          <w:szCs w:val="28"/>
        </w:rPr>
        <w:t xml:space="preserve">A </w:t>
      </w:r>
      <w:r w:rsidR="00CD341E" w:rsidRPr="00CD341E">
        <w:rPr>
          <w:b w:val="0"/>
          <w:bCs/>
          <w:szCs w:val="28"/>
        </w:rPr>
        <w:t>Dissertation</w:t>
      </w:r>
      <w:r w:rsidRPr="00CD341E">
        <w:rPr>
          <w:b w:val="0"/>
          <w:bCs/>
          <w:szCs w:val="28"/>
        </w:rPr>
        <w:t xml:space="preserve"> Presented for</w:t>
      </w:r>
      <w:r w:rsidR="008865B6" w:rsidRPr="00CD341E">
        <w:rPr>
          <w:b w:val="0"/>
          <w:bCs/>
          <w:szCs w:val="28"/>
        </w:rPr>
        <w:t xml:space="preserve"> the</w:t>
      </w:r>
    </w:p>
    <w:p w14:paraId="180523F3" w14:textId="528AEB98" w:rsidR="009C755C" w:rsidRPr="00CD341E" w:rsidRDefault="00CD341E" w:rsidP="00387656">
      <w:pPr>
        <w:pStyle w:val="Title"/>
        <w:rPr>
          <w:b w:val="0"/>
          <w:bCs/>
          <w:szCs w:val="28"/>
        </w:rPr>
      </w:pPr>
      <w:r w:rsidRPr="00CD341E">
        <w:rPr>
          <w:b w:val="0"/>
          <w:bCs/>
          <w:szCs w:val="28"/>
        </w:rPr>
        <w:t>Doctor of Philosophy</w:t>
      </w:r>
    </w:p>
    <w:p w14:paraId="1840E82A" w14:textId="77777777" w:rsidR="009C755C" w:rsidRPr="00CD341E" w:rsidRDefault="009C755C" w:rsidP="00387656">
      <w:pPr>
        <w:pStyle w:val="Title"/>
        <w:rPr>
          <w:b w:val="0"/>
          <w:bCs/>
          <w:szCs w:val="28"/>
        </w:rPr>
      </w:pPr>
      <w:r w:rsidRPr="00CD341E">
        <w:rPr>
          <w:b w:val="0"/>
          <w:bCs/>
          <w:szCs w:val="28"/>
        </w:rPr>
        <w:t>Degree</w:t>
      </w:r>
    </w:p>
    <w:p w14:paraId="0D17404B" w14:textId="77777777" w:rsidR="009C755C" w:rsidRPr="00CD341E" w:rsidRDefault="009C755C" w:rsidP="00387656">
      <w:pPr>
        <w:pStyle w:val="Title"/>
        <w:rPr>
          <w:b w:val="0"/>
          <w:bCs/>
          <w:szCs w:val="28"/>
        </w:rPr>
      </w:pPr>
      <w:r w:rsidRPr="00CD341E">
        <w:rPr>
          <w:b w:val="0"/>
          <w:bCs/>
          <w:szCs w:val="28"/>
        </w:rPr>
        <w:t>The University of Tennessee, Knoxville</w:t>
      </w:r>
    </w:p>
    <w:p w14:paraId="500A3717" w14:textId="77777777" w:rsidR="00387656" w:rsidRPr="00DF7C87" w:rsidRDefault="00387656" w:rsidP="00387656">
      <w:pPr>
        <w:pStyle w:val="Title"/>
        <w:rPr>
          <w:szCs w:val="28"/>
        </w:rPr>
      </w:pPr>
    </w:p>
    <w:p w14:paraId="32F04FE3" w14:textId="77777777" w:rsidR="00387656" w:rsidRPr="00DF7C87" w:rsidRDefault="00387656" w:rsidP="00387656">
      <w:pPr>
        <w:pStyle w:val="Title"/>
        <w:rPr>
          <w:szCs w:val="28"/>
        </w:rPr>
      </w:pPr>
    </w:p>
    <w:p w14:paraId="48358BD5" w14:textId="77777777" w:rsidR="00387656" w:rsidRPr="00DF7C87" w:rsidRDefault="00387656" w:rsidP="00387656">
      <w:pPr>
        <w:pStyle w:val="Title"/>
        <w:rPr>
          <w:szCs w:val="28"/>
        </w:rPr>
      </w:pPr>
    </w:p>
    <w:p w14:paraId="49425873" w14:textId="77777777" w:rsidR="00236E6D" w:rsidRPr="00DF7C87" w:rsidRDefault="00236E6D" w:rsidP="00387656">
      <w:pPr>
        <w:pStyle w:val="Title"/>
        <w:rPr>
          <w:szCs w:val="28"/>
        </w:rPr>
      </w:pPr>
    </w:p>
    <w:p w14:paraId="1148071A" w14:textId="77777777" w:rsidR="00236E6D" w:rsidRPr="00DF7C87" w:rsidRDefault="00236E6D" w:rsidP="00387656">
      <w:pPr>
        <w:pStyle w:val="Title"/>
        <w:rPr>
          <w:szCs w:val="28"/>
        </w:rPr>
      </w:pPr>
    </w:p>
    <w:p w14:paraId="13452353" w14:textId="77777777" w:rsidR="00236E6D" w:rsidRPr="00DF7C87" w:rsidRDefault="00236E6D" w:rsidP="00387656">
      <w:pPr>
        <w:pStyle w:val="Title"/>
        <w:rPr>
          <w:szCs w:val="28"/>
        </w:rPr>
      </w:pPr>
    </w:p>
    <w:p w14:paraId="5E68E770" w14:textId="77777777" w:rsidR="00236E6D" w:rsidRPr="00DF7C87" w:rsidRDefault="00236E6D" w:rsidP="00387656">
      <w:pPr>
        <w:pStyle w:val="Title"/>
        <w:rPr>
          <w:szCs w:val="28"/>
        </w:rPr>
      </w:pPr>
    </w:p>
    <w:p w14:paraId="7983AE0B" w14:textId="77777777" w:rsidR="00236E6D" w:rsidRPr="00DF7C87" w:rsidRDefault="00236E6D" w:rsidP="00387656">
      <w:pPr>
        <w:pStyle w:val="Title"/>
        <w:rPr>
          <w:szCs w:val="28"/>
        </w:rPr>
      </w:pPr>
    </w:p>
    <w:p w14:paraId="4BB8CD96" w14:textId="77777777" w:rsidR="00236E6D" w:rsidRPr="00DF7C87" w:rsidRDefault="00236E6D" w:rsidP="00387656">
      <w:pPr>
        <w:pStyle w:val="Title"/>
        <w:rPr>
          <w:szCs w:val="28"/>
        </w:rPr>
      </w:pPr>
    </w:p>
    <w:p w14:paraId="0BB3DB6C" w14:textId="77777777" w:rsidR="00236E6D" w:rsidRPr="00DF7C87" w:rsidRDefault="00236E6D" w:rsidP="00387656">
      <w:pPr>
        <w:pStyle w:val="Title"/>
        <w:rPr>
          <w:szCs w:val="28"/>
        </w:rPr>
      </w:pPr>
    </w:p>
    <w:p w14:paraId="0DF56F3E" w14:textId="77777777" w:rsidR="00236E6D" w:rsidRPr="00DF7C87" w:rsidRDefault="00236E6D" w:rsidP="00387656">
      <w:pPr>
        <w:pStyle w:val="Title"/>
        <w:rPr>
          <w:szCs w:val="28"/>
        </w:rPr>
      </w:pPr>
    </w:p>
    <w:p w14:paraId="1BB9490F" w14:textId="77777777" w:rsidR="00236E6D" w:rsidRPr="00DF7C87" w:rsidRDefault="00236E6D" w:rsidP="00387656">
      <w:pPr>
        <w:pStyle w:val="Title"/>
        <w:rPr>
          <w:szCs w:val="28"/>
        </w:rPr>
      </w:pPr>
    </w:p>
    <w:p w14:paraId="2E348C62" w14:textId="77777777" w:rsidR="00236E6D" w:rsidRPr="00DF7C87" w:rsidRDefault="00236E6D" w:rsidP="00387656">
      <w:pPr>
        <w:pStyle w:val="Title"/>
        <w:rPr>
          <w:szCs w:val="28"/>
        </w:rPr>
      </w:pPr>
    </w:p>
    <w:p w14:paraId="30FA4D77" w14:textId="1EB329BC" w:rsidR="00236E6D" w:rsidRPr="00CD341E" w:rsidRDefault="00CD341E" w:rsidP="00387656">
      <w:pPr>
        <w:pStyle w:val="Title"/>
        <w:rPr>
          <w:b w:val="0"/>
          <w:bCs/>
          <w:szCs w:val="28"/>
        </w:rPr>
      </w:pPr>
      <w:r w:rsidRPr="00CD341E">
        <w:rPr>
          <w:b w:val="0"/>
          <w:bCs/>
          <w:szCs w:val="28"/>
        </w:rPr>
        <w:t>Shannon</w:t>
      </w:r>
      <w:r w:rsidR="003D07F7" w:rsidRPr="00CD341E">
        <w:rPr>
          <w:b w:val="0"/>
          <w:bCs/>
          <w:szCs w:val="28"/>
        </w:rPr>
        <w:t xml:space="preserve"> </w:t>
      </w:r>
      <w:r w:rsidRPr="00CD341E">
        <w:rPr>
          <w:b w:val="0"/>
          <w:bCs/>
          <w:szCs w:val="28"/>
        </w:rPr>
        <w:t>Lee Jo-Ann</w:t>
      </w:r>
      <w:r w:rsidR="003D07F7" w:rsidRPr="00CD341E">
        <w:rPr>
          <w:b w:val="0"/>
          <w:bCs/>
          <w:szCs w:val="28"/>
        </w:rPr>
        <w:t xml:space="preserve"> </w:t>
      </w:r>
      <w:r w:rsidRPr="00CD341E">
        <w:rPr>
          <w:b w:val="0"/>
          <w:bCs/>
          <w:szCs w:val="28"/>
        </w:rPr>
        <w:t>Bayliss</w:t>
      </w:r>
    </w:p>
    <w:p w14:paraId="0D7A9B1C" w14:textId="77777777" w:rsidR="009C755C" w:rsidRPr="00CD341E" w:rsidRDefault="00672DDD" w:rsidP="00387656">
      <w:pPr>
        <w:pStyle w:val="Title"/>
        <w:rPr>
          <w:b w:val="0"/>
          <w:bCs/>
          <w:szCs w:val="28"/>
        </w:rPr>
      </w:pPr>
      <w:r w:rsidRPr="00CD341E">
        <w:rPr>
          <w:b w:val="0"/>
          <w:bCs/>
          <w:szCs w:val="28"/>
        </w:rPr>
        <w:t>December</w:t>
      </w:r>
      <w:r w:rsidR="009C755C" w:rsidRPr="00CD341E">
        <w:rPr>
          <w:b w:val="0"/>
          <w:bCs/>
          <w:szCs w:val="28"/>
        </w:rPr>
        <w:t xml:space="preserve"> </w:t>
      </w:r>
      <w:r w:rsidR="003D07F7" w:rsidRPr="00CD341E">
        <w:rPr>
          <w:b w:val="0"/>
          <w:bCs/>
          <w:szCs w:val="28"/>
        </w:rPr>
        <w:t>2</w:t>
      </w:r>
      <w:r w:rsidR="00DF7C87" w:rsidRPr="00CD341E">
        <w:rPr>
          <w:b w:val="0"/>
          <w:bCs/>
          <w:szCs w:val="28"/>
        </w:rPr>
        <w:t>021</w:t>
      </w:r>
    </w:p>
    <w:p w14:paraId="339D4296" w14:textId="77777777" w:rsidR="00526151" w:rsidRPr="00DF7C87" w:rsidRDefault="00526151" w:rsidP="005E54E2">
      <w:pPr>
        <w:rPr>
          <w:sz w:val="28"/>
          <w:szCs w:val="28"/>
        </w:rPr>
      </w:pPr>
    </w:p>
    <w:p w14:paraId="33103DEC" w14:textId="77777777" w:rsidR="00526151" w:rsidRPr="00DF7C87" w:rsidRDefault="00526151" w:rsidP="005E54E2"/>
    <w:p w14:paraId="112460E0" w14:textId="77777777" w:rsidR="00526151" w:rsidRPr="00DF7C87" w:rsidRDefault="00387656" w:rsidP="005E54E2">
      <w:r w:rsidRPr="00DF7C87">
        <w:br w:type="page"/>
      </w:r>
    </w:p>
    <w:p w14:paraId="3BA5388F" w14:textId="77777777" w:rsidR="00526151" w:rsidRPr="00DF7C87" w:rsidRDefault="00526151" w:rsidP="005E54E2"/>
    <w:p w14:paraId="4C778EDB" w14:textId="7AE05E3B" w:rsidR="00236E6D" w:rsidRPr="00DF7C87" w:rsidRDefault="00DF7C87" w:rsidP="00CD341E">
      <w:pPr>
        <w:jc w:val="center"/>
      </w:pPr>
      <w:r>
        <w:t>Copyright © 2021</w:t>
      </w:r>
      <w:r w:rsidR="00236E6D" w:rsidRPr="00DF7C87">
        <w:t xml:space="preserve"> by </w:t>
      </w:r>
      <w:r w:rsidR="00CD341E">
        <w:t>Shannon Lee Jo-Ann Bayliss</w:t>
      </w:r>
    </w:p>
    <w:p w14:paraId="21B03749" w14:textId="77777777" w:rsidR="00236E6D" w:rsidRPr="00DF7C87" w:rsidRDefault="00236E6D" w:rsidP="00CD341E">
      <w:pPr>
        <w:jc w:val="center"/>
      </w:pPr>
      <w:r w:rsidRPr="00DF7C87">
        <w:t>All rights reserved.</w:t>
      </w:r>
    </w:p>
    <w:p w14:paraId="0045A931" w14:textId="77777777" w:rsidR="00236E6D" w:rsidRPr="00DF7C87" w:rsidRDefault="00236E6D" w:rsidP="005E54E2"/>
    <w:p w14:paraId="0B785CB9" w14:textId="77777777" w:rsidR="00236E6D" w:rsidRPr="00DF7C87" w:rsidRDefault="00236E6D" w:rsidP="005E54E2"/>
    <w:p w14:paraId="2389E739" w14:textId="77777777" w:rsidR="00236E6D" w:rsidRPr="00DF7C87" w:rsidRDefault="00236E6D" w:rsidP="005E54E2"/>
    <w:p w14:paraId="7C783888" w14:textId="77777777" w:rsidR="00236E6D" w:rsidRPr="00DF7C87" w:rsidRDefault="00236E6D" w:rsidP="005E54E2"/>
    <w:p w14:paraId="2B1DAB43" w14:textId="77777777" w:rsidR="00236E6D" w:rsidRPr="00DF7C87" w:rsidRDefault="00236E6D" w:rsidP="005E54E2"/>
    <w:p w14:paraId="2C3FF026" w14:textId="77777777" w:rsidR="00236E6D" w:rsidRPr="00DF7C87" w:rsidRDefault="00236E6D" w:rsidP="005E54E2"/>
    <w:p w14:paraId="2BECAE3C" w14:textId="77777777" w:rsidR="00236E6D" w:rsidRPr="00DF7C87" w:rsidRDefault="00236E6D" w:rsidP="005E54E2"/>
    <w:p w14:paraId="31E4F1C4" w14:textId="77777777" w:rsidR="00236E6D" w:rsidRPr="00DF7C87" w:rsidRDefault="00236E6D" w:rsidP="005E54E2"/>
    <w:p w14:paraId="371BA7FF" w14:textId="77777777" w:rsidR="00236E6D" w:rsidRPr="00DF7C87" w:rsidRDefault="00236E6D" w:rsidP="005E54E2"/>
    <w:p w14:paraId="3B08B987" w14:textId="77777777" w:rsidR="00236E6D" w:rsidRPr="00DF7C87" w:rsidRDefault="00236E6D" w:rsidP="005E54E2"/>
    <w:p w14:paraId="58C24C5A" w14:textId="77777777" w:rsidR="00236E6D" w:rsidRPr="00DF7C87" w:rsidRDefault="00236E6D" w:rsidP="005E54E2"/>
    <w:p w14:paraId="30F81082" w14:textId="77777777" w:rsidR="00236E6D" w:rsidRPr="00DF7C87" w:rsidRDefault="00236E6D" w:rsidP="005E54E2"/>
    <w:p w14:paraId="379E0FB6" w14:textId="77777777" w:rsidR="00236E6D" w:rsidRPr="00DF7C87" w:rsidRDefault="00236E6D" w:rsidP="005E54E2"/>
    <w:p w14:paraId="45CD93B5" w14:textId="77777777" w:rsidR="00236E6D" w:rsidRPr="00DF7C87" w:rsidRDefault="00236E6D" w:rsidP="005E54E2"/>
    <w:p w14:paraId="7AA85161" w14:textId="77777777" w:rsidR="006F5AA4" w:rsidRPr="00060A6A" w:rsidRDefault="00236E6D" w:rsidP="00387656">
      <w:pPr>
        <w:pStyle w:val="Title"/>
        <w:rPr>
          <w:szCs w:val="28"/>
        </w:rPr>
      </w:pPr>
      <w:r w:rsidRPr="00DF7C87">
        <w:rPr>
          <w:sz w:val="24"/>
        </w:rPr>
        <w:br w:type="page"/>
      </w:r>
      <w:r w:rsidR="006F5AA4" w:rsidRPr="00060A6A">
        <w:rPr>
          <w:szCs w:val="28"/>
        </w:rPr>
        <w:lastRenderedPageBreak/>
        <w:t>DEDICATION</w:t>
      </w:r>
    </w:p>
    <w:p w14:paraId="2646F325" w14:textId="77777777" w:rsidR="006F5AA4" w:rsidRPr="00DF7C87" w:rsidRDefault="006F5AA4" w:rsidP="005E54E2"/>
    <w:p w14:paraId="46872577" w14:textId="46544051" w:rsidR="00904969" w:rsidRPr="00DF7C87" w:rsidRDefault="005C4872" w:rsidP="009476E8">
      <w:pPr>
        <w:spacing w:line="276" w:lineRule="auto"/>
        <w:jc w:val="center"/>
      </w:pPr>
      <w:r>
        <w:t>I dedicate this dissertation to my father</w:t>
      </w:r>
      <w:r w:rsidR="00884346">
        <w:t xml:space="preserve">, whose ‘on-and-on’ gene I </w:t>
      </w:r>
      <w:r w:rsidR="007E32B1">
        <w:t>feel</w:t>
      </w:r>
      <w:r w:rsidR="005C1A52">
        <w:t xml:space="preserve"> lucky to have </w:t>
      </w:r>
      <w:r w:rsidR="00884346">
        <w:t xml:space="preserve">inherited. Thank you for </w:t>
      </w:r>
      <w:r w:rsidR="00247580">
        <w:t>showing</w:t>
      </w:r>
      <w:r w:rsidR="00884346">
        <w:t xml:space="preserve"> me </w:t>
      </w:r>
      <w:r w:rsidR="00247580">
        <w:t xml:space="preserve">how </w:t>
      </w:r>
      <w:r w:rsidR="007E32B1">
        <w:t xml:space="preserve">to </w:t>
      </w:r>
      <w:r w:rsidR="005C1A52">
        <w:t>be curious</w:t>
      </w:r>
      <w:r w:rsidR="007E32B1">
        <w:t xml:space="preserve">, </w:t>
      </w:r>
      <w:r w:rsidR="005C1A52">
        <w:t>generous</w:t>
      </w:r>
      <w:r w:rsidR="007E32B1">
        <w:t>,</w:t>
      </w:r>
      <w:r w:rsidR="005C1A52">
        <w:t xml:space="preserve"> and</w:t>
      </w:r>
      <w:r w:rsidR="007E32B1">
        <w:t xml:space="preserve"> </w:t>
      </w:r>
      <w:r w:rsidR="005C1A52">
        <w:t>grateful</w:t>
      </w:r>
      <w:r w:rsidR="00247580">
        <w:t xml:space="preserve">. </w:t>
      </w:r>
    </w:p>
    <w:p w14:paraId="49B52B15" w14:textId="77777777" w:rsidR="00CD73A9" w:rsidRPr="00060A6A" w:rsidRDefault="006F5AA4" w:rsidP="00387656">
      <w:pPr>
        <w:pStyle w:val="Title"/>
        <w:rPr>
          <w:szCs w:val="28"/>
        </w:rPr>
      </w:pPr>
      <w:r w:rsidRPr="00DF7C87">
        <w:rPr>
          <w:sz w:val="24"/>
        </w:rPr>
        <w:br w:type="page"/>
      </w:r>
      <w:r w:rsidR="00CD73A9" w:rsidRPr="00060A6A">
        <w:rPr>
          <w:szCs w:val="28"/>
        </w:rPr>
        <w:lastRenderedPageBreak/>
        <w:t>ACKNOWLEDGEMENTS</w:t>
      </w:r>
    </w:p>
    <w:p w14:paraId="4642B133" w14:textId="77777777" w:rsidR="009D794C" w:rsidRPr="00DF7C87" w:rsidRDefault="009D794C" w:rsidP="005E54E2"/>
    <w:p w14:paraId="36DBE073" w14:textId="0C162DDD" w:rsidR="00904969" w:rsidRPr="00DF7C87" w:rsidRDefault="00247580" w:rsidP="00D72DB8">
      <w:pPr>
        <w:spacing w:line="276" w:lineRule="auto"/>
        <w:jc w:val="both"/>
      </w:pPr>
      <w:r>
        <w:t xml:space="preserve">I </w:t>
      </w:r>
      <w:r w:rsidR="00801D8C">
        <w:t>need</w:t>
      </w:r>
      <w:r>
        <w:t xml:space="preserve"> to </w:t>
      </w:r>
      <w:r w:rsidR="00801D8C">
        <w:t xml:space="preserve">first </w:t>
      </w:r>
      <w:r>
        <w:t xml:space="preserve">thank </w:t>
      </w:r>
      <w:r w:rsidR="00CD341E">
        <w:t xml:space="preserve">Joe Bailey </w:t>
      </w:r>
      <w:r>
        <w:t>and</w:t>
      </w:r>
      <w:r w:rsidR="00CD341E">
        <w:t xml:space="preserve"> Jen Schweitzer</w:t>
      </w:r>
      <w:r w:rsidR="00801D8C">
        <w:t>:</w:t>
      </w:r>
      <w:r>
        <w:t xml:space="preserve"> Your </w:t>
      </w:r>
      <w:r w:rsidR="00CF5C0D">
        <w:t>mentorship</w:t>
      </w:r>
      <w:r w:rsidR="009D0B67">
        <w:t xml:space="preserve"> and friendship</w:t>
      </w:r>
      <w:r w:rsidR="00CF5C0D">
        <w:t xml:space="preserve"> </w:t>
      </w:r>
      <w:r w:rsidR="009D0B67">
        <w:t>is</w:t>
      </w:r>
      <w:r w:rsidR="00CF5C0D">
        <w:t xml:space="preserve"> </w:t>
      </w:r>
      <w:r w:rsidR="00801D8C">
        <w:t>invaluable,</w:t>
      </w:r>
      <w:r w:rsidR="009D0B67">
        <w:t xml:space="preserve"> and your support and encouragement has helped me realize </w:t>
      </w:r>
      <w:r w:rsidR="00CB496F">
        <w:t>what my goals are</w:t>
      </w:r>
      <w:r w:rsidR="005059B2">
        <w:t>, and to</w:t>
      </w:r>
      <w:r w:rsidR="00CB496F">
        <w:t xml:space="preserve"> begin</w:t>
      </w:r>
      <w:r w:rsidR="009D0B67">
        <w:t xml:space="preserve"> realizing </w:t>
      </w:r>
      <w:r w:rsidR="00CB496F">
        <w:t>them</w:t>
      </w:r>
      <w:r w:rsidR="009D0B67">
        <w:t xml:space="preserve">. </w:t>
      </w:r>
      <w:r w:rsidR="00CB496F">
        <w:t xml:space="preserve">Thank you for always encouraging us to be </w:t>
      </w:r>
      <w:r w:rsidR="005A0ED6">
        <w:t>ourselves.</w:t>
      </w:r>
      <w:r w:rsidR="00CB496F">
        <w:t xml:space="preserve"> </w:t>
      </w:r>
      <w:r w:rsidR="001A52D6">
        <w:t>Thank</w:t>
      </w:r>
      <w:r w:rsidR="009D0B67">
        <w:t>s</w:t>
      </w:r>
      <w:r w:rsidR="00801D8C">
        <w:t xml:space="preserve"> also</w:t>
      </w:r>
      <w:r>
        <w:t xml:space="preserve"> to </w:t>
      </w:r>
      <w:r w:rsidR="001A52D6">
        <w:t xml:space="preserve">Stephanie </w:t>
      </w:r>
      <w:proofErr w:type="spellStart"/>
      <w:r w:rsidR="001A52D6">
        <w:t>Kivlin</w:t>
      </w:r>
      <w:proofErr w:type="spellEnd"/>
      <w:r w:rsidR="00CD341E">
        <w:t xml:space="preserve">, Mona </w:t>
      </w:r>
      <w:proofErr w:type="spellStart"/>
      <w:r w:rsidR="00CD341E">
        <w:t>Papes</w:t>
      </w:r>
      <w:proofErr w:type="spellEnd"/>
      <w:r w:rsidR="00CD341E">
        <w:t xml:space="preserve">, Jon Hathaway, Mark </w:t>
      </w:r>
      <w:proofErr w:type="spellStart"/>
      <w:r w:rsidR="00CD341E">
        <w:t>Littmann</w:t>
      </w:r>
      <w:proofErr w:type="spellEnd"/>
      <w:r w:rsidR="00CD341E">
        <w:t xml:space="preserve">, Julie </w:t>
      </w:r>
      <w:proofErr w:type="spellStart"/>
      <w:r w:rsidR="00CD341E">
        <w:t>Andsager</w:t>
      </w:r>
      <w:proofErr w:type="spellEnd"/>
      <w:r w:rsidR="00CD341E">
        <w:t xml:space="preserve">, </w:t>
      </w:r>
      <w:r>
        <w:t xml:space="preserve">and </w:t>
      </w:r>
      <w:r w:rsidR="00CD341E">
        <w:t xml:space="preserve">Caroline </w:t>
      </w:r>
      <w:proofErr w:type="spellStart"/>
      <w:r w:rsidR="00CD341E">
        <w:t>Weinhold</w:t>
      </w:r>
      <w:proofErr w:type="spellEnd"/>
      <w:r w:rsidR="001A52D6">
        <w:t xml:space="preserve"> for </w:t>
      </w:r>
      <w:r w:rsidR="00CB496F">
        <w:t>all the</w:t>
      </w:r>
      <w:r w:rsidR="001A52D6">
        <w:t xml:space="preserve"> conversations and guidance</w:t>
      </w:r>
      <w:r w:rsidR="00801D8C">
        <w:t xml:space="preserve"> –</w:t>
      </w:r>
      <w:r w:rsidR="009D0B67">
        <w:t xml:space="preserve"> </w:t>
      </w:r>
      <w:r w:rsidR="00801D8C">
        <w:t>a</w:t>
      </w:r>
      <w:r w:rsidR="009D0B67">
        <w:t>ll of you have been a huge part of my experience at the University of Tennessee. Thanks to</w:t>
      </w:r>
      <w:r w:rsidR="001A52D6">
        <w:t xml:space="preserve"> </w:t>
      </w:r>
      <w:r w:rsidR="00CF5C0D">
        <w:t xml:space="preserve">Liam Mueller, Ian Ware, Rachel </w:t>
      </w:r>
      <w:proofErr w:type="spellStart"/>
      <w:r w:rsidR="00CF5C0D">
        <w:t>Wooliver</w:t>
      </w:r>
      <w:proofErr w:type="spellEnd"/>
      <w:r w:rsidR="00CF5C0D">
        <w:t xml:space="preserve">, Alix </w:t>
      </w:r>
      <w:proofErr w:type="spellStart"/>
      <w:r w:rsidR="00CF5C0D">
        <w:t>Pfennigwerth</w:t>
      </w:r>
      <w:proofErr w:type="spellEnd"/>
      <w:r w:rsidR="00CF5C0D">
        <w:t>, and Michael Van Nuland</w:t>
      </w:r>
      <w:r w:rsidR="001A52D6">
        <w:t xml:space="preserve"> </w:t>
      </w:r>
      <w:r w:rsidR="009D0B67">
        <w:t>who made</w:t>
      </w:r>
      <w:r w:rsidR="00CF5C0D">
        <w:t xml:space="preserve"> moving to Tennessee an easy decision. </w:t>
      </w:r>
      <w:r w:rsidR="00CB496F">
        <w:t>Liam, Ian, Rachel, Alex, Michael plus</w:t>
      </w:r>
      <w:r w:rsidR="00801D8C">
        <w:t xml:space="preserve"> </w:t>
      </w:r>
      <w:r w:rsidR="00CF5C0D">
        <w:t xml:space="preserve">Kendall </w:t>
      </w:r>
      <w:proofErr w:type="spellStart"/>
      <w:r w:rsidR="00CF5C0D">
        <w:t>Beals</w:t>
      </w:r>
      <w:proofErr w:type="spellEnd"/>
      <w:r w:rsidR="00CF5C0D">
        <w:t>, Megan Patel, Sophia Turner, Sarah Love</w:t>
      </w:r>
      <w:r w:rsidR="005A0ED6">
        <w:t>, and Alex Neild</w:t>
      </w:r>
      <w:r w:rsidR="00CF5C0D">
        <w:t>: thank you</w:t>
      </w:r>
      <w:r w:rsidR="006734E6">
        <w:t xml:space="preserve"> for being wonderful </w:t>
      </w:r>
      <w:r w:rsidR="005059B2">
        <w:t>lab mates</w:t>
      </w:r>
      <w:r w:rsidR="006734E6">
        <w:t>,</w:t>
      </w:r>
      <w:r w:rsidR="00CF5C0D">
        <w:t xml:space="preserve"> for </w:t>
      </w:r>
      <w:r w:rsidR="005059B2">
        <w:t>all</w:t>
      </w:r>
      <w:r w:rsidR="006734E6">
        <w:t xml:space="preserve"> your</w:t>
      </w:r>
      <w:r w:rsidR="00CB496F">
        <w:t xml:space="preserve"> scientific </w:t>
      </w:r>
      <w:r w:rsidR="006734E6">
        <w:t xml:space="preserve">input, </w:t>
      </w:r>
      <w:r w:rsidR="005059B2">
        <w:t>and</w:t>
      </w:r>
      <w:r w:rsidR="00CB496F">
        <w:t xml:space="preserve"> </w:t>
      </w:r>
      <w:r w:rsidR="006734E6">
        <w:t>most</w:t>
      </w:r>
      <w:r w:rsidR="00CB496F">
        <w:t xml:space="preserve"> importantly for your</w:t>
      </w:r>
      <w:r w:rsidR="00CF5C0D">
        <w:t xml:space="preserve"> </w:t>
      </w:r>
      <w:r w:rsidR="009D0B67">
        <w:t xml:space="preserve">friendship. </w:t>
      </w:r>
      <w:r w:rsidR="00CB496F">
        <w:t xml:space="preserve">Finally, </w:t>
      </w:r>
      <w:r w:rsidR="005059B2">
        <w:t>thank you to</w:t>
      </w:r>
      <w:r w:rsidR="00CB496F">
        <w:t xml:space="preserve"> my family</w:t>
      </w:r>
      <w:r w:rsidR="006734E6">
        <w:t xml:space="preserve"> for </w:t>
      </w:r>
      <w:r w:rsidR="009476E8">
        <w:t>your</w:t>
      </w:r>
      <w:r w:rsidR="006734E6">
        <w:t xml:space="preserve"> constant love and support.</w:t>
      </w:r>
      <w:r w:rsidR="005059B2">
        <w:t xml:space="preserve"> </w:t>
      </w:r>
    </w:p>
    <w:p w14:paraId="2C3E7C5D" w14:textId="77777777" w:rsidR="00236E6D" w:rsidRPr="00060A6A" w:rsidRDefault="0085757D" w:rsidP="00387656">
      <w:pPr>
        <w:pStyle w:val="Title"/>
        <w:rPr>
          <w:szCs w:val="28"/>
        </w:rPr>
      </w:pPr>
      <w:r w:rsidRPr="00DF7C87">
        <w:rPr>
          <w:sz w:val="24"/>
        </w:rPr>
        <w:br w:type="page"/>
      </w:r>
      <w:r w:rsidR="00236E6D" w:rsidRPr="00060A6A">
        <w:rPr>
          <w:szCs w:val="28"/>
        </w:rPr>
        <w:lastRenderedPageBreak/>
        <w:t>ABSTRACT</w:t>
      </w:r>
    </w:p>
    <w:p w14:paraId="20432D53" w14:textId="5FCAC1B2" w:rsidR="0085757D" w:rsidRPr="002E48B7" w:rsidRDefault="00B66B6E" w:rsidP="00D72DB8">
      <w:pPr>
        <w:pStyle w:val="NormalWeb"/>
        <w:spacing w:line="276" w:lineRule="auto"/>
        <w:jc w:val="both"/>
        <w:rPr>
          <w:i/>
          <w:iCs/>
        </w:rPr>
      </w:pPr>
      <w:r w:rsidRPr="00B66B6E">
        <w:rPr>
          <w:color w:val="111111"/>
        </w:rPr>
        <w:t xml:space="preserve">Climate </w:t>
      </w:r>
      <w:r w:rsidR="006363CE">
        <w:rPr>
          <w:color w:val="111111"/>
        </w:rPr>
        <w:t>c</w:t>
      </w:r>
      <w:r w:rsidRPr="00B66B6E">
        <w:rPr>
          <w:color w:val="111111"/>
        </w:rPr>
        <w:t>hange is having profound effects on species distributions. However, much less is understood about</w:t>
      </w:r>
      <w:r>
        <w:rPr>
          <w:color w:val="111111"/>
        </w:rPr>
        <w:t xml:space="preserve"> how climate change may alter the distribution of genetic variation </w:t>
      </w:r>
      <w:r w:rsidR="00120E32">
        <w:rPr>
          <w:color w:val="111111"/>
        </w:rPr>
        <w:t xml:space="preserve">within species </w:t>
      </w:r>
      <w:r>
        <w:rPr>
          <w:color w:val="111111"/>
        </w:rPr>
        <w:t xml:space="preserve">across landscapes. Maintaining genetic diversity within populations is essential for the survival of species in the face of rapid climatic changes, </w:t>
      </w:r>
      <w:r w:rsidR="00120E32">
        <w:rPr>
          <w:color w:val="111111"/>
        </w:rPr>
        <w:t>but importantly,</w:t>
      </w:r>
      <w:r>
        <w:rPr>
          <w:color w:val="111111"/>
        </w:rPr>
        <w:t xml:space="preserve"> losses of genetic variation will </w:t>
      </w:r>
      <w:r w:rsidR="00120E32">
        <w:rPr>
          <w:color w:val="111111"/>
        </w:rPr>
        <w:t>also have</w:t>
      </w:r>
      <w:r>
        <w:rPr>
          <w:color w:val="111111"/>
        </w:rPr>
        <w:t xml:space="preserve"> significant consequences </w:t>
      </w:r>
      <w:r w:rsidR="00120E32">
        <w:rPr>
          <w:color w:val="111111"/>
        </w:rPr>
        <w:t>on</w:t>
      </w:r>
      <w:r>
        <w:rPr>
          <w:color w:val="111111"/>
        </w:rPr>
        <w:t xml:space="preserve"> e</w:t>
      </w:r>
      <w:r w:rsidR="00120E32">
        <w:rPr>
          <w:color w:val="111111"/>
        </w:rPr>
        <w:t>ntire ecosystems</w:t>
      </w:r>
      <w:r>
        <w:rPr>
          <w:color w:val="111111"/>
        </w:rPr>
        <w:t xml:space="preserve">. </w:t>
      </w:r>
      <w:r w:rsidR="0021070A" w:rsidRPr="00237998">
        <w:t xml:space="preserve">The objective of this </w:t>
      </w:r>
      <w:r w:rsidR="0021070A">
        <w:t>dissertation is</w:t>
      </w:r>
      <w:r w:rsidR="0021070A" w:rsidRPr="00237998">
        <w:t xml:space="preserve"> to </w:t>
      </w:r>
      <w:r w:rsidR="0021070A" w:rsidRPr="002A5F38">
        <w:t xml:space="preserve">understand how genetic variation in a riparian </w:t>
      </w:r>
      <w:r w:rsidR="006363CE">
        <w:t xml:space="preserve">cottonwood </w:t>
      </w:r>
      <w:r w:rsidR="0021070A" w:rsidRPr="002A5F38">
        <w:t xml:space="preserve">species, </w:t>
      </w:r>
      <w:r w:rsidR="0021070A" w:rsidRPr="002A5F38">
        <w:rPr>
          <w:i/>
          <w:iCs/>
        </w:rPr>
        <w:t>Populus angustifolia</w:t>
      </w:r>
      <w:r w:rsidR="0021070A" w:rsidRPr="002A5F38">
        <w:t xml:space="preserve">, affects mass and energy exchange between the land and atmosphere across ~1700 km of latitude of the western United States, and how genetic variation may respond </w:t>
      </w:r>
      <w:r w:rsidR="00120E32">
        <w:t xml:space="preserve">to </w:t>
      </w:r>
      <w:r w:rsidR="0021070A" w:rsidRPr="002A5F38">
        <w:t xml:space="preserve">climate change. </w:t>
      </w:r>
      <w:r w:rsidR="00AE52FE">
        <w:t>Specifically,</w:t>
      </w:r>
      <w:r w:rsidR="002A5F38">
        <w:t xml:space="preserve"> I examine:</w:t>
      </w:r>
      <w:r w:rsidR="00E91953" w:rsidRPr="002A5F38">
        <w:t xml:space="preserve"> (1)</w:t>
      </w:r>
      <w:r w:rsidR="002A5F38">
        <w:t xml:space="preserve"> </w:t>
      </w:r>
      <w:r w:rsidR="0021070A" w:rsidRPr="002A5F38">
        <w:rPr>
          <w:color w:val="000000" w:themeColor="text1"/>
        </w:rPr>
        <w:t xml:space="preserve">the potential for large-scale </w:t>
      </w:r>
      <w:r w:rsidR="0021070A" w:rsidRPr="002A5F38">
        <w:t>land-atmosphere feedbacks in hydrologic processes driven by geographic differences in plant population traits</w:t>
      </w:r>
      <w:r w:rsidR="00E91953" w:rsidRPr="002A5F38">
        <w:t xml:space="preserve">; (2) the extent to which including genetic </w:t>
      </w:r>
      <w:r w:rsidR="00120E32">
        <w:t>population structure</w:t>
      </w:r>
      <w:r w:rsidR="00E91953" w:rsidRPr="002A5F38">
        <w:t xml:space="preserve"> in</w:t>
      </w:r>
      <w:r w:rsidR="00120E32">
        <w:t>to</w:t>
      </w:r>
      <w:r w:rsidR="00E91953" w:rsidRPr="002A5F38">
        <w:t xml:space="preserve"> </w:t>
      </w:r>
      <w:r w:rsidR="00120E32">
        <w:t>species distribution</w:t>
      </w:r>
      <w:r w:rsidR="00E91953" w:rsidRPr="002A5F38">
        <w:t xml:space="preserve"> model</w:t>
      </w:r>
      <w:r w:rsidR="00120E32">
        <w:t>s</w:t>
      </w:r>
      <w:r w:rsidR="00E91953" w:rsidRPr="002A5F38">
        <w:t xml:space="preserve"> alters predictions of suitable conditions and geographic distributions; and (3)</w:t>
      </w:r>
      <w:r w:rsidR="00E91953" w:rsidRPr="002A5F38">
        <w:rPr>
          <w:color w:val="111111"/>
        </w:rPr>
        <w:t xml:space="preserve"> </w:t>
      </w:r>
      <w:r w:rsidR="00AE52FE">
        <w:rPr>
          <w:color w:val="111111"/>
        </w:rPr>
        <w:t>the extent to which</w:t>
      </w:r>
      <w:r w:rsidR="00E91953" w:rsidRPr="002A5F38">
        <w:t xml:space="preserve"> genetic trait variation </w:t>
      </w:r>
      <w:r w:rsidR="00120E32">
        <w:t xml:space="preserve">in bud break phenology </w:t>
      </w:r>
      <w:r w:rsidR="00E91953" w:rsidRPr="002A5F38">
        <w:t xml:space="preserve">is predicted to change in response to </w:t>
      </w:r>
      <w:r w:rsidR="00AE52FE">
        <w:t xml:space="preserve">novel climatic conditions. </w:t>
      </w:r>
      <w:r w:rsidR="00E91953" w:rsidRPr="002A5F38">
        <w:t xml:space="preserve">The findings of this dissertation suggest that </w:t>
      </w:r>
      <w:r w:rsidR="00E91953" w:rsidRPr="002A5F38">
        <w:rPr>
          <w:color w:val="000000" w:themeColor="text1"/>
        </w:rPr>
        <w:t>populations from landscapes with different hydrologic histories will differ in their ability to maintain favorable water balance with changing atmospheric demands for water</w:t>
      </w:r>
      <w:r w:rsidR="00AE52FE">
        <w:rPr>
          <w:color w:val="000000" w:themeColor="text1"/>
        </w:rPr>
        <w:t>;</w:t>
      </w:r>
      <w:r w:rsidR="00E91953" w:rsidRPr="002A5F38">
        <w:rPr>
          <w:color w:val="000000" w:themeColor="text1"/>
        </w:rPr>
        <w:t xml:space="preserve"> </w:t>
      </w:r>
      <w:r w:rsidR="002A5F38" w:rsidRPr="002A5F38">
        <w:rPr>
          <w:color w:val="000000" w:themeColor="text1"/>
        </w:rPr>
        <w:t xml:space="preserve">that </w:t>
      </w:r>
      <w:r w:rsidR="002A5F38" w:rsidRPr="002A5F38">
        <w:rPr>
          <w:iCs/>
        </w:rPr>
        <w:t xml:space="preserve">species-range </w:t>
      </w:r>
      <w:r w:rsidR="00120E32">
        <w:rPr>
          <w:iCs/>
        </w:rPr>
        <w:t xml:space="preserve">distribution </w:t>
      </w:r>
      <w:r w:rsidR="002A5F38" w:rsidRPr="002A5F38">
        <w:rPr>
          <w:iCs/>
        </w:rPr>
        <w:t xml:space="preserve">models that do not include genetic information </w:t>
      </w:r>
      <w:r w:rsidR="002A5F38" w:rsidRPr="002A5F38">
        <w:t>provide overly</w:t>
      </w:r>
      <w:r w:rsidR="00120E32">
        <w:t>-</w:t>
      </w:r>
      <w:r w:rsidR="002A5F38" w:rsidRPr="002A5F38">
        <w:t xml:space="preserve">broad projections of suitable conditions on the landscape compared to models that include </w:t>
      </w:r>
      <w:r w:rsidR="00120E32">
        <w:t>population</w:t>
      </w:r>
      <w:r w:rsidR="002A5F38" w:rsidRPr="002A5F38">
        <w:t xml:space="preserve"> genetic structure</w:t>
      </w:r>
      <w:r w:rsidR="002A5F38">
        <w:t xml:space="preserve">; and, that </w:t>
      </w:r>
      <w:r w:rsidR="002A5F38" w:rsidRPr="002A5F38">
        <w:rPr>
          <w:color w:val="111111"/>
        </w:rPr>
        <w:t xml:space="preserve">a net loss of </w:t>
      </w:r>
      <w:r w:rsidR="002A5F38">
        <w:rPr>
          <w:color w:val="111111"/>
        </w:rPr>
        <w:t>trait</w:t>
      </w:r>
      <w:r w:rsidR="002A5F38" w:rsidRPr="002A5F38">
        <w:rPr>
          <w:color w:val="111111"/>
        </w:rPr>
        <w:t xml:space="preserve"> variation in future climates </w:t>
      </w:r>
      <w:r w:rsidR="002A5F38" w:rsidRPr="00B66B6E">
        <w:rPr>
          <w:color w:val="111111"/>
        </w:rPr>
        <w:t xml:space="preserve">is predicted across all populations of </w:t>
      </w:r>
      <w:r w:rsidR="00120E32" w:rsidRPr="00120E32">
        <w:rPr>
          <w:i/>
          <w:iCs/>
          <w:color w:val="111111"/>
        </w:rPr>
        <w:t>P. angustifolia</w:t>
      </w:r>
      <w:r w:rsidR="002A5F38" w:rsidRPr="00B66B6E">
        <w:rPr>
          <w:color w:val="111111"/>
        </w:rPr>
        <w:t xml:space="preserve">, </w:t>
      </w:r>
      <w:r w:rsidR="00DE413C">
        <w:rPr>
          <w:color w:val="111111"/>
        </w:rPr>
        <w:t>with</w:t>
      </w:r>
      <w:r w:rsidR="002A5F38" w:rsidRPr="00B66B6E">
        <w:rPr>
          <w:color w:val="111111"/>
        </w:rPr>
        <w:t xml:space="preserve"> the trailing</w:t>
      </w:r>
      <w:r w:rsidR="00120E32">
        <w:rPr>
          <w:color w:val="111111"/>
        </w:rPr>
        <w:t>-</w:t>
      </w:r>
      <w:r w:rsidR="002A5F38" w:rsidRPr="00B66B6E">
        <w:rPr>
          <w:color w:val="111111"/>
        </w:rPr>
        <w:t xml:space="preserve">edge population is predicted to lose the most. </w:t>
      </w:r>
      <w:r w:rsidR="00022BB2" w:rsidRPr="00B66B6E">
        <w:t xml:space="preserve">These ideas have </w:t>
      </w:r>
      <w:r w:rsidR="0021070A" w:rsidRPr="00B66B6E">
        <w:t>broad implications for predicting population-level ecological and evolutionary responses to climate change</w:t>
      </w:r>
      <w:r w:rsidR="00022BB2" w:rsidRPr="00B66B6E">
        <w:t xml:space="preserve"> as decreases to genetic variation reduce a species’ ability to adapt to novel conditions and can have profound effects on ecosystem processes like resource cycling (e.g., water, carbon, nitrogen)</w:t>
      </w:r>
      <w:r w:rsidRPr="00B66B6E">
        <w:t xml:space="preserve"> </w:t>
      </w:r>
      <w:r w:rsidR="00120E32">
        <w:t>and</w:t>
      </w:r>
      <w:r w:rsidRPr="00B66B6E">
        <w:t xml:space="preserve"> </w:t>
      </w:r>
      <w:r w:rsidR="00066637">
        <w:t xml:space="preserve">on species interactions within </w:t>
      </w:r>
      <w:r w:rsidRPr="00B66B6E">
        <w:t>ecological communities.</w:t>
      </w:r>
    </w:p>
    <w:p w14:paraId="4C2E92BB" w14:textId="77777777" w:rsidR="00236E6D" w:rsidRPr="00DF7C87" w:rsidRDefault="00236E6D" w:rsidP="00387656">
      <w:r w:rsidRPr="00DF7C87">
        <w:br w:type="page"/>
      </w:r>
    </w:p>
    <w:p w14:paraId="31BFF803" w14:textId="77777777" w:rsidR="00387656" w:rsidRPr="00060A6A" w:rsidRDefault="00387656" w:rsidP="00387656">
      <w:pPr>
        <w:pStyle w:val="Title"/>
        <w:rPr>
          <w:szCs w:val="28"/>
        </w:rPr>
      </w:pPr>
      <w:r w:rsidRPr="00060A6A">
        <w:rPr>
          <w:szCs w:val="28"/>
        </w:rPr>
        <w:lastRenderedPageBreak/>
        <w:t>TABLE OF CONTENTS</w:t>
      </w:r>
    </w:p>
    <w:p w14:paraId="2C9A4A08" w14:textId="77777777" w:rsidR="00387656" w:rsidRPr="00DF7C87" w:rsidRDefault="00387656" w:rsidP="00387656">
      <w:pPr>
        <w:pStyle w:val="Title"/>
        <w:rPr>
          <w:sz w:val="24"/>
        </w:rPr>
      </w:pPr>
    </w:p>
    <w:p w14:paraId="294C572B" w14:textId="266FF7AA" w:rsidR="00EE1463" w:rsidRDefault="00EA22B9">
      <w:pPr>
        <w:pStyle w:val="TOC1"/>
        <w:tabs>
          <w:tab w:val="right" w:leader="dot" w:pos="8630"/>
        </w:tabs>
        <w:rPr>
          <w:rFonts w:asciiTheme="minorHAnsi" w:eastAsiaTheme="minorEastAsia" w:hAnsiTheme="minorHAnsi" w:cstheme="minorBidi"/>
          <w:noProof/>
        </w:rPr>
      </w:pPr>
      <w:r>
        <w:fldChar w:fldCharType="begin"/>
      </w:r>
      <w:r>
        <w:instrText xml:space="preserve"> TOC \o "1-2" \h \z \u </w:instrText>
      </w:r>
      <w:r>
        <w:fldChar w:fldCharType="separate"/>
      </w:r>
      <w:hyperlink w:anchor="_Toc88056470" w:history="1">
        <w:r w:rsidR="00EE1463" w:rsidRPr="00366D13">
          <w:rPr>
            <w:rStyle w:val="Hyperlink"/>
            <w:noProof/>
          </w:rPr>
          <w:t>INTRODUCTION</w:t>
        </w:r>
        <w:r w:rsidR="00EE1463">
          <w:rPr>
            <w:noProof/>
            <w:webHidden/>
          </w:rPr>
          <w:tab/>
        </w:r>
        <w:r w:rsidR="00EE1463">
          <w:rPr>
            <w:noProof/>
            <w:webHidden/>
          </w:rPr>
          <w:fldChar w:fldCharType="begin"/>
        </w:r>
        <w:r w:rsidR="00EE1463">
          <w:rPr>
            <w:noProof/>
            <w:webHidden/>
          </w:rPr>
          <w:instrText xml:space="preserve"> PAGEREF _Toc88056470 \h </w:instrText>
        </w:r>
        <w:r w:rsidR="00EE1463">
          <w:rPr>
            <w:noProof/>
            <w:webHidden/>
          </w:rPr>
        </w:r>
        <w:r w:rsidR="00EE1463">
          <w:rPr>
            <w:noProof/>
            <w:webHidden/>
          </w:rPr>
          <w:fldChar w:fldCharType="separate"/>
        </w:r>
        <w:r w:rsidR="00C52BD7">
          <w:rPr>
            <w:noProof/>
            <w:webHidden/>
          </w:rPr>
          <w:t>1</w:t>
        </w:r>
        <w:r w:rsidR="00EE1463">
          <w:rPr>
            <w:noProof/>
            <w:webHidden/>
          </w:rPr>
          <w:fldChar w:fldCharType="end"/>
        </w:r>
      </w:hyperlink>
    </w:p>
    <w:p w14:paraId="70B8E3C3" w14:textId="01D60AAF" w:rsidR="00EE1463" w:rsidRDefault="002B166B">
      <w:pPr>
        <w:pStyle w:val="TOC2"/>
        <w:tabs>
          <w:tab w:val="right" w:leader="dot" w:pos="8630"/>
        </w:tabs>
        <w:rPr>
          <w:rFonts w:asciiTheme="minorHAnsi" w:eastAsiaTheme="minorEastAsia" w:hAnsiTheme="minorHAnsi" w:cstheme="minorBidi"/>
          <w:noProof/>
        </w:rPr>
      </w:pPr>
      <w:hyperlink w:anchor="_Toc88056471" w:history="1">
        <w:r w:rsidR="00EE1463" w:rsidRPr="00366D13">
          <w:rPr>
            <w:rStyle w:val="Hyperlink"/>
            <w:noProof/>
          </w:rPr>
          <w:t>REFERENCES</w:t>
        </w:r>
        <w:r w:rsidR="00EE1463">
          <w:rPr>
            <w:noProof/>
            <w:webHidden/>
          </w:rPr>
          <w:tab/>
        </w:r>
        <w:r w:rsidR="00EE1463">
          <w:rPr>
            <w:noProof/>
            <w:webHidden/>
          </w:rPr>
          <w:fldChar w:fldCharType="begin"/>
        </w:r>
        <w:r w:rsidR="00EE1463">
          <w:rPr>
            <w:noProof/>
            <w:webHidden/>
          </w:rPr>
          <w:instrText xml:space="preserve"> PAGEREF _Toc88056471 \h </w:instrText>
        </w:r>
        <w:r w:rsidR="00EE1463">
          <w:rPr>
            <w:noProof/>
            <w:webHidden/>
          </w:rPr>
        </w:r>
        <w:r w:rsidR="00EE1463">
          <w:rPr>
            <w:noProof/>
            <w:webHidden/>
          </w:rPr>
          <w:fldChar w:fldCharType="separate"/>
        </w:r>
        <w:r w:rsidR="00C52BD7">
          <w:rPr>
            <w:noProof/>
            <w:webHidden/>
          </w:rPr>
          <w:t>5</w:t>
        </w:r>
        <w:r w:rsidR="00EE1463">
          <w:rPr>
            <w:noProof/>
            <w:webHidden/>
          </w:rPr>
          <w:fldChar w:fldCharType="end"/>
        </w:r>
      </w:hyperlink>
    </w:p>
    <w:p w14:paraId="00069333" w14:textId="5B612678" w:rsidR="00EE1463" w:rsidRDefault="002B166B">
      <w:pPr>
        <w:pStyle w:val="TOC1"/>
        <w:tabs>
          <w:tab w:val="right" w:leader="dot" w:pos="8630"/>
        </w:tabs>
        <w:rPr>
          <w:rFonts w:asciiTheme="minorHAnsi" w:eastAsiaTheme="minorEastAsia" w:hAnsiTheme="minorHAnsi" w:cstheme="minorBidi"/>
          <w:noProof/>
        </w:rPr>
      </w:pPr>
      <w:hyperlink w:anchor="_Toc88056472" w:history="1">
        <w:r w:rsidR="00EE1463" w:rsidRPr="00366D13">
          <w:rPr>
            <w:rStyle w:val="Hyperlink"/>
            <w:noProof/>
          </w:rPr>
          <w:t>CHAPTER I Plant Genetic Variation Drives Geographic Differences in Atmosphere-Plant-Ecosystem Feedbacks</w:t>
        </w:r>
        <w:r w:rsidR="00EE1463">
          <w:rPr>
            <w:noProof/>
            <w:webHidden/>
          </w:rPr>
          <w:tab/>
        </w:r>
        <w:r w:rsidR="00EE1463">
          <w:rPr>
            <w:noProof/>
            <w:webHidden/>
          </w:rPr>
          <w:fldChar w:fldCharType="begin"/>
        </w:r>
        <w:r w:rsidR="00EE1463">
          <w:rPr>
            <w:noProof/>
            <w:webHidden/>
          </w:rPr>
          <w:instrText xml:space="preserve"> PAGEREF _Toc88056472 \h </w:instrText>
        </w:r>
        <w:r w:rsidR="00EE1463">
          <w:rPr>
            <w:noProof/>
            <w:webHidden/>
          </w:rPr>
        </w:r>
        <w:r w:rsidR="00EE1463">
          <w:rPr>
            <w:noProof/>
            <w:webHidden/>
          </w:rPr>
          <w:fldChar w:fldCharType="separate"/>
        </w:r>
        <w:r w:rsidR="00C52BD7">
          <w:rPr>
            <w:noProof/>
            <w:webHidden/>
          </w:rPr>
          <w:t>8</w:t>
        </w:r>
        <w:r w:rsidR="00EE1463">
          <w:rPr>
            <w:noProof/>
            <w:webHidden/>
          </w:rPr>
          <w:fldChar w:fldCharType="end"/>
        </w:r>
      </w:hyperlink>
    </w:p>
    <w:p w14:paraId="1749B99C" w14:textId="048CE560" w:rsidR="00EE1463" w:rsidRDefault="002B166B">
      <w:pPr>
        <w:pStyle w:val="TOC2"/>
        <w:tabs>
          <w:tab w:val="right" w:leader="dot" w:pos="8630"/>
        </w:tabs>
        <w:rPr>
          <w:rFonts w:asciiTheme="minorHAnsi" w:eastAsiaTheme="minorEastAsia" w:hAnsiTheme="minorHAnsi" w:cstheme="minorBidi"/>
          <w:noProof/>
        </w:rPr>
      </w:pPr>
      <w:hyperlink w:anchor="_Toc88056473" w:history="1">
        <w:r w:rsidR="00EE1463" w:rsidRPr="00366D13">
          <w:rPr>
            <w:rStyle w:val="Hyperlink"/>
            <w:noProof/>
          </w:rPr>
          <w:t>Abstract</w:t>
        </w:r>
        <w:r w:rsidR="00EE1463">
          <w:rPr>
            <w:noProof/>
            <w:webHidden/>
          </w:rPr>
          <w:tab/>
        </w:r>
        <w:r w:rsidR="00EE1463">
          <w:rPr>
            <w:noProof/>
            <w:webHidden/>
          </w:rPr>
          <w:fldChar w:fldCharType="begin"/>
        </w:r>
        <w:r w:rsidR="00EE1463">
          <w:rPr>
            <w:noProof/>
            <w:webHidden/>
          </w:rPr>
          <w:instrText xml:space="preserve"> PAGEREF _Toc88056473 \h </w:instrText>
        </w:r>
        <w:r w:rsidR="00EE1463">
          <w:rPr>
            <w:noProof/>
            <w:webHidden/>
          </w:rPr>
        </w:r>
        <w:r w:rsidR="00EE1463">
          <w:rPr>
            <w:noProof/>
            <w:webHidden/>
          </w:rPr>
          <w:fldChar w:fldCharType="separate"/>
        </w:r>
        <w:r w:rsidR="00C52BD7">
          <w:rPr>
            <w:noProof/>
            <w:webHidden/>
          </w:rPr>
          <w:t>9</w:t>
        </w:r>
        <w:r w:rsidR="00EE1463">
          <w:rPr>
            <w:noProof/>
            <w:webHidden/>
          </w:rPr>
          <w:fldChar w:fldCharType="end"/>
        </w:r>
      </w:hyperlink>
    </w:p>
    <w:p w14:paraId="0262645A" w14:textId="08CA4480" w:rsidR="00EE1463" w:rsidRDefault="002B166B">
      <w:pPr>
        <w:pStyle w:val="TOC2"/>
        <w:tabs>
          <w:tab w:val="right" w:leader="dot" w:pos="8630"/>
        </w:tabs>
        <w:rPr>
          <w:rFonts w:asciiTheme="minorHAnsi" w:eastAsiaTheme="minorEastAsia" w:hAnsiTheme="minorHAnsi" w:cstheme="minorBidi"/>
          <w:noProof/>
        </w:rPr>
      </w:pPr>
      <w:hyperlink w:anchor="_Toc88056474" w:history="1">
        <w:r w:rsidR="00EE1463" w:rsidRPr="00366D13">
          <w:rPr>
            <w:rStyle w:val="Hyperlink"/>
            <w:noProof/>
          </w:rPr>
          <w:t>Introduction</w:t>
        </w:r>
        <w:r w:rsidR="00EE1463">
          <w:rPr>
            <w:noProof/>
            <w:webHidden/>
          </w:rPr>
          <w:tab/>
        </w:r>
        <w:r w:rsidR="00EE1463">
          <w:rPr>
            <w:noProof/>
            <w:webHidden/>
          </w:rPr>
          <w:fldChar w:fldCharType="begin"/>
        </w:r>
        <w:r w:rsidR="00EE1463">
          <w:rPr>
            <w:noProof/>
            <w:webHidden/>
          </w:rPr>
          <w:instrText xml:space="preserve"> PAGEREF _Toc88056474 \h </w:instrText>
        </w:r>
        <w:r w:rsidR="00EE1463">
          <w:rPr>
            <w:noProof/>
            <w:webHidden/>
          </w:rPr>
        </w:r>
        <w:r w:rsidR="00EE1463">
          <w:rPr>
            <w:noProof/>
            <w:webHidden/>
          </w:rPr>
          <w:fldChar w:fldCharType="separate"/>
        </w:r>
        <w:r w:rsidR="00C52BD7">
          <w:rPr>
            <w:noProof/>
            <w:webHidden/>
          </w:rPr>
          <w:t>9</w:t>
        </w:r>
        <w:r w:rsidR="00EE1463">
          <w:rPr>
            <w:noProof/>
            <w:webHidden/>
          </w:rPr>
          <w:fldChar w:fldCharType="end"/>
        </w:r>
      </w:hyperlink>
    </w:p>
    <w:p w14:paraId="13B08731" w14:textId="504E0EAB" w:rsidR="00EE1463" w:rsidRDefault="002B166B">
      <w:pPr>
        <w:pStyle w:val="TOC2"/>
        <w:tabs>
          <w:tab w:val="right" w:leader="dot" w:pos="8630"/>
        </w:tabs>
        <w:rPr>
          <w:rFonts w:asciiTheme="minorHAnsi" w:eastAsiaTheme="minorEastAsia" w:hAnsiTheme="minorHAnsi" w:cstheme="minorBidi"/>
          <w:noProof/>
        </w:rPr>
      </w:pPr>
      <w:hyperlink w:anchor="_Toc88056475" w:history="1">
        <w:r w:rsidR="00EE1463" w:rsidRPr="00366D13">
          <w:rPr>
            <w:rStyle w:val="Hyperlink"/>
            <w:noProof/>
          </w:rPr>
          <w:t>Materials &amp; Methods</w:t>
        </w:r>
        <w:r w:rsidR="00EE1463">
          <w:rPr>
            <w:noProof/>
            <w:webHidden/>
          </w:rPr>
          <w:tab/>
        </w:r>
        <w:r w:rsidR="00EE1463">
          <w:rPr>
            <w:noProof/>
            <w:webHidden/>
          </w:rPr>
          <w:fldChar w:fldCharType="begin"/>
        </w:r>
        <w:r w:rsidR="00EE1463">
          <w:rPr>
            <w:noProof/>
            <w:webHidden/>
          </w:rPr>
          <w:instrText xml:space="preserve"> PAGEREF _Toc88056475 \h </w:instrText>
        </w:r>
        <w:r w:rsidR="00EE1463">
          <w:rPr>
            <w:noProof/>
            <w:webHidden/>
          </w:rPr>
        </w:r>
        <w:r w:rsidR="00EE1463">
          <w:rPr>
            <w:noProof/>
            <w:webHidden/>
          </w:rPr>
          <w:fldChar w:fldCharType="separate"/>
        </w:r>
        <w:r w:rsidR="00C52BD7">
          <w:rPr>
            <w:noProof/>
            <w:webHidden/>
          </w:rPr>
          <w:t>12</w:t>
        </w:r>
        <w:r w:rsidR="00EE1463">
          <w:rPr>
            <w:noProof/>
            <w:webHidden/>
          </w:rPr>
          <w:fldChar w:fldCharType="end"/>
        </w:r>
      </w:hyperlink>
    </w:p>
    <w:p w14:paraId="763F1073" w14:textId="3CAA367B" w:rsidR="00EE1463" w:rsidRDefault="002B166B">
      <w:pPr>
        <w:pStyle w:val="TOC2"/>
        <w:tabs>
          <w:tab w:val="right" w:leader="dot" w:pos="8630"/>
        </w:tabs>
        <w:rPr>
          <w:rFonts w:asciiTheme="minorHAnsi" w:eastAsiaTheme="minorEastAsia" w:hAnsiTheme="minorHAnsi" w:cstheme="minorBidi"/>
          <w:noProof/>
        </w:rPr>
      </w:pPr>
      <w:hyperlink w:anchor="_Toc88056476" w:history="1">
        <w:r w:rsidR="00EE1463" w:rsidRPr="00366D13">
          <w:rPr>
            <w:rStyle w:val="Hyperlink"/>
            <w:noProof/>
          </w:rPr>
          <w:t>Results</w:t>
        </w:r>
        <w:r w:rsidR="00EE1463">
          <w:rPr>
            <w:noProof/>
            <w:webHidden/>
          </w:rPr>
          <w:tab/>
        </w:r>
        <w:r w:rsidR="00EE1463">
          <w:rPr>
            <w:noProof/>
            <w:webHidden/>
          </w:rPr>
          <w:fldChar w:fldCharType="begin"/>
        </w:r>
        <w:r w:rsidR="00EE1463">
          <w:rPr>
            <w:noProof/>
            <w:webHidden/>
          </w:rPr>
          <w:instrText xml:space="preserve"> PAGEREF _Toc88056476 \h </w:instrText>
        </w:r>
        <w:r w:rsidR="00EE1463">
          <w:rPr>
            <w:noProof/>
            <w:webHidden/>
          </w:rPr>
        </w:r>
        <w:r w:rsidR="00EE1463">
          <w:rPr>
            <w:noProof/>
            <w:webHidden/>
          </w:rPr>
          <w:fldChar w:fldCharType="separate"/>
        </w:r>
        <w:r w:rsidR="00C52BD7">
          <w:rPr>
            <w:noProof/>
            <w:webHidden/>
          </w:rPr>
          <w:t>18</w:t>
        </w:r>
        <w:r w:rsidR="00EE1463">
          <w:rPr>
            <w:noProof/>
            <w:webHidden/>
          </w:rPr>
          <w:fldChar w:fldCharType="end"/>
        </w:r>
      </w:hyperlink>
    </w:p>
    <w:p w14:paraId="6C670C85" w14:textId="42DFA64E" w:rsidR="00EE1463" w:rsidRDefault="002B166B">
      <w:pPr>
        <w:pStyle w:val="TOC2"/>
        <w:tabs>
          <w:tab w:val="right" w:leader="dot" w:pos="8630"/>
        </w:tabs>
        <w:rPr>
          <w:rFonts w:asciiTheme="minorHAnsi" w:eastAsiaTheme="minorEastAsia" w:hAnsiTheme="minorHAnsi" w:cstheme="minorBidi"/>
          <w:noProof/>
        </w:rPr>
      </w:pPr>
      <w:hyperlink w:anchor="_Toc88056477" w:history="1">
        <w:r w:rsidR="00EE1463" w:rsidRPr="00366D13">
          <w:rPr>
            <w:rStyle w:val="Hyperlink"/>
            <w:noProof/>
          </w:rPr>
          <w:t>Discussion</w:t>
        </w:r>
        <w:r w:rsidR="00EE1463">
          <w:rPr>
            <w:noProof/>
            <w:webHidden/>
          </w:rPr>
          <w:tab/>
        </w:r>
        <w:r w:rsidR="00EE1463">
          <w:rPr>
            <w:noProof/>
            <w:webHidden/>
          </w:rPr>
          <w:fldChar w:fldCharType="begin"/>
        </w:r>
        <w:r w:rsidR="00EE1463">
          <w:rPr>
            <w:noProof/>
            <w:webHidden/>
          </w:rPr>
          <w:instrText xml:space="preserve"> PAGEREF _Toc88056477 \h </w:instrText>
        </w:r>
        <w:r w:rsidR="00EE1463">
          <w:rPr>
            <w:noProof/>
            <w:webHidden/>
          </w:rPr>
        </w:r>
        <w:r w:rsidR="00EE1463">
          <w:rPr>
            <w:noProof/>
            <w:webHidden/>
          </w:rPr>
          <w:fldChar w:fldCharType="separate"/>
        </w:r>
        <w:r w:rsidR="00C52BD7">
          <w:rPr>
            <w:noProof/>
            <w:webHidden/>
          </w:rPr>
          <w:t>23</w:t>
        </w:r>
        <w:r w:rsidR="00EE1463">
          <w:rPr>
            <w:noProof/>
            <w:webHidden/>
          </w:rPr>
          <w:fldChar w:fldCharType="end"/>
        </w:r>
      </w:hyperlink>
    </w:p>
    <w:p w14:paraId="485844F9" w14:textId="795B413E" w:rsidR="00EE1463" w:rsidRDefault="002B166B">
      <w:pPr>
        <w:pStyle w:val="TOC2"/>
        <w:tabs>
          <w:tab w:val="right" w:leader="dot" w:pos="8630"/>
        </w:tabs>
        <w:rPr>
          <w:rFonts w:asciiTheme="minorHAnsi" w:eastAsiaTheme="minorEastAsia" w:hAnsiTheme="minorHAnsi" w:cstheme="minorBidi"/>
          <w:noProof/>
        </w:rPr>
      </w:pPr>
      <w:hyperlink w:anchor="_Toc88056478" w:history="1">
        <w:r w:rsidR="00EE1463" w:rsidRPr="00366D13">
          <w:rPr>
            <w:rStyle w:val="Hyperlink"/>
            <w:noProof/>
          </w:rPr>
          <w:t>REFERENCES</w:t>
        </w:r>
        <w:r w:rsidR="00EE1463">
          <w:rPr>
            <w:noProof/>
            <w:webHidden/>
          </w:rPr>
          <w:tab/>
        </w:r>
        <w:r w:rsidR="00EE1463">
          <w:rPr>
            <w:noProof/>
            <w:webHidden/>
          </w:rPr>
          <w:fldChar w:fldCharType="begin"/>
        </w:r>
        <w:r w:rsidR="00EE1463">
          <w:rPr>
            <w:noProof/>
            <w:webHidden/>
          </w:rPr>
          <w:instrText xml:space="preserve"> PAGEREF _Toc88056478 \h </w:instrText>
        </w:r>
        <w:r w:rsidR="00EE1463">
          <w:rPr>
            <w:noProof/>
            <w:webHidden/>
          </w:rPr>
        </w:r>
        <w:r w:rsidR="00EE1463">
          <w:rPr>
            <w:noProof/>
            <w:webHidden/>
          </w:rPr>
          <w:fldChar w:fldCharType="separate"/>
        </w:r>
        <w:r w:rsidR="00C52BD7">
          <w:rPr>
            <w:noProof/>
            <w:webHidden/>
          </w:rPr>
          <w:t>28</w:t>
        </w:r>
        <w:r w:rsidR="00EE1463">
          <w:rPr>
            <w:noProof/>
            <w:webHidden/>
          </w:rPr>
          <w:fldChar w:fldCharType="end"/>
        </w:r>
      </w:hyperlink>
    </w:p>
    <w:p w14:paraId="7D5AEBA1" w14:textId="22F3E2FA" w:rsidR="00EE1463" w:rsidRDefault="002B166B">
      <w:pPr>
        <w:pStyle w:val="TOC2"/>
        <w:tabs>
          <w:tab w:val="right" w:leader="dot" w:pos="8630"/>
        </w:tabs>
        <w:rPr>
          <w:rFonts w:asciiTheme="minorHAnsi" w:eastAsiaTheme="minorEastAsia" w:hAnsiTheme="minorHAnsi" w:cstheme="minorBidi"/>
          <w:noProof/>
        </w:rPr>
      </w:pPr>
      <w:hyperlink w:anchor="_Toc88056479" w:history="1">
        <w:r w:rsidR="00EE1463" w:rsidRPr="00366D13">
          <w:rPr>
            <w:rStyle w:val="Hyperlink"/>
            <w:noProof/>
          </w:rPr>
          <w:t>APPENDIX 1</w:t>
        </w:r>
        <w:r w:rsidR="00EE1463">
          <w:rPr>
            <w:noProof/>
            <w:webHidden/>
          </w:rPr>
          <w:tab/>
        </w:r>
        <w:r w:rsidR="00EE1463">
          <w:rPr>
            <w:noProof/>
            <w:webHidden/>
          </w:rPr>
          <w:fldChar w:fldCharType="begin"/>
        </w:r>
        <w:r w:rsidR="00EE1463">
          <w:rPr>
            <w:noProof/>
            <w:webHidden/>
          </w:rPr>
          <w:instrText xml:space="preserve"> PAGEREF _Toc88056479 \h </w:instrText>
        </w:r>
        <w:r w:rsidR="00EE1463">
          <w:rPr>
            <w:noProof/>
            <w:webHidden/>
          </w:rPr>
        </w:r>
        <w:r w:rsidR="00EE1463">
          <w:rPr>
            <w:noProof/>
            <w:webHidden/>
          </w:rPr>
          <w:fldChar w:fldCharType="separate"/>
        </w:r>
        <w:r w:rsidR="00C52BD7">
          <w:rPr>
            <w:noProof/>
            <w:webHidden/>
          </w:rPr>
          <w:t>36</w:t>
        </w:r>
        <w:r w:rsidR="00EE1463">
          <w:rPr>
            <w:noProof/>
            <w:webHidden/>
          </w:rPr>
          <w:fldChar w:fldCharType="end"/>
        </w:r>
      </w:hyperlink>
    </w:p>
    <w:p w14:paraId="240E8443" w14:textId="10396B75" w:rsidR="00EE1463" w:rsidRDefault="002B166B">
      <w:pPr>
        <w:pStyle w:val="TOC1"/>
        <w:tabs>
          <w:tab w:val="right" w:leader="dot" w:pos="8630"/>
        </w:tabs>
        <w:rPr>
          <w:rFonts w:asciiTheme="minorHAnsi" w:eastAsiaTheme="minorEastAsia" w:hAnsiTheme="minorHAnsi" w:cstheme="minorBidi"/>
          <w:noProof/>
        </w:rPr>
      </w:pPr>
      <w:hyperlink w:anchor="_Toc88056480" w:history="1">
        <w:r w:rsidR="00EE1463" w:rsidRPr="00366D13">
          <w:rPr>
            <w:rStyle w:val="Hyperlink"/>
            <w:noProof/>
          </w:rPr>
          <w:t>CHAPTER II Population-range models outperform species-range models in predicting geographic distributions</w:t>
        </w:r>
        <w:r w:rsidR="00EE1463">
          <w:rPr>
            <w:noProof/>
            <w:webHidden/>
          </w:rPr>
          <w:tab/>
        </w:r>
        <w:r w:rsidR="00EE1463">
          <w:rPr>
            <w:noProof/>
            <w:webHidden/>
          </w:rPr>
          <w:fldChar w:fldCharType="begin"/>
        </w:r>
        <w:r w:rsidR="00EE1463">
          <w:rPr>
            <w:noProof/>
            <w:webHidden/>
          </w:rPr>
          <w:instrText xml:space="preserve"> PAGEREF _Toc88056480 \h </w:instrText>
        </w:r>
        <w:r w:rsidR="00EE1463">
          <w:rPr>
            <w:noProof/>
            <w:webHidden/>
          </w:rPr>
        </w:r>
        <w:r w:rsidR="00EE1463">
          <w:rPr>
            <w:noProof/>
            <w:webHidden/>
          </w:rPr>
          <w:fldChar w:fldCharType="separate"/>
        </w:r>
        <w:r w:rsidR="00C52BD7">
          <w:rPr>
            <w:noProof/>
            <w:webHidden/>
          </w:rPr>
          <w:t>44</w:t>
        </w:r>
        <w:r w:rsidR="00EE1463">
          <w:rPr>
            <w:noProof/>
            <w:webHidden/>
          </w:rPr>
          <w:fldChar w:fldCharType="end"/>
        </w:r>
      </w:hyperlink>
    </w:p>
    <w:p w14:paraId="5BF4D315" w14:textId="5C2D1AA5" w:rsidR="00EE1463" w:rsidRDefault="002B166B">
      <w:pPr>
        <w:pStyle w:val="TOC2"/>
        <w:tabs>
          <w:tab w:val="right" w:leader="dot" w:pos="8630"/>
        </w:tabs>
        <w:rPr>
          <w:rFonts w:asciiTheme="minorHAnsi" w:eastAsiaTheme="minorEastAsia" w:hAnsiTheme="minorHAnsi" w:cstheme="minorBidi"/>
          <w:noProof/>
        </w:rPr>
      </w:pPr>
      <w:hyperlink w:anchor="_Toc88056481" w:history="1">
        <w:r w:rsidR="00EE1463" w:rsidRPr="00366D13">
          <w:rPr>
            <w:rStyle w:val="Hyperlink"/>
            <w:noProof/>
          </w:rPr>
          <w:t>Abstract</w:t>
        </w:r>
        <w:r w:rsidR="00EE1463">
          <w:rPr>
            <w:noProof/>
            <w:webHidden/>
          </w:rPr>
          <w:tab/>
        </w:r>
        <w:r w:rsidR="00EE1463">
          <w:rPr>
            <w:noProof/>
            <w:webHidden/>
          </w:rPr>
          <w:fldChar w:fldCharType="begin"/>
        </w:r>
        <w:r w:rsidR="00EE1463">
          <w:rPr>
            <w:noProof/>
            <w:webHidden/>
          </w:rPr>
          <w:instrText xml:space="preserve"> PAGEREF _Toc88056481 \h </w:instrText>
        </w:r>
        <w:r w:rsidR="00EE1463">
          <w:rPr>
            <w:noProof/>
            <w:webHidden/>
          </w:rPr>
        </w:r>
        <w:r w:rsidR="00EE1463">
          <w:rPr>
            <w:noProof/>
            <w:webHidden/>
          </w:rPr>
          <w:fldChar w:fldCharType="separate"/>
        </w:r>
        <w:r w:rsidR="00C52BD7">
          <w:rPr>
            <w:noProof/>
            <w:webHidden/>
          </w:rPr>
          <w:t>45</w:t>
        </w:r>
        <w:r w:rsidR="00EE1463">
          <w:rPr>
            <w:noProof/>
            <w:webHidden/>
          </w:rPr>
          <w:fldChar w:fldCharType="end"/>
        </w:r>
      </w:hyperlink>
    </w:p>
    <w:p w14:paraId="5A52B72D" w14:textId="7FC7BB64" w:rsidR="00EE1463" w:rsidRDefault="002B166B">
      <w:pPr>
        <w:pStyle w:val="TOC2"/>
        <w:tabs>
          <w:tab w:val="right" w:leader="dot" w:pos="8630"/>
        </w:tabs>
        <w:rPr>
          <w:rFonts w:asciiTheme="minorHAnsi" w:eastAsiaTheme="minorEastAsia" w:hAnsiTheme="minorHAnsi" w:cstheme="minorBidi"/>
          <w:noProof/>
        </w:rPr>
      </w:pPr>
      <w:hyperlink w:anchor="_Toc88056482" w:history="1">
        <w:r w:rsidR="00EE1463" w:rsidRPr="00366D13">
          <w:rPr>
            <w:rStyle w:val="Hyperlink"/>
            <w:noProof/>
          </w:rPr>
          <w:t>Introduction</w:t>
        </w:r>
        <w:r w:rsidR="00EE1463">
          <w:rPr>
            <w:noProof/>
            <w:webHidden/>
          </w:rPr>
          <w:tab/>
        </w:r>
        <w:r w:rsidR="00EE1463">
          <w:rPr>
            <w:noProof/>
            <w:webHidden/>
          </w:rPr>
          <w:fldChar w:fldCharType="begin"/>
        </w:r>
        <w:r w:rsidR="00EE1463">
          <w:rPr>
            <w:noProof/>
            <w:webHidden/>
          </w:rPr>
          <w:instrText xml:space="preserve"> PAGEREF _Toc88056482 \h </w:instrText>
        </w:r>
        <w:r w:rsidR="00EE1463">
          <w:rPr>
            <w:noProof/>
            <w:webHidden/>
          </w:rPr>
        </w:r>
        <w:r w:rsidR="00EE1463">
          <w:rPr>
            <w:noProof/>
            <w:webHidden/>
          </w:rPr>
          <w:fldChar w:fldCharType="separate"/>
        </w:r>
        <w:r w:rsidR="00C52BD7">
          <w:rPr>
            <w:noProof/>
            <w:webHidden/>
          </w:rPr>
          <w:t>45</w:t>
        </w:r>
        <w:r w:rsidR="00EE1463">
          <w:rPr>
            <w:noProof/>
            <w:webHidden/>
          </w:rPr>
          <w:fldChar w:fldCharType="end"/>
        </w:r>
      </w:hyperlink>
    </w:p>
    <w:p w14:paraId="324A1E6D" w14:textId="13E7CBE5" w:rsidR="00EE1463" w:rsidRDefault="002B166B">
      <w:pPr>
        <w:pStyle w:val="TOC2"/>
        <w:tabs>
          <w:tab w:val="right" w:leader="dot" w:pos="8630"/>
        </w:tabs>
        <w:rPr>
          <w:rFonts w:asciiTheme="minorHAnsi" w:eastAsiaTheme="minorEastAsia" w:hAnsiTheme="minorHAnsi" w:cstheme="minorBidi"/>
          <w:noProof/>
        </w:rPr>
      </w:pPr>
      <w:hyperlink w:anchor="_Toc88056483" w:history="1">
        <w:r w:rsidR="00EE1463" w:rsidRPr="00366D13">
          <w:rPr>
            <w:rStyle w:val="Hyperlink"/>
            <w:noProof/>
          </w:rPr>
          <w:t>Materials &amp; Methods</w:t>
        </w:r>
        <w:r w:rsidR="00EE1463">
          <w:rPr>
            <w:noProof/>
            <w:webHidden/>
          </w:rPr>
          <w:tab/>
        </w:r>
        <w:r w:rsidR="00EE1463">
          <w:rPr>
            <w:noProof/>
            <w:webHidden/>
          </w:rPr>
          <w:fldChar w:fldCharType="begin"/>
        </w:r>
        <w:r w:rsidR="00EE1463">
          <w:rPr>
            <w:noProof/>
            <w:webHidden/>
          </w:rPr>
          <w:instrText xml:space="preserve"> PAGEREF _Toc88056483 \h </w:instrText>
        </w:r>
        <w:r w:rsidR="00EE1463">
          <w:rPr>
            <w:noProof/>
            <w:webHidden/>
          </w:rPr>
        </w:r>
        <w:r w:rsidR="00EE1463">
          <w:rPr>
            <w:noProof/>
            <w:webHidden/>
          </w:rPr>
          <w:fldChar w:fldCharType="separate"/>
        </w:r>
        <w:r w:rsidR="00C52BD7">
          <w:rPr>
            <w:noProof/>
            <w:webHidden/>
          </w:rPr>
          <w:t>48</w:t>
        </w:r>
        <w:r w:rsidR="00EE1463">
          <w:rPr>
            <w:noProof/>
            <w:webHidden/>
          </w:rPr>
          <w:fldChar w:fldCharType="end"/>
        </w:r>
      </w:hyperlink>
    </w:p>
    <w:p w14:paraId="607E16B5" w14:textId="038E16FD" w:rsidR="00EE1463" w:rsidRDefault="002B166B">
      <w:pPr>
        <w:pStyle w:val="TOC2"/>
        <w:tabs>
          <w:tab w:val="right" w:leader="dot" w:pos="8630"/>
        </w:tabs>
        <w:rPr>
          <w:rFonts w:asciiTheme="minorHAnsi" w:eastAsiaTheme="minorEastAsia" w:hAnsiTheme="minorHAnsi" w:cstheme="minorBidi"/>
          <w:noProof/>
        </w:rPr>
      </w:pPr>
      <w:hyperlink w:anchor="_Toc88056484" w:history="1">
        <w:r w:rsidR="00EE1463" w:rsidRPr="00366D13">
          <w:rPr>
            <w:rStyle w:val="Hyperlink"/>
            <w:noProof/>
          </w:rPr>
          <w:t>Results</w:t>
        </w:r>
        <w:r w:rsidR="00EE1463">
          <w:rPr>
            <w:noProof/>
            <w:webHidden/>
          </w:rPr>
          <w:tab/>
        </w:r>
        <w:r w:rsidR="00EE1463">
          <w:rPr>
            <w:noProof/>
            <w:webHidden/>
          </w:rPr>
          <w:fldChar w:fldCharType="begin"/>
        </w:r>
        <w:r w:rsidR="00EE1463">
          <w:rPr>
            <w:noProof/>
            <w:webHidden/>
          </w:rPr>
          <w:instrText xml:space="preserve"> PAGEREF _Toc88056484 \h </w:instrText>
        </w:r>
        <w:r w:rsidR="00EE1463">
          <w:rPr>
            <w:noProof/>
            <w:webHidden/>
          </w:rPr>
        </w:r>
        <w:r w:rsidR="00EE1463">
          <w:rPr>
            <w:noProof/>
            <w:webHidden/>
          </w:rPr>
          <w:fldChar w:fldCharType="separate"/>
        </w:r>
        <w:r w:rsidR="00C52BD7">
          <w:rPr>
            <w:noProof/>
            <w:webHidden/>
          </w:rPr>
          <w:t>52</w:t>
        </w:r>
        <w:r w:rsidR="00EE1463">
          <w:rPr>
            <w:noProof/>
            <w:webHidden/>
          </w:rPr>
          <w:fldChar w:fldCharType="end"/>
        </w:r>
      </w:hyperlink>
    </w:p>
    <w:p w14:paraId="603A1929" w14:textId="566D10DB" w:rsidR="00EE1463" w:rsidRDefault="002B166B">
      <w:pPr>
        <w:pStyle w:val="TOC2"/>
        <w:tabs>
          <w:tab w:val="right" w:leader="dot" w:pos="8630"/>
        </w:tabs>
        <w:rPr>
          <w:rFonts w:asciiTheme="minorHAnsi" w:eastAsiaTheme="minorEastAsia" w:hAnsiTheme="minorHAnsi" w:cstheme="minorBidi"/>
          <w:noProof/>
        </w:rPr>
      </w:pPr>
      <w:hyperlink w:anchor="_Toc88056485" w:history="1">
        <w:r w:rsidR="00EE1463" w:rsidRPr="00366D13">
          <w:rPr>
            <w:rStyle w:val="Hyperlink"/>
            <w:noProof/>
          </w:rPr>
          <w:t>Discussion</w:t>
        </w:r>
        <w:r w:rsidR="00EE1463">
          <w:rPr>
            <w:noProof/>
            <w:webHidden/>
          </w:rPr>
          <w:tab/>
        </w:r>
        <w:r w:rsidR="00EE1463">
          <w:rPr>
            <w:noProof/>
            <w:webHidden/>
          </w:rPr>
          <w:fldChar w:fldCharType="begin"/>
        </w:r>
        <w:r w:rsidR="00EE1463">
          <w:rPr>
            <w:noProof/>
            <w:webHidden/>
          </w:rPr>
          <w:instrText xml:space="preserve"> PAGEREF _Toc88056485 \h </w:instrText>
        </w:r>
        <w:r w:rsidR="00EE1463">
          <w:rPr>
            <w:noProof/>
            <w:webHidden/>
          </w:rPr>
        </w:r>
        <w:r w:rsidR="00EE1463">
          <w:rPr>
            <w:noProof/>
            <w:webHidden/>
          </w:rPr>
          <w:fldChar w:fldCharType="separate"/>
        </w:r>
        <w:r w:rsidR="00C52BD7">
          <w:rPr>
            <w:noProof/>
            <w:webHidden/>
          </w:rPr>
          <w:t>55</w:t>
        </w:r>
        <w:r w:rsidR="00EE1463">
          <w:rPr>
            <w:noProof/>
            <w:webHidden/>
          </w:rPr>
          <w:fldChar w:fldCharType="end"/>
        </w:r>
      </w:hyperlink>
    </w:p>
    <w:p w14:paraId="2FE419F4" w14:textId="283F6D9D" w:rsidR="00EE1463" w:rsidRDefault="002B166B">
      <w:pPr>
        <w:pStyle w:val="TOC2"/>
        <w:tabs>
          <w:tab w:val="right" w:leader="dot" w:pos="8630"/>
        </w:tabs>
        <w:rPr>
          <w:rFonts w:asciiTheme="minorHAnsi" w:eastAsiaTheme="minorEastAsia" w:hAnsiTheme="minorHAnsi" w:cstheme="minorBidi"/>
          <w:noProof/>
        </w:rPr>
      </w:pPr>
      <w:hyperlink w:anchor="_Toc88056486" w:history="1">
        <w:r w:rsidR="00EE1463" w:rsidRPr="00366D13">
          <w:rPr>
            <w:rStyle w:val="Hyperlink"/>
            <w:noProof/>
          </w:rPr>
          <w:t>REFERENCES</w:t>
        </w:r>
        <w:r w:rsidR="00EE1463">
          <w:rPr>
            <w:noProof/>
            <w:webHidden/>
          </w:rPr>
          <w:tab/>
        </w:r>
        <w:r w:rsidR="00EE1463">
          <w:rPr>
            <w:noProof/>
            <w:webHidden/>
          </w:rPr>
          <w:fldChar w:fldCharType="begin"/>
        </w:r>
        <w:r w:rsidR="00EE1463">
          <w:rPr>
            <w:noProof/>
            <w:webHidden/>
          </w:rPr>
          <w:instrText xml:space="preserve"> PAGEREF _Toc88056486 \h </w:instrText>
        </w:r>
        <w:r w:rsidR="00EE1463">
          <w:rPr>
            <w:noProof/>
            <w:webHidden/>
          </w:rPr>
        </w:r>
        <w:r w:rsidR="00EE1463">
          <w:rPr>
            <w:noProof/>
            <w:webHidden/>
          </w:rPr>
          <w:fldChar w:fldCharType="separate"/>
        </w:r>
        <w:r w:rsidR="00C52BD7">
          <w:rPr>
            <w:noProof/>
            <w:webHidden/>
          </w:rPr>
          <w:t>58</w:t>
        </w:r>
        <w:r w:rsidR="00EE1463">
          <w:rPr>
            <w:noProof/>
            <w:webHidden/>
          </w:rPr>
          <w:fldChar w:fldCharType="end"/>
        </w:r>
      </w:hyperlink>
    </w:p>
    <w:p w14:paraId="5CC47A3C" w14:textId="7BC216E2" w:rsidR="00EE1463" w:rsidRDefault="002B166B">
      <w:pPr>
        <w:pStyle w:val="TOC2"/>
        <w:tabs>
          <w:tab w:val="right" w:leader="dot" w:pos="8630"/>
        </w:tabs>
        <w:rPr>
          <w:rFonts w:asciiTheme="minorHAnsi" w:eastAsiaTheme="minorEastAsia" w:hAnsiTheme="minorHAnsi" w:cstheme="minorBidi"/>
          <w:noProof/>
        </w:rPr>
      </w:pPr>
      <w:hyperlink w:anchor="_Toc88056487" w:history="1">
        <w:r w:rsidR="00EE1463" w:rsidRPr="00366D13">
          <w:rPr>
            <w:rStyle w:val="Hyperlink"/>
            <w:noProof/>
          </w:rPr>
          <w:t>APPENDIX 2</w:t>
        </w:r>
        <w:r w:rsidR="00EE1463">
          <w:rPr>
            <w:noProof/>
            <w:webHidden/>
          </w:rPr>
          <w:tab/>
        </w:r>
        <w:r w:rsidR="00EE1463">
          <w:rPr>
            <w:noProof/>
            <w:webHidden/>
          </w:rPr>
          <w:fldChar w:fldCharType="begin"/>
        </w:r>
        <w:r w:rsidR="00EE1463">
          <w:rPr>
            <w:noProof/>
            <w:webHidden/>
          </w:rPr>
          <w:instrText xml:space="preserve"> PAGEREF _Toc88056487 \h </w:instrText>
        </w:r>
        <w:r w:rsidR="00EE1463">
          <w:rPr>
            <w:noProof/>
            <w:webHidden/>
          </w:rPr>
        </w:r>
        <w:r w:rsidR="00EE1463">
          <w:rPr>
            <w:noProof/>
            <w:webHidden/>
          </w:rPr>
          <w:fldChar w:fldCharType="separate"/>
        </w:r>
        <w:r w:rsidR="00C52BD7">
          <w:rPr>
            <w:noProof/>
            <w:webHidden/>
          </w:rPr>
          <w:t>62</w:t>
        </w:r>
        <w:r w:rsidR="00EE1463">
          <w:rPr>
            <w:noProof/>
            <w:webHidden/>
          </w:rPr>
          <w:fldChar w:fldCharType="end"/>
        </w:r>
      </w:hyperlink>
    </w:p>
    <w:p w14:paraId="78922C68" w14:textId="13128498" w:rsidR="00EE1463" w:rsidRDefault="002B166B">
      <w:pPr>
        <w:pStyle w:val="TOC1"/>
        <w:tabs>
          <w:tab w:val="right" w:leader="dot" w:pos="8630"/>
        </w:tabs>
        <w:rPr>
          <w:rFonts w:asciiTheme="minorHAnsi" w:eastAsiaTheme="minorEastAsia" w:hAnsiTheme="minorHAnsi" w:cstheme="minorBidi"/>
          <w:noProof/>
        </w:rPr>
      </w:pPr>
      <w:hyperlink w:anchor="_Toc88056488" w:history="1">
        <w:r w:rsidR="00EE1463" w:rsidRPr="00366D13">
          <w:rPr>
            <w:rStyle w:val="Hyperlink"/>
            <w:noProof/>
          </w:rPr>
          <w:t>CHAPTER III Climate-driven loss of genetic variation in bud break on the landscape</w:t>
        </w:r>
        <w:r w:rsidR="00EE1463">
          <w:rPr>
            <w:noProof/>
            <w:webHidden/>
          </w:rPr>
          <w:tab/>
        </w:r>
        <w:r w:rsidR="00EE1463">
          <w:rPr>
            <w:noProof/>
            <w:webHidden/>
          </w:rPr>
          <w:fldChar w:fldCharType="begin"/>
        </w:r>
        <w:r w:rsidR="00EE1463">
          <w:rPr>
            <w:noProof/>
            <w:webHidden/>
          </w:rPr>
          <w:instrText xml:space="preserve"> PAGEREF _Toc88056488 \h </w:instrText>
        </w:r>
        <w:r w:rsidR="00EE1463">
          <w:rPr>
            <w:noProof/>
            <w:webHidden/>
          </w:rPr>
        </w:r>
        <w:r w:rsidR="00EE1463">
          <w:rPr>
            <w:noProof/>
            <w:webHidden/>
          </w:rPr>
          <w:fldChar w:fldCharType="separate"/>
        </w:r>
        <w:r w:rsidR="00C52BD7">
          <w:rPr>
            <w:noProof/>
            <w:webHidden/>
          </w:rPr>
          <w:t>69</w:t>
        </w:r>
        <w:r w:rsidR="00EE1463">
          <w:rPr>
            <w:noProof/>
            <w:webHidden/>
          </w:rPr>
          <w:fldChar w:fldCharType="end"/>
        </w:r>
      </w:hyperlink>
    </w:p>
    <w:p w14:paraId="1ABE7F1B" w14:textId="0B1E574C" w:rsidR="00EE1463" w:rsidRDefault="002B166B">
      <w:pPr>
        <w:pStyle w:val="TOC2"/>
        <w:tabs>
          <w:tab w:val="right" w:leader="dot" w:pos="8630"/>
        </w:tabs>
        <w:rPr>
          <w:rFonts w:asciiTheme="minorHAnsi" w:eastAsiaTheme="minorEastAsia" w:hAnsiTheme="minorHAnsi" w:cstheme="minorBidi"/>
          <w:noProof/>
        </w:rPr>
      </w:pPr>
      <w:hyperlink w:anchor="_Toc88056489" w:history="1">
        <w:r w:rsidR="00EE1463" w:rsidRPr="00366D13">
          <w:rPr>
            <w:rStyle w:val="Hyperlink"/>
            <w:noProof/>
          </w:rPr>
          <w:t>Abstract</w:t>
        </w:r>
        <w:r w:rsidR="00EE1463">
          <w:rPr>
            <w:noProof/>
            <w:webHidden/>
          </w:rPr>
          <w:tab/>
        </w:r>
        <w:r w:rsidR="00EE1463">
          <w:rPr>
            <w:noProof/>
            <w:webHidden/>
          </w:rPr>
          <w:fldChar w:fldCharType="begin"/>
        </w:r>
        <w:r w:rsidR="00EE1463">
          <w:rPr>
            <w:noProof/>
            <w:webHidden/>
          </w:rPr>
          <w:instrText xml:space="preserve"> PAGEREF _Toc88056489 \h </w:instrText>
        </w:r>
        <w:r w:rsidR="00EE1463">
          <w:rPr>
            <w:noProof/>
            <w:webHidden/>
          </w:rPr>
        </w:r>
        <w:r w:rsidR="00EE1463">
          <w:rPr>
            <w:noProof/>
            <w:webHidden/>
          </w:rPr>
          <w:fldChar w:fldCharType="separate"/>
        </w:r>
        <w:r w:rsidR="00C52BD7">
          <w:rPr>
            <w:noProof/>
            <w:webHidden/>
          </w:rPr>
          <w:t>70</w:t>
        </w:r>
        <w:r w:rsidR="00EE1463">
          <w:rPr>
            <w:noProof/>
            <w:webHidden/>
          </w:rPr>
          <w:fldChar w:fldCharType="end"/>
        </w:r>
      </w:hyperlink>
    </w:p>
    <w:p w14:paraId="191EE2E3" w14:textId="1F160A62" w:rsidR="00EE1463" w:rsidRDefault="002B166B">
      <w:pPr>
        <w:pStyle w:val="TOC2"/>
        <w:tabs>
          <w:tab w:val="right" w:leader="dot" w:pos="8630"/>
        </w:tabs>
        <w:rPr>
          <w:rFonts w:asciiTheme="minorHAnsi" w:eastAsiaTheme="minorEastAsia" w:hAnsiTheme="minorHAnsi" w:cstheme="minorBidi"/>
          <w:noProof/>
        </w:rPr>
      </w:pPr>
      <w:hyperlink w:anchor="_Toc88056490" w:history="1">
        <w:r w:rsidR="00EE1463" w:rsidRPr="00366D13">
          <w:rPr>
            <w:rStyle w:val="Hyperlink"/>
            <w:noProof/>
          </w:rPr>
          <w:t>Introduction</w:t>
        </w:r>
        <w:r w:rsidR="00EE1463">
          <w:rPr>
            <w:noProof/>
            <w:webHidden/>
          </w:rPr>
          <w:tab/>
        </w:r>
        <w:r w:rsidR="00EE1463">
          <w:rPr>
            <w:noProof/>
            <w:webHidden/>
          </w:rPr>
          <w:fldChar w:fldCharType="begin"/>
        </w:r>
        <w:r w:rsidR="00EE1463">
          <w:rPr>
            <w:noProof/>
            <w:webHidden/>
          </w:rPr>
          <w:instrText xml:space="preserve"> PAGEREF _Toc88056490 \h </w:instrText>
        </w:r>
        <w:r w:rsidR="00EE1463">
          <w:rPr>
            <w:noProof/>
            <w:webHidden/>
          </w:rPr>
        </w:r>
        <w:r w:rsidR="00EE1463">
          <w:rPr>
            <w:noProof/>
            <w:webHidden/>
          </w:rPr>
          <w:fldChar w:fldCharType="separate"/>
        </w:r>
        <w:r w:rsidR="00C52BD7">
          <w:rPr>
            <w:noProof/>
            <w:webHidden/>
          </w:rPr>
          <w:t>71</w:t>
        </w:r>
        <w:r w:rsidR="00EE1463">
          <w:rPr>
            <w:noProof/>
            <w:webHidden/>
          </w:rPr>
          <w:fldChar w:fldCharType="end"/>
        </w:r>
      </w:hyperlink>
    </w:p>
    <w:p w14:paraId="50F2DB28" w14:textId="3B7315B5" w:rsidR="00EE1463" w:rsidRDefault="002B166B">
      <w:pPr>
        <w:pStyle w:val="TOC2"/>
        <w:tabs>
          <w:tab w:val="right" w:leader="dot" w:pos="8630"/>
        </w:tabs>
        <w:rPr>
          <w:rFonts w:asciiTheme="minorHAnsi" w:eastAsiaTheme="minorEastAsia" w:hAnsiTheme="minorHAnsi" w:cstheme="minorBidi"/>
          <w:noProof/>
        </w:rPr>
      </w:pPr>
      <w:hyperlink w:anchor="_Toc88056491" w:history="1">
        <w:r w:rsidR="00EE1463" w:rsidRPr="00366D13">
          <w:rPr>
            <w:rStyle w:val="Hyperlink"/>
            <w:noProof/>
          </w:rPr>
          <w:t>Materials &amp; Methods</w:t>
        </w:r>
        <w:r w:rsidR="00EE1463">
          <w:rPr>
            <w:noProof/>
            <w:webHidden/>
          </w:rPr>
          <w:tab/>
        </w:r>
        <w:r w:rsidR="00EE1463">
          <w:rPr>
            <w:noProof/>
            <w:webHidden/>
          </w:rPr>
          <w:fldChar w:fldCharType="begin"/>
        </w:r>
        <w:r w:rsidR="00EE1463">
          <w:rPr>
            <w:noProof/>
            <w:webHidden/>
          </w:rPr>
          <w:instrText xml:space="preserve"> PAGEREF _Toc88056491 \h </w:instrText>
        </w:r>
        <w:r w:rsidR="00EE1463">
          <w:rPr>
            <w:noProof/>
            <w:webHidden/>
          </w:rPr>
        </w:r>
        <w:r w:rsidR="00EE1463">
          <w:rPr>
            <w:noProof/>
            <w:webHidden/>
          </w:rPr>
          <w:fldChar w:fldCharType="separate"/>
        </w:r>
        <w:r w:rsidR="00C52BD7">
          <w:rPr>
            <w:noProof/>
            <w:webHidden/>
          </w:rPr>
          <w:t>72</w:t>
        </w:r>
        <w:r w:rsidR="00EE1463">
          <w:rPr>
            <w:noProof/>
            <w:webHidden/>
          </w:rPr>
          <w:fldChar w:fldCharType="end"/>
        </w:r>
      </w:hyperlink>
    </w:p>
    <w:p w14:paraId="0FCE6C52" w14:textId="7E1B29C8" w:rsidR="00EE1463" w:rsidRDefault="002B166B">
      <w:pPr>
        <w:pStyle w:val="TOC2"/>
        <w:tabs>
          <w:tab w:val="right" w:leader="dot" w:pos="8630"/>
        </w:tabs>
        <w:rPr>
          <w:rFonts w:asciiTheme="minorHAnsi" w:eastAsiaTheme="minorEastAsia" w:hAnsiTheme="minorHAnsi" w:cstheme="minorBidi"/>
          <w:noProof/>
        </w:rPr>
      </w:pPr>
      <w:hyperlink w:anchor="_Toc88056492" w:history="1">
        <w:r w:rsidR="00EE1463" w:rsidRPr="00366D13">
          <w:rPr>
            <w:rStyle w:val="Hyperlink"/>
            <w:noProof/>
          </w:rPr>
          <w:t>Results</w:t>
        </w:r>
        <w:r w:rsidR="00EE1463">
          <w:rPr>
            <w:noProof/>
            <w:webHidden/>
          </w:rPr>
          <w:tab/>
        </w:r>
        <w:r w:rsidR="00EE1463">
          <w:rPr>
            <w:noProof/>
            <w:webHidden/>
          </w:rPr>
          <w:fldChar w:fldCharType="begin"/>
        </w:r>
        <w:r w:rsidR="00EE1463">
          <w:rPr>
            <w:noProof/>
            <w:webHidden/>
          </w:rPr>
          <w:instrText xml:space="preserve"> PAGEREF _Toc88056492 \h </w:instrText>
        </w:r>
        <w:r w:rsidR="00EE1463">
          <w:rPr>
            <w:noProof/>
            <w:webHidden/>
          </w:rPr>
        </w:r>
        <w:r w:rsidR="00EE1463">
          <w:rPr>
            <w:noProof/>
            <w:webHidden/>
          </w:rPr>
          <w:fldChar w:fldCharType="separate"/>
        </w:r>
        <w:r w:rsidR="00C52BD7">
          <w:rPr>
            <w:noProof/>
            <w:webHidden/>
          </w:rPr>
          <w:t>78</w:t>
        </w:r>
        <w:r w:rsidR="00EE1463">
          <w:rPr>
            <w:noProof/>
            <w:webHidden/>
          </w:rPr>
          <w:fldChar w:fldCharType="end"/>
        </w:r>
      </w:hyperlink>
    </w:p>
    <w:p w14:paraId="7D1E30A5" w14:textId="7FA75763" w:rsidR="00EE1463" w:rsidRDefault="002B166B">
      <w:pPr>
        <w:pStyle w:val="TOC2"/>
        <w:tabs>
          <w:tab w:val="right" w:leader="dot" w:pos="8630"/>
        </w:tabs>
        <w:rPr>
          <w:rFonts w:asciiTheme="minorHAnsi" w:eastAsiaTheme="minorEastAsia" w:hAnsiTheme="minorHAnsi" w:cstheme="minorBidi"/>
          <w:noProof/>
        </w:rPr>
      </w:pPr>
      <w:hyperlink w:anchor="_Toc88056493" w:history="1">
        <w:r w:rsidR="00EE1463" w:rsidRPr="00366D13">
          <w:rPr>
            <w:rStyle w:val="Hyperlink"/>
            <w:noProof/>
          </w:rPr>
          <w:t>Discussion</w:t>
        </w:r>
        <w:r w:rsidR="00EE1463">
          <w:rPr>
            <w:noProof/>
            <w:webHidden/>
          </w:rPr>
          <w:tab/>
        </w:r>
        <w:r w:rsidR="00EE1463">
          <w:rPr>
            <w:noProof/>
            <w:webHidden/>
          </w:rPr>
          <w:fldChar w:fldCharType="begin"/>
        </w:r>
        <w:r w:rsidR="00EE1463">
          <w:rPr>
            <w:noProof/>
            <w:webHidden/>
          </w:rPr>
          <w:instrText xml:space="preserve"> PAGEREF _Toc88056493 \h </w:instrText>
        </w:r>
        <w:r w:rsidR="00EE1463">
          <w:rPr>
            <w:noProof/>
            <w:webHidden/>
          </w:rPr>
        </w:r>
        <w:r w:rsidR="00EE1463">
          <w:rPr>
            <w:noProof/>
            <w:webHidden/>
          </w:rPr>
          <w:fldChar w:fldCharType="separate"/>
        </w:r>
        <w:r w:rsidR="00C52BD7">
          <w:rPr>
            <w:noProof/>
            <w:webHidden/>
          </w:rPr>
          <w:t>81</w:t>
        </w:r>
        <w:r w:rsidR="00EE1463">
          <w:rPr>
            <w:noProof/>
            <w:webHidden/>
          </w:rPr>
          <w:fldChar w:fldCharType="end"/>
        </w:r>
      </w:hyperlink>
    </w:p>
    <w:p w14:paraId="0A3D2640" w14:textId="41887DBE" w:rsidR="00EE1463" w:rsidRDefault="002B166B">
      <w:pPr>
        <w:pStyle w:val="TOC1"/>
        <w:tabs>
          <w:tab w:val="right" w:leader="dot" w:pos="8630"/>
        </w:tabs>
        <w:rPr>
          <w:rFonts w:asciiTheme="minorHAnsi" w:eastAsiaTheme="minorEastAsia" w:hAnsiTheme="minorHAnsi" w:cstheme="minorBidi"/>
          <w:noProof/>
        </w:rPr>
      </w:pPr>
      <w:hyperlink w:anchor="_Toc88056494" w:history="1">
        <w:r w:rsidR="00EE1463" w:rsidRPr="00366D13">
          <w:rPr>
            <w:rStyle w:val="Hyperlink"/>
            <w:noProof/>
          </w:rPr>
          <w:t>REFERENCES</w:t>
        </w:r>
        <w:r w:rsidR="00EE1463">
          <w:rPr>
            <w:noProof/>
            <w:webHidden/>
          </w:rPr>
          <w:tab/>
        </w:r>
        <w:r w:rsidR="00EE1463">
          <w:rPr>
            <w:noProof/>
            <w:webHidden/>
          </w:rPr>
          <w:fldChar w:fldCharType="begin"/>
        </w:r>
        <w:r w:rsidR="00EE1463">
          <w:rPr>
            <w:noProof/>
            <w:webHidden/>
          </w:rPr>
          <w:instrText xml:space="preserve"> PAGEREF _Toc88056494 \h </w:instrText>
        </w:r>
        <w:r w:rsidR="00EE1463">
          <w:rPr>
            <w:noProof/>
            <w:webHidden/>
          </w:rPr>
        </w:r>
        <w:r w:rsidR="00EE1463">
          <w:rPr>
            <w:noProof/>
            <w:webHidden/>
          </w:rPr>
          <w:fldChar w:fldCharType="separate"/>
        </w:r>
        <w:r w:rsidR="00C52BD7">
          <w:rPr>
            <w:noProof/>
            <w:webHidden/>
          </w:rPr>
          <w:t>84</w:t>
        </w:r>
        <w:r w:rsidR="00EE1463">
          <w:rPr>
            <w:noProof/>
            <w:webHidden/>
          </w:rPr>
          <w:fldChar w:fldCharType="end"/>
        </w:r>
      </w:hyperlink>
    </w:p>
    <w:p w14:paraId="66F125E9" w14:textId="4025AAD2" w:rsidR="00EE1463" w:rsidRDefault="002B166B">
      <w:pPr>
        <w:pStyle w:val="TOC1"/>
        <w:tabs>
          <w:tab w:val="right" w:leader="dot" w:pos="8630"/>
        </w:tabs>
        <w:rPr>
          <w:rFonts w:asciiTheme="minorHAnsi" w:eastAsiaTheme="minorEastAsia" w:hAnsiTheme="minorHAnsi" w:cstheme="minorBidi"/>
          <w:noProof/>
        </w:rPr>
      </w:pPr>
      <w:hyperlink w:anchor="_Toc88056495" w:history="1">
        <w:r w:rsidR="00EE1463" w:rsidRPr="00366D13">
          <w:rPr>
            <w:rStyle w:val="Hyperlink"/>
            <w:noProof/>
          </w:rPr>
          <w:t>APPENDIX 3</w:t>
        </w:r>
        <w:r w:rsidR="00EE1463">
          <w:rPr>
            <w:noProof/>
            <w:webHidden/>
          </w:rPr>
          <w:tab/>
        </w:r>
        <w:r w:rsidR="00EE1463">
          <w:rPr>
            <w:noProof/>
            <w:webHidden/>
          </w:rPr>
          <w:fldChar w:fldCharType="begin"/>
        </w:r>
        <w:r w:rsidR="00EE1463">
          <w:rPr>
            <w:noProof/>
            <w:webHidden/>
          </w:rPr>
          <w:instrText xml:space="preserve"> PAGEREF _Toc88056495 \h </w:instrText>
        </w:r>
        <w:r w:rsidR="00EE1463">
          <w:rPr>
            <w:noProof/>
            <w:webHidden/>
          </w:rPr>
        </w:r>
        <w:r w:rsidR="00EE1463">
          <w:rPr>
            <w:noProof/>
            <w:webHidden/>
          </w:rPr>
          <w:fldChar w:fldCharType="separate"/>
        </w:r>
        <w:r w:rsidR="00C52BD7">
          <w:rPr>
            <w:noProof/>
            <w:webHidden/>
          </w:rPr>
          <w:t>88</w:t>
        </w:r>
        <w:r w:rsidR="00EE1463">
          <w:rPr>
            <w:noProof/>
            <w:webHidden/>
          </w:rPr>
          <w:fldChar w:fldCharType="end"/>
        </w:r>
      </w:hyperlink>
    </w:p>
    <w:p w14:paraId="4C48527B" w14:textId="7FB638ED" w:rsidR="00EE1463" w:rsidRDefault="002B166B">
      <w:pPr>
        <w:pStyle w:val="TOC1"/>
        <w:tabs>
          <w:tab w:val="right" w:leader="dot" w:pos="8630"/>
        </w:tabs>
        <w:rPr>
          <w:rFonts w:asciiTheme="minorHAnsi" w:eastAsiaTheme="minorEastAsia" w:hAnsiTheme="minorHAnsi" w:cstheme="minorBidi"/>
          <w:noProof/>
        </w:rPr>
      </w:pPr>
      <w:hyperlink w:anchor="_Toc88056496" w:history="1">
        <w:r w:rsidR="00EE1463" w:rsidRPr="00366D13">
          <w:rPr>
            <w:rStyle w:val="Hyperlink"/>
            <w:noProof/>
          </w:rPr>
          <w:t>CONCLUSION</w:t>
        </w:r>
        <w:r w:rsidR="00EE1463">
          <w:rPr>
            <w:noProof/>
            <w:webHidden/>
          </w:rPr>
          <w:tab/>
        </w:r>
        <w:r w:rsidR="00EE1463">
          <w:rPr>
            <w:noProof/>
            <w:webHidden/>
          </w:rPr>
          <w:fldChar w:fldCharType="begin"/>
        </w:r>
        <w:r w:rsidR="00EE1463">
          <w:rPr>
            <w:noProof/>
            <w:webHidden/>
          </w:rPr>
          <w:instrText xml:space="preserve"> PAGEREF _Toc88056496 \h </w:instrText>
        </w:r>
        <w:r w:rsidR="00EE1463">
          <w:rPr>
            <w:noProof/>
            <w:webHidden/>
          </w:rPr>
        </w:r>
        <w:r w:rsidR="00EE1463">
          <w:rPr>
            <w:noProof/>
            <w:webHidden/>
          </w:rPr>
          <w:fldChar w:fldCharType="separate"/>
        </w:r>
        <w:r w:rsidR="00C52BD7">
          <w:rPr>
            <w:noProof/>
            <w:webHidden/>
          </w:rPr>
          <w:t>95</w:t>
        </w:r>
        <w:r w:rsidR="00EE1463">
          <w:rPr>
            <w:noProof/>
            <w:webHidden/>
          </w:rPr>
          <w:fldChar w:fldCharType="end"/>
        </w:r>
      </w:hyperlink>
    </w:p>
    <w:p w14:paraId="0D9115AC" w14:textId="5EF0E953" w:rsidR="00EE1463" w:rsidRDefault="002B166B">
      <w:pPr>
        <w:pStyle w:val="TOC1"/>
        <w:tabs>
          <w:tab w:val="right" w:leader="dot" w:pos="8630"/>
        </w:tabs>
        <w:rPr>
          <w:rFonts w:asciiTheme="minorHAnsi" w:eastAsiaTheme="minorEastAsia" w:hAnsiTheme="minorHAnsi" w:cstheme="minorBidi"/>
          <w:noProof/>
        </w:rPr>
      </w:pPr>
      <w:hyperlink w:anchor="_Toc88056497" w:history="1">
        <w:r w:rsidR="00EE1463" w:rsidRPr="00366D13">
          <w:rPr>
            <w:rStyle w:val="Hyperlink"/>
            <w:noProof/>
          </w:rPr>
          <w:t>APPENDIX 4</w:t>
        </w:r>
        <w:r w:rsidR="00EE1463">
          <w:rPr>
            <w:noProof/>
            <w:webHidden/>
          </w:rPr>
          <w:tab/>
        </w:r>
        <w:r w:rsidR="00EE1463">
          <w:rPr>
            <w:noProof/>
            <w:webHidden/>
          </w:rPr>
          <w:fldChar w:fldCharType="begin"/>
        </w:r>
        <w:r w:rsidR="00EE1463">
          <w:rPr>
            <w:noProof/>
            <w:webHidden/>
          </w:rPr>
          <w:instrText xml:space="preserve"> PAGEREF _Toc88056497 \h </w:instrText>
        </w:r>
        <w:r w:rsidR="00EE1463">
          <w:rPr>
            <w:noProof/>
            <w:webHidden/>
          </w:rPr>
        </w:r>
        <w:r w:rsidR="00EE1463">
          <w:rPr>
            <w:noProof/>
            <w:webHidden/>
          </w:rPr>
          <w:fldChar w:fldCharType="separate"/>
        </w:r>
        <w:r w:rsidR="00C52BD7">
          <w:rPr>
            <w:noProof/>
            <w:webHidden/>
          </w:rPr>
          <w:t>96</w:t>
        </w:r>
        <w:r w:rsidR="00EE1463">
          <w:rPr>
            <w:noProof/>
            <w:webHidden/>
          </w:rPr>
          <w:fldChar w:fldCharType="end"/>
        </w:r>
      </w:hyperlink>
    </w:p>
    <w:p w14:paraId="11F92AEC" w14:textId="3FCE9566" w:rsidR="00EE1463" w:rsidRDefault="002B166B">
      <w:pPr>
        <w:pStyle w:val="TOC1"/>
        <w:tabs>
          <w:tab w:val="right" w:leader="dot" w:pos="8630"/>
        </w:tabs>
        <w:rPr>
          <w:rFonts w:asciiTheme="minorHAnsi" w:eastAsiaTheme="minorEastAsia" w:hAnsiTheme="minorHAnsi" w:cstheme="minorBidi"/>
          <w:noProof/>
        </w:rPr>
      </w:pPr>
      <w:hyperlink w:anchor="_Toc88056498" w:history="1">
        <w:r w:rsidR="00EE1463" w:rsidRPr="00366D13">
          <w:rPr>
            <w:rStyle w:val="Hyperlink"/>
            <w:noProof/>
          </w:rPr>
          <w:t>VITA</w:t>
        </w:r>
        <w:r w:rsidR="00EE1463">
          <w:rPr>
            <w:noProof/>
            <w:webHidden/>
          </w:rPr>
          <w:tab/>
        </w:r>
        <w:r w:rsidR="00EE1463">
          <w:rPr>
            <w:noProof/>
            <w:webHidden/>
          </w:rPr>
          <w:fldChar w:fldCharType="begin"/>
        </w:r>
        <w:r w:rsidR="00EE1463">
          <w:rPr>
            <w:noProof/>
            <w:webHidden/>
          </w:rPr>
          <w:instrText xml:space="preserve"> PAGEREF _Toc88056498 \h </w:instrText>
        </w:r>
        <w:r w:rsidR="00EE1463">
          <w:rPr>
            <w:noProof/>
            <w:webHidden/>
          </w:rPr>
        </w:r>
        <w:r w:rsidR="00EE1463">
          <w:rPr>
            <w:noProof/>
            <w:webHidden/>
          </w:rPr>
          <w:fldChar w:fldCharType="separate"/>
        </w:r>
        <w:r w:rsidR="00C52BD7">
          <w:rPr>
            <w:noProof/>
            <w:webHidden/>
          </w:rPr>
          <w:t>110</w:t>
        </w:r>
        <w:r w:rsidR="00EE1463">
          <w:rPr>
            <w:noProof/>
            <w:webHidden/>
          </w:rPr>
          <w:fldChar w:fldCharType="end"/>
        </w:r>
      </w:hyperlink>
    </w:p>
    <w:p w14:paraId="03857002" w14:textId="1EF0657F" w:rsidR="00387656" w:rsidRPr="00DF7C87" w:rsidRDefault="00EA22B9">
      <w:r>
        <w:fldChar w:fldCharType="end"/>
      </w:r>
    </w:p>
    <w:p w14:paraId="3126B945" w14:textId="77777777" w:rsidR="00387656" w:rsidRPr="00DF7C87" w:rsidRDefault="009C755C" w:rsidP="00387656">
      <w:pPr>
        <w:pStyle w:val="Title"/>
        <w:rPr>
          <w:sz w:val="24"/>
        </w:rPr>
      </w:pPr>
      <w:r w:rsidRPr="00DF7C87">
        <w:rPr>
          <w:sz w:val="24"/>
        </w:rPr>
        <w:br w:type="page"/>
      </w:r>
    </w:p>
    <w:p w14:paraId="359E5CEA" w14:textId="77777777" w:rsidR="00387656" w:rsidRPr="00060A6A" w:rsidRDefault="00387656" w:rsidP="00387656">
      <w:pPr>
        <w:pStyle w:val="Title"/>
        <w:rPr>
          <w:szCs w:val="28"/>
        </w:rPr>
      </w:pPr>
      <w:r w:rsidRPr="00060A6A">
        <w:rPr>
          <w:szCs w:val="28"/>
        </w:rPr>
        <w:lastRenderedPageBreak/>
        <w:t>LIST OF TABLES</w:t>
      </w:r>
    </w:p>
    <w:p w14:paraId="175F567A" w14:textId="77777777" w:rsidR="00387656" w:rsidRPr="009011B9" w:rsidRDefault="00387656" w:rsidP="00387656">
      <w:pPr>
        <w:pStyle w:val="Title"/>
        <w:rPr>
          <w:b w:val="0"/>
          <w:bCs/>
          <w:sz w:val="24"/>
        </w:rPr>
      </w:pPr>
    </w:p>
    <w:p w14:paraId="4F687924" w14:textId="78DE8B20" w:rsidR="00715568" w:rsidRPr="00DB321E" w:rsidRDefault="00387656">
      <w:pPr>
        <w:pStyle w:val="TableofFigures"/>
        <w:tabs>
          <w:tab w:val="right" w:leader="dot" w:pos="8630"/>
        </w:tabs>
        <w:rPr>
          <w:rFonts w:asciiTheme="minorHAnsi" w:eastAsiaTheme="minorEastAsia" w:hAnsiTheme="minorHAnsi" w:cstheme="minorBidi"/>
          <w:bCs/>
          <w:noProof/>
        </w:rPr>
      </w:pPr>
      <w:r w:rsidRPr="00DB321E">
        <w:rPr>
          <w:bCs/>
        </w:rPr>
        <w:fldChar w:fldCharType="begin"/>
      </w:r>
      <w:r w:rsidRPr="00DB321E">
        <w:rPr>
          <w:bCs/>
        </w:rPr>
        <w:instrText xml:space="preserve"> TOC \h \z \c "Table" </w:instrText>
      </w:r>
      <w:r w:rsidRPr="00DB321E">
        <w:rPr>
          <w:bCs/>
        </w:rPr>
        <w:fldChar w:fldCharType="separate"/>
      </w:r>
      <w:hyperlink w:anchor="_Toc88053987" w:history="1">
        <w:r w:rsidR="00715568" w:rsidRPr="00DB321E">
          <w:rPr>
            <w:rStyle w:val="Hyperlink"/>
            <w:bCs/>
            <w:noProof/>
          </w:rPr>
          <w:t>Table 1. Summary of the linear mixed effects model rankings for determining importance of provenance for biomass, stomatal density, distribution (ratio), and size (abaxial pore length) in the field [F] and in the greenhouse [GH].</w:t>
        </w:r>
        <w:r w:rsidR="00715568" w:rsidRPr="00DB321E">
          <w:rPr>
            <w:bCs/>
            <w:noProof/>
            <w:webHidden/>
          </w:rPr>
          <w:tab/>
        </w:r>
        <w:r w:rsidR="00715568" w:rsidRPr="00DB321E">
          <w:rPr>
            <w:bCs/>
            <w:noProof/>
            <w:webHidden/>
          </w:rPr>
          <w:fldChar w:fldCharType="begin"/>
        </w:r>
        <w:r w:rsidR="00715568" w:rsidRPr="00DB321E">
          <w:rPr>
            <w:bCs/>
            <w:noProof/>
            <w:webHidden/>
          </w:rPr>
          <w:instrText xml:space="preserve"> PAGEREF _Toc88053987 \h </w:instrText>
        </w:r>
        <w:r w:rsidR="00715568" w:rsidRPr="00DB321E">
          <w:rPr>
            <w:bCs/>
            <w:noProof/>
            <w:webHidden/>
          </w:rPr>
        </w:r>
        <w:r w:rsidR="00715568" w:rsidRPr="00DB321E">
          <w:rPr>
            <w:bCs/>
            <w:noProof/>
            <w:webHidden/>
          </w:rPr>
          <w:fldChar w:fldCharType="separate"/>
        </w:r>
        <w:r w:rsidR="00C52BD7">
          <w:rPr>
            <w:bCs/>
            <w:noProof/>
            <w:webHidden/>
          </w:rPr>
          <w:t>37</w:t>
        </w:r>
        <w:r w:rsidR="00715568" w:rsidRPr="00DB321E">
          <w:rPr>
            <w:bCs/>
            <w:noProof/>
            <w:webHidden/>
          </w:rPr>
          <w:fldChar w:fldCharType="end"/>
        </w:r>
      </w:hyperlink>
    </w:p>
    <w:p w14:paraId="75FC4719" w14:textId="4F0C0B3E" w:rsidR="00715568" w:rsidRPr="00DB321E" w:rsidRDefault="002B166B">
      <w:pPr>
        <w:pStyle w:val="TableofFigures"/>
        <w:tabs>
          <w:tab w:val="right" w:leader="dot" w:pos="8630"/>
        </w:tabs>
        <w:rPr>
          <w:rFonts w:asciiTheme="minorHAnsi" w:eastAsiaTheme="minorEastAsia" w:hAnsiTheme="minorHAnsi" w:cstheme="minorBidi"/>
          <w:bCs/>
          <w:noProof/>
        </w:rPr>
      </w:pPr>
      <w:hyperlink w:anchor="_Toc88053988" w:history="1">
        <w:r w:rsidR="00715568" w:rsidRPr="00DB321E">
          <w:rPr>
            <w:rStyle w:val="Hyperlink"/>
            <w:bCs/>
            <w:noProof/>
          </w:rPr>
          <w:t>Table 2: Summary of linear regression parameters for the relationship between oxygen (</w:t>
        </w:r>
        <w:r w:rsidR="00715568" w:rsidRPr="00DB321E">
          <w:rPr>
            <w:rStyle w:val="Hyperlink"/>
            <w:bCs/>
            <w:noProof/>
            <w:sz w:val="22"/>
            <w:szCs w:val="22"/>
          </w:rPr>
          <w:sym w:font="Symbol" w:char="F064"/>
        </w:r>
        <w:r w:rsidR="00715568" w:rsidRPr="00DB321E">
          <w:rPr>
            <w:rStyle w:val="Hyperlink"/>
            <w:bCs/>
            <w:noProof/>
          </w:rPr>
          <w:t>18O) and hydrogen isotopes (</w:t>
        </w:r>
        <w:r w:rsidR="00715568" w:rsidRPr="00DB321E">
          <w:rPr>
            <w:rStyle w:val="Hyperlink"/>
            <w:bCs/>
            <w:noProof/>
            <w:sz w:val="22"/>
            <w:szCs w:val="22"/>
          </w:rPr>
          <w:sym w:font="Symbol" w:char="F064"/>
        </w:r>
        <w:r w:rsidR="00715568" w:rsidRPr="00DB321E">
          <w:rPr>
            <w:rStyle w:val="Hyperlink"/>
            <w:bCs/>
            <w:noProof/>
          </w:rPr>
          <w:t>2H). Parameters are represented for precipitation (lmwl), stream, soil, stem, and leaf samples.</w:t>
        </w:r>
        <w:r w:rsidR="00715568" w:rsidRPr="00DB321E">
          <w:rPr>
            <w:bCs/>
            <w:noProof/>
            <w:webHidden/>
          </w:rPr>
          <w:tab/>
        </w:r>
        <w:r w:rsidR="00715568" w:rsidRPr="00DB321E">
          <w:rPr>
            <w:bCs/>
            <w:noProof/>
            <w:webHidden/>
          </w:rPr>
          <w:fldChar w:fldCharType="begin"/>
        </w:r>
        <w:r w:rsidR="00715568" w:rsidRPr="00DB321E">
          <w:rPr>
            <w:bCs/>
            <w:noProof/>
            <w:webHidden/>
          </w:rPr>
          <w:instrText xml:space="preserve"> PAGEREF _Toc88053988 \h </w:instrText>
        </w:r>
        <w:r w:rsidR="00715568" w:rsidRPr="00DB321E">
          <w:rPr>
            <w:bCs/>
            <w:noProof/>
            <w:webHidden/>
          </w:rPr>
        </w:r>
        <w:r w:rsidR="00715568" w:rsidRPr="00DB321E">
          <w:rPr>
            <w:bCs/>
            <w:noProof/>
            <w:webHidden/>
          </w:rPr>
          <w:fldChar w:fldCharType="separate"/>
        </w:r>
        <w:r w:rsidR="00C52BD7">
          <w:rPr>
            <w:bCs/>
            <w:noProof/>
            <w:webHidden/>
          </w:rPr>
          <w:t>38</w:t>
        </w:r>
        <w:r w:rsidR="00715568" w:rsidRPr="00DB321E">
          <w:rPr>
            <w:bCs/>
            <w:noProof/>
            <w:webHidden/>
          </w:rPr>
          <w:fldChar w:fldCharType="end"/>
        </w:r>
      </w:hyperlink>
    </w:p>
    <w:p w14:paraId="6A406EEF" w14:textId="02129385" w:rsidR="00715568" w:rsidRPr="00DB321E" w:rsidRDefault="002B166B">
      <w:pPr>
        <w:pStyle w:val="TableofFigures"/>
        <w:tabs>
          <w:tab w:val="right" w:leader="dot" w:pos="8630"/>
        </w:tabs>
        <w:rPr>
          <w:rFonts w:asciiTheme="minorHAnsi" w:eastAsiaTheme="minorEastAsia" w:hAnsiTheme="minorHAnsi" w:cstheme="minorBidi"/>
          <w:bCs/>
          <w:noProof/>
        </w:rPr>
      </w:pPr>
      <w:hyperlink w:anchor="_Toc88053989" w:history="1">
        <w:r w:rsidR="00715568" w:rsidRPr="00DB321E">
          <w:rPr>
            <w:rStyle w:val="Hyperlink"/>
            <w:bCs/>
            <w:noProof/>
          </w:rPr>
          <w:t>Table 3: Description of modeling experiments: Building, evaluation, and performance.</w:t>
        </w:r>
        <w:r w:rsidR="00715568" w:rsidRPr="00DB321E">
          <w:rPr>
            <w:bCs/>
            <w:noProof/>
            <w:webHidden/>
          </w:rPr>
          <w:tab/>
        </w:r>
        <w:r w:rsidR="00715568" w:rsidRPr="00DB321E">
          <w:rPr>
            <w:bCs/>
            <w:noProof/>
            <w:webHidden/>
          </w:rPr>
          <w:fldChar w:fldCharType="begin"/>
        </w:r>
        <w:r w:rsidR="00715568" w:rsidRPr="00DB321E">
          <w:rPr>
            <w:bCs/>
            <w:noProof/>
            <w:webHidden/>
          </w:rPr>
          <w:instrText xml:space="preserve"> PAGEREF _Toc88053989 \h </w:instrText>
        </w:r>
        <w:r w:rsidR="00715568" w:rsidRPr="00DB321E">
          <w:rPr>
            <w:bCs/>
            <w:noProof/>
            <w:webHidden/>
          </w:rPr>
        </w:r>
        <w:r w:rsidR="00715568" w:rsidRPr="00DB321E">
          <w:rPr>
            <w:bCs/>
            <w:noProof/>
            <w:webHidden/>
          </w:rPr>
          <w:fldChar w:fldCharType="separate"/>
        </w:r>
        <w:r w:rsidR="00C52BD7">
          <w:rPr>
            <w:bCs/>
            <w:noProof/>
            <w:webHidden/>
          </w:rPr>
          <w:t>63</w:t>
        </w:r>
        <w:r w:rsidR="00715568" w:rsidRPr="00DB321E">
          <w:rPr>
            <w:bCs/>
            <w:noProof/>
            <w:webHidden/>
          </w:rPr>
          <w:fldChar w:fldCharType="end"/>
        </w:r>
      </w:hyperlink>
    </w:p>
    <w:p w14:paraId="44ECB38C" w14:textId="5CBC1556" w:rsidR="00715568" w:rsidRPr="00DB321E" w:rsidRDefault="002B166B">
      <w:pPr>
        <w:pStyle w:val="TableofFigures"/>
        <w:tabs>
          <w:tab w:val="right" w:leader="dot" w:pos="8630"/>
        </w:tabs>
        <w:rPr>
          <w:rFonts w:asciiTheme="minorHAnsi" w:eastAsiaTheme="minorEastAsia" w:hAnsiTheme="minorHAnsi" w:cstheme="minorBidi"/>
          <w:bCs/>
          <w:noProof/>
        </w:rPr>
      </w:pPr>
      <w:hyperlink w:anchor="_Toc88053990" w:history="1">
        <w:r w:rsidR="00715568" w:rsidRPr="00DB321E">
          <w:rPr>
            <w:rStyle w:val="Hyperlink"/>
            <w:bCs/>
            <w:noProof/>
          </w:rPr>
          <w:t>Table 4: Percent (%) contribution of environmental variables to SDMs..</w:t>
        </w:r>
        <w:r w:rsidR="00715568" w:rsidRPr="00DB321E">
          <w:rPr>
            <w:bCs/>
            <w:noProof/>
            <w:webHidden/>
          </w:rPr>
          <w:tab/>
        </w:r>
        <w:r w:rsidR="00715568" w:rsidRPr="00DB321E">
          <w:rPr>
            <w:bCs/>
            <w:noProof/>
            <w:webHidden/>
          </w:rPr>
          <w:fldChar w:fldCharType="begin"/>
        </w:r>
        <w:r w:rsidR="00715568" w:rsidRPr="00DB321E">
          <w:rPr>
            <w:bCs/>
            <w:noProof/>
            <w:webHidden/>
          </w:rPr>
          <w:instrText xml:space="preserve"> PAGEREF _Toc88053990 \h </w:instrText>
        </w:r>
        <w:r w:rsidR="00715568" w:rsidRPr="00DB321E">
          <w:rPr>
            <w:bCs/>
            <w:noProof/>
            <w:webHidden/>
          </w:rPr>
        </w:r>
        <w:r w:rsidR="00715568" w:rsidRPr="00DB321E">
          <w:rPr>
            <w:bCs/>
            <w:noProof/>
            <w:webHidden/>
          </w:rPr>
          <w:fldChar w:fldCharType="separate"/>
        </w:r>
        <w:r w:rsidR="00C52BD7">
          <w:rPr>
            <w:bCs/>
            <w:noProof/>
            <w:webHidden/>
          </w:rPr>
          <w:t>64</w:t>
        </w:r>
        <w:r w:rsidR="00715568" w:rsidRPr="00DB321E">
          <w:rPr>
            <w:bCs/>
            <w:noProof/>
            <w:webHidden/>
          </w:rPr>
          <w:fldChar w:fldCharType="end"/>
        </w:r>
      </w:hyperlink>
    </w:p>
    <w:p w14:paraId="47B0CAD7" w14:textId="19F9A9F5" w:rsidR="00715568" w:rsidRPr="00DB321E" w:rsidRDefault="002B166B">
      <w:pPr>
        <w:pStyle w:val="TableofFigures"/>
        <w:tabs>
          <w:tab w:val="right" w:leader="dot" w:pos="8630"/>
        </w:tabs>
        <w:rPr>
          <w:rFonts w:asciiTheme="minorHAnsi" w:eastAsiaTheme="minorEastAsia" w:hAnsiTheme="minorHAnsi" w:cstheme="minorBidi"/>
          <w:bCs/>
          <w:noProof/>
        </w:rPr>
      </w:pPr>
      <w:hyperlink w:anchor="_Toc88053991" w:history="1">
        <w:r w:rsidR="00715568" w:rsidRPr="00DB321E">
          <w:rPr>
            <w:rStyle w:val="Hyperlink"/>
            <w:bCs/>
            <w:noProof/>
          </w:rPr>
          <w:t>Table 5: Niche overlap measured using Schoener’s D.</w:t>
        </w:r>
        <w:r w:rsidR="00715568" w:rsidRPr="00DB321E">
          <w:rPr>
            <w:bCs/>
            <w:noProof/>
            <w:webHidden/>
          </w:rPr>
          <w:tab/>
        </w:r>
        <w:r w:rsidR="00715568" w:rsidRPr="00DB321E">
          <w:rPr>
            <w:bCs/>
            <w:noProof/>
            <w:webHidden/>
          </w:rPr>
          <w:fldChar w:fldCharType="begin"/>
        </w:r>
        <w:r w:rsidR="00715568" w:rsidRPr="00DB321E">
          <w:rPr>
            <w:bCs/>
            <w:noProof/>
            <w:webHidden/>
          </w:rPr>
          <w:instrText xml:space="preserve"> PAGEREF _Toc88053991 \h </w:instrText>
        </w:r>
        <w:r w:rsidR="00715568" w:rsidRPr="00DB321E">
          <w:rPr>
            <w:bCs/>
            <w:noProof/>
            <w:webHidden/>
          </w:rPr>
        </w:r>
        <w:r w:rsidR="00715568" w:rsidRPr="00DB321E">
          <w:rPr>
            <w:bCs/>
            <w:noProof/>
            <w:webHidden/>
          </w:rPr>
          <w:fldChar w:fldCharType="separate"/>
        </w:r>
        <w:r w:rsidR="00C52BD7">
          <w:rPr>
            <w:bCs/>
            <w:noProof/>
            <w:webHidden/>
          </w:rPr>
          <w:t>65</w:t>
        </w:r>
        <w:r w:rsidR="00715568" w:rsidRPr="00DB321E">
          <w:rPr>
            <w:bCs/>
            <w:noProof/>
            <w:webHidden/>
          </w:rPr>
          <w:fldChar w:fldCharType="end"/>
        </w:r>
      </w:hyperlink>
    </w:p>
    <w:p w14:paraId="646270CC" w14:textId="29C4824B" w:rsidR="00715568" w:rsidRPr="00DB321E" w:rsidRDefault="002B166B">
      <w:pPr>
        <w:pStyle w:val="TableofFigures"/>
        <w:tabs>
          <w:tab w:val="right" w:leader="dot" w:pos="8630"/>
        </w:tabs>
        <w:rPr>
          <w:rFonts w:asciiTheme="minorHAnsi" w:eastAsiaTheme="minorEastAsia" w:hAnsiTheme="minorHAnsi" w:cstheme="minorBidi"/>
          <w:bCs/>
          <w:noProof/>
        </w:rPr>
      </w:pPr>
      <w:hyperlink w:anchor="_Toc88053992" w:history="1">
        <w:r w:rsidR="00715568" w:rsidRPr="00DB321E">
          <w:rPr>
            <w:rStyle w:val="Hyperlink"/>
            <w:bCs/>
            <w:noProof/>
          </w:rPr>
          <w:t>Table 6: Summary and evaluation of decile distribution models.</w:t>
        </w:r>
        <w:r w:rsidR="00715568" w:rsidRPr="00DB321E">
          <w:rPr>
            <w:bCs/>
            <w:noProof/>
            <w:webHidden/>
          </w:rPr>
          <w:tab/>
        </w:r>
        <w:r w:rsidR="00715568" w:rsidRPr="00DB321E">
          <w:rPr>
            <w:bCs/>
            <w:noProof/>
            <w:webHidden/>
          </w:rPr>
          <w:fldChar w:fldCharType="begin"/>
        </w:r>
        <w:r w:rsidR="00715568" w:rsidRPr="00DB321E">
          <w:rPr>
            <w:bCs/>
            <w:noProof/>
            <w:webHidden/>
          </w:rPr>
          <w:instrText xml:space="preserve"> PAGEREF _Toc88053992 \h </w:instrText>
        </w:r>
        <w:r w:rsidR="00715568" w:rsidRPr="00DB321E">
          <w:rPr>
            <w:bCs/>
            <w:noProof/>
            <w:webHidden/>
          </w:rPr>
        </w:r>
        <w:r w:rsidR="00715568" w:rsidRPr="00DB321E">
          <w:rPr>
            <w:bCs/>
            <w:noProof/>
            <w:webHidden/>
          </w:rPr>
          <w:fldChar w:fldCharType="separate"/>
        </w:r>
        <w:r w:rsidR="00C52BD7">
          <w:rPr>
            <w:bCs/>
            <w:noProof/>
            <w:webHidden/>
          </w:rPr>
          <w:t>89</w:t>
        </w:r>
        <w:r w:rsidR="00715568" w:rsidRPr="00DB321E">
          <w:rPr>
            <w:bCs/>
            <w:noProof/>
            <w:webHidden/>
          </w:rPr>
          <w:fldChar w:fldCharType="end"/>
        </w:r>
      </w:hyperlink>
    </w:p>
    <w:p w14:paraId="2F8E2205" w14:textId="44369262" w:rsidR="00715568" w:rsidRPr="00DB321E" w:rsidRDefault="002B166B">
      <w:pPr>
        <w:pStyle w:val="TableofFigures"/>
        <w:tabs>
          <w:tab w:val="right" w:leader="dot" w:pos="8630"/>
        </w:tabs>
        <w:rPr>
          <w:rFonts w:asciiTheme="minorHAnsi" w:eastAsiaTheme="minorEastAsia" w:hAnsiTheme="minorHAnsi" w:cstheme="minorBidi"/>
          <w:bCs/>
          <w:noProof/>
        </w:rPr>
      </w:pPr>
      <w:hyperlink w:anchor="_Toc88053993" w:history="1">
        <w:r w:rsidR="00715568" w:rsidRPr="00DB321E">
          <w:rPr>
            <w:rStyle w:val="Hyperlink"/>
            <w:bCs/>
            <w:noProof/>
          </w:rPr>
          <w:t>Table 7: Net loss calculated as percent loss minus percent gain and 95 percent confidence bounds averaged for the three global circulation models across geographic range, year, and relative concentration pathway (</w:t>
        </w:r>
        <w:r w:rsidR="007F1357">
          <w:rPr>
            <w:rStyle w:val="Hyperlink"/>
            <w:bCs/>
            <w:noProof/>
          </w:rPr>
          <w:t>RCP</w:t>
        </w:r>
        <w:r w:rsidR="00715568" w:rsidRPr="00DB321E">
          <w:rPr>
            <w:rStyle w:val="Hyperlink"/>
            <w:bCs/>
            <w:noProof/>
          </w:rPr>
          <w:t>).</w:t>
        </w:r>
        <w:r w:rsidR="00715568" w:rsidRPr="00DB321E">
          <w:rPr>
            <w:bCs/>
            <w:noProof/>
            <w:webHidden/>
          </w:rPr>
          <w:tab/>
        </w:r>
        <w:r w:rsidR="00715568" w:rsidRPr="00DB321E">
          <w:rPr>
            <w:bCs/>
            <w:noProof/>
            <w:webHidden/>
          </w:rPr>
          <w:fldChar w:fldCharType="begin"/>
        </w:r>
        <w:r w:rsidR="00715568" w:rsidRPr="00DB321E">
          <w:rPr>
            <w:bCs/>
            <w:noProof/>
            <w:webHidden/>
          </w:rPr>
          <w:instrText xml:space="preserve"> PAGEREF _Toc88053993 \h </w:instrText>
        </w:r>
        <w:r w:rsidR="00715568" w:rsidRPr="00DB321E">
          <w:rPr>
            <w:bCs/>
            <w:noProof/>
            <w:webHidden/>
          </w:rPr>
        </w:r>
        <w:r w:rsidR="00715568" w:rsidRPr="00DB321E">
          <w:rPr>
            <w:bCs/>
            <w:noProof/>
            <w:webHidden/>
          </w:rPr>
          <w:fldChar w:fldCharType="separate"/>
        </w:r>
        <w:r w:rsidR="00C52BD7">
          <w:rPr>
            <w:bCs/>
            <w:noProof/>
            <w:webHidden/>
          </w:rPr>
          <w:t>90</w:t>
        </w:r>
        <w:r w:rsidR="00715568" w:rsidRPr="00DB321E">
          <w:rPr>
            <w:bCs/>
            <w:noProof/>
            <w:webHidden/>
          </w:rPr>
          <w:fldChar w:fldCharType="end"/>
        </w:r>
      </w:hyperlink>
    </w:p>
    <w:p w14:paraId="7ABBE078" w14:textId="1BD60251" w:rsidR="00715568" w:rsidRPr="00DB321E" w:rsidRDefault="002B166B">
      <w:pPr>
        <w:pStyle w:val="TableofFigures"/>
        <w:tabs>
          <w:tab w:val="right" w:leader="dot" w:pos="8630"/>
        </w:tabs>
        <w:rPr>
          <w:rFonts w:asciiTheme="minorHAnsi" w:eastAsiaTheme="minorEastAsia" w:hAnsiTheme="minorHAnsi" w:cstheme="minorBidi"/>
          <w:bCs/>
          <w:noProof/>
        </w:rPr>
      </w:pPr>
      <w:hyperlink w:anchor="_Toc88053994" w:history="1">
        <w:r w:rsidR="00715568" w:rsidRPr="00DB321E">
          <w:rPr>
            <w:rStyle w:val="Hyperlink"/>
            <w:bCs/>
            <w:noProof/>
          </w:rPr>
          <w:t>Table 8: Description of modeling experiments that used only bioclimatic variables: Building, evaluation, and performance.</w:t>
        </w:r>
        <w:r w:rsidR="00715568" w:rsidRPr="00DB321E">
          <w:rPr>
            <w:bCs/>
            <w:noProof/>
            <w:webHidden/>
          </w:rPr>
          <w:tab/>
        </w:r>
        <w:r w:rsidR="00715568" w:rsidRPr="00DB321E">
          <w:rPr>
            <w:bCs/>
            <w:noProof/>
            <w:webHidden/>
          </w:rPr>
          <w:fldChar w:fldCharType="begin"/>
        </w:r>
        <w:r w:rsidR="00715568" w:rsidRPr="00DB321E">
          <w:rPr>
            <w:bCs/>
            <w:noProof/>
            <w:webHidden/>
          </w:rPr>
          <w:instrText xml:space="preserve"> PAGEREF _Toc88053994 \h </w:instrText>
        </w:r>
        <w:r w:rsidR="00715568" w:rsidRPr="00DB321E">
          <w:rPr>
            <w:bCs/>
            <w:noProof/>
            <w:webHidden/>
          </w:rPr>
        </w:r>
        <w:r w:rsidR="00715568" w:rsidRPr="00DB321E">
          <w:rPr>
            <w:bCs/>
            <w:noProof/>
            <w:webHidden/>
          </w:rPr>
          <w:fldChar w:fldCharType="separate"/>
        </w:r>
        <w:r w:rsidR="00C52BD7">
          <w:rPr>
            <w:bCs/>
            <w:noProof/>
            <w:webHidden/>
          </w:rPr>
          <w:t>97</w:t>
        </w:r>
        <w:r w:rsidR="00715568" w:rsidRPr="00DB321E">
          <w:rPr>
            <w:bCs/>
            <w:noProof/>
            <w:webHidden/>
          </w:rPr>
          <w:fldChar w:fldCharType="end"/>
        </w:r>
      </w:hyperlink>
    </w:p>
    <w:p w14:paraId="149F66D0" w14:textId="036A8F51" w:rsidR="00715568" w:rsidRPr="00DB321E" w:rsidRDefault="002B166B">
      <w:pPr>
        <w:pStyle w:val="TableofFigures"/>
        <w:tabs>
          <w:tab w:val="right" w:leader="dot" w:pos="8630"/>
        </w:tabs>
        <w:rPr>
          <w:rFonts w:asciiTheme="minorHAnsi" w:eastAsiaTheme="minorEastAsia" w:hAnsiTheme="minorHAnsi" w:cstheme="minorBidi"/>
          <w:bCs/>
          <w:noProof/>
        </w:rPr>
      </w:pPr>
      <w:hyperlink w:anchor="_Toc88053995" w:history="1">
        <w:r w:rsidR="00715568" w:rsidRPr="00DB321E">
          <w:rPr>
            <w:rStyle w:val="Hyperlink"/>
            <w:bCs/>
            <w:noProof/>
          </w:rPr>
          <w:t>Table 9: Percent contribution (%) of environmental variables to SDMs.</w:t>
        </w:r>
        <w:r w:rsidR="00715568" w:rsidRPr="00DB321E">
          <w:rPr>
            <w:bCs/>
            <w:noProof/>
            <w:webHidden/>
          </w:rPr>
          <w:tab/>
        </w:r>
        <w:r w:rsidR="00715568" w:rsidRPr="00DB321E">
          <w:rPr>
            <w:bCs/>
            <w:noProof/>
            <w:webHidden/>
          </w:rPr>
          <w:fldChar w:fldCharType="begin"/>
        </w:r>
        <w:r w:rsidR="00715568" w:rsidRPr="00DB321E">
          <w:rPr>
            <w:bCs/>
            <w:noProof/>
            <w:webHidden/>
          </w:rPr>
          <w:instrText xml:space="preserve"> PAGEREF _Toc88053995 \h </w:instrText>
        </w:r>
        <w:r w:rsidR="00715568" w:rsidRPr="00DB321E">
          <w:rPr>
            <w:bCs/>
            <w:noProof/>
            <w:webHidden/>
          </w:rPr>
        </w:r>
        <w:r w:rsidR="00715568" w:rsidRPr="00DB321E">
          <w:rPr>
            <w:bCs/>
            <w:noProof/>
            <w:webHidden/>
          </w:rPr>
          <w:fldChar w:fldCharType="separate"/>
        </w:r>
        <w:r w:rsidR="00C52BD7">
          <w:rPr>
            <w:bCs/>
            <w:noProof/>
            <w:webHidden/>
          </w:rPr>
          <w:t>98</w:t>
        </w:r>
        <w:r w:rsidR="00715568" w:rsidRPr="00DB321E">
          <w:rPr>
            <w:bCs/>
            <w:noProof/>
            <w:webHidden/>
          </w:rPr>
          <w:fldChar w:fldCharType="end"/>
        </w:r>
      </w:hyperlink>
    </w:p>
    <w:p w14:paraId="5045D27B" w14:textId="4237FFEC" w:rsidR="0085757D" w:rsidRPr="002E48B7" w:rsidRDefault="00387656" w:rsidP="00904969">
      <w:pPr>
        <w:rPr>
          <w:bCs/>
        </w:rPr>
      </w:pPr>
      <w:r w:rsidRPr="00DB321E">
        <w:rPr>
          <w:bCs/>
        </w:rPr>
        <w:fldChar w:fldCharType="end"/>
      </w:r>
    </w:p>
    <w:p w14:paraId="21A8AA21" w14:textId="77777777" w:rsidR="00904969" w:rsidRPr="009011B9" w:rsidRDefault="00236E6D" w:rsidP="009011B9">
      <w:pPr>
        <w:pStyle w:val="Caption"/>
        <w:jc w:val="center"/>
        <w:rPr>
          <w:sz w:val="28"/>
          <w:szCs w:val="28"/>
        </w:rPr>
      </w:pPr>
      <w:r w:rsidRPr="009011B9">
        <w:rPr>
          <w:sz w:val="28"/>
          <w:szCs w:val="28"/>
        </w:rPr>
        <w:br w:type="page"/>
      </w:r>
      <w:r w:rsidR="00904969" w:rsidRPr="009011B9">
        <w:rPr>
          <w:sz w:val="28"/>
          <w:szCs w:val="28"/>
        </w:rPr>
        <w:lastRenderedPageBreak/>
        <w:t>LIST OF FIGURES</w:t>
      </w:r>
    </w:p>
    <w:p w14:paraId="5E93679D" w14:textId="77777777" w:rsidR="00C30D60" w:rsidRPr="00DF7C87" w:rsidRDefault="00C30D60" w:rsidP="00904969">
      <w:pPr>
        <w:pStyle w:val="Title"/>
        <w:rPr>
          <w:sz w:val="24"/>
        </w:rPr>
      </w:pPr>
    </w:p>
    <w:p w14:paraId="6AD7491B" w14:textId="3F614CD5" w:rsidR="00715568" w:rsidRDefault="007E5AD3">
      <w:pPr>
        <w:pStyle w:val="TableofFigures"/>
        <w:tabs>
          <w:tab w:val="right" w:leader="dot" w:pos="8630"/>
        </w:tabs>
        <w:rPr>
          <w:rFonts w:asciiTheme="minorHAnsi" w:eastAsiaTheme="minorEastAsia" w:hAnsiTheme="minorHAnsi" w:cstheme="minorBidi"/>
          <w:noProof/>
        </w:rPr>
      </w:pPr>
      <w:r>
        <w:rPr>
          <w:b/>
        </w:rPr>
        <w:fldChar w:fldCharType="begin"/>
      </w:r>
      <w:r>
        <w:rPr>
          <w:b/>
        </w:rPr>
        <w:instrText xml:space="preserve"> TOC \h \z \c "Figure" </w:instrText>
      </w:r>
      <w:r>
        <w:rPr>
          <w:b/>
        </w:rPr>
        <w:fldChar w:fldCharType="separate"/>
      </w:r>
      <w:hyperlink w:anchor="_Toc88053996" w:history="1">
        <w:r w:rsidR="00715568" w:rsidRPr="00E35AEE">
          <w:rPr>
            <w:rStyle w:val="Hyperlink"/>
            <w:noProof/>
          </w:rPr>
          <w:t xml:space="preserve">Figure 1. Map of field collection sites, genetic provenances, and geographic range of </w:t>
        </w:r>
        <w:r w:rsidR="00715568" w:rsidRPr="00E35AEE">
          <w:rPr>
            <w:rStyle w:val="Hyperlink"/>
            <w:i/>
            <w:iCs/>
            <w:noProof/>
          </w:rPr>
          <w:t>Populus angustifolia</w:t>
        </w:r>
        <w:r w:rsidR="00715568" w:rsidRPr="00E35AEE">
          <w:rPr>
            <w:rStyle w:val="Hyperlink"/>
            <w:noProof/>
          </w:rPr>
          <w:t xml:space="preserve"> (a) and field collection sites within the 17 </w:t>
        </w:r>
        <w:r w:rsidR="00715568" w:rsidRPr="001F6B3B">
          <w:rPr>
            <w:rStyle w:val="Hyperlink"/>
            <w:i/>
            <w:iCs/>
            <w:noProof/>
          </w:rPr>
          <w:t xml:space="preserve">Populus angustifolia </w:t>
        </w:r>
        <w:r w:rsidR="00715568" w:rsidRPr="00E35AEE">
          <w:rPr>
            <w:rStyle w:val="Hyperlink"/>
            <w:noProof/>
          </w:rPr>
          <w:t>populations plotted with Budyko Model Parameters (b).</w:t>
        </w:r>
        <w:r w:rsidR="00715568">
          <w:rPr>
            <w:noProof/>
            <w:webHidden/>
          </w:rPr>
          <w:tab/>
        </w:r>
        <w:r w:rsidR="00715568">
          <w:rPr>
            <w:noProof/>
            <w:webHidden/>
          </w:rPr>
          <w:fldChar w:fldCharType="begin"/>
        </w:r>
        <w:r w:rsidR="00715568">
          <w:rPr>
            <w:noProof/>
            <w:webHidden/>
          </w:rPr>
          <w:instrText xml:space="preserve"> PAGEREF _Toc88053996 \h </w:instrText>
        </w:r>
        <w:r w:rsidR="00715568">
          <w:rPr>
            <w:noProof/>
            <w:webHidden/>
          </w:rPr>
        </w:r>
        <w:r w:rsidR="00715568">
          <w:rPr>
            <w:noProof/>
            <w:webHidden/>
          </w:rPr>
          <w:fldChar w:fldCharType="separate"/>
        </w:r>
        <w:r w:rsidR="00C52BD7">
          <w:rPr>
            <w:noProof/>
            <w:webHidden/>
          </w:rPr>
          <w:t>39</w:t>
        </w:r>
        <w:r w:rsidR="00715568">
          <w:rPr>
            <w:noProof/>
            <w:webHidden/>
          </w:rPr>
          <w:fldChar w:fldCharType="end"/>
        </w:r>
      </w:hyperlink>
    </w:p>
    <w:p w14:paraId="601C8E76" w14:textId="09DE15C5" w:rsidR="00715568" w:rsidRDefault="002B166B">
      <w:pPr>
        <w:pStyle w:val="TableofFigures"/>
        <w:tabs>
          <w:tab w:val="right" w:leader="dot" w:pos="8630"/>
        </w:tabs>
        <w:rPr>
          <w:rFonts w:asciiTheme="minorHAnsi" w:eastAsiaTheme="minorEastAsia" w:hAnsiTheme="minorHAnsi" w:cstheme="minorBidi"/>
          <w:noProof/>
        </w:rPr>
      </w:pPr>
      <w:hyperlink w:anchor="_Toc88053997" w:history="1">
        <w:r w:rsidR="00715568" w:rsidRPr="00E35AEE">
          <w:rPr>
            <w:rStyle w:val="Hyperlink"/>
            <w:noProof/>
          </w:rPr>
          <w:t xml:space="preserve">Figure 2. Genetic provenances of </w:t>
        </w:r>
        <w:r w:rsidR="00715568" w:rsidRPr="00E35AEE">
          <w:rPr>
            <w:rStyle w:val="Hyperlink"/>
            <w:i/>
            <w:noProof/>
          </w:rPr>
          <w:t>Populus angustifolia</w:t>
        </w:r>
        <w:r w:rsidR="00715568" w:rsidRPr="00E35AEE">
          <w:rPr>
            <w:rStyle w:val="Hyperlink"/>
            <w:noProof/>
          </w:rPr>
          <w:t xml:space="preserve"> differ in traits relating to water-use and ecosystem function..</w:t>
        </w:r>
        <w:r w:rsidR="00715568">
          <w:rPr>
            <w:noProof/>
            <w:webHidden/>
          </w:rPr>
          <w:tab/>
        </w:r>
        <w:r w:rsidR="00715568">
          <w:rPr>
            <w:noProof/>
            <w:webHidden/>
          </w:rPr>
          <w:fldChar w:fldCharType="begin"/>
        </w:r>
        <w:r w:rsidR="00715568">
          <w:rPr>
            <w:noProof/>
            <w:webHidden/>
          </w:rPr>
          <w:instrText xml:space="preserve"> PAGEREF _Toc88053997 \h </w:instrText>
        </w:r>
        <w:r w:rsidR="00715568">
          <w:rPr>
            <w:noProof/>
            <w:webHidden/>
          </w:rPr>
        </w:r>
        <w:r w:rsidR="00715568">
          <w:rPr>
            <w:noProof/>
            <w:webHidden/>
          </w:rPr>
          <w:fldChar w:fldCharType="separate"/>
        </w:r>
        <w:r w:rsidR="00C52BD7">
          <w:rPr>
            <w:noProof/>
            <w:webHidden/>
          </w:rPr>
          <w:t>40</w:t>
        </w:r>
        <w:r w:rsidR="00715568">
          <w:rPr>
            <w:noProof/>
            <w:webHidden/>
          </w:rPr>
          <w:fldChar w:fldCharType="end"/>
        </w:r>
      </w:hyperlink>
    </w:p>
    <w:p w14:paraId="4292363C" w14:textId="448B0D12" w:rsidR="00715568" w:rsidRDefault="002B166B">
      <w:pPr>
        <w:pStyle w:val="TableofFigures"/>
        <w:tabs>
          <w:tab w:val="right" w:leader="dot" w:pos="8630"/>
        </w:tabs>
        <w:rPr>
          <w:rFonts w:asciiTheme="minorHAnsi" w:eastAsiaTheme="minorEastAsia" w:hAnsiTheme="minorHAnsi" w:cstheme="minorBidi"/>
          <w:noProof/>
        </w:rPr>
      </w:pPr>
      <w:hyperlink w:anchor="_Toc88053998" w:history="1">
        <w:r w:rsidR="00715568" w:rsidRPr="00E35AEE">
          <w:rPr>
            <w:rStyle w:val="Hyperlink"/>
            <w:noProof/>
          </w:rPr>
          <w:t>Figure 3. Water-regulatory traits related to hydrologic variables on the landscape.</w:t>
        </w:r>
        <w:r w:rsidR="00715568">
          <w:rPr>
            <w:noProof/>
            <w:webHidden/>
          </w:rPr>
          <w:tab/>
        </w:r>
        <w:r w:rsidR="00715568">
          <w:rPr>
            <w:noProof/>
            <w:webHidden/>
          </w:rPr>
          <w:fldChar w:fldCharType="begin"/>
        </w:r>
        <w:r w:rsidR="00715568">
          <w:rPr>
            <w:noProof/>
            <w:webHidden/>
          </w:rPr>
          <w:instrText xml:space="preserve"> PAGEREF _Toc88053998 \h </w:instrText>
        </w:r>
        <w:r w:rsidR="00715568">
          <w:rPr>
            <w:noProof/>
            <w:webHidden/>
          </w:rPr>
        </w:r>
        <w:r w:rsidR="00715568">
          <w:rPr>
            <w:noProof/>
            <w:webHidden/>
          </w:rPr>
          <w:fldChar w:fldCharType="separate"/>
        </w:r>
        <w:r w:rsidR="00C52BD7">
          <w:rPr>
            <w:noProof/>
            <w:webHidden/>
          </w:rPr>
          <w:t>41</w:t>
        </w:r>
        <w:r w:rsidR="00715568">
          <w:rPr>
            <w:noProof/>
            <w:webHidden/>
          </w:rPr>
          <w:fldChar w:fldCharType="end"/>
        </w:r>
      </w:hyperlink>
    </w:p>
    <w:p w14:paraId="7E376ED0" w14:textId="6E9936CD" w:rsidR="00715568" w:rsidRPr="000A2706" w:rsidRDefault="002B166B">
      <w:pPr>
        <w:pStyle w:val="TableofFigures"/>
        <w:tabs>
          <w:tab w:val="right" w:leader="dot" w:pos="8630"/>
        </w:tabs>
        <w:rPr>
          <w:rFonts w:asciiTheme="minorHAnsi" w:eastAsiaTheme="minorEastAsia" w:hAnsiTheme="minorHAnsi" w:cstheme="minorBidi"/>
          <w:noProof/>
        </w:rPr>
      </w:pPr>
      <w:hyperlink w:anchor="_Toc88053999" w:history="1">
        <w:r w:rsidR="00715568" w:rsidRPr="000A2706">
          <w:rPr>
            <w:rStyle w:val="Hyperlink"/>
            <w:noProof/>
          </w:rPr>
          <w:t>Figure 4. (a) Dual isotope plot comparing stable oxygen (</w:t>
        </w:r>
        <w:r w:rsidR="00715568" w:rsidRPr="000A2706">
          <w:rPr>
            <w:rStyle w:val="Hyperlink"/>
            <w:noProof/>
            <w:vertAlign w:val="superscript"/>
          </w:rPr>
          <w:t>18</w:t>
        </w:r>
        <w:r w:rsidR="00715568" w:rsidRPr="000A2706">
          <w:rPr>
            <w:rStyle w:val="Hyperlink"/>
            <w:noProof/>
          </w:rPr>
          <w:t>O/</w:t>
        </w:r>
        <w:r w:rsidR="00715568" w:rsidRPr="000A2706">
          <w:rPr>
            <w:rStyle w:val="Hyperlink"/>
            <w:noProof/>
            <w:vertAlign w:val="superscript"/>
          </w:rPr>
          <w:t>16</w:t>
        </w:r>
        <w:r w:rsidR="00715568" w:rsidRPr="000A2706">
          <w:rPr>
            <w:rStyle w:val="Hyperlink"/>
            <w:noProof/>
          </w:rPr>
          <w:t>O) and hydrogen (</w:t>
        </w:r>
        <w:r w:rsidR="00715568" w:rsidRPr="000A2706">
          <w:rPr>
            <w:rStyle w:val="Hyperlink"/>
            <w:noProof/>
            <w:vertAlign w:val="superscript"/>
          </w:rPr>
          <w:t>2</w:t>
        </w:r>
        <w:r w:rsidR="00715568" w:rsidRPr="000A2706">
          <w:rPr>
            <w:rStyle w:val="Hyperlink"/>
            <w:noProof/>
          </w:rPr>
          <w:t>H/</w:t>
        </w:r>
        <w:r w:rsidR="00715568" w:rsidRPr="000A2706">
          <w:rPr>
            <w:rStyle w:val="Hyperlink"/>
            <w:noProof/>
            <w:vertAlign w:val="superscript"/>
          </w:rPr>
          <w:t>1</w:t>
        </w:r>
        <w:r w:rsidR="00715568" w:rsidRPr="000A2706">
          <w:rPr>
            <w:rStyle w:val="Hyperlink"/>
            <w:noProof/>
          </w:rPr>
          <w:t>H) ratios (expressed per mille)..</w:t>
        </w:r>
        <w:r w:rsidR="00715568" w:rsidRPr="000A2706">
          <w:rPr>
            <w:noProof/>
            <w:webHidden/>
          </w:rPr>
          <w:tab/>
        </w:r>
        <w:r w:rsidR="00715568" w:rsidRPr="000A2706">
          <w:rPr>
            <w:noProof/>
            <w:webHidden/>
          </w:rPr>
          <w:fldChar w:fldCharType="begin"/>
        </w:r>
        <w:r w:rsidR="00715568" w:rsidRPr="000A2706">
          <w:rPr>
            <w:noProof/>
            <w:webHidden/>
          </w:rPr>
          <w:instrText xml:space="preserve"> PAGEREF _Toc88053999 \h </w:instrText>
        </w:r>
        <w:r w:rsidR="00715568" w:rsidRPr="000A2706">
          <w:rPr>
            <w:noProof/>
            <w:webHidden/>
          </w:rPr>
        </w:r>
        <w:r w:rsidR="00715568" w:rsidRPr="000A2706">
          <w:rPr>
            <w:noProof/>
            <w:webHidden/>
          </w:rPr>
          <w:fldChar w:fldCharType="separate"/>
        </w:r>
        <w:r w:rsidR="00C52BD7">
          <w:rPr>
            <w:noProof/>
            <w:webHidden/>
          </w:rPr>
          <w:t>42</w:t>
        </w:r>
        <w:r w:rsidR="00715568" w:rsidRPr="000A2706">
          <w:rPr>
            <w:noProof/>
            <w:webHidden/>
          </w:rPr>
          <w:fldChar w:fldCharType="end"/>
        </w:r>
      </w:hyperlink>
    </w:p>
    <w:p w14:paraId="2FA32BA8" w14:textId="493F0520" w:rsidR="00715568" w:rsidRPr="000A2706" w:rsidRDefault="00715568">
      <w:pPr>
        <w:pStyle w:val="TableofFigures"/>
        <w:tabs>
          <w:tab w:val="right" w:leader="dot" w:pos="8630"/>
        </w:tabs>
        <w:rPr>
          <w:rFonts w:asciiTheme="minorHAnsi" w:eastAsiaTheme="minorEastAsia" w:hAnsiTheme="minorHAnsi" w:cstheme="minorBidi"/>
          <w:noProof/>
        </w:rPr>
      </w:pPr>
      <w:hyperlink w:anchor="_Toc88054000" w:history="1">
        <w:r w:rsidRPr="000A2706">
          <w:rPr>
            <w:rStyle w:val="Hyperlink"/>
            <w:noProof/>
          </w:rPr>
          <w:t>Figure 5. Landscape-Vegetation-Atmospheric Feedback..</w:t>
        </w:r>
        <w:r w:rsidRPr="000A2706">
          <w:rPr>
            <w:noProof/>
            <w:webHidden/>
          </w:rPr>
          <w:tab/>
        </w:r>
        <w:r w:rsidRPr="000A2706">
          <w:rPr>
            <w:noProof/>
            <w:webHidden/>
          </w:rPr>
          <w:fldChar w:fldCharType="begin"/>
        </w:r>
        <w:r w:rsidRPr="000A2706">
          <w:rPr>
            <w:noProof/>
            <w:webHidden/>
          </w:rPr>
          <w:instrText xml:space="preserve"> PAGEREF _Toc88054000 \h </w:instrText>
        </w:r>
        <w:r w:rsidRPr="000A2706">
          <w:rPr>
            <w:noProof/>
            <w:webHidden/>
          </w:rPr>
        </w:r>
        <w:r w:rsidRPr="000A2706">
          <w:rPr>
            <w:noProof/>
            <w:webHidden/>
          </w:rPr>
          <w:fldChar w:fldCharType="separate"/>
        </w:r>
        <w:r w:rsidR="00C52BD7">
          <w:rPr>
            <w:noProof/>
            <w:webHidden/>
          </w:rPr>
          <w:t>43</w:t>
        </w:r>
        <w:r w:rsidRPr="000A2706">
          <w:rPr>
            <w:noProof/>
            <w:webHidden/>
          </w:rPr>
          <w:fldChar w:fldCharType="end"/>
        </w:r>
      </w:hyperlink>
    </w:p>
    <w:p w14:paraId="21CE9CE2" w14:textId="78B6C615" w:rsidR="00715568" w:rsidRDefault="002B166B">
      <w:pPr>
        <w:pStyle w:val="TableofFigures"/>
        <w:tabs>
          <w:tab w:val="right" w:leader="dot" w:pos="8630"/>
        </w:tabs>
        <w:rPr>
          <w:rFonts w:asciiTheme="minorHAnsi" w:eastAsiaTheme="minorEastAsia" w:hAnsiTheme="minorHAnsi" w:cstheme="minorBidi"/>
          <w:noProof/>
        </w:rPr>
      </w:pPr>
      <w:hyperlink w:anchor="_Toc88054001" w:history="1">
        <w:r w:rsidR="00715568" w:rsidRPr="00E35AEE">
          <w:rPr>
            <w:rStyle w:val="Hyperlink"/>
            <w:noProof/>
          </w:rPr>
          <w:t>Figure 6. Geographic training extents, occurrence points, environmental variables, and model performance.</w:t>
        </w:r>
        <w:r w:rsidR="00715568">
          <w:rPr>
            <w:noProof/>
            <w:webHidden/>
          </w:rPr>
          <w:tab/>
        </w:r>
        <w:r w:rsidR="00715568">
          <w:rPr>
            <w:noProof/>
            <w:webHidden/>
          </w:rPr>
          <w:fldChar w:fldCharType="begin"/>
        </w:r>
        <w:r w:rsidR="00715568">
          <w:rPr>
            <w:noProof/>
            <w:webHidden/>
          </w:rPr>
          <w:instrText xml:space="preserve"> PAGEREF _Toc88054001 \h </w:instrText>
        </w:r>
        <w:r w:rsidR="00715568">
          <w:rPr>
            <w:noProof/>
            <w:webHidden/>
          </w:rPr>
        </w:r>
        <w:r w:rsidR="00715568">
          <w:rPr>
            <w:noProof/>
            <w:webHidden/>
          </w:rPr>
          <w:fldChar w:fldCharType="separate"/>
        </w:r>
        <w:r w:rsidR="00C52BD7">
          <w:rPr>
            <w:noProof/>
            <w:webHidden/>
          </w:rPr>
          <w:t>66</w:t>
        </w:r>
        <w:r w:rsidR="00715568">
          <w:rPr>
            <w:noProof/>
            <w:webHidden/>
          </w:rPr>
          <w:fldChar w:fldCharType="end"/>
        </w:r>
      </w:hyperlink>
    </w:p>
    <w:p w14:paraId="0E653D35" w14:textId="7B9090B6" w:rsidR="00715568" w:rsidRDefault="002B166B">
      <w:pPr>
        <w:pStyle w:val="TableofFigures"/>
        <w:tabs>
          <w:tab w:val="right" w:leader="dot" w:pos="8630"/>
        </w:tabs>
        <w:rPr>
          <w:rFonts w:asciiTheme="minorHAnsi" w:eastAsiaTheme="minorEastAsia" w:hAnsiTheme="minorHAnsi" w:cstheme="minorBidi"/>
          <w:noProof/>
        </w:rPr>
      </w:pPr>
      <w:hyperlink w:anchor="_Toc88054002" w:history="1">
        <w:r w:rsidR="00715568" w:rsidRPr="00E35AEE">
          <w:rPr>
            <w:rStyle w:val="Hyperlink"/>
            <w:noProof/>
          </w:rPr>
          <w:t>Figure 7. Comparison of species range-wide model to provenance models (P1, P2, P3) across two methods of variable selection (range-wide and within-provenance selection; closed and open symbols, respectively).</w:t>
        </w:r>
        <w:r w:rsidR="00715568">
          <w:rPr>
            <w:noProof/>
            <w:webHidden/>
          </w:rPr>
          <w:tab/>
        </w:r>
        <w:r w:rsidR="00715568">
          <w:rPr>
            <w:noProof/>
            <w:webHidden/>
          </w:rPr>
          <w:fldChar w:fldCharType="begin"/>
        </w:r>
        <w:r w:rsidR="00715568">
          <w:rPr>
            <w:noProof/>
            <w:webHidden/>
          </w:rPr>
          <w:instrText xml:space="preserve"> PAGEREF _Toc88054002 \h </w:instrText>
        </w:r>
        <w:r w:rsidR="00715568">
          <w:rPr>
            <w:noProof/>
            <w:webHidden/>
          </w:rPr>
        </w:r>
        <w:r w:rsidR="00715568">
          <w:rPr>
            <w:noProof/>
            <w:webHidden/>
          </w:rPr>
          <w:fldChar w:fldCharType="separate"/>
        </w:r>
        <w:r w:rsidR="00C52BD7">
          <w:rPr>
            <w:noProof/>
            <w:webHidden/>
          </w:rPr>
          <w:t>67</w:t>
        </w:r>
        <w:r w:rsidR="00715568">
          <w:rPr>
            <w:noProof/>
            <w:webHidden/>
          </w:rPr>
          <w:fldChar w:fldCharType="end"/>
        </w:r>
      </w:hyperlink>
    </w:p>
    <w:p w14:paraId="5CE9C915" w14:textId="13A1947C" w:rsidR="00715568" w:rsidRDefault="002B166B">
      <w:pPr>
        <w:pStyle w:val="TableofFigures"/>
        <w:tabs>
          <w:tab w:val="right" w:leader="dot" w:pos="8630"/>
        </w:tabs>
        <w:rPr>
          <w:rFonts w:asciiTheme="minorHAnsi" w:eastAsiaTheme="minorEastAsia" w:hAnsiTheme="minorHAnsi" w:cstheme="minorBidi"/>
          <w:noProof/>
        </w:rPr>
      </w:pPr>
      <w:hyperlink w:anchor="_Toc88054003" w:history="1">
        <w:r w:rsidR="00715568" w:rsidRPr="00E35AEE">
          <w:rPr>
            <w:rStyle w:val="Hyperlink"/>
            <w:noProof/>
          </w:rPr>
          <w:t>Figure 8. Provenance SDMs generate different predictions of suitable distribution across species’ range.</w:t>
        </w:r>
        <w:r w:rsidR="00715568">
          <w:rPr>
            <w:noProof/>
            <w:webHidden/>
          </w:rPr>
          <w:tab/>
        </w:r>
        <w:r w:rsidR="00715568">
          <w:rPr>
            <w:noProof/>
            <w:webHidden/>
          </w:rPr>
          <w:fldChar w:fldCharType="begin"/>
        </w:r>
        <w:r w:rsidR="00715568">
          <w:rPr>
            <w:noProof/>
            <w:webHidden/>
          </w:rPr>
          <w:instrText xml:space="preserve"> PAGEREF _Toc88054003 \h </w:instrText>
        </w:r>
        <w:r w:rsidR="00715568">
          <w:rPr>
            <w:noProof/>
            <w:webHidden/>
          </w:rPr>
        </w:r>
        <w:r w:rsidR="00715568">
          <w:rPr>
            <w:noProof/>
            <w:webHidden/>
          </w:rPr>
          <w:fldChar w:fldCharType="separate"/>
        </w:r>
        <w:r w:rsidR="00C52BD7">
          <w:rPr>
            <w:noProof/>
            <w:webHidden/>
          </w:rPr>
          <w:t>68</w:t>
        </w:r>
        <w:r w:rsidR="00715568">
          <w:rPr>
            <w:noProof/>
            <w:webHidden/>
          </w:rPr>
          <w:fldChar w:fldCharType="end"/>
        </w:r>
      </w:hyperlink>
    </w:p>
    <w:p w14:paraId="0FD418A0" w14:textId="1714A74D" w:rsidR="00715568" w:rsidRPr="000A2706" w:rsidRDefault="002B166B">
      <w:pPr>
        <w:pStyle w:val="TableofFigures"/>
        <w:tabs>
          <w:tab w:val="right" w:leader="dot" w:pos="8630"/>
        </w:tabs>
        <w:rPr>
          <w:rFonts w:asciiTheme="minorHAnsi" w:eastAsiaTheme="minorEastAsia" w:hAnsiTheme="minorHAnsi" w:cstheme="minorBidi"/>
          <w:noProof/>
        </w:rPr>
      </w:pPr>
      <w:hyperlink w:anchor="_Toc88054004" w:history="1">
        <w:r w:rsidR="00715568" w:rsidRPr="000A2706">
          <w:rPr>
            <w:rStyle w:val="Hyperlink"/>
            <w:noProof/>
          </w:rPr>
          <w:t>Figure 9. Maps of (a) bud break decile 1, (b) bud break decile 10, and (c) stacked deciles 1 through 10 as binary (presence-absence) predictions on current climate; and (d) Percent of the landscape predicted to lose trait variation across three genetic provenances, two future time periods (2055, 2085), and two relative concentration pathways (RCP 4.5 and RCP 8.5)</w:t>
        </w:r>
        <w:r w:rsidR="00715568" w:rsidRPr="000A2706">
          <w:rPr>
            <w:noProof/>
            <w:webHidden/>
          </w:rPr>
          <w:tab/>
        </w:r>
        <w:r w:rsidR="00715568" w:rsidRPr="000A2706">
          <w:rPr>
            <w:noProof/>
            <w:webHidden/>
          </w:rPr>
          <w:fldChar w:fldCharType="begin"/>
        </w:r>
        <w:r w:rsidR="00715568" w:rsidRPr="000A2706">
          <w:rPr>
            <w:noProof/>
            <w:webHidden/>
          </w:rPr>
          <w:instrText xml:space="preserve"> PAGEREF _Toc88054004 \h </w:instrText>
        </w:r>
        <w:r w:rsidR="00715568" w:rsidRPr="000A2706">
          <w:rPr>
            <w:noProof/>
            <w:webHidden/>
          </w:rPr>
        </w:r>
        <w:r w:rsidR="00715568" w:rsidRPr="000A2706">
          <w:rPr>
            <w:noProof/>
            <w:webHidden/>
          </w:rPr>
          <w:fldChar w:fldCharType="separate"/>
        </w:r>
        <w:r w:rsidR="00C52BD7">
          <w:rPr>
            <w:noProof/>
            <w:webHidden/>
          </w:rPr>
          <w:t>91</w:t>
        </w:r>
        <w:r w:rsidR="00715568" w:rsidRPr="000A2706">
          <w:rPr>
            <w:noProof/>
            <w:webHidden/>
          </w:rPr>
          <w:fldChar w:fldCharType="end"/>
        </w:r>
      </w:hyperlink>
    </w:p>
    <w:p w14:paraId="56C17E7A" w14:textId="248DFD24" w:rsidR="00715568" w:rsidRPr="000A2706" w:rsidRDefault="002B166B">
      <w:pPr>
        <w:pStyle w:val="TableofFigures"/>
        <w:tabs>
          <w:tab w:val="right" w:leader="dot" w:pos="8630"/>
        </w:tabs>
        <w:rPr>
          <w:rFonts w:asciiTheme="minorHAnsi" w:eastAsiaTheme="minorEastAsia" w:hAnsiTheme="minorHAnsi" w:cstheme="minorBidi"/>
          <w:noProof/>
        </w:rPr>
      </w:pPr>
      <w:hyperlink w:anchor="_Toc88054005" w:history="1">
        <w:r w:rsidR="00715568" w:rsidRPr="000A2706">
          <w:rPr>
            <w:rStyle w:val="Hyperlink"/>
            <w:noProof/>
          </w:rPr>
          <w:t>Figure 10. Predicted changes in phenological trait variation (decile richness) on the landscape (area) across the species range, three genetic provenances, two future time periods (2055 and 2085), and two relative concentration pathways (</w:t>
        </w:r>
        <w:r w:rsidR="00A00A8B">
          <w:rPr>
            <w:rStyle w:val="Hyperlink"/>
            <w:noProof/>
          </w:rPr>
          <w:t>RCP</w:t>
        </w:r>
        <w:r w:rsidR="00715568" w:rsidRPr="000A2706">
          <w:rPr>
            <w:rStyle w:val="Hyperlink"/>
            <w:noProof/>
          </w:rPr>
          <w:t xml:space="preserve"> 4.5 and 8.5).</w:t>
        </w:r>
        <w:r w:rsidR="00715568" w:rsidRPr="000A2706">
          <w:rPr>
            <w:noProof/>
            <w:webHidden/>
          </w:rPr>
          <w:tab/>
        </w:r>
        <w:r w:rsidR="00715568" w:rsidRPr="000A2706">
          <w:rPr>
            <w:noProof/>
            <w:webHidden/>
          </w:rPr>
          <w:fldChar w:fldCharType="begin"/>
        </w:r>
        <w:r w:rsidR="00715568" w:rsidRPr="000A2706">
          <w:rPr>
            <w:noProof/>
            <w:webHidden/>
          </w:rPr>
          <w:instrText xml:space="preserve"> PAGEREF _Toc88054005 \h </w:instrText>
        </w:r>
        <w:r w:rsidR="00715568" w:rsidRPr="000A2706">
          <w:rPr>
            <w:noProof/>
            <w:webHidden/>
          </w:rPr>
        </w:r>
        <w:r w:rsidR="00715568" w:rsidRPr="000A2706">
          <w:rPr>
            <w:noProof/>
            <w:webHidden/>
          </w:rPr>
          <w:fldChar w:fldCharType="separate"/>
        </w:r>
        <w:r w:rsidR="00C52BD7">
          <w:rPr>
            <w:noProof/>
            <w:webHidden/>
          </w:rPr>
          <w:t>92</w:t>
        </w:r>
        <w:r w:rsidR="00715568" w:rsidRPr="000A2706">
          <w:rPr>
            <w:noProof/>
            <w:webHidden/>
          </w:rPr>
          <w:fldChar w:fldCharType="end"/>
        </w:r>
      </w:hyperlink>
    </w:p>
    <w:p w14:paraId="581DEBAE" w14:textId="052BA13F" w:rsidR="00715568" w:rsidRPr="0097746A" w:rsidRDefault="002B166B">
      <w:pPr>
        <w:pStyle w:val="TableofFigures"/>
        <w:tabs>
          <w:tab w:val="right" w:leader="dot" w:pos="8630"/>
        </w:tabs>
        <w:rPr>
          <w:rFonts w:asciiTheme="minorHAnsi" w:eastAsiaTheme="minorEastAsia" w:hAnsiTheme="minorHAnsi" w:cstheme="minorBidi"/>
          <w:noProof/>
        </w:rPr>
      </w:pPr>
      <w:hyperlink w:anchor="_Toc88054006" w:history="1">
        <w:r w:rsidR="00715568" w:rsidRPr="0097746A">
          <w:rPr>
            <w:rStyle w:val="Hyperlink"/>
            <w:noProof/>
          </w:rPr>
          <w:t>Figure 11. Changes in similarity for phenological trait distributions across time and relative concentration pathways as predicted by three Atmosphere and Ocean General Circulation/Climate models (AOGCMs)..</w:t>
        </w:r>
        <w:r w:rsidR="00715568" w:rsidRPr="0097746A">
          <w:rPr>
            <w:noProof/>
            <w:webHidden/>
          </w:rPr>
          <w:tab/>
        </w:r>
        <w:r w:rsidR="00715568" w:rsidRPr="0097746A">
          <w:rPr>
            <w:noProof/>
            <w:webHidden/>
          </w:rPr>
          <w:fldChar w:fldCharType="begin"/>
        </w:r>
        <w:r w:rsidR="00715568" w:rsidRPr="0097746A">
          <w:rPr>
            <w:noProof/>
            <w:webHidden/>
          </w:rPr>
          <w:instrText xml:space="preserve"> PAGEREF _Toc88054006 \h </w:instrText>
        </w:r>
        <w:r w:rsidR="00715568" w:rsidRPr="0097746A">
          <w:rPr>
            <w:noProof/>
            <w:webHidden/>
          </w:rPr>
        </w:r>
        <w:r w:rsidR="00715568" w:rsidRPr="0097746A">
          <w:rPr>
            <w:noProof/>
            <w:webHidden/>
          </w:rPr>
          <w:fldChar w:fldCharType="separate"/>
        </w:r>
        <w:r w:rsidR="00C52BD7">
          <w:rPr>
            <w:noProof/>
            <w:webHidden/>
          </w:rPr>
          <w:t>93</w:t>
        </w:r>
        <w:r w:rsidR="00715568" w:rsidRPr="0097746A">
          <w:rPr>
            <w:noProof/>
            <w:webHidden/>
          </w:rPr>
          <w:fldChar w:fldCharType="end"/>
        </w:r>
      </w:hyperlink>
    </w:p>
    <w:p w14:paraId="0EE7587E" w14:textId="7D9F018A" w:rsidR="00715568" w:rsidRPr="0097746A" w:rsidRDefault="002B166B">
      <w:pPr>
        <w:pStyle w:val="TableofFigures"/>
        <w:tabs>
          <w:tab w:val="right" w:leader="dot" w:pos="8630"/>
        </w:tabs>
        <w:rPr>
          <w:rFonts w:asciiTheme="minorHAnsi" w:eastAsiaTheme="minorEastAsia" w:hAnsiTheme="minorHAnsi" w:cstheme="minorBidi"/>
          <w:noProof/>
        </w:rPr>
      </w:pPr>
      <w:hyperlink w:anchor="_Toc88054007" w:history="1">
        <w:r w:rsidR="00715568" w:rsidRPr="0097746A">
          <w:rPr>
            <w:rStyle w:val="Hyperlink"/>
            <w:noProof/>
          </w:rPr>
          <w:t>Figure 12. Average projected change in frequency of the earliest 10% (decile one) and latest 10% (decile 10) of bud breakers relative to the total landscape with at least a richness value of 1 (i.e., excluding unsuitable area) across genetic provenances.</w:t>
        </w:r>
        <w:r w:rsidR="00715568" w:rsidRPr="0097746A">
          <w:rPr>
            <w:noProof/>
            <w:webHidden/>
          </w:rPr>
          <w:tab/>
        </w:r>
        <w:r w:rsidR="00715568" w:rsidRPr="0097746A">
          <w:rPr>
            <w:noProof/>
            <w:webHidden/>
          </w:rPr>
          <w:fldChar w:fldCharType="begin"/>
        </w:r>
        <w:r w:rsidR="00715568" w:rsidRPr="0097746A">
          <w:rPr>
            <w:noProof/>
            <w:webHidden/>
          </w:rPr>
          <w:instrText xml:space="preserve"> PAGEREF _Toc88054007 \h </w:instrText>
        </w:r>
        <w:r w:rsidR="00715568" w:rsidRPr="0097746A">
          <w:rPr>
            <w:noProof/>
            <w:webHidden/>
          </w:rPr>
        </w:r>
        <w:r w:rsidR="00715568" w:rsidRPr="0097746A">
          <w:rPr>
            <w:noProof/>
            <w:webHidden/>
          </w:rPr>
          <w:fldChar w:fldCharType="separate"/>
        </w:r>
        <w:r w:rsidR="00C52BD7">
          <w:rPr>
            <w:noProof/>
            <w:webHidden/>
          </w:rPr>
          <w:t>94</w:t>
        </w:r>
        <w:r w:rsidR="00715568" w:rsidRPr="0097746A">
          <w:rPr>
            <w:noProof/>
            <w:webHidden/>
          </w:rPr>
          <w:fldChar w:fldCharType="end"/>
        </w:r>
      </w:hyperlink>
    </w:p>
    <w:p w14:paraId="5C3A8AED" w14:textId="21C6A45F" w:rsidR="00715568" w:rsidRDefault="002B166B">
      <w:pPr>
        <w:pStyle w:val="TableofFigures"/>
        <w:tabs>
          <w:tab w:val="right" w:leader="dot" w:pos="8630"/>
        </w:tabs>
        <w:rPr>
          <w:rFonts w:asciiTheme="minorHAnsi" w:eastAsiaTheme="minorEastAsia" w:hAnsiTheme="minorHAnsi" w:cstheme="minorBidi"/>
          <w:noProof/>
        </w:rPr>
      </w:pPr>
      <w:hyperlink w:anchor="_Toc88054008" w:history="1">
        <w:r w:rsidR="00715568" w:rsidRPr="00E35AEE">
          <w:rPr>
            <w:rStyle w:val="Hyperlink"/>
            <w:noProof/>
          </w:rPr>
          <w:t>Figure 13. A comprehensive representation of all 17 populations from which biomass was calculated (a), and field sites within six populations used for stomatal measurements (b) represented on the Budyko Theoretical Model.</w:t>
        </w:r>
        <w:r w:rsidR="00715568">
          <w:rPr>
            <w:noProof/>
            <w:webHidden/>
          </w:rPr>
          <w:tab/>
        </w:r>
        <w:r w:rsidR="00715568">
          <w:rPr>
            <w:noProof/>
            <w:webHidden/>
          </w:rPr>
          <w:fldChar w:fldCharType="begin"/>
        </w:r>
        <w:r w:rsidR="00715568">
          <w:rPr>
            <w:noProof/>
            <w:webHidden/>
          </w:rPr>
          <w:instrText xml:space="preserve"> PAGEREF _Toc88054008 \h </w:instrText>
        </w:r>
        <w:r w:rsidR="00715568">
          <w:rPr>
            <w:noProof/>
            <w:webHidden/>
          </w:rPr>
        </w:r>
        <w:r w:rsidR="00715568">
          <w:rPr>
            <w:noProof/>
            <w:webHidden/>
          </w:rPr>
          <w:fldChar w:fldCharType="separate"/>
        </w:r>
        <w:r w:rsidR="00C52BD7">
          <w:rPr>
            <w:noProof/>
            <w:webHidden/>
          </w:rPr>
          <w:t>99</w:t>
        </w:r>
        <w:r w:rsidR="00715568">
          <w:rPr>
            <w:noProof/>
            <w:webHidden/>
          </w:rPr>
          <w:fldChar w:fldCharType="end"/>
        </w:r>
      </w:hyperlink>
    </w:p>
    <w:p w14:paraId="4CF085EE" w14:textId="5B48AAAE" w:rsidR="00715568" w:rsidRDefault="002B166B">
      <w:pPr>
        <w:pStyle w:val="TableofFigures"/>
        <w:tabs>
          <w:tab w:val="right" w:leader="dot" w:pos="8630"/>
        </w:tabs>
        <w:rPr>
          <w:rFonts w:asciiTheme="minorHAnsi" w:eastAsiaTheme="minorEastAsia" w:hAnsiTheme="minorHAnsi" w:cstheme="minorBidi"/>
          <w:noProof/>
        </w:rPr>
      </w:pPr>
      <w:hyperlink w:anchor="_Toc88054009" w:history="1">
        <w:r w:rsidR="00715568" w:rsidRPr="00E35AEE">
          <w:rPr>
            <w:rStyle w:val="Hyperlink"/>
            <w:noProof/>
          </w:rPr>
          <w:t xml:space="preserve">Figure 14. The slope of the regression line between oxygen and hydrogen isotope compositions of stem water differ among genetic provenances of </w:t>
        </w:r>
        <w:r w:rsidR="00715568" w:rsidRPr="0097746A">
          <w:rPr>
            <w:rStyle w:val="Hyperlink"/>
            <w:i/>
            <w:iCs/>
            <w:noProof/>
          </w:rPr>
          <w:t>P. angustifolia.</w:t>
        </w:r>
        <w:r w:rsidR="00715568">
          <w:rPr>
            <w:noProof/>
            <w:webHidden/>
          </w:rPr>
          <w:tab/>
        </w:r>
        <w:r w:rsidR="00715568">
          <w:rPr>
            <w:noProof/>
            <w:webHidden/>
          </w:rPr>
          <w:fldChar w:fldCharType="begin"/>
        </w:r>
        <w:r w:rsidR="00715568">
          <w:rPr>
            <w:noProof/>
            <w:webHidden/>
          </w:rPr>
          <w:instrText xml:space="preserve"> PAGEREF _Toc88054009 \h </w:instrText>
        </w:r>
        <w:r w:rsidR="00715568">
          <w:rPr>
            <w:noProof/>
            <w:webHidden/>
          </w:rPr>
        </w:r>
        <w:r w:rsidR="00715568">
          <w:rPr>
            <w:noProof/>
            <w:webHidden/>
          </w:rPr>
          <w:fldChar w:fldCharType="separate"/>
        </w:r>
        <w:r w:rsidR="00C52BD7">
          <w:rPr>
            <w:noProof/>
            <w:webHidden/>
          </w:rPr>
          <w:t>100</w:t>
        </w:r>
        <w:r w:rsidR="00715568">
          <w:rPr>
            <w:noProof/>
            <w:webHidden/>
          </w:rPr>
          <w:fldChar w:fldCharType="end"/>
        </w:r>
      </w:hyperlink>
    </w:p>
    <w:p w14:paraId="424EE183" w14:textId="79F09BB5" w:rsidR="00715568" w:rsidRPr="0097746A" w:rsidRDefault="002B166B">
      <w:pPr>
        <w:pStyle w:val="TableofFigures"/>
        <w:tabs>
          <w:tab w:val="right" w:leader="dot" w:pos="8630"/>
        </w:tabs>
        <w:rPr>
          <w:rFonts w:asciiTheme="minorHAnsi" w:eastAsiaTheme="minorEastAsia" w:hAnsiTheme="minorHAnsi" w:cstheme="minorBidi"/>
          <w:noProof/>
        </w:rPr>
      </w:pPr>
      <w:hyperlink w:anchor="_Toc88054010" w:history="1">
        <w:r w:rsidR="00715568" w:rsidRPr="0097746A">
          <w:rPr>
            <w:rStyle w:val="Hyperlink"/>
            <w:noProof/>
          </w:rPr>
          <w:t>Figure 15. Standardized slopes (b’) compared between greenhouse biomass measurements and (a) mean annual dryness index, and (b) mean annual temperature.</w:t>
        </w:r>
        <w:r w:rsidR="00715568" w:rsidRPr="0097746A">
          <w:rPr>
            <w:noProof/>
            <w:webHidden/>
          </w:rPr>
          <w:tab/>
        </w:r>
        <w:r w:rsidR="00715568" w:rsidRPr="0097746A">
          <w:rPr>
            <w:noProof/>
            <w:webHidden/>
          </w:rPr>
          <w:fldChar w:fldCharType="begin"/>
        </w:r>
        <w:r w:rsidR="00715568" w:rsidRPr="0097746A">
          <w:rPr>
            <w:noProof/>
            <w:webHidden/>
          </w:rPr>
          <w:instrText xml:space="preserve"> PAGEREF _Toc88054010 \h </w:instrText>
        </w:r>
        <w:r w:rsidR="00715568" w:rsidRPr="0097746A">
          <w:rPr>
            <w:noProof/>
            <w:webHidden/>
          </w:rPr>
        </w:r>
        <w:r w:rsidR="00715568" w:rsidRPr="0097746A">
          <w:rPr>
            <w:noProof/>
            <w:webHidden/>
          </w:rPr>
          <w:fldChar w:fldCharType="separate"/>
        </w:r>
        <w:r w:rsidR="00C52BD7">
          <w:rPr>
            <w:noProof/>
            <w:webHidden/>
          </w:rPr>
          <w:t>101</w:t>
        </w:r>
        <w:r w:rsidR="00715568" w:rsidRPr="0097746A">
          <w:rPr>
            <w:noProof/>
            <w:webHidden/>
          </w:rPr>
          <w:fldChar w:fldCharType="end"/>
        </w:r>
      </w:hyperlink>
    </w:p>
    <w:p w14:paraId="672E4790" w14:textId="3214BE50" w:rsidR="00715568" w:rsidRPr="0097746A" w:rsidRDefault="002B166B">
      <w:pPr>
        <w:pStyle w:val="TableofFigures"/>
        <w:tabs>
          <w:tab w:val="right" w:leader="dot" w:pos="8630"/>
        </w:tabs>
        <w:rPr>
          <w:rFonts w:asciiTheme="minorHAnsi" w:eastAsiaTheme="minorEastAsia" w:hAnsiTheme="minorHAnsi" w:cstheme="minorBidi"/>
          <w:noProof/>
        </w:rPr>
      </w:pPr>
      <w:hyperlink w:anchor="_Toc88054011" w:history="1">
        <w:r w:rsidR="00715568" w:rsidRPr="0097746A">
          <w:rPr>
            <w:rStyle w:val="Hyperlink"/>
            <w:noProof/>
          </w:rPr>
          <w:t>Figure 16. Test area under the curve of the receiver-operating characteristic values (AUC) +/- standard error for models</w:t>
        </w:r>
        <w:r w:rsidR="00715568" w:rsidRPr="0097746A">
          <w:rPr>
            <w:noProof/>
            <w:webHidden/>
          </w:rPr>
          <w:tab/>
        </w:r>
        <w:r w:rsidR="00715568" w:rsidRPr="0097746A">
          <w:rPr>
            <w:noProof/>
            <w:webHidden/>
          </w:rPr>
          <w:fldChar w:fldCharType="begin"/>
        </w:r>
        <w:r w:rsidR="00715568" w:rsidRPr="0097746A">
          <w:rPr>
            <w:noProof/>
            <w:webHidden/>
          </w:rPr>
          <w:instrText xml:space="preserve"> PAGEREF _Toc88054011 \h </w:instrText>
        </w:r>
        <w:r w:rsidR="00715568" w:rsidRPr="0097746A">
          <w:rPr>
            <w:noProof/>
            <w:webHidden/>
          </w:rPr>
        </w:r>
        <w:r w:rsidR="00715568" w:rsidRPr="0097746A">
          <w:rPr>
            <w:noProof/>
            <w:webHidden/>
          </w:rPr>
          <w:fldChar w:fldCharType="separate"/>
        </w:r>
        <w:r w:rsidR="00C52BD7">
          <w:rPr>
            <w:noProof/>
            <w:webHidden/>
          </w:rPr>
          <w:t>102</w:t>
        </w:r>
        <w:r w:rsidR="00715568" w:rsidRPr="0097746A">
          <w:rPr>
            <w:noProof/>
            <w:webHidden/>
          </w:rPr>
          <w:fldChar w:fldCharType="end"/>
        </w:r>
      </w:hyperlink>
    </w:p>
    <w:p w14:paraId="757C4B82" w14:textId="1DC3025C" w:rsidR="00715568" w:rsidRPr="0097746A" w:rsidRDefault="002B166B">
      <w:pPr>
        <w:pStyle w:val="TableofFigures"/>
        <w:tabs>
          <w:tab w:val="right" w:leader="dot" w:pos="8630"/>
        </w:tabs>
        <w:rPr>
          <w:rFonts w:asciiTheme="minorHAnsi" w:eastAsiaTheme="minorEastAsia" w:hAnsiTheme="minorHAnsi" w:cstheme="minorBidi"/>
          <w:noProof/>
        </w:rPr>
      </w:pPr>
      <w:hyperlink w:anchor="_Toc88054012" w:history="1">
        <w:r w:rsidR="00715568" w:rsidRPr="0097746A">
          <w:rPr>
            <w:rStyle w:val="Hyperlink"/>
            <w:noProof/>
          </w:rPr>
          <w:t>Figure 17. Test percent contribution of environmental variables to different SDMs.</w:t>
        </w:r>
        <w:r w:rsidR="00715568" w:rsidRPr="0097746A">
          <w:rPr>
            <w:noProof/>
            <w:webHidden/>
          </w:rPr>
          <w:tab/>
        </w:r>
        <w:r w:rsidR="00715568" w:rsidRPr="0097746A">
          <w:rPr>
            <w:noProof/>
            <w:webHidden/>
          </w:rPr>
          <w:fldChar w:fldCharType="begin"/>
        </w:r>
        <w:r w:rsidR="00715568" w:rsidRPr="0097746A">
          <w:rPr>
            <w:noProof/>
            <w:webHidden/>
          </w:rPr>
          <w:instrText xml:space="preserve"> PAGEREF _Toc88054012 \h </w:instrText>
        </w:r>
        <w:r w:rsidR="00715568" w:rsidRPr="0097746A">
          <w:rPr>
            <w:noProof/>
            <w:webHidden/>
          </w:rPr>
        </w:r>
        <w:r w:rsidR="00715568" w:rsidRPr="0097746A">
          <w:rPr>
            <w:noProof/>
            <w:webHidden/>
          </w:rPr>
          <w:fldChar w:fldCharType="separate"/>
        </w:r>
        <w:r w:rsidR="00C52BD7">
          <w:rPr>
            <w:noProof/>
            <w:webHidden/>
          </w:rPr>
          <w:t>103</w:t>
        </w:r>
        <w:r w:rsidR="00715568" w:rsidRPr="0097746A">
          <w:rPr>
            <w:noProof/>
            <w:webHidden/>
          </w:rPr>
          <w:fldChar w:fldCharType="end"/>
        </w:r>
      </w:hyperlink>
    </w:p>
    <w:p w14:paraId="3C699F28" w14:textId="0AD54E57" w:rsidR="00715568" w:rsidRPr="0097746A" w:rsidRDefault="002B166B">
      <w:pPr>
        <w:pStyle w:val="TableofFigures"/>
        <w:tabs>
          <w:tab w:val="right" w:leader="dot" w:pos="8630"/>
        </w:tabs>
        <w:rPr>
          <w:rFonts w:asciiTheme="minorHAnsi" w:eastAsiaTheme="minorEastAsia" w:hAnsiTheme="minorHAnsi" w:cstheme="minorBidi"/>
          <w:noProof/>
        </w:rPr>
      </w:pPr>
      <w:hyperlink w:anchor="_Toc88054013" w:history="1">
        <w:r w:rsidR="00715568" w:rsidRPr="0097746A">
          <w:rPr>
            <w:rStyle w:val="Hyperlink"/>
            <w:noProof/>
          </w:rPr>
          <w:t>Figure 18. Models built with bioclimatic variables only: Comparison of species SDMs to provenance SDMs (P1, P2, P3) across two methods of variable selection (RW and P; closed and open symbols)</w:t>
        </w:r>
        <w:r w:rsidR="00715568" w:rsidRPr="0097746A">
          <w:rPr>
            <w:noProof/>
            <w:webHidden/>
          </w:rPr>
          <w:tab/>
        </w:r>
        <w:r w:rsidR="00715568" w:rsidRPr="0097746A">
          <w:rPr>
            <w:noProof/>
            <w:webHidden/>
          </w:rPr>
          <w:fldChar w:fldCharType="begin"/>
        </w:r>
        <w:r w:rsidR="00715568" w:rsidRPr="0097746A">
          <w:rPr>
            <w:noProof/>
            <w:webHidden/>
          </w:rPr>
          <w:instrText xml:space="preserve"> PAGEREF _Toc88054013 \h </w:instrText>
        </w:r>
        <w:r w:rsidR="00715568" w:rsidRPr="0097746A">
          <w:rPr>
            <w:noProof/>
            <w:webHidden/>
          </w:rPr>
        </w:r>
        <w:r w:rsidR="00715568" w:rsidRPr="0097746A">
          <w:rPr>
            <w:noProof/>
            <w:webHidden/>
          </w:rPr>
          <w:fldChar w:fldCharType="separate"/>
        </w:r>
        <w:r w:rsidR="00C52BD7">
          <w:rPr>
            <w:noProof/>
            <w:webHidden/>
          </w:rPr>
          <w:t>104</w:t>
        </w:r>
        <w:r w:rsidR="00715568" w:rsidRPr="0097746A">
          <w:rPr>
            <w:noProof/>
            <w:webHidden/>
          </w:rPr>
          <w:fldChar w:fldCharType="end"/>
        </w:r>
      </w:hyperlink>
    </w:p>
    <w:p w14:paraId="3B0B8EC8" w14:textId="36AD5C00" w:rsidR="00715568" w:rsidRPr="0097746A" w:rsidRDefault="002B166B">
      <w:pPr>
        <w:pStyle w:val="TableofFigures"/>
        <w:tabs>
          <w:tab w:val="right" w:leader="dot" w:pos="8630"/>
        </w:tabs>
        <w:rPr>
          <w:rFonts w:asciiTheme="minorHAnsi" w:eastAsiaTheme="minorEastAsia" w:hAnsiTheme="minorHAnsi" w:cstheme="minorBidi"/>
          <w:noProof/>
        </w:rPr>
      </w:pPr>
      <w:hyperlink w:anchor="_Toc88054014" w:history="1">
        <w:r w:rsidR="00715568" w:rsidRPr="0097746A">
          <w:rPr>
            <w:rStyle w:val="Hyperlink"/>
            <w:noProof/>
          </w:rPr>
          <w:t>Figure 19. Comparisons of area predicted suitable by variable type</w:t>
        </w:r>
        <w:r w:rsidR="00715568" w:rsidRPr="0097746A">
          <w:rPr>
            <w:noProof/>
            <w:webHidden/>
          </w:rPr>
          <w:tab/>
        </w:r>
        <w:r w:rsidR="00715568" w:rsidRPr="0097746A">
          <w:rPr>
            <w:noProof/>
            <w:webHidden/>
          </w:rPr>
          <w:fldChar w:fldCharType="begin"/>
        </w:r>
        <w:r w:rsidR="00715568" w:rsidRPr="0097746A">
          <w:rPr>
            <w:noProof/>
            <w:webHidden/>
          </w:rPr>
          <w:instrText xml:space="preserve"> PAGEREF _Toc88054014 \h </w:instrText>
        </w:r>
        <w:r w:rsidR="00715568" w:rsidRPr="0097746A">
          <w:rPr>
            <w:noProof/>
            <w:webHidden/>
          </w:rPr>
        </w:r>
        <w:r w:rsidR="00715568" w:rsidRPr="0097746A">
          <w:rPr>
            <w:noProof/>
            <w:webHidden/>
          </w:rPr>
          <w:fldChar w:fldCharType="separate"/>
        </w:r>
        <w:r w:rsidR="00C52BD7">
          <w:rPr>
            <w:noProof/>
            <w:webHidden/>
          </w:rPr>
          <w:t>105</w:t>
        </w:r>
        <w:r w:rsidR="00715568" w:rsidRPr="0097746A">
          <w:rPr>
            <w:noProof/>
            <w:webHidden/>
          </w:rPr>
          <w:fldChar w:fldCharType="end"/>
        </w:r>
      </w:hyperlink>
    </w:p>
    <w:p w14:paraId="457172E9" w14:textId="1D84399F" w:rsidR="00715568" w:rsidRPr="0097746A" w:rsidRDefault="002B166B">
      <w:pPr>
        <w:pStyle w:val="TableofFigures"/>
        <w:tabs>
          <w:tab w:val="right" w:leader="dot" w:pos="8630"/>
        </w:tabs>
        <w:rPr>
          <w:rFonts w:asciiTheme="minorHAnsi" w:eastAsiaTheme="minorEastAsia" w:hAnsiTheme="minorHAnsi" w:cstheme="minorBidi"/>
          <w:noProof/>
        </w:rPr>
      </w:pPr>
      <w:hyperlink w:anchor="_Toc88054015" w:history="1">
        <w:r w:rsidR="00715568" w:rsidRPr="0097746A">
          <w:rPr>
            <w:rStyle w:val="Hyperlink"/>
            <w:noProof/>
          </w:rPr>
          <w:t>Figure 20. Model performance and environmental variable contributions to bud break decile distribution models.</w:t>
        </w:r>
        <w:r w:rsidR="00715568" w:rsidRPr="0097746A">
          <w:rPr>
            <w:noProof/>
            <w:webHidden/>
          </w:rPr>
          <w:tab/>
        </w:r>
        <w:r w:rsidR="00715568" w:rsidRPr="0097746A">
          <w:rPr>
            <w:noProof/>
            <w:webHidden/>
          </w:rPr>
          <w:fldChar w:fldCharType="begin"/>
        </w:r>
        <w:r w:rsidR="00715568" w:rsidRPr="0097746A">
          <w:rPr>
            <w:noProof/>
            <w:webHidden/>
          </w:rPr>
          <w:instrText xml:space="preserve"> PAGEREF _Toc88054015 \h </w:instrText>
        </w:r>
        <w:r w:rsidR="00715568" w:rsidRPr="0097746A">
          <w:rPr>
            <w:noProof/>
            <w:webHidden/>
          </w:rPr>
        </w:r>
        <w:r w:rsidR="00715568" w:rsidRPr="0097746A">
          <w:rPr>
            <w:noProof/>
            <w:webHidden/>
          </w:rPr>
          <w:fldChar w:fldCharType="separate"/>
        </w:r>
        <w:r w:rsidR="00C52BD7">
          <w:rPr>
            <w:noProof/>
            <w:webHidden/>
          </w:rPr>
          <w:t>106</w:t>
        </w:r>
        <w:r w:rsidR="00715568" w:rsidRPr="0097746A">
          <w:rPr>
            <w:noProof/>
            <w:webHidden/>
          </w:rPr>
          <w:fldChar w:fldCharType="end"/>
        </w:r>
      </w:hyperlink>
    </w:p>
    <w:p w14:paraId="2C522FD5" w14:textId="4EAA187D" w:rsidR="00715568" w:rsidRPr="0097746A" w:rsidRDefault="002B166B">
      <w:pPr>
        <w:pStyle w:val="TableofFigures"/>
        <w:tabs>
          <w:tab w:val="right" w:leader="dot" w:pos="8630"/>
        </w:tabs>
        <w:rPr>
          <w:rFonts w:asciiTheme="minorHAnsi" w:eastAsiaTheme="minorEastAsia" w:hAnsiTheme="minorHAnsi" w:cstheme="minorBidi"/>
          <w:noProof/>
        </w:rPr>
      </w:pPr>
      <w:hyperlink w:anchor="_Toc88054016" w:history="1">
        <w:r w:rsidR="00715568" w:rsidRPr="0097746A">
          <w:rPr>
            <w:rStyle w:val="Hyperlink"/>
            <w:noProof/>
          </w:rPr>
          <w:t>Figure 21. Relationship between bud break day and the environmental variables used in distribution models..</w:t>
        </w:r>
        <w:r w:rsidR="00715568" w:rsidRPr="0097746A">
          <w:rPr>
            <w:noProof/>
            <w:webHidden/>
          </w:rPr>
          <w:tab/>
        </w:r>
        <w:r w:rsidR="00715568" w:rsidRPr="0097746A">
          <w:rPr>
            <w:noProof/>
            <w:webHidden/>
          </w:rPr>
          <w:fldChar w:fldCharType="begin"/>
        </w:r>
        <w:r w:rsidR="00715568" w:rsidRPr="0097746A">
          <w:rPr>
            <w:noProof/>
            <w:webHidden/>
          </w:rPr>
          <w:instrText xml:space="preserve"> PAGEREF _Toc88054016 \h </w:instrText>
        </w:r>
        <w:r w:rsidR="00715568" w:rsidRPr="0097746A">
          <w:rPr>
            <w:noProof/>
            <w:webHidden/>
          </w:rPr>
        </w:r>
        <w:r w:rsidR="00715568" w:rsidRPr="0097746A">
          <w:rPr>
            <w:noProof/>
            <w:webHidden/>
          </w:rPr>
          <w:fldChar w:fldCharType="separate"/>
        </w:r>
        <w:r w:rsidR="00C52BD7">
          <w:rPr>
            <w:noProof/>
            <w:webHidden/>
          </w:rPr>
          <w:t>107</w:t>
        </w:r>
        <w:r w:rsidR="00715568" w:rsidRPr="0097746A">
          <w:rPr>
            <w:noProof/>
            <w:webHidden/>
          </w:rPr>
          <w:fldChar w:fldCharType="end"/>
        </w:r>
      </w:hyperlink>
    </w:p>
    <w:p w14:paraId="6801DA64" w14:textId="392E1832" w:rsidR="00715568" w:rsidRPr="0097746A" w:rsidRDefault="002B166B">
      <w:pPr>
        <w:pStyle w:val="TableofFigures"/>
        <w:tabs>
          <w:tab w:val="right" w:leader="dot" w:pos="8630"/>
        </w:tabs>
        <w:rPr>
          <w:rFonts w:asciiTheme="minorHAnsi" w:eastAsiaTheme="minorEastAsia" w:hAnsiTheme="minorHAnsi" w:cstheme="minorBidi"/>
          <w:noProof/>
        </w:rPr>
      </w:pPr>
      <w:hyperlink w:anchor="_Toc88054017" w:history="1">
        <w:r w:rsidR="00715568" w:rsidRPr="0097746A">
          <w:rPr>
            <w:rStyle w:val="Hyperlink"/>
            <w:noProof/>
          </w:rPr>
          <w:t xml:space="preserve">Figure 22. Principal </w:t>
        </w:r>
        <w:r w:rsidR="0097746A">
          <w:rPr>
            <w:rStyle w:val="Hyperlink"/>
            <w:noProof/>
          </w:rPr>
          <w:t>c</w:t>
        </w:r>
        <w:r w:rsidR="00715568" w:rsidRPr="0097746A">
          <w:rPr>
            <w:rStyle w:val="Hyperlink"/>
            <w:noProof/>
          </w:rPr>
          <w:t xml:space="preserve">oordinate </w:t>
        </w:r>
        <w:r w:rsidR="00A00A8B">
          <w:rPr>
            <w:rStyle w:val="Hyperlink"/>
            <w:noProof/>
          </w:rPr>
          <w:t>a</w:t>
        </w:r>
        <w:r w:rsidR="00715568" w:rsidRPr="0097746A">
          <w:rPr>
            <w:rStyle w:val="Hyperlink"/>
            <w:noProof/>
          </w:rPr>
          <w:t>xes 1 and 2 of the five environmental variables used in distribution models.</w:t>
        </w:r>
        <w:r w:rsidR="00715568" w:rsidRPr="0097746A">
          <w:rPr>
            <w:noProof/>
            <w:webHidden/>
          </w:rPr>
          <w:tab/>
        </w:r>
        <w:r w:rsidR="00715568" w:rsidRPr="0097746A">
          <w:rPr>
            <w:noProof/>
            <w:webHidden/>
          </w:rPr>
          <w:fldChar w:fldCharType="begin"/>
        </w:r>
        <w:r w:rsidR="00715568" w:rsidRPr="0097746A">
          <w:rPr>
            <w:noProof/>
            <w:webHidden/>
          </w:rPr>
          <w:instrText xml:space="preserve"> PAGEREF _Toc88054017 \h </w:instrText>
        </w:r>
        <w:r w:rsidR="00715568" w:rsidRPr="0097746A">
          <w:rPr>
            <w:noProof/>
            <w:webHidden/>
          </w:rPr>
        </w:r>
        <w:r w:rsidR="00715568" w:rsidRPr="0097746A">
          <w:rPr>
            <w:noProof/>
            <w:webHidden/>
          </w:rPr>
          <w:fldChar w:fldCharType="separate"/>
        </w:r>
        <w:r w:rsidR="00C52BD7">
          <w:rPr>
            <w:noProof/>
            <w:webHidden/>
          </w:rPr>
          <w:t>108</w:t>
        </w:r>
        <w:r w:rsidR="00715568" w:rsidRPr="0097746A">
          <w:rPr>
            <w:noProof/>
            <w:webHidden/>
          </w:rPr>
          <w:fldChar w:fldCharType="end"/>
        </w:r>
      </w:hyperlink>
    </w:p>
    <w:p w14:paraId="2A240A44" w14:textId="2E58115D" w:rsidR="00715568" w:rsidRPr="00A00A8B" w:rsidRDefault="002B166B">
      <w:pPr>
        <w:pStyle w:val="TableofFigures"/>
        <w:tabs>
          <w:tab w:val="right" w:leader="dot" w:pos="8630"/>
        </w:tabs>
        <w:rPr>
          <w:rFonts w:asciiTheme="minorHAnsi" w:eastAsiaTheme="minorEastAsia" w:hAnsiTheme="minorHAnsi" w:cstheme="minorBidi"/>
          <w:noProof/>
        </w:rPr>
      </w:pPr>
      <w:hyperlink w:anchor="_Toc88054018" w:history="1">
        <w:r w:rsidR="00715568" w:rsidRPr="00A00A8B">
          <w:rPr>
            <w:rStyle w:val="Hyperlink"/>
            <w:noProof/>
          </w:rPr>
          <w:t>Figure 23. Maps of richness loss and gain by two future time periods (2050s and 2080s), two emissions scenarios (</w:t>
        </w:r>
        <w:r w:rsidR="007F1357">
          <w:rPr>
            <w:rStyle w:val="Hyperlink"/>
            <w:noProof/>
          </w:rPr>
          <w:t>RCP</w:t>
        </w:r>
        <w:r w:rsidR="00715568" w:rsidRPr="00A00A8B">
          <w:rPr>
            <w:rStyle w:val="Hyperlink"/>
            <w:noProof/>
          </w:rPr>
          <w:t xml:space="preserve"> 4.5 and</w:t>
        </w:r>
        <w:r w:rsidR="007F1357">
          <w:rPr>
            <w:rStyle w:val="Hyperlink"/>
            <w:noProof/>
          </w:rPr>
          <w:t xml:space="preserve"> </w:t>
        </w:r>
        <w:r w:rsidR="00715568" w:rsidRPr="00A00A8B">
          <w:rPr>
            <w:rStyle w:val="Hyperlink"/>
            <w:noProof/>
          </w:rPr>
          <w:t>8.5), and three Atmosphere and Ocean General Circulation/Climate models (AOGCMs; inm-cm4, mpi-esm-lr, and gfdl-cm3).</w:t>
        </w:r>
        <w:r w:rsidR="00715568" w:rsidRPr="00A00A8B">
          <w:rPr>
            <w:noProof/>
            <w:webHidden/>
          </w:rPr>
          <w:tab/>
        </w:r>
        <w:r w:rsidR="00715568" w:rsidRPr="00A00A8B">
          <w:rPr>
            <w:noProof/>
            <w:webHidden/>
          </w:rPr>
          <w:fldChar w:fldCharType="begin"/>
        </w:r>
        <w:r w:rsidR="00715568" w:rsidRPr="00A00A8B">
          <w:rPr>
            <w:noProof/>
            <w:webHidden/>
          </w:rPr>
          <w:instrText xml:space="preserve"> PAGEREF _Toc88054018 \h </w:instrText>
        </w:r>
        <w:r w:rsidR="00715568" w:rsidRPr="00A00A8B">
          <w:rPr>
            <w:noProof/>
            <w:webHidden/>
          </w:rPr>
        </w:r>
        <w:r w:rsidR="00715568" w:rsidRPr="00A00A8B">
          <w:rPr>
            <w:noProof/>
            <w:webHidden/>
          </w:rPr>
          <w:fldChar w:fldCharType="separate"/>
        </w:r>
        <w:r w:rsidR="00C52BD7">
          <w:rPr>
            <w:noProof/>
            <w:webHidden/>
          </w:rPr>
          <w:t>109</w:t>
        </w:r>
        <w:r w:rsidR="00715568" w:rsidRPr="00A00A8B">
          <w:rPr>
            <w:noProof/>
            <w:webHidden/>
          </w:rPr>
          <w:fldChar w:fldCharType="end"/>
        </w:r>
      </w:hyperlink>
    </w:p>
    <w:p w14:paraId="3745532D" w14:textId="43AAA7AC" w:rsidR="0085757D" w:rsidRPr="00084D83" w:rsidRDefault="007E5AD3" w:rsidP="00084D83">
      <w:pPr>
        <w:pStyle w:val="Title"/>
        <w:rPr>
          <w:sz w:val="24"/>
        </w:rPr>
      </w:pPr>
      <w:r>
        <w:rPr>
          <w:b w:val="0"/>
          <w:sz w:val="24"/>
          <w:lang w:val="en-US"/>
        </w:rPr>
        <w:fldChar w:fldCharType="end"/>
      </w:r>
      <w:r w:rsidR="00387656" w:rsidRPr="002977BC">
        <w:rPr>
          <w:sz w:val="24"/>
        </w:rPr>
        <w:t xml:space="preserve"> </w:t>
      </w:r>
    </w:p>
    <w:p w14:paraId="7994BD03" w14:textId="77777777" w:rsidR="0085757D" w:rsidRPr="00DF7C87" w:rsidRDefault="0085757D" w:rsidP="005E54E2"/>
    <w:p w14:paraId="5A2409DC" w14:textId="77777777" w:rsidR="0085757D" w:rsidRPr="00DF7C87" w:rsidRDefault="0085757D" w:rsidP="005E54E2">
      <w:pPr>
        <w:sectPr w:rsidR="0085757D" w:rsidRPr="00DF7C87" w:rsidSect="001D4908">
          <w:footerReference w:type="default" r:id="rId7"/>
          <w:pgSz w:w="12240" w:h="15840" w:code="1"/>
          <w:pgMar w:top="1440" w:right="1800" w:bottom="1872" w:left="1800" w:header="720" w:footer="1440" w:gutter="0"/>
          <w:pgNumType w:fmt="lowerRoman" w:start="1"/>
          <w:cols w:space="720"/>
          <w:noEndnote/>
          <w:titlePg/>
        </w:sectPr>
      </w:pPr>
    </w:p>
    <w:p w14:paraId="60604187" w14:textId="21C0143A" w:rsidR="00236E6D" w:rsidRDefault="00526151" w:rsidP="00EF0E32">
      <w:pPr>
        <w:pStyle w:val="Heading1"/>
        <w:rPr>
          <w:szCs w:val="28"/>
        </w:rPr>
      </w:pPr>
      <w:bookmarkStart w:id="0" w:name="_Toc289175819"/>
      <w:bookmarkStart w:id="1" w:name="_Toc88056470"/>
      <w:r w:rsidRPr="00DF7C87">
        <w:rPr>
          <w:szCs w:val="28"/>
        </w:rPr>
        <w:lastRenderedPageBreak/>
        <w:t>INTRODUCTION</w:t>
      </w:r>
      <w:bookmarkEnd w:id="0"/>
      <w:bookmarkEnd w:id="1"/>
      <w:r w:rsidR="00EE334C" w:rsidRPr="00DF7C87">
        <w:rPr>
          <w:szCs w:val="28"/>
        </w:rPr>
        <w:t xml:space="preserve"> </w:t>
      </w:r>
    </w:p>
    <w:p w14:paraId="60D4CBD6" w14:textId="77777777" w:rsidR="00EF0E32" w:rsidRPr="00EF0E32" w:rsidRDefault="00EF0E32" w:rsidP="00EF0E32"/>
    <w:p w14:paraId="6E231A26" w14:textId="77777777" w:rsidR="00D0219B" w:rsidRPr="00D0219B" w:rsidRDefault="00D0219B" w:rsidP="006808FB">
      <w:pPr>
        <w:spacing w:line="360" w:lineRule="auto"/>
        <w:ind w:firstLine="720"/>
        <w:jc w:val="both"/>
      </w:pPr>
      <w:r w:rsidRPr="00D0219B">
        <w:t xml:space="preserve">The hydrologic cycle is undergoing extreme changes due to shifts in atmospheric temperature and carbon dioxide concentrations. The frequency and magnitude of extreme precipitation, flood, and drought events are changing, as well as land water-storage, sea-level, and surface flow rates (Milly et al. 2005, </w:t>
      </w:r>
      <w:proofErr w:type="spellStart"/>
      <w:r w:rsidRPr="00D0219B">
        <w:t>Dragoni</w:t>
      </w:r>
      <w:proofErr w:type="spellEnd"/>
      <w:r w:rsidRPr="00D0219B">
        <w:t xml:space="preserve"> &amp; </w:t>
      </w:r>
      <w:proofErr w:type="spellStart"/>
      <w:r w:rsidRPr="00D0219B">
        <w:t>Sukhija</w:t>
      </w:r>
      <w:proofErr w:type="spellEnd"/>
      <w:r w:rsidRPr="00D0219B">
        <w:t xml:space="preserve"> 2008, </w:t>
      </w:r>
      <w:proofErr w:type="spellStart"/>
      <w:r w:rsidRPr="00D0219B">
        <w:t>Famiglietti</w:t>
      </w:r>
      <w:proofErr w:type="spellEnd"/>
      <w:r w:rsidRPr="00D0219B">
        <w:t xml:space="preserve"> 2014, </w:t>
      </w:r>
      <w:proofErr w:type="spellStart"/>
      <w:r w:rsidRPr="00D0219B">
        <w:t>Reager</w:t>
      </w:r>
      <w:proofErr w:type="spellEnd"/>
      <w:r w:rsidRPr="00D0219B">
        <w:t xml:space="preserve"> et al. 2016). The unprecedented rate that these alterations are occurring (</w:t>
      </w:r>
      <w:proofErr w:type="spellStart"/>
      <w:r w:rsidRPr="00D0219B">
        <w:t>Georgakakos</w:t>
      </w:r>
      <w:proofErr w:type="spellEnd"/>
      <w:r w:rsidRPr="00D0219B">
        <w:t xml:space="preserve"> et al. 2014) will have far-reaching and unpredictable consequences for the ecology and evolution of entire ecosystems, all of which are inherently dependent on, and limited by, water (Bates et al. 2008, Catford et al. 2012, Perry et al. 2012). </w:t>
      </w:r>
    </w:p>
    <w:p w14:paraId="53AF24D5" w14:textId="1CB00B40" w:rsidR="00D0219B" w:rsidRPr="00D0219B" w:rsidRDefault="00D0219B" w:rsidP="006808FB">
      <w:pPr>
        <w:spacing w:line="360" w:lineRule="auto"/>
        <w:ind w:firstLine="720"/>
        <w:jc w:val="both"/>
        <w:rPr>
          <w:szCs w:val="20"/>
        </w:rPr>
      </w:pPr>
      <w:r w:rsidRPr="00D0219B">
        <w:t xml:space="preserve">Plants are central to </w:t>
      </w:r>
      <w:r w:rsidR="006363CE">
        <w:t>E</w:t>
      </w:r>
      <w:r w:rsidRPr="00D0219B">
        <w:t>arth’s water cycle, operating as hydraulic conduits from the soil to the atmosphere (Taiz &amp; Zeiger 1991). As plant roots take up water for physiological processes (e.g.</w:t>
      </w:r>
      <w:r w:rsidR="000631D0">
        <w:t>,</w:t>
      </w:r>
      <w:r w:rsidRPr="00D0219B">
        <w:t xml:space="preserve"> photosynthesis), leaves recycle water to the atmosphere through transpiration. On average, transpiration has been estimated to make up 80-90% of total terrestrial </w:t>
      </w:r>
      <w:r w:rsidRPr="00D0219B">
        <w:rPr>
          <w:i/>
        </w:rPr>
        <w:t>evapo</w:t>
      </w:r>
      <w:r w:rsidRPr="00D0219B">
        <w:t xml:space="preserve">transpiration (ET; evaporation + transpiration; </w:t>
      </w:r>
      <w:proofErr w:type="spellStart"/>
      <w:r w:rsidRPr="00D0219B">
        <w:t>Jasechko</w:t>
      </w:r>
      <w:proofErr w:type="spellEnd"/>
      <w:r w:rsidRPr="00D0219B">
        <w:t xml:space="preserve"> et al. 2013). This translates into approximately 68,000 cubic kilometers of water cycling through plants to the atmosphere each year – a volume roughly equivalent to emptying the Great Lakes of North America three times. As plants remove water from soil, they also affect other components of the water cycle including groundwater recharge and surface runoff (Scanlon et al. 2006, </w:t>
      </w:r>
      <w:proofErr w:type="spellStart"/>
      <w:r w:rsidRPr="00D0219B">
        <w:t>Ukkolo</w:t>
      </w:r>
      <w:proofErr w:type="spellEnd"/>
      <w:r w:rsidRPr="00D0219B">
        <w:t xml:space="preserve"> et al. 2016). Moreover, to do this, plants consume about one-half of all solar energy absorbed on land (</w:t>
      </w:r>
      <w:proofErr w:type="spellStart"/>
      <w:r w:rsidRPr="00D0219B">
        <w:t>Jasechko</w:t>
      </w:r>
      <w:proofErr w:type="spellEnd"/>
      <w:r w:rsidRPr="00D0219B">
        <w:t xml:space="preserve"> et al. 2013). Changes to the percent cover, the composition, and the diversity of plants on the landscape will have serious consequences for earth-atmosphere feedbacks, as they do for other ecosystem functions (Tilman et al. 1997, Whitham et al. 2003, 2006, Hooper et al. 2005, </w:t>
      </w:r>
      <w:proofErr w:type="spellStart"/>
      <w:r w:rsidRPr="00D0219B">
        <w:t>Baudeña</w:t>
      </w:r>
      <w:proofErr w:type="spellEnd"/>
      <w:r w:rsidRPr="00D0219B">
        <w:t xml:space="preserve"> et al. 2015).</w:t>
      </w:r>
      <w:r w:rsidRPr="00D0219B">
        <w:rPr>
          <w:sz w:val="20"/>
          <w:szCs w:val="20"/>
        </w:rPr>
        <w:t xml:space="preserve"> </w:t>
      </w:r>
    </w:p>
    <w:p w14:paraId="0124D121" w14:textId="70050FCB" w:rsidR="00D0219B" w:rsidRPr="00D0219B" w:rsidRDefault="00D0219B" w:rsidP="006808FB">
      <w:pPr>
        <w:spacing w:line="360" w:lineRule="auto"/>
        <w:ind w:firstLine="720"/>
        <w:jc w:val="both"/>
      </w:pPr>
      <w:r w:rsidRPr="00D0219B">
        <w:rPr>
          <w:szCs w:val="20"/>
        </w:rPr>
        <w:t>Water</w:t>
      </w:r>
      <w:r w:rsidR="006363CE">
        <w:rPr>
          <w:szCs w:val="20"/>
        </w:rPr>
        <w:t xml:space="preserve"> vapor</w:t>
      </w:r>
      <w:r w:rsidRPr="00D0219B">
        <w:rPr>
          <w:szCs w:val="20"/>
        </w:rPr>
        <w:t xml:space="preserve"> is the most important greenhouse gas and regulator of earth’s climate such that changes to the amount of water in the atmosphere will have long-term feedback effects on climate. </w:t>
      </w:r>
      <w:r w:rsidRPr="00D0219B">
        <w:t xml:space="preserve">Atmospheric demand for water is described in potential evapotranspiration (PET), a measure that is governed primarily by temperature and the saturation vapor pressure of water. Saturation vapor pressure is the pressure of water vapor when it is in equilibrium with the liquid state of water – meaning water is not undergoing </w:t>
      </w:r>
      <w:r w:rsidRPr="00D0219B">
        <w:lastRenderedPageBreak/>
        <w:t xml:space="preserve">a phase change. Importantly, </w:t>
      </w:r>
      <w:r w:rsidR="006363CE">
        <w:t>it</w:t>
      </w:r>
      <w:r w:rsidRPr="00D0219B">
        <w:t xml:space="preserve"> is highly sensitive to, and has a non-linear relationship with temperature (Allen &amp; Ingram 2002). Indeed, </w:t>
      </w:r>
      <w:r w:rsidR="006363CE">
        <w:t xml:space="preserve">in the United States, </w:t>
      </w:r>
      <w:r w:rsidRPr="00D0219B">
        <w:t>water stress on the landscape</w:t>
      </w:r>
      <w:r w:rsidR="006363CE">
        <w:t xml:space="preserve"> </w:t>
      </w:r>
      <w:r w:rsidRPr="00D0219B">
        <w:t xml:space="preserve">becomes more severe when considering both changes to the supply (precipitation) </w:t>
      </w:r>
      <w:r w:rsidRPr="00D0219B">
        <w:rPr>
          <w:i/>
        </w:rPr>
        <w:t>and</w:t>
      </w:r>
      <w:r w:rsidRPr="00D0219B">
        <w:t xml:space="preserve"> the atmospheric demand (PET) for water (climate.gov). Unsurprisingly then, drought estimates in the </w:t>
      </w:r>
      <w:r w:rsidR="006363CE">
        <w:t>w</w:t>
      </w:r>
      <w:r w:rsidRPr="00D0219B">
        <w:t>estern U.S. that are based on precipitation alone can hugely underestimate the chance of “megadroughts” – droughts that are equally severe as the worst droughts of the 20</w:t>
      </w:r>
      <w:r w:rsidRPr="00D0219B">
        <w:rPr>
          <w:vertAlign w:val="superscript"/>
        </w:rPr>
        <w:t>th</w:t>
      </w:r>
      <w:r w:rsidRPr="00D0219B">
        <w:t xml:space="preserve"> century but that persist much longer (Ault et al. 2016).</w:t>
      </w:r>
      <w:r w:rsidRPr="00D0219B">
        <w:rPr>
          <w:szCs w:val="20"/>
        </w:rPr>
        <w:t xml:space="preserve"> </w:t>
      </w:r>
      <w:r w:rsidRPr="00D0219B">
        <w:t>This underestimation of drought is a critical problem for ecologists who aim to understand population, community, and ecosystem responses to drought conditions. Additionally, precipitation changes are likely to be spatially heterogenous and not only include changes to the amount of water, but to the timing, variability, intensity, and type (e.g.</w:t>
      </w:r>
      <w:r w:rsidR="007146A3">
        <w:t>,</w:t>
      </w:r>
      <w:r w:rsidRPr="00D0219B">
        <w:t xml:space="preserve"> rain, snow, fog) of water supplied to ecosystems (IPCC 2007, </w:t>
      </w:r>
      <w:proofErr w:type="spellStart"/>
      <w:r w:rsidRPr="00D0219B">
        <w:t>Beier</w:t>
      </w:r>
      <w:proofErr w:type="spellEnd"/>
      <w:r w:rsidRPr="00D0219B">
        <w:t xml:space="preserve"> et al. 2012).  </w:t>
      </w:r>
    </w:p>
    <w:p w14:paraId="7C7798FB" w14:textId="5B92B02E" w:rsidR="00D0219B" w:rsidRPr="00D0219B" w:rsidRDefault="00D0219B" w:rsidP="006808FB">
      <w:pPr>
        <w:spacing w:line="360" w:lineRule="auto"/>
        <w:ind w:firstLine="720"/>
        <w:jc w:val="both"/>
      </w:pPr>
      <w:r w:rsidRPr="00D0219B">
        <w:t xml:space="preserve">The large body of literature </w:t>
      </w:r>
      <w:r w:rsidR="006363CE">
        <w:t>documenting</w:t>
      </w:r>
      <w:r w:rsidRPr="00D0219B">
        <w:t xml:space="preserve"> plant adaptations to water regimes (McDowell et al. 2008, Lytle &amp; </w:t>
      </w:r>
      <w:proofErr w:type="spellStart"/>
      <w:r w:rsidRPr="00D0219B">
        <w:t>Poff</w:t>
      </w:r>
      <w:proofErr w:type="spellEnd"/>
      <w:r w:rsidRPr="00D0219B">
        <w:t xml:space="preserve"> 2004, Adams et al. 2017) and the centrality of plants to the water cycle (</w:t>
      </w:r>
      <w:proofErr w:type="spellStart"/>
      <w:r w:rsidRPr="00D0219B">
        <w:t>Jasechko</w:t>
      </w:r>
      <w:proofErr w:type="spellEnd"/>
      <w:r w:rsidRPr="00D0219B">
        <w:t xml:space="preserve"> et al. 2013) suggest the presence of a global</w:t>
      </w:r>
      <w:r w:rsidR="006363CE">
        <w:t xml:space="preserve"> </w:t>
      </w:r>
      <w:r w:rsidRPr="00D0219B">
        <w:t>scale eco-evolutionary feedback that has not been well explored (Ware et al. 2019). For example, changes to surface flow can be linked both to plant traits and to elevated levels of atmospheric carbon dioxide. With increased CO</w:t>
      </w:r>
      <w:r w:rsidRPr="00D0219B">
        <w:rPr>
          <w:vertAlign w:val="subscript"/>
        </w:rPr>
        <w:t>2</w:t>
      </w:r>
      <w:r w:rsidRPr="00D0219B">
        <w:t xml:space="preserve">, plants reduce stomatal conductance (decreasing transpiration rates) thereby removing less water from the soil and increasing runoff (Milly et al. 2005, </w:t>
      </w:r>
      <w:proofErr w:type="spellStart"/>
      <w:r w:rsidRPr="00D0219B">
        <w:t>Ukkola</w:t>
      </w:r>
      <w:proofErr w:type="spellEnd"/>
      <w:r w:rsidRPr="00D0219B">
        <w:t xml:space="preserve"> et al. 2016). Genetic variation in plant physiological responses to drought include (non-exhaustively) variation in stomatal conductance, stomatal size and density, and water-use efficiency (Mitton et al. 1998, McDowell et al. 2008). These responses may help with tolerance or recovery but depend on the intensity and/or duration of the drought event (McDowell et al. 2008, Gilbert &amp; Medina 2015). Mortality from drought is common and can largely be attributed to carbon starvation and the loss of xylem hydraulic conductivity (McDowell et al. 2008, </w:t>
      </w:r>
      <w:proofErr w:type="spellStart"/>
      <w:r w:rsidRPr="00D0219B">
        <w:t>Brodribb</w:t>
      </w:r>
      <w:proofErr w:type="spellEnd"/>
      <w:r w:rsidRPr="00D0219B">
        <w:t xml:space="preserve"> et al. 2009, </w:t>
      </w:r>
      <w:proofErr w:type="spellStart"/>
      <w:r w:rsidRPr="00D0219B">
        <w:t>Kursar</w:t>
      </w:r>
      <w:proofErr w:type="spellEnd"/>
      <w:r w:rsidRPr="00D0219B">
        <w:t xml:space="preserve"> et al. 2009, </w:t>
      </w:r>
      <w:proofErr w:type="spellStart"/>
      <w:r w:rsidRPr="00D0219B">
        <w:t>Urli</w:t>
      </w:r>
      <w:proofErr w:type="spellEnd"/>
      <w:r w:rsidRPr="00D0219B">
        <w:t xml:space="preserve"> et al. 2013, Rowland et al. 2015, Adams et al. 2017). Though water flow is a passive process responding to physical laws, plants have evolved mechanisms to control water flow through their hydraulic system. Plant populations will experience new </w:t>
      </w:r>
      <w:r w:rsidRPr="00D0219B">
        <w:lastRenderedPageBreak/>
        <w:t>evolutionary selective pressures to manage their water resources as water changes in availability.</w:t>
      </w:r>
    </w:p>
    <w:p w14:paraId="1334C5A8" w14:textId="3EEF5A30" w:rsidR="00D0219B" w:rsidRPr="00D0219B" w:rsidRDefault="00D0219B" w:rsidP="006808FB">
      <w:pPr>
        <w:spacing w:line="360" w:lineRule="auto"/>
        <w:ind w:firstLine="720"/>
        <w:jc w:val="both"/>
      </w:pPr>
      <w:r w:rsidRPr="00D0219B">
        <w:t xml:space="preserve">Whether or not plants will buffer or exacerbate changes to the water cycle will depend largely on their ability to acclimate or adapt to new conditions (Jump &amp; </w:t>
      </w:r>
      <w:proofErr w:type="spellStart"/>
      <w:r w:rsidRPr="00D0219B">
        <w:t>Peñuelas</w:t>
      </w:r>
      <w:proofErr w:type="spellEnd"/>
      <w:r w:rsidRPr="00D0219B">
        <w:t xml:space="preserve"> 2005). To approach </w:t>
      </w:r>
      <w:r w:rsidR="00D3715E">
        <w:t>these questions</w:t>
      </w:r>
      <w:r w:rsidRPr="00D0219B">
        <w:t xml:space="preserve">, we need to understand how plant genetic and phenotypic variation is distributed across </w:t>
      </w:r>
      <w:r w:rsidR="00BB6419">
        <w:t xml:space="preserve">populations and across </w:t>
      </w:r>
      <w:r w:rsidRPr="00D0219B">
        <w:t xml:space="preserve">landscapes and conduct manipulative experiments testing the climatic tolerances of populations. </w:t>
      </w:r>
      <w:r w:rsidR="00BB6419">
        <w:t xml:space="preserve">These </w:t>
      </w:r>
      <w:r w:rsidR="00D3715E">
        <w:t>investigations</w:t>
      </w:r>
      <w:r w:rsidRPr="00D0219B">
        <w:t xml:space="preserve"> should provide insight into the extent to which large-scale ecosystem processes like water cycling may be affected by past and contemporary evolutionary processes.</w:t>
      </w:r>
    </w:p>
    <w:p w14:paraId="73EBB4C9" w14:textId="6DFB5689" w:rsidR="00D0219B" w:rsidRPr="00DF7C87" w:rsidRDefault="00D0219B" w:rsidP="006808FB">
      <w:pPr>
        <w:pStyle w:val="Heading3"/>
        <w:spacing w:line="360" w:lineRule="auto"/>
        <w:jc w:val="both"/>
        <w:rPr>
          <w:szCs w:val="24"/>
        </w:rPr>
      </w:pPr>
      <w:r>
        <w:rPr>
          <w:szCs w:val="24"/>
        </w:rPr>
        <w:t>Populus angustifolia as a model system</w:t>
      </w:r>
    </w:p>
    <w:p w14:paraId="6B5CA4AF" w14:textId="22100EDA" w:rsidR="00D0219B" w:rsidRPr="00D0219B" w:rsidRDefault="00D0219B" w:rsidP="006808FB">
      <w:pPr>
        <w:spacing w:line="360" w:lineRule="auto"/>
        <w:jc w:val="both"/>
      </w:pPr>
      <w:r w:rsidRPr="00D0219B">
        <w:t xml:space="preserve">Cottonwood riparian ecosystems in the </w:t>
      </w:r>
      <w:r w:rsidR="00D3715E">
        <w:t>w</w:t>
      </w:r>
      <w:r w:rsidRPr="00D0219B">
        <w:t xml:space="preserve">estern United States support upwards of 70% of the biodiversity in the region (Stettler et al. 1996). As a foundation species, the high levels of intraspecific variation have a strong effect on biodiversity, community structure, and ecosystem functions (Whitham et al. 2003, 2006). As a riparian species, </w:t>
      </w:r>
      <w:r w:rsidRPr="00D0219B">
        <w:rPr>
          <w:i/>
        </w:rPr>
        <w:t>Populus</w:t>
      </w:r>
      <w:r w:rsidR="00D3715E">
        <w:rPr>
          <w:i/>
        </w:rPr>
        <w:t xml:space="preserve"> angustifolia</w:t>
      </w:r>
      <w:r w:rsidRPr="00D0219B">
        <w:t xml:space="preserve"> is likely to be strongly influenced by (e.g.</w:t>
      </w:r>
      <w:r w:rsidR="000631D0">
        <w:t>,</w:t>
      </w:r>
      <w:r w:rsidRPr="00D0219B">
        <w:t xml:space="preserve"> via natural selection) and influence various aspects of the water cycle. For instance, in another </w:t>
      </w:r>
      <w:r w:rsidRPr="00D0219B">
        <w:rPr>
          <w:i/>
        </w:rPr>
        <w:t>Populus</w:t>
      </w:r>
      <w:r w:rsidRPr="00D0219B">
        <w:t xml:space="preserve"> species (</w:t>
      </w:r>
      <w:r w:rsidRPr="00D0219B">
        <w:rPr>
          <w:i/>
        </w:rPr>
        <w:t xml:space="preserve">Populus </w:t>
      </w:r>
      <w:proofErr w:type="spellStart"/>
      <w:r w:rsidRPr="00D0219B">
        <w:rPr>
          <w:i/>
        </w:rPr>
        <w:t>fremontii</w:t>
      </w:r>
      <w:proofErr w:type="spellEnd"/>
      <w:r w:rsidRPr="00D0219B">
        <w:t xml:space="preserve">) gene flow is strongly related to the connectivity and size of the river network – smaller rivers with lower streamflow show less gene flow (Cushman et al. 2014). </w:t>
      </w:r>
      <w:r w:rsidR="00BB6419">
        <w:t xml:space="preserve">This model system is used for chapters 1-3. </w:t>
      </w:r>
    </w:p>
    <w:p w14:paraId="3284DFAB" w14:textId="3F052183" w:rsidR="00D0219B" w:rsidRPr="00DF7C87" w:rsidRDefault="00D0219B" w:rsidP="006808FB">
      <w:pPr>
        <w:pStyle w:val="Heading3"/>
        <w:spacing w:line="360" w:lineRule="auto"/>
        <w:jc w:val="both"/>
        <w:rPr>
          <w:szCs w:val="24"/>
        </w:rPr>
      </w:pPr>
      <w:r>
        <w:rPr>
          <w:szCs w:val="24"/>
        </w:rPr>
        <w:t xml:space="preserve">The </w:t>
      </w:r>
      <w:proofErr w:type="spellStart"/>
      <w:r>
        <w:rPr>
          <w:szCs w:val="24"/>
        </w:rPr>
        <w:t>Budyko</w:t>
      </w:r>
      <w:proofErr w:type="spellEnd"/>
      <w:r>
        <w:rPr>
          <w:szCs w:val="24"/>
        </w:rPr>
        <w:t xml:space="preserve"> </w:t>
      </w:r>
      <w:r w:rsidR="00E635E9">
        <w:rPr>
          <w:szCs w:val="24"/>
        </w:rPr>
        <w:t>h</w:t>
      </w:r>
      <w:r>
        <w:rPr>
          <w:szCs w:val="24"/>
        </w:rPr>
        <w:t xml:space="preserve">ydrological </w:t>
      </w:r>
      <w:r w:rsidR="00E635E9">
        <w:rPr>
          <w:szCs w:val="24"/>
        </w:rPr>
        <w:t>m</w:t>
      </w:r>
      <w:r>
        <w:rPr>
          <w:szCs w:val="24"/>
        </w:rPr>
        <w:t>odel</w:t>
      </w:r>
    </w:p>
    <w:p w14:paraId="5C26B4D3" w14:textId="42E84C40" w:rsidR="00D0219B" w:rsidRDefault="00D0219B" w:rsidP="006808FB">
      <w:pPr>
        <w:spacing w:line="360" w:lineRule="auto"/>
        <w:jc w:val="both"/>
      </w:pPr>
      <w:r w:rsidRPr="00D0219B">
        <w:t xml:space="preserve">Eco-hydrologists consider how precipitation is distributed once it reaches the </w:t>
      </w:r>
      <w:r w:rsidR="00D3715E">
        <w:t>E</w:t>
      </w:r>
      <w:r w:rsidRPr="00D0219B">
        <w:t xml:space="preserve">arth’s surface, acknowledging that not all water is available to plants as soil water. Ideas from hydrology can help ecologists address the spatial heterogeneity of water and temperature interactions on the landscape, and their effects on plant. The </w:t>
      </w:r>
      <w:proofErr w:type="spellStart"/>
      <w:r w:rsidR="00BB6419">
        <w:t>B</w:t>
      </w:r>
      <w:r w:rsidRPr="00D0219B">
        <w:t>udyko</w:t>
      </w:r>
      <w:proofErr w:type="spellEnd"/>
      <w:r w:rsidRPr="00D0219B">
        <w:t xml:space="preserve"> hydrologic model is a well-known model of supply and demand that gives an expectation of how water will cycle in various climates. The model also can provide indices that represent deviations </w:t>
      </w:r>
      <w:r w:rsidRPr="00D0219B">
        <w:lastRenderedPageBreak/>
        <w:t>from those predictions describing how water cycles in different climates across landscapes (</w:t>
      </w:r>
      <w:proofErr w:type="spellStart"/>
      <w:r w:rsidRPr="00D0219B">
        <w:t>Budyko</w:t>
      </w:r>
      <w:proofErr w:type="spellEnd"/>
      <w:r w:rsidRPr="00D0219B">
        <w:t xml:space="preserve"> 1974). This model is detailed further in </w:t>
      </w:r>
      <w:r w:rsidR="00BB6419">
        <w:t>c</w:t>
      </w:r>
      <w:r w:rsidRPr="00D0219B">
        <w:t>hapter 1.</w:t>
      </w:r>
    </w:p>
    <w:p w14:paraId="407E9405" w14:textId="2EF56A54" w:rsidR="00D0219B" w:rsidRPr="00DF7C87" w:rsidRDefault="00D0219B" w:rsidP="006808FB">
      <w:pPr>
        <w:pStyle w:val="Heading3"/>
        <w:spacing w:line="360" w:lineRule="auto"/>
        <w:jc w:val="both"/>
        <w:rPr>
          <w:szCs w:val="24"/>
        </w:rPr>
      </w:pPr>
      <w:r>
        <w:rPr>
          <w:szCs w:val="24"/>
        </w:rPr>
        <w:t xml:space="preserve">Spatial </w:t>
      </w:r>
      <w:r w:rsidR="00E635E9">
        <w:rPr>
          <w:szCs w:val="24"/>
        </w:rPr>
        <w:t>m</w:t>
      </w:r>
      <w:r>
        <w:rPr>
          <w:szCs w:val="24"/>
        </w:rPr>
        <w:t>odeling</w:t>
      </w:r>
    </w:p>
    <w:p w14:paraId="4B508D64" w14:textId="79998FD1" w:rsidR="00236E6D" w:rsidRPr="00DF7C87" w:rsidRDefault="00D0219B" w:rsidP="00AF3ADA">
      <w:pPr>
        <w:spacing w:line="360" w:lineRule="auto"/>
        <w:jc w:val="both"/>
      </w:pPr>
      <w:r w:rsidRPr="00D0219B">
        <w:t>Species distribution models aim to describe and predict suitable habitat for species using correlative methods connecting species occurrence data to environmental conditions (Phillips et al. 2006). These models traditionally assume that a species is a single unit not varying across its range (i.e.</w:t>
      </w:r>
      <w:r>
        <w:t>,</w:t>
      </w:r>
      <w:r w:rsidRPr="00D0219B">
        <w:t xml:space="preserve"> disregarding phenotypic and genotypic variation). Recently </w:t>
      </w:r>
      <w:r w:rsidR="0021070A" w:rsidRPr="00D0219B">
        <w:t>genetically informed</w:t>
      </w:r>
      <w:r w:rsidRPr="00D0219B">
        <w:t xml:space="preserve"> spatial models support the need to incorporate information on population genetic structure into model predictions of species distributions in future climates (May et al. 2011, </w:t>
      </w:r>
      <w:proofErr w:type="spellStart"/>
      <w:r w:rsidRPr="00D0219B">
        <w:t>Gotelli</w:t>
      </w:r>
      <w:proofErr w:type="spellEnd"/>
      <w:r w:rsidRPr="00D0219B">
        <w:t xml:space="preserve"> &amp; Stanton-Geddes 2015, </w:t>
      </w:r>
      <w:proofErr w:type="spellStart"/>
      <w:r w:rsidRPr="00D0219B">
        <w:t>Marcer</w:t>
      </w:r>
      <w:proofErr w:type="spellEnd"/>
      <w:r w:rsidRPr="00D0219B">
        <w:t xml:space="preserve"> et al. 2016, Ikeda et al. 2017, Peterson et al. 2019). </w:t>
      </w:r>
      <w:r w:rsidR="00AF3ADA">
        <w:t>This methodology is applied in chapters 2-3 and discussed in further detail therein.</w:t>
      </w:r>
    </w:p>
    <w:p w14:paraId="70ED913D" w14:textId="77777777" w:rsidR="00D0219B" w:rsidRPr="00DF7C87" w:rsidRDefault="00D0219B" w:rsidP="00D0219B">
      <w:pPr>
        <w:pStyle w:val="Heading2"/>
      </w:pPr>
      <w:r w:rsidRPr="00DF7C87">
        <w:rPr>
          <w:sz w:val="24"/>
          <w:szCs w:val="24"/>
        </w:rPr>
        <w:br w:type="page"/>
      </w:r>
      <w:bookmarkStart w:id="2" w:name="_Toc88056471"/>
      <w:r w:rsidRPr="00DF7C87">
        <w:lastRenderedPageBreak/>
        <w:t>R</w:t>
      </w:r>
      <w:r>
        <w:t>EFERENCES</w:t>
      </w:r>
      <w:bookmarkEnd w:id="2"/>
    </w:p>
    <w:p w14:paraId="1F94CFF3" w14:textId="77777777" w:rsidR="0086552A" w:rsidRPr="0086552A" w:rsidRDefault="0086552A" w:rsidP="001A325F">
      <w:pPr>
        <w:spacing w:line="276" w:lineRule="auto"/>
        <w:jc w:val="both"/>
      </w:pPr>
    </w:p>
    <w:p w14:paraId="2AFA6F8D" w14:textId="61EB9794"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t xml:space="preserve">Adams HD, et al. (2017) A multi-species synthesis of physiological mechanisms in drought-induced tree mortality. </w:t>
      </w:r>
      <w:r w:rsidRPr="0086552A">
        <w:rPr>
          <w:i/>
          <w:color w:val="000000" w:themeColor="text1"/>
        </w:rPr>
        <w:t>Nat</w:t>
      </w:r>
      <w:r w:rsidR="000639E6">
        <w:rPr>
          <w:i/>
          <w:color w:val="000000" w:themeColor="text1"/>
        </w:rPr>
        <w:t>ure</w:t>
      </w:r>
      <w:r w:rsidRPr="0086552A">
        <w:rPr>
          <w:i/>
          <w:color w:val="000000" w:themeColor="text1"/>
        </w:rPr>
        <w:t xml:space="preserve"> Eco</w:t>
      </w:r>
      <w:r w:rsidR="000639E6">
        <w:rPr>
          <w:i/>
          <w:color w:val="000000" w:themeColor="text1"/>
        </w:rPr>
        <w:t>logy and</w:t>
      </w:r>
      <w:r w:rsidRPr="0086552A">
        <w:rPr>
          <w:i/>
          <w:color w:val="000000" w:themeColor="text1"/>
        </w:rPr>
        <w:t xml:space="preserve"> Evo</w:t>
      </w:r>
      <w:r w:rsidR="000639E6">
        <w:rPr>
          <w:i/>
          <w:color w:val="000000" w:themeColor="text1"/>
        </w:rPr>
        <w:t>lution</w:t>
      </w:r>
      <w:r w:rsidRPr="0086552A">
        <w:rPr>
          <w:i/>
          <w:color w:val="000000" w:themeColor="text1"/>
        </w:rPr>
        <w:t>.</w:t>
      </w:r>
      <w:r w:rsidRPr="0086552A">
        <w:rPr>
          <w:color w:val="000000" w:themeColor="text1"/>
        </w:rPr>
        <w:t xml:space="preserve"> 1: 1285-1291.</w:t>
      </w:r>
    </w:p>
    <w:p w14:paraId="649638A1" w14:textId="77777777"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t xml:space="preserve">Allen MR, and Ingram WJ. (2002) Constraints on future changes in climate and the hydrologic cycle. </w:t>
      </w:r>
      <w:r w:rsidRPr="0086552A">
        <w:rPr>
          <w:i/>
          <w:color w:val="000000" w:themeColor="text1"/>
        </w:rPr>
        <w:t>Nature</w:t>
      </w:r>
      <w:r w:rsidRPr="0086552A">
        <w:rPr>
          <w:color w:val="000000" w:themeColor="text1"/>
        </w:rPr>
        <w:t>, 419: 224-232.</w:t>
      </w:r>
    </w:p>
    <w:p w14:paraId="72077278" w14:textId="2B643C4A"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t xml:space="preserve">Ault TR, </w:t>
      </w:r>
      <w:proofErr w:type="spellStart"/>
      <w:r w:rsidRPr="0086552A">
        <w:rPr>
          <w:color w:val="000000" w:themeColor="text1"/>
        </w:rPr>
        <w:t>Mankin</w:t>
      </w:r>
      <w:proofErr w:type="spellEnd"/>
      <w:r w:rsidRPr="0086552A">
        <w:rPr>
          <w:color w:val="000000" w:themeColor="text1"/>
        </w:rPr>
        <w:t xml:space="preserve"> JS, Cook BI, </w:t>
      </w:r>
      <w:proofErr w:type="spellStart"/>
      <w:r w:rsidRPr="0086552A">
        <w:rPr>
          <w:color w:val="000000" w:themeColor="text1"/>
        </w:rPr>
        <w:t>Smerdon</w:t>
      </w:r>
      <w:proofErr w:type="spellEnd"/>
      <w:r w:rsidRPr="0086552A">
        <w:rPr>
          <w:color w:val="000000" w:themeColor="text1"/>
        </w:rPr>
        <w:t xml:space="preserve"> JE</w:t>
      </w:r>
      <w:r w:rsidR="004C01B0">
        <w:rPr>
          <w:color w:val="000000" w:themeColor="text1"/>
        </w:rPr>
        <w:t>.</w:t>
      </w:r>
      <w:r w:rsidRPr="0086552A">
        <w:rPr>
          <w:color w:val="000000" w:themeColor="text1"/>
        </w:rPr>
        <w:t xml:space="preserve"> (2016) Relative impacts of mitigation, temperature, and precipitation on 21</w:t>
      </w:r>
      <w:r w:rsidRPr="0086552A">
        <w:rPr>
          <w:color w:val="000000" w:themeColor="text1"/>
          <w:vertAlign w:val="superscript"/>
        </w:rPr>
        <w:t>st</w:t>
      </w:r>
      <w:r w:rsidRPr="0086552A">
        <w:rPr>
          <w:color w:val="000000" w:themeColor="text1"/>
        </w:rPr>
        <w:t xml:space="preserve"> century megadrought risk in the American Southwest. </w:t>
      </w:r>
      <w:r w:rsidRPr="0086552A">
        <w:rPr>
          <w:i/>
          <w:color w:val="000000" w:themeColor="text1"/>
        </w:rPr>
        <w:t>Science Advances</w:t>
      </w:r>
      <w:r w:rsidRPr="0086552A">
        <w:rPr>
          <w:color w:val="000000" w:themeColor="text1"/>
        </w:rPr>
        <w:t xml:space="preserve"> 2(10)</w:t>
      </w:r>
    </w:p>
    <w:p w14:paraId="22BF5AB5" w14:textId="77777777"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t>Bates BC, et al. (2008) Climate Change and Water. Technical Paper of the Intergovernmental Panel on Climate Change, IPCC Secretariat, Geneva.</w:t>
      </w:r>
    </w:p>
    <w:p w14:paraId="2207A800" w14:textId="77777777" w:rsidR="0086552A" w:rsidRPr="0086552A" w:rsidRDefault="0086552A" w:rsidP="001A325F">
      <w:pPr>
        <w:suppressLineNumbers/>
        <w:spacing w:line="276" w:lineRule="auto"/>
        <w:ind w:left="720" w:hanging="720"/>
        <w:jc w:val="both"/>
        <w:rPr>
          <w:color w:val="000000" w:themeColor="text1"/>
          <w:shd w:val="clear" w:color="auto" w:fill="FFFFFF"/>
        </w:rPr>
      </w:pPr>
      <w:proofErr w:type="spellStart"/>
      <w:r w:rsidRPr="0086552A">
        <w:rPr>
          <w:color w:val="000000" w:themeColor="text1"/>
          <w:shd w:val="clear" w:color="auto" w:fill="FFFFFF"/>
        </w:rPr>
        <w:t>Baudeña</w:t>
      </w:r>
      <w:proofErr w:type="spellEnd"/>
      <w:r w:rsidRPr="0086552A">
        <w:rPr>
          <w:color w:val="000000" w:themeColor="text1"/>
          <w:shd w:val="clear" w:color="auto" w:fill="FFFFFF"/>
        </w:rPr>
        <w:t xml:space="preserve"> M, Dekker SC, van </w:t>
      </w:r>
      <w:proofErr w:type="spellStart"/>
      <w:r w:rsidRPr="0086552A">
        <w:rPr>
          <w:color w:val="000000" w:themeColor="text1"/>
          <w:shd w:val="clear" w:color="auto" w:fill="FFFFFF"/>
        </w:rPr>
        <w:t>Bodegom</w:t>
      </w:r>
      <w:proofErr w:type="spellEnd"/>
      <w:r w:rsidRPr="0086552A">
        <w:rPr>
          <w:color w:val="000000" w:themeColor="text1"/>
          <w:shd w:val="clear" w:color="auto" w:fill="FFFFFF"/>
        </w:rPr>
        <w:t xml:space="preserve"> PM, Cuesta B, Higgins SI, et al. (2015) Forests, savannas, and grasslands: bridging the knowledge gap between ecology and Dynamic Global Vegetation Models. </w:t>
      </w:r>
      <w:proofErr w:type="spellStart"/>
      <w:r w:rsidRPr="0086552A">
        <w:rPr>
          <w:i/>
          <w:color w:val="000000" w:themeColor="text1"/>
          <w:shd w:val="clear" w:color="auto" w:fill="FFFFFF"/>
        </w:rPr>
        <w:t>Biogeosciences</w:t>
      </w:r>
      <w:proofErr w:type="spellEnd"/>
      <w:r w:rsidRPr="0086552A">
        <w:rPr>
          <w:color w:val="000000" w:themeColor="text1"/>
          <w:shd w:val="clear" w:color="auto" w:fill="FFFFFF"/>
        </w:rPr>
        <w:t>, 12: 1833-1848.</w:t>
      </w:r>
    </w:p>
    <w:p w14:paraId="1AC4BE1A" w14:textId="77777777" w:rsidR="0086552A" w:rsidRPr="0086552A" w:rsidRDefault="0086552A" w:rsidP="001A325F">
      <w:pPr>
        <w:suppressLineNumbers/>
        <w:spacing w:line="276" w:lineRule="auto"/>
        <w:ind w:left="720" w:hanging="720"/>
        <w:jc w:val="both"/>
        <w:rPr>
          <w:color w:val="000000" w:themeColor="text1"/>
          <w:shd w:val="clear" w:color="auto" w:fill="FFFFFF"/>
        </w:rPr>
      </w:pPr>
      <w:proofErr w:type="spellStart"/>
      <w:r w:rsidRPr="0086552A">
        <w:rPr>
          <w:color w:val="000000" w:themeColor="text1"/>
        </w:rPr>
        <w:t>Beier</w:t>
      </w:r>
      <w:proofErr w:type="spellEnd"/>
      <w:r w:rsidRPr="0086552A">
        <w:rPr>
          <w:color w:val="000000" w:themeColor="text1"/>
        </w:rPr>
        <w:t xml:space="preserve">, C. </w:t>
      </w:r>
      <w:r w:rsidRPr="0086552A">
        <w:rPr>
          <w:i/>
          <w:iCs/>
          <w:color w:val="000000" w:themeColor="text1"/>
        </w:rPr>
        <w:t>et al</w:t>
      </w:r>
      <w:r w:rsidRPr="0086552A">
        <w:rPr>
          <w:color w:val="000000" w:themeColor="text1"/>
        </w:rPr>
        <w:t xml:space="preserve">. (2012) Precipitation manipulation experiments–challenges and recommendations for the future. </w:t>
      </w:r>
      <w:r w:rsidRPr="0086552A">
        <w:rPr>
          <w:i/>
          <w:iCs/>
          <w:color w:val="000000" w:themeColor="text1"/>
        </w:rPr>
        <w:t xml:space="preserve">Ecology Letters </w:t>
      </w:r>
      <w:r w:rsidRPr="0086552A">
        <w:rPr>
          <w:bCs/>
          <w:color w:val="000000" w:themeColor="text1"/>
        </w:rPr>
        <w:t xml:space="preserve">15: </w:t>
      </w:r>
      <w:r w:rsidRPr="0086552A">
        <w:rPr>
          <w:color w:val="000000" w:themeColor="text1"/>
        </w:rPr>
        <w:t xml:space="preserve">899–911. </w:t>
      </w:r>
    </w:p>
    <w:p w14:paraId="08BDA478" w14:textId="37552798" w:rsidR="0086552A" w:rsidRPr="0086552A" w:rsidRDefault="0086552A" w:rsidP="001A325F">
      <w:pPr>
        <w:suppressLineNumbers/>
        <w:spacing w:line="276" w:lineRule="auto"/>
        <w:ind w:left="720" w:hanging="720"/>
        <w:jc w:val="both"/>
        <w:rPr>
          <w:color w:val="000000" w:themeColor="text1"/>
        </w:rPr>
      </w:pPr>
      <w:proofErr w:type="spellStart"/>
      <w:r w:rsidRPr="0086552A">
        <w:rPr>
          <w:color w:val="000000" w:themeColor="text1"/>
        </w:rPr>
        <w:t>Brodribb</w:t>
      </w:r>
      <w:proofErr w:type="spellEnd"/>
      <w:r w:rsidRPr="0086552A">
        <w:rPr>
          <w:color w:val="000000" w:themeColor="text1"/>
        </w:rPr>
        <w:t xml:space="preserve"> TJ, </w:t>
      </w:r>
      <w:proofErr w:type="spellStart"/>
      <w:r w:rsidRPr="0086552A">
        <w:rPr>
          <w:color w:val="000000" w:themeColor="text1"/>
        </w:rPr>
        <w:t>Cochard</w:t>
      </w:r>
      <w:proofErr w:type="spellEnd"/>
      <w:r w:rsidRPr="0086552A">
        <w:rPr>
          <w:color w:val="000000" w:themeColor="text1"/>
        </w:rPr>
        <w:t xml:space="preserve"> H. (2009) Hydraulic failure defines the recovery and point of death in water- stressed conifers. </w:t>
      </w:r>
      <w:r w:rsidRPr="0086552A">
        <w:rPr>
          <w:i/>
          <w:color w:val="000000" w:themeColor="text1"/>
        </w:rPr>
        <w:t>Plant Physio</w:t>
      </w:r>
      <w:r w:rsidR="000639E6">
        <w:rPr>
          <w:i/>
          <w:color w:val="000000" w:themeColor="text1"/>
        </w:rPr>
        <w:t>logy</w:t>
      </w:r>
      <w:r w:rsidRPr="0086552A">
        <w:rPr>
          <w:i/>
          <w:color w:val="000000" w:themeColor="text1"/>
        </w:rPr>
        <w:t>.,</w:t>
      </w:r>
      <w:r w:rsidRPr="0086552A">
        <w:rPr>
          <w:color w:val="000000" w:themeColor="text1"/>
        </w:rPr>
        <w:t xml:space="preserve"> 149: 575-584. </w:t>
      </w:r>
    </w:p>
    <w:p w14:paraId="6E5B4BD5" w14:textId="77777777" w:rsidR="0086552A" w:rsidRPr="0086552A" w:rsidRDefault="0086552A" w:rsidP="001A325F">
      <w:pPr>
        <w:suppressLineNumbers/>
        <w:spacing w:line="276" w:lineRule="auto"/>
        <w:ind w:left="720" w:hanging="720"/>
        <w:jc w:val="both"/>
        <w:rPr>
          <w:color w:val="000000" w:themeColor="text1"/>
        </w:rPr>
      </w:pPr>
      <w:proofErr w:type="spellStart"/>
      <w:r w:rsidRPr="0086552A">
        <w:rPr>
          <w:color w:val="000000" w:themeColor="text1"/>
        </w:rPr>
        <w:t>Budyko</w:t>
      </w:r>
      <w:proofErr w:type="spellEnd"/>
      <w:r w:rsidRPr="0086552A">
        <w:rPr>
          <w:color w:val="000000" w:themeColor="text1"/>
        </w:rPr>
        <w:t xml:space="preserve"> MI. Climate and Life; Academic Press: New York, NY, USA (1974). </w:t>
      </w:r>
    </w:p>
    <w:p w14:paraId="3F792C15" w14:textId="3F69BAED"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t xml:space="preserve">Catford JA, </w:t>
      </w:r>
      <w:proofErr w:type="spellStart"/>
      <w:r w:rsidRPr="0086552A">
        <w:rPr>
          <w:color w:val="000000" w:themeColor="text1"/>
        </w:rPr>
        <w:t>Naiman</w:t>
      </w:r>
      <w:proofErr w:type="spellEnd"/>
      <w:r w:rsidRPr="0086552A">
        <w:rPr>
          <w:color w:val="000000" w:themeColor="text1"/>
        </w:rPr>
        <w:t xml:space="preserve"> RJ, Chambers LE, Roberts J, Douglas M, and Davies P</w:t>
      </w:r>
      <w:r w:rsidR="004C01B0">
        <w:rPr>
          <w:color w:val="000000" w:themeColor="text1"/>
        </w:rPr>
        <w:t>.</w:t>
      </w:r>
      <w:r w:rsidRPr="0086552A">
        <w:rPr>
          <w:color w:val="000000" w:themeColor="text1"/>
        </w:rPr>
        <w:t xml:space="preserve"> (2012) Predicting Novel Riparian Ecosystems in a Changing Climate. </w:t>
      </w:r>
      <w:r w:rsidRPr="0086552A">
        <w:rPr>
          <w:i/>
          <w:color w:val="000000" w:themeColor="text1"/>
        </w:rPr>
        <w:t>Ecosystems</w:t>
      </w:r>
      <w:r w:rsidR="00D3715E">
        <w:rPr>
          <w:i/>
          <w:color w:val="000000" w:themeColor="text1"/>
        </w:rPr>
        <w:t>.</w:t>
      </w:r>
    </w:p>
    <w:p w14:paraId="269CE54B" w14:textId="427AAA2A" w:rsidR="0086552A" w:rsidRPr="0086552A" w:rsidRDefault="0086552A" w:rsidP="001A325F">
      <w:pPr>
        <w:suppressLineNumbers/>
        <w:spacing w:line="276" w:lineRule="auto"/>
        <w:ind w:left="720" w:hanging="720"/>
        <w:jc w:val="both"/>
        <w:rPr>
          <w:shd w:val="clear" w:color="auto" w:fill="FFFFFF"/>
        </w:rPr>
      </w:pPr>
      <w:r w:rsidRPr="0086552A">
        <w:t xml:space="preserve">Cushman SA, Max T, </w:t>
      </w:r>
      <w:proofErr w:type="spellStart"/>
      <w:r w:rsidRPr="0086552A">
        <w:t>Meneses</w:t>
      </w:r>
      <w:proofErr w:type="spellEnd"/>
      <w:r w:rsidRPr="0086552A">
        <w:t xml:space="preserve"> N, Evans LM, Ferrier S, Honchak B, Whitham TG, Allan GJ. (2014) Landscape genetic connectivity in a riparian foundation tree is jointly driven by climatic gradients and river networks. </w:t>
      </w:r>
      <w:r w:rsidRPr="0086552A">
        <w:rPr>
          <w:i/>
        </w:rPr>
        <w:t>Ecological Applications,</w:t>
      </w:r>
      <w:r w:rsidRPr="0086552A">
        <w:t xml:space="preserve"> 24: 1000-1014.</w:t>
      </w:r>
    </w:p>
    <w:p w14:paraId="6C15228B" w14:textId="77777777" w:rsidR="0086552A" w:rsidRPr="0086552A" w:rsidRDefault="0086552A" w:rsidP="001A325F">
      <w:pPr>
        <w:suppressLineNumbers/>
        <w:spacing w:line="276" w:lineRule="auto"/>
        <w:ind w:left="720" w:hanging="720"/>
        <w:jc w:val="both"/>
        <w:rPr>
          <w:rFonts w:eastAsiaTheme="minorHAnsi"/>
        </w:rPr>
      </w:pPr>
      <w:proofErr w:type="spellStart"/>
      <w:r w:rsidRPr="0086552A">
        <w:rPr>
          <w:color w:val="000000" w:themeColor="text1"/>
        </w:rPr>
        <w:t>Dragoni</w:t>
      </w:r>
      <w:proofErr w:type="spellEnd"/>
      <w:r w:rsidRPr="0086552A">
        <w:rPr>
          <w:color w:val="000000" w:themeColor="text1"/>
        </w:rPr>
        <w:t xml:space="preserve"> W, and </w:t>
      </w:r>
      <w:proofErr w:type="spellStart"/>
      <w:r w:rsidRPr="0086552A">
        <w:rPr>
          <w:color w:val="000000" w:themeColor="text1"/>
        </w:rPr>
        <w:t>Sukhija</w:t>
      </w:r>
      <w:proofErr w:type="spellEnd"/>
      <w:r w:rsidRPr="0086552A">
        <w:rPr>
          <w:color w:val="000000" w:themeColor="text1"/>
        </w:rPr>
        <w:t xml:space="preserve"> B. (2008) Climate change and groundwater: a short review. </w:t>
      </w:r>
      <w:r w:rsidRPr="0086552A">
        <w:rPr>
          <w:i/>
          <w:color w:val="000000" w:themeColor="text1"/>
        </w:rPr>
        <w:t>Geological Society, London, Special Publications</w:t>
      </w:r>
      <w:r w:rsidRPr="0086552A">
        <w:rPr>
          <w:color w:val="000000" w:themeColor="text1"/>
        </w:rPr>
        <w:t xml:space="preserve">, 288(1): 1-12. </w:t>
      </w:r>
    </w:p>
    <w:p w14:paraId="01DB2676" w14:textId="5E46736B" w:rsidR="0086552A" w:rsidRPr="0086552A" w:rsidRDefault="0086552A" w:rsidP="001A325F">
      <w:pPr>
        <w:suppressLineNumbers/>
        <w:spacing w:line="276" w:lineRule="auto"/>
        <w:ind w:left="720" w:hanging="720"/>
        <w:jc w:val="both"/>
        <w:rPr>
          <w:color w:val="000000" w:themeColor="text1"/>
        </w:rPr>
      </w:pPr>
      <w:proofErr w:type="spellStart"/>
      <w:r w:rsidRPr="0086552A">
        <w:rPr>
          <w:color w:val="000000" w:themeColor="text1"/>
          <w:shd w:val="clear" w:color="auto" w:fill="FFFFFF"/>
        </w:rPr>
        <w:t>Famiglietti</w:t>
      </w:r>
      <w:proofErr w:type="spellEnd"/>
      <w:r w:rsidRPr="0086552A">
        <w:rPr>
          <w:color w:val="000000" w:themeColor="text1"/>
          <w:shd w:val="clear" w:color="auto" w:fill="FFFFFF"/>
        </w:rPr>
        <w:t xml:space="preserve"> JS. (2014) The global groundwater crisis. </w:t>
      </w:r>
      <w:r w:rsidRPr="0086552A">
        <w:rPr>
          <w:i/>
          <w:color w:val="000000" w:themeColor="text1"/>
        </w:rPr>
        <w:t>Nature Climate Change</w:t>
      </w:r>
      <w:r w:rsidRPr="0086552A">
        <w:rPr>
          <w:color w:val="000000" w:themeColor="text1"/>
        </w:rPr>
        <w:t xml:space="preserve"> 4: 945–948.</w:t>
      </w:r>
    </w:p>
    <w:p w14:paraId="4F5F2900" w14:textId="4FC6C296" w:rsidR="0086552A" w:rsidRPr="0086552A" w:rsidRDefault="0086552A" w:rsidP="001A325F">
      <w:pPr>
        <w:suppressLineNumbers/>
        <w:spacing w:line="276" w:lineRule="auto"/>
        <w:ind w:left="720" w:hanging="720"/>
        <w:jc w:val="both"/>
        <w:rPr>
          <w:color w:val="000000" w:themeColor="text1"/>
        </w:rPr>
      </w:pPr>
      <w:proofErr w:type="spellStart"/>
      <w:r w:rsidRPr="0086552A">
        <w:rPr>
          <w:color w:val="000000" w:themeColor="text1"/>
        </w:rPr>
        <w:t>Georgakakos</w:t>
      </w:r>
      <w:proofErr w:type="spellEnd"/>
      <w:r w:rsidRPr="0086552A">
        <w:rPr>
          <w:color w:val="000000" w:themeColor="text1"/>
        </w:rPr>
        <w:t xml:space="preserve"> A, Fleming P, </w:t>
      </w:r>
      <w:proofErr w:type="spellStart"/>
      <w:r w:rsidRPr="0086552A">
        <w:rPr>
          <w:color w:val="000000" w:themeColor="text1"/>
        </w:rPr>
        <w:t>Dettinger</w:t>
      </w:r>
      <w:proofErr w:type="spellEnd"/>
      <w:r w:rsidRPr="0086552A">
        <w:rPr>
          <w:color w:val="000000" w:themeColor="text1"/>
        </w:rPr>
        <w:t xml:space="preserve"> M, Peters-</w:t>
      </w:r>
      <w:proofErr w:type="spellStart"/>
      <w:r w:rsidRPr="0086552A">
        <w:rPr>
          <w:color w:val="000000" w:themeColor="text1"/>
        </w:rPr>
        <w:t>Lidard</w:t>
      </w:r>
      <w:proofErr w:type="spellEnd"/>
      <w:r w:rsidRPr="0086552A">
        <w:rPr>
          <w:color w:val="000000" w:themeColor="text1"/>
        </w:rPr>
        <w:t xml:space="preserve"> C, Richmond T, </w:t>
      </w:r>
      <w:proofErr w:type="spellStart"/>
      <w:r w:rsidRPr="0086552A">
        <w:rPr>
          <w:color w:val="000000" w:themeColor="text1"/>
        </w:rPr>
        <w:t>Reckhow</w:t>
      </w:r>
      <w:proofErr w:type="spellEnd"/>
      <w:r w:rsidRPr="0086552A">
        <w:rPr>
          <w:color w:val="000000" w:themeColor="text1"/>
        </w:rPr>
        <w:t xml:space="preserve"> K, White K, Yates D. (2014) Climate Change Impacts in the United States: The Third National Climate Assessment: 69-112. Published by U.S. Global Change Research Program</w:t>
      </w:r>
      <w:r w:rsidR="00D3715E">
        <w:rPr>
          <w:color w:val="000000" w:themeColor="text1"/>
        </w:rPr>
        <w:t>.</w:t>
      </w:r>
    </w:p>
    <w:p w14:paraId="10B4BE52" w14:textId="77777777"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t xml:space="preserve">Gilbert ME and Medina V. (2016) Drought Adaptation Mechanisms Should Guide Experimental Design. </w:t>
      </w:r>
      <w:r w:rsidRPr="0086552A">
        <w:rPr>
          <w:i/>
          <w:color w:val="000000" w:themeColor="text1"/>
        </w:rPr>
        <w:t>Trends in Plant Science</w:t>
      </w:r>
      <w:r w:rsidRPr="0086552A">
        <w:rPr>
          <w:color w:val="000000" w:themeColor="text1"/>
        </w:rPr>
        <w:t>, 21(8): 639-647.</w:t>
      </w:r>
    </w:p>
    <w:p w14:paraId="00F607B1" w14:textId="77777777" w:rsidR="0086552A" w:rsidRPr="0086552A" w:rsidRDefault="0086552A" w:rsidP="001A325F">
      <w:pPr>
        <w:suppressLineNumbers/>
        <w:spacing w:line="276" w:lineRule="auto"/>
        <w:ind w:left="720" w:hanging="720"/>
        <w:jc w:val="both"/>
        <w:rPr>
          <w:color w:val="000000" w:themeColor="text1"/>
        </w:rPr>
      </w:pPr>
      <w:proofErr w:type="spellStart"/>
      <w:r w:rsidRPr="0086552A">
        <w:rPr>
          <w:color w:val="000000" w:themeColor="text1"/>
        </w:rPr>
        <w:t>Gotelli</w:t>
      </w:r>
      <w:proofErr w:type="spellEnd"/>
      <w:r w:rsidRPr="0086552A">
        <w:rPr>
          <w:color w:val="000000" w:themeColor="text1"/>
        </w:rPr>
        <w:t xml:space="preserve"> NJ, and Stanton-Geddes J. (2015) Climate change, genetic markers, and species distribution modelling. </w:t>
      </w:r>
      <w:r w:rsidRPr="0086552A">
        <w:rPr>
          <w:i/>
          <w:color w:val="000000" w:themeColor="text1"/>
        </w:rPr>
        <w:t>Journal of Biogeography,</w:t>
      </w:r>
      <w:r w:rsidRPr="0086552A">
        <w:rPr>
          <w:color w:val="000000" w:themeColor="text1"/>
        </w:rPr>
        <w:t xml:space="preserve"> 42: 1577-1585.</w:t>
      </w:r>
    </w:p>
    <w:p w14:paraId="7991B1BE" w14:textId="77777777"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t xml:space="preserve">Hooper DU, Chapin III F, </w:t>
      </w:r>
      <w:proofErr w:type="spellStart"/>
      <w:r w:rsidRPr="0086552A">
        <w:rPr>
          <w:color w:val="000000" w:themeColor="text1"/>
        </w:rPr>
        <w:t>Ewel</w:t>
      </w:r>
      <w:proofErr w:type="spellEnd"/>
      <w:r w:rsidRPr="0086552A">
        <w:rPr>
          <w:color w:val="000000" w:themeColor="text1"/>
        </w:rPr>
        <w:t xml:space="preserve"> J, Hector A, et al. (2005) Effects of biodiversity on ecosystem functioning: a consensus of current knowledge. </w:t>
      </w:r>
      <w:r w:rsidRPr="0086552A">
        <w:rPr>
          <w:i/>
          <w:color w:val="000000" w:themeColor="text1"/>
        </w:rPr>
        <w:t>Ecological Monographs</w:t>
      </w:r>
      <w:r w:rsidRPr="0086552A">
        <w:rPr>
          <w:color w:val="000000" w:themeColor="text1"/>
        </w:rPr>
        <w:t>, 75: 3-35.</w:t>
      </w:r>
    </w:p>
    <w:p w14:paraId="655CB8D0" w14:textId="4481881A"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lastRenderedPageBreak/>
        <w:t xml:space="preserve">Ikeda, D.H. et al. </w:t>
      </w:r>
      <w:r w:rsidR="000639E6">
        <w:rPr>
          <w:color w:val="000000" w:themeColor="text1"/>
        </w:rPr>
        <w:t xml:space="preserve">(2017) </w:t>
      </w:r>
      <w:r w:rsidRPr="0086552A">
        <w:rPr>
          <w:color w:val="000000" w:themeColor="text1"/>
        </w:rPr>
        <w:t xml:space="preserve">Genetically informed ecological niche models improve climate change predictions. </w:t>
      </w:r>
      <w:r w:rsidRPr="000639E6">
        <w:rPr>
          <w:i/>
          <w:iCs/>
          <w:color w:val="000000" w:themeColor="text1"/>
        </w:rPr>
        <w:t>Global Change Biology</w:t>
      </w:r>
      <w:r w:rsidR="000639E6">
        <w:rPr>
          <w:i/>
          <w:iCs/>
          <w:color w:val="000000" w:themeColor="text1"/>
        </w:rPr>
        <w:t>,</w:t>
      </w:r>
      <w:r w:rsidRPr="0086552A">
        <w:rPr>
          <w:color w:val="000000" w:themeColor="text1"/>
        </w:rPr>
        <w:t xml:space="preserve"> 23</w:t>
      </w:r>
      <w:r w:rsidR="000639E6">
        <w:rPr>
          <w:color w:val="000000" w:themeColor="text1"/>
        </w:rPr>
        <w:t>:</w:t>
      </w:r>
      <w:r w:rsidRPr="0086552A">
        <w:rPr>
          <w:color w:val="000000" w:themeColor="text1"/>
        </w:rPr>
        <w:t xml:space="preserve"> 164-176. </w:t>
      </w:r>
    </w:p>
    <w:p w14:paraId="312AF36F" w14:textId="5634D9FB" w:rsidR="0086552A" w:rsidRPr="0086552A" w:rsidRDefault="0086552A" w:rsidP="001A325F">
      <w:pPr>
        <w:pStyle w:val="NormalWeb"/>
        <w:suppressLineNumbers/>
        <w:spacing w:before="0" w:beforeAutospacing="0" w:after="0" w:afterAutospacing="0" w:line="276" w:lineRule="auto"/>
        <w:ind w:left="720" w:hanging="720"/>
        <w:jc w:val="both"/>
        <w:rPr>
          <w:color w:val="000000" w:themeColor="text1"/>
        </w:rPr>
      </w:pPr>
      <w:proofErr w:type="spellStart"/>
      <w:r w:rsidRPr="0086552A">
        <w:rPr>
          <w:color w:val="000000" w:themeColor="text1"/>
        </w:rPr>
        <w:t>Jasechko</w:t>
      </w:r>
      <w:proofErr w:type="spellEnd"/>
      <w:r w:rsidRPr="0086552A">
        <w:rPr>
          <w:color w:val="000000" w:themeColor="text1"/>
        </w:rPr>
        <w:t xml:space="preserve"> S, Sharp ZD, Gibson JJ, Birks, SJ, Yi Y, Fawcett, PJ</w:t>
      </w:r>
      <w:r w:rsidR="004C01B0">
        <w:rPr>
          <w:color w:val="000000" w:themeColor="text1"/>
        </w:rPr>
        <w:t>.</w:t>
      </w:r>
      <w:r w:rsidRPr="0086552A">
        <w:rPr>
          <w:color w:val="000000" w:themeColor="text1"/>
        </w:rPr>
        <w:t xml:space="preserve"> (2013) Terrestrial water fluxes dominated by transpiration. </w:t>
      </w:r>
      <w:r w:rsidRPr="0086552A">
        <w:rPr>
          <w:i/>
          <w:color w:val="000000" w:themeColor="text1"/>
        </w:rPr>
        <w:t>Nature,</w:t>
      </w:r>
      <w:r w:rsidRPr="0086552A">
        <w:rPr>
          <w:color w:val="000000" w:themeColor="text1"/>
        </w:rPr>
        <w:t xml:space="preserve"> 496: 347-351</w:t>
      </w:r>
      <w:r w:rsidR="000639E6">
        <w:rPr>
          <w:color w:val="000000" w:themeColor="text1"/>
        </w:rPr>
        <w:t>.</w:t>
      </w:r>
    </w:p>
    <w:p w14:paraId="57C9A411" w14:textId="449B61C0"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t xml:space="preserve">Jump AS, and </w:t>
      </w:r>
      <w:proofErr w:type="spellStart"/>
      <w:r w:rsidRPr="0086552A">
        <w:rPr>
          <w:color w:val="000000" w:themeColor="text1"/>
        </w:rPr>
        <w:t>Peñuelas</w:t>
      </w:r>
      <w:proofErr w:type="spellEnd"/>
      <w:r w:rsidRPr="0086552A">
        <w:rPr>
          <w:color w:val="000000" w:themeColor="text1"/>
        </w:rPr>
        <w:t xml:space="preserve"> J</w:t>
      </w:r>
      <w:r w:rsidR="004C01B0">
        <w:rPr>
          <w:color w:val="000000" w:themeColor="text1"/>
        </w:rPr>
        <w:t>.</w:t>
      </w:r>
      <w:r w:rsidRPr="0086552A">
        <w:rPr>
          <w:color w:val="000000" w:themeColor="text1"/>
        </w:rPr>
        <w:t xml:space="preserve"> (2005) Running to stand still: adaptation and the response of plants to rapid climate change. </w:t>
      </w:r>
      <w:r w:rsidRPr="0086552A">
        <w:rPr>
          <w:i/>
          <w:color w:val="000000" w:themeColor="text1"/>
        </w:rPr>
        <w:t>Ecology Letters</w:t>
      </w:r>
      <w:r w:rsidRPr="0086552A">
        <w:rPr>
          <w:color w:val="000000" w:themeColor="text1"/>
        </w:rPr>
        <w:t>, 8: 1010-1020.</w:t>
      </w:r>
    </w:p>
    <w:p w14:paraId="6DA80999" w14:textId="69F56534" w:rsidR="0086552A" w:rsidRPr="0086552A" w:rsidRDefault="0086552A" w:rsidP="001A325F">
      <w:pPr>
        <w:suppressLineNumbers/>
        <w:spacing w:line="276" w:lineRule="auto"/>
        <w:ind w:left="720" w:hanging="720"/>
        <w:jc w:val="both"/>
        <w:rPr>
          <w:color w:val="000000" w:themeColor="text1"/>
        </w:rPr>
      </w:pPr>
      <w:proofErr w:type="spellStart"/>
      <w:r w:rsidRPr="0086552A">
        <w:rPr>
          <w:color w:val="000000" w:themeColor="text1"/>
        </w:rPr>
        <w:t>Kursar</w:t>
      </w:r>
      <w:proofErr w:type="spellEnd"/>
      <w:r w:rsidRPr="0086552A">
        <w:rPr>
          <w:color w:val="000000" w:themeColor="text1"/>
        </w:rPr>
        <w:t xml:space="preserve"> TA, Engelbrecht BMJ, Burke A, Tyree MT, El Omari B, </w:t>
      </w:r>
      <w:proofErr w:type="spellStart"/>
      <w:r w:rsidRPr="0086552A">
        <w:rPr>
          <w:color w:val="000000" w:themeColor="text1"/>
        </w:rPr>
        <w:t>Giraldo</w:t>
      </w:r>
      <w:proofErr w:type="spellEnd"/>
      <w:r w:rsidRPr="0086552A">
        <w:rPr>
          <w:color w:val="000000" w:themeColor="text1"/>
        </w:rPr>
        <w:t xml:space="preserve"> JP. </w:t>
      </w:r>
      <w:r w:rsidR="000639E6">
        <w:rPr>
          <w:color w:val="000000" w:themeColor="text1"/>
        </w:rPr>
        <w:t>(</w:t>
      </w:r>
      <w:r w:rsidRPr="0086552A">
        <w:rPr>
          <w:color w:val="000000" w:themeColor="text1"/>
        </w:rPr>
        <w:t>2009</w:t>
      </w:r>
      <w:r w:rsidR="000639E6">
        <w:rPr>
          <w:color w:val="000000" w:themeColor="text1"/>
        </w:rPr>
        <w:t>)</w:t>
      </w:r>
      <w:r w:rsidRPr="0086552A">
        <w:rPr>
          <w:color w:val="000000" w:themeColor="text1"/>
        </w:rPr>
        <w:t xml:space="preserve"> Tolerance to low leaf water status of tropical tree seedlings is related to drought performance and distribution. </w:t>
      </w:r>
      <w:r w:rsidRPr="000639E6">
        <w:rPr>
          <w:i/>
          <w:iCs/>
          <w:color w:val="000000" w:themeColor="text1"/>
        </w:rPr>
        <w:t>Funct</w:t>
      </w:r>
      <w:r w:rsidR="000639E6" w:rsidRPr="000639E6">
        <w:rPr>
          <w:i/>
          <w:iCs/>
          <w:color w:val="000000" w:themeColor="text1"/>
        </w:rPr>
        <w:t>ional</w:t>
      </w:r>
      <w:r w:rsidRPr="000639E6">
        <w:rPr>
          <w:i/>
          <w:iCs/>
          <w:color w:val="000000" w:themeColor="text1"/>
        </w:rPr>
        <w:t xml:space="preserve"> Ecol</w:t>
      </w:r>
      <w:r w:rsidR="000639E6" w:rsidRPr="000639E6">
        <w:rPr>
          <w:i/>
          <w:iCs/>
          <w:color w:val="000000" w:themeColor="text1"/>
        </w:rPr>
        <w:t>ogy</w:t>
      </w:r>
      <w:r w:rsidR="000639E6">
        <w:rPr>
          <w:color w:val="000000" w:themeColor="text1"/>
        </w:rPr>
        <w:t>,</w:t>
      </w:r>
      <w:r w:rsidRPr="0086552A">
        <w:rPr>
          <w:color w:val="000000" w:themeColor="text1"/>
        </w:rPr>
        <w:t xml:space="preserve"> 23</w:t>
      </w:r>
      <w:r w:rsidR="000639E6">
        <w:rPr>
          <w:color w:val="000000" w:themeColor="text1"/>
        </w:rPr>
        <w:t>:</w:t>
      </w:r>
      <w:r w:rsidRPr="0086552A">
        <w:rPr>
          <w:color w:val="000000" w:themeColor="text1"/>
        </w:rPr>
        <w:t xml:space="preserve"> 93-102.</w:t>
      </w:r>
    </w:p>
    <w:p w14:paraId="62852239" w14:textId="1801EE5A"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t xml:space="preserve">Lytle DA, and </w:t>
      </w:r>
      <w:proofErr w:type="spellStart"/>
      <w:r w:rsidRPr="0086552A">
        <w:rPr>
          <w:color w:val="000000" w:themeColor="text1"/>
        </w:rPr>
        <w:t>Poff</w:t>
      </w:r>
      <w:proofErr w:type="spellEnd"/>
      <w:r w:rsidRPr="0086552A">
        <w:rPr>
          <w:color w:val="000000" w:themeColor="text1"/>
        </w:rPr>
        <w:t xml:space="preserve"> NL</w:t>
      </w:r>
      <w:r w:rsidR="004C01B0">
        <w:rPr>
          <w:color w:val="000000" w:themeColor="text1"/>
        </w:rPr>
        <w:t>.</w:t>
      </w:r>
      <w:r w:rsidRPr="0086552A">
        <w:rPr>
          <w:color w:val="000000" w:themeColor="text1"/>
        </w:rPr>
        <w:t xml:space="preserve"> (2004) Adaptation to natural flow regimes. </w:t>
      </w:r>
      <w:r w:rsidRPr="0086552A">
        <w:rPr>
          <w:i/>
          <w:color w:val="000000" w:themeColor="text1"/>
        </w:rPr>
        <w:t>TRENDS in Ecology and Evolution,</w:t>
      </w:r>
      <w:r w:rsidRPr="0086552A">
        <w:rPr>
          <w:color w:val="000000" w:themeColor="text1"/>
        </w:rPr>
        <w:t xml:space="preserve"> 19: 94-100.</w:t>
      </w:r>
    </w:p>
    <w:p w14:paraId="287ED76D" w14:textId="1D219FE1" w:rsidR="0086552A" w:rsidRPr="0086552A" w:rsidRDefault="0086552A" w:rsidP="001A325F">
      <w:pPr>
        <w:suppressLineNumbers/>
        <w:spacing w:line="276" w:lineRule="auto"/>
        <w:ind w:left="720" w:hanging="720"/>
        <w:jc w:val="both"/>
        <w:rPr>
          <w:color w:val="000000" w:themeColor="text1"/>
        </w:rPr>
      </w:pPr>
      <w:proofErr w:type="spellStart"/>
      <w:r w:rsidRPr="0086552A">
        <w:rPr>
          <w:color w:val="000000" w:themeColor="text1"/>
        </w:rPr>
        <w:t>Marcer</w:t>
      </w:r>
      <w:proofErr w:type="spellEnd"/>
      <w:r w:rsidRPr="0086552A">
        <w:rPr>
          <w:color w:val="000000" w:themeColor="text1"/>
        </w:rPr>
        <w:t xml:space="preserve"> A, Mendez-Vigo B, Alonso-Blanco C, Pico FX</w:t>
      </w:r>
      <w:r w:rsidR="004C01B0">
        <w:rPr>
          <w:color w:val="000000" w:themeColor="text1"/>
        </w:rPr>
        <w:t>.</w:t>
      </w:r>
      <w:r w:rsidRPr="0086552A">
        <w:rPr>
          <w:color w:val="000000" w:themeColor="text1"/>
        </w:rPr>
        <w:t xml:space="preserve"> (2016) Tackling intraspecific genetic structure in distribution models better reflects species geographical range. </w:t>
      </w:r>
      <w:r w:rsidRPr="0086552A">
        <w:rPr>
          <w:i/>
          <w:color w:val="000000" w:themeColor="text1"/>
        </w:rPr>
        <w:t>Ecology and Evolution,</w:t>
      </w:r>
      <w:r w:rsidRPr="0086552A">
        <w:rPr>
          <w:color w:val="000000" w:themeColor="text1"/>
        </w:rPr>
        <w:t xml:space="preserve"> 6: 2084-2097. </w:t>
      </w:r>
    </w:p>
    <w:p w14:paraId="251B2799" w14:textId="2DFF4285"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t>May SE, Medley KA, Johnson SA, and Hoffman EA</w:t>
      </w:r>
      <w:r w:rsidR="004C01B0">
        <w:rPr>
          <w:color w:val="000000" w:themeColor="text1"/>
        </w:rPr>
        <w:t>.</w:t>
      </w:r>
      <w:r w:rsidRPr="0086552A">
        <w:rPr>
          <w:color w:val="000000" w:themeColor="text1"/>
        </w:rPr>
        <w:t xml:space="preserve"> (2011) Combining genetic structure and ecological niche modeling to establish units of conservation: A case study of an imperiled salamander. </w:t>
      </w:r>
      <w:r w:rsidRPr="0086552A">
        <w:rPr>
          <w:i/>
          <w:color w:val="000000" w:themeColor="text1"/>
        </w:rPr>
        <w:t>Biological Conservation,</w:t>
      </w:r>
      <w:r w:rsidRPr="0086552A">
        <w:rPr>
          <w:color w:val="000000" w:themeColor="text1"/>
        </w:rPr>
        <w:t xml:space="preserve"> 144: 1441-1450</w:t>
      </w:r>
    </w:p>
    <w:p w14:paraId="1DCAD880" w14:textId="2EC9C639"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t xml:space="preserve">McDowell N, et al. (2008) Mechanisms of plant survival and mortality during drought: why do some plants survive while others succumb to drought? </w:t>
      </w:r>
      <w:r w:rsidRPr="0086552A">
        <w:rPr>
          <w:i/>
          <w:color w:val="000000" w:themeColor="text1"/>
        </w:rPr>
        <w:t>New Phytol</w:t>
      </w:r>
      <w:r w:rsidR="000639E6">
        <w:rPr>
          <w:i/>
          <w:color w:val="000000" w:themeColor="text1"/>
        </w:rPr>
        <w:t>ogist</w:t>
      </w:r>
      <w:r w:rsidRPr="0086552A">
        <w:rPr>
          <w:color w:val="000000" w:themeColor="text1"/>
        </w:rPr>
        <w:t>, 178: 719-739.</w:t>
      </w:r>
    </w:p>
    <w:p w14:paraId="09E057A8" w14:textId="34A7C29B"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t xml:space="preserve">Milly PCD, Dunne, KA, </w:t>
      </w:r>
      <w:proofErr w:type="spellStart"/>
      <w:r w:rsidRPr="0086552A">
        <w:rPr>
          <w:color w:val="000000" w:themeColor="text1"/>
        </w:rPr>
        <w:t>Vecchia</w:t>
      </w:r>
      <w:proofErr w:type="spellEnd"/>
      <w:r w:rsidRPr="0086552A">
        <w:rPr>
          <w:color w:val="000000" w:themeColor="text1"/>
        </w:rPr>
        <w:t xml:space="preserve"> AV</w:t>
      </w:r>
      <w:r w:rsidR="004C01B0">
        <w:rPr>
          <w:color w:val="000000" w:themeColor="text1"/>
        </w:rPr>
        <w:t>.</w:t>
      </w:r>
      <w:r w:rsidRPr="0086552A">
        <w:rPr>
          <w:color w:val="000000" w:themeColor="text1"/>
        </w:rPr>
        <w:t xml:space="preserve"> (2005) Global pattern of trends in streamflow and water availability in a changing climate. </w:t>
      </w:r>
      <w:r w:rsidRPr="0086552A">
        <w:rPr>
          <w:i/>
          <w:color w:val="000000" w:themeColor="text1"/>
        </w:rPr>
        <w:t>Nature Letters</w:t>
      </w:r>
      <w:r w:rsidRPr="0086552A">
        <w:rPr>
          <w:color w:val="000000" w:themeColor="text1"/>
        </w:rPr>
        <w:t xml:space="preserve">, 438: 347-350. </w:t>
      </w:r>
    </w:p>
    <w:p w14:paraId="7E8F817F" w14:textId="77777777"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t>Mitton JB, Grant MC, and Yoshino AM. (1998) Variation in allozymes and stomatal size in pinyon (</w:t>
      </w:r>
      <w:r w:rsidRPr="0086552A">
        <w:rPr>
          <w:i/>
          <w:color w:val="000000" w:themeColor="text1"/>
        </w:rPr>
        <w:t xml:space="preserve">Pinus edulis, Pinaceae), </w:t>
      </w:r>
      <w:r w:rsidRPr="0086552A">
        <w:rPr>
          <w:color w:val="000000" w:themeColor="text1"/>
        </w:rPr>
        <w:t xml:space="preserve">associated with soil moisture. </w:t>
      </w:r>
      <w:r w:rsidRPr="0086552A">
        <w:rPr>
          <w:i/>
          <w:color w:val="000000" w:themeColor="text1"/>
        </w:rPr>
        <w:t>American Journal of Botany</w:t>
      </w:r>
      <w:r w:rsidRPr="0086552A">
        <w:rPr>
          <w:color w:val="000000" w:themeColor="text1"/>
        </w:rPr>
        <w:t>, 85(9): 1262-1265.</w:t>
      </w:r>
    </w:p>
    <w:p w14:paraId="6267F18D" w14:textId="77777777"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t xml:space="preserve">Perry LG, Andersen, DC, Reynolds LV, Nelson SM, </w:t>
      </w:r>
      <w:proofErr w:type="spellStart"/>
      <w:r w:rsidRPr="0086552A">
        <w:rPr>
          <w:color w:val="000000" w:themeColor="text1"/>
        </w:rPr>
        <w:t>Shafroth</w:t>
      </w:r>
      <w:proofErr w:type="spellEnd"/>
      <w:r w:rsidRPr="0086552A">
        <w:rPr>
          <w:color w:val="000000" w:themeColor="text1"/>
        </w:rPr>
        <w:t xml:space="preserve"> PB. (2012) Vulnerability of riparian ecosystems to elevated CO2 and climate change in arid and semiarid western North America. </w:t>
      </w:r>
      <w:r w:rsidRPr="0086552A">
        <w:rPr>
          <w:i/>
          <w:color w:val="000000" w:themeColor="text1"/>
        </w:rPr>
        <w:t>Global Change Biology</w:t>
      </w:r>
      <w:r w:rsidRPr="0086552A">
        <w:rPr>
          <w:color w:val="000000" w:themeColor="text1"/>
        </w:rPr>
        <w:t>, 18: 821-842.</w:t>
      </w:r>
    </w:p>
    <w:p w14:paraId="48AA9759" w14:textId="77777777"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t xml:space="preserve">Peterson ML, </w:t>
      </w:r>
      <w:proofErr w:type="spellStart"/>
      <w:r w:rsidRPr="0086552A">
        <w:rPr>
          <w:color w:val="000000" w:themeColor="text1"/>
        </w:rPr>
        <w:t>Doak</w:t>
      </w:r>
      <w:proofErr w:type="spellEnd"/>
      <w:r w:rsidRPr="0086552A">
        <w:rPr>
          <w:color w:val="000000" w:themeColor="text1"/>
        </w:rPr>
        <w:t xml:space="preserve"> DF, and Morris WF. (2019) Incorporating local adaptation into forecasts of species’ distribution and abundance under climate change. </w:t>
      </w:r>
      <w:r w:rsidRPr="0086552A">
        <w:rPr>
          <w:i/>
          <w:color w:val="000000" w:themeColor="text1"/>
        </w:rPr>
        <w:t>Global Change Biology</w:t>
      </w:r>
      <w:r w:rsidRPr="0086552A">
        <w:rPr>
          <w:color w:val="000000" w:themeColor="text1"/>
        </w:rPr>
        <w:t>, 25: 775-793.</w:t>
      </w:r>
    </w:p>
    <w:p w14:paraId="537D051A" w14:textId="77777777"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t xml:space="preserve">Phillips SJ, et al. (2006) Maximum entropy modeling of species geographic distributions. </w:t>
      </w:r>
      <w:r w:rsidRPr="0086552A">
        <w:rPr>
          <w:i/>
          <w:color w:val="000000" w:themeColor="text1"/>
        </w:rPr>
        <w:t>Ecological Modeling</w:t>
      </w:r>
      <w:r w:rsidRPr="0086552A">
        <w:rPr>
          <w:color w:val="000000" w:themeColor="text1"/>
        </w:rPr>
        <w:t>, 190: 231-259.</w:t>
      </w:r>
    </w:p>
    <w:p w14:paraId="7E399321" w14:textId="22E1896E" w:rsidR="0086552A" w:rsidRPr="0086552A" w:rsidRDefault="0086552A" w:rsidP="001A325F">
      <w:pPr>
        <w:suppressLineNumbers/>
        <w:spacing w:line="276" w:lineRule="auto"/>
        <w:ind w:left="720" w:hanging="720"/>
        <w:jc w:val="both"/>
        <w:rPr>
          <w:color w:val="000000" w:themeColor="text1"/>
        </w:rPr>
      </w:pPr>
      <w:proofErr w:type="spellStart"/>
      <w:r w:rsidRPr="0086552A">
        <w:rPr>
          <w:color w:val="000000" w:themeColor="text1"/>
        </w:rPr>
        <w:t>Reager</w:t>
      </w:r>
      <w:proofErr w:type="spellEnd"/>
      <w:r w:rsidRPr="0086552A">
        <w:rPr>
          <w:color w:val="000000" w:themeColor="text1"/>
        </w:rPr>
        <w:t xml:space="preserve"> JT, Gardner AS, </w:t>
      </w:r>
      <w:proofErr w:type="spellStart"/>
      <w:r w:rsidRPr="0086552A">
        <w:rPr>
          <w:color w:val="000000" w:themeColor="text1"/>
        </w:rPr>
        <w:t>Famiglietti</w:t>
      </w:r>
      <w:proofErr w:type="spellEnd"/>
      <w:r w:rsidRPr="0086552A">
        <w:rPr>
          <w:color w:val="000000" w:themeColor="text1"/>
        </w:rPr>
        <w:t xml:space="preserve"> JS, Wiese DN, </w:t>
      </w:r>
      <w:proofErr w:type="spellStart"/>
      <w:r w:rsidRPr="0086552A">
        <w:rPr>
          <w:color w:val="000000" w:themeColor="text1"/>
        </w:rPr>
        <w:t>Eicker</w:t>
      </w:r>
      <w:proofErr w:type="spellEnd"/>
      <w:r w:rsidRPr="0086552A">
        <w:rPr>
          <w:color w:val="000000" w:themeColor="text1"/>
        </w:rPr>
        <w:t xml:space="preserve"> A, and Lo M-H</w:t>
      </w:r>
      <w:r w:rsidR="004C01B0">
        <w:rPr>
          <w:color w:val="000000" w:themeColor="text1"/>
        </w:rPr>
        <w:t>.</w:t>
      </w:r>
      <w:r w:rsidRPr="0086552A">
        <w:rPr>
          <w:color w:val="000000" w:themeColor="text1"/>
        </w:rPr>
        <w:t xml:space="preserve"> (2016) </w:t>
      </w:r>
      <w:r w:rsidRPr="0086552A">
        <w:rPr>
          <w:bCs/>
          <w:color w:val="000000" w:themeColor="text1"/>
        </w:rPr>
        <w:t xml:space="preserve">A decade of sea level rise slowed by climate-driven hydrology. </w:t>
      </w:r>
      <w:r w:rsidRPr="0086552A">
        <w:rPr>
          <w:i/>
          <w:iCs/>
          <w:color w:val="000000" w:themeColor="text1"/>
        </w:rPr>
        <w:t>Science</w:t>
      </w:r>
      <w:r w:rsidR="000639E6">
        <w:rPr>
          <w:i/>
          <w:iCs/>
          <w:color w:val="000000" w:themeColor="text1"/>
        </w:rPr>
        <w:t>,</w:t>
      </w:r>
      <w:r w:rsidRPr="0086552A">
        <w:rPr>
          <w:i/>
          <w:iCs/>
          <w:color w:val="000000" w:themeColor="text1"/>
        </w:rPr>
        <w:t xml:space="preserve"> </w:t>
      </w:r>
      <w:r w:rsidRPr="0086552A">
        <w:rPr>
          <w:bCs/>
          <w:color w:val="000000" w:themeColor="text1"/>
        </w:rPr>
        <w:t>351</w:t>
      </w:r>
      <w:r w:rsidRPr="0086552A">
        <w:rPr>
          <w:color w:val="000000" w:themeColor="text1"/>
        </w:rPr>
        <w:t>(6274)</w:t>
      </w:r>
      <w:r w:rsidR="000639E6">
        <w:rPr>
          <w:color w:val="000000" w:themeColor="text1"/>
        </w:rPr>
        <w:t xml:space="preserve">: </w:t>
      </w:r>
      <w:r w:rsidRPr="0086552A">
        <w:rPr>
          <w:color w:val="000000" w:themeColor="text1"/>
        </w:rPr>
        <w:t>699-703.</w:t>
      </w:r>
    </w:p>
    <w:p w14:paraId="01CE4D48" w14:textId="5BED14C3"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t xml:space="preserve">Rowland L, et al. (2015) Death from drought in tropical forests is triggered by hydraulics not carbon starvation. </w:t>
      </w:r>
      <w:r w:rsidRPr="0086552A">
        <w:rPr>
          <w:i/>
          <w:color w:val="000000" w:themeColor="text1"/>
        </w:rPr>
        <w:t>Nature,</w:t>
      </w:r>
      <w:r w:rsidRPr="0086552A">
        <w:rPr>
          <w:color w:val="000000" w:themeColor="text1"/>
        </w:rPr>
        <w:t xml:space="preserve"> 528: 119-122.</w:t>
      </w:r>
    </w:p>
    <w:p w14:paraId="62777309" w14:textId="663A8105"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lastRenderedPageBreak/>
        <w:t xml:space="preserve">Scanlon BR, </w:t>
      </w:r>
      <w:proofErr w:type="spellStart"/>
      <w:r w:rsidRPr="0086552A">
        <w:rPr>
          <w:color w:val="000000" w:themeColor="text1"/>
        </w:rPr>
        <w:t>Keese</w:t>
      </w:r>
      <w:proofErr w:type="spellEnd"/>
      <w:r w:rsidRPr="0086552A">
        <w:rPr>
          <w:color w:val="000000" w:themeColor="text1"/>
        </w:rPr>
        <w:t xml:space="preserve"> KE, Flint AL, Flit LE, Gaye CB, Edmunds WM, and Simmers I</w:t>
      </w:r>
      <w:r w:rsidR="004C01B0">
        <w:rPr>
          <w:color w:val="000000" w:themeColor="text1"/>
        </w:rPr>
        <w:t>.</w:t>
      </w:r>
      <w:r w:rsidRPr="0086552A">
        <w:rPr>
          <w:color w:val="000000" w:themeColor="text1"/>
        </w:rPr>
        <w:t xml:space="preserve"> (2006) Global synthesis of groundwater recharge in semiarid and arid regions. </w:t>
      </w:r>
      <w:r w:rsidRPr="0086552A">
        <w:rPr>
          <w:i/>
          <w:color w:val="000000" w:themeColor="text1"/>
        </w:rPr>
        <w:t>Hydrological Processes</w:t>
      </w:r>
      <w:r w:rsidRPr="0086552A">
        <w:rPr>
          <w:color w:val="000000" w:themeColor="text1"/>
        </w:rPr>
        <w:t>, 20: 3335-3370.</w:t>
      </w:r>
    </w:p>
    <w:p w14:paraId="1B84FCBC" w14:textId="6D748D79"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t>Stettler RF, Bradshaw HD Jr, Heilman PE, and Hinckley TM</w:t>
      </w:r>
      <w:r w:rsidR="004C01B0">
        <w:rPr>
          <w:color w:val="000000" w:themeColor="text1"/>
        </w:rPr>
        <w:t>.</w:t>
      </w:r>
      <w:r w:rsidRPr="0086552A">
        <w:rPr>
          <w:color w:val="000000" w:themeColor="text1"/>
        </w:rPr>
        <w:t xml:space="preserve"> (1996) Biology of </w:t>
      </w:r>
      <w:r w:rsidRPr="004B4C00">
        <w:rPr>
          <w:i/>
          <w:iCs/>
          <w:color w:val="000000" w:themeColor="text1"/>
        </w:rPr>
        <w:t>Populus</w:t>
      </w:r>
      <w:r w:rsidRPr="0086552A">
        <w:rPr>
          <w:color w:val="000000" w:themeColor="text1"/>
        </w:rPr>
        <w:t xml:space="preserve"> and its implications for management and conservation. NRC Research Press, Ottawa, Ontario, Canada. </w:t>
      </w:r>
    </w:p>
    <w:p w14:paraId="57E08852" w14:textId="77777777"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t xml:space="preserve">Taiz L, and Zeiger E (1991) Plant Physiology. The Benjamin/Cummings Publishing Company, Inc. </w:t>
      </w:r>
    </w:p>
    <w:p w14:paraId="5BDA8B54" w14:textId="77777777" w:rsidR="0086552A" w:rsidRPr="0086552A" w:rsidRDefault="0086552A" w:rsidP="001A325F">
      <w:pPr>
        <w:suppressLineNumbers/>
        <w:spacing w:line="276" w:lineRule="auto"/>
        <w:ind w:left="720" w:hanging="720"/>
        <w:jc w:val="both"/>
        <w:rPr>
          <w:color w:val="000000" w:themeColor="text1"/>
        </w:rPr>
      </w:pPr>
      <w:r w:rsidRPr="0086552A">
        <w:rPr>
          <w:color w:val="000000" w:themeColor="text1"/>
        </w:rPr>
        <w:t xml:space="preserve">Tilman D, Lehman C, and Thomson K (1997) Plant diversity and ecosystem productivity: theoretical considerations. </w:t>
      </w:r>
      <w:r w:rsidRPr="0086552A">
        <w:rPr>
          <w:i/>
          <w:color w:val="000000" w:themeColor="text1"/>
        </w:rPr>
        <w:t>PNAS USA</w:t>
      </w:r>
      <w:r w:rsidRPr="0086552A">
        <w:rPr>
          <w:color w:val="000000" w:themeColor="text1"/>
        </w:rPr>
        <w:t>, 94: 1857-61.</w:t>
      </w:r>
    </w:p>
    <w:p w14:paraId="6A1FF1AD" w14:textId="416201A0" w:rsidR="0086552A" w:rsidRPr="0086552A" w:rsidRDefault="0086552A" w:rsidP="001A325F">
      <w:pPr>
        <w:suppressLineNumbers/>
        <w:spacing w:line="276" w:lineRule="auto"/>
        <w:ind w:left="720" w:hanging="720"/>
        <w:jc w:val="both"/>
        <w:rPr>
          <w:color w:val="000000" w:themeColor="text1"/>
        </w:rPr>
      </w:pPr>
      <w:proofErr w:type="spellStart"/>
      <w:r w:rsidRPr="0086552A">
        <w:rPr>
          <w:color w:val="000000" w:themeColor="text1"/>
        </w:rPr>
        <w:t>Ukkola</w:t>
      </w:r>
      <w:proofErr w:type="spellEnd"/>
      <w:r w:rsidRPr="0086552A">
        <w:rPr>
          <w:color w:val="000000" w:themeColor="text1"/>
        </w:rPr>
        <w:t xml:space="preserve">, AM, Prentice IC, Keenan TF, van Dijk AIJM, </w:t>
      </w:r>
      <w:proofErr w:type="spellStart"/>
      <w:r w:rsidRPr="0086552A">
        <w:rPr>
          <w:color w:val="000000" w:themeColor="text1"/>
        </w:rPr>
        <w:t>Viney</w:t>
      </w:r>
      <w:proofErr w:type="spellEnd"/>
      <w:r w:rsidRPr="0086552A">
        <w:rPr>
          <w:color w:val="000000" w:themeColor="text1"/>
        </w:rPr>
        <w:t xml:space="preserve"> NR, Myneni RB, and Bi J</w:t>
      </w:r>
      <w:r w:rsidR="004C01B0">
        <w:rPr>
          <w:color w:val="000000" w:themeColor="text1"/>
        </w:rPr>
        <w:t>.</w:t>
      </w:r>
      <w:r w:rsidRPr="0086552A">
        <w:rPr>
          <w:color w:val="000000" w:themeColor="text1"/>
        </w:rPr>
        <w:t xml:space="preserve"> (2016). Reduced streamflow in water-stressed climates consistent with CO2 effects on vegetation. </w:t>
      </w:r>
      <w:r w:rsidRPr="0086552A">
        <w:rPr>
          <w:i/>
          <w:color w:val="000000" w:themeColor="text1"/>
        </w:rPr>
        <w:t>Nature Climate Change,</w:t>
      </w:r>
      <w:r w:rsidRPr="0086552A">
        <w:rPr>
          <w:color w:val="000000" w:themeColor="text1"/>
        </w:rPr>
        <w:t xml:space="preserve"> 6: 75-80.</w:t>
      </w:r>
    </w:p>
    <w:p w14:paraId="668763B8" w14:textId="3F39FF14" w:rsidR="0086552A" w:rsidRPr="0086552A" w:rsidRDefault="0086552A" w:rsidP="001A325F">
      <w:pPr>
        <w:suppressLineNumbers/>
        <w:spacing w:line="276" w:lineRule="auto"/>
        <w:ind w:left="720" w:hanging="720"/>
        <w:jc w:val="both"/>
        <w:rPr>
          <w:color w:val="000000" w:themeColor="text1"/>
        </w:rPr>
      </w:pPr>
      <w:proofErr w:type="spellStart"/>
      <w:r w:rsidRPr="0086552A">
        <w:rPr>
          <w:color w:val="000000" w:themeColor="text1"/>
        </w:rPr>
        <w:t>Urli</w:t>
      </w:r>
      <w:proofErr w:type="spellEnd"/>
      <w:r w:rsidRPr="0086552A">
        <w:rPr>
          <w:color w:val="000000" w:themeColor="text1"/>
        </w:rPr>
        <w:t xml:space="preserve"> M, Porte AJ, </w:t>
      </w:r>
      <w:proofErr w:type="spellStart"/>
      <w:r w:rsidRPr="0086552A">
        <w:rPr>
          <w:color w:val="000000" w:themeColor="text1"/>
        </w:rPr>
        <w:t>Cochard</w:t>
      </w:r>
      <w:proofErr w:type="spellEnd"/>
      <w:r w:rsidRPr="0086552A">
        <w:rPr>
          <w:color w:val="000000" w:themeColor="text1"/>
        </w:rPr>
        <w:t xml:space="preserve"> H, </w:t>
      </w:r>
      <w:proofErr w:type="spellStart"/>
      <w:r w:rsidRPr="0086552A">
        <w:rPr>
          <w:color w:val="000000" w:themeColor="text1"/>
        </w:rPr>
        <w:t>Guengant</w:t>
      </w:r>
      <w:proofErr w:type="spellEnd"/>
      <w:r w:rsidRPr="0086552A">
        <w:rPr>
          <w:color w:val="000000" w:themeColor="text1"/>
        </w:rPr>
        <w:t xml:space="preserve"> Y, </w:t>
      </w:r>
      <w:proofErr w:type="spellStart"/>
      <w:r w:rsidRPr="0086552A">
        <w:rPr>
          <w:color w:val="000000" w:themeColor="text1"/>
        </w:rPr>
        <w:t>Burlett</w:t>
      </w:r>
      <w:proofErr w:type="spellEnd"/>
      <w:r w:rsidRPr="0086552A">
        <w:rPr>
          <w:color w:val="000000" w:themeColor="text1"/>
        </w:rPr>
        <w:t xml:space="preserve"> R, </w:t>
      </w:r>
      <w:proofErr w:type="spellStart"/>
      <w:r w:rsidRPr="0086552A">
        <w:rPr>
          <w:color w:val="000000" w:themeColor="text1"/>
        </w:rPr>
        <w:t>Delzon</w:t>
      </w:r>
      <w:proofErr w:type="spellEnd"/>
      <w:r w:rsidRPr="0086552A">
        <w:rPr>
          <w:color w:val="000000" w:themeColor="text1"/>
        </w:rPr>
        <w:t xml:space="preserve"> S. (2013) Xylem embolism threshold for catastrophic hydraulic failure in angiosperm trees. </w:t>
      </w:r>
      <w:r w:rsidRPr="0086552A">
        <w:rPr>
          <w:i/>
          <w:color w:val="000000" w:themeColor="text1"/>
        </w:rPr>
        <w:t xml:space="preserve">Tree </w:t>
      </w:r>
      <w:r w:rsidRPr="004C01B0">
        <w:rPr>
          <w:i/>
          <w:color w:val="000000" w:themeColor="text1"/>
        </w:rPr>
        <w:t>Physiol</w:t>
      </w:r>
      <w:r w:rsidR="004C01B0" w:rsidRPr="004C01B0">
        <w:rPr>
          <w:i/>
          <w:color w:val="000000" w:themeColor="text1"/>
        </w:rPr>
        <w:t>ogy</w:t>
      </w:r>
      <w:r w:rsidRPr="004C01B0">
        <w:rPr>
          <w:i/>
          <w:color w:val="000000" w:themeColor="text1"/>
        </w:rPr>
        <w:t>,</w:t>
      </w:r>
      <w:r w:rsidRPr="0086552A">
        <w:rPr>
          <w:color w:val="000000" w:themeColor="text1"/>
        </w:rPr>
        <w:t xml:space="preserve"> 33: 672-683.</w:t>
      </w:r>
    </w:p>
    <w:p w14:paraId="73097CEE" w14:textId="77777777" w:rsidR="0086552A" w:rsidRPr="0086552A" w:rsidRDefault="0086552A" w:rsidP="001A325F">
      <w:pPr>
        <w:suppressLineNumbers/>
        <w:spacing w:line="276" w:lineRule="auto"/>
        <w:ind w:left="720" w:hanging="720"/>
        <w:jc w:val="both"/>
        <w:rPr>
          <w:rFonts w:eastAsiaTheme="minorHAnsi"/>
          <w:color w:val="000000" w:themeColor="text1"/>
        </w:rPr>
      </w:pPr>
      <w:r w:rsidRPr="0086552A">
        <w:rPr>
          <w:color w:val="000000" w:themeColor="text1"/>
        </w:rPr>
        <w:t xml:space="preserve">Ware IM, Fitzpatrick CR, </w:t>
      </w:r>
      <w:proofErr w:type="spellStart"/>
      <w:r w:rsidRPr="0086552A">
        <w:rPr>
          <w:color w:val="000000" w:themeColor="text1"/>
        </w:rPr>
        <w:t>Senthilnathan</w:t>
      </w:r>
      <w:proofErr w:type="spellEnd"/>
      <w:r w:rsidRPr="0086552A">
        <w:rPr>
          <w:color w:val="000000" w:themeColor="text1"/>
        </w:rPr>
        <w:t xml:space="preserve"> A, Bayliss SLJ, </w:t>
      </w:r>
      <w:proofErr w:type="spellStart"/>
      <w:r w:rsidRPr="0086552A">
        <w:rPr>
          <w:color w:val="000000" w:themeColor="text1"/>
        </w:rPr>
        <w:t>Beals</w:t>
      </w:r>
      <w:proofErr w:type="spellEnd"/>
      <w:r w:rsidRPr="0086552A">
        <w:rPr>
          <w:color w:val="000000" w:themeColor="text1"/>
        </w:rPr>
        <w:t xml:space="preserve"> KK, Mueller LO, et al. (2019) Feedbacks link ecosystem ecology and evolution across spatial and temporal scales: Empirical evidence and future directions. </w:t>
      </w:r>
      <w:r w:rsidRPr="0086552A">
        <w:rPr>
          <w:i/>
          <w:color w:val="000000" w:themeColor="text1"/>
        </w:rPr>
        <w:t>Functional Ecology</w:t>
      </w:r>
      <w:r w:rsidRPr="0086552A">
        <w:rPr>
          <w:color w:val="000000" w:themeColor="text1"/>
        </w:rPr>
        <w:t>, 33: 31-42.</w:t>
      </w:r>
    </w:p>
    <w:p w14:paraId="4E0AB6AA" w14:textId="2EFB803A" w:rsidR="0086552A" w:rsidRPr="0086552A" w:rsidRDefault="0086552A" w:rsidP="001A325F">
      <w:pPr>
        <w:suppressLineNumbers/>
        <w:spacing w:line="276" w:lineRule="auto"/>
        <w:ind w:left="720" w:hanging="720"/>
        <w:jc w:val="both"/>
        <w:rPr>
          <w:color w:val="000000" w:themeColor="text1"/>
          <w:shd w:val="clear" w:color="auto" w:fill="FFFFFF"/>
        </w:rPr>
      </w:pPr>
      <w:r w:rsidRPr="0086552A">
        <w:rPr>
          <w:color w:val="000000" w:themeColor="text1"/>
          <w:shd w:val="clear" w:color="auto" w:fill="FFFFFF"/>
        </w:rPr>
        <w:t xml:space="preserve">Whitham TG, Young WP, Martinsen GD, Gehring CA, Schweitzer JA, Shuster SM, Wimp GM, Fischer DG, Bailey JK, </w:t>
      </w:r>
      <w:proofErr w:type="spellStart"/>
      <w:r w:rsidRPr="0086552A">
        <w:rPr>
          <w:color w:val="000000" w:themeColor="text1"/>
          <w:shd w:val="clear" w:color="auto" w:fill="FFFFFF"/>
        </w:rPr>
        <w:t>Lindroth</w:t>
      </w:r>
      <w:proofErr w:type="spellEnd"/>
      <w:r w:rsidRPr="0086552A">
        <w:rPr>
          <w:color w:val="000000" w:themeColor="text1"/>
          <w:shd w:val="clear" w:color="auto" w:fill="FFFFFF"/>
        </w:rPr>
        <w:t xml:space="preserve"> RL, </w:t>
      </w:r>
      <w:proofErr w:type="spellStart"/>
      <w:r w:rsidRPr="0086552A">
        <w:rPr>
          <w:color w:val="000000" w:themeColor="text1"/>
          <w:shd w:val="clear" w:color="auto" w:fill="FFFFFF"/>
        </w:rPr>
        <w:t>Woolbright</w:t>
      </w:r>
      <w:proofErr w:type="spellEnd"/>
      <w:r w:rsidRPr="0086552A">
        <w:rPr>
          <w:color w:val="000000" w:themeColor="text1"/>
          <w:shd w:val="clear" w:color="auto" w:fill="FFFFFF"/>
        </w:rPr>
        <w:t xml:space="preserve"> S, </w:t>
      </w:r>
      <w:proofErr w:type="spellStart"/>
      <w:r w:rsidRPr="0086552A">
        <w:rPr>
          <w:color w:val="000000" w:themeColor="text1"/>
          <w:shd w:val="clear" w:color="auto" w:fill="FFFFFF"/>
        </w:rPr>
        <w:t>Kuske</w:t>
      </w:r>
      <w:proofErr w:type="spellEnd"/>
      <w:r w:rsidRPr="0086552A">
        <w:rPr>
          <w:color w:val="000000" w:themeColor="text1"/>
          <w:shd w:val="clear" w:color="auto" w:fill="FFFFFF"/>
        </w:rPr>
        <w:t xml:space="preserve"> CR</w:t>
      </w:r>
      <w:r w:rsidR="004C01B0">
        <w:rPr>
          <w:color w:val="000000" w:themeColor="text1"/>
          <w:shd w:val="clear" w:color="auto" w:fill="FFFFFF"/>
        </w:rPr>
        <w:t>.</w:t>
      </w:r>
      <w:r w:rsidRPr="0086552A">
        <w:rPr>
          <w:color w:val="000000" w:themeColor="text1"/>
          <w:shd w:val="clear" w:color="auto" w:fill="FFFFFF"/>
        </w:rPr>
        <w:t xml:space="preserve"> (2003) Community and Ecosystem Genetics: A Consequence of the Extended Phenotype. </w:t>
      </w:r>
      <w:r w:rsidRPr="0086552A">
        <w:rPr>
          <w:i/>
          <w:color w:val="000000" w:themeColor="text1"/>
          <w:shd w:val="clear" w:color="auto" w:fill="FFFFFF"/>
        </w:rPr>
        <w:t>Ecology,</w:t>
      </w:r>
      <w:r w:rsidRPr="0086552A">
        <w:rPr>
          <w:color w:val="000000" w:themeColor="text1"/>
          <w:shd w:val="clear" w:color="auto" w:fill="FFFFFF"/>
        </w:rPr>
        <w:t xml:space="preserve"> 84: 559-573. </w:t>
      </w:r>
    </w:p>
    <w:p w14:paraId="680E95C8" w14:textId="3C18DC7A" w:rsidR="00E443E3" w:rsidRPr="0086552A" w:rsidRDefault="0086552A" w:rsidP="001A325F">
      <w:pPr>
        <w:suppressLineNumbers/>
        <w:spacing w:line="276" w:lineRule="auto"/>
        <w:ind w:left="720" w:hanging="720"/>
        <w:jc w:val="both"/>
        <w:rPr>
          <w:color w:val="000000" w:themeColor="text1"/>
        </w:rPr>
      </w:pPr>
      <w:r w:rsidRPr="0086552A">
        <w:rPr>
          <w:color w:val="000000" w:themeColor="text1"/>
        </w:rPr>
        <w:t xml:space="preserve">Whitham, TG et al. (2006) A framework for community and ecosystem genetics: from genes to ecosystems. </w:t>
      </w:r>
      <w:r w:rsidRPr="0086552A">
        <w:rPr>
          <w:i/>
          <w:color w:val="000000" w:themeColor="text1"/>
        </w:rPr>
        <w:t>Nat</w:t>
      </w:r>
      <w:r w:rsidR="004C01B0">
        <w:rPr>
          <w:i/>
          <w:color w:val="000000" w:themeColor="text1"/>
        </w:rPr>
        <w:t>ure</w:t>
      </w:r>
      <w:r w:rsidRPr="0086552A">
        <w:rPr>
          <w:i/>
          <w:color w:val="000000" w:themeColor="text1"/>
        </w:rPr>
        <w:t xml:space="preserve"> Rev</w:t>
      </w:r>
      <w:r w:rsidR="004C01B0">
        <w:rPr>
          <w:i/>
          <w:color w:val="000000" w:themeColor="text1"/>
        </w:rPr>
        <w:t>iews</w:t>
      </w:r>
      <w:r w:rsidRPr="0086552A">
        <w:rPr>
          <w:i/>
          <w:color w:val="000000" w:themeColor="text1"/>
        </w:rPr>
        <w:t xml:space="preserve"> Gene</w:t>
      </w:r>
      <w:r w:rsidR="004C01B0">
        <w:rPr>
          <w:i/>
          <w:color w:val="000000" w:themeColor="text1"/>
        </w:rPr>
        <w:t>tics</w:t>
      </w:r>
      <w:r w:rsidRPr="0086552A">
        <w:rPr>
          <w:i/>
          <w:color w:val="000000" w:themeColor="text1"/>
        </w:rPr>
        <w:t>,</w:t>
      </w:r>
      <w:r w:rsidRPr="0086552A">
        <w:rPr>
          <w:color w:val="000000" w:themeColor="text1"/>
        </w:rPr>
        <w:t xml:space="preserve"> 7: 510-523.</w:t>
      </w:r>
    </w:p>
    <w:p w14:paraId="260396D1" w14:textId="77777777" w:rsidR="003D07F7" w:rsidRPr="00DF7C87" w:rsidRDefault="00DD00DE" w:rsidP="001A325F">
      <w:pPr>
        <w:spacing w:line="276" w:lineRule="auto"/>
        <w:ind w:left="720" w:hanging="720"/>
      </w:pPr>
      <w:r w:rsidRPr="00DF7C87">
        <w:br w:type="page"/>
      </w:r>
    </w:p>
    <w:p w14:paraId="72BD8858" w14:textId="1C2BAA61" w:rsidR="00003F6A" w:rsidRPr="00DF7C87" w:rsidRDefault="003C7FC5" w:rsidP="005E54E2">
      <w:pPr>
        <w:pStyle w:val="Heading1"/>
        <w:rPr>
          <w:szCs w:val="28"/>
        </w:rPr>
      </w:pPr>
      <w:bookmarkStart w:id="3" w:name="_Toc289175825"/>
      <w:bookmarkStart w:id="4" w:name="_Toc88056472"/>
      <w:r w:rsidRPr="00DF7C87">
        <w:rPr>
          <w:szCs w:val="28"/>
        </w:rPr>
        <w:lastRenderedPageBreak/>
        <w:t>CHAPTER I</w:t>
      </w:r>
      <w:r w:rsidR="00FF1665" w:rsidRPr="00DF7C87">
        <w:rPr>
          <w:szCs w:val="28"/>
        </w:rPr>
        <w:br/>
      </w:r>
      <w:bookmarkStart w:id="5" w:name="_Toc83051504"/>
      <w:bookmarkEnd w:id="3"/>
      <w:r w:rsidR="008D41B9">
        <w:rPr>
          <w:szCs w:val="28"/>
        </w:rPr>
        <w:t>Plant Genetic Variation Drives Geographic Differences in Atmosphere-Plant-Ecosystem Feedbacks</w:t>
      </w:r>
      <w:bookmarkEnd w:id="4"/>
      <w:bookmarkEnd w:id="5"/>
    </w:p>
    <w:p w14:paraId="6C248F8D" w14:textId="77777777" w:rsidR="00060A6A" w:rsidRPr="00DF7C87" w:rsidRDefault="00060A6A" w:rsidP="005E54E2"/>
    <w:p w14:paraId="1E1AF212" w14:textId="77777777" w:rsidR="00003F6A" w:rsidRPr="00DF7C87" w:rsidRDefault="00003F6A" w:rsidP="00334400">
      <w:pPr>
        <w:pStyle w:val="Heading3"/>
        <w:rPr>
          <w:szCs w:val="24"/>
        </w:rPr>
      </w:pPr>
      <w:r w:rsidRPr="00DF7C87">
        <w:rPr>
          <w:szCs w:val="24"/>
        </w:rPr>
        <w:br w:type="page"/>
      </w:r>
    </w:p>
    <w:p w14:paraId="580D956D" w14:textId="77777777" w:rsidR="004D30B5" w:rsidRPr="00A51466" w:rsidRDefault="00FA75A5" w:rsidP="00A51466">
      <w:pPr>
        <w:jc w:val="both"/>
      </w:pPr>
      <w:r w:rsidRPr="00DF7C87">
        <w:lastRenderedPageBreak/>
        <w:tab/>
      </w:r>
      <w:r w:rsidR="004D30B5" w:rsidRPr="00A51466">
        <w:t>A version of this chapter was originally published by Shannon L. J. Bayliss, Liam O. Mueller, Ian M. Ware, Jennifer A. Schweitzer, and Joseph K. Bailey:</w:t>
      </w:r>
    </w:p>
    <w:p w14:paraId="1C2A60EC" w14:textId="77777777" w:rsidR="004D30B5" w:rsidRPr="00A51466" w:rsidRDefault="004D30B5" w:rsidP="00A51466">
      <w:pPr>
        <w:jc w:val="both"/>
      </w:pPr>
    </w:p>
    <w:p w14:paraId="20D50DE9" w14:textId="77777777" w:rsidR="004D30B5" w:rsidRPr="00A51466" w:rsidRDefault="004D30B5" w:rsidP="00A51466">
      <w:pPr>
        <w:jc w:val="both"/>
      </w:pPr>
      <w:r w:rsidRPr="00A51466">
        <w:t xml:space="preserve">S.L.J. Bayliss et al. (2020). “Plant genetic variation drives geographic differences in atmosphere-plant-ecosystem feedbacks.” </w:t>
      </w:r>
      <w:r w:rsidRPr="00A51466">
        <w:rPr>
          <w:i/>
        </w:rPr>
        <w:t>Plant-Environment Interactions</w:t>
      </w:r>
      <w:r w:rsidRPr="00A51466">
        <w:t>, 00:1-15. http://doi.org/10.1002/pei3.10031</w:t>
      </w:r>
    </w:p>
    <w:p w14:paraId="288364C2" w14:textId="77777777" w:rsidR="004D30B5" w:rsidRPr="00A51466" w:rsidRDefault="004D30B5" w:rsidP="00A51466">
      <w:pPr>
        <w:jc w:val="both"/>
      </w:pPr>
    </w:p>
    <w:p w14:paraId="3641D1D7" w14:textId="59E305EE" w:rsidR="00FA75A5" w:rsidRPr="00A51466" w:rsidRDefault="004D30B5" w:rsidP="00A51466">
      <w:pPr>
        <w:jc w:val="both"/>
      </w:pPr>
      <w:r w:rsidRPr="00A51466">
        <w:t>SLJB and JKB conceived of the manuscript and ideas held within. SLJB collected data, analyzed data, and wrote the manuscript. LOM, IMW, JAS, and JKB all assisted with data collection and provided significant editorial and analytical advice.</w:t>
      </w:r>
    </w:p>
    <w:p w14:paraId="75675A64" w14:textId="77777777" w:rsidR="00A51466" w:rsidRPr="00A51466" w:rsidRDefault="00A51466" w:rsidP="00A51466">
      <w:pPr>
        <w:jc w:val="both"/>
      </w:pPr>
    </w:p>
    <w:p w14:paraId="4AD3FE4D" w14:textId="7BF0F3FD" w:rsidR="00FF1665" w:rsidRPr="00A51466" w:rsidRDefault="00FA75A5" w:rsidP="00A51466">
      <w:pPr>
        <w:pStyle w:val="Heading2"/>
        <w:spacing w:line="360" w:lineRule="auto"/>
        <w:rPr>
          <w:sz w:val="24"/>
          <w:szCs w:val="24"/>
        </w:rPr>
      </w:pPr>
      <w:bookmarkStart w:id="6" w:name="_Toc289175826"/>
      <w:bookmarkStart w:id="7" w:name="_Toc88056473"/>
      <w:r w:rsidRPr="00A51466">
        <w:rPr>
          <w:sz w:val="24"/>
          <w:szCs w:val="24"/>
        </w:rPr>
        <w:t>A</w:t>
      </w:r>
      <w:r w:rsidR="00FF1665" w:rsidRPr="00A51466">
        <w:rPr>
          <w:sz w:val="24"/>
          <w:szCs w:val="24"/>
        </w:rPr>
        <w:t>bstract</w:t>
      </w:r>
      <w:bookmarkEnd w:id="6"/>
      <w:bookmarkEnd w:id="7"/>
    </w:p>
    <w:p w14:paraId="097AD2F6" w14:textId="1903B3DA" w:rsidR="00A51466" w:rsidRPr="00A51466" w:rsidRDefault="004D30B5" w:rsidP="00A51466">
      <w:pPr>
        <w:snapToGrid w:val="0"/>
        <w:spacing w:line="360" w:lineRule="auto"/>
        <w:jc w:val="both"/>
        <w:rPr>
          <w:color w:val="000000" w:themeColor="text1"/>
        </w:rPr>
      </w:pPr>
      <w:bookmarkStart w:id="8" w:name="_Toc289175827"/>
      <w:r w:rsidRPr="00A51466">
        <w:t xml:space="preserve">The objective of this study was to understand how genetic variation in a riparian species, </w:t>
      </w:r>
      <w:r w:rsidRPr="00A51466">
        <w:rPr>
          <w:i/>
          <w:iCs/>
        </w:rPr>
        <w:t>Populus angustifolia</w:t>
      </w:r>
      <w:r w:rsidRPr="00A51466">
        <w:t xml:space="preserve">, affects mass and energy exchange between the land and atmosphere across ~1700 km of latitude of the western United States. </w:t>
      </w:r>
      <w:r w:rsidRPr="00A51466">
        <w:rPr>
          <w:color w:val="000000" w:themeColor="text1"/>
        </w:rPr>
        <w:t xml:space="preserve">To examine the potential for large-scale </w:t>
      </w:r>
      <w:r w:rsidRPr="00A51466">
        <w:t>land-atmosphere feedbacks in hydrologic processes driven by geographic differences in plant population traits, we</w:t>
      </w:r>
      <w:r w:rsidRPr="00A51466">
        <w:rPr>
          <w:color w:val="000000" w:themeColor="text1"/>
        </w:rPr>
        <w:t xml:space="preserve"> use a physical hydrology model, paired field and greenhouse observations of plant traits</w:t>
      </w:r>
      <w:r w:rsidRPr="00A51466">
        <w:t>, a</w:t>
      </w:r>
      <w:r w:rsidRPr="00A51466">
        <w:rPr>
          <w:iCs/>
          <w:color w:val="000000" w:themeColor="text1"/>
        </w:rPr>
        <w:t xml:space="preserve">nd </w:t>
      </w:r>
      <w:r w:rsidRPr="00A51466">
        <w:rPr>
          <w:color w:val="000000" w:themeColor="text1"/>
        </w:rPr>
        <w:t xml:space="preserve">stable isotope compositions of soil, stem, and leaf water of </w:t>
      </w:r>
      <w:r w:rsidRPr="00A51466">
        <w:rPr>
          <w:i/>
          <w:iCs/>
          <w:color w:val="000000" w:themeColor="text1"/>
        </w:rPr>
        <w:t>P. angustifolia</w:t>
      </w:r>
      <w:r w:rsidRPr="00A51466">
        <w:rPr>
          <w:color w:val="000000" w:themeColor="text1"/>
        </w:rPr>
        <w:t xml:space="preserve"> populations.</w:t>
      </w:r>
      <w:r w:rsidRPr="00A51466">
        <w:t xml:space="preserve"> Populations show patterns of local adaptation in traits related to landscape hydrologic functioning – a </w:t>
      </w:r>
      <w:r w:rsidRPr="00A51466">
        <w:rPr>
          <w:color w:val="000000" w:themeColor="text1"/>
        </w:rPr>
        <w:t>47% difference in stomatal density in greenhouse conditions and a 74% difference in stomatal ratio in the field. Trait and stable isotope differences reveal that populations use water differently which is related to historical landscape hydrologic functioning (evapotranspiration and streamflow).</w:t>
      </w:r>
      <w:r w:rsidRPr="00A51466">
        <w:t xml:space="preserve"> </w:t>
      </w:r>
      <w:r w:rsidRPr="00A51466">
        <w:rPr>
          <w:color w:val="000000" w:themeColor="text1"/>
        </w:rPr>
        <w:t>Overall, results suggest that populations from landscapes with different hydrologic histories will differ in their ability to maintain favorable water balance with changing atmospheric demands for water, with ecosystem consequences.</w:t>
      </w:r>
    </w:p>
    <w:p w14:paraId="6CD12584" w14:textId="0C3EA23F" w:rsidR="003C7FC5" w:rsidRPr="00A51466" w:rsidRDefault="004D30B5" w:rsidP="00A51466">
      <w:pPr>
        <w:pStyle w:val="Heading2"/>
        <w:spacing w:line="360" w:lineRule="auto"/>
        <w:rPr>
          <w:sz w:val="24"/>
          <w:szCs w:val="24"/>
        </w:rPr>
      </w:pPr>
      <w:bookmarkStart w:id="9" w:name="_Toc88056474"/>
      <w:bookmarkEnd w:id="8"/>
      <w:r w:rsidRPr="00A51466">
        <w:rPr>
          <w:sz w:val="24"/>
          <w:szCs w:val="24"/>
        </w:rPr>
        <w:t>Introduction</w:t>
      </w:r>
      <w:bookmarkEnd w:id="9"/>
    </w:p>
    <w:p w14:paraId="3F7DC8F0" w14:textId="77777777" w:rsidR="004D30B5" w:rsidRPr="00A51466" w:rsidRDefault="004D30B5" w:rsidP="00A51466">
      <w:pPr>
        <w:spacing w:line="360" w:lineRule="auto"/>
        <w:jc w:val="both"/>
      </w:pPr>
      <w:r w:rsidRPr="00A51466">
        <w:rPr>
          <w:color w:val="000000" w:themeColor="text1"/>
        </w:rPr>
        <w:t xml:space="preserve">Alterations to species distributions will accompany global climatic changes, consequently destabilizing the functions and services that diverse ecosystems provide </w:t>
      </w:r>
      <w:r w:rsidRPr="00A51466">
        <w:rPr>
          <w:color w:val="000000" w:themeColor="text1"/>
        </w:rPr>
        <w:fldChar w:fldCharType="begin" w:fldLock="1"/>
      </w:r>
      <w:r w:rsidRPr="00A51466">
        <w:rPr>
          <w:color w:val="000000" w:themeColor="text1"/>
        </w:rPr>
        <w:instrText>ADDIN CSL_CITATION {"citationItems":[{"id":"ITEM-1","itemData":{"DOI":"10.1146/annurev.ecolsys.37.091305.110100","ISBN":"1543-592X","ISSN":"1543-592X","PMID":"243038500023","abstract":"Ecological changes in the phenology and distribution of plants and animals are occurring in all well-studied marine, freshwater, and terrestrial groups. These observed changes are heavily biased in the directions predicted from global warming and have been linked to local or regional climate change through correlations between climate and biological variation, field and laboratory experiments, and physiological research. Range-restricted species, particularly polar and mountain top species, show severe range contractions and have been the first groups in which entire species have gone extinct due to recent climate change. Tropical coral reefs and amphibians have been most negatively affected. Predator-prey and plant-insect interactions have been disrupted when interacting species have responded differently to warming. Evolutionary adaptations to warmer conditions have occurred in the interiors of species' ranges, and resource use and dispersal have evolved rapidly at expanding range margins. Observed genetic shifts modulate local effects of climate change, but there is little evidence that they will mitigate negative effects at the species level","author":[{"dropping-particle":"","family":"Parmesan","given":"Camille","non-dropping-particle":"","parse-names":false,"suffix":""}],"container-title":"Annual Review of Ecology, Evolution, and Systematics","id":"ITEM-1","issued":{"date-parts":[["2006"]]},"title":"Ecological and Evolutionary Responses to Recent Climate Change","type":"article-journal"},"uris":["http://www.mendeley.com/documents/?uuid=240305cb-2007-32c9-8992-7334898daccf"]},{"id":"ITEM-2","itemData":{"DOI":"10.1126/science.1210288","ISBN":"1095-9203 (Electronic)\\r0036-8075 (Linking)","ISSN":"10959203","PMID":"22053045","abstract":"Climate change challenges organisms to adapt or move to track changes in environments in space and time. We used two measures of thermal shifts from analyses of global temperatures over the past 50 years to describe the pace of climate change that species should track: the velocity of climate change (geographic shifts of isotherms over time) and the shift in seasonal timing of temperatures. Both measures are higher in the ocean than on land at some latitudes, despite slower ocean warming. These indices give a complex mosaic of predicted range shifts and phenology changes that deviate from simple poleward migration and earlier springs or later falls. They also emphasize potential conservation concerns, because areas of high marine biodiversity often have greater velocities of climate change and seasonal shifts.","author":[{"dropping-particle":"","family":"Burrows","given":"Michael T.","non-dropping-particle":"","parse-names":false,"suffix":""},{"dropping-particle":"","family":"Schoeman","given":"David S.","non-dropping-particle":"","parse-names":false,"suffix":""},{"dropping-particle":"","family":"Buckley","given":"Lauren B.","non-dropping-particle":"","parse-names":false,"suffix":""},{"dropping-particle":"","family":"Moore","given":"Pippa","non-dropping-particle":"","parse-names":false,"suffix":""},{"dropping-particle":"","family":"Poloczanska","given":"Elvira S.","non-dropping-particle":"","parse-names":false,"suffix":""},{"dropping-particle":"","family":"Brander","given":"Keith M.","non-dropping-particle":"","parse-names":false,"suffix":""},{"dropping-particle":"","family":"Brown","given":"Chris","non-dropping-particle":"","parse-names":false,"suffix":""},{"dropping-particle":"","family":"Bruno","given":"John F.","non-dropping-particle":"","parse-names":false,"suffix":""},{"dropping-particle":"","family":"Duarte","given":"Carlos M.","non-dropping-particle":"","parse-names":false,"suffix":""},{"dropping-particle":"","family":"Halpern","given":"Benjamin S.","non-dropping-particle":"","parse-names":false,"suffix":""},{"dropping-particle":"","family":"Holding","given":"Johnna","non-dropping-particle":"","parse-names":false,"suffix":""},{"dropping-particle":"V.","family":"Kappel","given":"Carrie","non-dropping-particle":"","parse-names":false,"suffix":""},{"dropping-particle":"","family":"Kiessling","given":"Wolfgang","non-dropping-particle":"","parse-names":false,"suffix":""},{"dropping-particle":"","family":"O'Connor","given":"Mary I.","non-dropping-particle":"","parse-names":false,"suffix":""},{"dropping-particle":"","family":"Pandolfi","given":"John M.","non-dropping-particle":"","parse-names":false,"suffix":""},{"dropping-particle":"","family":"Parmesan","given":"Camille","non-dropping-particle":"","parse-names":false,"suffix":""},{"dropping-particle":"","family":"Schwing","given":"Franklin B.","non-dropping-particle":"","parse-names":false,"suffix":""},{"dropping-particle":"","family":"Sydeman","given":"William J.","non-dropping-particle":"","parse-names":false,"suffix":""},{"dropping-particle":"","family":"Richardson","given":"Anthony J.","non-dropping-particle":"","parse-names":false,"suffix":""}],"container-title":"Science","id":"ITEM-2","issued":{"date-parts":[["2011"]]},"title":"The pace of shifting climate in marine and terrestrial ecosystems","type":"article-journal"},"uris":["http://www.mendeley.com/documents/?uuid=ef44183d-8fba-3d81-8a83-2ecb9db33386"]},{"id":"ITEM-3","itemData":{"author":[{"dropping-particle":"","family":"Naeem","given":"Shahid","non-dropping-particle":"","parse-names":false,"suffix":""},{"dropping-particle":"","family":"Duffy","given":"J. Emmett","non-dropping-particle":"","parse-names":false,"suffix":""},{"dropping-particle":"","family":"Zavaleta","given":"Erika","non-dropping-particle":"","parse-names":false,"suffix":""}],"container-title":"Science","id":"ITEM-3","issue":"6087","issued":{"date-parts":[["2012"]]},"title":"The Functions of Biological Diversity in an Age of Extinction","type":"article-journal","volume":"336"},"uris":["http://www.mendeley.com/documents/?uuid=77c673ec-8af2-3ff4-8b72-6aea2243ae4c"]},{"id":"ITEM-4","itemData":{"DOI":"10.1126/science.aaa4984","ISSN":"10959203","abstract":"At the Copenhagen conference our leaders failed to agree on a course of firm action against climate change. We present three articles on the post-Copenhagen world. In the first of them, Richard Chandler, Jonathan Rougier and Mat Collins describe statistical work that still needs to be done.","author":[{"dropping-particle":"","family":"Urban","given":"Mark C.","non-dropping-particle":"","parse-names":false,"suffix":""}],"container-title":"Science","id":"ITEM-4","issued":{"date-parts":[["2015"]]},"title":"Accelerating extinction risk from climate change","type":"article-journal"},"uris":["http://www.mendeley.com/documents/?uuid=7efc0c04-838e-4faf-9575-685cd3800e90"]}],"mendeley":{"formattedCitation":"(Parmesan, 2006; Burrows &lt;i&gt;et al.&lt;/i&gt;, 2011; Naeem &lt;i&gt;et al.&lt;/i&gt;, 2012; Urban, 2015)","plainTextFormattedCitation":"(Parmesan, 2006; Burrows et al., 2011; Naeem et al., 2012; Urban, 2015)","previouslyFormattedCitation":"(Parmesan, 2006; Burrows &lt;i&gt;et al.&lt;/i&gt;, 2011; Naeem &lt;i&gt;et al.&lt;/i&gt;, 2012; Urban, 2015)"},"properties":{"noteIndex":0},"schema":"https://github.com/citation-style-language/schema/raw/master/csl-citation.json"}</w:instrText>
      </w:r>
      <w:r w:rsidRPr="00A51466">
        <w:rPr>
          <w:color w:val="000000" w:themeColor="text1"/>
        </w:rPr>
        <w:fldChar w:fldCharType="separate"/>
      </w:r>
      <w:r w:rsidRPr="00A51466">
        <w:rPr>
          <w:noProof/>
          <w:color w:val="000000" w:themeColor="text1"/>
        </w:rPr>
        <w:t xml:space="preserve">(Parmesan 2006; Burrows </w:t>
      </w:r>
      <w:r w:rsidRPr="00A51466">
        <w:rPr>
          <w:i/>
          <w:noProof/>
          <w:color w:val="000000" w:themeColor="text1"/>
        </w:rPr>
        <w:t>et al.</w:t>
      </w:r>
      <w:r w:rsidRPr="00A51466">
        <w:rPr>
          <w:noProof/>
          <w:color w:val="000000" w:themeColor="text1"/>
        </w:rPr>
        <w:t xml:space="preserve"> 2011; Naeem </w:t>
      </w:r>
      <w:r w:rsidRPr="00A51466">
        <w:rPr>
          <w:i/>
          <w:noProof/>
          <w:color w:val="000000" w:themeColor="text1"/>
        </w:rPr>
        <w:t>et al.</w:t>
      </w:r>
      <w:r w:rsidRPr="00A51466">
        <w:rPr>
          <w:noProof/>
          <w:color w:val="000000" w:themeColor="text1"/>
        </w:rPr>
        <w:t xml:space="preserve"> 2012; Urban 2015)</w:t>
      </w:r>
      <w:r w:rsidRPr="00A51466">
        <w:rPr>
          <w:color w:val="000000" w:themeColor="text1"/>
        </w:rPr>
        <w:fldChar w:fldCharType="end"/>
      </w:r>
      <w:r w:rsidRPr="00A51466">
        <w:rPr>
          <w:color w:val="000000" w:themeColor="text1"/>
        </w:rPr>
        <w:t xml:space="preserve">. However, much of our understanding of distribution shifts are limited </w:t>
      </w:r>
      <w:r w:rsidRPr="00A51466">
        <w:t>by the common assumption in models that all populations of a species will respond in a similar manner to environmental changes</w:t>
      </w:r>
      <w:r w:rsidRPr="00A51466">
        <w:rPr>
          <w:noProof/>
        </w:rPr>
        <w:t xml:space="preserve">, </w:t>
      </w:r>
      <w:r w:rsidRPr="00A51466">
        <w:rPr>
          <w:noProof/>
        </w:rPr>
        <w:lastRenderedPageBreak/>
        <w:t xml:space="preserve">despite knowledge to the contrary </w:t>
      </w:r>
      <w:r w:rsidRPr="00A51466">
        <w:t>(</w:t>
      </w:r>
      <w:proofErr w:type="spellStart"/>
      <w:r w:rsidRPr="00A51466">
        <w:rPr>
          <w:noProof/>
        </w:rPr>
        <w:t>Gotelli</w:t>
      </w:r>
      <w:proofErr w:type="spellEnd"/>
      <w:r w:rsidRPr="00A51466">
        <w:rPr>
          <w:noProof/>
        </w:rPr>
        <w:t xml:space="preserve"> &amp; Stanton-Geddes 2015; Benito Garzón </w:t>
      </w:r>
      <w:r w:rsidRPr="00A51466">
        <w:rPr>
          <w:i/>
          <w:noProof/>
        </w:rPr>
        <w:t>et al.</w:t>
      </w:r>
      <w:r w:rsidRPr="00A51466">
        <w:rPr>
          <w:noProof/>
        </w:rPr>
        <w:t xml:space="preserve"> 2019; Peterson </w:t>
      </w:r>
      <w:r w:rsidRPr="00A51466">
        <w:rPr>
          <w:i/>
          <w:noProof/>
        </w:rPr>
        <w:t>et al.</w:t>
      </w:r>
      <w:r w:rsidRPr="00A51466">
        <w:rPr>
          <w:noProof/>
        </w:rPr>
        <w:t xml:space="preserve"> 2019). Further, research to date tends to </w:t>
      </w:r>
      <w:r w:rsidRPr="00A51466">
        <w:t xml:space="preserve">over-simplify the relationship between temperature and precipitation on the landscape, </w:t>
      </w:r>
      <w:r w:rsidRPr="00A51466">
        <w:rPr>
          <w:noProof/>
        </w:rPr>
        <w:t xml:space="preserve">rarely </w:t>
      </w:r>
      <w:r w:rsidRPr="00A51466">
        <w:t xml:space="preserve">considering energy and water as a more dynamic relationship </w:t>
      </w:r>
      <w:r w:rsidRPr="00A51466">
        <w:fldChar w:fldCharType="begin" w:fldLock="1"/>
      </w:r>
      <w:r w:rsidRPr="00A51466">
        <w:instrText>ADDIN CSL_CITATION {"citationItems":[{"id":"ITEM-1","itemData":{"DOI":"10.1016/j.jmb.2010.08.039","ISBN":"9789291691234","ISSN":"97892916","PMID":"20800598","abstract":"\"Observational records and climate projections provide abundant evidence that freshwater resources are vulnerable and have the potential to be strongly impacted by climate change, with wide-ranging consequences for human societies and ecosystems. ... The objectives of this Technical Paper ... are: to improve our understanding of the links between both natural and anthropogenically induced climate change, its impacts, and adaptation and mitigation response options, on the one hand, and water-related issues, on the other; to inform policymakers and stakeholders about the implications of climate change and climate change response options for water resources, as well as the implications for water resources of various climate change scenarios and climate change response options, including associated synergies and trade-offs.\" - p. 3-7","author":[{"dropping-particle":"","family":"Bates, B.C., Kundzewicz, Z.W., Wu, S., Palutikof","given":"J.P.","non-dropping-particle":"","parse-names":false,"suffix":""}],"container-title":"Climate change and water","id":"ITEM-1","issued":{"date-parts":[["2008"]]},"title":"Climate Change and Water. Technical Paper of the Intergovernmental Panel on Climate Change (IPCC)","type":"report"},"uris":["http://www.mendeley.com/documents/?uuid=d71391a4-1057-426d-bb76-9da637b49acb"]},{"id":"ITEM-2","itemData":{"DOI":"10.1525/bio.2012.62.4.10","ISBN":"0006-3568","ISSN":"1525-3244","PMID":"732762","abstract":"Analyses of long-term records at 35 headwater basins in the United States and Canada indicate that climate change effects on streamflow are not\\nas clear as might be expected, perhaps because of ecosystem processes and human influences. Evapotranspiration was higher than was predicted by\\ntemperature in water-surplus ecosystems and lower than was predicted in water-deficit ecosystems. Streamflow was correlated with climate variability\\nindices (e.g., the El Nino-Southern Oscillation, the Pacific Decadal Oscillation, the North Atlantic Oscillation), especially in seasons when\\nvegetation influences are limited. Air temperature increased significantly at 17 of the 19 sites with 20- to 60-year records, but streamflow trends were\\ndirectly related to climate trends (through changes in ice and snow) at only 7 sites. Past and present human and natural disturbance, vegetation\\nsuccession, and human water use can mimic, exacerbate, counteract, or mask the effects of climate change on streamflow, even in reference basins.\\nLong-term ecological research sites are ideal places to disentangle these processes.","author":[{"dropping-particle":"","family":"Jones","given":"Julia A.","non-dropping-particle":"","parse-names":false,"suffix":""},{"dropping-particle":"","family":"Creed","given":"Irena F.","non-dropping-particle":"","parse-names":false,"suffix":""},{"dropping-particle":"","family":"Hatcher","given":"Kendra L.","non-dropping-particle":"","parse-names":false,"suffix":""},{"dropping-particle":"","family":"Warren","given":"Robert J.","non-dropping-particle":"","parse-names":false,"suffix":""},{"dropping-particle":"","family":"Adams","given":"Mary Beth","non-dropping-particle":"","parse-names":false,"suffix":""},{"dropping-particle":"","family":"Benson","given":"Melinda H.","non-dropping-particle":"","parse-names":false,"suffix":""},{"dropping-particle":"","family":"Boose","given":"Emery","non-dropping-particle":"","parse-names":false,"suffix":""},{"dropping-particle":"","family":"Brown","given":"Warren A.","non-dropping-particle":"","parse-names":false,"suffix":""},{"dropping-particle":"","family":"Campbell","given":"John L.","non-dropping-particle":"","parse-names":false,"suffix":""},{"dropping-particle":"","family":"Covich","given":"Alan","non-dropping-particle":"","parse-names":false,"suffix":""},{"dropping-particle":"","family":"Clow","given":"David W.","non-dropping-particle":"","parse-names":false,"suffix":""},{"dropping-particle":"","family":"Dahm","given":"Clifford N.","non-dropping-particle":"","parse-names":false,"suffix":""},{"dropping-particle":"","family":"Elder","given":"Kelly","non-dropping-particle":"","parse-names":false,"suffix":""},{"dropping-particle":"","family":"Ford","given":"Chelcy R.","non-dropping-particle":"","parse-names":false,"suffix":""},{"dropping-particle":"","family":"Grimm","given":"Nancy B.","non-dropping-particle":"","parse-names":false,"suffix":""},{"dropping-particle":"","family":"Henshaw","given":"Donald L.","non-dropping-particle":"","parse-names":false,"suffix":""},{"dropping-particle":"","family":"Larson","given":"Kelli L.","non-dropping-particle":"","parse-names":false,"suffix":""},{"dropping-particle":"","family":"Miles","given":"Evan S.","non-dropping-particle":"","parse-names":false,"suffix":""},{"dropping-particle":"","family":"Miles","given":"Kathleen M.","non-dropping-particle":"","parse-names":false,"suffix":""},{"dropping-particle":"","family":"Sebestyen","given":"Stephen D.","non-dropping-particle":"","parse-names":false,"suffix":""},{"dropping-particle":"","family":"Spargo","given":"Adam T.","non-dropping-particle":"","parse-names":false,"suffix":""},{"dropping-particle":"","family":"Stone","given":"Asa B.","non-dropping-particle":"","parse-names":false,"suffix":""},{"dropping-particle":"","family":"Vose","given":"James M.","non-dropping-particle":"","parse-names":false,"suffix":""},{"dropping-particle":"","family":"Williams","given":"Mark W.","non-dropping-particle":"","parse-names":false,"suffix":""}],"container-title":"BioScience","id":"ITEM-2","issued":{"date-parts":[["2012"]]},"title":"Ecosystem Processes and Human Influences Regulate Streamflow Response to Climate Change at Long-Term Ecological Research Sites","type":"article-journal"},"uris":["http://www.mendeley.com/documents/?uuid=cacb6dc5-fe90-32bc-8043-a59c107f6135"]}],"mendeley":{"formattedCitation":"(Bates, B.C., Kundzewicz, Z.W., Wu, S., Palutikof, 2008; Jones &lt;i&gt;et al.&lt;/i&gt;, 2012)","manualFormatting":"(Bates et al., 2008; Jones et al., 2012)","plainTextFormattedCitation":"(Bates, B.C., Kundzewicz, Z.W., Wu, S., Palutikof, 2008; Jones et al., 2012)","previouslyFormattedCitation":"(Bates, B.C., Kundzewicz, Z.W., Wu, S., Palutikof, 2008; Jones &lt;i&gt;et al.&lt;/i&gt;, 2012)"},"properties":{"noteIndex":0},"schema":"https://github.com/citation-style-language/schema/raw/master/csl-citation.json"}</w:instrText>
      </w:r>
      <w:r w:rsidRPr="00A51466">
        <w:fldChar w:fldCharType="separate"/>
      </w:r>
      <w:r w:rsidRPr="00A51466">
        <w:rPr>
          <w:noProof/>
        </w:rPr>
        <w:t>(Bates</w:t>
      </w:r>
      <w:r w:rsidRPr="00A51466">
        <w:rPr>
          <w:i/>
          <w:iCs/>
          <w:noProof/>
        </w:rPr>
        <w:t xml:space="preserve"> et al.</w:t>
      </w:r>
      <w:r w:rsidRPr="00A51466">
        <w:rPr>
          <w:noProof/>
        </w:rPr>
        <w:t xml:space="preserve"> 2008; Jones </w:t>
      </w:r>
      <w:r w:rsidRPr="00A51466">
        <w:rPr>
          <w:i/>
          <w:iCs/>
          <w:noProof/>
        </w:rPr>
        <w:t>et al.</w:t>
      </w:r>
      <w:r w:rsidRPr="00A51466">
        <w:rPr>
          <w:noProof/>
        </w:rPr>
        <w:t xml:space="preserve"> 2012).</w:t>
      </w:r>
      <w:r w:rsidRPr="00A51466">
        <w:fldChar w:fldCharType="end"/>
      </w:r>
      <w:r w:rsidRPr="00A51466">
        <w:t xml:space="preserve"> This interaction affects the atmospheric supply and demand of water that drives population, community and ecosystem dynamics </w:t>
      </w:r>
      <w:r w:rsidRPr="00A51466">
        <w:rPr>
          <w:noProof/>
        </w:rPr>
        <w:t>(Bates</w:t>
      </w:r>
      <w:r w:rsidRPr="00A51466">
        <w:rPr>
          <w:i/>
          <w:iCs/>
          <w:noProof/>
        </w:rPr>
        <w:t xml:space="preserve"> et al.</w:t>
      </w:r>
      <w:r w:rsidRPr="00A51466">
        <w:rPr>
          <w:noProof/>
        </w:rPr>
        <w:t xml:space="preserve"> 2008; Jones </w:t>
      </w:r>
      <w:r w:rsidRPr="00A51466">
        <w:rPr>
          <w:i/>
          <w:iCs/>
          <w:noProof/>
        </w:rPr>
        <w:t>et al.</w:t>
      </w:r>
      <w:r w:rsidRPr="00A51466">
        <w:rPr>
          <w:noProof/>
        </w:rPr>
        <w:t xml:space="preserve"> 2012)</w:t>
      </w:r>
      <w:r w:rsidRPr="00A51466">
        <w:t xml:space="preserve">. Taken together, both water-energy interactions and intraspecific variation in plant climatic tolerance vary across small and large spatial scales needs to be considered in order to understand feedbacks between population structure and large-scale ecosystem processes (e.g., water fluxes; </w:t>
      </w:r>
      <w:r w:rsidRPr="00A51466">
        <w:fldChar w:fldCharType="begin" w:fldLock="1"/>
      </w:r>
      <w:r w:rsidRPr="00A51466">
        <w:instrText>ADDIN CSL_CITATION {"citationItems":[{"id":"ITEM-1","itemData":{"DOI":"10.1016/j.jmb.2010.08.039","ISBN":"9789291691234","ISSN":"97892916","PMID":"20800598","abstract":"\"Observational records and climate projections provide abundant evidence that freshwater resources are vulnerable and have the potential to be strongly impacted by climate change, with wide-ranging consequences for human societies and ecosystems. ... The objectives of this Technical Paper ... are: to improve our understanding of the links between both natural and anthropogenically induced climate change, its impacts, and adaptation and mitigation response options, on the one hand, and water-related issues, on the other; to inform policymakers and stakeholders about the implications of climate change and climate change response options for water resources, as well as the implications for water resources of various climate change scenarios and climate change response options, including associated synergies and trade-offs.\" - p. 3-7","author":[{"dropping-particle":"","family":"Bates, B.C., Kundzewicz, Z.W., Wu, S., Palutikof","given":"J.P.","non-dropping-particle":"","parse-names":false,"suffix":""}],"container-title":"Climate change and water","id":"ITEM-1","issued":{"date-parts":[["2008"]]},"title":"Climate Change and Water. Technical Paper of the Intergovernmental Panel on Climate Change (IPCC)","type":"report"},"uris":["http://www.mendeley.com/documents/?uuid=d71391a4-1057-426d-bb76-9da637b49acb"]},{"id":"ITEM-2","itemData":{"DOI":"10.1525/bio.2012.62.4.10","ISBN":"0006-3568","ISSN":"1525-3244","PMID":"732762","abstract":"Analyses of long-term records at 35 headwater basins in the United States and Canada indicate that climate change effects on streamflow are not\\nas clear as might be expected, perhaps because of ecosystem processes and human influences. Evapotranspiration was higher than was predicted by\\ntemperature in water-surplus ecosystems and lower than was predicted in water-deficit ecosystems. Streamflow was correlated with climate variability\\nindices (e.g., the El Nino-Southern Oscillation, the Pacific Decadal Oscillation, the North Atlantic Oscillation), especially in seasons when\\nvegetation influences are limited. Air temperature increased significantly at 17 of the 19 sites with 20- to 60-year records, but streamflow trends were\\ndirectly related to climate trends (through changes in ice and snow) at only 7 sites. Past and present human and natural disturbance, vegetation\\nsuccession, and human water use can mimic, exacerbate, counteract, or mask the effects of climate change on streamflow, even in reference basins.\\nLong-term ecological research sites are ideal places to disentangle these processes.","author":[{"dropping-particle":"","family":"Jones","given":"Julia A.","non-dropping-particle":"","parse-names":false,"suffix":""},{"dropping-particle":"","family":"Creed","given":"Irena F.","non-dropping-particle":"","parse-names":false,"suffix":""},{"dropping-particle":"","family":"Hatcher","given":"Kendra L.","non-dropping-particle":"","parse-names":false,"suffix":""},{"dropping-particle":"","family":"Warren","given":"Robert J.","non-dropping-particle":"","parse-names":false,"suffix":""},{"dropping-particle":"","family":"Adams","given":"Mary Beth","non-dropping-particle":"","parse-names":false,"suffix":""},{"dropping-particle":"","family":"Benson","given":"Melinda H.","non-dropping-particle":"","parse-names":false,"suffix":""},{"dropping-particle":"","family":"Boose","given":"Emery","non-dropping-particle":"","parse-names":false,"suffix":""},{"dropping-particle":"","family":"Brown","given":"Warren A.","non-dropping-particle":"","parse-names":false,"suffix":""},{"dropping-particle":"","family":"Campbell","given":"John L.","non-dropping-particle":"","parse-names":false,"suffix":""},{"dropping-particle":"","family":"Covich","given":"Alan","non-dropping-particle":"","parse-names":false,"suffix":""},{"dropping-particle":"","family":"Clow","given":"David W.","non-dropping-particle":"","parse-names":false,"suffix":""},{"dropping-particle":"","family":"Dahm","given":"Clifford N.","non-dropping-particle":"","parse-names":false,"suffix":""},{"dropping-particle":"","family":"Elder","given":"Kelly","non-dropping-particle":"","parse-names":false,"suffix":""},{"dropping-particle":"","family":"Ford","given":"Chelcy R.","non-dropping-particle":"","parse-names":false,"suffix":""},{"dropping-particle":"","family":"Grimm","given":"Nancy B.","non-dropping-particle":"","parse-names":false,"suffix":""},{"dropping-particle":"","family":"Henshaw","given":"Donald L.","non-dropping-particle":"","parse-names":false,"suffix":""},{"dropping-particle":"","family":"Larson","given":"Kelli L.","non-dropping-particle":"","parse-names":false,"suffix":""},{"dropping-particle":"","family":"Miles","given":"Evan S.","non-dropping-particle":"","parse-names":false,"suffix":""},{"dropping-particle":"","family":"Miles","given":"Kathleen M.","non-dropping-particle":"","parse-names":false,"suffix":""},{"dropping-particle":"","family":"Sebestyen","given":"Stephen D.","non-dropping-particle":"","parse-names":false,"suffix":""},{"dropping-particle":"","family":"Spargo","given":"Adam T.","non-dropping-particle":"","parse-names":false,"suffix":""},{"dropping-particle":"","family":"Stone","given":"Asa B.","non-dropping-particle":"","parse-names":false,"suffix":""},{"dropping-particle":"","family":"Vose","given":"James M.","non-dropping-particle":"","parse-names":false,"suffix":""},{"dropping-particle":"","family":"Williams","given":"Mark W.","non-dropping-particle":"","parse-names":false,"suffix":""}],"container-title":"BioScience","id":"ITEM-2","issued":{"date-parts":[["2012"]]},"title":"Ecosystem Processes and Human Influences Regulate Streamflow Response to Climate Change at Long-Term Ecological Research Sites","type":"article-journal"},"uris":["http://www.mendeley.com/documents/?uuid=cacb6dc5-fe90-32bc-8043-a59c107f6135"]},{"id":"ITEM-3","itemData":{"DOI":"10.1016/j.cub.2005.11.046","ISSN":"09609822","abstract":"Coevolutionary arms races between species can favor exaggeration of traits for attack and defense, but relentless escalation of these arms races does not necessarily occur in all populations.","author":[{"dropping-particle":"","family":"Thompson","given":"John N.","non-dropping-particle":"","parse-names":false,"suffix":""}],"container-title":"Current Biology","id":"ITEM-3","issued":{"date-parts":[["2005"]]},"title":"Coevolution: The geographic mosaic of coevolutionary arms races","type":"article"},"uris":["http://www.mendeley.com/documents/?uuid=5533278f-637d-4938-ab64-e759ad2d541e"]},{"id":"ITEM-4","itemData":{"DOI":"10.1086/693603","ISSN":"0033-5770","author":[{"dropping-particle":"","family":"Hendry","given":"Andrew P.","non-dropping-particle":"","parse-names":false,"suffix":""}],"container-title":"The Quarterly Review of Biology","id":"ITEM-4","issued":{"date-parts":[["2017"]]},"title":"Eco-evolutionary Dynamics . By Andrew P. Hendry. Princeton (New Jersey): Princeton University Press. $65.00. xii + 397 p.; ill.; index. ISBN: 978-0-691-14543-3. 2017.","type":"article-journal"},"uris":["http://www.mendeley.com/documents/?uuid=c27863a7-e05e-4be7-9d92-29eb9aa34872"]}],"mendeley":{"formattedCitation":"(Thompson, 2005; Bates, B.C., Kundzewicz, Z.W., Wu, S., Palutikof, 2008; Jones &lt;i&gt;et al.&lt;/i&gt;, 2012; Hendry, 2017)","manualFormatting":"(Bates et al., 2008; Hendry, 2017; Jones et al., 2012; Thompson, 2005)","plainTextFormattedCitation":"(Thompson, 2005; Bates, B.C., Kundzewicz, Z.W., Wu, S., Palutikof, 2008; Jones et al., 2012; Hendry, 2017)","previouslyFormattedCitation":"(Thompson, 2005; Bates, B.C., Kundzewicz, Z.W., Wu, S., Palutikof, 2008; Jones &lt;i&gt;et al.&lt;/i&gt;, 2012; Hendry, 2017)"},"properties":{"noteIndex":0},"schema":"https://github.com/citation-style-language/schema/raw/master/csl-citation.json"}</w:instrText>
      </w:r>
      <w:r w:rsidRPr="00A51466">
        <w:fldChar w:fldCharType="separate"/>
      </w:r>
      <w:r w:rsidRPr="00A51466">
        <w:rPr>
          <w:noProof/>
        </w:rPr>
        <w:t xml:space="preserve">Bates </w:t>
      </w:r>
      <w:r w:rsidRPr="00A51466">
        <w:rPr>
          <w:i/>
          <w:iCs/>
          <w:noProof/>
        </w:rPr>
        <w:t>et al.</w:t>
      </w:r>
      <w:r w:rsidRPr="00A51466">
        <w:rPr>
          <w:noProof/>
        </w:rPr>
        <w:t xml:space="preserve"> 2008; Hendry 2017; Jones </w:t>
      </w:r>
      <w:r w:rsidRPr="00A51466">
        <w:rPr>
          <w:i/>
          <w:iCs/>
          <w:noProof/>
        </w:rPr>
        <w:t>et al.</w:t>
      </w:r>
      <w:r w:rsidRPr="00A51466">
        <w:rPr>
          <w:noProof/>
        </w:rPr>
        <w:t xml:space="preserve"> 2012; Thompson 2005)</w:t>
      </w:r>
      <w:r w:rsidRPr="00A51466">
        <w:fldChar w:fldCharType="end"/>
      </w:r>
      <w:r w:rsidRPr="00A51466">
        <w:t xml:space="preserve">. </w:t>
      </w:r>
    </w:p>
    <w:p w14:paraId="57926A57" w14:textId="77777777" w:rsidR="004D30B5" w:rsidRPr="00A51466" w:rsidRDefault="004D30B5" w:rsidP="00A51466">
      <w:pPr>
        <w:spacing w:line="360" w:lineRule="auto"/>
        <w:ind w:firstLine="720"/>
        <w:jc w:val="both"/>
      </w:pPr>
      <w:r w:rsidRPr="00A51466">
        <w:rPr>
          <w:color w:val="000000" w:themeColor="text1"/>
        </w:rPr>
        <w:t xml:space="preserve">The </w:t>
      </w:r>
      <w:proofErr w:type="spellStart"/>
      <w:r w:rsidRPr="00A51466">
        <w:rPr>
          <w:color w:val="000000" w:themeColor="text1"/>
        </w:rPr>
        <w:t>Budyko</w:t>
      </w:r>
      <w:proofErr w:type="spellEnd"/>
      <w:r w:rsidRPr="00A51466">
        <w:rPr>
          <w:color w:val="000000" w:themeColor="text1"/>
        </w:rPr>
        <w:t xml:space="preserve"> water-budget model is widespread in the field of hydrology. The model </w:t>
      </w:r>
      <w:r w:rsidRPr="00A51466">
        <w:t xml:space="preserve">considers the mass-balance (amount of water) and energy-balance (phase change potential) of systems by reflecting actual evapotranspiration (AET) as a function of precipitation (P) and potential evapotranspiration (PET; </w:t>
      </w:r>
      <w:r w:rsidRPr="00A51466">
        <w:rPr>
          <w:color w:val="000000" w:themeColor="text1"/>
        </w:rPr>
        <w:fldChar w:fldCharType="begin" w:fldLock="1"/>
      </w:r>
      <w:r w:rsidRPr="00A51466">
        <w:rPr>
          <w:color w:val="000000" w:themeColor="text1"/>
        </w:rPr>
        <w:instrText>ADDIN CSL_CITATION {"citationItems":[{"id":"ITEM-1","itemData":{"author":[{"dropping-particle":"","family":"Budyko","given":"MI","non-dropping-particle":"","parse-names":false,"suffix":""}],"id":"ITEM-1","issued":{"date-parts":[["1974"]]},"publisher":"Academic Press","publisher-place":"New York, NY","title":"Climate and Life","type":"book"},"uris":["http://www.mendeley.com/documents/?uuid=3f741a6c-50a0-45fe-8da4-171f9f9fec2b"]},{"id":"ITEM-2","itemData":{"DOI":"10.3390/w9040236","ISSN":"2073-4441","abstract":"The Budyko equation has achieved iconic status in hydrology for its concise and accurate representation of the relationship between annual evapotranspiration and long-term-average water and energy balance at catchment scales. Accelerating anthropogenic land-use and climate change have sparked a renewed interest in predictive applications of the Budyko equation to analyze future scenarios important to water resource management. These applications, in turn, have inspired a number of attempts to derive mathematical models of the Budyko equation from a variety of specific assumptions about the original Budyko hypothesis. Here, we show that the Budyko equation and all extant models of it can be derived rigorously from a single mathematical assumption concerning the Budyko hypothesis. The implications of this fact for parametric models of the Budyko equation also are explored.","author":[{"dropping-particle":"","family":"Sposito","given":"Garrison","non-dropping-particle":"","parse-names":false,"suffix":""},{"dropping-particle":"","family":"Garrison","given":"","non-dropping-particle":"","parse-names":false,"suffix":""}],"container-title":"Water","id":"ITEM-2","issue":"4","issued":{"date-parts":[["2017","3","25"]]},"page":"236","publisher":"Multidisciplinary Digital Publishing Institute","title":"Understanding the Budyko Equation","type":"article-journal","volume":"9"},"uris":["http://www.mendeley.com/documents/?uuid=b07cb3e2-2f19-3fad-9dcd-7d2b4abeb75c"]}],"mendeley":{"formattedCitation":"(Budyko, 1974; Sposito &amp; Garrison, 2017)","plainTextFormattedCitation":"(Budyko, 1974; Sposito &amp; Garrison, 2017)","previouslyFormattedCitation":"(Budyko, 1974; Sposito &amp; Garrison, 2017)"},"properties":{"noteIndex":0},"schema":"https://github.com/citation-style-language/schema/raw/master/csl-citation.json"}</w:instrText>
      </w:r>
      <w:r w:rsidRPr="00A51466">
        <w:rPr>
          <w:color w:val="000000" w:themeColor="text1"/>
        </w:rPr>
        <w:fldChar w:fldCharType="separate"/>
      </w:r>
      <w:r w:rsidRPr="00A51466">
        <w:rPr>
          <w:noProof/>
          <w:color w:val="000000" w:themeColor="text1"/>
        </w:rPr>
        <w:t>Budyko 1974; Sposito 2017)</w:t>
      </w:r>
      <w:r w:rsidRPr="00A51466">
        <w:rPr>
          <w:color w:val="000000" w:themeColor="text1"/>
        </w:rPr>
        <w:fldChar w:fldCharType="end"/>
      </w:r>
      <w:r w:rsidRPr="00A51466">
        <w:t xml:space="preserve">. The theoretical model is useful for predicting water cycling in various climates, though values based on data (actual values) deviate from the theoretical curve to represent interactions with ecological factors such as soil type, vegetation cover, and/or other biotic factors </w:t>
      </w:r>
      <w:r w:rsidRPr="00A51466">
        <w:fldChar w:fldCharType="begin" w:fldLock="1"/>
      </w:r>
      <w:r w:rsidRPr="00A51466">
        <w:instrText>ADDIN CSL_CITATION {"citationItems":[{"id":"ITEM-1","itemData":{"DOI":"10.1029/2012GL053492","ISSN":"00948276","author":[{"dropping-particle":"","family":"Gentine","given":"Pierre","non-dropping-particle":"","parse-names":false,"suffix":""},{"dropping-particle":"","family":"D'Odorico","given":"Paolo","non-dropping-particle":"","parse-names":false,"suffix":""},{"dropping-particle":"","family":"Lintner","given":"Benjamin R.","non-dropping-particle":"","parse-names":false,"suffix":""},{"dropping-particle":"","family":"Sivandran","given":"Gajan","non-dropping-particle":"","parse-names":false,"suffix":""},{"dropping-particle":"","family":"Salvucci","given":"Guido","non-dropping-particle":"","parse-names":false,"suffix":""}],"container-title":"Geophysical Research Letters","id":"ITEM-1","issue":"19","issued":{"date-parts":[["2012","10","16"]]},"page":"n/a-n/a","title":"Interdependence of climate, soil, and vegetation as constrained by the Budyko curve","type":"article-journal","volume":"39"},"uris":["http://www.mendeley.com/documents/?uuid=8f198423-ac0f-37ad-a1e7-d11a0807ccab"]},{"id":"ITEM-2","itemData":{"DOI":"10.5194/hess-17-2209-2013","ISBN":"1607-7938","ISSN":"10275606","abstract":"Budyko (1974) postulated that long-term catchment water balance is controlled to first order by the available water and energy. This leads to the interesting question of how do landscape characteristics (soils, geology, vegetation) and climate properties (precipitation, potential evaporation, number of wet and dry days) interact at the catchment scale to produce such a simple and predictable outcome of hydrological partitioning? Here we use a physically-based hydrologic model separately parameterized in 12 US catchments across a climate gradient to decouple the impact of climate and landscape properties to gain insight into the role of climate-vegetation-soil interactions in long-term hydrologic partitioning. The 12 catchment models (with different paramterizations) are subjected to the 12 different climate forcings, resulting in 144 10 yr model simulations. The results are analyzed per catchment (one catchment model subjected to 12 climates) and per climate (one climate filtered by 12 different model parameterization), and compared to water balance predictions based on Budyko's hypothesis (E/P = ϕ (Ep/P); E: evaporation, P: precipitation, Ep: potential evaporation). We find significant anti-correlation between average deviations of the evaporation index (E/P) computed per catchment vs. per climate, compared to that predicted by Budyko. Catchments that on average produce more E/P have developed in climates that on average produce less E/P, when compared to Budyko's prediction. Water and energy seasonality could not explain these observations, confirming previous results reported by Potter et al. (2005). Next, we analyze which model (i.e., landscape filter) characteristics explain the catchment's tendency to produce more or less E/P. We find that the time scale that controls subsurface storage release explains the observed trend. This time scale combines several geomorphologic and hydraulic soil properties. Catchments with relatively longer subsurface storage release time scales produce significantly more E/P. Vegetation in these catchments have longer access to this additional groundwater source and thus are less prone to water stress. Further analysis reveals that climates that give rise to more (less) E/P are associated with catchments that have vegetation with less (more) efficient water use parameters. In particular, the climates with tendency to produce more E/P have catchments that have lower % root fraction and less light use efficiency. Our resu…","author":[{"dropping-particle":"","family":"Troch","given":"P. A.","non-dropping-particle":"","parse-names":false,"suffix":""},{"dropping-particle":"","family":"Carrillo","given":"G.","non-dropping-particle":"","parse-names":false,"suffix":""},{"dropping-particle":"","family":"Sivapalan","given":"M.","non-dropping-particle":"","parse-names":false,"suffix":""},{"dropping-particle":"","family":"Wagener","given":"T.","non-dropping-particle":"","parse-names":false,"suffix":""},{"dropping-particle":"","family":"Sawicz","given":"K.","non-dropping-particle":"","parse-names":false,"suffix":""}],"container-title":"Hydrology and Earth System Sciences","id":"ITEM-2","issued":{"date-parts":[["2013"]]},"title":"Climate-vegetation-soil interactions and long-term hydrologic partitioning: Signatures of catchment co-evolution","type":"article-journal"},"uris":["http://www.mendeley.com/documents/?uuid=7fe56288-fea7-36ae-9ba7-de37cc5cdbb8"]}],"mendeley":{"formattedCitation":"(Gentine &lt;i&gt;et al.&lt;/i&gt;, 2012; Troch &lt;i&gt;et al.&lt;/i&gt;, 2013)","plainTextFormattedCitation":"(Gentine et al., 2012; Troch et al., 2013)","previouslyFormattedCitation":"(Gentine &lt;i&gt;et al.&lt;/i&gt;, 2012; Troch &lt;i&gt;et al.&lt;/i&gt;, 2013)"},"properties":{"noteIndex":0},"schema":"https://github.com/citation-style-language/schema/raw/master/csl-citation.json"}</w:instrText>
      </w:r>
      <w:r w:rsidRPr="00A51466">
        <w:fldChar w:fldCharType="separate"/>
      </w:r>
      <w:r w:rsidRPr="00A51466">
        <w:rPr>
          <w:noProof/>
        </w:rPr>
        <w:t xml:space="preserve">(Gentine </w:t>
      </w:r>
      <w:r w:rsidRPr="00A51466">
        <w:rPr>
          <w:i/>
          <w:noProof/>
        </w:rPr>
        <w:t>et al.</w:t>
      </w:r>
      <w:r w:rsidRPr="00A51466">
        <w:rPr>
          <w:noProof/>
        </w:rPr>
        <w:t xml:space="preserve"> 2012; Troch </w:t>
      </w:r>
      <w:r w:rsidRPr="00A51466">
        <w:rPr>
          <w:i/>
          <w:noProof/>
        </w:rPr>
        <w:t>et al.</w:t>
      </w:r>
      <w:r w:rsidRPr="00A51466">
        <w:rPr>
          <w:noProof/>
        </w:rPr>
        <w:t xml:space="preserve"> 2013)</w:t>
      </w:r>
      <w:r w:rsidRPr="00A51466">
        <w:fldChar w:fldCharType="end"/>
      </w:r>
      <w:r w:rsidRPr="00A51466">
        <w:t xml:space="preserve">. While distributions of terrestrial species are most often described and strongly driven by patterns in soils, precipitation, temperature, and distance to water </w:t>
      </w:r>
      <w:r w:rsidRPr="00A51466">
        <w:fldChar w:fldCharType="begin" w:fldLock="1"/>
      </w:r>
      <w:r w:rsidRPr="00A51466">
        <w:instrText>ADDIN CSL_CITATION {"citationItems":[{"id":"ITEM-1","itemData":{"DOI":"10.1111/jbi.12894","ISBN":"03050270","ISSN":"13652699","abstract":"Aim To synthesize the species distribution modelling (SDM) literature to inform which variables have been used in MaxEnt models for different taxa and to quantify how frequently they have been important for species’ distributions. Location Global. Methods We conducted a quantitative synthesis analysing the contribution of over 400 distinct environmental variables to 2040 MaxEnt SDMs for nearly 1900 species representing over 300 families. Environmental variables were grouped into 24 related factors and results were analysed by examining the fre- quency with which variables were found to be most important, the mean con- tribution of each variable (at various taxonomic levels), and using TrueSkilltm, a Bayesian skill rating system. Results Precipitation, temperature, bathymetry, distance to water and habitat patch characteristics were the most important variables overall. Precipitation and temperature were analysed most frequently and one of these variables was often the most important predictor in the model (nearly 80% of models, when tested). Notably, distance to water was the most important variable in the highest proportion of models in which it was tested (42% of 225 models). For terrestrial species, precipitation, temperature and distance to water had the highest overall contributions, whereas for aquatic species, bathymetry, precipi- tation and temperature were most important. Main conclusions Over all MaxEnt models published, the ability to discrimi- nate occurrence from reference sites was high (average AUC = 0.92). Much of this discriminatory ability was due to temperature and precipitation variables. Further, variability (temperature) and extremes (minimum precipitation) were the most predictive. More generally, the most commonly tested variables were not always the most predictive, with, for instance, ‘distance to water’ infre- quently tested, but found to be very important when it was. Thus, the results from this study summarize the MaxEnt SDM literature, and can aid in variable selection by identifying underutilized, but potentially important variables, which could be incorporated in future modelling efforts.","author":[{"dropping-particle":"","family":"Bradie","given":"Johanna","non-dropping-particle":"","parse-names":false,"suffix":""},{"dropping-particle":"","family":"Leung","given":"Brian","non-dropping-particle":"","parse-names":false,"suffix":""}],"container-title":"Journal of Biogeography","id":"ITEM-1","issued":{"date-parts":[["2017"]]},"title":"A quantitative synthesis of the importance of variables used in MaxEnt species distribution models","type":"article-journal"},"uris":["http://www.mendeley.com/documents/?uuid=2e923a86-8cbe-35ae-84c8-e9b50e724980"]}],"mendeley":{"formattedCitation":"(Bradie &amp; Leung, 2017)","plainTextFormattedCitation":"(Bradie &amp; Leung, 2017)","previouslyFormattedCitation":"(Bradie &amp; Leung, 2017)"},"properties":{"noteIndex":0},"schema":"https://github.com/citation-style-language/schema/raw/master/csl-citation.json"}</w:instrText>
      </w:r>
      <w:r w:rsidRPr="00A51466">
        <w:fldChar w:fldCharType="separate"/>
      </w:r>
      <w:r w:rsidRPr="00A51466">
        <w:rPr>
          <w:noProof/>
        </w:rPr>
        <w:t>(Bradie &amp; Leung 2017)</w:t>
      </w:r>
      <w:r w:rsidRPr="00A51466">
        <w:fldChar w:fldCharType="end"/>
      </w:r>
      <w:r w:rsidRPr="00A51466">
        <w:t xml:space="preserve">, PET actually explains more variation in natural selection globally in terrestrial biomes than does temperature </w:t>
      </w:r>
      <w:r w:rsidRPr="00A51466">
        <w:fldChar w:fldCharType="begin" w:fldLock="1"/>
      </w:r>
      <w:r w:rsidRPr="00A51466">
        <w:instrText>ADDIN CSL_CITATION {"citationItems":[{"id":"ITEM-1","itemData":{"abstract":"18 Climate change has the potential to affect the ecology and evolution of every species on Earth. Although the ecological consequences of climate change are increasingly well documented, the effects of climate on the key evolutionary process driving adaptation— natural selection—are largely unknown. We report that aspects of precipitation and potential evapotranspiration, along with the North Atlantic Oscillation, predicted variation in selection across plant and animal populations throughout many terrestrial biomes, whereas temperature explained little variation. By showing that selection was influenced by climate variation, our results indicate that climate change may cause widespread alterations in selection regimes, potentially shifting evolutionary trajectories at a global scale. C limate affects organisms in ways that ulti-mately shape patterns of biodiversity (1). Consequently, the rapid changes in Earth's recent climate impose challenges for many organisms, often reducing population fit-ness (2–4). Although some species may migrate and undergo range shifts to avoid climate-induced declines and potential extinction (5), an alter-native outcome is adaptive evolution in response to selection imposed by climate (6). However, we lack a general understanding of whether local and global climatic factors such as temperature, precipitation, and water availability influence selection (2, 7). Understanding these effects is critical for predicting the consequences of in-creasing droughts, heat waves, and extreme pre-cipitation events that are expected in many regions (8, 9). To quantify how climate variation influences selec-tion, we assembled a large database of standardized directional selection gradients and differentials from spatially [mean = 4.6 ± 5.4 (SD) populations, range = 2 to 59 populations] and temporally [mean = 5.2 ± 6.8 (SD) years, range = 2 to 45 years] replicated se-lection studies (N = 168) in plant and animal popu-lations (Table 1 and database S1). We focused on directional selection that can generate increases or decreases in trait values because it is well char-acterized and is likely to drive rapid evolution (10) in response to variation in climatic factors. How-ever, selection acting on trait combinations and trait variance may also be affected by climate (7). Selection gradients estimate the strength and direction of selection acting directly on a trait, whereas differentials estimate \" total selection \" on a trait via both direct …","author":[{"dropping-particle":"","family":"Siepielski","given":"Adam M","non-dropping-particle":"","parse-names":false,"suffix":""},{"dropping-particle":"","family":"Morrissey","given":"Michael B","non-dropping-particle":"","parse-names":false,"suffix":""},{"dropping-particle":"","family":"Buoro","given":"Mathieu","non-dropping-particle":"","parse-names":false,"suffix":""},{"dropping-particle":"","family":"Carlson","given":"Stephanie M","non-dropping-particle":"","parse-names":false,"suffix":""},{"dropping-particle":"","family":"Caruso","given":"Christina M","non-dropping-particle":"","parse-names":false,"suffix":""},{"dropping-particle":"","family":"Clegg","given":"Sonya M","non-dropping-particle":"","parse-names":false,"suffix":""},{"dropping-particle":"","family":"Coulson","given":"Tim","non-dropping-particle":"","parse-names":false,"suffix":""},{"dropping-particle":"","family":"Dibattista","given":"Joseph","non-dropping-particle":"","parse-names":false,"suffix":""},{"dropping-particle":"","family":"Gotanda","given":"Kiyoko M","non-dropping-particle":"","parse-names":false,"suffix":""},{"dropping-particle":"","family":"Francis","given":"Clinton D","non-dropping-particle":"","parse-names":false,"suffix":""},{"dropping-particle":"","family":"Hereford","given":"Joe","non-dropping-particle":"","parse-names":false,"suffix":""},{"dropping-particle":"","family":"Kingsolver","given":"Joel G","non-dropping-particle":"","parse-names":false,"suffix":""},{"dropping-particle":"","family":"Augustine","given":"Kate E","non-dropping-particle":"","parse-names":false,"suffix":""},{"dropping-particle":"","family":"Kruuk","given":"Loeske E B","non-dropping-particle":"","parse-names":false,"suffix":""},{"dropping-particle":"","family":"Martin","given":"Ryan A","non-dropping-particle":"","parse-names":false,"suffix":""},{"dropping-particle":"","family":"Sheldon","given":"Ben C","non-dropping-particle":"","parse-names":false,"suffix":""},{"dropping-particle":"","family":"Sletvold","given":"Nina","non-dropping-particle":"","parse-names":false,"suffix":""}],"container-title":"Science","id":"ITEM-1","issued":{"date-parts":[["2017"]]},"page":"959-962","title":"Precipitation drives global variation in natural selection","type":"article-journal","volume":"355"},"uris":["http://www.mendeley.com/documents/?uuid=39bd0d16-2ad4-3f09-9441-e8d727d21fe4"]}],"mendeley":{"formattedCitation":"(Siepielski &lt;i&gt;et al.&lt;/i&gt;, 2017)","plainTextFormattedCitation":"(Siepielski et al., 2017)","previouslyFormattedCitation":"(Siepielski &lt;i&gt;et al.&lt;/i&gt;, 2017)"},"properties":{"noteIndex":0},"schema":"https://github.com/citation-style-language/schema/raw/master/csl-citation.json"}</w:instrText>
      </w:r>
      <w:r w:rsidRPr="00A51466">
        <w:fldChar w:fldCharType="separate"/>
      </w:r>
      <w:r w:rsidRPr="00A51466">
        <w:rPr>
          <w:noProof/>
        </w:rPr>
        <w:t xml:space="preserve">(Siepielski </w:t>
      </w:r>
      <w:r w:rsidRPr="00A51466">
        <w:rPr>
          <w:i/>
          <w:noProof/>
        </w:rPr>
        <w:t>et al.</w:t>
      </w:r>
      <w:r w:rsidRPr="00A51466">
        <w:rPr>
          <w:noProof/>
        </w:rPr>
        <w:t xml:space="preserve"> 2017)</w:t>
      </w:r>
      <w:r w:rsidRPr="00A51466">
        <w:fldChar w:fldCharType="end"/>
      </w:r>
      <w:r w:rsidRPr="00A51466">
        <w:t xml:space="preserve">, and leaf economic traits are more strongly correlated with vapor pressure deficit and PET than it is with precipitation or temperature (Wright </w:t>
      </w:r>
      <w:r w:rsidRPr="00A51466">
        <w:rPr>
          <w:i/>
          <w:iCs/>
        </w:rPr>
        <w:t>et al.</w:t>
      </w:r>
      <w:r w:rsidRPr="00A51466">
        <w:t xml:space="preserve"> 2004). Though PET is </w:t>
      </w:r>
      <w:r w:rsidRPr="00A51466">
        <w:rPr>
          <w:color w:val="000000" w:themeColor="text1"/>
        </w:rPr>
        <w:t xml:space="preserve">derived </w:t>
      </w:r>
      <w:r w:rsidRPr="00A51466">
        <w:t xml:space="preserve">from temperature, it more accurately reflects the temperature during the period of time when plants are actively using energy and water (i.e., the growing season) </w:t>
      </w:r>
      <w:r w:rsidRPr="00A51466">
        <w:fldChar w:fldCharType="begin" w:fldLock="1"/>
      </w:r>
      <w:r w:rsidRPr="00A51466">
        <w:instrText>ADDIN CSL_CITATION {"citationItems":[{"id":"ITEM-1","itemData":{"abstract":"18 Climate change has the potential to affect the ecology and evolution of every species on Earth. Although the ecological consequences of climate change are increasingly well documented, the effects of climate on the key evolutionary process driving adaptation— natural selection—are largely unknown. We report that aspects of precipitation and potential evapotranspiration, along with the North Atlantic Oscillation, predicted variation in selection across plant and animal populations throughout many terrestrial biomes, whereas temperature explained little variation. By showing that selection was influenced by climate variation, our results indicate that climate change may cause widespread alterations in selection regimes, potentially shifting evolutionary trajectories at a global scale. C limate affects organisms in ways that ulti-mately shape patterns of biodiversity (1). Consequently, the rapid changes in Earth's recent climate impose challenges for many organisms, often reducing population fit-ness (2–4). Although some species may migrate and undergo range shifts to avoid climate-induced declines and potential extinction (5), an alter-native outcome is adaptive evolution in response to selection imposed by climate (6). However, we lack a general understanding of whether local and global climatic factors such as temperature, precipitation, and water availability influence selection (2, 7). Understanding these effects is critical for predicting the consequences of in-creasing droughts, heat waves, and extreme pre-cipitation events that are expected in many regions (8, 9). To quantify how climate variation influences selec-tion, we assembled a large database of standardized directional selection gradients and differentials from spatially [mean = 4.6 ± 5.4 (SD) populations, range = 2 to 59 populations] and temporally [mean = 5.2 ± 6.8 (SD) years, range = 2 to 45 years] replicated se-lection studies (N = 168) in plant and animal popu-lations (Table 1 and database S1). We focused on directional selection that can generate increases or decreases in trait values because it is well char-acterized and is likely to drive rapid evolution (10) in response to variation in climatic factors. How-ever, selection acting on trait combinations and trait variance may also be affected by climate (7). Selection gradients estimate the strength and direction of selection acting directly on a trait, whereas differentials estimate \" total selection \" on a trait via both direct …","author":[{"dropping-particle":"","family":"Siepielski","given":"Adam M","non-dropping-particle":"","parse-names":false,"suffix":""},{"dropping-particle":"","family":"Morrissey","given":"Michael B","non-dropping-particle":"","parse-names":false,"suffix":""},{"dropping-particle":"","family":"Buoro","given":"Mathieu","non-dropping-particle":"","parse-names":false,"suffix":""},{"dropping-particle":"","family":"Carlson","given":"Stephanie M","non-dropping-particle":"","parse-names":false,"suffix":""},{"dropping-particle":"","family":"Caruso","given":"Christina M","non-dropping-particle":"","parse-names":false,"suffix":""},{"dropping-particle":"","family":"Clegg","given":"Sonya M","non-dropping-particle":"","parse-names":false,"suffix":""},{"dropping-particle":"","family":"Coulson","given":"Tim","non-dropping-particle":"","parse-names":false,"suffix":""},{"dropping-particle":"","family":"Dibattista","given":"Joseph","non-dropping-particle":"","parse-names":false,"suffix":""},{"dropping-particle":"","family":"Gotanda","given":"Kiyoko M","non-dropping-particle":"","parse-names":false,"suffix":""},{"dropping-particle":"","family":"Francis","given":"Clinton D","non-dropping-particle":"","parse-names":false,"suffix":""},{"dropping-particle":"","family":"Hereford","given":"Joe","non-dropping-particle":"","parse-names":false,"suffix":""},{"dropping-particle":"","family":"Kingsolver","given":"Joel G","non-dropping-particle":"","parse-names":false,"suffix":""},{"dropping-particle":"","family":"Augustine","given":"Kate E","non-dropping-particle":"","parse-names":false,"suffix":""},{"dropping-particle":"","family":"Kruuk","given":"Loeske E B","non-dropping-particle":"","parse-names":false,"suffix":""},{"dropping-particle":"","family":"Martin","given":"Ryan A","non-dropping-particle":"","parse-names":false,"suffix":""},{"dropping-particle":"","family":"Sheldon","given":"Ben C","non-dropping-particle":"","parse-names":false,"suffix":""},{"dropping-particle":"","family":"Sletvold","given":"Nina","non-dropping-particle":"","parse-names":false,"suffix":""}],"container-title":"Science","id":"ITEM-1","issued":{"date-parts":[["2017"]]},"page":"959-962","title":"Precipitation drives global variation in natural selection","type":"article-journal","volume":"355"},"uris":["http://www.mendeley.com/documents/?uuid=39bd0d16-2ad4-3f09-9441-e8d727d21fe4"]},{"id":"ITEM-2","itemData":{"DOI":"10.1098/rstb.2017.0315","ISSN":"14712970","abstract":"The current generation of dynamic global vegetation models (DGVMs) lacks a mechanistic representation of vegetation responses to soil drought, impairing their ability to accurately predict Earth system responses to future climate scenarios and climatic anomalies, such as El Niñ o events. We propose a simple numerical approach to model plant responses to drought coupling stomatal optimality theory and plant hydraulics that can be used in dynamic global vegetation models (DGVMs). The model is validated against stand-scale forest transpiration (E) observations from a long-term soil drought experiment and used to predict the response of three Amazonian forest sites to climatic anomalies during the twentieth century. We show that our stomatal optimization model produces realistic stomatal responses to environmental conditions and can accurately simulate how tropical forest E responds to seasonal, and even long-term soil drought. Our model predicts a stronger cumulative effect of climatic anomalies in Amazon forest sites exposed to soil drought during El Niñ o years than can be captured by alternative empirical drought representation schemes. The contrasting responses between our model and empirical drought factors highlight the utility of hydraulically-based stomatal optimization models to represent vegetation responses to drought and climatic anomalies in DGVMs. This article is part of a discussion meeting issue 'The impact of the 2015/ 2016 El Niñ o on the terrestrial tropical carbon cycle: patterns, mechanisms and implications'.","author":[{"dropping-particle":"","family":"Eller","given":"Cleiton B.","non-dropping-particle":"","parse-names":false,"suffix":""},{"dropping-particle":"","family":"Rowland","given":"Lucy","non-dropping-particle":"","parse-names":false,"suffix":""},{"dropping-particle":"","family":"Oliveira","given":"Rafael S.","non-dropping-particle":"","parse-names":false,"suffix":""},{"dropping-particle":"","family":"Bittencourt","given":"Paulo R.L.","non-dropping-particle":"","parse-names":false,"suffix":""},{"dropping-particle":"V.","family":"Barros","given":"Fernanda","non-dropping-particle":"","parse-names":false,"suffix":""},{"dropping-particle":"","family":"Costa","given":"Antonio C.L.","non-dropping-particle":"Da","parse-names":false,"suffix":""},{"dropping-particle":"","family":"Meir","given":"Patrick","non-dropping-particle":"","parse-names":false,"suffix":""},{"dropping-particle":"","family":"Friend","given":"Andrew D.","non-dropping-particle":"","parse-names":false,"suffix":""},{"dropping-particle":"","family":"Mencuccini","given":"Maurizio","non-dropping-particle":"","parse-names":false,"suffix":""},{"dropping-particle":"","family":"Sitch","given":"Stephen","non-dropping-particle":"","parse-names":false,"suffix":""},{"dropping-particle":"","family":"Cox","given":"Peter","non-dropping-particle":"","parse-names":false,"suffix":""}],"container-title":"Philosophical Transactions of the Royal Society B: Biological Sciences","id":"ITEM-2","issued":{"date-parts":[["2018"]]},"title":"Modelling tropical forest responses to drought and El Niño with a stomatal optimization model based on xylem hydraulics","type":"article"},"uris":["http://www.mendeley.com/documents/?uuid=60fdcb09-5ed4-49b6-897b-3e79d6c2f2d5"]}],"mendeley":{"formattedCitation":"(Siepielski &lt;i&gt;et al.&lt;/i&gt;, 2017; Eller &lt;i&gt;et al.&lt;/i&gt;, 2018)","plainTextFormattedCitation":"(Siepielski et al., 2017; Eller et al., 2018)","previouslyFormattedCitation":"(Siepielski &lt;i&gt;et al.&lt;/i&gt;, 2017; Eller &lt;i&gt;et al.&lt;/i&gt;, 2018)"},"properties":{"noteIndex":0},"schema":"https://github.com/citation-style-language/schema/raw/master/csl-citation.json"}</w:instrText>
      </w:r>
      <w:r w:rsidRPr="00A51466">
        <w:fldChar w:fldCharType="separate"/>
      </w:r>
      <w:r w:rsidRPr="00A51466">
        <w:rPr>
          <w:noProof/>
        </w:rPr>
        <w:t xml:space="preserve">(Siepielski </w:t>
      </w:r>
      <w:r w:rsidRPr="00A51466">
        <w:rPr>
          <w:i/>
          <w:noProof/>
        </w:rPr>
        <w:t>et al.</w:t>
      </w:r>
      <w:r w:rsidRPr="00A51466">
        <w:rPr>
          <w:noProof/>
        </w:rPr>
        <w:t xml:space="preserve"> 2017; Eller </w:t>
      </w:r>
      <w:r w:rsidRPr="00A51466">
        <w:rPr>
          <w:i/>
          <w:noProof/>
        </w:rPr>
        <w:t>et al.</w:t>
      </w:r>
      <w:r w:rsidRPr="00A51466">
        <w:rPr>
          <w:noProof/>
        </w:rPr>
        <w:t xml:space="preserve"> 2018)</w:t>
      </w:r>
      <w:r w:rsidRPr="00A51466">
        <w:fldChar w:fldCharType="end"/>
      </w:r>
      <w:r w:rsidRPr="00A51466">
        <w:t xml:space="preserve">. </w:t>
      </w:r>
    </w:p>
    <w:p w14:paraId="27066C91" w14:textId="77777777" w:rsidR="004D30B5" w:rsidRPr="00A51466" w:rsidRDefault="004D30B5" w:rsidP="00A51466">
      <w:pPr>
        <w:spacing w:line="360" w:lineRule="auto"/>
        <w:ind w:firstLine="720"/>
        <w:jc w:val="both"/>
      </w:pPr>
      <w:r w:rsidRPr="00A51466">
        <w:t xml:space="preserve">As water and energy change in availability and variability on the landscape, plant population responses will likely vary due to differing amounts of intraspecific variation, genetic architecture or due to adaptations to differing historical abiotic conditions. For instance, the ability of plants to use water to produce biomass depends strongly on soil </w:t>
      </w:r>
      <w:r w:rsidRPr="00A51466">
        <w:lastRenderedPageBreak/>
        <w:t xml:space="preserve">water availability which varies significantly across the landscape and is also affected by temperature </w:t>
      </w:r>
      <w:r w:rsidRPr="00A51466">
        <w:fldChar w:fldCharType="begin" w:fldLock="1"/>
      </w:r>
      <w:r w:rsidRPr="00A51466">
        <w:instrText>ADDIN CSL_CITATION {"citationItems":[{"id":"ITEM-1","itemData":{"DOI":"10.1017/CBO9780511535727","ISBN":"9780511535727","abstract":"Ecohydrology of Water-controlled Ecosystems addresses the connections between the hydrologic cycle and plant ecosystems, with special emphasis on arid and semi-arid climates. This important topic is treated by building suitable mathematical models of the physics involved and then applying them to study the ecosystem structure and its response to rainfall and climate forcing in different parts of the world, including savannas, grasslands and forests. It investigates the vegetation response to water stress (drought), the hydrologic control on cycles of soil nutrients, and the dynamics of plant competition for water. The book also offers insights into processes closely related to soil moisture dynamics, such as soil-atmosphere interaction and soil gas emissions. This book will appeal to advanced students and researchers from a large range of disciplines, including environmental science, hydrology, ecology, earth science, civil and environmental engineering, agriculture and atmospheric science.","author":[{"dropping-particle":"","family":"Rodriguez-Iturbe","given":"Ignacio","non-dropping-particle":"","parse-names":false,"suffix":""},{"dropping-particle":"","family":"Porporato","given":"Amilcare","non-dropping-particle":"","parse-names":false,"suffix":""}],"container-title":"Ecohydrology of Water-Controlled Ecosystems: Soil Moisture and Plant Dynamics","id":"ITEM-1","issued":{"date-parts":[["2005"]]},"title":"Ecohydrology of water-controlled ecosystems: Soil moisture and plant dynamics","type":"book"},"uris":["http://www.mendeley.com/documents/?uuid=331f18fa-f544-4d61-89fc-a564956d4bef"]},{"id":"ITEM-2","itemData":{"DOI":"10.1111/j.1461-0248.2012.01793.x","ISSN":"14610248","abstract":"Climatic changes, including altered precipitation regimes, will affect key ecosystem processes, such as plant productivity and biodiversity for many terrestrial ecosystems. Past and ongoing precipitation experiments have been conducted to quantify these potential changes. An analysis of these experiments indicates that they have provided important information on how water regulates ecosystem processes. However, they do not adequately represent global biomes nor forecasted precipitation scenarios and their potential contribution to advance our understanding of ecosystem responses to precipitation changes is therefore limited, as is their potential value for the development and testing of ecosystem models. This highlights the need for new precipitation experiments in biomes and ambient climatic conditions hitherto poorly studied applying relevant complex scenarios including changes in precipitation frequency and amplitude, seasonality, extremity and interactions with other global change drivers. A systematic and holistic approach to investigate how soil and plant community characteristics change with altered precipitation regimes and the consequent effects on ecosystem processes and functioning within these experiments will greatly increase their value to the climate change and ecosystem research communities. Experiments should specifically test how changes in precipitation leading to exceedance of biological thresholds affect ecosystem resilience and acclimation. © 2012 Blackwell Publishing Ltd/CNRS.","author":[{"dropping-particle":"","family":"Beier","given":"Claus","non-dropping-particle":"","parse-names":false,"suffix":""},{"dropping-particle":"","family":"Beierkuhnlein","given":"Carl","non-dropping-particle":"","parse-names":false,"suffix":""},{"dropping-particle":"","family":"Wohlgemuth","given":"Thomas","non-dropping-particle":"","parse-names":false,"suffix":""},{"dropping-particle":"","family":"Penuelas","given":"Josep","non-dropping-particle":"","parse-names":false,"suffix":""},{"dropping-particle":"","family":"Emmett","given":"Bridget","non-dropping-particle":"","parse-names":false,"suffix":""},{"dropping-particle":"","family":"Körner","given":"Christian","non-dropping-particle":"","parse-names":false,"suffix":""},{"dropping-particle":"","family":"Boeck","given":"Hans","non-dropping-particle":"de","parse-names":false,"suffix":""},{"dropping-particle":"","family":"Christensen","given":"Jens Hesselbjerg","non-dropping-particle":"","parse-names":false,"suffix":""},{"dropping-particle":"","family":"Leuzinger","given":"Sebastian","non-dropping-particle":"","parse-names":false,"suffix":""},{"dropping-particle":"","family":"Janssens","given":"Ivan A.","non-dropping-particle":"","parse-names":false,"suffix":""},{"dropping-particle":"","family":"Hansen","given":"Karin","non-dropping-particle":"","parse-names":false,"suffix":""}],"container-title":"Ecology Letters","id":"ITEM-2","issued":{"date-parts":[["2012"]]},"title":"Precipitation manipulation experiments - challenges and recommendations for the future","type":"article"},"uris":["http://www.mendeley.com/documents/?uuid=99adac1e-6a22-453a-a30b-c443b168223e"]}],"mendeley":{"formattedCitation":"(Rodriguez-Iturbe &amp; Porporato, 2005; Beier &lt;i&gt;et al.&lt;/i&gt;, 2012)","plainTextFormattedCitation":"(Rodriguez-Iturbe &amp; Porporato, 2005; Beier et al., 2012)","previouslyFormattedCitation":"(Rodriguez-Iturbe &amp; Porporato, 2005; Beier &lt;i&gt;et al.&lt;/i&gt;, 2012)"},"properties":{"noteIndex":0},"schema":"https://github.com/citation-style-language/schema/raw/master/csl-citation.json"}</w:instrText>
      </w:r>
      <w:r w:rsidRPr="00A51466">
        <w:fldChar w:fldCharType="separate"/>
      </w:r>
      <w:r w:rsidRPr="00A51466">
        <w:rPr>
          <w:noProof/>
        </w:rPr>
        <w:t xml:space="preserve">(Rodriguez-Iturbe &amp; Porporato 2005; Beier </w:t>
      </w:r>
      <w:r w:rsidRPr="00A51466">
        <w:rPr>
          <w:i/>
          <w:noProof/>
        </w:rPr>
        <w:t>et al.</w:t>
      </w:r>
      <w:r w:rsidRPr="00A51466">
        <w:rPr>
          <w:noProof/>
        </w:rPr>
        <w:t xml:space="preserve"> 2012)</w:t>
      </w:r>
      <w:r w:rsidRPr="00A51466">
        <w:fldChar w:fldCharType="end"/>
      </w:r>
      <w:r w:rsidRPr="00A51466">
        <w:t xml:space="preserve">. If </w:t>
      </w:r>
      <w:r w:rsidRPr="00A51466">
        <w:rPr>
          <w:color w:val="000000" w:themeColor="text1"/>
        </w:rPr>
        <w:t>atmospheric demand for water increases (i.e., high atmospheric vapor pressure deficit), which is predicted to occur globally, plants must prevent excessive water loss (</w:t>
      </w:r>
      <w:proofErr w:type="spellStart"/>
      <w:r w:rsidRPr="00A51466">
        <w:rPr>
          <w:color w:val="000000" w:themeColor="text1"/>
        </w:rPr>
        <w:t>Grossiord</w:t>
      </w:r>
      <w:proofErr w:type="spellEnd"/>
      <w:r w:rsidRPr="00A51466">
        <w:rPr>
          <w:color w:val="000000" w:themeColor="text1"/>
        </w:rPr>
        <w:t xml:space="preserve"> </w:t>
      </w:r>
      <w:r w:rsidRPr="00A51466">
        <w:rPr>
          <w:i/>
          <w:iCs/>
          <w:color w:val="000000" w:themeColor="text1"/>
        </w:rPr>
        <w:t>et al.</w:t>
      </w:r>
      <w:r w:rsidRPr="00A51466">
        <w:rPr>
          <w:color w:val="000000" w:themeColor="text1"/>
        </w:rPr>
        <w:t xml:space="preserve"> 2020). Rapid responses to high vapor pressure deficits include adjusting stomatal aperture, while longer-term responses include altering the density, distribution, and size of stomatal pores </w:t>
      </w:r>
      <w:r w:rsidRPr="00A51466">
        <w:rPr>
          <w:color w:val="000000" w:themeColor="text1"/>
        </w:rPr>
        <w:fldChar w:fldCharType="begin" w:fldLock="1"/>
      </w:r>
      <w:r w:rsidRPr="00A51466">
        <w:rPr>
          <w:color w:val="000000" w:themeColor="text1"/>
        </w:rPr>
        <w:instrText>ADDIN CSL_CITATION {"citationItems":[{"id":"ITEM-1","itemData":{"ISSN":"0081-1386","PMID":"756635","abstract":"assume that total loss of water during day is a minimum for the total amount of carbon taken up (optimal hypothesis); diurnal course of stomatal behaviour is optimal if integral of dE over time &gt;0 such that integral dA over time = 0; dE and dA are the fluctuations of rate of transpiration; define lambda as dE/dA (if lambda &gt; than slope for E and A = 0; lambda is slope of the A / E / time surface; an optimal trajectory is points of equal lambda; biological significance of lambda could be a plant physiological parameter fashioned by evolution in the context of an environment having certain statistical properties; in some environments a fixed lambda would prove to be unnecessarily(wet)/insufficientla(dry) conservative for a particular plant; lambda has only sense on a daily basis; in APPENDIX I they say that dE/dg can be estimated, but dA/dg is diffucult","author":[{"dropping-particle":"","family":"Cowan","given":"I R","non-dropping-particle":"","parse-names":false,"suffix":""},{"dropping-particle":"","family":"Farquhar","given":"G D","non-dropping-particle":"","parse-names":false,"suffix":""}],"container-title":"Symposia of the Society for Experimental Biology","id":"ITEM-1","issued":{"date-parts":[["1977"]]},"title":"Stomatal function in relation to leaf metabolism and environment.","type":"article-journal"},"uris":["http://www.mendeley.com/documents/?uuid=0f61e318-f0f4-4941-8817-a7dbd58917f7"]},{"id":"ITEM-2","itemData":{"DOI":"10.1046/j.1365-3040.1999.00513.x","ISSN":"01407791","abstract":"Responses of stomatal conductance (g(s)) to increasing vapour pressure deficit (D) generally follow an exponential decrease described equally well by several empirical functions. However, the magnitude of the decrease - the stomatal sensitivity - varies considerably both within and between species, Here we analysed data from a variety of sources employing both porometric and sap flux estimates of g(s) to evaluate the hypothesis that stomatal sensitivity is proportional to the magnitude of g(s) at low D (less than or equal to 1 kPa), To test this relationship we used the function g(s) = g(sref) - m.InD where m is the stomatal sensitivity and g(sref) = g(s) at D = 1 kPa, Regardless of species or methodology, m was highly correlated with gs,ef (average r(2) = 0.75) with a slope of approximately 0.6. We demonstrate that this empirical slope is consistent with the theoretical slope derived from a simple hydraulic model that assumes stomatal regulation of leaf water potential, The theoretical slope is robust to deviations from underlying assumptions and variation in model parameters. The relationships within and among species are close to theoretical predictions, regardless of whether the analysis is based on porometric measurements of g(s) in relation to leaf-surface D (D-s), or on sap flux-based stomatal conductance of whole trees (G(si)), or stand-level stomatal conductance (G(s)) in relation to D. Thus, individuals, species, and stands with high stomatal conductance at low D show a greater sensitivity to D, as required by the role of stomata in regulating leaf water potential.","author":[{"dropping-particle":"","family":"Oren","given":"R.","non-dropping-particle":"","parse-names":false,"suffix":""},{"dropping-particle":"","family":"Sperry","given":"J. S.","non-dropping-particle":"","parse-names":false,"suffix":""},{"dropping-particle":"","family":"Katul","given":"G. G.","non-dropping-particle":"","parse-names":false,"suffix":""},{"dropping-particle":"","family":"Pataki","given":"D. E.","non-dropping-particle":"","parse-names":false,"suffix":""},{"dropping-particle":"","family":"Ewers","given":"B. E.","non-dropping-particle":"","parse-names":false,"suffix":""},{"dropping-particle":"","family":"Phillips","given":"N.","non-dropping-particle":"","parse-names":false,"suffix":""},{"dropping-particle":"","family":"Schäfer","given":"K. V.R.","non-dropping-particle":"","parse-names":false,"suffix":""}],"container-title":"Plant, Cell and Environment","id":"ITEM-2","issued":{"date-parts":[["1999"]]},"title":"Survey and synthesis of intra- and interspecific variation in stomatal sensitivity to vapour pressure deficit","type":"article-journal"},"uris":["http://www.mendeley.com/documents/?uuid=118f7a58-cc35-44c5-b339-2245f376999d"]},{"id":"ITEM-3","itemData":{"abstract":"Stomata, the small pores on the surfaces of leaves and stalks, regulate the flow of gases in and out of leaves and thus plants as a whole. They adapt to local and global changes on all timescales from minutes to millennia. Recent data from diverse fields are establishing their central importance to plant physiology, evolution and global ecology. Stomatal morphology, distribution and behaviour respond to a spectrum of signals, from intracellular signalling to global climatic change. Such concerted adaptation results from a web of control systems, reminiscent of a 'scale-free' network, whose untangling requires integrated approaches beyond those currently used. S tomata (Fig. 1) are small pores on the surfaces of leaves and stems, bounded by a pair of guard cells, that control the exchange of gases-most importantly water vapour and CO 2-between the interior of the leaf and the atmosphere. In this capacity they make major contributions to the ability of the plant to control its water relations and to gain carbon. Gas exchange is regulated by controlling the aperture of the stomatal pore and the number of stomata that form on the epidermis. Environmental signals such as light intensity, the concentration of atmospheric carbon dioxide and endogenous plant hormones control stomatal aperture and development. The acquisition of stomata and an impervious leaf cuticle are considered to be key elements in the evolution of advanced terrestrial plants 1 , allowing the plant to inhabit a range of different, often fluctuating environments but still control water content. Here, we describe how the application of knowledge from cognate disciplines is providing new insights into how stomata evolve and are able to process information from simultaneous, often conflicting and sometimes rapidly changing signals. Although it is too early to say whether these recent advances will result in paradigm shifts in our understanding of how plants both respond to and drive environmental change, it is quite clear that stomata are a key experimental tool to investigate these phenomena. Before considering specific aspects of stomatal biology it is important to reflect on the impact of stomata at the global level. Although the total stomatal pore area may be only 5% of a leaf surface 2 , the rate of water vapour loss may reach as high as 70% of a similar structure without a cuticle. Stomata exert major controls on both the water and carbon cycles of the world. Annual precipitation over th…","author":[{"dropping-particle":"","family":"Hetherington","given":"Alistair M","non-dropping-particle":"","parse-names":false,"suffix":""},{"dropping-particle":"","family":"Woodward","given":"&amp; F Ian","non-dropping-particle":"","parse-names":false,"suffix":""}],"id":"ITEM-3","issued":{"date-parts":[["2003"]]},"title":"The role of stomata in sensing and driving environmental change","type":"report"},"uris":["http://www.mendeley.com/documents/?uuid=0ef4d74b-b4bb-3ce9-9913-e995215b304a"]},{"id":"ITEM-4","itemData":{"DOI":"10.1104/pp.113.231944","ISBN":"1532-2548 (Electronic)\\r0032-0889 (Linking)","ISSN":"0032-0889","PMID":"24488969","abstract":"Motivated by studies suggesting that the stomata of ferns and lycophytes do not conform to the standard active abscisic acid (ABA) -mediated stomatal control model, we examined stomatal behavior in a conifer species (Metasequoia glyptostroboides) that is phylogenetically midway between the fern and angiosperm clades. Similar to ferns, daytime stomatal closure in response to moderate water stress seemed to be a passive hydraulic process in M. glyptostroboides immediately alleviated by rehydrating excised shoots. Only after prolonged exposure to more extreme water stress did active ABA-mediated stomatal closure become important, because foliar ABA production was triggered after leaf turgor loss. The influence of foliar ABA on stomatal conductance and stomatal aperture was highly predictable and additive with the passive hydraulic influence. M. glyptostroboides thus occupies a stomatal behavior type intermediate between the passively controlled ferns and the characteristic ABA-dependent stomatal closure described in angiosperm herbs. These results highlight the importance of considering phylogeny as a major determinant of stomatal behavior.","author":[{"dropping-particle":"","family":"McAdam","given":"S. A. M.","non-dropping-particle":"","parse-names":false,"suffix":""},{"dropping-particle":"","family":"Brodribb","given":"T. J.","non-dropping-particle":"","parse-names":false,"suffix":""}],"container-title":"PLANT PHYSIOLOGY","id":"ITEM-4","issued":{"date-parts":[["2014"]]},"title":"Separating Active and Passive Influences on Stomatal Control of Transpiration[OPEN]","type":"article-journal"},"uris":["http://www.mendeley.com/documents/?uuid=83af5f28-4ca1-39f6-bb4a-0b503390fbb0"]}],"mendeley":{"formattedCitation":"(Cowan &amp; Farquhar, 1977; Oren &lt;i&gt;et al.&lt;/i&gt;, 1999; Hetherington &amp; Woodward, 2003; McAdam &amp; Brodribb, 2014)","plainTextFormattedCitation":"(Cowan &amp; Farquhar, 1977; Oren et al., 1999; Hetherington &amp; Woodward, 2003; McAdam &amp; Brodribb, 2014)","previouslyFormattedCitation":"(Cowan &amp; Farquhar, 1977; Oren &lt;i&gt;et al.&lt;/i&gt;, 1999; Hetherington &amp; Woodward, 2003; McAdam &amp; Brodribb, 2014)"},"properties":{"noteIndex":0},"schema":"https://github.com/citation-style-language/schema/raw/master/csl-citation.json"}</w:instrText>
      </w:r>
      <w:r w:rsidRPr="00A51466">
        <w:rPr>
          <w:color w:val="000000" w:themeColor="text1"/>
        </w:rPr>
        <w:fldChar w:fldCharType="separate"/>
      </w:r>
      <w:r w:rsidRPr="00A51466">
        <w:rPr>
          <w:noProof/>
          <w:color w:val="000000" w:themeColor="text1"/>
        </w:rPr>
        <w:t xml:space="preserve">(Cowan &amp; Farquhar 1977; Oren </w:t>
      </w:r>
      <w:r w:rsidRPr="00A51466">
        <w:rPr>
          <w:i/>
          <w:noProof/>
          <w:color w:val="000000" w:themeColor="text1"/>
        </w:rPr>
        <w:t>et al.</w:t>
      </w:r>
      <w:r w:rsidRPr="00A51466">
        <w:rPr>
          <w:noProof/>
          <w:color w:val="000000" w:themeColor="text1"/>
        </w:rPr>
        <w:t xml:space="preserve"> 1999; Hetherington &amp; Woodward 2003; McAdam &amp; Brodribb 2014; Bertolino </w:t>
      </w:r>
      <w:r w:rsidRPr="00A51466">
        <w:rPr>
          <w:i/>
          <w:iCs/>
          <w:noProof/>
          <w:color w:val="000000" w:themeColor="text1"/>
        </w:rPr>
        <w:t>et al.</w:t>
      </w:r>
      <w:r w:rsidRPr="00A51466">
        <w:rPr>
          <w:noProof/>
          <w:color w:val="000000" w:themeColor="text1"/>
        </w:rPr>
        <w:t xml:space="preserve"> 2019)</w:t>
      </w:r>
      <w:r w:rsidRPr="00A51466">
        <w:rPr>
          <w:color w:val="000000" w:themeColor="text1"/>
        </w:rPr>
        <w:fldChar w:fldCharType="end"/>
      </w:r>
      <w:r w:rsidRPr="00A51466">
        <w:rPr>
          <w:color w:val="000000" w:themeColor="text1"/>
        </w:rPr>
        <w:t xml:space="preserve">. </w:t>
      </w:r>
      <w:r w:rsidRPr="00A51466">
        <w:t>Genetically</w:t>
      </w:r>
      <w:r w:rsidRPr="00A51466">
        <w:rPr>
          <w:color w:val="000000" w:themeColor="text1"/>
        </w:rPr>
        <w:t xml:space="preserve">-based variation stomatal density or size </w:t>
      </w:r>
      <w:r w:rsidRPr="00A51466">
        <w:rPr>
          <w:color w:val="000000" w:themeColor="text1"/>
        </w:rPr>
        <w:fldChar w:fldCharType="begin" w:fldLock="1"/>
      </w:r>
      <w:r w:rsidRPr="00A51466">
        <w:rPr>
          <w:color w:val="000000" w:themeColor="text1"/>
        </w:rPr>
        <w:instrText>ADDIN CSL_CITATION {"citationItems":[{"id":"ITEM-1","itemData":{"DOI":"10.2307/2446636","ISSN":"00029122","abstract":"Microgeographic allozyme variation was examined in pinyon pine, Pinus edulis, among five collection sites in Owl Canyon, Colorado. Relatively dry and moist sites were identified by associated plant communities and the sizes and densities of trees. Three moist sites and two dry sites were compared, and because all sites were within 600 m of one another, isolation by distance was not considered as a viable explanation of genetic differentiation between sites. Allelic frequencies at glycerate dehydrogenase (Gly) differed by 14% between moist and dry areas, and the pattern of microgeographic variation found here - allele 3 higher in frequency on dry sites - was consistent with previous studies of microgeographic variation in contrasting moist and dry sites. Trees within one of the dry sites were examined to test the hypothesis that stomata sizes and densities are heterogeneous among Gly genotypes. Heterozygotes had the longest and widest stomata; the stomatal area of heterozygotes was 28% greater than the stomatal area of homozygotes. Whereas the stomatal areas of the two homozygotes were similar, their shapes did not overlap when projected on a bivariate plot of length and width. These results suggest that stomatal shape may play a role in adapting pinyon to heterogeneity in soil moisture.","author":[{"dropping-particle":"","family":"Mitton","given":"J. B.","non-dropping-particle":"","parse-names":false,"suffix":""},{"dropping-particle":"","family":"Grant","given":"M. C.","non-dropping-particle":"","parse-names":false,"suffix":""},{"dropping-particle":"","family":"Yoshino","given":"A. M.","non-dropping-particle":"","parse-names":false,"suffix":""}],"container-title":"American Journal of Botany","id":"ITEM-1","issue":"9","issued":{"date-parts":[["1998"]]},"page":"1262-1265","title":"Variation in allozymes and stomatal size in pinyon (Pinus edulis, Pinaceae), associated with soil moisture","type":"article-journal","volume":"85"},"uris":["http://www.mendeley.com/documents/?uuid=ce5b14b9-aee3-44ea-9558-d432bf37c470"]}],"mendeley":{"formattedCitation":"(Mitton &lt;i&gt;et al.&lt;/i&gt;, 1998)","plainTextFormattedCitation":"(Mitton et al., 1998)","previouslyFormattedCitation":"(Mitton &lt;i&gt;et al.&lt;/i&gt;, 1998)"},"properties":{"noteIndex":0},"schema":"https://github.com/citation-style-language/schema/raw/master/csl-citation.json"}</w:instrText>
      </w:r>
      <w:r w:rsidRPr="00A51466">
        <w:rPr>
          <w:color w:val="000000" w:themeColor="text1"/>
        </w:rPr>
        <w:fldChar w:fldCharType="separate"/>
      </w:r>
      <w:r w:rsidRPr="00A51466">
        <w:rPr>
          <w:noProof/>
          <w:color w:val="000000" w:themeColor="text1"/>
        </w:rPr>
        <w:t xml:space="preserve">(Mitton </w:t>
      </w:r>
      <w:r w:rsidRPr="00A51466">
        <w:rPr>
          <w:i/>
          <w:noProof/>
          <w:color w:val="000000" w:themeColor="text1"/>
        </w:rPr>
        <w:t>et al.</w:t>
      </w:r>
      <w:r w:rsidRPr="00A51466">
        <w:rPr>
          <w:noProof/>
          <w:color w:val="000000" w:themeColor="text1"/>
        </w:rPr>
        <w:t xml:space="preserve"> 1998)</w:t>
      </w:r>
      <w:r w:rsidRPr="00A51466">
        <w:rPr>
          <w:color w:val="000000" w:themeColor="text1"/>
        </w:rPr>
        <w:fldChar w:fldCharType="end"/>
      </w:r>
      <w:r w:rsidRPr="00A51466">
        <w:rPr>
          <w:color w:val="000000" w:themeColor="text1"/>
        </w:rPr>
        <w:t xml:space="preserve"> result in variations of maximum stomatal conductance, affect a plant’s ability to manage limited resources, and affect large-scale ecosystem processes (Novick </w:t>
      </w:r>
      <w:r w:rsidRPr="00A51466">
        <w:rPr>
          <w:i/>
          <w:iCs/>
          <w:color w:val="000000" w:themeColor="text1"/>
        </w:rPr>
        <w:t>et al.</w:t>
      </w:r>
      <w:r w:rsidRPr="00A51466">
        <w:rPr>
          <w:color w:val="000000" w:themeColor="text1"/>
        </w:rPr>
        <w:t xml:space="preserve"> 2016). Transpiration directly supports primary productivity, biomass accumulation, and carbon assimilation, thus is directly related to carbon, water, and energy fluxes on the landscape </w:t>
      </w:r>
      <w:r w:rsidRPr="00A51466">
        <w:rPr>
          <w:color w:val="000000" w:themeColor="text1"/>
        </w:rPr>
        <w:fldChar w:fldCharType="begin" w:fldLock="1"/>
      </w:r>
      <w:r w:rsidRPr="00A51466">
        <w:rPr>
          <w:color w:val="000000" w:themeColor="text1"/>
        </w:rPr>
        <w:instrText>ADDIN CSL_CITATION {"citationItems":[{"id":"ITEM-1","itemData":{"abstract":"Stomata, the small pores on the surfaces of leaves and stalks, regulate the flow of gases in and out of leaves and thus plants as a whole. They adapt to local and global changes on all timescales from minutes to millennia. Recent data from diverse fields are establishing their central importance to plant physiology, evolution and global ecology. Stomatal morphology, distribution and behaviour respond to a spectrum of signals, from intracellular signalling to global climatic change. Such concerted adaptation results from a web of control systems, reminiscent of a 'scale-free' network, whose untangling requires integrated approaches beyond those currently used. S tomata (Fig. 1) are small pores on the surfaces of leaves and stems, bounded by a pair of guard cells, that control the exchange of gases-most importantly water vapour and CO 2-between the interior of the leaf and the atmosphere. In this capacity they make major contributions to the ability of the plant to control its water relations and to gain carbon. Gas exchange is regulated by controlling the aperture of the stomatal pore and the number of stomata that form on the epidermis. Environmental signals such as light intensity, the concentration of atmospheric carbon dioxide and endogenous plant hormones control stomatal aperture and development. The acquisition of stomata and an impervious leaf cuticle are considered to be key elements in the evolution of advanced terrestrial plants 1 , allowing the plant to inhabit a range of different, often fluctuating environments but still control water content. Here, we describe how the application of knowledge from cognate disciplines is providing new insights into how stomata evolve and are able to process information from simultaneous, often conflicting and sometimes rapidly changing signals. Although it is too early to say whether these recent advances will result in paradigm shifts in our understanding of how plants both respond to and drive environmental change, it is quite clear that stomata are a key experimental tool to investigate these phenomena. Before considering specific aspects of stomatal biology it is important to reflect on the impact of stomata at the global level. Although the total stomatal pore area may be only 5% of a leaf surface 2 , the rate of water vapour loss may reach as high as 70% of a similar structure without a cuticle. Stomata exert major controls on both the water and carbon cycles of the world. Annual precipitation over th…","author":[{"dropping-particle":"","family":"Hetherington","given":"Alistair M","non-dropping-particle":"","parse-names":false,"suffix":""},{"dropping-particle":"","family":"Woodward","given":"&amp; F Ian","non-dropping-particle":"","parse-names":false,"suffix":""}],"id":"ITEM-1","issued":{"date-parts":[["2003"]]},"title":"The role of stomata in sensing and driving environmental change","type":"report"},"uris":["http://www.mendeley.com/documents/?uuid=0ef4d74b-b4bb-3ce9-9913-e995215b304a"]},{"id":"ITEM-2","itemData":{"DOI":"10.1890/120056","ISBN":"1540-9295","ISSN":"15409295","abstract":"Riparian ecosystems support mosaics of terrestrial and aquatic plant species that enhance regional biodiversity and provide important ecosystem services to humans. Species composition and the distribution of functional traits – traits that define species in terms of their ecological roles – within riparian plant communities are rapidly changing in response to various global change drivers. Here, we present a conceptual framework illustrating how changes in dependent wildlife communities and ecosystem processes can be predicted by examining shifts in riparian plant functional trait diversity and redundancy (overlap). Three widespread examples of altered riparian plant composition are: shifts in the dominance of deciduous and coniferous species; increases in drought-tolerant species; and the increasing global distribution of plantation and crop species. Changes in the diversity and distribution of critical plant functional traits influence terrestrial and aquatic food webs, organic matter production and processing, nutrient cycling, water quality, and water availability. Effective conservation efforts and riparian ecosystems management require matching of plant functional trait diversity and redundancy with tolerance to environmental changes in all biomes. • Understanding species functional traits is critical to forecasting how environmental changes will affect biodiversity and ecosystem functioning • Global shifts in riparian plant traits include changes in phenology, increases in drought-tolerant generalists, and genetically modified plantation and crop species • Non-native and invasive species can reduce or enhance functional trait diversity and overlap • More research is needed to identify shifts in riparian plant communities outside of North America and Europe and to assess the effects of these changes on ecosystem function • Riparian management should focus on maintaining functional traits that ensure resilience to environmental changes in ecosystems.","author":[{"dropping-particle":"","family":"Kominoski","given":"John S.","non-dropping-particle":"","parse-names":false,"suffix":""},{"dropping-particle":"","family":"Shah","given":"Jennifer J Follstad","non-dropping-particle":"","parse-names":false,"suffix":""},{"dropping-particle":"","family":"Canhoto","given":"Cristina","non-dropping-particle":"","parse-names":false,"suffix":""},{"dropping-particle":"","family":"Fischer","given":"Dylan G.","non-dropping-particle":"","parse-names":false,"suffix":""},{"dropping-particle":"","family":"Giling","given":"Darren P.","non-dropping-particle":"","parse-names":false,"suffix":""},{"dropping-particle":"","family":"González","given":"Eduardo","non-dropping-particle":"","parse-names":false,"suffix":""},{"dropping-particle":"","family":"Griffiths","given":"Natalie A.","non-dropping-particle":"","parse-names":false,"suffix":""},{"dropping-particle":"","family":"Larrañaga","given":"Aitor","non-dropping-particle":"","parse-names":false,"suffix":""},{"dropping-particle":"","family":"Leroy","given":"Carri J.","non-dropping-particle":"","parse-names":false,"suffix":""},{"dropping-particle":"","family":"Mineau","given":"Madeleine M.","non-dropping-particle":"","parse-names":false,"suffix":""},{"dropping-particle":"","family":"McElarney","given":"Yvonne R.","non-dropping-particle":"","parse-names":false,"suffix":""},{"dropping-particle":"","family":"Shirley","given":"Susan M.","non-dropping-particle":"","parse-names":false,"suffix":""},{"dropping-particle":"","family":"Swan","given":"Christopher M.","non-dropping-particle":"","parse-names":false,"suffix":""},{"dropping-particle":"","family":"Tiegs","given":"Scott D.","non-dropping-particle":"","parse-names":false,"suffix":""}],"container-title":"Frontiers in Ecology and the Environment","id":"ITEM-2","issue":"8","issued":{"date-parts":[["2013"]]},"title":"Forecasting functional implications of global changes in riparian plant communities","type":"article","volume":"11"},"uris":["http://www.mendeley.com/documents/?uuid=7e826739-90c5-3533-b41a-8bade2df4a88"]}],"mendeley":{"formattedCitation":"(Hetherington &amp; Woodward, 2003; Kominoski &lt;i&gt;et al.&lt;/i&gt;, 2013)","plainTextFormattedCitation":"(Hetherington &amp; Woodward, 2003; Kominoski et al., 2013)","previouslyFormattedCitation":"(Hetherington &amp; Woodward, 2003; Kominoski &lt;i&gt;et al.&lt;/i&gt;, 2013)"},"properties":{"noteIndex":0},"schema":"https://github.com/citation-style-language/schema/raw/master/csl-citation.json"}</w:instrText>
      </w:r>
      <w:r w:rsidRPr="00A51466">
        <w:rPr>
          <w:color w:val="000000" w:themeColor="text1"/>
        </w:rPr>
        <w:fldChar w:fldCharType="separate"/>
      </w:r>
      <w:r w:rsidRPr="00A51466">
        <w:rPr>
          <w:noProof/>
          <w:color w:val="000000" w:themeColor="text1"/>
        </w:rPr>
        <w:t xml:space="preserve">(Hetherington &amp; Woodward 2003; Kominoski </w:t>
      </w:r>
      <w:r w:rsidRPr="00A51466">
        <w:rPr>
          <w:i/>
          <w:noProof/>
          <w:color w:val="000000" w:themeColor="text1"/>
        </w:rPr>
        <w:t>et al.</w:t>
      </w:r>
      <w:r w:rsidRPr="00A51466">
        <w:rPr>
          <w:noProof/>
          <w:color w:val="000000" w:themeColor="text1"/>
        </w:rPr>
        <w:t xml:space="preserve"> 2013, Sposito 2017)</w:t>
      </w:r>
      <w:r w:rsidRPr="00A51466">
        <w:rPr>
          <w:color w:val="000000" w:themeColor="text1"/>
        </w:rPr>
        <w:fldChar w:fldCharType="end"/>
      </w:r>
      <w:r w:rsidRPr="00A51466">
        <w:rPr>
          <w:color w:val="000000" w:themeColor="text1"/>
        </w:rPr>
        <w:t xml:space="preserve">. </w:t>
      </w:r>
      <w:r w:rsidRPr="00A51466">
        <w:t xml:space="preserve">Here, we </w:t>
      </w:r>
      <w:r w:rsidRPr="00A51466">
        <w:rPr>
          <w:color w:val="000000" w:themeColor="text1"/>
        </w:rPr>
        <w:t>consider variation in historic water cycling on the landscape and examine local adaptation of plant populations to understand ecological and evolutionary linkages on a landscape scale.</w:t>
      </w:r>
      <w:r w:rsidRPr="00A51466">
        <w:t xml:space="preserve"> </w:t>
      </w:r>
    </w:p>
    <w:p w14:paraId="3C7FABCD" w14:textId="77777777" w:rsidR="004D30B5" w:rsidRPr="00A51466" w:rsidRDefault="004D30B5" w:rsidP="00A51466">
      <w:pPr>
        <w:spacing w:line="360" w:lineRule="auto"/>
        <w:ind w:firstLine="720"/>
        <w:jc w:val="both"/>
        <w:rPr>
          <w:color w:val="000000" w:themeColor="text1"/>
        </w:rPr>
      </w:pPr>
      <w:r w:rsidRPr="00A51466">
        <w:rPr>
          <w:color w:val="000000" w:themeColor="text1"/>
        </w:rPr>
        <w:t xml:space="preserve">Using the </w:t>
      </w:r>
      <w:proofErr w:type="spellStart"/>
      <w:r w:rsidRPr="00A51466">
        <w:rPr>
          <w:color w:val="000000" w:themeColor="text1"/>
        </w:rPr>
        <w:t>Budyko</w:t>
      </w:r>
      <w:proofErr w:type="spellEnd"/>
      <w:r w:rsidRPr="00A51466">
        <w:rPr>
          <w:color w:val="000000" w:themeColor="text1"/>
        </w:rPr>
        <w:t xml:space="preserve"> physical hydrology model, paired </w:t>
      </w:r>
      <w:proofErr w:type="gramStart"/>
      <w:r w:rsidRPr="00A51466">
        <w:rPr>
          <w:color w:val="000000" w:themeColor="text1"/>
        </w:rPr>
        <w:t>field</w:t>
      </w:r>
      <w:proofErr w:type="gramEnd"/>
      <w:r w:rsidRPr="00A51466">
        <w:rPr>
          <w:color w:val="000000" w:themeColor="text1"/>
        </w:rPr>
        <w:t xml:space="preserve"> and greenhouse observations of </w:t>
      </w:r>
      <w:r w:rsidRPr="00A51466">
        <w:rPr>
          <w:i/>
          <w:color w:val="000000" w:themeColor="text1"/>
        </w:rPr>
        <w:t xml:space="preserve">P. angustifolia </w:t>
      </w:r>
      <w:r w:rsidRPr="00A51466">
        <w:rPr>
          <w:iCs/>
          <w:color w:val="000000" w:themeColor="text1"/>
        </w:rPr>
        <w:t>traits</w:t>
      </w:r>
      <w:r w:rsidRPr="00A51466">
        <w:rPr>
          <w:i/>
          <w:color w:val="000000" w:themeColor="text1"/>
        </w:rPr>
        <w:t xml:space="preserve">, </w:t>
      </w:r>
      <w:r w:rsidRPr="00A51466">
        <w:rPr>
          <w:iCs/>
          <w:color w:val="000000" w:themeColor="text1"/>
        </w:rPr>
        <w:t xml:space="preserve">and </w:t>
      </w:r>
      <w:r w:rsidRPr="00A51466">
        <w:rPr>
          <w:color w:val="000000" w:themeColor="text1"/>
        </w:rPr>
        <w:t xml:space="preserve">stable isotope compositions of soil, stem, and leaf water, this study considers the potential for large-scale </w:t>
      </w:r>
      <w:r w:rsidRPr="00A51466">
        <w:t xml:space="preserve">land-atmosphere feedbacks in </w:t>
      </w:r>
      <w:proofErr w:type="spellStart"/>
      <w:r w:rsidRPr="00A51466">
        <w:t>hydologic</w:t>
      </w:r>
      <w:proofErr w:type="spellEnd"/>
      <w:r w:rsidRPr="00A51466">
        <w:t xml:space="preserve"> processes driven by geographic differences in plant population traits. With the observation that the supply and atmospheric demand for water, as well as water use differ on the landscape across populations of </w:t>
      </w:r>
      <w:r w:rsidRPr="00A51466">
        <w:rPr>
          <w:i/>
          <w:iCs/>
        </w:rPr>
        <w:t>P. angustifolia</w:t>
      </w:r>
      <w:r w:rsidRPr="00A51466">
        <w:t xml:space="preserve">, we test the following specific hypotheses: (1) </w:t>
      </w:r>
      <w:r w:rsidRPr="00A51466">
        <w:rPr>
          <w:color w:val="000000" w:themeColor="text1"/>
        </w:rPr>
        <w:t xml:space="preserve">Populations of </w:t>
      </w:r>
      <w:r w:rsidRPr="00A51466">
        <w:rPr>
          <w:i/>
          <w:color w:val="000000" w:themeColor="text1"/>
        </w:rPr>
        <w:t>P. angustifolia</w:t>
      </w:r>
      <w:r w:rsidRPr="00A51466">
        <w:rPr>
          <w:color w:val="000000" w:themeColor="text1"/>
        </w:rPr>
        <w:t xml:space="preserve"> show genetic divergence in stomatal density, stomatal distribution, stomatal size, and aboveground biomass, (2) consistent with patterns of genetic divergence and local adaptation, stomatal traits are related to hydrologic variables on the landscape, (3) populations draw water from different sources (e.g., stream water or precipitation), and (4) populations vary in water-use given atmospheric demands. Overall, results show that divergent plant populations have evolved in response to geographic variation in dryness. </w:t>
      </w:r>
    </w:p>
    <w:p w14:paraId="538BDAC1" w14:textId="3B1CB3A0" w:rsidR="00236E6D" w:rsidRPr="00A51466" w:rsidRDefault="004D30B5" w:rsidP="00A51466">
      <w:pPr>
        <w:pStyle w:val="Heading2"/>
        <w:spacing w:line="360" w:lineRule="auto"/>
        <w:rPr>
          <w:sz w:val="24"/>
          <w:szCs w:val="24"/>
        </w:rPr>
      </w:pPr>
      <w:bookmarkStart w:id="10" w:name="_Toc88056475"/>
      <w:r w:rsidRPr="00A51466">
        <w:rPr>
          <w:sz w:val="24"/>
          <w:szCs w:val="24"/>
        </w:rPr>
        <w:lastRenderedPageBreak/>
        <w:t xml:space="preserve">Materials </w:t>
      </w:r>
      <w:r w:rsidR="00F36563" w:rsidRPr="00A51466">
        <w:rPr>
          <w:sz w:val="24"/>
          <w:szCs w:val="24"/>
        </w:rPr>
        <w:t>&amp;</w:t>
      </w:r>
      <w:r w:rsidRPr="00A51466">
        <w:rPr>
          <w:sz w:val="24"/>
          <w:szCs w:val="24"/>
        </w:rPr>
        <w:t xml:space="preserve"> Methods</w:t>
      </w:r>
      <w:bookmarkEnd w:id="10"/>
    </w:p>
    <w:p w14:paraId="37540B0F" w14:textId="1295F4A9" w:rsidR="00236E6D" w:rsidRPr="00A51466" w:rsidRDefault="004D30B5" w:rsidP="00A51466">
      <w:pPr>
        <w:pStyle w:val="Heading3"/>
        <w:spacing w:line="360" w:lineRule="auto"/>
        <w:jc w:val="both"/>
        <w:rPr>
          <w:szCs w:val="24"/>
        </w:rPr>
      </w:pPr>
      <w:bookmarkStart w:id="11" w:name="_Toc289175828"/>
      <w:r w:rsidRPr="00A51466">
        <w:rPr>
          <w:szCs w:val="24"/>
        </w:rPr>
        <w:t>Building site-level energy and water budgets</w:t>
      </w:r>
      <w:bookmarkEnd w:id="11"/>
    </w:p>
    <w:p w14:paraId="6000D992" w14:textId="2C07E7D7" w:rsidR="00DF7C87" w:rsidRPr="00A51466" w:rsidRDefault="004D30B5" w:rsidP="00A51466">
      <w:pPr>
        <w:spacing w:line="360" w:lineRule="auto"/>
        <w:jc w:val="both"/>
      </w:pPr>
      <w:r w:rsidRPr="00A51466">
        <w:rPr>
          <w:bCs/>
          <w:iCs/>
        </w:rPr>
        <w:t xml:space="preserve">We built energy and water budgets using </w:t>
      </w:r>
      <w:proofErr w:type="spellStart"/>
      <w:r w:rsidRPr="00A51466">
        <w:rPr>
          <w:bCs/>
          <w:iCs/>
        </w:rPr>
        <w:t>Budyko</w:t>
      </w:r>
      <w:proofErr w:type="spellEnd"/>
      <w:r w:rsidRPr="00A51466">
        <w:rPr>
          <w:bCs/>
          <w:iCs/>
        </w:rPr>
        <w:t xml:space="preserve"> model parameters describing how precipitation (P) is recycled to the atmosphere via actual evapotranspiration (AET) or held on land as streamflow (Q) across a continuum of humid to arid systems (PET/P; </w:t>
      </w:r>
      <w:r w:rsidR="003114A7" w:rsidRPr="00A51466">
        <w:rPr>
          <w:bCs/>
          <w:iCs/>
        </w:rPr>
        <w:t>Figure</w:t>
      </w:r>
      <w:r w:rsidRPr="00A51466">
        <w:rPr>
          <w:bCs/>
          <w:iCs/>
        </w:rPr>
        <w:t xml:space="preserve"> 1b; </w:t>
      </w:r>
      <w:proofErr w:type="spellStart"/>
      <w:r w:rsidRPr="00A51466">
        <w:rPr>
          <w:bCs/>
          <w:iCs/>
        </w:rPr>
        <w:t>Budyko</w:t>
      </w:r>
      <w:proofErr w:type="spellEnd"/>
      <w:r w:rsidRPr="00A51466">
        <w:rPr>
          <w:bCs/>
          <w:iCs/>
        </w:rPr>
        <w:t xml:space="preserve"> 1974; </w:t>
      </w:r>
      <w:r w:rsidRPr="00A51466">
        <w:t xml:space="preserve">All tables and figures are in the </w:t>
      </w:r>
      <w:r w:rsidR="000117D7" w:rsidRPr="00A51466">
        <w:t>A</w:t>
      </w:r>
      <w:r w:rsidRPr="00A51466">
        <w:t>ppendix</w:t>
      </w:r>
      <w:r w:rsidR="003925DB" w:rsidRPr="00A51466">
        <w:t xml:space="preserve"> 1</w:t>
      </w:r>
      <w:r w:rsidR="000117D7" w:rsidRPr="00A51466">
        <w:t xml:space="preserve"> </w:t>
      </w:r>
      <w:r w:rsidR="003925DB" w:rsidRPr="00A51466">
        <w:t>at the end</w:t>
      </w:r>
      <w:r w:rsidRPr="00A51466">
        <w:t xml:space="preserve"> of this chapter</w:t>
      </w:r>
      <w:r w:rsidRPr="00A51466">
        <w:rPr>
          <w:bCs/>
          <w:iCs/>
        </w:rPr>
        <w:t xml:space="preserve">). </w:t>
      </w:r>
      <w:r w:rsidRPr="00A51466">
        <w:t xml:space="preserve">The theoretical model (note, the modeled curve is not depicted in </w:t>
      </w:r>
      <w:r w:rsidR="003114A7" w:rsidRPr="00A51466">
        <w:t>Figure</w:t>
      </w:r>
      <w:r w:rsidRPr="00A51466">
        <w:t xml:space="preserve"> 1b) provides expectations for the energy-balance and water-use based on physical processes (i.e., evapotranspiration consumes heat as latent energy flux during the phase change of liquid water to vapor) and the assumption that P = Q + AET </w:t>
      </w:r>
      <w:r w:rsidRPr="00A51466">
        <w:fldChar w:fldCharType="begin" w:fldLock="1"/>
      </w:r>
      <w:r w:rsidRPr="00A51466">
        <w:instrText>ADDIN CSL_CITATION {"citationItems":[{"id":"ITEM-1","itemData":{"DOI":"10.1175/2008BAMS2634.1","ISSN":"00030007","abstract":"An update is provided on the Earth's global annual mean energy budget in the light of new observations and analyses. In 1997, Kiehl and Trenberth provided a review of past estimates and performed a number of radiative computations to better establish the role of clouds and various greenhouse gases in the overall radiative energy flows, with top-of-atmosphere (TOA) values constrained by Earth Radiation Budget Experiment values from 1985 to 1989, when the TOA values were approximately in balance. The Clouds and the Earth's Radiant Energy System (CERES) measurements from March 2000 to May 2004 are used at TOA but adjusted to an estimated imbalance from the enhanced greenhouse effect of 0.9 W m−2. Revised estimates of surface turbulent fluxes are made based on various sources. The partitioning of solar radiation in the atmosphere is based in part on the International Satellite Cloud Climatology Project (ISCCP) FD computations that utilize the global ISCCP cloud data every 3 h, and also accounts for i...","author":[{"dropping-particle":"","family":"Trenberth","given":"Kevin E.","non-dropping-particle":"","parse-names":false,"suffix":""},{"dropping-particle":"","family":"Fasullo","given":"John T.","non-dropping-particle":"","parse-names":false,"suffix":""},{"dropping-particle":"","family":"Kiehl","given":"Jeffrey","non-dropping-particle":"","parse-names":false,"suffix":""}],"container-title":"Bulletin of the American Meteorological Society","id":"ITEM-1","issued":{"date-parts":[["2009"]]},"title":"Earth's global energy budget","type":"article-journal"},"uris":["http://www.mendeley.com/documents/?uuid=62d50e1a-1fd5-4dee-bb4e-c10f27089d6b"]},{"id":"ITEM-2","itemData":{"DOI":"10.1029/2011RG000373","ISBN":"1944-9208","ISSN":"87551209","abstract":"This review surveys the basic theories, observational methods, satellite algorithms, and land surface models for terrestrial evapotranspiration, E (or λE, i.e., latent heat flux), including a long-term variability and trends perspective. The basic theories used to estimate E are the Monin-Obukhov similarity theory (MOST), the Bowen ratio method, and the Penman-Monteith equation. The latter two theoretical expressions combine MOST with surface energy balance. Estimates of E can differ substantially between these three approaches because of their use of different input data. Surface and satellite-based measurement systems can provide accurate estimates of diurnal, daily, and annual variability of E. But their estimation of longer time variability is largely not established. A reasonable estimate of E as a global mean can be obtained from a surface water budget method, but its regional distribution is still rather uncertain. Current land surface models provide widely different ratios of the transpiration by vegetation to total E. This source of uncertainty therefore limits the capability of models to provide the sensitivities of E to precipitation deficits and land cover change.","author":[{"dropping-particle":"","family":"Wang","given":"Kaicun","non-dropping-particle":"","parse-names":false,"suffix":""},{"dropping-particle":"","family":"Dickinson","given":"Robert E.","non-dropping-particle":"","parse-names":false,"suffix":""}],"container-title":"Reviews of Geophysics","id":"ITEM-2","issued":{"date-parts":[["2012"]]},"title":"A review of global terrestrial evapotranspiration: Observation, modeling, climatology, and climatic variability","type":"article"},"uris":["http://www.mendeley.com/documents/?uuid=1d226d10-1f0b-3790-bd55-f34802ee639b"]}],"mendeley":{"formattedCitation":"(Trenberth &lt;i&gt;et al.&lt;/i&gt;, 2009; Wang &amp; Dickinson, 2012)","plainTextFormattedCitation":"(Trenberth et al., 2009; Wang &amp; Dickinson, 2012)","previouslyFormattedCitation":"(Trenberth &lt;i&gt;et al.&lt;/i&gt;, 2009; Wang &amp; Dickinson, 2012)"},"properties":{"noteIndex":0},"schema":"https://github.com/citation-style-language/schema/raw/master/csl-citation.json"}</w:instrText>
      </w:r>
      <w:r w:rsidRPr="00A51466">
        <w:fldChar w:fldCharType="separate"/>
      </w:r>
      <w:r w:rsidRPr="00A51466">
        <w:rPr>
          <w:noProof/>
        </w:rPr>
        <w:t>(</w:t>
      </w:r>
      <w:r w:rsidRPr="00A51466">
        <w:rPr>
          <w:bCs/>
          <w:iCs/>
          <w:noProof/>
        </w:rPr>
        <w:t xml:space="preserve"> Budyko 1974; </w:t>
      </w:r>
      <w:r w:rsidRPr="00A51466">
        <w:rPr>
          <w:noProof/>
        </w:rPr>
        <w:t xml:space="preserve">Trenberth </w:t>
      </w:r>
      <w:r w:rsidRPr="00A51466">
        <w:rPr>
          <w:i/>
          <w:noProof/>
        </w:rPr>
        <w:t>et al.</w:t>
      </w:r>
      <w:r w:rsidRPr="00A51466">
        <w:rPr>
          <w:noProof/>
        </w:rPr>
        <w:t xml:space="preserve"> 2009; Wang &amp; Dickinson 2012)</w:t>
      </w:r>
      <w:r w:rsidRPr="00A51466">
        <w:fldChar w:fldCharType="end"/>
      </w:r>
      <w:r w:rsidRPr="00A51466">
        <w:t xml:space="preserve">. Values derived from real data represent long-term patterns describing how water </w:t>
      </w:r>
      <w:proofErr w:type="gramStart"/>
      <w:r w:rsidRPr="00A51466">
        <w:rPr>
          <w:i/>
          <w:iCs/>
        </w:rPr>
        <w:t>actually</w:t>
      </w:r>
      <w:r w:rsidRPr="00A51466">
        <w:t xml:space="preserve"> cycles</w:t>
      </w:r>
      <w:proofErr w:type="gramEnd"/>
      <w:r w:rsidRPr="00A51466">
        <w:t xml:space="preserve"> on the landscape, taking into account more than physical processes – in other words, landscape variation in interactions between soil, vegetation, and atmospheric conditions. The dryness index (PET/P) on the x-axis of the model represents the aridity of the climate, with values greater than 1 indicating arid climates whereby plants are limited by water rather </w:t>
      </w:r>
      <w:r w:rsidRPr="00A51466">
        <w:rPr>
          <w:color w:val="000000" w:themeColor="text1"/>
        </w:rPr>
        <w:t>than by energy. The evaporative index (AET/P) on the y-axis describes how precipitation is distributed on land, or the percentage of P recycled back to the atmosphere through AET.</w:t>
      </w:r>
      <w:r w:rsidRPr="00A51466">
        <w:t xml:space="preserve"> An energy-limit exists where AET = PET (i.e., demand-limit; at which atmospheric demand for water is met), and a mass-limit exists where AET=P (also known as a water-limit, or supply-limit; i.e., </w:t>
      </w:r>
      <w:r w:rsidRPr="00A51466">
        <w:rPr>
          <w:iCs/>
        </w:rPr>
        <w:t>100% of</w:t>
      </w:r>
      <w:r w:rsidRPr="00A51466">
        <w:t xml:space="preserve"> P is partitioned back to the atmosphere) </w:t>
      </w:r>
      <w:r w:rsidRPr="00A51466">
        <w:fldChar w:fldCharType="begin" w:fldLock="1"/>
      </w:r>
      <w:r w:rsidRPr="00A51466">
        <w:instrText>ADDIN CSL_CITATION {"citationItems":[{"id":"ITEM-1","itemData":{"author":[{"dropping-particle":"","family":"Budyko","given":"MI","non-dropping-particle":"","parse-names":false,"suffix":""}],"id":"ITEM-1","issued":{"date-parts":[["1974"]]},"publisher":"Academic Press","publisher-place":"New York, NY","title":"Climate and Life","type":"book"},"uris":["http://www.mendeley.com/documents/?uuid=3f741a6c-50a0-45fe-8da4-171f9f9fec2b"]},{"id":"ITEM-2","itemData":{"DOI":"10.1525/bio.2012.62.4.10","ISBN":"0006-3568","ISSN":"1525-3244","PMID":"732762","abstract":"Analyses of long-term records at 35 headwater basins in the United States and Canada indicate that climate change effects on streamflow are not\\nas clear as might be expected, perhaps because of ecosystem processes and human influences. Evapotranspiration was higher than was predicted by\\ntemperature in water-surplus ecosystems and lower than was predicted in water-deficit ecosystems. Streamflow was correlated with climate variability\\nindices (e.g., the El Nino-Southern Oscillation, the Pacific Decadal Oscillation, the North Atlantic Oscillation), especially in seasons when\\nvegetation influences are limited. Air temperature increased significantly at 17 of the 19 sites with 20- to 60-year records, but streamflow trends were\\ndirectly related to climate trends (through changes in ice and snow) at only 7 sites. Past and present human and natural disturbance, vegetation\\nsuccession, and human water use can mimic, exacerbate, counteract, or mask the effects of climate change on streamflow, even in reference basins.\\nLong-term ecological research sites are ideal places to disentangle these processes.","author":[{"dropping-particle":"","family":"Jones","given":"Julia A.","non-dropping-particle":"","parse-names":false,"suffix":""},{"dropping-particle":"","family":"Creed","given":"Irena F.","non-dropping-particle":"","parse-names":false,"suffix":""},{"dropping-particle":"","family":"Hatcher","given":"Kendra L.","non-dropping-particle":"","parse-names":false,"suffix":""},{"dropping-particle":"","family":"Warren","given":"Robert J.","non-dropping-particle":"","parse-names":false,"suffix":""},{"dropping-particle":"","family":"Adams","given":"Mary Beth","non-dropping-particle":"","parse-names":false,"suffix":""},{"dropping-particle":"","family":"Benson","given":"Melinda H.","non-dropping-particle":"","parse-names":false,"suffix":""},{"dropping-particle":"","family":"Boose","given":"Emery","non-dropping-particle":"","parse-names":false,"suffix":""},{"dropping-particle":"","family":"Brown","given":"Warren A.","non-dropping-particle":"","parse-names":false,"suffix":""},{"dropping-particle":"","family":"Campbell","given":"John L.","non-dropping-particle":"","parse-names":false,"suffix":""},{"dropping-particle":"","family":"Covich","given":"Alan","non-dropping-particle":"","parse-names":false,"suffix":""},{"dropping-particle":"","family":"Clow","given":"David W.","non-dropping-particle":"","parse-names":false,"suffix":""},{"dropping-particle":"","family":"Dahm","given":"Clifford N.","non-dropping-particle":"","parse-names":false,"suffix":""},{"dropping-particle":"","family":"Elder","given":"Kelly","non-dropping-particle":"","parse-names":false,"suffix":""},{"dropping-particle":"","family":"Ford","given":"Chelcy R.","non-dropping-particle":"","parse-names":false,"suffix":""},{"dropping-particle":"","family":"Grimm","given":"Nancy B.","non-dropping-particle":"","parse-names":false,"suffix":""},{"dropping-particle":"","family":"Henshaw","given":"Donald L.","non-dropping-particle":"","parse-names":false,"suffix":""},{"dropping-particle":"","family":"Larson","given":"Kelli L.","non-dropping-particle":"","parse-names":false,"suffix":""},{"dropping-particle":"","family":"Miles","given":"Evan S.","non-dropping-particle":"","parse-names":false,"suffix":""},{"dropping-particle":"","family":"Miles","given":"Kathleen M.","non-dropping-particle":"","parse-names":false,"suffix":""},{"dropping-particle":"","family":"Sebestyen","given":"Stephen D.","non-dropping-particle":"","parse-names":false,"suffix":""},{"dropping-particle":"","family":"Spargo","given":"Adam T.","non-dropping-particle":"","parse-names":false,"suffix":""},{"dropping-particle":"","family":"Stone","given":"Asa B.","non-dropping-particle":"","parse-names":false,"suffix":""},{"dropping-particle":"","family":"Vose","given":"James M.","non-dropping-particle":"","parse-names":false,"suffix":""},{"dropping-particle":"","family":"Williams","given":"Mark W.","non-dropping-particle":"","parse-names":false,"suffix":""}],"container-title":"BioScience","id":"ITEM-2","issued":{"date-parts":[["2012"]]},"title":"Ecosystem Processes and Human Influences Regulate Streamflow Response to Climate Change at Long-Term Ecological Research Sites","type":"article-journal"},"uris":["http://www.mendeley.com/documents/?uuid=cacb6dc5-fe90-32bc-8043-a59c107f6135"]},{"id":"ITEM-3","itemData":{"DOI":"10.1111/gcb.12615","ISSN":"1365-2486","PMID":"24757012","abstract":"Climate warming is projected to affect forest water yields but the effects are expected to vary. We investigated how forest type and age affect water yield resilience to climate warming. To answer this question, we examined the variability in historical water yields at long-term experimental catchments across Canada and the United States over 5-year cool and warm periods. Using the theoretical framework of the Budyko curve, we calculated the effects of climate warming on the annual partitioning of precipitation (P) into evapotranspiration (ET) and water yield. Deviation (d) was defined as a catchment's change in actual ET divided by P [AET/P; evaporative index (EI)] coincident with a shift from a cool to a warm period - a positive d indicates an upward shift in EI and smaller than expected water yields, and a negative d indicates a downward shift in EI and larger than expected water yields. Elasticity was defined as the ratio of interannual variation in potential ET divided by P (PET/P; dryness index) to interannual variation in the EI - high elasticity indicates low d despite large range in drying index (i.e., resilient water yields), low elasticity indicates high d despite small range in drying index (i.e., nonresilient water yields). Although the data needed to fully evaluate ecosystems based on these metrics are limited, we were able to identify some characteristics of response among forest types. Alpine sites showed the greatest sensitivity to climate warming with any warming leading to increased water yields. Conifer forests included catchments with lowest elasticity and stable to larger water yields. Deciduous forests included catchments with intermediate elasticity and stable to smaller water yields. Mixed coniferous/deciduous forests included catchments with highest elasticity and stable water yields. Forest type appeared to influence the resilience of catchment water yields to climate warming, with conifer and deciduous catchments more susceptible to climate warming than the more diverse mixed forest catchments.","author":[{"dropping-particle":"","family":"Creed","given":"Irena F","non-dropping-particle":"","parse-names":false,"suffix":""},{"dropping-particle":"","family":"Spargo","given":"Adam T","non-dropping-particle":"","parse-names":false,"suffix":""},{"dropping-particle":"","family":"Jones","given":"Julia A","non-dropping-particle":"","parse-names":false,"suffix":""},{"dropping-particle":"","family":"Buttle","given":"Jim M","non-dropping-particle":"","parse-names":false,"suffix":""},{"dropping-particle":"","family":"Adams","given":"Mary B","non-dropping-particle":"","parse-names":false,"suffix":""},{"dropping-particle":"","family":"Beall","given":"Fred D","non-dropping-particle":"","parse-names":false,"suffix":""},{"dropping-particle":"","family":"Booth","given":"Eric G","non-dropping-particle":"","parse-names":false,"suffix":""},{"dropping-particle":"","family":"Campbell","given":"John L","non-dropping-particle":"","parse-names":false,"suffix":""},{"dropping-particle":"","family":"Clow","given":"Dave","non-dropping-particle":"","parse-names":false,"suffix":""},{"dropping-particle":"","family":"Elder","given":"Kelly","non-dropping-particle":"","parse-names":false,"suffix":""},{"dropping-particle":"","family":"Green","given":"Mark B","non-dropping-particle":"","parse-names":false,"suffix":""},{"dropping-particle":"","family":"Grimm","given":"Nancy B","non-dropping-particle":"","parse-names":false,"suffix":""},{"dropping-particle":"","family":"Miniat","given":"Chelcy","non-dropping-particle":"","parse-names":false,"suffix":""},{"dropping-particle":"","family":"Ramlal","given":"Patricia","non-dropping-particle":"","parse-names":false,"suffix":""},{"dropping-particle":"","family":"Saha","given":"Amartya","non-dropping-particle":"","parse-names":false,"suffix":""},{"dropping-particle":"","family":"Sebestyen","given":"Stephen","non-dropping-particle":"","parse-names":false,"suffix":""},{"dropping-particle":"","family":"Spittlehouse","given":"Dave","non-dropping-particle":"","parse-names":false,"suffix":""},{"dropping-particle":"","family":"Sterling","given":"Shannon","non-dropping-particle":"","parse-names":false,"suffix":""},{"dropping-particle":"","family":"Williams","given":"Mark W","non-dropping-particle":"","parse-names":false,"suffix":""},{"dropping-particle":"","family":"Winkler","given":"Rita","non-dropping-particle":"","parse-names":false,"suffix":""},{"dropping-particle":"","family":"Yao","given":"Huaxia","non-dropping-particle":"","parse-names":false,"suffix":""}],"container-title":"Global change biology","id":"ITEM-3","issue":"10","issued":{"date-parts":[["2014","10"]]},"page":"3191-208","publisher":"Wiley-Blackwell","title":"Changing forest water yields in response to climate warming: results from long-term experimental watershed sites across North America.","type":"article-journal","volume":"20"},"uris":["http://www.mendeley.com/documents/?uuid=026dc035-477a-3b79-a3a8-bf54801f79fc"]}],"mendeley":{"formattedCitation":"(Budyko, 1974; Jones &lt;i&gt;et al.&lt;/i&gt;, 2012; Creed &lt;i&gt;et al.&lt;/i&gt;, 2014)","plainTextFormattedCitation":"(Budyko, 1974; Jones et al., 2012; Creed et al., 2014)","previouslyFormattedCitation":"(Budyko, 1974; Jones &lt;i&gt;et al.&lt;/i&gt;, 2012; Creed &lt;i&gt;et al.&lt;/i&gt;, 2014)"},"properties":{"noteIndex":0},"schema":"https://github.com/citation-style-language/schema/raw/master/csl-citation.json"}</w:instrText>
      </w:r>
      <w:r w:rsidRPr="00A51466">
        <w:fldChar w:fldCharType="separate"/>
      </w:r>
      <w:r w:rsidRPr="00A51466">
        <w:rPr>
          <w:noProof/>
        </w:rPr>
        <w:t xml:space="preserve">(Budyko 1974; Jones </w:t>
      </w:r>
      <w:r w:rsidRPr="00A51466">
        <w:rPr>
          <w:i/>
          <w:noProof/>
        </w:rPr>
        <w:t>et al.</w:t>
      </w:r>
      <w:r w:rsidRPr="00A51466">
        <w:rPr>
          <w:noProof/>
        </w:rPr>
        <w:t xml:space="preserve"> 2012; Creed </w:t>
      </w:r>
      <w:r w:rsidRPr="00A51466">
        <w:rPr>
          <w:i/>
          <w:noProof/>
        </w:rPr>
        <w:t>et al.</w:t>
      </w:r>
      <w:r w:rsidRPr="00A51466">
        <w:rPr>
          <w:noProof/>
        </w:rPr>
        <w:t xml:space="preserve"> 2014)</w:t>
      </w:r>
      <w:r w:rsidRPr="00A51466">
        <w:fldChar w:fldCharType="end"/>
      </w:r>
      <w:r w:rsidRPr="00A51466">
        <w:t xml:space="preserve">. In this paper, we are explicitly interested in unique long-term patterns of water cycling on the landscape which capture landscape heterogeneity, and not in the theoretical predictions </w:t>
      </w:r>
      <w:r w:rsidRPr="00A51466">
        <w:rPr>
          <w:bCs/>
        </w:rPr>
        <w:t>(</w:t>
      </w:r>
      <w:r w:rsidR="003114A7" w:rsidRPr="00A51466">
        <w:rPr>
          <w:bCs/>
        </w:rPr>
        <w:t>Figure</w:t>
      </w:r>
      <w:r w:rsidRPr="00A51466">
        <w:rPr>
          <w:bCs/>
        </w:rPr>
        <w:t xml:space="preserve"> 1b; </w:t>
      </w:r>
      <w:r w:rsidRPr="00A51466">
        <w:fldChar w:fldCharType="begin" w:fldLock="1"/>
      </w:r>
      <w:r w:rsidRPr="00A51466">
        <w:instrText>ADDIN CSL_CITATION {"citationItems":[{"id":"ITEM-1","itemData":{"DOI":"10.1029/2012GL053492","ISSN":"00948276","author":[{"dropping-particle":"","family":"Gentine","given":"Pierre","non-dropping-particle":"","parse-names":false,"suffix":""},{"dropping-particle":"","family":"D'Odorico","given":"Paolo","non-dropping-particle":"","parse-names":false,"suffix":""},{"dropping-particle":"","family":"Lintner","given":"Benjamin R.","non-dropping-particle":"","parse-names":false,"suffix":""},{"dropping-particle":"","family":"Sivandran","given":"Gajan","non-dropping-particle":"","parse-names":false,"suffix":""},{"dropping-particle":"","family":"Salvucci","given":"Guido","non-dropping-particle":"","parse-names":false,"suffix":""}],"container-title":"Geophysical Research Letters","id":"ITEM-1","issue":"19","issued":{"date-parts":[["2012","10","16"]]},"page":"n/a-n/a","title":"Interdependence of climate, soil, and vegetation as constrained by the Budyko curve","type":"article-journal","volume":"39"},"uris":["http://www.mendeley.com/documents/?uuid=8f198423-ac0f-37ad-a1e7-d11a0807ccab"]},{"id":"ITEM-2","itemData":{"DOI":"10.5194/hess-17-2209-2013","ISBN":"1607-7938","ISSN":"10275606","abstract":"Budyko (1974) postulated that long-term catchment water balance is controlled to first order by the available water and energy. This leads to the interesting question of how do landscape characteristics (soils, geology, vegetation) and climate properties (precipitation, potential evaporation, number of wet and dry days) interact at the catchment scale to produce such a simple and predictable outcome of hydrological partitioning? Here we use a physically-based hydrologic model separately parameterized in 12 US catchments across a climate gradient to decouple the impact of climate and landscape properties to gain insight into the role of climate-vegetation-soil interactions in long-term hydrologic partitioning. The 12 catchment models (with different paramterizations) are subjected to the 12 different climate forcings, resulting in 144 10 yr model simulations. The results are analyzed per catchment (one catchment model subjected to 12 climates) and per climate (one climate filtered by 12 different model parameterization), and compared to water balance predictions based on Budyko's hypothesis (E/P = ϕ (Ep/P); E: evaporation, P: precipitation, Ep: potential evaporation). We find significant anti-correlation between average deviations of the evaporation index (E/P) computed per catchment vs. per climate, compared to that predicted by Budyko. Catchments that on average produce more E/P have developed in climates that on average produce less E/P, when compared to Budyko's prediction. Water and energy seasonality could not explain these observations, confirming previous results reported by Potter et al. (2005). Next, we analyze which model (i.e., landscape filter) characteristics explain the catchment's tendency to produce more or less E/P. We find that the time scale that controls subsurface storage release explains the observed trend. This time scale combines several geomorphologic and hydraulic soil properties. Catchments with relatively longer subsurface storage release time scales produce significantly more E/P. Vegetation in these catchments have longer access to this additional groundwater source and thus are less prone to water stress. Further analysis reveals that climates that give rise to more (less) E/P are associated with catchments that have vegetation with less (more) efficient water use parameters. In particular, the climates with tendency to produce more E/P have catchments that have lower % root fraction and less light use efficiency. Our resu…","author":[{"dropping-particle":"","family":"Troch","given":"P. A.","non-dropping-particle":"","parse-names":false,"suffix":""},{"dropping-particle":"","family":"Carrillo","given":"G.","non-dropping-particle":"","parse-names":false,"suffix":""},{"dropping-particle":"","family":"Sivapalan","given":"M.","non-dropping-particle":"","parse-names":false,"suffix":""},{"dropping-particle":"","family":"Wagener","given":"T.","non-dropping-particle":"","parse-names":false,"suffix":""},{"dropping-particle":"","family":"Sawicz","given":"K.","non-dropping-particle":"","parse-names":false,"suffix":""}],"container-title":"Hydrology and Earth System Sciences","id":"ITEM-2","issued":{"date-parts":[["2013"]]},"title":"Climate-vegetation-soil interactions and long-term hydrologic partitioning: Signatures of catchment co-evolution","type":"article-journal"},"uris":["http://www.mendeley.com/documents/?uuid=7fe56288-fea7-36ae-9ba7-de37cc5cdbb8"]}],"mendeley":{"formattedCitation":"(Gentine &lt;i&gt;et al.&lt;/i&gt;, 2012; Troch &lt;i&gt;et al.&lt;/i&gt;, 2013)","plainTextFormattedCitation":"(Gentine et al., 2012; Troch et al., 2013)","previouslyFormattedCitation":"(Gentine &lt;i&gt;et al.&lt;/i&gt;, 2012; Troch &lt;i&gt;et al.&lt;/i&gt;, 2013)"},"properties":{"noteIndex":0},"schema":"https://github.com/citation-style-language/schema/raw/master/csl-citation.json"}</w:instrText>
      </w:r>
      <w:r w:rsidRPr="00A51466">
        <w:fldChar w:fldCharType="separate"/>
      </w:r>
      <w:r w:rsidRPr="00A51466">
        <w:rPr>
          <w:noProof/>
        </w:rPr>
        <w:t xml:space="preserve">Gentine </w:t>
      </w:r>
      <w:r w:rsidRPr="00A51466">
        <w:rPr>
          <w:i/>
          <w:noProof/>
        </w:rPr>
        <w:t>et al.</w:t>
      </w:r>
      <w:r w:rsidRPr="00A51466">
        <w:rPr>
          <w:noProof/>
        </w:rPr>
        <w:t xml:space="preserve"> 2012; Troch </w:t>
      </w:r>
      <w:r w:rsidRPr="00A51466">
        <w:rPr>
          <w:i/>
          <w:noProof/>
        </w:rPr>
        <w:t>et al.</w:t>
      </w:r>
      <w:r w:rsidRPr="00A51466">
        <w:rPr>
          <w:noProof/>
        </w:rPr>
        <w:t xml:space="preserve"> 2013)</w:t>
      </w:r>
      <w:r w:rsidRPr="00A51466">
        <w:fldChar w:fldCharType="end"/>
      </w:r>
      <w:r w:rsidRPr="00A51466">
        <w:t xml:space="preserve">. We extracted mean annual precipitation </w:t>
      </w:r>
      <w:r w:rsidRPr="00A51466">
        <w:rPr>
          <w:color w:val="000000" w:themeColor="text1"/>
        </w:rPr>
        <w:t xml:space="preserve">from </w:t>
      </w:r>
      <w:proofErr w:type="spellStart"/>
      <w:r w:rsidRPr="00A51466">
        <w:rPr>
          <w:color w:val="000000" w:themeColor="text1"/>
        </w:rPr>
        <w:t>WorldClim</w:t>
      </w:r>
      <w:proofErr w:type="spellEnd"/>
      <w:r w:rsidRPr="00A51466">
        <w:rPr>
          <w:color w:val="000000" w:themeColor="text1"/>
        </w:rPr>
        <w:t xml:space="preserve"> (Fick &amp; </w:t>
      </w:r>
      <w:proofErr w:type="spellStart"/>
      <w:r w:rsidRPr="00A51466">
        <w:rPr>
          <w:color w:val="000000" w:themeColor="text1"/>
        </w:rPr>
        <w:t>Hijmans</w:t>
      </w:r>
      <w:proofErr w:type="spellEnd"/>
      <w:r w:rsidRPr="00A51466">
        <w:rPr>
          <w:color w:val="000000" w:themeColor="text1"/>
        </w:rPr>
        <w:t xml:space="preserve"> 2017)</w:t>
      </w:r>
      <w:r w:rsidRPr="00A51466">
        <w:t xml:space="preserve"> and mean annual PET and AET from the CGIAR-CSI </w:t>
      </w:r>
      <w:proofErr w:type="spellStart"/>
      <w:r w:rsidRPr="00A51466">
        <w:rPr>
          <w:color w:val="000000" w:themeColor="text1"/>
        </w:rPr>
        <w:t>GeoPortal</w:t>
      </w:r>
      <w:proofErr w:type="spellEnd"/>
      <w:r w:rsidRPr="00A51466">
        <w:rPr>
          <w:color w:val="000000" w:themeColor="text1"/>
        </w:rPr>
        <w:t xml:space="preserve"> (</w:t>
      </w:r>
      <w:proofErr w:type="spellStart"/>
      <w:r w:rsidRPr="00A51466">
        <w:rPr>
          <w:color w:val="000000" w:themeColor="text1"/>
        </w:rPr>
        <w:t>Trabucco</w:t>
      </w:r>
      <w:proofErr w:type="spellEnd"/>
      <w:r w:rsidRPr="00A51466">
        <w:rPr>
          <w:color w:val="000000" w:themeColor="text1"/>
        </w:rPr>
        <w:t xml:space="preserve"> &amp; </w:t>
      </w:r>
      <w:proofErr w:type="spellStart"/>
      <w:r w:rsidRPr="00A51466">
        <w:rPr>
          <w:color w:val="000000" w:themeColor="text1"/>
        </w:rPr>
        <w:t>Zomer</w:t>
      </w:r>
      <w:proofErr w:type="spellEnd"/>
      <w:r w:rsidRPr="00A51466">
        <w:rPr>
          <w:color w:val="000000" w:themeColor="text1"/>
        </w:rPr>
        <w:t xml:space="preserve"> 2009) using </w:t>
      </w:r>
      <w:r w:rsidRPr="00A51466">
        <w:t xml:space="preserve">geo-referenced locations of our collection sites. </w:t>
      </w:r>
    </w:p>
    <w:p w14:paraId="7D80E13C" w14:textId="77777777" w:rsidR="004D30B5" w:rsidRPr="00A51466" w:rsidRDefault="004D30B5" w:rsidP="00A51466">
      <w:pPr>
        <w:pStyle w:val="Heading3"/>
        <w:spacing w:line="360" w:lineRule="auto"/>
        <w:jc w:val="both"/>
        <w:rPr>
          <w:szCs w:val="24"/>
        </w:rPr>
      </w:pPr>
      <w:r w:rsidRPr="00A51466">
        <w:rPr>
          <w:szCs w:val="24"/>
        </w:rPr>
        <w:lastRenderedPageBreak/>
        <w:t>Study species and sites</w:t>
      </w:r>
    </w:p>
    <w:p w14:paraId="544DAC9D" w14:textId="77777777" w:rsidR="004D30B5" w:rsidRPr="00A51466" w:rsidRDefault="004D30B5" w:rsidP="00A51466">
      <w:pPr>
        <w:spacing w:line="360" w:lineRule="auto"/>
        <w:jc w:val="both"/>
        <w:rPr>
          <w:b/>
          <w:i/>
        </w:rPr>
      </w:pPr>
      <w:r w:rsidRPr="00A51466">
        <w:t xml:space="preserve">To understand plant-energy-water relationships we used a dominant riparian tree species: </w:t>
      </w:r>
      <w:r w:rsidRPr="00A51466">
        <w:rPr>
          <w:i/>
        </w:rPr>
        <w:t xml:space="preserve">Populus angustifolia </w:t>
      </w:r>
      <w:r w:rsidRPr="00A51466">
        <w:rPr>
          <w:iCs/>
        </w:rPr>
        <w:t xml:space="preserve">James (Rood </w:t>
      </w:r>
      <w:r w:rsidRPr="00A51466">
        <w:rPr>
          <w:i/>
        </w:rPr>
        <w:t>et al</w:t>
      </w:r>
      <w:r w:rsidRPr="00A51466">
        <w:rPr>
          <w:iCs/>
        </w:rPr>
        <w:t>. 2010)</w:t>
      </w:r>
      <w:r w:rsidRPr="00A51466">
        <w:t xml:space="preserve">, the narrowleaf cottonwood, that is widely distributed along the Rocky Mountains from northern Mexico to southern Canada </w:t>
      </w:r>
      <w:r w:rsidRPr="00A51466">
        <w:fldChar w:fldCharType="begin" w:fldLock="1"/>
      </w:r>
      <w:r w:rsidRPr="00A51466">
        <w:instrText>ADDIN CSL_CITATION {"citationItems":[{"id":"ITEM-1","itemData":{"DOI":"10.1038/hdy.2014.115","ISSN":"13652540","abstract":"© 2015 Macmillan Publishers Limited All rights reserved. Studies of genetic variation can clarify the role of geography and spatio-temporal variation of climate in shaping demography, particularly in temperate zone tree species with large latitudinal ranges. Here, we examined genetic variation in narrowleaf cottonwood, Populus angustifolia, a dominant riparian tree. Using multi-locus surveys of polymorphism in 363 individuals across the species' 1800 km latitudinal range, we found that, first, P. angustifolia has stronger neutral genetic structure than many forest trees (simple sequence repeat (SSR) F ST =0.21), with m ajor genetic groups corresponding to large apparent geographical barriers to gene flow. Second, using SSRs and putatively neutral sequenced loci, coalescent simulations indicated that populations diverged before the last glacial maximum (LGM), suggesting the presence of population structure before the LGM. Third, the LGM and subsequent warming appear to have had different influences on each of these distinct populations, with effective population size reduction in the southern extent of the range but major expansion in the north. These results are consistent with the hypothesis that climate and geographic barriers have jointly affected the demographic history of P. angustifolia, and point the importance of both factors as being instrumental in shaping genetic variation and structure in widespread forest trees.","author":[{"dropping-particle":"","family":"Evans","given":"L. M.","non-dropping-particle":"","parse-names":false,"suffix":""},{"dropping-particle":"","family":"Allan","given":"G. J.","non-dropping-particle":"","parse-names":false,"suffix":""},{"dropping-particle":"","family":"Difazio","given":"S. P.","non-dropping-particle":"","parse-names":false,"suffix":""},{"dropping-particle":"","family":"Slavov","given":"G. T.","non-dropping-particle":"","parse-names":false,"suffix":""},{"dropping-particle":"","family":"Wilder","given":"J. A.","non-dropping-particle":"","parse-names":false,"suffix":""},{"dropping-particle":"","family":"Floate","given":"K. D.","non-dropping-particle":"","parse-names":false,"suffix":""},{"dropping-particle":"","family":"Rood","given":"S. B.","non-dropping-particle":"","parse-names":false,"suffix":""},{"dropping-particle":"","family":"Whitham","given":"T. G.","non-dropping-particle":"","parse-names":false,"suffix":""}],"container-title":"Heredity","id":"ITEM-1","issued":{"date-parts":[["2015"]]},"title":"Geographical barriers and climate influence demographic history in narrowleaf cottonwoods","type":"article-journal"},"uris":["http://www.mendeley.com/documents/?uuid=567213ea-aed5-43f1-9fda-0f65a0c4ef52"]}],"mendeley":{"formattedCitation":"(Evans &lt;i&gt;et al.&lt;/i&gt;, 2015)","plainTextFormattedCitation":"(Evans et al., 2015)","previouslyFormattedCitation":"(Evans &lt;i&gt;et al.&lt;/i&gt;, 2015)"},"properties":{"noteIndex":0},"schema":"https://github.com/citation-style-language/schema/raw/master/csl-citation.json"}</w:instrText>
      </w:r>
      <w:r w:rsidRPr="00A51466">
        <w:fldChar w:fldCharType="separate"/>
      </w:r>
      <w:r w:rsidRPr="00A51466">
        <w:rPr>
          <w:noProof/>
        </w:rPr>
        <w:t xml:space="preserve">(Evans </w:t>
      </w:r>
      <w:r w:rsidRPr="00A51466">
        <w:rPr>
          <w:i/>
          <w:noProof/>
        </w:rPr>
        <w:t>et al.</w:t>
      </w:r>
      <w:r w:rsidRPr="00A51466">
        <w:rPr>
          <w:noProof/>
        </w:rPr>
        <w:t xml:space="preserve"> 2015)</w:t>
      </w:r>
      <w:r w:rsidRPr="00A51466">
        <w:fldChar w:fldCharType="end"/>
      </w:r>
      <w:r w:rsidRPr="00A51466">
        <w:t xml:space="preserve"> and span large precipitation, temperature, stream flow, and soil water gradients. Cottonwoods, </w:t>
      </w:r>
      <w:r w:rsidRPr="00A51466">
        <w:rPr>
          <w:i/>
        </w:rPr>
        <w:t>Populus ssp.,</w:t>
      </w:r>
      <w:r w:rsidRPr="00A51466">
        <w:t xml:space="preserve"> are an ideal study system for examining these </w:t>
      </w:r>
      <w:r w:rsidRPr="00A51466">
        <w:rPr>
          <w:color w:val="000000" w:themeColor="text1"/>
        </w:rPr>
        <w:t xml:space="preserve">relationships as they show intraspecific variation in physiological and morphological responses to changes in the water cycle, including groundwater, precipitation, and streamflow </w:t>
      </w:r>
      <w:r w:rsidRPr="00A51466">
        <w:rPr>
          <w:color w:val="000000" w:themeColor="text1"/>
        </w:rPr>
        <w:fldChar w:fldCharType="begin" w:fldLock="1"/>
      </w:r>
      <w:r w:rsidRPr="00A51466">
        <w:rPr>
          <w:color w:val="000000" w:themeColor="text1"/>
        </w:rPr>
        <w:instrText>ADDIN CSL_CITATION {"citationItems":[{"id":"ITEM-1","itemData":{"DOI":"10.1093/treephys/23.16.1113","ISSN":"0829318X","abstract":"Cottonwoods (Populus spp.) are adapted to riparian or floodplain zones throughout the Northern Hemisphere; they are also used as parents for fast-growing hybrid poplars. We review recent ecophysiological studies of the native cottonwoods Populus angustifolia James, P. balsamifera L., P. deltoides Marsh., P. fremontii S. Watson and P. trichocarpa T.  &amp;  G. in North America, and P. nigra L. in Europe. Variation exists within and across species and hybrids; however, all riparian cottonwoods are dependent on shallow alluvial groundwater that is linked to stream water, particularly in semi-arid regions. This conclusion is based on studies of their natural occurrence, decline following river damming and dewatering (water removal), water relations, isotopic composition of xylem water, and by the establishment of cottonwoods along formerly barren natural channels after flow augmentation in response to the conveyance of irrigation water. When alluvial groundwater is depleted as a result of river dewatering or groundwater pumping, riparian cottonwoods exhibit drought-stress responses including stomatal closure and reduced transpiration and photosynthesis, altered  13 C composition, reduced predawn and midday water potentials, and xylem cavitation. These physiological responses are accompanied by morphological responses including reduced shoot growth, altered root growth, branch sacrifice and crown die-back. In severe cases, mortality occurs. For example, severe dewatering of channels of the braided Big Lost River in Idaho led to mortality of the narrow-leaf cottonwood, P. angustifolia, and adjacent sandbar willows, Salix exigua Nutt., within 5 years, whereas riparian woodlands thrived along flowing channels nearby. The conservation and restoration of cottonwoods will rely on the provision of river flow regimes that satisfy these ecophysiological requirements for survival, growth and reproduction.","author":[{"dropping-particle":"","family":"Rood","given":"Stewart B.","non-dropping-particle":"","parse-names":false,"suffix":""},{"dropping-particle":"","family":"Braatne","given":"Jeffrey H.","non-dropping-particle":"","parse-names":false,"suffix":""},{"dropping-particle":"","family":"Hughes","given":"Francine M.R.","non-dropping-particle":"","parse-names":false,"suffix":""}],"container-title":"Tree Physiology","id":"ITEM-1","issue":"16","issued":{"date-parts":[["2003"]]},"page":"1113-1124","title":"Ecophysiology of riparian cottonwoods: Stream flow dependency, water relations and restoration","type":"article-journal","volume":"23"},"uris":["http://www.mendeley.com/documents/?uuid=0b7c8ccf-dced-43b3-a70a-af0683c0fa12"]}],"mendeley":{"formattedCitation":"(Rood &lt;i&gt;et al.&lt;/i&gt;, 2003)","plainTextFormattedCitation":"(Rood et al., 2003)","previouslyFormattedCitation":"(Rood &lt;i&gt;et al.&lt;/i&gt;, 2003)"},"properties":{"noteIndex":0},"schema":"https://github.com/citation-style-language/schema/raw/master/csl-citation.json"}</w:instrText>
      </w:r>
      <w:r w:rsidRPr="00A51466">
        <w:rPr>
          <w:color w:val="000000" w:themeColor="text1"/>
        </w:rPr>
        <w:fldChar w:fldCharType="separate"/>
      </w:r>
      <w:r w:rsidRPr="00A51466">
        <w:rPr>
          <w:noProof/>
          <w:color w:val="000000" w:themeColor="text1"/>
        </w:rPr>
        <w:t xml:space="preserve">(Rood </w:t>
      </w:r>
      <w:r w:rsidRPr="00A51466">
        <w:rPr>
          <w:i/>
          <w:noProof/>
          <w:color w:val="000000" w:themeColor="text1"/>
        </w:rPr>
        <w:t>et al.</w:t>
      </w:r>
      <w:r w:rsidRPr="00A51466">
        <w:rPr>
          <w:noProof/>
          <w:color w:val="000000" w:themeColor="text1"/>
        </w:rPr>
        <w:t xml:space="preserve"> 2003)</w:t>
      </w:r>
      <w:r w:rsidRPr="00A51466">
        <w:rPr>
          <w:color w:val="000000" w:themeColor="text1"/>
        </w:rPr>
        <w:fldChar w:fldCharType="end"/>
      </w:r>
      <w:r w:rsidRPr="00A51466">
        <w:rPr>
          <w:color w:val="000000" w:themeColor="text1"/>
        </w:rPr>
        <w:t>. Fu</w:t>
      </w:r>
      <w:r w:rsidRPr="00A51466">
        <w:t xml:space="preserve">rther, </w:t>
      </w:r>
      <w:r w:rsidRPr="00A51466">
        <w:rPr>
          <w:i/>
        </w:rPr>
        <w:t>Populus ssp.</w:t>
      </w:r>
      <w:r w:rsidRPr="00A51466">
        <w:t xml:space="preserve"> are foundation species in riparian ecosystems in the western U.S. contributing greatly to ecosystem transpiration, but have been generally labelled as “drought sensitive” species that are declining in recent years </w:t>
      </w:r>
      <w:r w:rsidRPr="00A51466">
        <w:fldChar w:fldCharType="begin" w:fldLock="1"/>
      </w:r>
      <w:r w:rsidRPr="00A51466">
        <w:instrText>ADDIN CSL_CITATION {"citationItems":[{"id":"ITEM-1","itemData":{"DOI":"10.1890/120056","ISBN":"1540-9295","ISSN":"15409295","abstract":"Riparian ecosystems support mosaics of terrestrial and aquatic plant species that enhance regional biodiversity and provide important ecosystem services to humans. Species composition and the distribution of functional traits – traits that define species in terms of their ecological roles – within riparian plant communities are rapidly changing in response to various global change drivers. Here, we present a conceptual framework illustrating how changes in dependent wildlife communities and ecosystem processes can be predicted by examining shifts in riparian plant functional trait diversity and redundancy (overlap). Three widespread examples of altered riparian plant composition are: shifts in the dominance of deciduous and coniferous species; increases in drought-tolerant species; and the increasing global distribution of plantation and crop species. Changes in the diversity and distribution of critical plant functional traits influence terrestrial and aquatic food webs, organic matter production and processing, nutrient cycling, water quality, and water availability. Effective conservation efforts and riparian ecosystems management require matching of plant functional trait diversity and redundancy with tolerance to environmental changes in all biomes. • Understanding species functional traits is critical to forecasting how environmental changes will affect biodiversity and ecosystem functioning • Global shifts in riparian plant traits include changes in phenology, increases in drought-tolerant generalists, and genetically modified plantation and crop species • Non-native and invasive species can reduce or enhance functional trait diversity and overlap • More research is needed to identify shifts in riparian plant communities outside of North America and Europe and to assess the effects of these changes on ecosystem function • Riparian management should focus on maintaining functional traits that ensure resilience to environmental changes in ecosystems.","author":[{"dropping-particle":"","family":"Kominoski","given":"John S.","non-dropping-particle":"","parse-names":false,"suffix":""},{"dropping-particle":"","family":"Shah","given":"Jennifer J Follstad","non-dropping-particle":"","parse-names":false,"suffix":""},{"dropping-particle":"","family":"Canhoto","given":"Cristina","non-dropping-particle":"","parse-names":false,"suffix":""},{"dropping-particle":"","family":"Fischer","given":"Dylan G.","non-dropping-particle":"","parse-names":false,"suffix":""},{"dropping-particle":"","family":"Giling","given":"Darren P.","non-dropping-particle":"","parse-names":false,"suffix":""},{"dropping-particle":"","family":"González","given":"Eduardo","non-dropping-particle":"","parse-names":false,"suffix":""},{"dropping-particle":"","family":"Griffiths","given":"Natalie A.","non-dropping-particle":"","parse-names":false,"suffix":""},{"dropping-particle":"","family":"Larrañaga","given":"Aitor","non-dropping-particle":"","parse-names":false,"suffix":""},{"dropping-particle":"","family":"Leroy","given":"Carri J.","non-dropping-particle":"","parse-names":false,"suffix":""},{"dropping-particle":"","family":"Mineau","given":"Madeleine M.","non-dropping-particle":"","parse-names":false,"suffix":""},{"dropping-particle":"","family":"McElarney","given":"Yvonne R.","non-dropping-particle":"","parse-names":false,"suffix":""},{"dropping-particle":"","family":"Shirley","given":"Susan M.","non-dropping-particle":"","parse-names":false,"suffix":""},{"dropping-particle":"","family":"Swan","given":"Christopher M.","non-dropping-particle":"","parse-names":false,"suffix":""},{"dropping-particle":"","family":"Tiegs","given":"Scott D.","non-dropping-particle":"","parse-names":false,"suffix":""}],"container-title":"Frontiers in Ecology and the Environment","id":"ITEM-1","issue":"8","issued":{"date-parts":[["2013"]]},"title":"Forecasting functional implications of global changes in riparian plant communities","type":"article","volume":"11"},"uris":["http://www.mendeley.com/documents/?uuid=7e826739-90c5-3533-b41a-8bade2df4a88"]}],"mendeley":{"formattedCitation":"(Kominoski &lt;i&gt;et al.&lt;/i&gt;, 2013)","plainTextFormattedCitation":"(Kominoski et al., 2013)","previouslyFormattedCitation":"(Kominoski &lt;i&gt;et al.&lt;/i&gt;, 2013)"},"properties":{"noteIndex":0},"schema":"https://github.com/citation-style-language/schema/raw/master/csl-citation.json"}</w:instrText>
      </w:r>
      <w:r w:rsidRPr="00A51466">
        <w:fldChar w:fldCharType="separate"/>
      </w:r>
      <w:r w:rsidRPr="00A51466">
        <w:rPr>
          <w:noProof/>
        </w:rPr>
        <w:t xml:space="preserve">(Schaeffer </w:t>
      </w:r>
      <w:r w:rsidRPr="00A51466">
        <w:rPr>
          <w:i/>
          <w:iCs/>
          <w:noProof/>
        </w:rPr>
        <w:t>et al.</w:t>
      </w:r>
      <w:r w:rsidRPr="00A51466">
        <w:rPr>
          <w:noProof/>
        </w:rPr>
        <w:t xml:space="preserve"> 2000; Kominoski </w:t>
      </w:r>
      <w:r w:rsidRPr="00A51466">
        <w:rPr>
          <w:i/>
          <w:noProof/>
        </w:rPr>
        <w:t>et al.</w:t>
      </w:r>
      <w:r w:rsidRPr="00A51466">
        <w:rPr>
          <w:noProof/>
        </w:rPr>
        <w:t xml:space="preserve"> 2013)</w:t>
      </w:r>
      <w:r w:rsidRPr="00A51466">
        <w:fldChar w:fldCharType="end"/>
      </w:r>
      <w:r w:rsidRPr="00A51466">
        <w:t xml:space="preserve">. It is also clear that these riparian forests do not </w:t>
      </w:r>
      <w:proofErr w:type="spellStart"/>
      <w:r w:rsidRPr="00A51466">
        <w:t>recieve</w:t>
      </w:r>
      <w:proofErr w:type="spellEnd"/>
      <w:r w:rsidRPr="00A51466">
        <w:t xml:space="preserve"> enough precipitation during the growing season to support the levels of transpiration to meet atmospheric demand (Scott </w:t>
      </w:r>
      <w:r w:rsidRPr="00A51466">
        <w:rPr>
          <w:i/>
          <w:iCs/>
        </w:rPr>
        <w:t>et al.</w:t>
      </w:r>
      <w:r w:rsidRPr="00A51466">
        <w:t xml:space="preserve"> 2000; Flanagan </w:t>
      </w:r>
      <w:r w:rsidRPr="00A51466">
        <w:rPr>
          <w:i/>
          <w:iCs/>
        </w:rPr>
        <w:t>et al.</w:t>
      </w:r>
      <w:r w:rsidRPr="00A51466">
        <w:t xml:space="preserve"> 2017; Yang </w:t>
      </w:r>
      <w:r w:rsidRPr="00A51466">
        <w:rPr>
          <w:i/>
          <w:iCs/>
        </w:rPr>
        <w:t>et al.</w:t>
      </w:r>
      <w:r w:rsidRPr="00A51466">
        <w:t xml:space="preserve"> 2019). Populations under such environmental constraints are ideal for identifying genetic divergence in response to varying hydrologic dynamics.</w:t>
      </w:r>
    </w:p>
    <w:p w14:paraId="42E3D994" w14:textId="15A468BB" w:rsidR="004D30B5" w:rsidRPr="00A51466" w:rsidRDefault="004D30B5" w:rsidP="00A51466">
      <w:pPr>
        <w:spacing w:line="360" w:lineRule="auto"/>
        <w:ind w:firstLine="720"/>
        <w:jc w:val="both"/>
      </w:pPr>
      <w:r w:rsidRPr="00A51466">
        <w:t>We have established field sites along 17 rivers in the western United States that span significant environmental gradients and nearly 1,700 kilometers of latitude (</w:t>
      </w:r>
      <w:r w:rsidR="003114A7" w:rsidRPr="00A51466">
        <w:rPr>
          <w:bCs/>
        </w:rPr>
        <w:t>Figure</w:t>
      </w:r>
      <w:r w:rsidRPr="00A51466">
        <w:rPr>
          <w:b/>
        </w:rPr>
        <w:t xml:space="preserve"> </w:t>
      </w:r>
      <w:r w:rsidRPr="00A51466">
        <w:rPr>
          <w:bCs/>
        </w:rPr>
        <w:t>1a).</w:t>
      </w:r>
      <w:r w:rsidRPr="00A51466">
        <w:t xml:space="preserve"> </w:t>
      </w:r>
      <w:r w:rsidRPr="00A51466">
        <w:rPr>
          <w:color w:val="000000" w:themeColor="text1"/>
        </w:rPr>
        <w:t>In 2012</w:t>
      </w:r>
      <w:r w:rsidRPr="00A51466">
        <w:t xml:space="preserve">, over 525 genotypes of </w:t>
      </w:r>
      <w:r w:rsidRPr="00A51466">
        <w:rPr>
          <w:i/>
        </w:rPr>
        <w:t>P. angustifolia</w:t>
      </w:r>
      <w:r w:rsidRPr="00A51466">
        <w:t xml:space="preserve"> were collected and geo-located from multiple (minimum three, maximum five) sites along each river, including at the highest and lowest elevations. The collected trees have been established in a greenhouse at the University of Tennessee and all tree replicates were tagged with a number and randomized in the common environment to minimize microspatial variation in light or </w:t>
      </w:r>
      <w:r w:rsidRPr="00A51466">
        <w:rPr>
          <w:color w:val="000000" w:themeColor="text1"/>
        </w:rPr>
        <w:t xml:space="preserve">temperature (details in </w:t>
      </w:r>
      <w:r w:rsidRPr="00A51466">
        <w:rPr>
          <w:color w:val="000000" w:themeColor="text1"/>
        </w:rPr>
        <w:fldChar w:fldCharType="begin" w:fldLock="1"/>
      </w:r>
      <w:r w:rsidRPr="00A51466">
        <w:rPr>
          <w:color w:val="000000" w:themeColor="text1"/>
        </w:rPr>
        <w:instrText>ADDIN CSL_CITATION {"citationItems":[{"id":"ITEM-1","itemData":{"DOI":"10.1111/gcb.14553","ISSN":"13652486","author":[{"dropping-particle":"","family":"Ware","given":"Ian M.","non-dropping-particle":"","parse-names":false,"suffix":""},{"dropping-particle":"","family":"Nuland","given":"Michael E.","non-dropping-particle":"Van","parse-names":false,"suffix":""},{"dropping-particle":"","family":"Schweitzer","given":"Jennifer A.","non-dropping-particle":"","parse-names":false,"suffix":""},{"dropping-particle":"","family":"Yang","given":"Zamin","non-dropping-particle":"","parse-names":false,"suffix":""},{"dropping-particle":"","family":"Schadt","given":"Christopher W.","non-dropping-particle":"","parse-names":false,"suffix":""},{"dropping-particle":"","family":"Sidak-Loftis","given":"Lindsay C.","non-dropping-particle":"","parse-names":false,"suffix":""},{"dropping-particle":"","family":"Stone","given":"Nathan E.","non-dropping-particle":"","parse-names":false,"suffix":""},{"dropping-particle":"","family":"Busch","given":"Joseph D.","non-dropping-particle":"","parse-names":false,"suffix":""},{"dropping-particle":"","family":"Wagner","given":"David M.","non-dropping-particle":"","parse-names":false,"suffix":""},{"dropping-particle":"","family":"Bailey","given":"Joseph K.","non-dropping-particle":"","parse-names":false,"suffix":""}],"container-title":"Global Change Biology","id":"ITEM-1","issued":{"date-parts":[["2019"]]},"title":"Climate-driven reduction of genetic variation in plant phenology alters soil communities and nutrient pools","type":"article-journal"},"uris":["http://www.mendeley.com/documents/?uuid=e55651c0-23c5-4a5b-af5c-bd3d0266fa88"]}],"mendeley":{"formattedCitation":"(Ware &lt;i&gt;et al.&lt;/i&gt;, 2019b)","manualFormatting":"Ware et al., 2019)","plainTextFormattedCitation":"(Ware et al., 2019b)","previouslyFormattedCitation":"(Ware &lt;i&gt;et al.&lt;/i&gt;, 2019b)"},"properties":{"noteIndex":0},"schema":"https://github.com/citation-style-language/schema/raw/master/csl-citation.json"}</w:instrText>
      </w:r>
      <w:r w:rsidRPr="00A51466">
        <w:rPr>
          <w:color w:val="000000" w:themeColor="text1"/>
        </w:rPr>
        <w:fldChar w:fldCharType="separate"/>
      </w:r>
      <w:r w:rsidRPr="00A51466">
        <w:rPr>
          <w:noProof/>
          <w:color w:val="000000" w:themeColor="text1"/>
        </w:rPr>
        <w:t xml:space="preserve">Ware </w:t>
      </w:r>
      <w:r w:rsidRPr="00A51466">
        <w:rPr>
          <w:i/>
          <w:iCs/>
          <w:noProof/>
          <w:color w:val="000000" w:themeColor="text1"/>
        </w:rPr>
        <w:t>et al.</w:t>
      </w:r>
      <w:r w:rsidRPr="00A51466">
        <w:rPr>
          <w:noProof/>
          <w:color w:val="000000" w:themeColor="text1"/>
        </w:rPr>
        <w:t xml:space="preserve"> 2019)</w:t>
      </w:r>
      <w:r w:rsidRPr="00A51466">
        <w:rPr>
          <w:color w:val="000000" w:themeColor="text1"/>
        </w:rPr>
        <w:fldChar w:fldCharType="end"/>
      </w:r>
      <w:r w:rsidRPr="00A51466">
        <w:rPr>
          <w:color w:val="000000" w:themeColor="text1"/>
        </w:rPr>
        <w:t xml:space="preserve">. </w:t>
      </w:r>
      <w:r w:rsidRPr="00A51466">
        <w:t xml:space="preserve">This is a conservative experimental approach to examining genetic variation at multiple genetic hierarchies, including provenance, population, site, and genotype, that reduces observer sample bias. No plants were water limited in the greenhouse, and temperature conditions were maintained between 65-75 degrees Fahrenheit. Testing for variation in trait measurements in the common environment and relating these traits to environmental parameters allows us to infer patterns of local adaptation </w:t>
      </w:r>
      <w:r w:rsidRPr="00A51466">
        <w:fldChar w:fldCharType="begin" w:fldLock="1"/>
      </w:r>
      <w:r w:rsidRPr="00A51466">
        <w:instrText>ADDIN CSL_CITATION {"citationItems":[{"id":"ITEM-1","itemData":{"DOI":"10.1111/j.1461-0248.2004.00684.x","ISBN":"1461-023X","ISSN":"1461023X","PMID":"1418097585842656351","abstract":"Studies of local adaptation provide important insights into the power of natural selection relative to gene flow and other evolutionary forces. They are a paradigm for testing evolutionary hypotheses about traits favoured by particular environmental factors. This paper is an attempt to summarize the conceptual framework for local adaptation studies. We first review theoretical work relevant for local adaptation. Then we discuss reciprocal transplant and common garden experiments designed to detect local adaptation in the pattern of deme × habitat interaction for fitness. Finally, we review research questions and approaches to studying the processes of local adaptation – divergent natural selection, dispersal and gene flow, and other processes affecting adaptive differentiation of local demes. We advocate multifaceted approaches to the study of local adaptation, and stress the need for experiments explicitly addressing hypotheses about the role of particular ecological and genetic factors that promote or hinder local adaptation. Experimental evolution of replicated populations in controlled spatially heterogeneous environments allow direct tests of such hypotheses, and thus would be a valuable way to complement research on natural populations.","author":[{"dropping-particle":"","family":"Kawecki","given":"Tadeusz J.","non-dropping-particle":"","parse-names":false,"suffix":""},{"dropping-particle":"","family":"Ebert","given":"Dieter","non-dropping-particle":"","parse-names":false,"suffix":""}],"container-title":"Ecology Letters","id":"ITEM-1","issued":{"date-parts":[["2004"]]},"title":"Conceptual issues in local adaptation","type":"article"},"uris":["http://www.mendeley.com/documents/?uuid=a33579d0-56ef-3715-9159-d46f5e4ca505"]},{"id":"ITEM-2","itemData":{"DOI":"10.1371/journal.pone.0004010","ISSN":"1932-6203","PMID":"19104660","abstract":"Local adaptation is of fundamental importance in evolutionary, population, conservation, and global-change biology. The generality of local adaptation in plants and whether and how it is influenced by specific species, population and habitat characteristics have, however, not been quantitatively reviewed. Therefore, we examined published data on the outcomes of reciprocal transplant experiments using two approaches. We conducted a meta-analysis to compare the performance of local and foreign plants at all transplant sites. In addition, we analysed frequencies of pairs of plant origin to examine whether local plants perform better than foreign plants at both compared transplant sites. In both approaches, we also examined the effects of population size, and of the habitat and species characteristics that are predicted to affect local adaptation. We show that, overall, local plants performed significantly better than foreign plants at their site of origin: this was found to be the case in 71.0% of the studied sites. However, local plants performed better than foreign plants at both sites of a pair-wise comparison (strict definition of local adaption) only in 45.3% of the 1032 compared population pairs. Furthermore, we found local adaptation much more common for large plant populations (&gt;1000 flowering individuals) than for small populations (&lt;1000 flowering individuals) for which local adaptation was very rare. The degree of local adaptation was independent of plant life history, spatial or temporal habitat heterogeneity, and geographic scale. Our results suggest that local adaptation is less common in plant populations than generally assumed. Moreover, our findings reinforce the fundamental importance of population size for evolutionary theory. The clear role of population size for the ability to evolve local adaptation raises considerable doubt on the ability of small plant populations to cope with changing environments.","author":[{"dropping-particle":"","family":"Leimu","given":"Roosa","non-dropping-particle":"","parse-names":false,"suffix":""},{"dropping-particle":"","family":"Fischer","given":"Markus","non-dropping-particle":"","parse-names":false,"suffix":""}],"container-title":"PloS one","id":"ITEM-2","issue":"12","issued":{"date-parts":[["2008","1","23"]]},"page":"e4010","publisher":"Public Library of Science","title":"A meta-analysis of local adaptation in plants.","type":"article-journal","volume":"3"},"uris":["http://www.mendeley.com/documents/?uuid=3724f4e9-a0f3-4504-ba5e-0e3983597e30"]}],"mendeley":{"formattedCitation":"(Kawecki &amp; Ebert, 2004; Leimu &amp; Fischer, 2008)","plainTextFormattedCitation":"(Kawecki &amp; Ebert, 2004; Leimu &amp; Fischer, 2008)","previouslyFormattedCitation":"(Kawecki &amp; Ebert, 2004; Leimu &amp; Fischer, 2008)"},"properties":{"noteIndex":0},"schema":"https://github.com/citation-style-language/schema/raw/master/csl-citation.json"}</w:instrText>
      </w:r>
      <w:r w:rsidRPr="00A51466">
        <w:fldChar w:fldCharType="separate"/>
      </w:r>
      <w:r w:rsidRPr="00A51466">
        <w:rPr>
          <w:noProof/>
        </w:rPr>
        <w:t>(Kawecki &amp; Ebert 2004; Leimu &amp; Fischer 2008)</w:t>
      </w:r>
      <w:r w:rsidRPr="00A51466">
        <w:fldChar w:fldCharType="end"/>
      </w:r>
      <w:r w:rsidRPr="00A51466">
        <w:t xml:space="preserve">. We refer to populations as </w:t>
      </w:r>
      <w:r w:rsidRPr="00A51466">
        <w:lastRenderedPageBreak/>
        <w:t xml:space="preserve">groupings of all genotypes from sites along each river, resulting in 17 </w:t>
      </w:r>
      <w:r w:rsidRPr="00A51466">
        <w:rPr>
          <w:color w:val="000000" w:themeColor="text1"/>
        </w:rPr>
        <w:t xml:space="preserve">river </w:t>
      </w:r>
      <w:r w:rsidRPr="00A51466">
        <w:t>populations. These 17 populations vary locally and regionally, grouping into three genetically-distinct provenances which have been geographically isolated by large landscape features including the Great Basin, the Rocky Mountains, and the Mogollon Rim (</w:t>
      </w:r>
      <w:r w:rsidR="003114A7" w:rsidRPr="00A51466">
        <w:t>Figure</w:t>
      </w:r>
      <w:r w:rsidRPr="00A51466">
        <w:t xml:space="preserve"> 1a;</w:t>
      </w:r>
      <w:r w:rsidRPr="00A51466">
        <w:fldChar w:fldCharType="begin" w:fldLock="1"/>
      </w:r>
      <w:r w:rsidRPr="00A51466">
        <w:instrText>ADDIN CSL_CITATION {"citationItems":[{"id":"ITEM-1","itemData":{"DOI":"10.1038/hdy.2014.115","ISSN":"13652540","abstract":"© 2015 Macmillan Publishers Limited All rights reserved. Studies of genetic variation can clarify the role of geography and spatio-temporal variation of climate in shaping demography, particularly in temperate zone tree species with large latitudinal ranges. Here, we examined genetic variation in narrowleaf cottonwood, Populus angustifolia, a dominant riparian tree. Using multi-locus surveys of polymorphism in 363 individuals across the species' 1800 km latitudinal range, we found that, first, P. angustifolia has stronger neutral genetic structure than many forest trees (simple sequence repeat (SSR) F ST =0.21), with m ajor genetic groups corresponding to large apparent geographical barriers to gene flow. Second, using SSRs and putatively neutral sequenced loci, coalescent simulations indicated that populations diverged before the last glacial maximum (LGM), suggesting the presence of population structure before the LGM. Third, the LGM and subsequent warming appear to have had different influences on each of these distinct populations, with effective population size reduction in the southern extent of the range but major expansion in the north. These results are consistent with the hypothesis that climate and geographic barriers have jointly affected the demographic history of P. angustifolia, and point the importance of both factors as being instrumental in shaping genetic variation and structure in widespread forest trees.","author":[{"dropping-particle":"","family":"Evans","given":"L. M.","non-dropping-particle":"","parse-names":false,"suffix":""},{"dropping-particle":"","family":"Allan","given":"G. J.","non-dropping-particle":"","parse-names":false,"suffix":""},{"dropping-particle":"","family":"Difazio","given":"S. P.","non-dropping-particle":"","parse-names":false,"suffix":""},{"dropping-particle":"","family":"Slavov","given":"G. T.","non-dropping-particle":"","parse-names":false,"suffix":""},{"dropping-particle":"","family":"Wilder","given":"J. A.","non-dropping-particle":"","parse-names":false,"suffix":""},{"dropping-particle":"","family":"Floate","given":"K. D.","non-dropping-particle":"","parse-names":false,"suffix":""},{"dropping-particle":"","family":"Rood","given":"S. B.","non-dropping-particle":"","parse-names":false,"suffix":""},{"dropping-particle":"","family":"Whitham","given":"T. G.","non-dropping-particle":"","parse-names":false,"suffix":""}],"container-title":"Heredity","id":"ITEM-1","issued":{"date-parts":[["2015"]]},"title":"Geographical barriers and climate influence demographic history in narrowleaf cottonwoods","type":"article-journal"},"uris":["http://www.mendeley.com/documents/?uuid=567213ea-aed5-43f1-9fda-0f65a0c4ef52"]}],"mendeley":{"formattedCitation":"(Evans &lt;i&gt;et al.&lt;/i&gt;, 2015)","manualFormatting":" Evans et al., 2015)","plainTextFormattedCitation":"(Evans et al., 2015)","previouslyFormattedCitation":"(Evans &lt;i&gt;et al.&lt;/i&gt;, 2015)"},"properties":{"noteIndex":0},"schema":"https://github.com/citation-style-language/schema/raw/master/csl-citation.json"}</w:instrText>
      </w:r>
      <w:r w:rsidRPr="00A51466">
        <w:fldChar w:fldCharType="separate"/>
      </w:r>
      <w:r w:rsidRPr="00A51466">
        <w:rPr>
          <w:i/>
          <w:iCs/>
          <w:noProof/>
        </w:rPr>
        <w:t xml:space="preserve"> </w:t>
      </w:r>
      <w:r w:rsidRPr="00A51466">
        <w:rPr>
          <w:noProof/>
        </w:rPr>
        <w:t>Evans</w:t>
      </w:r>
      <w:r w:rsidRPr="00A51466">
        <w:rPr>
          <w:i/>
          <w:iCs/>
          <w:noProof/>
        </w:rPr>
        <w:t xml:space="preserve"> et al.</w:t>
      </w:r>
      <w:r w:rsidRPr="00A51466">
        <w:rPr>
          <w:noProof/>
        </w:rPr>
        <w:t xml:space="preserve"> 2015)</w:t>
      </w:r>
      <w:r w:rsidRPr="00A51466">
        <w:fldChar w:fldCharType="end"/>
      </w:r>
      <w:r w:rsidRPr="00A51466">
        <w:t>.</w:t>
      </w:r>
    </w:p>
    <w:p w14:paraId="3A1ED4BD" w14:textId="77777777" w:rsidR="004D30B5" w:rsidRPr="00A51466" w:rsidRDefault="004D30B5" w:rsidP="00A51466">
      <w:pPr>
        <w:pStyle w:val="Heading3"/>
        <w:spacing w:line="360" w:lineRule="auto"/>
        <w:jc w:val="both"/>
        <w:rPr>
          <w:szCs w:val="24"/>
        </w:rPr>
      </w:pPr>
      <w:r w:rsidRPr="00A51466">
        <w:rPr>
          <w:szCs w:val="24"/>
        </w:rPr>
        <w:t>Plant functional and performance traits</w:t>
      </w:r>
    </w:p>
    <w:p w14:paraId="4BD4258F" w14:textId="77777777" w:rsidR="004D30B5" w:rsidRPr="00A51466" w:rsidRDefault="004D30B5" w:rsidP="00A51466">
      <w:pPr>
        <w:spacing w:after="120" w:line="360" w:lineRule="auto"/>
        <w:jc w:val="both"/>
        <w:rPr>
          <w:iCs/>
        </w:rPr>
      </w:pPr>
      <w:r w:rsidRPr="00A51466">
        <w:rPr>
          <w:iCs/>
        </w:rPr>
        <w:t xml:space="preserve">Field biomass measurements were made in the summer of 2012, and greenhouse biomass measurements were later made from established clonal cuttings of the same genotypes in 2016. In June 2017, we re-visited a subsample of the genotypes visited in 2012 to obtain field stomatal measurements. At this time, we also collected cuttings and established clones in the greenhouse. We measured the same suite of stomatal traits on these trees between October 27-31, 2017. Details of trait measurements are described below. Because development and leaf age can affect stomatal traits (e.g., Pearce </w:t>
      </w:r>
      <w:r w:rsidRPr="00A51466">
        <w:rPr>
          <w:i/>
        </w:rPr>
        <w:t>et al.</w:t>
      </w:r>
      <w:r w:rsidRPr="00A51466">
        <w:rPr>
          <w:iCs/>
        </w:rPr>
        <w:t xml:space="preserve"> 2005; </w:t>
      </w:r>
      <w:proofErr w:type="spellStart"/>
      <w:r w:rsidRPr="00A51466">
        <w:rPr>
          <w:iCs/>
        </w:rPr>
        <w:t>Hamanishi</w:t>
      </w:r>
      <w:proofErr w:type="spellEnd"/>
      <w:r w:rsidRPr="00A51466">
        <w:rPr>
          <w:iCs/>
        </w:rPr>
        <w:t xml:space="preserve"> </w:t>
      </w:r>
      <w:r w:rsidRPr="00A51466">
        <w:rPr>
          <w:i/>
        </w:rPr>
        <w:t>et al.</w:t>
      </w:r>
      <w:r w:rsidRPr="00A51466">
        <w:rPr>
          <w:iCs/>
        </w:rPr>
        <w:t xml:space="preserve"> 2012), we checked for ontogenetic differences in traits between older clones from which biomass was derived and their respective younger clones (from the same “source” tree in the field). Seven of the same genotypes were measured for stomatal traits in the “older” (2012) trees in October 2017. A tw</w:t>
      </w:r>
      <w:r w:rsidRPr="00A51466">
        <w:rPr>
          <w:iCs/>
          <w:color w:val="000000" w:themeColor="text1"/>
        </w:rPr>
        <w:t>o-tailed unpaired t-test on stomatal density and stomatal distribution showed no difference between the two age groups (</w:t>
      </w:r>
      <w:r w:rsidRPr="00A51466">
        <w:rPr>
          <w:i/>
          <w:color w:val="000000" w:themeColor="text1"/>
        </w:rPr>
        <w:t xml:space="preserve">p=0.56, p=0.39 </w:t>
      </w:r>
      <w:r w:rsidRPr="00A51466">
        <w:rPr>
          <w:iCs/>
          <w:color w:val="000000" w:themeColor="text1"/>
        </w:rPr>
        <w:t>respectively)</w:t>
      </w:r>
      <w:r w:rsidRPr="00A51466">
        <w:rPr>
          <w:i/>
          <w:color w:val="000000" w:themeColor="text1"/>
        </w:rPr>
        <w:t>.</w:t>
      </w:r>
    </w:p>
    <w:p w14:paraId="24B1C30E" w14:textId="77777777" w:rsidR="004D30B5" w:rsidRPr="00A51466" w:rsidRDefault="004D30B5" w:rsidP="00A51466">
      <w:pPr>
        <w:spacing w:after="120" w:line="360" w:lineRule="auto"/>
        <w:jc w:val="both"/>
      </w:pPr>
      <w:r w:rsidRPr="00A51466">
        <w:rPr>
          <w:i/>
        </w:rPr>
        <w:t>Aboveground biomass.</w:t>
      </w:r>
      <w:r w:rsidRPr="00A51466">
        <w:t xml:space="preserve"> In the field, aboveground biomass estimates of </w:t>
      </w:r>
      <w:r w:rsidRPr="00A51466">
        <w:rPr>
          <w:i/>
        </w:rPr>
        <w:t>P. angustifolia</w:t>
      </w:r>
      <w:r w:rsidRPr="00A51466">
        <w:t xml:space="preserve"> genotypes were </w:t>
      </w:r>
      <w:r w:rsidRPr="00A51466">
        <w:rPr>
          <w:color w:val="000000" w:themeColor="text1"/>
        </w:rPr>
        <w:t>made in 2012</w:t>
      </w:r>
      <w:r w:rsidRPr="00A51466">
        <w:t xml:space="preserve"> by measuring tree circumference (m) which was used to calculate DBH (cm): DBH=100*circumference/3.14). We estimated biomass (kg) using an allometric equation for </w:t>
      </w:r>
      <w:r w:rsidRPr="00A51466">
        <w:rPr>
          <w:i/>
        </w:rPr>
        <w:t>Populus</w:t>
      </w:r>
      <w:r w:rsidRPr="00A51466">
        <w:t xml:space="preserve"> from </w:t>
      </w:r>
      <w:proofErr w:type="spellStart"/>
      <w:r w:rsidRPr="00A51466">
        <w:rPr>
          <w:color w:val="000000" w:themeColor="text1"/>
        </w:rPr>
        <w:t>Chojnacky</w:t>
      </w:r>
      <w:proofErr w:type="spellEnd"/>
      <w:r w:rsidRPr="00A51466">
        <w:rPr>
          <w:color w:val="000000" w:themeColor="text1"/>
        </w:rPr>
        <w:t xml:space="preserve"> </w:t>
      </w:r>
      <w:r w:rsidRPr="00A51466">
        <w:rPr>
          <w:i/>
          <w:iCs/>
        </w:rPr>
        <w:t>et al.</w:t>
      </w:r>
      <w:r w:rsidRPr="00A51466">
        <w:t xml:space="preserve"> </w:t>
      </w:r>
      <w:r w:rsidRPr="00A51466">
        <w:fldChar w:fldCharType="begin" w:fldLock="1"/>
      </w:r>
      <w:r w:rsidRPr="00A51466">
        <w:instrText>ADDIN CSL_CITATION {"citationItems":[{"id":"ITEM-1","itemData":{"DOI":"10.1093/forestry/cpt053","ISSN":"0015752X","abstract":"Historically, tree biomass at large scales has been estimated by\\napplying dimensional analysis techniques and field measurements such as\\ndiameter at breast height (dbh) in allometric regression equations.\\nEquations often have been developed using differing methods and applied\\nonly to certain species or isolated areas. We previously had compiled\\nand combined (in meta-analysis) available diameter-based allometric\\nregression equations for estimating total aboveground and component\\ndry-weight biomass for US trees. This had resulted in a set of 10\\nconsistent, national-scale aboveground biomass regression equations for\\nUS species, as well as equations for predicting biomass of tree\\ncomponents as proportions of total aboveground biomass. In this update\\nof our published equation database and refinement of our model, we\\ndeveloped equations based on allometric scaling theory, using taxonomic\\ngroupings and wood specific gravity as surrogates for scaling parameters\\nthat we could not estimate. The new approach resulted in 35\\ntheoretically based generalized equations (13 conifer, 18 hardwood, 4\\nwoodland), compared with the previous empirically grouped 10. For trees\\nfrom USDA Forest Inventory and Analysis Program (FIA) plots, with forest\\ntypes grouped into conifers and hardwoods, previous and updated\\nequations produced nearly identical estimates that predicted 20 per cent\\nhigher biomass than FIA estimates. Differences were observed between\\nprevious and updated equation estimates when comparisons were made using\\nindividual FIA forest types.","author":[{"dropping-particle":"","family":"Chojnacky","given":"David C.","non-dropping-particle":"","parse-names":false,"suffix":""},{"dropping-particle":"","family":"Heath","given":"Linda S.","non-dropping-particle":"","parse-names":false,"suffix":""},{"dropping-particle":"","family":"Jenkins","given":"Jennifer C.","non-dropping-particle":"","parse-names":false,"suffix":""}],"container-title":"Forestry","id":"ITEM-1","issued":{"date-parts":[["2014"]]},"title":"Updated generalized biomass equations for North American tree species","type":"article-journal"},"uris":["http://www.mendeley.com/documents/?uuid=3c1c71ea-9549-413a-977e-9ebabf2a23aa"]}],"mendeley":{"formattedCitation":"(Chojnacky &lt;i&gt;et al.&lt;/i&gt;, 2014)","plainTextFormattedCitation":"(Chojnacky et al., 2014)","previouslyFormattedCitation":"(Chojnacky &lt;i&gt;et al.&lt;/i&gt;, 2014)"},"properties":{"noteIndex":0},"schema":"https://github.com/citation-style-language/schema/raw/master/csl-citation.json"}</w:instrText>
      </w:r>
      <w:r w:rsidRPr="00A51466">
        <w:fldChar w:fldCharType="separate"/>
      </w:r>
      <w:r w:rsidRPr="00A51466">
        <w:rPr>
          <w:noProof/>
        </w:rPr>
        <w:t xml:space="preserve">(Chojnacky </w:t>
      </w:r>
      <w:r w:rsidRPr="00A51466">
        <w:rPr>
          <w:i/>
          <w:noProof/>
        </w:rPr>
        <w:t>et al.</w:t>
      </w:r>
      <w:r w:rsidRPr="00A51466">
        <w:rPr>
          <w:noProof/>
        </w:rPr>
        <w:t xml:space="preserve"> 2014)</w:t>
      </w:r>
      <w:r w:rsidRPr="00A51466">
        <w:fldChar w:fldCharType="end"/>
      </w:r>
      <w:r w:rsidRPr="00A51466">
        <w:t xml:space="preserve"> who developed from a meta-analysis of ten existing allometric equations based on tree DBH: Aboveground biomass (kg) = -2.6863 +((2.4561)*ln(DBH)). In the greenhouse, aboveground biomass measurements were made in 2016, four years after cuttings were established in the common environment. To estimate biomass (grams of C) for saplings, we created an allometric equation using six </w:t>
      </w:r>
      <w:r w:rsidRPr="00A51466">
        <w:rPr>
          <w:i/>
        </w:rPr>
        <w:t>P. angustifolia</w:t>
      </w:r>
      <w:r w:rsidRPr="00A51466">
        <w:t xml:space="preserve"> genotypes grown in the greenhouse environment and measurements collected across 3 years </w:t>
      </w:r>
      <w:r w:rsidRPr="00A51466">
        <w:rPr>
          <w:color w:val="000000" w:themeColor="text1"/>
        </w:rPr>
        <w:t xml:space="preserve">(June 2012, 2013, and </w:t>
      </w:r>
      <w:r w:rsidRPr="00A51466">
        <w:rPr>
          <w:color w:val="000000" w:themeColor="text1"/>
        </w:rPr>
        <w:lastRenderedPageBreak/>
        <w:t xml:space="preserve">2014; described and used in Van Nuland </w:t>
      </w:r>
      <w:r w:rsidRPr="00A51466">
        <w:rPr>
          <w:i/>
          <w:iCs/>
          <w:color w:val="000000" w:themeColor="text1"/>
        </w:rPr>
        <w:t>et al.</w:t>
      </w:r>
      <w:r w:rsidRPr="00A51466">
        <w:rPr>
          <w:color w:val="000000" w:themeColor="text1"/>
        </w:rPr>
        <w:t xml:space="preserve"> </w:t>
      </w:r>
      <w:r w:rsidRPr="00A51466">
        <w:rPr>
          <w:color w:val="000000" w:themeColor="text1"/>
        </w:rPr>
        <w:fldChar w:fldCharType="begin" w:fldLock="1"/>
      </w:r>
      <w:r w:rsidRPr="00A51466">
        <w:rPr>
          <w:color w:val="000000" w:themeColor="text1"/>
        </w:rPr>
        <w:instrText>ADDIN CSL_CITATION {"citationItems":[{"id":"ITEM-1","itemData":{"DOI":"10.1038/s41559-017-0150","ISSN":"2397334X","abstract":"Variable plant–soil biotic interactions influence the migration and fragmentation of tree species, and models will need to incorporate soil parameters to more accurately predict future species distributions.","author":[{"dropping-particle":"","family":"Nuland","given":"Michael E.","non-dropping-particle":"Van","parse-names":false,"suffix":""},{"dropping-particle":"","family":"Bailey","given":"Joseph K.","non-dropping-particle":"","parse-names":false,"suffix":""},{"dropping-particle":"","family":"Schweitzer","given":"Jennifer A.","non-dropping-particle":"","parse-names":false,"suffix":""}],"container-title":"Nature Ecology and Evolution","id":"ITEM-1","issued":{"date-parts":[["2017"]]},"title":"Divergent plant-soil feedbacks could alter future elevation ranges and ecosystem dynamics","type":"article-journal"},"uris":["http://www.mendeley.com/documents/?uuid=8f8fad7d-fedd-463e-98bf-3879c4b659ce"]}],"mendeley":{"formattedCitation":"(Van Nuland &lt;i&gt;et al.&lt;/i&gt;, 2017)","plainTextFormattedCitation":"(Van Nuland et al., 2017)","previouslyFormattedCitation":"(Van Nuland &lt;i&gt;et al.&lt;/i&gt;, 2017)"},"properties":{"noteIndex":0},"schema":"https://github.com/citation-style-language/schema/raw/master/csl-citation.json"}</w:instrText>
      </w:r>
      <w:r w:rsidRPr="00A51466">
        <w:rPr>
          <w:color w:val="000000" w:themeColor="text1"/>
        </w:rPr>
        <w:fldChar w:fldCharType="separate"/>
      </w:r>
      <w:r w:rsidRPr="00A51466">
        <w:rPr>
          <w:noProof/>
          <w:color w:val="000000" w:themeColor="text1"/>
        </w:rPr>
        <w:t xml:space="preserve">(Van Nuland </w:t>
      </w:r>
      <w:r w:rsidRPr="00A51466">
        <w:rPr>
          <w:i/>
          <w:noProof/>
          <w:color w:val="000000" w:themeColor="text1"/>
        </w:rPr>
        <w:t>et al.</w:t>
      </w:r>
      <w:r w:rsidRPr="00A51466">
        <w:rPr>
          <w:noProof/>
          <w:color w:val="000000" w:themeColor="text1"/>
        </w:rPr>
        <w:t xml:space="preserve"> 2017)</w:t>
      </w:r>
      <w:r w:rsidRPr="00A51466">
        <w:rPr>
          <w:color w:val="000000" w:themeColor="text1"/>
        </w:rPr>
        <w:fldChar w:fldCharType="end"/>
      </w:r>
      <w:r w:rsidRPr="00A51466">
        <w:rPr>
          <w:color w:val="000000" w:themeColor="text1"/>
        </w:rPr>
        <w:t xml:space="preserve"> and Ware </w:t>
      </w:r>
      <w:r w:rsidRPr="00A51466">
        <w:rPr>
          <w:i/>
          <w:iCs/>
          <w:color w:val="000000" w:themeColor="text1"/>
        </w:rPr>
        <w:t>et al.</w:t>
      </w:r>
      <w:r w:rsidRPr="00A51466">
        <w:rPr>
          <w:color w:val="000000" w:themeColor="text1"/>
        </w:rPr>
        <w:t xml:space="preserve"> </w:t>
      </w:r>
      <w:r w:rsidRPr="00A51466">
        <w:rPr>
          <w:color w:val="000000" w:themeColor="text1"/>
        </w:rPr>
        <w:fldChar w:fldCharType="begin" w:fldLock="1"/>
      </w:r>
      <w:r w:rsidRPr="00A51466">
        <w:rPr>
          <w:color w:val="000000" w:themeColor="text1"/>
        </w:rPr>
        <w:instrText>ADDIN CSL_CITATION {"citationItems":[{"id":"ITEM-1","itemData":{"DOI":"10.1111/gcb.14553","ISSN":"13652486","author":[{"dropping-particle":"","family":"Ware","given":"Ian M.","non-dropping-particle":"","parse-names":false,"suffix":""},{"dropping-particle":"","family":"Nuland","given":"Michael E.","non-dropping-particle":"Van","parse-names":false,"suffix":""},{"dropping-particle":"","family":"Schweitzer","given":"Jennifer A.","non-dropping-particle":"","parse-names":false,"suffix":""},{"dropping-particle":"","family":"Yang","given":"Zamin","non-dropping-particle":"","parse-names":false,"suffix":""},{"dropping-particle":"","family":"Schadt","given":"Christopher W.","non-dropping-particle":"","parse-names":false,"suffix":""},{"dropping-particle":"","family":"Sidak-Loftis","given":"Lindsay C.","non-dropping-particle":"","parse-names":false,"suffix":""},{"dropping-particle":"","family":"Stone","given":"Nathan E.","non-dropping-particle":"","parse-names":false,"suffix":""},{"dropping-particle":"","family":"Busch","given":"Joseph D.","non-dropping-particle":"","parse-names":false,"suffix":""},{"dropping-particle":"","family":"Wagner","given":"David M.","non-dropping-particle":"","parse-names":false,"suffix":""},{"dropping-particle":"","family":"Bailey","given":"Joseph K.","non-dropping-particle":"","parse-names":false,"suffix":""}],"container-title":"Global Change Biology","id":"ITEM-1","issued":{"date-parts":[["2019"]]},"title":"Climate-driven reduction of genetic variation in plant phenology alters soil communities and nutrient pools","type":"article-journal"},"uris":["http://www.mendeley.com/documents/?uuid=e55651c0-23c5-4a5b-af5c-bd3d0266fa88"]}],"mendeley":{"formattedCitation":"(Ware &lt;i&gt;et al.&lt;/i&gt;, 2019b)","plainTextFormattedCitation":"(Ware et al., 2019b)","previouslyFormattedCitation":"(Ware &lt;i&gt;et al.&lt;/i&gt;, 2019b)"},"properties":{"noteIndex":0},"schema":"https://github.com/citation-style-language/schema/raw/master/csl-citation.json"}</w:instrText>
      </w:r>
      <w:r w:rsidRPr="00A51466">
        <w:rPr>
          <w:color w:val="000000" w:themeColor="text1"/>
        </w:rPr>
        <w:fldChar w:fldCharType="separate"/>
      </w:r>
      <w:r w:rsidRPr="00A51466">
        <w:rPr>
          <w:noProof/>
          <w:color w:val="000000" w:themeColor="text1"/>
        </w:rPr>
        <w:t xml:space="preserve">(Ware </w:t>
      </w:r>
      <w:r w:rsidRPr="00A51466">
        <w:rPr>
          <w:i/>
          <w:noProof/>
          <w:color w:val="000000" w:themeColor="text1"/>
        </w:rPr>
        <w:t>et al.</w:t>
      </w:r>
      <w:r w:rsidRPr="00A51466">
        <w:rPr>
          <w:noProof/>
          <w:color w:val="000000" w:themeColor="text1"/>
        </w:rPr>
        <w:t xml:space="preserve"> 2019b)</w:t>
      </w:r>
      <w:r w:rsidRPr="00A51466">
        <w:rPr>
          <w:color w:val="000000" w:themeColor="text1"/>
        </w:rPr>
        <w:fldChar w:fldCharType="end"/>
      </w:r>
      <w:r w:rsidRPr="00A51466">
        <w:t>). The following allometric equation was used: Aboveground biomass (g) = (stem volume (mm</w:t>
      </w:r>
      <w:r w:rsidRPr="00A51466">
        <w:rPr>
          <w:vertAlign w:val="superscript"/>
        </w:rPr>
        <w:t>3</w:t>
      </w:r>
      <w:r w:rsidRPr="00A51466">
        <w:t xml:space="preserve">) * 0.41899) – 2.40137. </w:t>
      </w:r>
    </w:p>
    <w:p w14:paraId="5294BD56" w14:textId="77777777" w:rsidR="004D30B5" w:rsidRPr="00A51466" w:rsidRDefault="004D30B5" w:rsidP="00A51466">
      <w:pPr>
        <w:spacing w:after="120" w:line="360" w:lineRule="auto"/>
        <w:jc w:val="both"/>
      </w:pPr>
      <w:r w:rsidRPr="00A51466">
        <w:rPr>
          <w:i/>
        </w:rPr>
        <w:t>Stomatal traits.</w:t>
      </w:r>
      <w:r w:rsidRPr="00A51466">
        <w:rPr>
          <w:b/>
          <w:i/>
        </w:rPr>
        <w:t xml:space="preserve"> </w:t>
      </w:r>
      <w:r w:rsidRPr="00A51466">
        <w:rPr>
          <w:bCs/>
          <w:iCs/>
        </w:rPr>
        <w:t xml:space="preserve">We measured three traits related to stomatal function: density, distribution, and size. </w:t>
      </w:r>
      <w:r w:rsidRPr="00A51466">
        <w:t xml:space="preserve">Stomata control the movement of gases in and out of the leaf (e.g., carbon dioxide for photosynthesis, water via transpiration). Variation in the size and the density of stomata as well as the location on leaf surfaces (i.e., adaxial (top), abaxial (bottom)) reflect ways that plants can control water loss, and thus are important to plant function </w:t>
      </w:r>
      <w:r w:rsidRPr="00A51466">
        <w:fldChar w:fldCharType="begin" w:fldLock="1"/>
      </w:r>
      <w:r w:rsidRPr="00A51466">
        <w:instrText>ADDIN CSL_CITATION {"citationItems":[{"id":"ITEM-1","itemData":{"DOI":"10.1071/pp00157","ISSN":"1445-4408","abstract":"Some anatomical characteristics in leaves relating to hydraulic conductance and stomatal conductance were examined in six temperate deciduous tree species. The fourth power of the radius of the conducting elements in xylem (r4) and the area of mesophyll and epidermal cells per unit length of leaf cross-section (u) were high in leaves with high hydraulic conductance (L). Stomatal conductance (gs) and stomatal sensitivity to an increase in leaf water potential (si) correlated positively with the length of stomatal pore (l), but negatively with the guard cell width (z) and the length of the dorsal side of the guard cells (ld). Stomatal sensitivity to a decrease in leaf water potential (sd) correlated negatively with l and positively with z and ld. The anatomical characteristics associated with hydraulic conductance (r4 and u) and those associated with stomatal conductance and sensitivity to changes of leaf water potential (l, z and ld) were correlated. We conclude that hydraulic conductance may depend on anatomical characteristics of xylem, mesophyll and epidermis, and stomatal conductance and its sensitivity to changing water potential may depend on anatomical characteristics of stomata. The correlation of shoot hydraulic conductance with stomatal conductance and its sensitivity may be based largely on the correlation between the anatomical characteristics of the water conducting system and stomata in these trees.","author":[{"dropping-particle":"","family":"Aasamaa","given":"Krõõt","non-dropping-particle":"","parse-names":false,"suffix":""},{"dropping-particle":"","family":"Sõber","given":"Anu","non-dropping-particle":"","parse-names":false,"suffix":""},{"dropping-particle":"","family":"Rahi","given":"Märt","non-dropping-particle":"","parse-names":false,"suffix":""}],"container-title":"Functional Plant Biology","id":"ITEM-1","issued":{"date-parts":[["2002"]]},"title":"Leaf anatomical characteristics associated with shoot hydraulic conductance, stomatal conductance and stomatal sensitivity to changes of leaf water status in temperate deciduous trees","type":"article-journal"},"uris":["http://www.mendeley.com/documents/?uuid=3323e670-9f64-4ca9-94ae-213b77d24ebc"]},{"id":"ITEM-2","itemData":{"DOI":"10.1071/bt02124","ISSN":"0067-1924","abstract":"There is growing recognition that classifying terrestrial plant species on the basis of their function (into 'functional types') rather than their higher taxonomic identity, is a promising way forward for tackling important ecological questions at the scale of ecosystems, landscapes or biomes. These questions include those on vegetation responses to and vegetation effects on, environmental changes (e.g. changes in climate, atmospheric chemistry, land use or other disturbances). There is also growing consensus about a shortlist of plant traits that should underlie such functional plant classifications, because they have strong predictive power of important ecosystem responses to environmental change and/or they themselves have strong impacts on ecosystem processes. The most favoured traits are those that are also relatively easy and inexpensive to measure for large numbers of plant species. Large international research efforts, promoted by the IGBP–GCTE Programme, are underway to screen predominant plant species in various ecosystems and biomes worldwide for such traits. This paper provides an international methodological protocol aimed at standardising this research effort, based on consensus among a broad group of scientists in this field. It features a practical handbook with step-by-step recipes, with relatively brief information about the ecological context, for 28 functional traits recognised as critical for tackling large-scale ecological questions.","author":[{"dropping-particle":"","family":"Cornelissen","given":"J. H. C.","non-dropping-particle":"","parse-names":false,"suffix":""},{"dropping-particle":"","family":"Lavorel","given":"S.","non-dropping-particle":"","parse-names":false,"suffix":""},{"dropping-particle":"","family":"Garnier","given":"E.","non-dropping-particle":"","parse-names":false,"suffix":""},{"dropping-particle":"","family":"Díaz","given":"S.","non-dropping-particle":"","parse-names":false,"suffix":""},{"dropping-particle":"","family":"Buchmann","given":"N.","non-dropping-particle":"","parse-names":false,"suffix":""},{"dropping-particle":"","family":"Gurvich","given":"D. E.","non-dropping-particle":"","parse-names":false,"suffix":""},{"dropping-particle":"","family":"Reich","given":"P. B.","non-dropping-particle":"","parse-names":false,"suffix":""},{"dropping-particle":"ter","family":"Steege","given":"H.","non-dropping-particle":"","parse-names":false,"suffix":""},{"dropping-particle":"","family":"Morgan","given":"H. D.","non-dropping-particle":"","parse-names":false,"suffix":""},{"dropping-particle":"van der","family":"Heijden","given":"M. G. A.","non-dropping-particle":"","parse-names":false,"suffix":""},{"dropping-particle":"","family":"Pausas","given":"J. G.","non-dropping-particle":"","parse-names":false,"suffix":""},{"dropping-particle":"","family":"Poorter","given":"H.","non-dropping-particle":"","parse-names":false,"suffix":""}],"container-title":"Australian Journal of Botany","id":"ITEM-2","issued":{"date-parts":[["2003"]]},"title":"A handbook of protocols for standardised and easy measurement of plant functional traits worldwide","type":"article-journal"},"uris":["http://www.mendeley.com/documents/?uuid=dea2b2c8-e659-46ba-8fa5-8c69582cc6f6"]},{"id":"ITEM-3","itemData":{"abstract":"Stomata, the small pores on the surfaces of leaves and stalks, regulate the flow of gases in and out of leaves and thus plants as a whole. They adapt to local and global changes on all timescales from minutes to millennia. Recent data from diverse fields are establishing their central importance to plant physiology, evolution and global ecology. Stomatal morphology, distribution and behaviour respond to a spectrum of signals, from intracellular signalling to global climatic change. Such concerted adaptation results from a web of control systems, reminiscent of a 'scale-free' network, whose untangling requires integrated approaches beyond those currently used. S tomata (Fig. 1) are small pores on the surfaces of leaves and stems, bounded by a pair of guard cells, that control the exchange of gases-most importantly water vapour and CO 2-between the interior of the leaf and the atmosphere. In this capacity they make major contributions to the ability of the plant to control its water relations and to gain carbon. Gas exchange is regulated by controlling the aperture of the stomatal pore and the number of stomata that form on the epidermis. Environmental signals such as light intensity, the concentration of atmospheric carbon dioxide and endogenous plant hormones control stomatal aperture and development. The acquisition of stomata and an impervious leaf cuticle are considered to be key elements in the evolution of advanced terrestrial plants 1 , allowing the plant to inhabit a range of different, often fluctuating environments but still control water content. Here, we describe how the application of knowledge from cognate disciplines is providing new insights into how stomata evolve and are able to process information from simultaneous, often conflicting and sometimes rapidly changing signals. Although it is too early to say whether these recent advances will result in paradigm shifts in our understanding of how plants both respond to and drive environmental change, it is quite clear that stomata are a key experimental tool to investigate these phenomena. Before considering specific aspects of stomatal biology it is important to reflect on the impact of stomata at the global level. Although the total stomatal pore area may be only 5% of a leaf surface 2 , the rate of water vapour loss may reach as high as 70% of a similar structure without a cuticle. Stomata exert major controls on both the water and carbon cycles of the world. Annual precipitation over th…","author":[{"dropping-particle":"","family":"Hetherington","given":"Alistair M","non-dropping-particle":"","parse-names":false,"suffix":""},{"dropping-particle":"","family":"Woodward","given":"&amp; F Ian","non-dropping-particle":"","parse-names":false,"suffix":""}],"id":"ITEM-3","issued":{"date-parts":[["2003"]]},"title":"The role of stomata in sensing and driving environmental change","type":"report"},"uris":["http://www.mendeley.com/documents/?uuid=0ef4d74b-b4bb-3ce9-9913-e995215b304a"]},{"id":"ITEM-4","itemData":{"DOI":"10.3732/ajb.93.6.829","ISBN":"0002-9122","ISSN":"00029122","PMID":"21642145","abstract":"Intracanopy plasticity in tree leaf form is a major determinant of whole-plant function and potentially of forest understory ecology. However, there exists little systematic information for the full extent of intracanopy plasticity, whether it is linked with height and exposure, or its variation across species. For arboretum-grown trees of six temperate deciduous species averaging 13–18 m in height, we quantified intracanopy plasticity for 11 leaf traits across three canopy locations (basal-interior, basal-exterior, and top). Plasticity was pronounced across the canopy, and maximum likelihood analyses indicated that plasticity was primarily linked with irradiance, regardless of height. Intracanopy plasticity (the quotient of values for top and basal-interior leaves) was often similar across species and statistically indistinguishable across species for several key traits. At canopy tops, the area of individual leaves was on average 0.5–0.6 times that at basal-interior, stomatal density 1.1–1.5 times higher, sapwood cross-sectional area up to 1.7 times higher, and leaf mass per area 1.5–2.2 times higher; guard cell and stomatal pore lengths were invariant across the canopy. Species differed in intracanopy plasticity for the mass of individual leaves, leaf margin dissection, ratio of leaf to sapwood areas, and stomatal pore area per leaf area; plasticity quotients ranged only up to ≈2. Across the six species, trait plasticities were uncorrelated and independent of the magnitude of the canopy gradient in irradiance or height and of the species' light requirements for regeneration. This convergence across species indicates general optimization or constraints in development, resulting in a bounded plasticity that improves canopy performance.","author":[{"dropping-particle":"","family":"Sack","given":"Lawren","non-dropping-particle":"","parse-names":false,"suffix":""},{"dropping-particle":"","family":"Melcher","given":"Peter J.","non-dropping-particle":"","parse-names":false,"suffix":""},{"dropping-particle":"","family":"Liu","given":"Wendy H.","non-dropping-particle":"","parse-names":false,"suffix":""},{"dropping-particle":"","family":"Middleton","given":"Erin","non-dropping-particle":"","parse-names":false,"suffix":""},{"dropping-particle":"","family":"Pardee","given":"Tyler","non-dropping-particle":"","parse-names":false,"suffix":""}],"container-title":"American Journal of Botany","id":"ITEM-4","issued":{"date-parts":[["2006"]]},"title":"How strong is intracanopy leaf plasticity in temperate deciduous trees?","type":"article-journal"},"uris":["http://www.mendeley.com/documents/?uuid=e61d2d9b-8497-3614-80a6-1d493dc05c04"]}],"mendeley":{"formattedCitation":"(Aasamaa &lt;i&gt;et al.&lt;/i&gt;, 2002; Cornelissen &lt;i&gt;et al.&lt;/i&gt;, 2003; Hetherington &amp; Woodward, 2003; Sack &lt;i&gt;et al.&lt;/i&gt;, 2006)","plainTextFormattedCitation":"(Aasamaa et al., 2002; Cornelissen et al., 2003; Hetherington &amp; Woodward, 2003; Sack et al., 2006)","previouslyFormattedCitation":"(Aasamaa &lt;i&gt;et al.&lt;/i&gt;, 2002; Cornelissen &lt;i&gt;et al.&lt;/i&gt;, 2003; Hetherington &amp; Woodward, 2003; Sack &lt;i&gt;et al.&lt;/i&gt;, 2006)"},"properties":{"noteIndex":0},"schema":"https://github.com/citation-style-language/schema/raw/master/csl-citation.json"}</w:instrText>
      </w:r>
      <w:r w:rsidRPr="00A51466">
        <w:fldChar w:fldCharType="separate"/>
      </w:r>
      <w:r w:rsidRPr="00A51466">
        <w:rPr>
          <w:noProof/>
        </w:rPr>
        <w:t xml:space="preserve">(Aasamaa </w:t>
      </w:r>
      <w:r w:rsidRPr="00A51466">
        <w:rPr>
          <w:i/>
          <w:noProof/>
        </w:rPr>
        <w:t>et al.</w:t>
      </w:r>
      <w:r w:rsidRPr="00A51466">
        <w:rPr>
          <w:noProof/>
        </w:rPr>
        <w:t xml:space="preserve"> 2002; Cornelissen </w:t>
      </w:r>
      <w:r w:rsidRPr="00A51466">
        <w:rPr>
          <w:i/>
          <w:noProof/>
        </w:rPr>
        <w:t>et al.</w:t>
      </w:r>
      <w:r w:rsidRPr="00A51466">
        <w:rPr>
          <w:noProof/>
        </w:rPr>
        <w:t xml:space="preserve"> 2003; Hetherington &amp; Woodward 2003; Sack </w:t>
      </w:r>
      <w:r w:rsidRPr="00A51466">
        <w:rPr>
          <w:i/>
          <w:noProof/>
        </w:rPr>
        <w:t>et al.</w:t>
      </w:r>
      <w:r w:rsidRPr="00A51466">
        <w:rPr>
          <w:noProof/>
        </w:rPr>
        <w:t xml:space="preserve"> 2006; Bertolino </w:t>
      </w:r>
      <w:r w:rsidRPr="00A51466">
        <w:rPr>
          <w:i/>
          <w:iCs/>
          <w:noProof/>
        </w:rPr>
        <w:t>et al.</w:t>
      </w:r>
      <w:r w:rsidRPr="00A51466">
        <w:rPr>
          <w:noProof/>
        </w:rPr>
        <w:t xml:space="preserve"> 2019)</w:t>
      </w:r>
      <w:r w:rsidRPr="00A51466">
        <w:fldChar w:fldCharType="end"/>
      </w:r>
      <w:r w:rsidRPr="00A51466">
        <w:t xml:space="preserve">. Prior studies on </w:t>
      </w:r>
      <w:r w:rsidRPr="00A51466">
        <w:rPr>
          <w:i/>
          <w:iCs/>
        </w:rPr>
        <w:t xml:space="preserve">Populus </w:t>
      </w:r>
      <w:r w:rsidRPr="00A51466">
        <w:t xml:space="preserve">reveal positive relationships between stomatal density and ratio with conductance and carbon assimilation rates (Pearce </w:t>
      </w:r>
      <w:r w:rsidRPr="00A51466">
        <w:rPr>
          <w:i/>
          <w:iCs/>
        </w:rPr>
        <w:t>et al.</w:t>
      </w:r>
      <w:r w:rsidRPr="00A51466">
        <w:t xml:space="preserve"> 2005; Guy &amp; Gornall 2007; </w:t>
      </w:r>
      <w:proofErr w:type="spellStart"/>
      <w:r w:rsidRPr="00A51466">
        <w:t>Soolanayakanahally</w:t>
      </w:r>
      <w:proofErr w:type="spellEnd"/>
      <w:r w:rsidRPr="00A51466">
        <w:t xml:space="preserve"> </w:t>
      </w:r>
      <w:r w:rsidRPr="00A51466">
        <w:rPr>
          <w:i/>
          <w:iCs/>
        </w:rPr>
        <w:t>et al.</w:t>
      </w:r>
      <w:r w:rsidRPr="00A51466">
        <w:t xml:space="preserve"> 2009) and changes in water-use efficiency with drought (</w:t>
      </w:r>
      <w:proofErr w:type="spellStart"/>
      <w:r w:rsidRPr="00A51466">
        <w:t>Hamanishi</w:t>
      </w:r>
      <w:proofErr w:type="spellEnd"/>
      <w:r w:rsidRPr="00A51466">
        <w:t xml:space="preserve"> </w:t>
      </w:r>
      <w:r w:rsidRPr="00A51466">
        <w:rPr>
          <w:i/>
          <w:iCs/>
        </w:rPr>
        <w:t>et al.</w:t>
      </w:r>
      <w:r w:rsidRPr="00A51466">
        <w:t xml:space="preserve"> 2012). </w:t>
      </w:r>
    </w:p>
    <w:p w14:paraId="2F30707F" w14:textId="77777777" w:rsidR="004D30B5" w:rsidRPr="00A51466" w:rsidRDefault="004D30B5" w:rsidP="00A51466">
      <w:pPr>
        <w:spacing w:after="120" w:line="360" w:lineRule="auto"/>
        <w:ind w:firstLine="720"/>
        <w:jc w:val="both"/>
        <w:rPr>
          <w:color w:val="000000" w:themeColor="text1"/>
        </w:rPr>
      </w:pPr>
      <w:r w:rsidRPr="00A51466">
        <w:rPr>
          <w:color w:val="000000" w:themeColor="text1"/>
        </w:rPr>
        <w:t xml:space="preserve">Leaves were collected in the field in June 2017 from two genotypes along (3 sites) six rivers distributed across the three genetic provenances (Provenance 1: Blue River, NM and Oak Creek, AZ; Provenance 2: San Miguel River, CO and Indian Creek, UT; Provenance 3: Weber River, UT and Snake River, WY). These collections resulted in 6 genotypes per river, or 12 genotypes per genetic provenance, and were the same genotypes that were visited in 2012 collection described above. We chose three leaves from the terminal shoots of lower exterior branches of each tree to minimize intra-canopy and age variation in stomatal density </w:t>
      </w:r>
      <w:r w:rsidRPr="00A51466">
        <w:rPr>
          <w:color w:val="000000" w:themeColor="text1"/>
        </w:rPr>
        <w:fldChar w:fldCharType="begin" w:fldLock="1"/>
      </w:r>
      <w:r w:rsidRPr="00A51466">
        <w:rPr>
          <w:color w:val="000000" w:themeColor="text1"/>
        </w:rPr>
        <w:instrText>ADDIN CSL_CITATION {"citationItems":[{"id":"ITEM-1","itemData":{"DOI":"10.3732/ajb.93.6.829","ISBN":"0002-9122","ISSN":"00029122","PMID":"21642145","abstract":"Intracanopy plasticity in tree leaf form is a major determinant of whole-plant function and potentially of forest understory ecology. However, there exists little systematic information for the full extent of intracanopy plasticity, whether it is linked with height and exposure, or its variation across species. For arboretum-grown trees of six temperate deciduous species averaging 13–18 m in height, we quantified intracanopy plasticity for 11 leaf traits across three canopy locations (basal-interior, basal-exterior, and top). Plasticity was pronounced across the canopy, and maximum likelihood analyses indicated that plasticity was primarily linked with irradiance, regardless of height. Intracanopy plasticity (the quotient of values for top and basal-interior leaves) was often similar across species and statistically indistinguishable across species for several key traits. At canopy tops, the area of individual leaves was on average 0.5–0.6 times that at basal-interior, stomatal density 1.1–1.5 times higher, sapwood cross-sectional area up to 1.7 times higher, and leaf mass per area 1.5–2.2 times higher; guard cell and stomatal pore lengths were invariant across the canopy. Species differed in intracanopy plasticity for the mass of individual leaves, leaf margin dissection, ratio of leaf to sapwood areas, and stomatal pore area per leaf area; plasticity quotients ranged only up to ≈2. Across the six species, trait plasticities were uncorrelated and independent of the magnitude of the canopy gradient in irradiance or height and of the species' light requirements for regeneration. This convergence across species indicates general optimization or constraints in development, resulting in a bounded plasticity that improves canopy performance.","author":[{"dropping-particle":"","family":"Sack","given":"Lawren","non-dropping-particle":"","parse-names":false,"suffix":""},{"dropping-particle":"","family":"Melcher","given":"Peter J.","non-dropping-particle":"","parse-names":false,"suffix":""},{"dropping-particle":"","family":"Liu","given":"Wendy H.","non-dropping-particle":"","parse-names":false,"suffix":""},{"dropping-particle":"","family":"Middleton","given":"Erin","non-dropping-particle":"","parse-names":false,"suffix":""},{"dropping-particle":"","family":"Pardee","given":"Tyler","non-dropping-particle":"","parse-names":false,"suffix":""}],"container-title":"American Journal of Botany","id":"ITEM-1","issued":{"date-parts":[["2006"]]},"title":"How strong is intracanopy leaf plasticity in temperate deciduous trees?","type":"article-journal"},"uris":["http://www.mendeley.com/documents/?uuid=e61d2d9b-8497-3614-80a6-1d493dc05c04"]}],"mendeley":{"formattedCitation":"(Sack &lt;i&gt;et al.&lt;/i&gt;, 2006)","plainTextFormattedCitation":"(Sack et al., 2006)","previouslyFormattedCitation":"(Sack &lt;i&gt;et al.&lt;/i&gt;, 2006)"},"properties":{"noteIndex":0},"schema":"https://github.com/citation-style-language/schema/raw/master/csl-citation.json"}</w:instrText>
      </w:r>
      <w:r w:rsidRPr="00A51466">
        <w:rPr>
          <w:color w:val="000000" w:themeColor="text1"/>
        </w:rPr>
        <w:fldChar w:fldCharType="separate"/>
      </w:r>
      <w:r w:rsidRPr="00A51466">
        <w:rPr>
          <w:noProof/>
          <w:color w:val="000000" w:themeColor="text1"/>
        </w:rPr>
        <w:t xml:space="preserve">(Sack </w:t>
      </w:r>
      <w:r w:rsidRPr="00A51466">
        <w:rPr>
          <w:i/>
          <w:noProof/>
          <w:color w:val="000000" w:themeColor="text1"/>
        </w:rPr>
        <w:t>et al.</w:t>
      </w:r>
      <w:r w:rsidRPr="00A51466">
        <w:rPr>
          <w:noProof/>
          <w:color w:val="000000" w:themeColor="text1"/>
        </w:rPr>
        <w:t xml:space="preserve"> 2006)</w:t>
      </w:r>
      <w:r w:rsidRPr="00A51466">
        <w:rPr>
          <w:color w:val="000000" w:themeColor="text1"/>
        </w:rPr>
        <w:fldChar w:fldCharType="end"/>
      </w:r>
      <w:r w:rsidRPr="00A51466">
        <w:rPr>
          <w:color w:val="000000" w:themeColor="text1"/>
        </w:rPr>
        <w:t xml:space="preserve">. Impressions of the leaf epidermis were made on the adaxial and abaxial side of each leaf using clear nail varnish and tape, then individually arranged on glass slides. Counts were made in the software ImageJ (Schneider </w:t>
      </w:r>
      <w:r w:rsidRPr="00A51466">
        <w:rPr>
          <w:i/>
          <w:iCs/>
          <w:color w:val="000000" w:themeColor="text1"/>
        </w:rPr>
        <w:t>et al.</w:t>
      </w:r>
      <w:r w:rsidRPr="00A51466">
        <w:rPr>
          <w:color w:val="000000" w:themeColor="text1"/>
        </w:rPr>
        <w:t xml:space="preserve"> 2012) from light microscopy photographs with a 10X objective. We calculated the total number of stomata per area by adding the number of stomata on both leaf surfaces (henceforth “stomatal density”), and we calculated the relative placement of stomata by calculating the ratio of adaxial </w:t>
      </w:r>
      <w:r w:rsidRPr="00A51466">
        <w:t xml:space="preserve">density to abaxial density (henceforth “stomatal ratio”). </w:t>
      </w:r>
      <w:r w:rsidRPr="00A51466">
        <w:rPr>
          <w:color w:val="000000" w:themeColor="text1"/>
        </w:rPr>
        <w:t xml:space="preserve">These methods resulted in 6 impressions per genotype, or 216 total impressions. Finally, we made 20 measurements of stomatal pore length on each photograph in ImageJ </w:t>
      </w:r>
      <w:r w:rsidRPr="00A51466">
        <w:rPr>
          <w:color w:val="000000" w:themeColor="text1"/>
        </w:rPr>
        <w:lastRenderedPageBreak/>
        <w:t xml:space="preserve">(Schneider et al. 2012). As stomatal density on photographs was often higher than 20, we overlayed a grid in ImageJ and randomly selected a row across which to begin measurements. If density was too low to obtain 20 measurements, more often on the adaxial impressions, we measured the pore length of every present stoma. These methods resulted in 120 pore length measurements per genotype. We repeated the same measures from leaves collected from the same genotypes of trees growing in the common environment, described above, though we lost 3 genotypes from the San Miguel and the Weber Rivers and 1 genotype from both the Blue River and the Snake River. Greenhouse measurements therefore consisted of a leaf collected from 3 clonal replicates of 28 genotypes. </w:t>
      </w:r>
    </w:p>
    <w:p w14:paraId="70589352" w14:textId="77777777" w:rsidR="004D30B5" w:rsidRPr="00A51466" w:rsidRDefault="004D30B5" w:rsidP="00A51466">
      <w:pPr>
        <w:spacing w:line="360" w:lineRule="auto"/>
        <w:jc w:val="both"/>
      </w:pPr>
      <w:r w:rsidRPr="00A51466">
        <w:rPr>
          <w:i/>
        </w:rPr>
        <w:t xml:space="preserve">Water stable isotope measurements. </w:t>
      </w:r>
      <w:r w:rsidRPr="00A51466">
        <w:t>We analyzed river water, stem, leaf, and soil samples for stable isotope measurements (</w:t>
      </w:r>
      <w:r w:rsidRPr="00A51466">
        <w:rPr>
          <w:color w:val="000000" w:themeColor="text1"/>
        </w:rPr>
        <w:sym w:font="Symbol" w:char="F064"/>
      </w:r>
      <w:r w:rsidRPr="00A51466">
        <w:rPr>
          <w:vertAlign w:val="superscript"/>
        </w:rPr>
        <w:t>18</w:t>
      </w:r>
      <w:r w:rsidRPr="00A51466">
        <w:t xml:space="preserve">O and </w:t>
      </w:r>
      <w:r w:rsidRPr="00A51466">
        <w:rPr>
          <w:color w:val="000000" w:themeColor="text1"/>
        </w:rPr>
        <w:sym w:font="Symbol" w:char="F064"/>
      </w:r>
      <w:r w:rsidRPr="00A51466">
        <w:rPr>
          <w:vertAlign w:val="superscript"/>
        </w:rPr>
        <w:t>2</w:t>
      </w:r>
      <w:r w:rsidRPr="00A51466">
        <w:t>H) to determine plant water source</w:t>
      </w:r>
      <w:r w:rsidRPr="00A51466">
        <w:rPr>
          <w:color w:val="000000" w:themeColor="text1"/>
        </w:rPr>
        <w:t xml:space="preserve">. In June 2017, </w:t>
      </w:r>
      <w:r w:rsidRPr="00A51466">
        <w:t xml:space="preserve">at the mid-elevation site along each of the six rivers, we collected stem and leaf samples for stable isotope analysis from two unique genotypes of </w:t>
      </w:r>
      <w:r w:rsidRPr="00A51466">
        <w:rPr>
          <w:i/>
          <w:iCs/>
        </w:rPr>
        <w:t>P. angustifolia</w:t>
      </w:r>
      <w:r w:rsidRPr="00A51466">
        <w:t>. Soil samples were collected from underneath each genotype at a depth of approximately 10 cm. River water samples were collected below the surface of the water in each of the six rivers. All samples were kept on dry ice until delivered to the Colorado Plateau Stable Isotope Laboratory (CPSIL; www.isotope.nau.edu) at Northern Arizona University in Flagstaff, AZ. The samples were stored in a freezer until extraction and analysis. Water was extracted from woody stem samples via cryogenic vacuum extraction</w:t>
      </w:r>
      <w:r w:rsidRPr="00A51466">
        <w:rPr>
          <w:color w:val="000000" w:themeColor="text1"/>
        </w:rPr>
        <w:t xml:space="preserve">. Samples were extracted in September 2017 and </w:t>
      </w:r>
      <w:r w:rsidRPr="00A51466">
        <w:t>analyzed for the stable oxygen (</w:t>
      </w:r>
      <w:r w:rsidRPr="00A51466">
        <w:rPr>
          <w:vertAlign w:val="superscript"/>
        </w:rPr>
        <w:t>18</w:t>
      </w:r>
      <w:r w:rsidRPr="00A51466">
        <w:t>O/</w:t>
      </w:r>
      <w:r w:rsidRPr="00A51466">
        <w:rPr>
          <w:vertAlign w:val="superscript"/>
        </w:rPr>
        <w:t>16</w:t>
      </w:r>
      <w:r w:rsidRPr="00A51466">
        <w:t>O) and hydrogen (</w:t>
      </w:r>
      <w:r w:rsidRPr="00A51466">
        <w:rPr>
          <w:vertAlign w:val="superscript"/>
        </w:rPr>
        <w:t>2</w:t>
      </w:r>
      <w:r w:rsidRPr="00A51466">
        <w:t>H/</w:t>
      </w:r>
      <w:r w:rsidRPr="00A51466">
        <w:rPr>
          <w:vertAlign w:val="superscript"/>
        </w:rPr>
        <w:t>1</w:t>
      </w:r>
      <w:r w:rsidRPr="00A51466">
        <w:t xml:space="preserve">H) ratios (expressed per </w:t>
      </w:r>
      <w:proofErr w:type="spellStart"/>
      <w:r w:rsidRPr="00A51466">
        <w:t>mille</w:t>
      </w:r>
      <w:proofErr w:type="spellEnd"/>
      <w:r w:rsidRPr="00A51466">
        <w:t xml:space="preserve">). All the extractions were made via LGR DLT-100 laser spectroscopy. </w:t>
      </w:r>
    </w:p>
    <w:p w14:paraId="1118B32B" w14:textId="071B1779" w:rsidR="004D30B5" w:rsidRPr="00A51466" w:rsidRDefault="004D30B5" w:rsidP="00A51466">
      <w:pPr>
        <w:pStyle w:val="Heading3"/>
        <w:spacing w:line="360" w:lineRule="auto"/>
        <w:jc w:val="both"/>
        <w:rPr>
          <w:szCs w:val="24"/>
        </w:rPr>
      </w:pPr>
      <w:r w:rsidRPr="00A51466">
        <w:rPr>
          <w:szCs w:val="24"/>
        </w:rPr>
        <w:t>Statistical analyses</w:t>
      </w:r>
    </w:p>
    <w:p w14:paraId="7B9E2E31" w14:textId="77777777" w:rsidR="004D30B5" w:rsidRPr="00A51466" w:rsidRDefault="004D30B5" w:rsidP="00A51466">
      <w:pPr>
        <w:spacing w:line="360" w:lineRule="auto"/>
        <w:jc w:val="both"/>
        <w:rPr>
          <w:b/>
        </w:rPr>
      </w:pPr>
      <w:r w:rsidRPr="00A51466">
        <w:t xml:space="preserve">All analyses were performed using the statistical software R </w:t>
      </w:r>
      <w:r w:rsidRPr="00A51466">
        <w:fldChar w:fldCharType="begin" w:fldLock="1"/>
      </w:r>
      <w:r w:rsidRPr="00A51466">
        <w:instrText>ADDIN CSL_CITATION {"citationItems":[{"id":"ITEM-1","itemData":{"DOI":"10.1017/CBO9781107415324.004","ISBN":"9788578110796","ISSN":"1098-6596","PMID":"25246403","abstract":"R Foundation for Statistical Computing, Vienna, Austria. ISBN 3-900051-07-0, URL http://www.R-project.org/.","author":[{"dropping-particle":"","family":"R Development Core Team","given":"","non-dropping-particle":"","parse-names":false,"suffix":""}],"container-title":"R Foundation for Statistical Computing","id":"ITEM-1","issued":{"date-parts":[["2016"]]},"title":"R: A language and environment for statistical computing","type":"article"},"uris":["http://www.mendeley.com/documents/?uuid=36b8db62-1cfb-476c-80a3-045bba0fa2c0"]}],"mendeley":{"formattedCitation":"(R Development Core Team, 2016)","plainTextFormattedCitation":"(R Development Core Team, 2016)","previouslyFormattedCitation":"(R Development Core Team, 2016)"},"properties":{"noteIndex":0},"schema":"https://github.com/citation-style-language/schema/raw/master/csl-citation.json"}</w:instrText>
      </w:r>
      <w:r w:rsidRPr="00A51466">
        <w:fldChar w:fldCharType="separate"/>
      </w:r>
      <w:r w:rsidRPr="00A51466">
        <w:rPr>
          <w:noProof/>
        </w:rPr>
        <w:t>(version 3.6.1; R Development Core Team, 2016)</w:t>
      </w:r>
      <w:r w:rsidRPr="00A51466">
        <w:fldChar w:fldCharType="end"/>
      </w:r>
      <w:r w:rsidRPr="00A51466">
        <w:t xml:space="preserve">. To confirm our observations that </w:t>
      </w:r>
      <w:r w:rsidRPr="00A51466">
        <w:rPr>
          <w:color w:val="000000" w:themeColor="text1"/>
        </w:rPr>
        <w:t xml:space="preserve">water availability and the atmospheric demand for water vary across the range of </w:t>
      </w:r>
      <w:r w:rsidRPr="00A51466">
        <w:rPr>
          <w:i/>
          <w:color w:val="000000" w:themeColor="text1"/>
        </w:rPr>
        <w:t>P. angustifolia</w:t>
      </w:r>
      <w:r w:rsidRPr="00A51466">
        <w:rPr>
          <w:iCs/>
          <w:color w:val="000000" w:themeColor="text1"/>
        </w:rPr>
        <w:t xml:space="preserve">, </w:t>
      </w:r>
      <w:r w:rsidRPr="00A51466">
        <w:t xml:space="preserve">we built linear models predicting variation in the two axes of the </w:t>
      </w:r>
      <w:proofErr w:type="spellStart"/>
      <w:r w:rsidRPr="00A51466">
        <w:t>Budyko</w:t>
      </w:r>
      <w:proofErr w:type="spellEnd"/>
      <w:r w:rsidRPr="00A51466">
        <w:t xml:space="preserve"> water budget (dryness index and evaporative index) with population. Separate models were built for the 17 populations examined for biomass, the six-population subset used for stomatal measurements, and the three genetic provenances (with population as a random effect; R package lme4 </w:t>
      </w:r>
      <w:r w:rsidRPr="00A51466">
        <w:fldChar w:fldCharType="begin" w:fldLock="1"/>
      </w:r>
      <w:r w:rsidRPr="00A51466">
        <w:instrText>ADDIN CSL_CITATION {"citationItems":[{"id":"ITEM-1","itemData":{"DOI":"10.18637/jss.v067.i01","ISBN":"1548-7660","ISSN":"1548-7660","PMID":"15991970","abstract":"Fit linear and generalized linear mixed-effects models.\\r\\nThe models and their components are represented using S4 classes and\\r\\nmethods. The core computational algorithms are implemented using the 'Eigen' C++ library for numerical linear algebra and 'RcppEigen' ``glue''.","author":[{"dropping-particle":"","family":"Bates","given":"Douglas","non-dropping-particle":"","parse-names":false,"suffix":""},{"dropping-particle":"","family":"Maechler","given":"Martin","non-dropping-particle":"","parse-names":false,"suffix":""},{"dropping-particle":"","family":"Bolker","given":"Ben","non-dropping-particle":"","parse-names":false,"suffix":""},{"dropping-particle":"","family":"Walker","given":"Steven","non-dropping-particle":"","parse-names":false,"suffix":""},{"dropping-particle":"","family":"Maechler Martin","given":"","non-dropping-particle":"","parse-names":false,"suffix":""},{"dropping-particle":"","family":"Walker","given":"Steven","non-dropping-particle":"","parse-names":false,"suffix":""}],"container-title":"Journal of Statistical Software","id":"ITEM-1","issued":{"date-parts":[["2015"]]},"title":"Package 'lme4': Linear Mixed-Effects Models using 'Eigen' and S4","type":"article-journal"},"uris":["http://www.mendeley.com/documents/?uuid=a5da2259-089b-424f-ab08-5fad562b9679"]}],"mendeley":{"formattedCitation":"(Bates &lt;i&gt;et al.&lt;/i&gt;, 2015)","plainTextFormattedCitation":"(Bates et al., 2015)","previouslyFormattedCitation":"(Bates &lt;i&gt;et al.&lt;/i&gt;, 2015)"},"properties":{"noteIndex":0},"schema":"https://github.com/citation-style-language/schema/raw/master/csl-citation.json"}</w:instrText>
      </w:r>
      <w:r w:rsidRPr="00A51466">
        <w:fldChar w:fldCharType="separate"/>
      </w:r>
      <w:r w:rsidRPr="00A51466">
        <w:rPr>
          <w:noProof/>
        </w:rPr>
        <w:t xml:space="preserve">(Bates </w:t>
      </w:r>
      <w:r w:rsidRPr="00A51466">
        <w:rPr>
          <w:i/>
          <w:noProof/>
        </w:rPr>
        <w:t>et al.</w:t>
      </w:r>
      <w:r w:rsidRPr="00A51466">
        <w:rPr>
          <w:noProof/>
        </w:rPr>
        <w:t xml:space="preserve"> 2015)</w:t>
      </w:r>
      <w:r w:rsidRPr="00A51466">
        <w:fldChar w:fldCharType="end"/>
      </w:r>
      <w:r w:rsidRPr="00A51466">
        <w:t xml:space="preserve">). </w:t>
      </w:r>
      <w:r w:rsidRPr="00A51466">
        <w:lastRenderedPageBreak/>
        <w:t xml:space="preserve">Hypothesis testing for each linear model was done by marginal sums of squares ANOVA in the R package car </w:t>
      </w:r>
      <w:r w:rsidRPr="00A51466">
        <w:fldChar w:fldCharType="begin" w:fldLock="1"/>
      </w:r>
      <w:r w:rsidRPr="00A51466">
        <w:instrText>ADDIN CSL_CITATION {"citationItems":[{"id":"ITEM-1","itemData":{"abstract":"This package accompanies J. Fox, An R and S-PLUS Companion to Applied Regression, Sage, 2002. The package contains mostly functions for applied regression, linear models, and generalized linear models, with an emphasis on regression diagnostics, particularly graphical diagnostic methods. There are also some utility functions. With some exceptions, I have tried not to duplicate capabilities in the basic distribution of R, nor in widely used packages. Where relevant, the functions in car are consistent with na.action = na.omit or na.exclude.","author":[{"dropping-particle":"","family":"Fox","given":"John","non-dropping-particle":"","parse-names":false,"suffix":""},{"dropping-particle":"","family":"Weisberg","given":"Sanford","non-dropping-particle":"","parse-names":false,"suffix":""},{"dropping-particle":"","family":"Adler","given":"Daniel","non-dropping-particle":"","parse-names":false,"suffix":""},{"dropping-particle":"","family":"Bates","given":"Douglas","non-dropping-particle":"","parse-names":false,"suffix":""},{"dropping-particle":"","family":"Baud-Bovy","given":"Gabriel","non-dropping-particle":"","parse-names":false,"suffix":""},{"dropping-particle":"","family":"Ellison","given":"Steve","non-dropping-particle":"","parse-names":false,"suffix":""},{"dropping-particle":"","family":"Firth","given":"David","non-dropping-particle":"","parse-names":false,"suffix":""},{"dropping-particle":"","family":"Friendly","given":"Michael","non-dropping-particle":"","parse-names":false,"suffix":""},{"dropping-particle":"","family":"Gorjanc","given":"Gregor","non-dropping-particle":"","parse-names":false,"suffix":""},{"dropping-particle":"","family":"Graves","given":"Spencer","non-dropping-particle":"","parse-names":false,"suffix":""},{"dropping-particle":"","family":"Heiberger","given":"Richard","non-dropping-particle":"","parse-names":false,"suffix":""},{"dropping-particle":"","family":"Laboissiere","given":"Rafael","non-dropping-particle":"","parse-names":false,"suffix":""},{"dropping-particle":"","family":"Monette","given":"Georges","non-dropping-particle":"","parse-names":false,"suffix":""},{"dropping-particle":"","family":"Murdoch","given":"Duncan","non-dropping-particle":"","parse-names":false,"suffix":""},{"dropping-particle":"","family":"Nilsson","given":"Henric","non-dropping-particle":"","parse-names":false,"suffix":""},{"dropping-particle":"","family":"Ogle","given":"Derek","non-dropping-particle":"","parse-names":false,"suffix":""},{"dropping-particle":"","family":"Ripley","given":"Brian","non-dropping-particle":"","parse-names":false,"suffix":""},{"dropping-particle":"","family":"Venables","given":"William","non-dropping-particle":"","parse-names":false,"suffix":""},{"dropping-particle":"","family":"Zeileis","given":"Achim","non-dropping-particle":"","parse-names":false,"suffix":""}],"container-title":"In: R Package Version 2.0-21","id":"ITEM-1","issued":{"date-parts":[["2018"]]},"title":"car: Companion to Applied Regression","type":"article"},"uris":["http://www.mendeley.com/documents/?uuid=90bf94d3-2b48-4eb4-95b2-6d6677f69aa0"]}],"mendeley":{"formattedCitation":"(Fox &lt;i&gt;et al.&lt;/i&gt;, 2018)","plainTextFormattedCitation":"(Fox et al., 2018)","previouslyFormattedCitation":"(Fox &lt;i&gt;et al.&lt;/i&gt;, 2018)"},"properties":{"noteIndex":0},"schema":"https://github.com/citation-style-language/schema/raw/master/csl-citation.json"}</w:instrText>
      </w:r>
      <w:r w:rsidRPr="00A51466">
        <w:fldChar w:fldCharType="separate"/>
      </w:r>
      <w:r w:rsidRPr="00A51466">
        <w:rPr>
          <w:noProof/>
        </w:rPr>
        <w:t xml:space="preserve">(Fox </w:t>
      </w:r>
      <w:r w:rsidRPr="00A51466">
        <w:rPr>
          <w:i/>
          <w:noProof/>
        </w:rPr>
        <w:t>et al.</w:t>
      </w:r>
      <w:r w:rsidRPr="00A51466">
        <w:rPr>
          <w:noProof/>
        </w:rPr>
        <w:t xml:space="preserve"> 2018)</w:t>
      </w:r>
      <w:r w:rsidRPr="00A51466">
        <w:fldChar w:fldCharType="end"/>
      </w:r>
      <w:r w:rsidRPr="00A51466">
        <w:t xml:space="preserve"> and the null hypothesis was rejected at an α=0.05.</w:t>
      </w:r>
    </w:p>
    <w:p w14:paraId="7E5F0921" w14:textId="77777777" w:rsidR="004D30B5" w:rsidRPr="00A51466" w:rsidRDefault="004D30B5" w:rsidP="00A51466">
      <w:pPr>
        <w:spacing w:line="360" w:lineRule="auto"/>
        <w:ind w:firstLine="720"/>
        <w:jc w:val="both"/>
        <w:rPr>
          <w:color w:val="FF0000"/>
        </w:rPr>
      </w:pPr>
      <w:r w:rsidRPr="00A51466">
        <w:t xml:space="preserve">To test the hypothesis that stomatal and growth traits from </w:t>
      </w:r>
      <w:r w:rsidRPr="00A51466">
        <w:rPr>
          <w:i/>
        </w:rPr>
        <w:t>P. angustifolia</w:t>
      </w:r>
      <w:r w:rsidRPr="00A51466">
        <w:t xml:space="preserve"> genetic provenances reveal patterns of local adaptation, we ran linear mixed effects models with biomass, stomatal density, and stomatal ratio as response variables, provenance as a fixed effect, and population (river) as a random effect in the lme4 R package </w:t>
      </w:r>
      <w:r w:rsidRPr="00A51466">
        <w:fldChar w:fldCharType="begin" w:fldLock="1"/>
      </w:r>
      <w:r w:rsidRPr="00A51466">
        <w:instrText>ADDIN CSL_CITATION {"citationItems":[{"id":"ITEM-1","itemData":{"DOI":"10.18637/jss.v067.i01","ISBN":"1548-7660","ISSN":"1548-7660","PMID":"15991970","abstract":"Fit linear and generalized linear mixed-effects models.\\r\\nThe models and their components are represented using S4 classes and\\r\\nmethods. The core computational algorithms are implemented using the 'Eigen' C++ library for numerical linear algebra and 'RcppEigen' ``glue''.","author":[{"dropping-particle":"","family":"Bates","given":"Douglas","non-dropping-particle":"","parse-names":false,"suffix":""},{"dropping-particle":"","family":"Maechler","given":"Martin","non-dropping-particle":"","parse-names":false,"suffix":""},{"dropping-particle":"","family":"Bolker","given":"Ben","non-dropping-particle":"","parse-names":false,"suffix":""},{"dropping-particle":"","family":"Walker","given":"Steven","non-dropping-particle":"","parse-names":false,"suffix":""},{"dropping-particle":"","family":"Maechler Martin","given":"","non-dropping-particle":"","parse-names":false,"suffix":""},{"dropping-particle":"","family":"Walker","given":"Steven","non-dropping-particle":"","parse-names":false,"suffix":""}],"container-title":"Journal of Statistical Software","id":"ITEM-1","issued":{"date-parts":[["2015"]]},"title":"Package 'lme4': Linear Mixed-Effects Models using 'Eigen' and S4","type":"article-journal"},"uris":["http://www.mendeley.com/documents/?uuid=a5da2259-089b-424f-ab08-5fad562b9679"]}],"mendeley":{"formattedCitation":"(Bates &lt;i&gt;et al.&lt;/i&gt;, 2015)","plainTextFormattedCitation":"(Bates et al., 2015)","previouslyFormattedCitation":"(Bates &lt;i&gt;et al.&lt;/i&gt;, 2015)"},"properties":{"noteIndex":0},"schema":"https://github.com/citation-style-language/schema/raw/master/csl-citation.json"}</w:instrText>
      </w:r>
      <w:r w:rsidRPr="00A51466">
        <w:fldChar w:fldCharType="separate"/>
      </w:r>
      <w:r w:rsidRPr="00A51466">
        <w:rPr>
          <w:noProof/>
        </w:rPr>
        <w:t xml:space="preserve">(Bates </w:t>
      </w:r>
      <w:r w:rsidRPr="00A51466">
        <w:rPr>
          <w:i/>
          <w:noProof/>
        </w:rPr>
        <w:t>et al.</w:t>
      </w:r>
      <w:r w:rsidRPr="00A51466">
        <w:rPr>
          <w:noProof/>
        </w:rPr>
        <w:t xml:space="preserve"> 2015)</w:t>
      </w:r>
      <w:r w:rsidRPr="00A51466">
        <w:fldChar w:fldCharType="end"/>
      </w:r>
      <w:r w:rsidRPr="00A51466">
        <w:t xml:space="preserve">. For stomatal density and ratio, genotype was also included as a random effect. Models were compared to null models with random effects only using likelihood ratio tests and by comparing AIC values. Post-hoc pairwise differences comparisons were made of provenance-level means with Tukey contrasts using the </w:t>
      </w:r>
      <w:proofErr w:type="spellStart"/>
      <w:r w:rsidRPr="00A51466">
        <w:t>ghlt</w:t>
      </w:r>
      <w:proofErr w:type="spellEnd"/>
      <w:r w:rsidRPr="00A51466">
        <w:t xml:space="preserve"> function in R package “</w:t>
      </w:r>
      <w:proofErr w:type="spellStart"/>
      <w:r w:rsidRPr="00A51466">
        <w:t>multcomp</w:t>
      </w:r>
      <w:proofErr w:type="spellEnd"/>
      <w:r w:rsidRPr="00A51466">
        <w:t xml:space="preserve">” </w:t>
      </w:r>
      <w:r w:rsidRPr="00A51466">
        <w:fldChar w:fldCharType="begin" w:fldLock="1"/>
      </w:r>
      <w:r w:rsidRPr="00A51466">
        <w:instrText>ADDIN CSL_CITATION {"citationItems":[{"id":"ITEM-1","itemData":{"DOI":"https://cran.r-project.org/web/packages/multcomp/multcomp.pdf","ISBN":"9781584885740","ISSN":"1521-4036","PMID":"18481363","abstract":"Simultaneous inference is a common problem in many areas of application. If multiple null hypotheses are tested simultaneously, the probability of rejecting erroneously at least one of them increases beyond the pre-specified significance level. Simultaneous inference procedures have to be used which adjust for multiplicity and thus control the overall type I error rate. In this paper we describe simultaneous inference procedures in general parametric models, where the experimental questions are specified through a linear combination of elemental model parameters. The framework described here is quite general and extends the canonical theory of multiple comparison procedures in ANOVA models to linear regression problems, generalized linear models, linear mixed effects models, the Cox model, robust linear models, etc. Several examples using a variety of different statistical models illustrate the breadth of the results. For the analyses we use the R add-on package multcomp, which provides a convenient interface to the general approach adopted here.","author":[{"dropping-particle":"","family":"Bretz","given":"Frank","non-dropping-particle":"","parse-names":false,"suffix":""},{"dropping-particle":"","family":"Westfall","given":"Peter","non-dropping-particle":"","parse-names":false,"suffix":""},{"dropping-particle":"","family":"Hothorn","given":"Torsten","non-dropping-particle":"","parse-names":false,"suffix":""}],"container-title":"Biometrical Journal","id":"ITEM-1","issued":{"date-parts":[["2008"]]},"title":"Simultaneous inference in general parametric models","type":"article-journal"},"uris":["http://www.mendeley.com/documents/?uuid=165359c9-7abf-4fb6-95ef-4c372826b8a7"]}],"mendeley":{"formattedCitation":"(Bretz &lt;i&gt;et al.&lt;/i&gt;, 2008)","plainTextFormattedCitation":"(Bretz et al., 2008)","previouslyFormattedCitation":"(Bretz &lt;i&gt;et al.&lt;/i&gt;, 2008)"},"properties":{"noteIndex":0},"schema":"https://github.com/citation-style-language/schema/raw/master/csl-citation.json"}</w:instrText>
      </w:r>
      <w:r w:rsidRPr="00A51466">
        <w:fldChar w:fldCharType="separate"/>
      </w:r>
      <w:r w:rsidRPr="00A51466">
        <w:rPr>
          <w:noProof/>
        </w:rPr>
        <w:t xml:space="preserve">(Hothorn </w:t>
      </w:r>
      <w:r w:rsidRPr="00A51466">
        <w:rPr>
          <w:i/>
          <w:noProof/>
        </w:rPr>
        <w:t>et al.</w:t>
      </w:r>
      <w:r w:rsidRPr="00A51466">
        <w:rPr>
          <w:noProof/>
        </w:rPr>
        <w:t xml:space="preserve"> 2008)</w:t>
      </w:r>
      <w:r w:rsidRPr="00A51466">
        <w:fldChar w:fldCharType="end"/>
      </w:r>
      <w:r w:rsidRPr="00A51466">
        <w:t xml:space="preserve"> with the null hypothesis rejected at an α=0.05.</w:t>
      </w:r>
    </w:p>
    <w:p w14:paraId="1EEE3698" w14:textId="77777777" w:rsidR="004D30B5" w:rsidRPr="00A51466" w:rsidRDefault="004D30B5" w:rsidP="00A51466">
      <w:pPr>
        <w:spacing w:line="360" w:lineRule="auto"/>
        <w:ind w:firstLine="720"/>
        <w:jc w:val="both"/>
      </w:pPr>
      <w:r w:rsidRPr="00A51466">
        <w:t xml:space="preserve">To test the hypothesis that </w:t>
      </w:r>
      <w:r w:rsidRPr="00A51466">
        <w:rPr>
          <w:color w:val="000000" w:themeColor="text1"/>
        </w:rPr>
        <w:t xml:space="preserve">water-regulation and functional traits are related to hydrologic variables on the landscape, </w:t>
      </w:r>
      <w:r w:rsidRPr="00A51466">
        <w:t xml:space="preserve">we used restricted estimated maximum likelihood (REML) linear mixed models (R package lme4 </w:t>
      </w:r>
      <w:r w:rsidRPr="00A51466">
        <w:fldChar w:fldCharType="begin" w:fldLock="1"/>
      </w:r>
      <w:r w:rsidRPr="00A51466">
        <w:instrText>ADDIN CSL_CITATION {"citationItems":[{"id":"ITEM-1","itemData":{"DOI":"10.18637/jss.v067.i01","ISBN":"1548-7660","ISSN":"1548-7660","PMID":"15991970","abstract":"Fit linear and generalized linear mixed-effects models.\\r\\nThe models and their components are represented using S4 classes and\\r\\nmethods. The core computational algorithms are implemented using the 'Eigen' C++ library for numerical linear algebra and 'RcppEigen' ``glue''.","author":[{"dropping-particle":"","family":"Bates","given":"Douglas","non-dropping-particle":"","parse-names":false,"suffix":""},{"dropping-particle":"","family":"Maechler","given":"Martin","non-dropping-particle":"","parse-names":false,"suffix":""},{"dropping-particle":"","family":"Bolker","given":"Ben","non-dropping-particle":"","parse-names":false,"suffix":""},{"dropping-particle":"","family":"Walker","given":"Steven","non-dropping-particle":"","parse-names":false,"suffix":""},{"dropping-particle":"","family":"Maechler Martin","given":"","non-dropping-particle":"","parse-names":false,"suffix":""},{"dropping-particle":"","family":"Walker","given":"Steven","non-dropping-particle":"","parse-names":false,"suffix":""}],"container-title":"Journal of Statistical Software","id":"ITEM-1","issued":{"date-parts":[["2015"]]},"title":"Package 'lme4': Linear Mixed-Effects Models using 'Eigen' and S4","type":"article-journal"},"uris":["http://www.mendeley.com/documents/?uuid=a5da2259-089b-424f-ab08-5fad562b9679"]}],"mendeley":{"formattedCitation":"(Bates &lt;i&gt;et al.&lt;/i&gt;, 2015)","plainTextFormattedCitation":"(Bates et al., 2015)","previouslyFormattedCitation":"(Bates &lt;i&gt;et al.&lt;/i&gt;, 2015)"},"properties":{"noteIndex":0},"schema":"https://github.com/citation-style-language/schema/raw/master/csl-citation.json"}</w:instrText>
      </w:r>
      <w:r w:rsidRPr="00A51466">
        <w:fldChar w:fldCharType="separate"/>
      </w:r>
      <w:r w:rsidRPr="00A51466">
        <w:rPr>
          <w:noProof/>
        </w:rPr>
        <w:t xml:space="preserve">(Bates </w:t>
      </w:r>
      <w:r w:rsidRPr="00A51466">
        <w:rPr>
          <w:i/>
          <w:noProof/>
        </w:rPr>
        <w:t>et al.</w:t>
      </w:r>
      <w:r w:rsidRPr="00A51466">
        <w:rPr>
          <w:noProof/>
        </w:rPr>
        <w:t xml:space="preserve"> 2015)</w:t>
      </w:r>
      <w:r w:rsidRPr="00A51466">
        <w:fldChar w:fldCharType="end"/>
      </w:r>
      <w:r w:rsidRPr="00A51466">
        <w:t xml:space="preserve">). We included water budget parameters as fixed effects and we included genetic provenance in models as a random effect to remove “blocked” variation that can be attributed to genetic grouping. Response variables included </w:t>
      </w:r>
      <w:r w:rsidRPr="00A51466">
        <w:rPr>
          <w:i/>
        </w:rPr>
        <w:t>P. angustifolia</w:t>
      </w:r>
      <w:r w:rsidRPr="00A51466">
        <w:t xml:space="preserve"> greenhouse biomass, stomatal density, stomatal ratio, and stomatal pore length measurements. Hypothesis testing for each linear model was done by marginal sums of squares ANOVA in the car R package </w:t>
      </w:r>
      <w:r w:rsidRPr="00A51466">
        <w:fldChar w:fldCharType="begin" w:fldLock="1"/>
      </w:r>
      <w:r w:rsidRPr="00A51466">
        <w:instrText>ADDIN CSL_CITATION {"citationItems":[{"id":"ITEM-1","itemData":{"abstract":"This package accompanies J. Fox, An R and S-PLUS Companion to Applied Regression, Sage, 2002. The package contains mostly functions for applied regression, linear models, and generalized linear models, with an emphasis on regression diagnostics, particularly graphical diagnostic methods. There are also some utility functions. With some exceptions, I have tried not to duplicate capabilities in the basic distribution of R, nor in widely used packages. Where relevant, the functions in car are consistent with na.action = na.omit or na.exclude.","author":[{"dropping-particle":"","family":"Fox","given":"John","non-dropping-particle":"","parse-names":false,"suffix":""},{"dropping-particle":"","family":"Weisberg","given":"Sanford","non-dropping-particle":"","parse-names":false,"suffix":""},{"dropping-particle":"","family":"Adler","given":"Daniel","non-dropping-particle":"","parse-names":false,"suffix":""},{"dropping-particle":"","family":"Bates","given":"Douglas","non-dropping-particle":"","parse-names":false,"suffix":""},{"dropping-particle":"","family":"Baud-Bovy","given":"Gabriel","non-dropping-particle":"","parse-names":false,"suffix":""},{"dropping-particle":"","family":"Ellison","given":"Steve","non-dropping-particle":"","parse-names":false,"suffix":""},{"dropping-particle":"","family":"Firth","given":"David","non-dropping-particle":"","parse-names":false,"suffix":""},{"dropping-particle":"","family":"Friendly","given":"Michael","non-dropping-particle":"","parse-names":false,"suffix":""},{"dropping-particle":"","family":"Gorjanc","given":"Gregor","non-dropping-particle":"","parse-names":false,"suffix":""},{"dropping-particle":"","family":"Graves","given":"Spencer","non-dropping-particle":"","parse-names":false,"suffix":""},{"dropping-particle":"","family":"Heiberger","given":"Richard","non-dropping-particle":"","parse-names":false,"suffix":""},{"dropping-particle":"","family":"Laboissiere","given":"Rafael","non-dropping-particle":"","parse-names":false,"suffix":""},{"dropping-particle":"","family":"Monette","given":"Georges","non-dropping-particle":"","parse-names":false,"suffix":""},{"dropping-particle":"","family":"Murdoch","given":"Duncan","non-dropping-particle":"","parse-names":false,"suffix":""},{"dropping-particle":"","family":"Nilsson","given":"Henric","non-dropping-particle":"","parse-names":false,"suffix":""},{"dropping-particle":"","family":"Ogle","given":"Derek","non-dropping-particle":"","parse-names":false,"suffix":""},{"dropping-particle":"","family":"Ripley","given":"Brian","non-dropping-particle":"","parse-names":false,"suffix":""},{"dropping-particle":"","family":"Venables","given":"William","non-dropping-particle":"","parse-names":false,"suffix":""},{"dropping-particle":"","family":"Zeileis","given":"Achim","non-dropping-particle":"","parse-names":false,"suffix":""}],"container-title":"In: R Package Version 2.0-21","id":"ITEM-1","issued":{"date-parts":[["2018"]]},"title":"car: Companion to Applied Regression","type":"article"},"uris":["http://www.mendeley.com/documents/?uuid=90bf94d3-2b48-4eb4-95b2-6d6677f69aa0"]}],"mendeley":{"formattedCitation":"(Fox &lt;i&gt;et al.&lt;/i&gt;, 2018)","plainTextFormattedCitation":"(Fox et al., 2018)","previouslyFormattedCitation":"(Fox &lt;i&gt;et al.&lt;/i&gt;, 2018)"},"properties":{"noteIndex":0},"schema":"https://github.com/citation-style-language/schema/raw/master/csl-citation.json"}</w:instrText>
      </w:r>
      <w:r w:rsidRPr="00A51466">
        <w:fldChar w:fldCharType="separate"/>
      </w:r>
      <w:r w:rsidRPr="00A51466">
        <w:rPr>
          <w:noProof/>
        </w:rPr>
        <w:t xml:space="preserve">(Fox </w:t>
      </w:r>
      <w:r w:rsidRPr="00A51466">
        <w:rPr>
          <w:i/>
          <w:noProof/>
        </w:rPr>
        <w:t>et al.</w:t>
      </w:r>
      <w:r w:rsidRPr="00A51466">
        <w:rPr>
          <w:noProof/>
        </w:rPr>
        <w:t xml:space="preserve"> 2018)</w:t>
      </w:r>
      <w:r w:rsidRPr="00A51466">
        <w:fldChar w:fldCharType="end"/>
      </w:r>
      <w:r w:rsidRPr="00A51466">
        <w:t xml:space="preserve"> and the null hypothesis was rejected at an α=0.05.</w:t>
      </w:r>
    </w:p>
    <w:p w14:paraId="33B12595" w14:textId="77777777" w:rsidR="004D30B5" w:rsidRPr="00A51466" w:rsidRDefault="004D30B5" w:rsidP="00A51466">
      <w:pPr>
        <w:spacing w:line="360" w:lineRule="auto"/>
        <w:ind w:firstLine="720"/>
        <w:jc w:val="both"/>
      </w:pPr>
      <w:r w:rsidRPr="00A51466">
        <w:t xml:space="preserve">To test the hypothesis that populations draw water from different sources, we used stable isotope values to calculate deuterium excess values (d-excess) as d-excess = </w:t>
      </w:r>
      <w:r w:rsidRPr="00A51466">
        <w:rPr>
          <w:color w:val="000000" w:themeColor="text1"/>
        </w:rPr>
        <w:sym w:font="Symbol" w:char="F064"/>
      </w:r>
      <w:r w:rsidRPr="00A51466">
        <w:rPr>
          <w:vertAlign w:val="superscript"/>
        </w:rPr>
        <w:t>2</w:t>
      </w:r>
      <w:r w:rsidRPr="00A51466">
        <w:t xml:space="preserve">H – 8 * </w:t>
      </w:r>
      <w:r w:rsidRPr="00A51466">
        <w:rPr>
          <w:color w:val="000000" w:themeColor="text1"/>
        </w:rPr>
        <w:sym w:font="Symbol" w:char="F064"/>
      </w:r>
      <w:r w:rsidRPr="00A51466">
        <w:rPr>
          <w:vertAlign w:val="superscript"/>
        </w:rPr>
        <w:t>18</w:t>
      </w:r>
      <w:r w:rsidRPr="00A51466">
        <w:t xml:space="preserve">O </w:t>
      </w:r>
      <w:r w:rsidRPr="00A51466">
        <w:fldChar w:fldCharType="begin" w:fldLock="1"/>
      </w:r>
      <w:r w:rsidRPr="00A51466">
        <w:instrText>ADDIN CSL_CITATION {"citationItems":[{"id":"ITEM-1","itemData":{"DOI":"10.3402/tellusa.v16i4.8993","ISSN":"0040-2826","abstract":"In chapter 2 the isotopic fractionation of water in some simple condensation-evaporation\\nprocesses are considered quantitatively on the basis of the fractionation\\nfactors given in section 1.2. The condensation temperature is an\\nimportant parameter, which has got some glaciological applications.\\nThe temperature effect (the δ's decreasing with temperature) together\\nwith varying evaporation and exchange appear in the “amount effect”\\nas high δ's in sparse rain. The relative deuterium-oxygen-18 fractionation\\nis not quite simple. If the relative deviations from the standard\\nwater (S.M.O.W.) are called δD and δ18, the best linear approximation\\nis δD = 8 δ18.\\n\\n\\nChapter 3 gives some qualitative considerations on non-equilibrium\\n(fast) processes. Kinetic effects have heavy bearings upon the effective\\nfractionation factors. Such effects have only been demonstrated clearly\\nin evaporation processes, but may also influence condensation processes.\\nThe quantity d = δD −8 δ18 is used as an index for non-equilibrium\\nconditions.\\n\\n\\nThe stable isotope data from the world wide I.A.E.A.-W.M.O. precipitation\\nsurvey are discussed in chapter 4. The unweighted mean annual composition\\nof rain at tropical island stations fits the line δD = 4.6 δ18 indicating\\na first stage equilibrium condensation from vapour evaporated in\\na non-equilibrium process. Regional characteristics appear in the\\nweighted means.\\n\\n\\nThe Northern hemisphere continental stations, except African and Near\\nEast, fit the line δD = 8.0 δ18 + 10 as far as the weighted means\\nare concerned (δD = 8.1 δ18 + 11 for the unweighted) corresponding\\nto an equilibrium Rayleigh condensation from vapour, evaporated in\\na non-equilibrium process from S.M.O.W. The departure from equilibrium\\nvapour seems even higher in the rest of the investigated part of\\nthe world.\\n\\n\\nAt most stations the δD and varies linearily with δ18 with a slope\\nclose to 8, only at two stations higher than 8, at several lower\\nthan 8 (mainly connected with relatively dry climates).\\n\\n\\nConsiderable variations in the isotopic composition of monthly precipitation\\noccur at most stations. At low latitudes the amount effect accounts\\nfor the variations, whereas seasonal variation at high latitudes\\nis ascribed to the temperature effect. Tokyo is an example of a mid\\nlatitude station influenced by both effects.\\n\\n\\nSome possible hydrological applications are outlined in chapter 5.","author":[{"dropping-particle":"","family":"Dansgaard","given":"W.","non-dropping-particle":"","parse-names":false,"suffix":""}],"container-title":"Tellus","id":"ITEM-1","issued":{"date-parts":[["1964"]]},"title":"Stable isotopes in precipitation","type":"article-journal"},"uris":["http://www.mendeley.com/documents/?uuid=d1beb726-f46a-3388-ba22-92a83b83d9fc"]}],"mendeley":{"formattedCitation":"(Dansgaard, 1964)","plainTextFormattedCitation":"(Dansgaard, 1964)","previouslyFormattedCitation":"(Dansgaard, 1964)"},"properties":{"noteIndex":0},"schema":"https://github.com/citation-style-language/schema/raw/master/csl-citation.json"}</w:instrText>
      </w:r>
      <w:r w:rsidRPr="00A51466">
        <w:fldChar w:fldCharType="separate"/>
      </w:r>
      <w:r w:rsidRPr="00A51466">
        <w:rPr>
          <w:noProof/>
        </w:rPr>
        <w:t>(Dansgaard, 1964)</w:t>
      </w:r>
      <w:r w:rsidRPr="00A51466">
        <w:fldChar w:fldCharType="end"/>
      </w:r>
      <w:r w:rsidRPr="00A51466">
        <w:t xml:space="preserve">. This metric represents deviations from the average global relationship between </w:t>
      </w:r>
      <w:r w:rsidRPr="00A51466">
        <w:rPr>
          <w:color w:val="000000" w:themeColor="text1"/>
        </w:rPr>
        <w:sym w:font="Symbol" w:char="F064"/>
      </w:r>
      <w:r w:rsidRPr="00A51466">
        <w:t xml:space="preserve">2H and </w:t>
      </w:r>
      <w:r w:rsidRPr="00A51466">
        <w:rPr>
          <w:color w:val="000000" w:themeColor="text1"/>
        </w:rPr>
        <w:sym w:font="Symbol" w:char="F064"/>
      </w:r>
      <w:r w:rsidRPr="00A51466">
        <w:t xml:space="preserve">18O in precipitation, the global meteoric water line (GMWL; </w:t>
      </w:r>
      <w:r w:rsidRPr="00A51466">
        <w:fldChar w:fldCharType="begin" w:fldLock="1"/>
      </w:r>
      <w:r w:rsidRPr="00A51466">
        <w:instrText>ADDIN CSL_CITATION {"citationItems":[{"id":"ITEM-1","itemData":{"DOI":"10.1126/science.133.3465.1702","ISSN":"00368075","abstract":"The relationship between deuterium and oxygen-18 concentrations in natural meteoric waters from many parts of the world has been determined with a mass spectrometer. The isotopic enrichments, relative to ocean water, display a linear correlation over the entire range for waters which have not undergone excessive evaporation.","author":[{"dropping-particle":"","family":"Craig","given":"Harmon","non-dropping-particle":"","parse-names":false,"suffix":""}],"container-title":"Science","id":"ITEM-1","issued":{"date-parts":[["1961"]]},"title":"Isotopic variations in meteoric waters","type":"article-journal"},"uris":["http://www.mendeley.com/documents/?uuid=536e15d5-145d-4c6c-8d49-66313c510866"]}],"mendeley":{"formattedCitation":"(Craig, 1961)","manualFormatting":"Craig, 1961)","plainTextFormattedCitation":"(Craig, 1961)","previouslyFormattedCitation":"(Craig, 1961)"},"properties":{"noteIndex":0},"schema":"https://github.com/citation-style-language/schema/raw/master/csl-citation.json"}</w:instrText>
      </w:r>
      <w:r w:rsidRPr="00A51466">
        <w:fldChar w:fldCharType="separate"/>
      </w:r>
      <w:r w:rsidRPr="00A51466">
        <w:rPr>
          <w:noProof/>
        </w:rPr>
        <w:t>Craig 1961)</w:t>
      </w:r>
      <w:r w:rsidRPr="00A51466">
        <w:fldChar w:fldCharType="end"/>
      </w:r>
      <w:r w:rsidRPr="00A51466">
        <w:t xml:space="preserve">. Because the global relationship varies across latitudes and continents (for example; </w:t>
      </w:r>
      <w:r w:rsidRPr="00A51466">
        <w:fldChar w:fldCharType="begin" w:fldLock="1"/>
      </w:r>
      <w:r w:rsidRPr="00A51466">
        <w:instrText>ADDIN CSL_CITATION {"citationItems":[{"id":"ITEM-1","itemData":{"DOI":"10.1002/2015RG000515","ISSN":"19449208","abstract":"Water stable isotopes (18O and 2H) are widely used as ideal tracers to track water through the soil and to separate evaporation from transpiration. Due to the technical developments in the last two decades, soil water stable isotope data have become easier to collect. Thus, the application of isotope methods in soils is growing rapidly. Studies that make use of soil water stable isotopes often have a multidisciplinary character since an interplay of processes that take place in the vadose zone has to be considered. In this review, we provide an overview of the hydrological processes that alter the soil water stable isotopic composition and present studies utilizing pore water stable isotopes. The processes that are discussed include the water input as precipitation or throughfall, the output as evaporation, transpiration, or recharge, and specific flow and transport processes. Based on the review and supported by additional data and modeling results, we pose a different view on the recently proposed two water world hypothesis. As an alternative to two distinct pools of soil water, where one pool is enriched in heavy isotopes and used by the vegetation and the other pool does not undergo isotopic fractionation and becomes recharge, the water gets successively mixed with newly introduced rainwater during the percolation process. This way, water initially isotopically enriched in the topsoil loses the fractionation signal with increasing infiltration depth, leading to unfractionated isotopic signals in the groundwater.","author":[{"dropping-particle":"","family":"Sprenger","given":"Matthias","non-dropping-particle":"","parse-names":false,"suffix":""},{"dropping-particle":"","family":"Leistert","given":"Hannes","non-dropping-particle":"","parse-names":false,"suffix":""},{"dropping-particle":"","family":"Gimbel","given":"Katharina","non-dropping-particle":"","parse-names":false,"suffix":""},{"dropping-particle":"","family":"Weiler","given":"Markus","non-dropping-particle":"","parse-names":false,"suffix":""}],"container-title":"Reviews of Geophysics","id":"ITEM-1","issue":"3","issued":{"date-parts":[["2016","9","1"]]},"page":"674-704","publisher":"Blackwell Publishing Ltd","title":"Illuminating hydrological processes at the soil-vegetation-atmosphere interface with water stable isotopes","type":"article","volume":"54"},"uris":["http://www.mendeley.com/documents/?uuid=36cb334e-90eb-3cd5-833d-587453b65ffe"]}],"mendeley":{"formattedCitation":"(Sprenger &lt;i&gt;et al.&lt;/i&gt;, 2016)","plainTextFormattedCitation":"(Sprenger et al., 2016)","previouslyFormattedCitation":"(Sprenger &lt;i&gt;et al.&lt;/i&gt;, 2016)"},"properties":{"noteIndex":0},"schema":"https://github.com/citation-style-language/schema/raw/master/csl-citation.json"}</w:instrText>
      </w:r>
      <w:r w:rsidRPr="00A51466">
        <w:fldChar w:fldCharType="separate"/>
      </w:r>
      <w:r w:rsidRPr="00A51466">
        <w:rPr>
          <w:noProof/>
        </w:rPr>
        <w:t xml:space="preserve">(Sprenger </w:t>
      </w:r>
      <w:r w:rsidRPr="00A51466">
        <w:rPr>
          <w:i/>
          <w:noProof/>
        </w:rPr>
        <w:t>et al.</w:t>
      </w:r>
      <w:r w:rsidRPr="00A51466">
        <w:rPr>
          <w:noProof/>
        </w:rPr>
        <w:t xml:space="preserve"> 2016)</w:t>
      </w:r>
      <w:r w:rsidRPr="00A51466">
        <w:fldChar w:fldCharType="end"/>
      </w:r>
      <w:r w:rsidRPr="00A51466">
        <w:t xml:space="preserve">, we also calculated local meteoric water lines (LMWL) that are regionally specific. We used precipitation isotopic signatures for the month </w:t>
      </w:r>
      <w:r w:rsidRPr="00A51466">
        <w:rPr>
          <w:color w:val="000000" w:themeColor="text1"/>
        </w:rPr>
        <w:t xml:space="preserve">of June (when samples were collected) </w:t>
      </w:r>
      <w:r w:rsidRPr="00A51466">
        <w:t xml:space="preserve">obtained from the OIPC (The Online Isotopes in Precipitation Calculator; </w:t>
      </w:r>
      <w:r w:rsidRPr="00A51466">
        <w:fldChar w:fldCharType="begin" w:fldLock="1"/>
      </w:r>
      <w:r w:rsidRPr="00A51466">
        <w:instrText>ADDIN CSL_CITATION {"citationItems":[{"id":"ITEM-1","itemData":{"DOI":"10.1007/s00442-004-1813-y","ISSN":"00298549","abstract":"Stable isotopes are being increasingly used in wildlife forensics as means of determining the origin and movement of animals. The heavy isotope content of precipitated water and snow (δDp, δ18O p) varies widely and systematically across the globe, providing a label that is incorporated through diet into animal tissue. As a result, these isotopes are potentially ideal tracers of geographic origin. The hydrogen and oxygen isotope tracer method has excellent potential where (1) spatial variation of precipitation isotopes exist, and (2) strong, mechanistic relationships link precipitation and isotope ratios in biological tissue. Here, we present a method for interpolation of precipitation isotope values and use it to create global basemaps of growing-season (GS) and mean annual (MA) δDp and δ18Op. The use of these maps for forensic application is demonstrated using previously published isotope data for bird feathers (δDf) in North America and Europe. The precipitation maps show that the greatest potential for applying hydrogen and oxygen isotope forensics exists in mid- to high-latitude continental regions, where strong spatial isotope gradients exist. We demonstrate that δD f/δDp relationships have significant predictive power both in North America and Europe, and show how zones of confidence for the assignment of origin can be described using these predictive relationships. Our analysis focuses on wildlife forensics, but the maps and approaches presented here will be equally applicable to criminal forensic studies involving biological materials. These maps are available in GIS format at http://www.waterisotopes.org. © Springer-Verlag 2005.","author":[{"dropping-particle":"","family":"Bowen","given":"Gabriel J.","non-dropping-particle":"","parse-names":false,"suffix":""},{"dropping-particle":"","family":"Wassenaar","given":"Leonard I.","non-dropping-particle":"","parse-names":false,"suffix":""},{"dropping-particle":"","family":"Hobson","given":"Keith A.","non-dropping-particle":"","parse-names":false,"suffix":""}],"container-title":"Oecologia","id":"ITEM-1","issued":{"date-parts":[["2005"]]},"title":"Global application of stable hydrogen and oxygen isotopes to wildlife forensics","type":"article-journal"},"uris":["http://www.mendeley.com/documents/?uuid=65984392-58b0-4792-a393-23c59957cf24"]},{"id":"ITEM-2","itemData":{"DOI":"10.1002/1099-1085(20000615)14:8&lt;1449::AID-HYP993&gt;3.0.CO;2-7","ISSN":"08856087","abstract":"A portion of the precipitation samples collected and stored by the National Atmospheric Deposition Program (NADP) are shown to be useful for analysis of isotopes in precipitation. The potential problems with evaporation are small based on deuterium excess analyses and comparisons with the Global Meteroic Water Line. Presented here are the δ18O values of precipitation collected from nine NADP sites during 1989, 1990 and 1991. The trends in the isotopic (δ18O) characteristics of recent precipitation are in agreement with findings from previous International Atomic Energy Agency (IAEA) sites in the USA. The findings are also in agreement with several major isotope-environment relationships, further supporting the use of these samples for a modern global data base on the isotopes in precipitation being developed by IAEA, called GNIP (Global Network for Isotopes in Precipitation) and for use by research groups in the hydrological modelling, palaeoclimate and ecological communities. As expected, the average δ18O values of precipitation that is derived from the Gulf of Mexico (-3‰) and from the Pacific North-west are isotopically distinct (-7‰). In addition, using the NADP network, isotopic depletion in the δ18O values of precipitation in the range of 8‰ was observed from coastal to inland locations either in the Pacific North-west or along the east side of the Rocky Mountains, from Texas to Eastern Montana. In central USA, especially at high elevation, there is a strong seasonal variation in the δ18O values of precipitation, differing by almost 25‰ between January and August, whereas at coastal locations the seasonal variation in the δ18O values of precipitation was minimal. Comparisons between the average δ18O values of precipitation from several NADP sites and those of the IAEA collected in the 1960s and 1970s are exceptionally comparable, differing in some cases by only 0.1‰, further substantiating the quality and utility of precipitation from this network. The δ18O-temperature relationships for two of our sites had slopes of 0.55 (Colorado) and 0.46 (Nebraska) that are within the range of those reported earlier (0.29-0.7), although they are slightly lower, possibly owing to the large temperature variation between winter and summer in central USA. Further, the seasonal variation in the δ18O values of precipitation are used in a pair of ecological studies to articulate water sources of different plant life forms in riparian and prairie ecosystems, with gras…","author":[{"dropping-particle":"","family":"Welker","given":"J. M.","non-dropping-particle":"","parse-names":false,"suffix":""}],"container-title":"Hydrological Processes","id":"ITEM-2","issued":{"date-parts":[["2000"]]},"title":"Isotopic (δ18O) characteristics of weekly precipitation collected across the USA: An initial analysis with application to water source studies","type":"paper-conference"},"uris":["http://www.mendeley.com/documents/?uuid=22a96047-87e9-4716-8a15-0ae72ac4b8f1"]}],"mendeley":{"formattedCitation":"(Welker, 2000; Bowen &lt;i&gt;et al.&lt;/i&gt;, 2005)","manualFormatting":"Welker, 2000; Bowen et al., 2005; Bowen, 2019)"},"properties":{"noteIndex":0},"schema":"https://github.com/citation-style-language/schema/raw/master/csl-citation.json"}</w:instrText>
      </w:r>
      <w:r w:rsidRPr="00A51466">
        <w:fldChar w:fldCharType="separate"/>
      </w:r>
      <w:r w:rsidRPr="00A51466">
        <w:rPr>
          <w:noProof/>
        </w:rPr>
        <w:t xml:space="preserve">Welker 2000; Bowen </w:t>
      </w:r>
      <w:r w:rsidRPr="00A51466">
        <w:rPr>
          <w:i/>
          <w:noProof/>
        </w:rPr>
        <w:t>et al.</w:t>
      </w:r>
      <w:r w:rsidRPr="00A51466">
        <w:rPr>
          <w:noProof/>
        </w:rPr>
        <w:t xml:space="preserve"> 2005; Bowen 2019)</w:t>
      </w:r>
      <w:r w:rsidRPr="00A51466">
        <w:fldChar w:fldCharType="end"/>
      </w:r>
      <w:r w:rsidRPr="00A51466">
        <w:t xml:space="preserve"> by inputting the latitudes, longitudes, and elevations for sampling locations. From this, we </w:t>
      </w:r>
      <w:r w:rsidRPr="00A51466">
        <w:lastRenderedPageBreak/>
        <w:t xml:space="preserve">derived line-conditioned excess values (lc-excess; </w:t>
      </w:r>
      <w:r w:rsidRPr="00A51466">
        <w:fldChar w:fldCharType="begin" w:fldLock="1"/>
      </w:r>
      <w:r w:rsidRPr="00A51466">
        <w:instrText>ADDIN CSL_CITATION {"citationItems":[{"id":"ITEM-1","itemData":{"DOI":"10.1002/hyp.10004","ISSN":"10991085","abstract":"To assess spatial, seasonal, and source variability in stable isotopic composition of human drinking waters throughout the entire USA, we have constructed a database of δ18O and δ2H of US tap waters. An additional purpose was to create a publicly available dataset useful for evaluating the forensic applicability of these isotopes for human tissue source geolocation. Samples were obtained at 349 sites, from diverse population centres, grouped by surface hydrologic units for regional comparisons. Samples were taken concurrently during two contrasting seasons, summer and winter. Source supply (surface, groundwater, mixed, and cistern) and system (public and private) types were noted. The isotopic composition of tap waters exhibits large spatial and regional variation within each season as well as significant at-site differences between seasons at many locations, consistent with patterns found in environmental (river and precipitation) waters deriving from hydrologic processes influenced by geographic factors. However, anthropogenic factors, such as the population of a tap's surrounding community and local availability from diverse sources, also influence the isotopic composition of tap waters. Even within a locale as small as a single metropolitan area, tap waters with greatly differing isotopic compositions can be found, so that tap water within a region may not exhibit the spatial or temporal coherence predicted for environmental water. Such heterogeneities can be confounding factors when attempting forensic inference of source water location, and they underscore the necessity of measurements, not just predictions, with which to characterize the isotopic composition of regional tap waters.","author":[{"dropping-particle":"","family":"Landwehr","given":"Jurate M.","non-dropping-particle":"","parse-names":false,"suffix":""},{"dropping-particle":"","family":"Coplen","given":"Tyler B.","non-dropping-particle":"","parse-names":false,"suffix":""},{"dropping-particle":"","family":"Stewart","given":"David W.","non-dropping-particle":"","parse-names":false,"suffix":""}],"container-title":"Hydrological Processes","id":"ITEM-1","issued":{"date-parts":[["2014"]]},"title":"Spatial, seasonal, and source variability in the stable oxygen and hydrogen isotopic composition of tap waters throughout the USA","type":"article-journal"},"uris":["http://www.mendeley.com/documents/?uuid=f9da64b2-4778-467f-8b79-a49b6258d50e"]}],"mendeley":{"formattedCitation":"(Landwehr &lt;i&gt;et al.&lt;/i&gt;, 2014)","manualFormatting":"Landwehr et al., 2014","plainTextFormattedCitation":"(Landwehr et al., 2014)","previouslyFormattedCitation":"(Landwehr &lt;i&gt;et al.&lt;/i&gt;, 2014)"},"properties":{"noteIndex":0},"schema":"https://github.com/citation-style-language/schema/raw/master/csl-citation.json"}</w:instrText>
      </w:r>
      <w:r w:rsidRPr="00A51466">
        <w:fldChar w:fldCharType="separate"/>
      </w:r>
      <w:r w:rsidRPr="00A51466">
        <w:rPr>
          <w:noProof/>
        </w:rPr>
        <w:t xml:space="preserve">Landwehr </w:t>
      </w:r>
      <w:r w:rsidRPr="00A51466">
        <w:rPr>
          <w:i/>
          <w:noProof/>
        </w:rPr>
        <w:t>et al.</w:t>
      </w:r>
      <w:r w:rsidRPr="00A51466">
        <w:rPr>
          <w:noProof/>
        </w:rPr>
        <w:t xml:space="preserve"> 2014</w:t>
      </w:r>
      <w:r w:rsidRPr="00A51466">
        <w:fldChar w:fldCharType="end"/>
      </w:r>
      <w:r w:rsidRPr="00A51466">
        <w:t xml:space="preserve">; Sprenger </w:t>
      </w:r>
      <w:r w:rsidRPr="00A51466">
        <w:rPr>
          <w:i/>
          <w:iCs/>
        </w:rPr>
        <w:t>et al.</w:t>
      </w:r>
      <w:r w:rsidRPr="00A51466">
        <w:t xml:space="preserve"> 2016), calculated as: lc-excess = </w:t>
      </w:r>
      <w:r w:rsidRPr="00A51466">
        <w:rPr>
          <w:color w:val="000000" w:themeColor="text1"/>
        </w:rPr>
        <w:sym w:font="Symbol" w:char="F064"/>
      </w:r>
      <w:r w:rsidRPr="00A51466">
        <w:rPr>
          <w:vertAlign w:val="superscript"/>
        </w:rPr>
        <w:t>2</w:t>
      </w:r>
      <w:r w:rsidRPr="00A51466">
        <w:t>H - a *</w:t>
      </w:r>
      <w:r w:rsidRPr="00A51466">
        <w:rPr>
          <w:color w:val="000000" w:themeColor="text1"/>
        </w:rPr>
        <w:sym w:font="Symbol" w:char="F064"/>
      </w:r>
      <w:r w:rsidRPr="00A51466">
        <w:rPr>
          <w:vertAlign w:val="superscript"/>
        </w:rPr>
        <w:t>18</w:t>
      </w:r>
      <w:r w:rsidRPr="00A51466">
        <w:t>O – b, where a and b are the slope and intercept of the LMWL (Table</w:t>
      </w:r>
      <w:r w:rsidRPr="00A51466">
        <w:rPr>
          <w:b/>
          <w:bCs/>
        </w:rPr>
        <w:t xml:space="preserve"> </w:t>
      </w:r>
      <w:r w:rsidRPr="00A51466">
        <w:t>1.2, R</w:t>
      </w:r>
      <w:r w:rsidRPr="00A51466">
        <w:rPr>
          <w:vertAlign w:val="superscript"/>
        </w:rPr>
        <w:t>2</w:t>
      </w:r>
      <w:r w:rsidRPr="00A51466">
        <w:t xml:space="preserve">=0.988). Negative values of both d-excess and lc-excess represent water isotope ratios that have been evaporatively enriched. </w:t>
      </w:r>
    </w:p>
    <w:p w14:paraId="2DFBA018" w14:textId="77777777" w:rsidR="004D30B5" w:rsidRPr="00A51466" w:rsidRDefault="004D30B5" w:rsidP="00A51466">
      <w:pPr>
        <w:pStyle w:val="Heading2"/>
        <w:spacing w:line="360" w:lineRule="auto"/>
        <w:rPr>
          <w:sz w:val="24"/>
          <w:szCs w:val="24"/>
        </w:rPr>
      </w:pPr>
      <w:bookmarkStart w:id="12" w:name="_Toc83051508"/>
      <w:bookmarkStart w:id="13" w:name="_Toc88056476"/>
      <w:r w:rsidRPr="00A51466">
        <w:rPr>
          <w:sz w:val="24"/>
          <w:szCs w:val="24"/>
        </w:rPr>
        <w:t>Results</w:t>
      </w:r>
      <w:bookmarkEnd w:id="12"/>
      <w:bookmarkEnd w:id="13"/>
    </w:p>
    <w:p w14:paraId="29397FD4" w14:textId="77777777" w:rsidR="004D30B5" w:rsidRPr="00A51466" w:rsidRDefault="004D30B5" w:rsidP="00A51466">
      <w:pPr>
        <w:pStyle w:val="Heading3"/>
        <w:spacing w:line="360" w:lineRule="auto"/>
        <w:jc w:val="both"/>
        <w:rPr>
          <w:szCs w:val="24"/>
        </w:rPr>
      </w:pPr>
      <w:r w:rsidRPr="00A51466">
        <w:rPr>
          <w:szCs w:val="24"/>
        </w:rPr>
        <w:t>Water supply, atmospheric demand for water, and water use differ across the range of P. angustifolia</w:t>
      </w:r>
    </w:p>
    <w:p w14:paraId="1DE9A9F4" w14:textId="494E9C93" w:rsidR="004D30B5" w:rsidRPr="00A51466" w:rsidRDefault="004D30B5" w:rsidP="00A51466">
      <w:pPr>
        <w:spacing w:line="360" w:lineRule="auto"/>
        <w:jc w:val="both"/>
        <w:rPr>
          <w:bCs/>
          <w:color w:val="000000" w:themeColor="text1"/>
        </w:rPr>
      </w:pPr>
      <w:r w:rsidRPr="00A51466">
        <w:rPr>
          <w:i/>
        </w:rPr>
        <w:t>Populus angustifolia</w:t>
      </w:r>
      <w:r w:rsidRPr="00A51466">
        <w:t xml:space="preserve"> riparian forests across the western U.S. (</w:t>
      </w:r>
      <w:r w:rsidR="003114A7" w:rsidRPr="00A51466">
        <w:t>Figure</w:t>
      </w:r>
      <w:r w:rsidRPr="00A51466">
        <w:t xml:space="preserve"> 1a) are water limited; all field sites fall to the right of 1 on the dryness index (where PET=P; </w:t>
      </w:r>
      <w:r w:rsidR="003114A7" w:rsidRPr="00A51466">
        <w:t>Figure</w:t>
      </w:r>
      <w:r w:rsidRPr="00A51466">
        <w:t xml:space="preserve"> 1b), indicating that on average, all sites and populations are limited by the supply of water. Along this axis, however, sites span a large range of dryness (min=1.00, max=5.89; </w:t>
      </w:r>
      <w:r w:rsidR="003114A7" w:rsidRPr="00A51466">
        <w:t>Figure</w:t>
      </w:r>
      <w:r w:rsidRPr="00A51466">
        <w:t xml:space="preserve"> 1b) and differ by genetic provenances (inset boxplots, </w:t>
      </w:r>
      <w:r w:rsidR="003114A7" w:rsidRPr="00A51466">
        <w:t>Figure</w:t>
      </w:r>
      <w:r w:rsidRPr="00A51466">
        <w:t xml:space="preserve"> 1b). Additionally, all sites fall below 1 on the evaporative index (where AET=P; blue line, </w:t>
      </w:r>
      <w:r w:rsidR="003114A7" w:rsidRPr="00A51466">
        <w:t>Figure</w:t>
      </w:r>
      <w:r w:rsidRPr="00A51466">
        <w:t xml:space="preserve"> 1b) indicating that no more water is recycled to the atmosphere than falls as precipitation. This is expected for annual averages, which are constrained by the amount of water available in a system. Site-level values on this axis span from about 63% to 94% of water recycling to the atmosphere through AET annually (min=0.63, max=0.94) and differ across genetic provenances (inset boxplots, </w:t>
      </w:r>
      <w:r w:rsidR="003114A7" w:rsidRPr="00A51466">
        <w:t>Figure</w:t>
      </w:r>
      <w:r w:rsidR="00F73571" w:rsidRPr="00A51466">
        <w:t xml:space="preserve"> </w:t>
      </w:r>
      <w:r w:rsidRPr="00A51466">
        <w:t>1b). Landscape differentiation in average dryness and evaporative indices across provenances is important, as is the situation of points within a single river on the plot, as this represents variation in water cycling regimes. For example</w:t>
      </w:r>
      <w:r w:rsidRPr="00A51466">
        <w:rPr>
          <w:color w:val="000000" w:themeColor="text1"/>
        </w:rPr>
        <w:t xml:space="preserve">, a river may span a wide range of climatic conditions (dryness index) but function similarly along points of the river (no variation in evaporative index, e.g., 80% of P goes to AET everywhere along the river), while another river may span a narrow range of climatic conditions (dryness index) but cycle water quite differently along the river (large range in evaporative index). In this way, the model parameters also capture effects of elevation. A comprehensive representation of sites from all 17 rivers can be found on the </w:t>
      </w:r>
      <w:proofErr w:type="spellStart"/>
      <w:r w:rsidRPr="00A51466">
        <w:rPr>
          <w:color w:val="000000" w:themeColor="text1"/>
        </w:rPr>
        <w:t>Budyko</w:t>
      </w:r>
      <w:proofErr w:type="spellEnd"/>
      <w:r w:rsidRPr="00A51466">
        <w:rPr>
          <w:color w:val="000000" w:themeColor="text1"/>
        </w:rPr>
        <w:t xml:space="preserve"> curve in the supplementary information</w:t>
      </w:r>
      <w:r w:rsidR="004D4372" w:rsidRPr="00A51466">
        <w:rPr>
          <w:color w:val="000000" w:themeColor="text1"/>
        </w:rPr>
        <w:t xml:space="preserve"> (Figure 9 in Appendix 4).</w:t>
      </w:r>
    </w:p>
    <w:p w14:paraId="2829C97D" w14:textId="77777777" w:rsidR="004D30B5" w:rsidRPr="00A51466" w:rsidRDefault="004D30B5" w:rsidP="00A51466">
      <w:pPr>
        <w:pStyle w:val="Heading3"/>
        <w:spacing w:line="360" w:lineRule="auto"/>
        <w:jc w:val="both"/>
        <w:rPr>
          <w:szCs w:val="24"/>
        </w:rPr>
      </w:pPr>
      <w:r w:rsidRPr="00A51466">
        <w:rPr>
          <w:szCs w:val="24"/>
        </w:rPr>
        <w:lastRenderedPageBreak/>
        <w:t>Populations of P. angustifolia show patterns of genetic divergence in traits related to the water cycle</w:t>
      </w:r>
    </w:p>
    <w:p w14:paraId="66237DB3" w14:textId="0BC09D91" w:rsidR="004D30B5" w:rsidRPr="00A51466" w:rsidRDefault="004D30B5" w:rsidP="00A51466">
      <w:pPr>
        <w:spacing w:line="360" w:lineRule="auto"/>
        <w:jc w:val="both"/>
      </w:pPr>
      <w:r w:rsidRPr="00A51466">
        <w:rPr>
          <w:iCs/>
        </w:rPr>
        <w:t>Biomass:</w:t>
      </w:r>
      <w:r w:rsidRPr="00A51466">
        <w:rPr>
          <w:b/>
        </w:rPr>
        <w:t xml:space="preserve"> </w:t>
      </w:r>
      <w:r w:rsidRPr="00A51466">
        <w:t>In the field, we find that biomass is lowest in Provenance 1 compared to Provenances 2 and 3 which do not show significant differences (</w:t>
      </w:r>
      <w:r w:rsidR="003114A7" w:rsidRPr="00A51466">
        <w:t>Figure</w:t>
      </w:r>
      <w:r w:rsidRPr="00A51466">
        <w:t xml:space="preserve"> 2a, Table 1). Conversely, in the common environment we find that Provenance 1 had the highest biomass (µ</w:t>
      </w:r>
      <w:r w:rsidRPr="00A51466">
        <w:rPr>
          <w:vertAlign w:val="subscript"/>
        </w:rPr>
        <w:t>p1</w:t>
      </w:r>
      <w:r w:rsidRPr="00A51466">
        <w:t xml:space="preserve"> = 294.8 g), while Provenance 3 had the lowest average aboveground biomass (µ</w:t>
      </w:r>
      <w:r w:rsidRPr="00A51466">
        <w:rPr>
          <w:vertAlign w:val="subscript"/>
        </w:rPr>
        <w:t>p3</w:t>
      </w:r>
      <w:r w:rsidRPr="00A51466">
        <w:t xml:space="preserve"> = 89.7 g</w:t>
      </w:r>
      <w:r w:rsidRPr="00A51466">
        <w:rPr>
          <w:color w:val="000000" w:themeColor="text1"/>
        </w:rPr>
        <w:t xml:space="preserve">). </w:t>
      </w:r>
      <w:r w:rsidRPr="00A51466">
        <w:t>Overall, this represents a 69% genetically based difference in biomass across the three provenances. These results demonstrate a pattern of genetic divergence at the provenance level (</w:t>
      </w:r>
      <w:r w:rsidR="003114A7" w:rsidRPr="00A51466">
        <w:t>Figure</w:t>
      </w:r>
      <w:r w:rsidRPr="00A51466">
        <w:t xml:space="preserve"> 2b, Table 1) and environmental constraints on biomass production in the field within the range of provenance 1, likely related to limitations in the supply of water and plant strategies to mitigate water-limitation. A post-hoc Tukey test reveals significant differences between Provenance 1 and 2, and Provenances 1 and 3 (Table 1). </w:t>
      </w:r>
      <w:r w:rsidR="00A51466" w:rsidRPr="00A51466">
        <w:t>Provenances</w:t>
      </w:r>
      <w:r w:rsidRPr="00A51466">
        <w:t xml:space="preserve"> 2 and 3 show marginally significant differences in biomass (p=0.09; Table 1) though these provenances have the lowest sample size (N</w:t>
      </w:r>
      <w:r w:rsidRPr="00A51466">
        <w:rPr>
          <w:vertAlign w:val="subscript"/>
        </w:rPr>
        <w:t>p2</w:t>
      </w:r>
      <w:r w:rsidRPr="00A51466">
        <w:t xml:space="preserve"> = 213 and N</w:t>
      </w:r>
      <w:r w:rsidRPr="00A51466">
        <w:rPr>
          <w:vertAlign w:val="subscript"/>
        </w:rPr>
        <w:t>p3</w:t>
      </w:r>
      <w:r w:rsidRPr="00A51466">
        <w:t xml:space="preserve"> = 75 respectively). To check if these differences could be explained by growth duration (e.g., Evans et al. 2016), we also ran m</w:t>
      </w:r>
      <w:r w:rsidRPr="00A51466">
        <w:rPr>
          <w:color w:val="000000" w:themeColor="text1"/>
        </w:rPr>
        <w:t>odels including growing season length in the greenhouse (recorded as the number of days between first bud break in the spring and plant senescence in the fall), and latitude as a proxy for growing season length in the field. Our findings did not change with consideration of these variables.</w:t>
      </w:r>
    </w:p>
    <w:p w14:paraId="7A9A2C31" w14:textId="6BEB3AC5" w:rsidR="004D30B5" w:rsidRPr="00A51466" w:rsidRDefault="004D30B5" w:rsidP="00A51466">
      <w:pPr>
        <w:spacing w:line="360" w:lineRule="auto"/>
        <w:jc w:val="both"/>
        <w:rPr>
          <w:color w:val="000000" w:themeColor="text1"/>
        </w:rPr>
      </w:pPr>
      <w:r w:rsidRPr="00A51466">
        <w:rPr>
          <w:iCs/>
        </w:rPr>
        <w:t>Stomatal Traits:</w:t>
      </w:r>
      <w:r w:rsidRPr="00A51466">
        <w:t xml:space="preserve"> While the average stomatal density does not differ between provenances in the field </w:t>
      </w:r>
      <w:r w:rsidRPr="00A51466">
        <w:rPr>
          <w:bCs/>
        </w:rPr>
        <w:t>(</w:t>
      </w:r>
      <w:r w:rsidR="003114A7" w:rsidRPr="00A51466">
        <w:rPr>
          <w:bCs/>
        </w:rPr>
        <w:t>Figure</w:t>
      </w:r>
      <w:r w:rsidRPr="00A51466">
        <w:rPr>
          <w:bCs/>
        </w:rPr>
        <w:t xml:space="preserve"> 2c; Table 1), Provenance 1 shows 47.3% difference in stomatal density in the common environment compared to Provenance 3 (µ</w:t>
      </w:r>
      <w:r w:rsidRPr="00A51466">
        <w:rPr>
          <w:bCs/>
          <w:vertAlign w:val="subscript"/>
        </w:rPr>
        <w:t>p1</w:t>
      </w:r>
      <w:r w:rsidRPr="00A51466">
        <w:rPr>
          <w:bCs/>
        </w:rPr>
        <w:t xml:space="preserve"> = 118.1; µ</w:t>
      </w:r>
      <w:r w:rsidRPr="00A51466">
        <w:rPr>
          <w:bCs/>
          <w:vertAlign w:val="subscript"/>
        </w:rPr>
        <w:t>p3</w:t>
      </w:r>
      <w:r w:rsidRPr="00A51466">
        <w:rPr>
          <w:bCs/>
        </w:rPr>
        <w:t xml:space="preserve"> = 80.2; p&lt;0.001), and a 23.7% increase relative to Provenance 2 (µ</w:t>
      </w:r>
      <w:r w:rsidRPr="00A51466">
        <w:rPr>
          <w:bCs/>
          <w:vertAlign w:val="subscript"/>
        </w:rPr>
        <w:t>p2</w:t>
      </w:r>
      <w:r w:rsidRPr="00A51466">
        <w:rPr>
          <w:bCs/>
        </w:rPr>
        <w:t>= 95.5; p=0.062) (</w:t>
      </w:r>
      <w:r w:rsidR="003114A7" w:rsidRPr="00A51466">
        <w:rPr>
          <w:bCs/>
        </w:rPr>
        <w:t>Figure</w:t>
      </w:r>
      <w:r w:rsidRPr="00A51466">
        <w:rPr>
          <w:bCs/>
        </w:rPr>
        <w:t xml:space="preserve"> 2d; Table 1). Overall, this represents nearly a doubling of the total number of stomata on leaf surfaces across the provenances. Additionally, we find that provenances differ in the field in stomatal ratio (</w:t>
      </w:r>
      <w:r w:rsidR="003114A7" w:rsidRPr="00A51466">
        <w:rPr>
          <w:bCs/>
        </w:rPr>
        <w:t>Figure</w:t>
      </w:r>
      <w:r w:rsidRPr="00A51466">
        <w:rPr>
          <w:bCs/>
        </w:rPr>
        <w:t xml:space="preserve"> 2e; Table 1): Provenance 1 has a significantly lower stomatal ratio (µ</w:t>
      </w:r>
      <w:r w:rsidRPr="00A51466">
        <w:rPr>
          <w:bCs/>
          <w:vertAlign w:val="subscript"/>
        </w:rPr>
        <w:t>p1</w:t>
      </w:r>
      <w:r w:rsidRPr="00A51466">
        <w:rPr>
          <w:bCs/>
        </w:rPr>
        <w:t>=0.103) compared to provenances 2 and 3 (which do not significantly differ from each other; µ</w:t>
      </w:r>
      <w:r w:rsidRPr="00A51466">
        <w:rPr>
          <w:bCs/>
          <w:vertAlign w:val="subscript"/>
        </w:rPr>
        <w:t>p2</w:t>
      </w:r>
      <w:r w:rsidRPr="00A51466">
        <w:rPr>
          <w:bCs/>
        </w:rPr>
        <w:t>=0.40 and µ</w:t>
      </w:r>
      <w:r w:rsidRPr="00A51466">
        <w:rPr>
          <w:bCs/>
          <w:vertAlign w:val="subscript"/>
        </w:rPr>
        <w:t>p3</w:t>
      </w:r>
      <w:r w:rsidRPr="00A51466">
        <w:rPr>
          <w:bCs/>
        </w:rPr>
        <w:t xml:space="preserve">=0.37 respectively). These data confirm those found previously, showing a species average of stomatal ratio to be about 0.32 (Pearce et al. 2005). In field conditions, Provenance 1 has more stomates on the abaxial leaf surface, and though the </w:t>
      </w:r>
      <w:r w:rsidRPr="00A51466">
        <w:rPr>
          <w:bCs/>
        </w:rPr>
        <w:lastRenderedPageBreak/>
        <w:t>greenhouse trend reflects this field trends, the only emergent significant difference is between Provenances 1 and 2 (</w:t>
      </w:r>
      <w:r w:rsidR="003114A7" w:rsidRPr="00A51466">
        <w:rPr>
          <w:bCs/>
        </w:rPr>
        <w:t>Figure</w:t>
      </w:r>
      <w:r w:rsidRPr="00A51466">
        <w:rPr>
          <w:bCs/>
        </w:rPr>
        <w:t xml:space="preserve"> 2f; Table 1). </w:t>
      </w:r>
      <w:r w:rsidRPr="00A51466">
        <w:rPr>
          <w:bCs/>
          <w:color w:val="000000" w:themeColor="text1"/>
        </w:rPr>
        <w:t xml:space="preserve">Finally, we found no significant differences between the three provenances in </w:t>
      </w:r>
      <w:r w:rsidRPr="00A51466">
        <w:rPr>
          <w:bCs/>
          <w:i/>
          <w:iCs/>
          <w:color w:val="000000" w:themeColor="text1"/>
        </w:rPr>
        <w:t>adaxial</w:t>
      </w:r>
      <w:r w:rsidRPr="00A51466">
        <w:rPr>
          <w:bCs/>
          <w:color w:val="000000" w:themeColor="text1"/>
        </w:rPr>
        <w:t xml:space="preserve"> stomatal pore length. However, while </w:t>
      </w:r>
      <w:r w:rsidRPr="00A51466">
        <w:rPr>
          <w:bCs/>
          <w:i/>
          <w:iCs/>
          <w:color w:val="000000" w:themeColor="text1"/>
        </w:rPr>
        <w:t>abaxial</w:t>
      </w:r>
      <w:r w:rsidRPr="00A51466">
        <w:rPr>
          <w:bCs/>
          <w:color w:val="000000" w:themeColor="text1"/>
        </w:rPr>
        <w:t xml:space="preserve"> stomatal pore length did not differ between provenances in the field (</w:t>
      </w:r>
      <w:r w:rsidR="003114A7" w:rsidRPr="00A51466">
        <w:rPr>
          <w:bCs/>
          <w:color w:val="000000" w:themeColor="text1"/>
        </w:rPr>
        <w:t>Figure</w:t>
      </w:r>
      <w:r w:rsidRPr="00A51466">
        <w:rPr>
          <w:bCs/>
          <w:color w:val="000000" w:themeColor="text1"/>
        </w:rPr>
        <w:t xml:space="preserve"> 2g; Table 1), with an average length of 32.4µm,</w:t>
      </w:r>
      <w:r w:rsidRPr="00A51466">
        <w:rPr>
          <w:color w:val="000000" w:themeColor="text1"/>
        </w:rPr>
        <w:t xml:space="preserve"> we did find differences in the greenhouse. Like the patterns of stomatal distribution in the greenhouse, abaxial stomatal pore length in the greenhouse of Provenance 1 (µ</w:t>
      </w:r>
      <w:r w:rsidRPr="00A51466">
        <w:rPr>
          <w:color w:val="000000" w:themeColor="text1"/>
          <w:vertAlign w:val="subscript"/>
        </w:rPr>
        <w:t>p1</w:t>
      </w:r>
      <w:r w:rsidRPr="00A51466">
        <w:rPr>
          <w:color w:val="000000" w:themeColor="text1"/>
        </w:rPr>
        <w:t>=29.0 µm) was significantly smaller than Provenance 2 (µ</w:t>
      </w:r>
      <w:r w:rsidRPr="00A51466">
        <w:rPr>
          <w:color w:val="000000" w:themeColor="text1"/>
          <w:vertAlign w:val="subscript"/>
        </w:rPr>
        <w:t>p2</w:t>
      </w:r>
      <w:r w:rsidRPr="00A51466">
        <w:rPr>
          <w:color w:val="000000" w:themeColor="text1"/>
        </w:rPr>
        <w:t>=33.8 µm; p=0.009), and marginally different from provenance 3 (µ</w:t>
      </w:r>
      <w:r w:rsidRPr="00A51466">
        <w:rPr>
          <w:color w:val="000000" w:themeColor="text1"/>
          <w:vertAlign w:val="subscript"/>
        </w:rPr>
        <w:t>p3</w:t>
      </w:r>
      <w:r w:rsidRPr="00A51466">
        <w:rPr>
          <w:color w:val="000000" w:themeColor="text1"/>
        </w:rPr>
        <w:t>=32.8 µm; p=0.0596) (Fig</w:t>
      </w:r>
      <w:r w:rsidR="00CD2B89" w:rsidRPr="00A51466">
        <w:rPr>
          <w:color w:val="000000" w:themeColor="text1"/>
        </w:rPr>
        <w:t>ure</w:t>
      </w:r>
      <w:r w:rsidRPr="00A51466">
        <w:rPr>
          <w:color w:val="000000" w:themeColor="text1"/>
        </w:rPr>
        <w:t xml:space="preserve"> 2h; Table</w:t>
      </w:r>
      <w:r w:rsidR="00F73571" w:rsidRPr="00A51466">
        <w:rPr>
          <w:color w:val="000000" w:themeColor="text1"/>
        </w:rPr>
        <w:t xml:space="preserve"> </w:t>
      </w:r>
      <w:r w:rsidRPr="00A51466">
        <w:rPr>
          <w:color w:val="000000" w:themeColor="text1"/>
        </w:rPr>
        <w:t xml:space="preserve">1). Conforming to trends commonly found in the literature (e.g., </w:t>
      </w:r>
      <w:proofErr w:type="spellStart"/>
      <w:r w:rsidRPr="00A51466">
        <w:rPr>
          <w:color w:val="000000" w:themeColor="text1"/>
        </w:rPr>
        <w:t>Brodribb</w:t>
      </w:r>
      <w:proofErr w:type="spellEnd"/>
      <w:r w:rsidRPr="00A51466">
        <w:rPr>
          <w:color w:val="000000" w:themeColor="text1"/>
        </w:rPr>
        <w:t xml:space="preserve"> </w:t>
      </w:r>
      <w:r w:rsidRPr="00A51466">
        <w:rPr>
          <w:i/>
          <w:iCs/>
          <w:color w:val="000000" w:themeColor="text1"/>
        </w:rPr>
        <w:t>et al.</w:t>
      </w:r>
      <w:r w:rsidRPr="00A51466">
        <w:rPr>
          <w:color w:val="000000" w:themeColor="text1"/>
        </w:rPr>
        <w:t xml:space="preserve"> 2013), our data show significant negative logarithmic relationships between stomatal density and stomatal pore length in the field and in the greenhouse, though this relationship depends on leaf surface.</w:t>
      </w:r>
    </w:p>
    <w:p w14:paraId="079E50C9" w14:textId="77777777" w:rsidR="004D30B5" w:rsidRPr="00A51466" w:rsidRDefault="004D30B5" w:rsidP="00A51466">
      <w:pPr>
        <w:pStyle w:val="Heading3"/>
        <w:spacing w:line="360" w:lineRule="auto"/>
        <w:jc w:val="both"/>
        <w:rPr>
          <w:szCs w:val="24"/>
        </w:rPr>
      </w:pPr>
      <w:r w:rsidRPr="00A51466">
        <w:rPr>
          <w:szCs w:val="24"/>
        </w:rPr>
        <w:t>Genetic divergence in water-regulatory traits is related to hydrological processes on the landscape</w:t>
      </w:r>
    </w:p>
    <w:p w14:paraId="5F8DE198" w14:textId="3014E308" w:rsidR="004D30B5" w:rsidRPr="00A51466" w:rsidRDefault="004D30B5" w:rsidP="00A51466">
      <w:pPr>
        <w:spacing w:line="360" w:lineRule="auto"/>
        <w:jc w:val="both"/>
      </w:pPr>
      <w:r w:rsidRPr="00A51466">
        <w:rPr>
          <w:iCs/>
          <w:color w:val="000000" w:themeColor="text1"/>
        </w:rPr>
        <w:t>In the common environment, w</w:t>
      </w:r>
      <w:r w:rsidRPr="00A51466">
        <w:t>e show that plant biomass is positively related to the dryness index (PET/P) with plants originating from more arid sites showing ~21.3g more biomass for each unit on the dryness index (</w:t>
      </w:r>
      <w:r w:rsidR="003114A7" w:rsidRPr="00A51466">
        <w:t>Figure</w:t>
      </w:r>
      <w:r w:rsidRPr="00A51466">
        <w:t xml:space="preserve"> 3a; N=381, p=0.00025). </w:t>
      </w:r>
      <w:r w:rsidRPr="00A51466">
        <w:rPr>
          <w:iCs/>
          <w:color w:val="000000" w:themeColor="text1"/>
        </w:rPr>
        <w:t xml:space="preserve">In the common environment, the stomatal density (stomates/area) of </w:t>
      </w:r>
      <w:r w:rsidRPr="00A51466">
        <w:rPr>
          <w:iCs/>
        </w:rPr>
        <w:t xml:space="preserve">P. angustifolia leaves </w:t>
      </w:r>
      <w:r w:rsidRPr="00A51466">
        <w:rPr>
          <w:iCs/>
          <w:color w:val="000000" w:themeColor="text1"/>
        </w:rPr>
        <w:t>increases as the</w:t>
      </w:r>
      <w:r w:rsidRPr="00A51466">
        <w:rPr>
          <w:iCs/>
        </w:rPr>
        <w:t xml:space="preserve"> atmospheric demand for water (PET) increases at plant site of origin (</w:t>
      </w:r>
      <w:r w:rsidR="003114A7" w:rsidRPr="00A51466">
        <w:rPr>
          <w:iCs/>
        </w:rPr>
        <w:t>Figure</w:t>
      </w:r>
      <w:r w:rsidRPr="00A51466">
        <w:rPr>
          <w:iCs/>
        </w:rPr>
        <w:t xml:space="preserve"> 3b), though leaves in the field show no significant difference in stomatal density across this gradient (grey line; </w:t>
      </w:r>
      <w:r w:rsidR="003114A7" w:rsidRPr="00A51466">
        <w:rPr>
          <w:iCs/>
        </w:rPr>
        <w:t>Figure</w:t>
      </w:r>
      <w:r w:rsidRPr="00A51466">
        <w:rPr>
          <w:iCs/>
        </w:rPr>
        <w:t xml:space="preserve"> 3b).</w:t>
      </w:r>
      <w:r w:rsidRPr="00A51466">
        <w:t xml:space="preserve"> Further, higher biomass plants generally have higher water demands that may be reflected in stomatal density. We show that stomatal density is positively correlated to biomass (g) in greenhouse plants, accounting for 80% of the variation (</w:t>
      </w:r>
      <w:r w:rsidR="003114A7" w:rsidRPr="00A51466">
        <w:t>Figure</w:t>
      </w:r>
      <w:r w:rsidRPr="00A51466">
        <w:t xml:space="preserve"> 3c; R</w:t>
      </w:r>
      <w:r w:rsidRPr="00A51466">
        <w:rPr>
          <w:vertAlign w:val="superscript"/>
        </w:rPr>
        <w:t>2</w:t>
      </w:r>
      <w:r w:rsidRPr="00A51466">
        <w:t>=0.80, p=0.016). In the field, stomatal ratio appears to be positively related to biomass (kg) of field plants (R</w:t>
      </w:r>
      <w:r w:rsidRPr="00A51466">
        <w:rPr>
          <w:vertAlign w:val="superscript"/>
        </w:rPr>
        <w:t>2</w:t>
      </w:r>
      <w:r w:rsidRPr="00A51466">
        <w:t xml:space="preserve">=0.55, p=0.089). </w:t>
      </w:r>
    </w:p>
    <w:p w14:paraId="6114755C" w14:textId="77777777" w:rsidR="004D30B5" w:rsidRPr="00A51466" w:rsidRDefault="004D30B5" w:rsidP="00A51466">
      <w:pPr>
        <w:pStyle w:val="Heading3"/>
        <w:spacing w:line="360" w:lineRule="auto"/>
        <w:jc w:val="both"/>
        <w:rPr>
          <w:szCs w:val="24"/>
        </w:rPr>
      </w:pPr>
      <w:r w:rsidRPr="00A51466">
        <w:rPr>
          <w:szCs w:val="24"/>
        </w:rPr>
        <w:t>Water stable isotope compositions</w:t>
      </w:r>
    </w:p>
    <w:p w14:paraId="68E72EE6" w14:textId="36EEA2BB" w:rsidR="004D30B5" w:rsidRPr="00A51466" w:rsidRDefault="004D30B5" w:rsidP="00A51466">
      <w:pPr>
        <w:spacing w:line="360" w:lineRule="auto"/>
        <w:jc w:val="both"/>
      </w:pPr>
      <w:r w:rsidRPr="00A51466">
        <w:t xml:space="preserve">Fitting expectations, our </w:t>
      </w:r>
      <w:r w:rsidR="000117D7" w:rsidRPr="00A51466">
        <w:t>stream water</w:t>
      </w:r>
      <w:r w:rsidRPr="00A51466">
        <w:t xml:space="preserve"> samples overlap the local meteoric water line (LMWL; </w:t>
      </w:r>
      <w:r w:rsidR="003114A7" w:rsidRPr="00A51466">
        <w:t>Figure</w:t>
      </w:r>
      <w:r w:rsidRPr="00A51466">
        <w:t xml:space="preserve"> 4a; Table 2), and the stable isotope compositions from </w:t>
      </w:r>
      <w:proofErr w:type="spellStart"/>
      <w:r w:rsidRPr="00A51466">
        <w:t>nonsaturated</w:t>
      </w:r>
      <w:proofErr w:type="spellEnd"/>
      <w:r w:rsidRPr="00A51466">
        <w:t xml:space="preserve"> soil </w:t>
      </w:r>
      <w:r w:rsidRPr="00A51466">
        <w:lastRenderedPageBreak/>
        <w:t xml:space="preserve">zones plot below the LMWL (Sprenger </w:t>
      </w:r>
      <w:r w:rsidRPr="00A51466">
        <w:rPr>
          <w:i/>
          <w:iCs/>
        </w:rPr>
        <w:t>et al</w:t>
      </w:r>
      <w:r w:rsidRPr="00A51466">
        <w:t xml:space="preserve">. 2016; </w:t>
      </w:r>
      <w:r w:rsidR="003114A7" w:rsidRPr="00A51466">
        <w:t>Figure</w:t>
      </w:r>
      <w:r w:rsidRPr="00A51466">
        <w:t xml:space="preserve"> 4a). Negative lc-excess values for soil samples indicate that the water in the </w:t>
      </w:r>
      <w:proofErr w:type="spellStart"/>
      <w:r w:rsidRPr="00A51466">
        <w:t>nonsaturated</w:t>
      </w:r>
      <w:proofErr w:type="spellEnd"/>
      <w:r w:rsidRPr="00A51466">
        <w:t xml:space="preserve"> soil zone was exposed to evaporative enrichment, and even more so in Provenance 1 and 2 (</w:t>
      </w:r>
      <w:r w:rsidR="003114A7" w:rsidRPr="00A51466">
        <w:t>Figure</w:t>
      </w:r>
      <w:r w:rsidRPr="00A51466">
        <w:t xml:space="preserve"> 4b; Landwehr &amp; </w:t>
      </w:r>
      <w:proofErr w:type="spellStart"/>
      <w:r w:rsidRPr="00A51466">
        <w:t>Coplen</w:t>
      </w:r>
      <w:proofErr w:type="spellEnd"/>
      <w:r w:rsidRPr="00A51466">
        <w:t xml:space="preserve"> 2014; Sprenger </w:t>
      </w:r>
      <w:r w:rsidRPr="00A51466">
        <w:rPr>
          <w:i/>
          <w:iCs/>
        </w:rPr>
        <w:t>et al.</w:t>
      </w:r>
      <w:r w:rsidRPr="00A51466">
        <w:t xml:space="preserve"> 2016). Also adhering to expectations, we find that lc-excess in the soil is significantly correlated with streamflow in the month prior to collection (May, R</w:t>
      </w:r>
      <w:r w:rsidRPr="00A51466">
        <w:rPr>
          <w:vertAlign w:val="superscript"/>
        </w:rPr>
        <w:t>2</w:t>
      </w:r>
      <w:r w:rsidRPr="00A51466">
        <w:t>=0.38, p=0.033) and marginally correlated with mean annual streamflow (R</w:t>
      </w:r>
      <w:r w:rsidRPr="00A51466">
        <w:rPr>
          <w:vertAlign w:val="superscript"/>
        </w:rPr>
        <w:t>2</w:t>
      </w:r>
      <w:r w:rsidRPr="00A51466">
        <w:t xml:space="preserve">=0.297, p=0.066). Though we do not have deep groundwater samples for our sampling locations, groundwater is known to consistently plot along the LMWL (Sprenger </w:t>
      </w:r>
      <w:r w:rsidRPr="00A51466">
        <w:rPr>
          <w:i/>
          <w:iCs/>
        </w:rPr>
        <w:t>et al.</w:t>
      </w:r>
      <w:r w:rsidRPr="00A51466">
        <w:t xml:space="preserve"> 2016). We acknowledge that throughfall water may already be enriched when it reaches the </w:t>
      </w:r>
      <w:proofErr w:type="spellStart"/>
      <w:r w:rsidRPr="00A51466">
        <w:t>nonsaturated</w:t>
      </w:r>
      <w:proofErr w:type="spellEnd"/>
      <w:r w:rsidRPr="00A51466">
        <w:t xml:space="preserve"> soil zone and that tree cover may decrease fractionation processes in soil (Sprenger </w:t>
      </w:r>
      <w:r w:rsidRPr="00A51466">
        <w:rPr>
          <w:i/>
          <w:iCs/>
        </w:rPr>
        <w:t>et al.</w:t>
      </w:r>
      <w:r w:rsidRPr="00A51466">
        <w:t xml:space="preserve"> 2016). These stable isotope ratios (</w:t>
      </w:r>
      <w:r w:rsidR="003114A7" w:rsidRPr="00A51466">
        <w:t>Figure</w:t>
      </w:r>
      <w:r w:rsidRPr="00A51466">
        <w:t xml:space="preserve"> 4) combined with mean annual values on the </w:t>
      </w:r>
      <w:proofErr w:type="spellStart"/>
      <w:r w:rsidRPr="00A51466">
        <w:t>Budyko</w:t>
      </w:r>
      <w:proofErr w:type="spellEnd"/>
      <w:r w:rsidRPr="00A51466">
        <w:t xml:space="preserve"> Curve (</w:t>
      </w:r>
      <w:r w:rsidR="003114A7" w:rsidRPr="00A51466">
        <w:t>Figure</w:t>
      </w:r>
      <w:r w:rsidRPr="00A51466">
        <w:t xml:space="preserve"> 1b) which show higher atmospheric demand for water than the supply of it (PET/P &gt; 1) confirm previous observations that riparian cottonwood forests do not get enough precipitation during the growing season to support the levels of transpiration to meet atmospheric demand (Flanagan </w:t>
      </w:r>
      <w:r w:rsidRPr="00A51466">
        <w:rPr>
          <w:i/>
          <w:iCs/>
        </w:rPr>
        <w:t>et al.</w:t>
      </w:r>
      <w:r w:rsidRPr="00A51466">
        <w:t xml:space="preserve"> 2017, Yang </w:t>
      </w:r>
      <w:r w:rsidRPr="00A51466">
        <w:rPr>
          <w:i/>
          <w:iCs/>
        </w:rPr>
        <w:t>et al.</w:t>
      </w:r>
      <w:r w:rsidRPr="00A51466">
        <w:t xml:space="preserve"> 2019).</w:t>
      </w:r>
    </w:p>
    <w:p w14:paraId="07FF1DA7" w14:textId="46994B72" w:rsidR="004D30B5" w:rsidRPr="00A51466" w:rsidRDefault="004D30B5" w:rsidP="00A51466">
      <w:pPr>
        <w:spacing w:line="360" w:lineRule="auto"/>
        <w:ind w:firstLine="720"/>
        <w:jc w:val="both"/>
      </w:pPr>
      <w:r w:rsidRPr="00A51466">
        <w:rPr>
          <w:i/>
          <w:iCs/>
        </w:rPr>
        <w:t xml:space="preserve">P. angustifolia </w:t>
      </w:r>
      <w:r w:rsidRPr="00A51466">
        <w:t xml:space="preserve">stem and leaf oxygen and hydrogen isotope compositions are shown in relation to the LMWL (precipitation), stream, and </w:t>
      </w:r>
      <w:proofErr w:type="spellStart"/>
      <w:r w:rsidRPr="00A51466">
        <w:t>nonsaturated</w:t>
      </w:r>
      <w:proofErr w:type="spellEnd"/>
      <w:r w:rsidRPr="00A51466">
        <w:t xml:space="preserve"> soil in Figure 4a. A linear regression between the stem water isotopes of hydrogen and oxygen has a lower slope than the LMWL suggesting that the water had been evaporatively enriched upon plant use (</w:t>
      </w:r>
      <w:r w:rsidR="003114A7" w:rsidRPr="00A51466">
        <w:t>Figure</w:t>
      </w:r>
      <w:r w:rsidRPr="00A51466">
        <w:t xml:space="preserve"> 4a, Table 2). Though this regression is significant and shows good fit (Table 2; R</w:t>
      </w:r>
      <w:r w:rsidRPr="00A51466">
        <w:rPr>
          <w:vertAlign w:val="superscript"/>
        </w:rPr>
        <w:t>2</w:t>
      </w:r>
      <w:r w:rsidRPr="00A51466">
        <w:t>=0.77), regressions of stem isotope compositions split by provenance each show a stronger fit (respectively by provenance, R</w:t>
      </w:r>
      <w:r w:rsidRPr="00A51466">
        <w:rPr>
          <w:vertAlign w:val="superscript"/>
        </w:rPr>
        <w:t>2</w:t>
      </w:r>
      <w:r w:rsidRPr="00A51466">
        <w:t>= 0.90, 0.95, 0.96), and different slopes (respectively by provenance, 3.5, 10.4, 3.9; Fi</w:t>
      </w:r>
      <w:r w:rsidR="004D4372" w:rsidRPr="00A51466">
        <w:t>gure</w:t>
      </w:r>
      <w:r w:rsidRPr="00A51466">
        <w:t xml:space="preserve"> </w:t>
      </w:r>
      <w:r w:rsidR="004D4372" w:rsidRPr="00A51466">
        <w:t>10 in Appendix 4</w:t>
      </w:r>
      <w:r w:rsidRPr="00A51466">
        <w:t>). Despite this, lc-excess values of stem water do not significantly differ between provenances (</w:t>
      </w:r>
      <w:r w:rsidR="003114A7" w:rsidRPr="00A51466">
        <w:t>Figure</w:t>
      </w:r>
      <w:r w:rsidRPr="00A51466">
        <w:t xml:space="preserve"> 4c). As expected, the slope for leaf isotopic composition is lower than all others, as leaves experience substantial isotopic enrichment during evapotranspiration (</w:t>
      </w:r>
      <w:r w:rsidR="003114A7" w:rsidRPr="00A51466">
        <w:t>Figure</w:t>
      </w:r>
      <w:r w:rsidRPr="00A51466">
        <w:t xml:space="preserve"> 4a, Table 2). Values of lc-excess in leaves are significantly higher in Provenance 3 samples (</w:t>
      </w:r>
      <w:r w:rsidR="003114A7" w:rsidRPr="00A51466">
        <w:t>Figure</w:t>
      </w:r>
      <w:r w:rsidRPr="00A51466">
        <w:t xml:space="preserve"> 4d), supporting local adaptation patterns found in leaf traits (</w:t>
      </w:r>
      <w:r w:rsidR="003114A7" w:rsidRPr="00A51466">
        <w:t>Figure</w:t>
      </w:r>
      <w:r w:rsidRPr="00A51466">
        <w:t xml:space="preserve"> 2) as well as the relationship between AET and stomatal ratio (</w:t>
      </w:r>
      <w:r w:rsidR="003114A7" w:rsidRPr="00A51466">
        <w:t>Figure</w:t>
      </w:r>
      <w:r w:rsidRPr="00A51466">
        <w:t xml:space="preserve"> 5a). Stomatal ratio in the field is significantly </w:t>
      </w:r>
      <w:r w:rsidRPr="00A51466">
        <w:lastRenderedPageBreak/>
        <w:t>correlated with leaf lc-excess (R</w:t>
      </w:r>
      <w:r w:rsidRPr="00A51466">
        <w:rPr>
          <w:vertAlign w:val="superscript"/>
        </w:rPr>
        <w:t>2</w:t>
      </w:r>
      <w:r w:rsidRPr="00A51466">
        <w:t>=0.53, p=0.0076). Deuterium-excess (d-excess) values showed the same patterns as line conditioned excess values (lc-excess).</w:t>
      </w:r>
    </w:p>
    <w:p w14:paraId="612138F4" w14:textId="6747900B" w:rsidR="004D30B5" w:rsidRPr="00A51466" w:rsidRDefault="004D30B5" w:rsidP="00A51466">
      <w:pPr>
        <w:spacing w:line="360" w:lineRule="auto"/>
        <w:ind w:firstLine="720"/>
        <w:jc w:val="both"/>
      </w:pPr>
      <w:r w:rsidRPr="00A51466">
        <w:t xml:space="preserve">Our results suggest that </w:t>
      </w:r>
      <w:r w:rsidRPr="00A51466">
        <w:rPr>
          <w:i/>
          <w:iCs/>
        </w:rPr>
        <w:t>P. angustifolia</w:t>
      </w:r>
      <w:r w:rsidRPr="00A51466">
        <w:t xml:space="preserve"> populations may draw water from different water sources (stream, soil, or precipitation) and/or may have </w:t>
      </w:r>
      <w:r w:rsidR="004D4372" w:rsidRPr="00A51466">
        <w:t>locally adapted</w:t>
      </w:r>
      <w:r w:rsidRPr="00A51466">
        <w:t xml:space="preserve"> rooting structures as lower lc-excess values often correlate with shallower soil-water use (Sprenger </w:t>
      </w:r>
      <w:r w:rsidRPr="00A51466">
        <w:rPr>
          <w:i/>
          <w:iCs/>
        </w:rPr>
        <w:t>et al.</w:t>
      </w:r>
      <w:r w:rsidRPr="00A51466">
        <w:t xml:space="preserve"> 2016). Previous research on </w:t>
      </w:r>
      <w:r w:rsidRPr="00001A42">
        <w:rPr>
          <w:i/>
          <w:iCs/>
        </w:rPr>
        <w:t>Populus</w:t>
      </w:r>
      <w:r w:rsidRPr="00A51466">
        <w:t xml:space="preserve"> in Arizona shows that some trees can opportunistically use precipitation water when it is available but rely on groundwater or </w:t>
      </w:r>
      <w:r w:rsidR="00A51466" w:rsidRPr="00A51466">
        <w:t>stream water</w:t>
      </w:r>
      <w:r w:rsidRPr="00A51466">
        <w:t xml:space="preserve"> during dry periods (Snyder &amp; Williams 2000). We acknowledge that drawing comparative inferences from soil and plant stable isotope data across space is cautioned (Goldsmith </w:t>
      </w:r>
      <w:r w:rsidRPr="00A51466">
        <w:rPr>
          <w:i/>
          <w:iCs/>
        </w:rPr>
        <w:t>et al.</w:t>
      </w:r>
      <w:r w:rsidRPr="00A51466">
        <w:t xml:space="preserve"> 2019), as is assuming plant accession to specific water sources based on matching isotope compositions (Zhao </w:t>
      </w:r>
      <w:r w:rsidRPr="00A51466">
        <w:rPr>
          <w:i/>
          <w:iCs/>
        </w:rPr>
        <w:t>et al.</w:t>
      </w:r>
      <w:r w:rsidRPr="00A51466">
        <w:t xml:space="preserve"> 2016).</w:t>
      </w:r>
    </w:p>
    <w:p w14:paraId="5292C5B3" w14:textId="77777777" w:rsidR="004D30B5" w:rsidRPr="00A51466" w:rsidRDefault="004D30B5" w:rsidP="00A51466">
      <w:pPr>
        <w:pStyle w:val="Heading3"/>
        <w:spacing w:line="360" w:lineRule="auto"/>
        <w:jc w:val="both"/>
        <w:rPr>
          <w:szCs w:val="24"/>
        </w:rPr>
      </w:pPr>
      <w:r w:rsidRPr="00A51466">
        <w:rPr>
          <w:szCs w:val="24"/>
        </w:rPr>
        <w:t>Populations’ role in the water cycle varies on the landscape</w:t>
      </w:r>
    </w:p>
    <w:p w14:paraId="63B754CB" w14:textId="73A86C74" w:rsidR="004D30B5" w:rsidRPr="00A51466" w:rsidRDefault="004D30B5" w:rsidP="00A51466">
      <w:pPr>
        <w:spacing w:line="360" w:lineRule="auto"/>
        <w:jc w:val="both"/>
        <w:rPr>
          <w:bCs/>
        </w:rPr>
      </w:pPr>
      <w:r w:rsidRPr="00A51466">
        <w:t xml:space="preserve">The evaporative index (AET/P) represents the percentage of precipitation water recycled to the atmosphere </w:t>
      </w:r>
      <w:r w:rsidR="00A51466" w:rsidRPr="00A51466">
        <w:t>through</w:t>
      </w:r>
      <w:r w:rsidRPr="00A51466">
        <w:t xml:space="preserve"> plants. Stomatal ratio, in field and greenhouse plants, is related to the evaporative index (AET/P) such that stomatal ratios are lower (more stomates on the bottom of leaves) when a higher percentage of available water is cycled back to the atmosphere </w:t>
      </w:r>
      <w:proofErr w:type="gramStart"/>
      <w:r w:rsidRPr="00A51466">
        <w:t>in a given</w:t>
      </w:r>
      <w:proofErr w:type="gramEnd"/>
      <w:r w:rsidRPr="00A51466">
        <w:t xml:space="preserve"> location </w:t>
      </w:r>
      <w:r w:rsidRPr="00A51466">
        <w:rPr>
          <w:bCs/>
        </w:rPr>
        <w:t>(</w:t>
      </w:r>
      <w:r w:rsidR="003114A7" w:rsidRPr="00A51466">
        <w:rPr>
          <w:bCs/>
        </w:rPr>
        <w:t>Figure</w:t>
      </w:r>
      <w:r w:rsidRPr="00A51466">
        <w:rPr>
          <w:bCs/>
        </w:rPr>
        <w:t xml:space="preserve"> 5a). Though this relationship holds in both the field and the greenhouse, the relationship is ~11.5% stronger in the field possibly indicating a level of trait plasticity (solid black line; </w:t>
      </w:r>
      <w:r w:rsidR="003114A7" w:rsidRPr="00A51466">
        <w:rPr>
          <w:bCs/>
        </w:rPr>
        <w:t>Figure</w:t>
      </w:r>
      <w:r w:rsidRPr="00A51466">
        <w:rPr>
          <w:bCs/>
        </w:rPr>
        <w:t xml:space="preserve"> 5a). Despite a greater percentage of precipitation water being used by plants in provenance 1 (EI; </w:t>
      </w:r>
      <w:r w:rsidR="003114A7" w:rsidRPr="00A51466">
        <w:rPr>
          <w:bCs/>
        </w:rPr>
        <w:t>Figure</w:t>
      </w:r>
      <w:r w:rsidRPr="00A51466">
        <w:rPr>
          <w:bCs/>
        </w:rPr>
        <w:t xml:space="preserve"> 1b), the relationship between </w:t>
      </w:r>
      <w:proofErr w:type="gramStart"/>
      <w:r w:rsidRPr="00A51466">
        <w:rPr>
          <w:bCs/>
        </w:rPr>
        <w:t>AET:PET</w:t>
      </w:r>
      <w:proofErr w:type="gramEnd"/>
      <w:r w:rsidRPr="00A51466">
        <w:rPr>
          <w:bCs/>
        </w:rPr>
        <w:t xml:space="preserve"> (</w:t>
      </w:r>
      <w:r w:rsidR="003114A7" w:rsidRPr="00A51466">
        <w:rPr>
          <w:bCs/>
        </w:rPr>
        <w:t>Figure</w:t>
      </w:r>
      <w:r w:rsidRPr="00A51466">
        <w:rPr>
          <w:bCs/>
        </w:rPr>
        <w:t xml:space="preserve"> 5c) shows that Provenance 1 is furthest from meeting atmospheric demand for water. Further, with the </w:t>
      </w:r>
      <w:proofErr w:type="spellStart"/>
      <w:r w:rsidRPr="00A51466">
        <w:rPr>
          <w:bCs/>
        </w:rPr>
        <w:t>Budyko</w:t>
      </w:r>
      <w:proofErr w:type="spellEnd"/>
      <w:r w:rsidRPr="00A51466">
        <w:rPr>
          <w:bCs/>
        </w:rPr>
        <w:t xml:space="preserve"> model assumption that all water falling as precipitation is divided into AET or Q (streamflow), we predicted the fraction of water that should be available as streamflow across the landscapes where the three populations exist and compared that to actual streamflow data derived from the National Hydrology Dataset (NHDPlusV2; McKay </w:t>
      </w:r>
      <w:r w:rsidRPr="00A51466">
        <w:rPr>
          <w:bCs/>
          <w:i/>
          <w:iCs/>
        </w:rPr>
        <w:t>et al.</w:t>
      </w:r>
      <w:r w:rsidRPr="00A51466">
        <w:rPr>
          <w:bCs/>
        </w:rPr>
        <w:t xml:space="preserve"> 2012). Predicted Q/P</w:t>
      </w:r>
      <w:r w:rsidRPr="00A51466">
        <w:rPr>
          <w:bCs/>
          <w:i/>
          <w:iCs/>
        </w:rPr>
        <w:t xml:space="preserve"> </w:t>
      </w:r>
      <w:r w:rsidRPr="00A51466">
        <w:rPr>
          <w:bCs/>
        </w:rPr>
        <w:t>minus Actual Q/P (</w:t>
      </w:r>
      <w:r w:rsidR="003114A7" w:rsidRPr="00A51466">
        <w:rPr>
          <w:bCs/>
        </w:rPr>
        <w:t>Figure</w:t>
      </w:r>
      <w:r w:rsidRPr="00A51466">
        <w:rPr>
          <w:bCs/>
        </w:rPr>
        <w:t xml:space="preserve"> 1.5d) shows that Provenance 1, and 2 (on average), hold less water in Q than </w:t>
      </w:r>
      <w:proofErr w:type="gramStart"/>
      <w:r w:rsidRPr="00A51466">
        <w:rPr>
          <w:bCs/>
        </w:rPr>
        <w:t>actually predicted</w:t>
      </w:r>
      <w:proofErr w:type="gramEnd"/>
      <w:r w:rsidRPr="00A51466">
        <w:rPr>
          <w:bCs/>
        </w:rPr>
        <w:t xml:space="preserve"> to be in that pool (positive values), whereas Provenance 3 has more water held in Q than predicted (negative values). Positive values indicate that water is “lost” or </w:t>
      </w:r>
      <w:r w:rsidRPr="00A51466">
        <w:rPr>
          <w:bCs/>
        </w:rPr>
        <w:lastRenderedPageBreak/>
        <w:t xml:space="preserve">held in another pool that is not captured by this model (e.g., in plant biomass) while negative values indicate that water is supplied to the system by means other than precipitation (e.g., snowmelt). </w:t>
      </w:r>
    </w:p>
    <w:p w14:paraId="0B3CD7C0" w14:textId="77777777" w:rsidR="004D30B5" w:rsidRPr="00A51466" w:rsidRDefault="004D30B5" w:rsidP="00A51466">
      <w:pPr>
        <w:pStyle w:val="Heading2"/>
        <w:spacing w:line="360" w:lineRule="auto"/>
        <w:rPr>
          <w:sz w:val="24"/>
          <w:szCs w:val="24"/>
        </w:rPr>
      </w:pPr>
      <w:bookmarkStart w:id="14" w:name="_Toc83051509"/>
      <w:bookmarkStart w:id="15" w:name="_Toc88056477"/>
      <w:r w:rsidRPr="00A51466">
        <w:rPr>
          <w:sz w:val="24"/>
          <w:szCs w:val="24"/>
        </w:rPr>
        <w:t>Discussion</w:t>
      </w:r>
      <w:bookmarkEnd w:id="14"/>
      <w:bookmarkEnd w:id="15"/>
    </w:p>
    <w:p w14:paraId="382D98B9" w14:textId="06CE20A2" w:rsidR="004D30B5" w:rsidRPr="00A51466" w:rsidRDefault="004D30B5" w:rsidP="00A51466">
      <w:pPr>
        <w:pStyle w:val="Heading3"/>
        <w:spacing w:line="360" w:lineRule="auto"/>
        <w:jc w:val="both"/>
        <w:rPr>
          <w:szCs w:val="24"/>
        </w:rPr>
      </w:pPr>
      <w:r w:rsidRPr="00A51466">
        <w:rPr>
          <w:szCs w:val="24"/>
        </w:rPr>
        <w:t xml:space="preserve">Interacting </w:t>
      </w:r>
      <w:r w:rsidR="003221FB" w:rsidRPr="00A51466">
        <w:rPr>
          <w:szCs w:val="24"/>
        </w:rPr>
        <w:t>g</w:t>
      </w:r>
      <w:r w:rsidRPr="00A51466">
        <w:rPr>
          <w:szCs w:val="24"/>
        </w:rPr>
        <w:t xml:space="preserve">lobal </w:t>
      </w:r>
      <w:r w:rsidR="003221FB" w:rsidRPr="00A51466">
        <w:rPr>
          <w:szCs w:val="24"/>
        </w:rPr>
        <w:t>c</w:t>
      </w:r>
      <w:r w:rsidRPr="00A51466">
        <w:rPr>
          <w:szCs w:val="24"/>
        </w:rPr>
        <w:t xml:space="preserve">hange </w:t>
      </w:r>
      <w:r w:rsidR="003221FB" w:rsidRPr="00A51466">
        <w:rPr>
          <w:szCs w:val="24"/>
        </w:rPr>
        <w:t>g</w:t>
      </w:r>
      <w:r w:rsidRPr="00A51466">
        <w:rPr>
          <w:szCs w:val="24"/>
        </w:rPr>
        <w:t>radients</w:t>
      </w:r>
    </w:p>
    <w:p w14:paraId="4848BEFB" w14:textId="01B5FD31" w:rsidR="004D30B5" w:rsidRPr="00A51466" w:rsidRDefault="004D30B5" w:rsidP="00A51466">
      <w:pPr>
        <w:spacing w:line="360" w:lineRule="auto"/>
        <w:jc w:val="both"/>
        <w:rPr>
          <w:color w:val="000000" w:themeColor="text1"/>
        </w:rPr>
      </w:pPr>
      <w:r w:rsidRPr="00A51466">
        <w:rPr>
          <w:color w:val="000000" w:themeColor="text1"/>
        </w:rPr>
        <w:t>Atmospheric hydrologic model parameters that capture variation in water-energy interactions across landscapes do a 30% better job of explaining patterns of plant biomass than temperature and precipitation in statistical models (Fig</w:t>
      </w:r>
      <w:r w:rsidR="004D4372" w:rsidRPr="00A51466">
        <w:rPr>
          <w:color w:val="000000" w:themeColor="text1"/>
        </w:rPr>
        <w:t>ure</w:t>
      </w:r>
      <w:r w:rsidRPr="00A51466">
        <w:rPr>
          <w:color w:val="000000" w:themeColor="text1"/>
        </w:rPr>
        <w:t xml:space="preserve"> </w:t>
      </w:r>
      <w:r w:rsidR="004D4372" w:rsidRPr="00A51466">
        <w:rPr>
          <w:color w:val="000000" w:themeColor="text1"/>
        </w:rPr>
        <w:t>11 in Appendix 4</w:t>
      </w:r>
      <w:r w:rsidRPr="00A51466">
        <w:rPr>
          <w:color w:val="000000" w:themeColor="text1"/>
        </w:rPr>
        <w:t>),</w:t>
      </w:r>
      <w:r w:rsidRPr="00A51466">
        <w:t xml:space="preserve"> consistent with predictions that, though derived from temperature, PET should select more strongly than temperature on water-use traits and plant biomass </w:t>
      </w:r>
      <w:r w:rsidRPr="00A51466">
        <w:fldChar w:fldCharType="begin" w:fldLock="1"/>
      </w:r>
      <w:r w:rsidRPr="00A51466">
        <w:instrText>ADDIN CSL_CITATION {"citationItems":[{"id":"ITEM-1","itemData":{"abstract":"18 Climate change has the potential to affect the ecology and evolution of every species on Earth. Although the ecological consequences of climate change are increasingly well documented, the effects of climate on the key evolutionary process driving adaptation— natural selection—are largely unknown. We report that aspects of precipitation and potential evapotranspiration, along with the North Atlantic Oscillation, predicted variation in selection across plant and animal populations throughout many terrestrial biomes, whereas temperature explained little variation. By showing that selection was influenced by climate variation, our results indicate that climate change may cause widespread alterations in selection regimes, potentially shifting evolutionary trajectories at a global scale. C limate affects organisms in ways that ulti-mately shape patterns of biodiversity (1). Consequently, the rapid changes in Earth's recent climate impose challenges for many organisms, often reducing population fit-ness (2–4). Although some species may migrate and undergo range shifts to avoid climate-induced declines and potential extinction (5), an alter-native outcome is adaptive evolution in response to selection imposed by climate (6). However, we lack a general understanding of whether local and global climatic factors such as temperature, precipitation, and water availability influence selection (2, 7). Understanding these effects is critical for predicting the consequences of in-creasing droughts, heat waves, and extreme pre-cipitation events that are expected in many regions (8, 9). To quantify how climate variation influences selec-tion, we assembled a large database of standardized directional selection gradients and differentials from spatially [mean = 4.6 ± 5.4 (SD) populations, range = 2 to 59 populations] and temporally [mean = 5.2 ± 6.8 (SD) years, range = 2 to 45 years] replicated se-lection studies (N = 168) in plant and animal popu-lations (Table 1 and database S1). We focused on directional selection that can generate increases or decreases in trait values because it is well char-acterized and is likely to drive rapid evolution (10) in response to variation in climatic factors. How-ever, selection acting on trait combinations and trait variance may also be affected by climate (7). Selection gradients estimate the strength and direction of selection acting directly on a trait, whereas differentials estimate \" total selection \" on a trait via both direct …","author":[{"dropping-particle":"","family":"Siepielski","given":"Adam M","non-dropping-particle":"","parse-names":false,"suffix":""},{"dropping-particle":"","family":"Morrissey","given":"Michael B","non-dropping-particle":"","parse-names":false,"suffix":""},{"dropping-particle":"","family":"Buoro","given":"Mathieu","non-dropping-particle":"","parse-names":false,"suffix":""},{"dropping-particle":"","family":"Carlson","given":"Stephanie M","non-dropping-particle":"","parse-names":false,"suffix":""},{"dropping-particle":"","family":"Caruso","given":"Christina M","non-dropping-particle":"","parse-names":false,"suffix":""},{"dropping-particle":"","family":"Clegg","given":"Sonya M","non-dropping-particle":"","parse-names":false,"suffix":""},{"dropping-particle":"","family":"Coulson","given":"Tim","non-dropping-particle":"","parse-names":false,"suffix":""},{"dropping-particle":"","family":"Dibattista","given":"Joseph","non-dropping-particle":"","parse-names":false,"suffix":""},{"dropping-particle":"","family":"Gotanda","given":"Kiyoko M","non-dropping-particle":"","parse-names":false,"suffix":""},{"dropping-particle":"","family":"Francis","given":"Clinton D","non-dropping-particle":"","parse-names":false,"suffix":""},{"dropping-particle":"","family":"Hereford","given":"Joe","non-dropping-particle":"","parse-names":false,"suffix":""},{"dropping-particle":"","family":"Kingsolver","given":"Joel G","non-dropping-particle":"","parse-names":false,"suffix":""},{"dropping-particle":"","family":"Augustine","given":"Kate E","non-dropping-particle":"","parse-names":false,"suffix":""},{"dropping-particle":"","family":"Kruuk","given":"Loeske E B","non-dropping-particle":"","parse-names":false,"suffix":""},{"dropping-particle":"","family":"Martin","given":"Ryan A","non-dropping-particle":"","parse-names":false,"suffix":""},{"dropping-particle":"","family":"Sheldon","given":"Ben C","non-dropping-particle":"","parse-names":false,"suffix":""},{"dropping-particle":"","family":"Sletvold","given":"Nina","non-dropping-particle":"","parse-names":false,"suffix":""}],"container-title":"Science","id":"ITEM-1","issued":{"date-parts":[["2017"]]},"page":"959-962","title":"Precipitation drives global variation in natural selection","type":"article-journal","volume":"355"},"uris":["http://www.mendeley.com/documents/?uuid=39bd0d16-2ad4-3f09-9441-e8d727d21fe4"]}],"mendeley":{"formattedCitation":"(Siepielski &lt;i&gt;et al.&lt;/i&gt;, 2017)","plainTextFormattedCitation":"(Siepielski et al., 2017)","previouslyFormattedCitation":"(Siepielski &lt;i&gt;et al.&lt;/i&gt;, 2017)"},"properties":{"noteIndex":0},"schema":"https://github.com/citation-style-language/schema/raw/master/csl-citation.json"}</w:instrText>
      </w:r>
      <w:r w:rsidRPr="00A51466">
        <w:fldChar w:fldCharType="separate"/>
      </w:r>
      <w:r w:rsidRPr="00A51466">
        <w:rPr>
          <w:noProof/>
        </w:rPr>
        <w:t xml:space="preserve">(Wright </w:t>
      </w:r>
      <w:r w:rsidRPr="00A51466">
        <w:rPr>
          <w:i/>
          <w:iCs/>
          <w:noProof/>
        </w:rPr>
        <w:t>et al.</w:t>
      </w:r>
      <w:r w:rsidRPr="00A51466">
        <w:rPr>
          <w:noProof/>
        </w:rPr>
        <w:t xml:space="preserve"> 2004; Siepielski </w:t>
      </w:r>
      <w:r w:rsidRPr="00A51466">
        <w:rPr>
          <w:i/>
          <w:noProof/>
        </w:rPr>
        <w:t>et al.</w:t>
      </w:r>
      <w:r w:rsidRPr="00A51466">
        <w:rPr>
          <w:noProof/>
        </w:rPr>
        <w:t xml:space="preserve"> 2017)</w:t>
      </w:r>
      <w:r w:rsidRPr="00A51466">
        <w:fldChar w:fldCharType="end"/>
      </w:r>
      <w:r w:rsidRPr="00A51466">
        <w:t>.</w:t>
      </w:r>
      <w:r w:rsidRPr="00A51466">
        <w:rPr>
          <w:color w:val="000000" w:themeColor="text1"/>
        </w:rPr>
        <w:t xml:space="preserve"> </w:t>
      </w:r>
      <w:r w:rsidRPr="00A51466">
        <w:t>While</w:t>
      </w:r>
      <w:r w:rsidRPr="00A51466">
        <w:rPr>
          <w:color w:val="000000" w:themeColor="text1"/>
        </w:rPr>
        <w:t xml:space="preserve"> impossible to simultaneously consider all interacting gradients across a landscape, these </w:t>
      </w:r>
      <w:r w:rsidRPr="00A51466">
        <w:t xml:space="preserve">hydrologic variables do capture nuances in climatic interactions that independent gradients of temperature and precipitation do not: For example, </w:t>
      </w:r>
      <w:r w:rsidRPr="00A51466">
        <w:rPr>
          <w:color w:val="000000" w:themeColor="text1"/>
        </w:rPr>
        <w:t xml:space="preserve">physical water-energy interactions on the landscape vary across factors such as soil type, vegetation type and cover, and other biotic factors that </w:t>
      </w:r>
      <w:r w:rsidRPr="00A51466">
        <w:t xml:space="preserve">the metrics in this study inherently </w:t>
      </w:r>
      <w:r w:rsidRPr="00A51466">
        <w:rPr>
          <w:color w:val="000000" w:themeColor="text1"/>
        </w:rPr>
        <w:t xml:space="preserve">capture </w:t>
      </w:r>
      <w:r w:rsidRPr="00A51466">
        <w:rPr>
          <w:color w:val="000000" w:themeColor="text1"/>
        </w:rPr>
        <w:fldChar w:fldCharType="begin" w:fldLock="1"/>
      </w:r>
      <w:r w:rsidRPr="00A51466">
        <w:rPr>
          <w:color w:val="000000" w:themeColor="text1"/>
        </w:rPr>
        <w:instrText>ADDIN CSL_CITATION {"citationItems":[{"id":"ITEM-1","itemData":{"DOI":"10.1029/2000WR900325","abstract":"It is now well established that forested catchments have higher evapotranspiration than grassed catchments. Thus land use management and rehabilitation strategies will have an impact on catchment water balance and hence water yield and groundwater recharge. The key controls on evapotranspiration are rainfall interception, net radiation, advection, turbulent transport, leaf area, and plant-available water capacity. The relative importance of these factors depends on climate, soil, and vegetation conditions. Results from over 250 catchments worldwide show that for a given forest cover, there is a good relationship between long-term average evapotranspiration and rainfall. From these observations and on the basis of previous theoretical work a simple two-parameter model was developed that relates mean annual evapotranspiration to rainfall, potential evapotranspiration, and plant-available water capacity. The mean absolute error between modeled and measured evapotranspiration was 42 mm or 6.0%; the least squares line through the origin had a slope of 1.00 and a correlation coefficient of 0.96. The model showed potential for a variety of applications including water yield modeling and recharge estimation. The model is a practical tool that can be readily used for assessing the long-term average effect of vegetation changes on catchment evapotranspiration and is scientifically justifiable. 1. Introduction The massive land use change in Australia associated with agricultural development has caused an imbalance in catch-ment hydrological regime, leading to increased land and water salinization over large areas. It is estimated that each year the total cost of salinization to the nation is about $270 million including cost of lost production, damaged infrastructure, and degraded environmental assets (Prime Minister's Science, En-gineering and Innovation Council, Dryland salinity and its im-pact on rural industries and the landscape, Canberra, ACT, Australia, 1999, available at http://www.dist.gov.au/science/ pmseic/2ndmeeting.html). A number of land rehabilitation programs have been established by the commonwealth and state governments to control the degradation. According to Forest Plantations 2020 Vision, a major initiative of the com-monwealth and state governments, the area of tree plantations by the year 2020 will treble [Department of Primary Industries and Energy, 1997], with part of this increase justified by envi-ronmental benefits. If the 2020 Vision i…","author":[{"dropping-particle":"","family":"Zhang","given":"L","non-dropping-particle":"","parse-names":false,"suffix":""},{"dropping-particle":"","family":"Dawes","given":"W R","non-dropping-particle":"","parse-names":false,"suffix":""},{"dropping-particle":"","family":"Walker","given":"G R","non-dropping-particle":"","parse-names":false,"suffix":""}],"container-title":"WATER RESOURCES RESEARCH","id":"ITEM-1","issue":"3","issued":{"date-parts":[["2001"]]},"page":"701-708","title":"Response of mean annual evapotranspiration to vegetation changes at catchment scale","type":"article-journal","volume":"37"},"uris":["http://www.mendeley.com/documents/?uuid=95c83ae9-a4bb-330e-9b70-3b06e8e972de"]},{"id":"ITEM-2","itemData":{"DOI":"Doi 10.1890/03-9000","ISBN":"0012-9658","ISSN":"00129658","PMID":"21915553","abstract":"Metabolism provides a basis for using first principles of physics, chemistry, and biology to link the biology of individual organisms to the ecology of populations, communities, And ecosystems. Metabolic rate, the rate at which organisms take up, transform, and expend energy and materials, is the most fundamental biological rate. We have developed a quantitative theory for how metabolic rate varies with body size and temperature. Metabolic theory predicts how metabolic rate, by setting the rates of resource uptake from the environment and resource allocation to survival, growth, and reproduction, controls ecological processes at all levels of organization from individuals to the biosphere. Examples include: (1) life history attributes, including development rate, mortality rate, age at maturity, life span, and population growth rate; (2) population interactions, including carrying capacity, rates of competition and predation, and patterns of species diversity; and (3) ecosystem processes, including rates of biomass production and respiration and patterns of trophic dynamics. Data compiled from the ecological literature strongly support the theoretical predictions. Eventually, metabolic theory may provide a conceptual foundation for much of ecology, just as genetic theory provides a foundation for much of evolutionary biology.","author":[{"dropping-particle":"","family":"Brown","given":"J H","non-dropping-particle":"","parse-names":false,"suffix":""},{"dropping-particle":"","family":"Gillooly","given":"J F","non-dropping-particle":"","parse-names":false,"suffix":""},{"dropping-particle":"","family":"Allen","given":"A P","non-dropping-particle":"","parse-names":false,"suffix":""},{"dropping-particle":"","family":"Savage","given":"V M","non-dropping-particle":"","parse-names":false,"suffix":""},{"dropping-particle":"","family":"West","given":"G B","non-dropping-particle":"","parse-names":false,"suffix":""}],"container-title":"Ecology","id":"ITEM-2","issued":{"date-parts":[["2004"]]},"title":"Toward a metabolic theory of ecology","type":"article-journal"},"uris":["http://www.mendeley.com/documents/?uuid=1bfb4ec2-015d-354a-b1c3-588565d504e9"]},{"id":"ITEM-3","itemData":{"DOI":"10.5194/hess-17-2209-2013","ISBN":"1607-7938","ISSN":"10275606","abstract":"Budyko (1974) postulated that long-term catchment water balance is controlled to first order by the available water and energy. This leads to the interesting question of how do landscape characteristics (soils, geology, vegetation) and climate properties (precipitation, potential evaporation, number of wet and dry days) interact at the catchment scale to produce such a simple and predictable outcome of hydrological partitioning? Here we use a physically-based hydrologic model separately parameterized in 12 US catchments across a climate gradient to decouple the impact of climate and landscape properties to gain insight into the role of climate-vegetation-soil interactions in long-term hydrologic partitioning. The 12 catchment models (with different paramterizations) are subjected to the 12 different climate forcings, resulting in 144 10 yr model simulations. The results are analyzed per catchment (one catchment model subjected to 12 climates) and per climate (one climate filtered by 12 different model parameterization), and compared to water balance predictions based on Budyko's hypothesis (E/P = ϕ (Ep/P); E: evaporation, P: precipitation, Ep: potential evaporation). We find significant anti-correlation between average deviations of the evaporation index (E/P) computed per catchment vs. per climate, compared to that predicted by Budyko. Catchments that on average produce more E/P have developed in climates that on average produce less E/P, when compared to Budyko's prediction. Water and energy seasonality could not explain these observations, confirming previous results reported by Potter et al. (2005). Next, we analyze which model (i.e., landscape filter) characteristics explain the catchment's tendency to produce more or less E/P. We find that the time scale that controls subsurface storage release explains the observed trend. This time scale combines several geomorphologic and hydraulic soil properties. Catchments with relatively longer subsurface storage release time scales produce significantly more E/P. Vegetation in these catchments have longer access to this additional groundwater source and thus are less prone to water stress. Further analysis reveals that climates that give rise to more (less) E/P are associated with catchments that have vegetation with less (more) efficient water use parameters. In particular, the climates with tendency to produce more E/P have catchments that have lower % root fraction and less light use efficiency. Our resu…","author":[{"dropping-particle":"","family":"Troch","given":"P. A.","non-dropping-particle":"","parse-names":false,"suffix":""},{"dropping-particle":"","family":"Carrillo","given":"G.","non-dropping-particle":"","parse-names":false,"suffix":""},{"dropping-particle":"","family":"Sivapalan","given":"M.","non-dropping-particle":"","parse-names":false,"suffix":""},{"dropping-particle":"","family":"Wagener","given":"T.","non-dropping-particle":"","parse-names":false,"suffix":""},{"dropping-particle":"","family":"Sawicz","given":"K.","non-dropping-particle":"","parse-names":false,"suffix":""}],"container-title":"Hydrology and Earth System Sciences","id":"ITEM-3","issued":{"date-parts":[["2013"]]},"title":"Climate-vegetation-soil interactions and long-term hydrologic partitioning: Signatures of catchment co-evolution","type":"article-journal"},"uris":["http://www.mendeley.com/documents/?uuid=7fe56288-fea7-36ae-9ba7-de37cc5cdbb8"]},{"id":"ITEM-4","itemData":{"DOI":"10.5194/hessd-11-12103-2014","abstract":"&lt;p&gt;&lt;strong&gt;Abstract.&lt;/strong&gt; The process of evapotranspiration (ET) plays a critical role in the earth system, driving key land-surface processes in the energy, water and carbon cycles. Land-cover (LC) exerts multiple controls on ET, yet the global distribution of ET by LC and the related physical variables are poorly understood. The lack of quantitative understanding of global ET variation with LC begets considerable uncertainties regarding how ET and key land-surface processes will change alongside ongoing anthropogenic LC transformations. &lt;br&gt;&lt;br&gt; Here we apply statistical analysis and models to a new global ET database to advance our understanding of how annual actual ET varies with LC type. We derive global fields for each LC using linear mixed effect models (LMMs) that use geographical and meteorological variables as possible independent regression variables. &lt;br&gt;&lt;br&gt; Our inventory of ET observations reveals important gaps in spatial coverage that overlie hotpots of global change. There is a spatial bias of observations towards the mid latitudes, and LCs with large areas in the high latitudes (lakes, wetlands and barren land) are poorly represented. From the distribution of points as well as the uncertainty analysis completed by bootstrapping we identify high priority regions in need of more data collection. &lt;br&gt;&lt;br&gt; Our analysis of the new database provides new insights into how ET varies globally, providing more robust estimates of global ET rates for a broad range of LC types. Results reveal that different LC types have distinct global patterns of ET. Furthermore, zonal ET means among LCs reveal new patterns: ET rates in low latitudinal bands are more sensitive to LC change than in higher latitude bands; LCs with a higher evaporation component show higher variability of ET at the global scale; and LCs with dispersed rather than contiguous global locations have a higher variability of ET at the global scale. &lt;br&gt;&lt;br&gt; Results from this study indicate two major advancements are required to improve our ability to predict how ET will vary with global change. First, further collection of ground truth observations of ET is needed to fill gaps in LC types and spatial location identified in this paper. Second, LC types need to be de-aggregated into finer categories to better characterize ET, to reduce uncertainty and weakened strength to predictor variables, associated by aggregation of heterogeneous LC types into one group; this will require the devel…","author":[{"dropping-particle":"","family":"Ambrose","given":"S. M.","non-dropping-particle":"","parse-names":false,"suffix":""},{"dropping-particle":"","family":"Sterling","given":"S. M.","non-dropping-particle":"","parse-names":false,"suffix":""}],"container-title":"Hydrology and Earth System Sciences Discussions","id":"ITEM-4","issued":{"date-parts":[["2014"]]},"title":"Global patterns of annual actual evapotranspiration with land-cover type: knowledge gained from a new observation-based database","type":"article-journal"},"uris":["http://www.mendeley.com/documents/?uuid=2056e959-984d-4604-916f-78bc4c698fdf"]}],"mendeley":{"formattedCitation":"(Zhang &lt;i&gt;et al.&lt;/i&gt;, 2001; Brown &lt;i&gt;et al.&lt;/i&gt;, 2004; Troch &lt;i&gt;et al.&lt;/i&gt;, 2013; Ambrose &amp; Sterling, 2014)","plainTextFormattedCitation":"(Zhang et al., 2001; Brown et al., 2004; Troch et al., 2013; Ambrose &amp; Sterling, 2014)","previouslyFormattedCitation":"(Zhang &lt;i&gt;et al.&lt;/i&gt;, 2001; Brown &lt;i&gt;et al.&lt;/i&gt;, 2004; Troch &lt;i&gt;et al.&lt;/i&gt;, 2013; Ambrose &amp; Sterling, 2014)"},"properties":{"noteIndex":0},"schema":"https://github.com/citation-style-language/schema/raw/master/csl-citation.json"}</w:instrText>
      </w:r>
      <w:r w:rsidRPr="00A51466">
        <w:rPr>
          <w:color w:val="000000" w:themeColor="text1"/>
        </w:rPr>
        <w:fldChar w:fldCharType="separate"/>
      </w:r>
      <w:r w:rsidRPr="00A51466">
        <w:rPr>
          <w:noProof/>
          <w:color w:val="000000" w:themeColor="text1"/>
        </w:rPr>
        <w:t xml:space="preserve">(Zhang </w:t>
      </w:r>
      <w:r w:rsidRPr="00A51466">
        <w:rPr>
          <w:i/>
          <w:noProof/>
          <w:color w:val="000000" w:themeColor="text1"/>
        </w:rPr>
        <w:t>et al.</w:t>
      </w:r>
      <w:r w:rsidRPr="00A51466">
        <w:rPr>
          <w:noProof/>
          <w:color w:val="000000" w:themeColor="text1"/>
        </w:rPr>
        <w:t xml:space="preserve"> 2001; Brown </w:t>
      </w:r>
      <w:r w:rsidRPr="00A51466">
        <w:rPr>
          <w:i/>
          <w:noProof/>
          <w:color w:val="000000" w:themeColor="text1"/>
        </w:rPr>
        <w:t>et al.</w:t>
      </w:r>
      <w:r w:rsidRPr="00A51466">
        <w:rPr>
          <w:noProof/>
          <w:color w:val="000000" w:themeColor="text1"/>
        </w:rPr>
        <w:t xml:space="preserve"> 2004; Troch </w:t>
      </w:r>
      <w:r w:rsidRPr="00A51466">
        <w:rPr>
          <w:i/>
          <w:noProof/>
          <w:color w:val="000000" w:themeColor="text1"/>
        </w:rPr>
        <w:t>et al.</w:t>
      </w:r>
      <w:r w:rsidRPr="00A51466">
        <w:rPr>
          <w:noProof/>
          <w:color w:val="000000" w:themeColor="text1"/>
        </w:rPr>
        <w:t xml:space="preserve"> 2013; Ambrose &amp; Sterling 2014)</w:t>
      </w:r>
      <w:r w:rsidRPr="00A51466">
        <w:rPr>
          <w:color w:val="000000" w:themeColor="text1"/>
        </w:rPr>
        <w:fldChar w:fldCharType="end"/>
      </w:r>
      <w:r w:rsidRPr="00A51466">
        <w:rPr>
          <w:color w:val="000000" w:themeColor="text1"/>
        </w:rPr>
        <w:t>.</w:t>
      </w:r>
      <w:r w:rsidRPr="00A51466">
        <w:t xml:space="preserve"> Temperature and water on the landscape are fundamental regulators of plant growth, survival, and reproduction </w:t>
      </w:r>
      <w:r w:rsidRPr="00A51466">
        <w:fldChar w:fldCharType="begin" w:fldLock="1"/>
      </w:r>
      <w:r w:rsidRPr="00A51466">
        <w:instrText>ADDIN CSL_CITATION {"citationItems":[{"id":"ITEM-1","itemData":{"DOI":"10.1016/S0304-3800(00)00354-9","ISSN":"03043800","abstract":"With the rise of new powerful statistical techniques and GIS tools, the development of predictive habitat distribution models has rapidly increased in ecology. Such models are static and probabilistic in nature, since they statistically relate the geographical distribution of species or communities to their present environment. A wide array of models has been developed to cover aspects as diverse as biogeography, conservation biology, climate change research, and habitat or species management. In this paper, we present a review of predictive habitat distribution modeling. The variety of statistical techniques used is growing. Ordinary multiple regression and its generalized form (GLM) are very popular and are often used for modeling species distributions. Other methods include neural networks, ordination and classification methods, Bayesian models, locally weighted approaches (e.g. GAM), environmental envelopes or even combinations of these models. The selection of an appropriate method should not depend solely on statistical considerations. Some models are better suited to reflect theoretical findings on the shape and nature of the species' response (or realized niche). Conceptual considerations include e.g. the trade-off between optimizing accuracy versus optimizing generality. In the field of static distribution modeling, the latter is mostly related to selecting appropriate predictor variables and to designing an appropriate procedure for model selection. New methods, including threshold-independent measures (e.g. receiver operating characteristic (ROC)-plots) and resampling techniques (e.g. bootstrap, cross-validation) have been introduced in ecology for testing the accuracy of predictive models. The choice of an evaluation measure should be driven primarily by the goals of the study. This may possibly lead to the attribution of different weights to the various types of prediction errors (e.g. omission, commission or confusion). Testing the model in a wider range of situations (in space and time) will permit one to define the range of applications for which the model predictions are suitable. In turn, the qualification of the model depends primarily on the goals of the study that define the qualification criteria and on the usability of the model, rather than on statistics alone. © 2000 Elsevier Science B.V.","author":[{"dropping-particle":"","family":"Guisan","given":"Antoine","non-dropping-particle":"","parse-names":false,"suffix":""},{"dropping-particle":"","family":"Zimmermann","given":"Niklaus E.","non-dropping-particle":"","parse-names":false,"suffix":""}],"container-title":"Ecological Modelling","id":"ITEM-1","issued":{"date-parts":[["2000"]]},"title":"Predictive habitat distribution models in ecology","type":"article-journal"},"uris":["http://www.mendeley.com/documents/?uuid=eaa77903-1752-47b3-8181-d9975e80a15a"]}],"mendeley":{"formattedCitation":"(Guisan &amp; Zimmermann, 2000)","plainTextFormattedCitation":"(Guisan &amp; Zimmermann, 2000)","previouslyFormattedCitation":"(Guisan &amp; Zimmermann, 2000)"},"properties":{"noteIndex":0},"schema":"https://github.com/citation-style-language/schema/raw/master/csl-citation.json"}</w:instrText>
      </w:r>
      <w:r w:rsidRPr="00A51466">
        <w:fldChar w:fldCharType="separate"/>
      </w:r>
      <w:r w:rsidRPr="00A51466">
        <w:rPr>
          <w:noProof/>
        </w:rPr>
        <w:t>(Guisan &amp; Zimmermann 2000)</w:t>
      </w:r>
      <w:r w:rsidRPr="00A51466">
        <w:fldChar w:fldCharType="end"/>
      </w:r>
      <w:r w:rsidRPr="00A51466">
        <w:t xml:space="preserve"> and thus are critical to the functioning and persistence of ecosystems. A 2016 review of plant distribution models revealed that temperature and water-related variables appear in 88.5% of models, but that water-related variables that </w:t>
      </w:r>
      <w:r w:rsidRPr="00A51466">
        <w:rPr>
          <w:i/>
          <w:iCs/>
        </w:rPr>
        <w:t>depend</w:t>
      </w:r>
      <w:r w:rsidRPr="00A51466">
        <w:t xml:space="preserve"> on temperature (e.g., evapotranspiration, moisture deficit) appeared in less than 20% of the models </w:t>
      </w:r>
      <w:r w:rsidRPr="00A51466">
        <w:fldChar w:fldCharType="begin" w:fldLock="1"/>
      </w:r>
      <w:r w:rsidRPr="00A51466">
        <w:instrText>ADDIN CSL_CITATION {"citationItems":[{"id":"ITEM-1","itemData":{"DOI":"10.1111/jvs.12444","ISBN":"1654-1103","ISSN":"16541103","abstract":"Aims: The choice of environmental predictor variables in correlative models of plant species distributions (hereafter SDMs) is crucial to ensure predictive accuracy and model realism, as highlighted in multiple earlier studies. Because variable selection is directly related to a model's capacity to capture important species' environmental requirements, one would expect an explicit prior consideration of all ecophysiologically meaningful variables. For plants, these include temperature, water, soil nutrients, light, and in some cases, disturbances and biotic interactions. However, the set of predictors used in published correlative plant SDM studies varies considerably. No comprehensive review exists of what environmental predictors are meaningful, available (or missing) and used in practice to predict plant distributions. Contributing to answer these questions is the aim of this review. Methods: We carried out an extensive, systematic review of recently published plant SDM studies (years 2010–2015; n = 200) to determine the predictors used (and not used) in the models. We additionally conducted an indepth review of SDM studies in selected journals to identify temporal trends in the use of predictors (years 2000–2015; n = 40). Results: A large majority of plant SDM studies neglected several ecophysiologically meaningful environmental variables, and the number of relevant predictors used in models has stagnated or even declined over the last 15 yr. Conclusions: Neglecting ecophysiologically meaningful predictors can result in incomplete niche quantification and can thus limit the predictive power of plant SDMs. Some of these missing predictors are already available spatially or may soon become available (e.g. soil moisture). However, others are not yet easily obtainable across whole study extents (e.g. soil pH and nutrients), and their development should receive increased attention. We conclude that more effort should be made to build ecologically more sound plant SDMs. This requires a more thorough rationale for the choice of environmental predictors needed to meet the study goal, and the development of missing ones. The latter calls for increased collaborative effort between ecological and geoenvironmental sciences.","author":[{"dropping-particle":"","family":"Mod","given":"Heidi K.","non-dropping-particle":"","parse-names":false,"suffix":""},{"dropping-particle":"","family":"Scherrer","given":"Daniel","non-dropping-particle":"","parse-names":false,"suffix":""},{"dropping-particle":"","family":"Luoto","given":"Miska","non-dropping-particle":"","parse-names":false,"suffix":""},{"dropping-particle":"","family":"Guisan","given":"Antoine","non-dropping-particle":"","parse-names":false,"suffix":""}],"container-title":"Journal of Vegetation Science","id":"ITEM-1","issued":{"date-parts":[["2016"]]},"title":"What we use is not what we know: environmental predictors in plant distribution models","type":"article-journal"},"uris":["http://www.mendeley.com/documents/?uuid=67717c5b-12f7-3925-a8ba-ca6622759c44"]}],"mendeley":{"formattedCitation":"(Mod &lt;i&gt;et al.&lt;/i&gt;, 2016)","plainTextFormattedCitation":"(Mod et al., 2016)","previouslyFormattedCitation":"(Mod &lt;i&gt;et al.&lt;/i&gt;, 2016)"},"properties":{"noteIndex":0},"schema":"https://github.com/citation-style-language/schema/raw/master/csl-citation.json"}</w:instrText>
      </w:r>
      <w:r w:rsidRPr="00A51466">
        <w:fldChar w:fldCharType="separate"/>
      </w:r>
      <w:r w:rsidRPr="00A51466">
        <w:rPr>
          <w:noProof/>
        </w:rPr>
        <w:t xml:space="preserve">(Mod </w:t>
      </w:r>
      <w:r w:rsidRPr="00A51466">
        <w:rPr>
          <w:i/>
          <w:noProof/>
        </w:rPr>
        <w:t>et al.</w:t>
      </w:r>
      <w:r w:rsidRPr="00A51466">
        <w:rPr>
          <w:noProof/>
        </w:rPr>
        <w:t xml:space="preserve"> 2016)</w:t>
      </w:r>
      <w:r w:rsidRPr="00A51466">
        <w:fldChar w:fldCharType="end"/>
      </w:r>
      <w:r w:rsidRPr="00A51466">
        <w:t xml:space="preserve">. Our results and this identified gap in modeling distributions highlight </w:t>
      </w:r>
      <w:r w:rsidRPr="00A51466">
        <w:rPr>
          <w:color w:val="000000" w:themeColor="text1"/>
        </w:rPr>
        <w:t xml:space="preserve">the importance of including variables that more accurately represent the availability of water in ecosystems and demands for water from the atmosphere. Understanding complex interactions of global change gradients is a significant challenge for modeling the evolutionary (e.g., plant adaptation) and </w:t>
      </w:r>
      <w:r w:rsidRPr="00A51466">
        <w:t>ecosystem consequences (e.g., plant function) of climate change.</w:t>
      </w:r>
      <w:r w:rsidRPr="00A51466">
        <w:rPr>
          <w:color w:val="000000" w:themeColor="text1"/>
        </w:rPr>
        <w:t xml:space="preserve"> </w:t>
      </w:r>
    </w:p>
    <w:p w14:paraId="29D391DB" w14:textId="77777777" w:rsidR="004D30B5" w:rsidRPr="00A51466" w:rsidRDefault="004D30B5" w:rsidP="00A51466">
      <w:pPr>
        <w:pStyle w:val="Heading3"/>
        <w:spacing w:line="360" w:lineRule="auto"/>
        <w:jc w:val="both"/>
        <w:rPr>
          <w:szCs w:val="24"/>
        </w:rPr>
      </w:pPr>
      <w:r w:rsidRPr="00A51466">
        <w:rPr>
          <w:szCs w:val="24"/>
        </w:rPr>
        <w:lastRenderedPageBreak/>
        <w:t>Evolution</w:t>
      </w:r>
    </w:p>
    <w:p w14:paraId="348F3CE6" w14:textId="29903A11" w:rsidR="004D30B5" w:rsidRPr="00A51466" w:rsidRDefault="004D30B5" w:rsidP="00A51466">
      <w:pPr>
        <w:spacing w:line="360" w:lineRule="auto"/>
        <w:jc w:val="both"/>
      </w:pPr>
      <w:r w:rsidRPr="00A51466">
        <w:t xml:space="preserve">Variation in water-use traits will determine plant response to changing water availability on the landscape. We show that stomatal traits and plant biomass have evolved among genetic groups of </w:t>
      </w:r>
      <w:r w:rsidRPr="00A51466">
        <w:rPr>
          <w:i/>
          <w:iCs/>
        </w:rPr>
        <w:t>P. angustifolia</w:t>
      </w:r>
      <w:r w:rsidRPr="00A51466">
        <w:t xml:space="preserve"> across a landscape gradient of dryness (PET/P). Plants derived from more arid regions (higher dryness index values) produced more biomass in the greenhouse and biomass was positively related to stomatal density </w:t>
      </w:r>
      <w:r w:rsidRPr="00A51466">
        <w:rPr>
          <w:bCs/>
        </w:rPr>
        <w:t>(</w:t>
      </w:r>
      <w:r w:rsidR="003114A7" w:rsidRPr="00A51466">
        <w:rPr>
          <w:bCs/>
        </w:rPr>
        <w:t>Figure</w:t>
      </w:r>
      <w:r w:rsidRPr="00A51466">
        <w:rPr>
          <w:bCs/>
        </w:rPr>
        <w:t xml:space="preserve"> </w:t>
      </w:r>
      <w:r w:rsidRPr="00A51466">
        <w:t>3c</w:t>
      </w:r>
      <w:r w:rsidRPr="00A51466">
        <w:rPr>
          <w:bCs/>
        </w:rPr>
        <w:t>).</w:t>
      </w:r>
      <w:r w:rsidRPr="00A51466">
        <w:t xml:space="preserve"> These results conform to those found previously in </w:t>
      </w:r>
      <w:r w:rsidRPr="00A51466">
        <w:rPr>
          <w:i/>
          <w:iCs/>
        </w:rPr>
        <w:t xml:space="preserve">P. </w:t>
      </w:r>
      <w:proofErr w:type="spellStart"/>
      <w:r w:rsidRPr="00A51466">
        <w:rPr>
          <w:i/>
          <w:iCs/>
        </w:rPr>
        <w:t>trichocarpa</w:t>
      </w:r>
      <w:proofErr w:type="spellEnd"/>
      <w:r w:rsidRPr="00A51466">
        <w:t xml:space="preserve">, </w:t>
      </w:r>
      <w:r w:rsidRPr="00A51466">
        <w:rPr>
          <w:i/>
          <w:iCs/>
        </w:rPr>
        <w:t xml:space="preserve">P. balsamifera, and P. angustifolia </w:t>
      </w:r>
      <w:r w:rsidRPr="00A51466">
        <w:t xml:space="preserve">(Guy &amp; Gornall 2007; </w:t>
      </w:r>
      <w:proofErr w:type="spellStart"/>
      <w:r w:rsidRPr="00A51466">
        <w:t>Soolanayakanahally</w:t>
      </w:r>
      <w:proofErr w:type="spellEnd"/>
      <w:r w:rsidRPr="00A51466">
        <w:t xml:space="preserve"> </w:t>
      </w:r>
      <w:r w:rsidRPr="00A51466">
        <w:rPr>
          <w:i/>
          <w:iCs/>
        </w:rPr>
        <w:t>et al.</w:t>
      </w:r>
      <w:r w:rsidRPr="00A51466">
        <w:t xml:space="preserve"> 2009). Interestingly, </w:t>
      </w:r>
      <w:proofErr w:type="spellStart"/>
      <w:r w:rsidRPr="00A51466">
        <w:t>Kaluthota</w:t>
      </w:r>
      <w:proofErr w:type="spellEnd"/>
      <w:r w:rsidRPr="00A51466">
        <w:t xml:space="preserve"> </w:t>
      </w:r>
      <w:r w:rsidRPr="00A51466">
        <w:rPr>
          <w:i/>
          <w:iCs/>
        </w:rPr>
        <w:t>et al.</w:t>
      </w:r>
      <w:r w:rsidRPr="00A51466">
        <w:t xml:space="preserve"> 2015 found that differences in density between provenances were not related to aridity (</w:t>
      </w:r>
      <w:proofErr w:type="spellStart"/>
      <w:r w:rsidRPr="00A51466">
        <w:t>Kaluthota</w:t>
      </w:r>
      <w:proofErr w:type="spellEnd"/>
      <w:r w:rsidRPr="00A51466">
        <w:t xml:space="preserve"> </w:t>
      </w:r>
      <w:r w:rsidRPr="00A51466">
        <w:rPr>
          <w:i/>
          <w:iCs/>
        </w:rPr>
        <w:t>et al.</w:t>
      </w:r>
      <w:r w:rsidRPr="00A51466">
        <w:t xml:space="preserve"> 2015) confusing the relationship we found that supports predictions that plants with high stomatal conductance in dry conditions may demonstrate rapid opportunistic biomass production (rate of photosynthesis) during infrequent or short periods of water availability (Snyder &amp; Williams, 2000; </w:t>
      </w:r>
      <w:r w:rsidRPr="00A51466">
        <w:rPr>
          <w:color w:val="000000" w:themeColor="text1"/>
        </w:rPr>
        <w:fldChar w:fldCharType="begin" w:fldLock="1"/>
      </w:r>
      <w:r w:rsidRPr="00A51466">
        <w:rPr>
          <w:color w:val="000000" w:themeColor="text1"/>
        </w:rPr>
        <w:instrText>ADDIN CSL_CITATION {"citationItems":[{"id":"ITEM-1","itemData":{"abstract":"Stomata, the small pores on the surfaces of leaves and stalks, regulate the flow of gases in and out of leaves and thus plants as a whole. They adapt to local and global changes on all timescales from minutes to millennia. Recent data from diverse fields are establishing their central importance to plant physiology, evolution and global ecology. Stomatal morphology, distribution and behaviour respond to a spectrum of signals, from intracellular signalling to global climatic change. Such concerted adaptation results from a web of control systems, reminiscent of a 'scale-free' network, whose untangling requires integrated approaches beyond those currently used. S tomata (Fig. 1) are small pores on the surfaces of leaves and stems, bounded by a pair of guard cells, that control the exchange of gases-most importantly water vapour and CO 2-between the interior of the leaf and the atmosphere. In this capacity they make major contributions to the ability of the plant to control its water relations and to gain carbon. Gas exchange is regulated by controlling the aperture of the stomatal pore and the number of stomata that form on the epidermis. Environmental signals such as light intensity, the concentration of atmospheric carbon dioxide and endogenous plant hormones control stomatal aperture and development. The acquisition of stomata and an impervious leaf cuticle are considered to be key elements in the evolution of advanced terrestrial plants 1 , allowing the plant to inhabit a range of different, often fluctuating environments but still control water content. Here, we describe how the application of knowledge from cognate disciplines is providing new insights into how stomata evolve and are able to process information from simultaneous, often conflicting and sometimes rapidly changing signals. Although it is too early to say whether these recent advances will result in paradigm shifts in our understanding of how plants both respond to and drive environmental change, it is quite clear that stomata are a key experimental tool to investigate these phenomena. Before considering specific aspects of stomatal biology it is important to reflect on the impact of stomata at the global level. Although the total stomatal pore area may be only 5% of a leaf surface 2 , the rate of water vapour loss may reach as high as 70% of a similar structure without a cuticle. Stomata exert major controls on both the water and carbon cycles of the world. Annual precipitation over th…","author":[{"dropping-particle":"","family":"Hetherington","given":"Alistair M","non-dropping-particle":"","parse-names":false,"suffix":""},{"dropping-particle":"","family":"Woodward","given":"&amp; F Ian","non-dropping-particle":"","parse-names":false,"suffix":""}],"id":"ITEM-1","issued":{"date-parts":[["2003"]]},"title":"The role of stomata in sensing and driving environmental change","type":"report"},"uris":["http://www.mendeley.com/documents/?uuid=0ef4d74b-b4bb-3ce9-9913-e995215b304a"]}],"mendeley":{"formattedCitation":"(Hetherington &amp; Woodward, 2003)","plainTextFormattedCitation":"(Hetherington &amp; Woodward, 2003)","previouslyFormattedCitation":"(Hetherington &amp; Woodward, 2003)"},"properties":{"noteIndex":0},"schema":"https://github.com/citation-style-language/schema/raw/master/csl-citation.json"}</w:instrText>
      </w:r>
      <w:r w:rsidRPr="00A51466">
        <w:rPr>
          <w:color w:val="000000" w:themeColor="text1"/>
        </w:rPr>
        <w:fldChar w:fldCharType="separate"/>
      </w:r>
      <w:r w:rsidRPr="00A51466">
        <w:rPr>
          <w:noProof/>
          <w:color w:val="000000" w:themeColor="text1"/>
        </w:rPr>
        <w:t>Hetherington &amp; Woodward 2003)</w:t>
      </w:r>
      <w:r w:rsidRPr="00A51466">
        <w:rPr>
          <w:color w:val="000000" w:themeColor="text1"/>
        </w:rPr>
        <w:fldChar w:fldCharType="end"/>
      </w:r>
      <w:r w:rsidRPr="00A51466">
        <w:t xml:space="preserve">. </w:t>
      </w:r>
      <w:r w:rsidRPr="00A51466">
        <w:rPr>
          <w:color w:val="000000" w:themeColor="text1"/>
        </w:rPr>
        <w:t xml:space="preserve">Conversely, populations derived from regions with historically high water supply may be less able to control water use and be at higher risk to drought-induced mortality </w:t>
      </w:r>
      <w:r w:rsidRPr="00A51466">
        <w:rPr>
          <w:color w:val="000000" w:themeColor="text1"/>
        </w:rPr>
        <w:fldChar w:fldCharType="begin" w:fldLock="1"/>
      </w:r>
      <w:r w:rsidRPr="00A51466">
        <w:rPr>
          <w:color w:val="000000" w:themeColor="text1"/>
        </w:rPr>
        <w:instrText>ADDIN CSL_CITATION {"citationItems":[{"id":"ITEM-1","itemData":{"DOI":"10.2307/2410783","ISBN":"0014-3820","ISSN":"00143820","PMID":"15003161","abstract":"I used phenotypic selection analysis to test the prediction from functional and comparative studies of plants that smaller leaves and more efficient water use are adaptive in drier environments. I measured selection gradients on leaf size and instantaneous water-use efficiency (a measure of carbon gain per unit water loss) in experimental populations of Cakile edentula var. lacustris placed into wet abd dry environments in the field. Linear and nonlinear selection differed significantly between the two environments as predicted. WUE was selected to be higher, and leaf area was selected toward a small intermediate optimum, in the dry environment. There was also significant positive correlational selection on WUE and leaf size, suggesting that the optimum leaf size in the dry environment is greater for plants with high WUE. In contrast, neither leaf size nor WUE were selected in the wet environment, though larger leaves resulted in greater vegetative biomass. Path analysis of linear selection gradients found that WUE affected plant fitness primarily because it increased vegetative biomass, as suggested by the hypotheses about the function of physiological traits. These results were not only consistent with the functional hypotheses but also with the observed genetic differentiation in WUE and leaf size between wet and dry site populations.","author":[{"dropping-particle":"","family":"Dudley","given":"Susan A.","non-dropping-particle":"","parse-names":false,"suffix":""}],"container-title":"Evolution","id":"ITEM-1","issued":{"date-parts":[["2006"]]},"title":"Differing Selection on Plant Physiological Traits in Response to Environmental Water Availability: A Test of Adaptive Hypotheses","type":"article-journal"},"uris":["http://www.mendeley.com/documents/?uuid=ada14a9a-df58-39c1-be96-594a3d8541a0"]}],"mendeley":{"formattedCitation":"(Dudley, 2006)","plainTextFormattedCitation":"(Dudley, 2006)","previouslyFormattedCitation":"(Dudley, 2006)"},"properties":{"noteIndex":0},"schema":"https://github.com/citation-style-language/schema/raw/master/csl-citation.json"}</w:instrText>
      </w:r>
      <w:r w:rsidRPr="00A51466">
        <w:rPr>
          <w:color w:val="000000" w:themeColor="text1"/>
        </w:rPr>
        <w:fldChar w:fldCharType="separate"/>
      </w:r>
      <w:r w:rsidRPr="00A51466">
        <w:rPr>
          <w:noProof/>
          <w:color w:val="000000" w:themeColor="text1"/>
        </w:rPr>
        <w:t>(Dudley 2006)</w:t>
      </w:r>
      <w:r w:rsidRPr="00A51466">
        <w:rPr>
          <w:color w:val="000000" w:themeColor="text1"/>
        </w:rPr>
        <w:fldChar w:fldCharType="end"/>
      </w:r>
      <w:r w:rsidRPr="00A51466">
        <w:rPr>
          <w:color w:val="000000" w:themeColor="text1"/>
        </w:rPr>
        <w:t xml:space="preserve">, though experiments are necessary to confirm these predictions </w:t>
      </w:r>
      <w:r w:rsidRPr="00A51466">
        <w:t xml:space="preserve">(e.g., Barton </w:t>
      </w:r>
      <w:r w:rsidRPr="00A51466">
        <w:rPr>
          <w:i/>
          <w:iCs/>
        </w:rPr>
        <w:t>et al.</w:t>
      </w:r>
      <w:r w:rsidRPr="00A51466">
        <w:t xml:space="preserve"> 2020).</w:t>
      </w:r>
      <w:r w:rsidRPr="00A51466">
        <w:rPr>
          <w:color w:val="000000" w:themeColor="text1"/>
        </w:rPr>
        <w:t xml:space="preserve"> </w:t>
      </w:r>
      <w:r w:rsidRPr="00A51466">
        <w:t xml:space="preserve">Numerous other physiological studies on </w:t>
      </w:r>
      <w:r w:rsidRPr="00A51466">
        <w:rPr>
          <w:i/>
          <w:iCs/>
        </w:rPr>
        <w:t>Populus</w:t>
      </w:r>
      <w:r w:rsidRPr="00A51466">
        <w:t xml:space="preserve"> species show that water-stress through reductions in precipitation, groundwater, or streamflow, can lower leaf gas exchange, water potentials, xylem cavitation, stomatal conductance, and net photosynthetic rates </w:t>
      </w:r>
      <w:r w:rsidRPr="00A51466">
        <w:fldChar w:fldCharType="begin" w:fldLock="1"/>
      </w:r>
      <w:r w:rsidRPr="00A51466">
        <w:instrText>ADDIN CSL_CITATION {"citationItems":[{"id":"ITEM-1","itemData":{"DOI":"10.1093/treephys/14.5.455","ISSN":"0829318X","abstract":"Vulnerability of xylem to loss of hydraulic conductivity caused by drought-induced cavitation was determined for three riparian cottonwood species in Lethbridge, Alberta: Populus deltoides Bartr., P. balsamifera L., and P. angustifolia James. These species suffered 50% loss of hydraulic conductivity in one-year-old stem segments when xylem pressure potential fell to -0.7 MPa for P. deltoides and -1.7 MPa for P. balsamifera and P. angustifolia, making them the three most vulnerable tree species reported so far in North America. The possible contribution of drought-induced xylem dysfunction to the decline of riparian ecosystems in dammed rivers is discussed.","author":[{"dropping-particle":"","family":"Tyree","given":"M. T.","non-dropping-particle":"","parse-names":false,"suffix":""},{"dropping-particle":"","family":"Kolb","given":"K. J.","non-dropping-particle":"","parse-names":false,"suffix":""},{"dropping-particle":"","family":"Rood","given":"S. B.","non-dropping-particle":"","parse-names":false,"suffix":""},{"dropping-particle":"","family":"Patino","given":"S.","non-dropping-particle":"","parse-names":false,"suffix":""}],"container-title":"Tree Physiology","id":"ITEM-1","issue":"5","issued":{"date-parts":[["1994"]]},"page":"455-466","title":"Vulnerability to drought-induced cavitation of riparian cottonwoods in Alberta: A possible factor in the decline of the ecosystem?","type":"article-journal","volume":"14"},"uris":["http://www.mendeley.com/documents/?uuid=4474b827-3b6b-493f-b853-61f4a7b95b69"]},{"id":"ITEM-2","itemData":{"DOI":"10.1093/treephys/23.16.1113","ISSN":"0829318X","abstract":"Cottonwoods (Populus spp.) are adapted to riparian or floodplain zones throughout the Northern Hemisphere; they are also used as parents for fast-growing hybrid poplars. We review recent ecophysiological studies of the native cottonwoods Populus angustifolia James, P. balsamifera L., P. deltoides Marsh., P. fremontii S. Watson and P. trichocarpa T.  &amp;  G. in North America, and P. nigra L. in Europe. Variation exists within and across species and hybrids; however, all riparian cottonwoods are dependent on shallow alluvial groundwater that is linked to stream water, particularly in semi-arid regions. This conclusion is based on studies of their natural occurrence, decline following river damming and dewatering (water removal), water relations, isotopic composition of xylem water, and by the establishment of cottonwoods along formerly barren natural channels after flow augmentation in response to the conveyance of irrigation water. When alluvial groundwater is depleted as a result of river dewatering or groundwater pumping, riparian cottonwoods exhibit drought-stress responses including stomatal closure and reduced transpiration and photosynthesis, altered  13 C composition, reduced predawn and midday water potentials, and xylem cavitation. These physiological responses are accompanied by morphological responses including reduced shoot growth, altered root growth, branch sacrifice and crown die-back. In severe cases, mortality occurs. For example, severe dewatering of channels of the braided Big Lost River in Idaho led to mortality of the narrow-leaf cottonwood, P. angustifolia, and adjacent sandbar willows, Salix exigua Nutt., within 5 years, whereas riparian woodlands thrived along flowing channels nearby. The conservation and restoration of cottonwoods will rely on the provision of river flow regimes that satisfy these ecophysiological requirements for survival, growth and reproduction.","author":[{"dropping-particle":"","family":"Rood","given":"Stewart B.","non-dropping-particle":"","parse-names":false,"suffix":""},{"dropping-particle":"","family":"Braatne","given":"Jeffrey H.","non-dropping-particle":"","parse-names":false,"suffix":""},{"dropping-particle":"","family":"Hughes","given":"Francine M.R.","non-dropping-particle":"","parse-names":false,"suffix":""}],"container-title":"Tree Physiology","id":"ITEM-2","issue":"16","issued":{"date-parts":[["2003"]]},"page":"1113-1124","title":"Ecophysiology of riparian cottonwoods: Stream flow dependency, water relations and restoration","type":"article-journal","volume":"23"},"uris":["http://www.mendeley.com/documents/?uuid=0b7c8ccf-dced-43b3-a70a-af0683c0fa12"]},{"id":"ITEM-3","itemData":{"DOI":"10.1890/1051-0761(2001)011[1046:PRTGDV]2.0.CO;2","ISSN":"1939-5582","abstract":"We investigated the physiological response of two native riparian tree species (Populus fremontii and Salix gooddingii) and one exotic species (Tamarix chinensis) to groundwater availability along gradients of depth to groundwater at two rivers in Arizona. Depth to groundwater (DGW) at the dam-regulated Bill Williams River (BWR) was relatively constant and shallow (&lt;4 m). Populus fremontii at BWR did not experience reduced water availability at deeper groundwater depths, as evidenced by high predawn water potential. However, leaf gas exchange of P. fremontii was sensitive to high vapor pressure deficit where surface flow was ephemeral at BWR. Lower predawn water potentials of S. gooddingii at BWR suggested reduced water availability at deeper groundwater depths, but these reductions did not adversely affect net photosynthetic rate. Along the range of depth to groundwater at BWR, all three species suffered little canopy dieback, and dieback was not related to depth to groundwater. Depth to groundwater at the free-flowing Hassayampa River (HRP) was much greater and declined more rapidly in the ephemeral reaches than at BWR. Both P. fremontii and S. gooddingii experienced reduced water availability at deeper groundwater depths at HRP, as evidenced by lower predawn water potential. Both species also experienced reduced leaf gas exchange at deeper groundwater depths. Canopy dieback of all species was higher at HRP than at BWR and increased with increasing DGW, especially when DGW fell below 3 m. There was evidence to support branch sacrifice in these three riparian tree species as a means of improving water status in the surviving shoot. However, branch sacrifice was insufficient to prevent mortality in some of the native trees where DGW fell below 3 m at HRP. In contrast to the native species, T. chinensis showed no change in water availability, leaf gas exchange, or canopy dieback with increasing DGW at either river. Leaf gas exchange was lower and dieback was greater for T. chinensis at HRP where depth to groundwater was greater than at BWR, but there was no mortality at either river. Our results show that deep groundwater is more detrimental to the physiological condition of P. fremontii and S. gooddingii than it is to T. chinensis. Also, the pronounced differences in DGW and tree physiological performance between BWR and HRP suggest that dam regulation can increase water availability to mature trees in some desert riparian ecosystems. Finally, our study…","author":[{"dropping-particle":"","family":"Horton","given":"Jonathan L","non-dropping-particle":"","parse-names":false,"suffix":""},{"dropping-particle":"","family":"Kolb","given":"Thomas E","non-dropping-particle":"","parse-names":false,"suffix":""},{"dropping-particle":"","family":"Hart","given":"Stephen C","non-dropping-particle":"","parse-names":false,"suffix":""}],"container-title":"Ecological Applications","id":"ITEM-3","issue":"4","issued":{"date-parts":[["2001"]]},"page":"1046-1059","title":"Physiological Response to Groundwater Depth Varies among Species and with River Flow Regulation","type":"article-journal","volume":"11"},"uris":["http://www.mendeley.com/documents/?uuid=c0dbb179-6a0a-4020-9ea7-2b451e91ce26"]}],"mendeley":{"formattedCitation":"(Tyree &lt;i&gt;et al.&lt;/i&gt;, 1994; Horton &lt;i&gt;et al.&lt;/i&gt;, 2001; Rood &lt;i&gt;et al.&lt;/i&gt;, 2003)","plainTextFormattedCitation":"(Tyree et al., 1994; Horton et al., 2001; Rood et al., 2003)","previouslyFormattedCitation":"(Tyree &lt;i&gt;et al.&lt;/i&gt;, 1994; Horton &lt;i&gt;et al.&lt;/i&gt;, 2001; Rood &lt;i&gt;et al.&lt;/i&gt;, 2003)"},"properties":{"noteIndex":0},"schema":"https://github.com/citation-style-language/schema/raw/master/csl-citation.json"}</w:instrText>
      </w:r>
      <w:r w:rsidRPr="00A51466">
        <w:fldChar w:fldCharType="separate"/>
      </w:r>
      <w:r w:rsidRPr="00A51466">
        <w:rPr>
          <w:noProof/>
        </w:rPr>
        <w:t xml:space="preserve">(Tyree </w:t>
      </w:r>
      <w:r w:rsidRPr="00A51466">
        <w:rPr>
          <w:i/>
          <w:noProof/>
        </w:rPr>
        <w:t>et al.</w:t>
      </w:r>
      <w:r w:rsidRPr="00A51466">
        <w:rPr>
          <w:noProof/>
        </w:rPr>
        <w:t xml:space="preserve"> 1994; Horton </w:t>
      </w:r>
      <w:r w:rsidRPr="00A51466">
        <w:rPr>
          <w:i/>
          <w:noProof/>
        </w:rPr>
        <w:t>et al.</w:t>
      </w:r>
      <w:r w:rsidRPr="00A51466">
        <w:rPr>
          <w:noProof/>
        </w:rPr>
        <w:t xml:space="preserve"> 2001; Rood </w:t>
      </w:r>
      <w:r w:rsidRPr="00A51466">
        <w:rPr>
          <w:i/>
          <w:noProof/>
        </w:rPr>
        <w:t>et al.</w:t>
      </w:r>
      <w:r w:rsidRPr="00A51466">
        <w:rPr>
          <w:noProof/>
        </w:rPr>
        <w:t xml:space="preserve"> 2003)</w:t>
      </w:r>
      <w:r w:rsidRPr="00A51466">
        <w:fldChar w:fldCharType="end"/>
      </w:r>
      <w:r w:rsidRPr="00A51466">
        <w:t xml:space="preserve">, resulting in morphological changes such as lower biomass production, increased branch sacrifice and crown reduction, leaf size, or stomatal size and number </w:t>
      </w:r>
      <w:r w:rsidRPr="00A51466">
        <w:fldChar w:fldCharType="begin" w:fldLock="1"/>
      </w:r>
      <w:r w:rsidRPr="00A51466">
        <w:instrText>ADDIN CSL_CITATION {"citationItems":[{"id":"ITEM-1","itemData":{"DOI":"10.1007/s004680050010","ISSN":"09311890","abstract":"In their native riparian zones (floodplains), Populus deltoides (prairie cottonwood) and P. fremontii (Fremont cottonwood) commonly experience substantial branch die-back. These trees occur in semi-arid areas of North America and unexpectedly given the dry regions, they are exceptionally vulnerable to xylem cavitation, drought-induced air embolism of xylem vessels. We propose that the vulnerability to cavitation and branch die-back are physiologically linked; drought-induced cavitation underlies branch die-back that reduces transpirational demand enabling the remaining shoot to maintain a favorable water balance. This proposal follows field observation along various western North American rivers as precocious branch senescence, the yellowing and death of leaves on particular branches during mid- to late summer, was common for P. deltoides and P. fremontii during hot and dry periods of low stream-flow. Branches displaying precocious senescence were subsequently dead the following year. The proposed association between cavitation, precocious senescence and branch die-back is also supported by experiments involving external pressurization of branches to about 2.5 MPa with a branch collar or through an adjacent cut-branch. The treatments induced xylem cavitation and increased leaf diffusive resistance (stomatal closure) that was followed by leaf senescence and branch death of P. deltoides. P. trichocarpa (black cottonwood) appeared to be less affected by the pressurization treatment and this species as well P. angustifolia (narrowleaf cottonwood) and P. balsamifera (balsam poplar) seldom display the patchy summer branch senescence typical of P. deltoides and P. fremontii. 'Branch sacrifice' describes this cavitation-associated senescence and branch die-back that may provide a drought adaptation for the prairie and Fremont cottonwoods.","author":[{"dropping-particle":"","family":"Rood","given":"Stewart B.","non-dropping-particle":"","parse-names":false,"suffix":""},{"dropping-particle":"","family":"Patiño","given":"Sandra","non-dropping-particle":"","parse-names":false,"suffix":""},{"dropping-particle":"","family":"Coombs","given":"Krista","non-dropping-particle":"","parse-names":false,"suffix":""},{"dropping-particle":"","family":"Tyree","given":"Melvin T.","non-dropping-particle":"","parse-names":false,"suffix":""}],"container-title":"Trees - Structure and Function","id":"ITEM-1","issue":"5","issued":{"date-parts":[["2000"]]},"page":"248-257","title":"Branch sacrifice: Cavitation-associated drought adaptation of riparian cottonwoods","type":"article-journal","volume":"14"},"uris":["http://www.mendeley.com/documents/?uuid=db6dce07-7a77-4296-a146-f1507bef4fd4"]},{"id":"ITEM-2","itemData":{"DOI":"10.1139/cjb-79-5-528","ISSN":"00084026","abstract":"Epidermal and stomatal cell traits were examined on late leaves of 40 black cottonwood (Populus trichocarpa Torr. &amp; Gray) clones originating from the mesic Nisqually, and xeric Yakima river valleys of Washington. Four leaves per clone were collected from 1-year-old trees in two replicated common gardens located in Puyallup (western Washington) and Wenatchee (eastern Washington). In Puyallup-grown material, Yakima clones had abaxially 14% smaller epidermal cell diameters (CDIAM) and 27% greater cell densities (CDEN; No. per mm2), and 25% smaller leaves than Nisqually clones (p 0.03). Abaxial stomatal densities (STDEN; No. per mm2) were highest (206) in the lower elevation, xeric-origin Yakima clones, as compared with an average of 120 in Nisqually clones. A higher proportion of Yakima leaves had shorter stomates than those from the Nisqually at both sites (p 0.002). Besides shorter stomates (p 0.030), the lower elevation Yakima clones generally had higher STDEN and ratios of STDEN to CDEN than those clones...","author":[{"dropping-particle":"","family":"Dunlap","given":"J.M.","non-dropping-particle":"","parse-names":false,"suffix":""},{"dropping-particle":"","family":"Stettler","given":"R.F.","non-dropping-particle":"","parse-names":false,"suffix":""}],"container-title":"Canadian Journal of Botany","id":"ITEM-2","issue":"5","issued":{"date-parts":[["2001"]]},"page":"528-536","title":"Variation in leaf epidermal and stomatal traits of &lt;i&gt;Populus trichocarpa &lt;/i&gt;from two transects across the Washington Cascades","type":"article-journal","volume":"79"},"uris":["http://www.mendeley.com/documents/?uuid=5d39b62f-e8d7-49fa-9c1f-1e7882cb164b"]},{"id":"ITEM-3","itemData":{"DOI":"10.1093/treephys/23.16.1113","ISSN":"0829318X","abstract":"Cottonwoods (Populus spp.) are adapted to riparian or floodplain zones throughout the Northern Hemisphere; they are also used as parents for fast-growing hybrid poplars. We review recent ecophysiological studies of the native cottonwoods Populus angustifolia James, P. balsamifera L., P. deltoides Marsh., P. fremontii S. Watson and P. trichocarpa T.  &amp;  G. in North America, and P. nigra L. in Europe. Variation exists within and across species and hybrids; however, all riparian cottonwoods are dependent on shallow alluvial groundwater that is linked to stream water, particularly in semi-arid regions. This conclusion is based on studies of their natural occurrence, decline following river damming and dewatering (water removal), water relations, isotopic composition of xylem water, and by the establishment of cottonwoods along formerly barren natural channels after flow augmentation in response to the conveyance of irrigation water. When alluvial groundwater is depleted as a result of river dewatering or groundwater pumping, riparian cottonwoods exhibit drought-stress responses including stomatal closure and reduced transpiration and photosynthesis, altered  13 C composition, reduced predawn and midday water potentials, and xylem cavitation. These physiological responses are accompanied by morphological responses including reduced shoot growth, altered root growth, branch sacrifice and crown die-back. In severe cases, mortality occurs. For example, severe dewatering of channels of the braided Big Lost River in Idaho led to mortality of the narrow-leaf cottonwood, P. angustifolia, and adjacent sandbar willows, Salix exigua Nutt., within 5 years, whereas riparian woodlands thrived along flowing channels nearby. The conservation and restoration of cottonwoods will rely on the provision of river flow regimes that satisfy these ecophysiological requirements for survival, growth and reproduction.","author":[{"dropping-particle":"","family":"Rood","given":"Stewart B.","non-dropping-particle":"","parse-names":false,"suffix":""},{"dropping-particle":"","family":"Braatne","given":"Jeffrey H.","non-dropping-particle":"","parse-names":false,"suffix":""},{"dropping-particle":"","family":"Hughes","given":"Francine M.R.","non-dropping-particle":"","parse-names":false,"suffix":""}],"container-title":"Tree Physiology","id":"ITEM-3","issue":"16","issued":{"date-parts":[["2003"]]},"page":"1113-1124","title":"Ecophysiology of riparian cottonwoods: Stream flow dependency, water relations and restoration","type":"article-journal","volume":"23"},"uris":["http://www.mendeley.com/documents/?uuid=0b7c8ccf-dced-43b3-a70a-af0683c0fa12"]}],"mendeley":{"formattedCitation":"(Rood &lt;i&gt;et al.&lt;/i&gt;, 2000, 2003; Dunlap &amp; Stettler, 2001)","plainTextFormattedCitation":"(Rood et al., 2000, 2003; Dunlap &amp; Stettler, 2001)","previouslyFormattedCitation":"(Rood &lt;i&gt;et al.&lt;/i&gt;, 2000, 2003; Dunlap &amp; Stettler, 2001)"},"properties":{"noteIndex":0},"schema":"https://github.com/citation-style-language/schema/raw/master/csl-citation.json"}</w:instrText>
      </w:r>
      <w:r w:rsidRPr="00A51466">
        <w:fldChar w:fldCharType="separate"/>
      </w:r>
      <w:r w:rsidRPr="00A51466">
        <w:rPr>
          <w:noProof/>
        </w:rPr>
        <w:t xml:space="preserve">(Rood </w:t>
      </w:r>
      <w:r w:rsidRPr="00A51466">
        <w:rPr>
          <w:i/>
          <w:noProof/>
        </w:rPr>
        <w:t>et al.</w:t>
      </w:r>
      <w:r w:rsidRPr="00A51466">
        <w:rPr>
          <w:noProof/>
        </w:rPr>
        <w:t xml:space="preserve"> 2000, 2003; Dunlap &amp; Stettler 2001)</w:t>
      </w:r>
      <w:r w:rsidRPr="00A51466">
        <w:fldChar w:fldCharType="end"/>
      </w:r>
      <w:r w:rsidRPr="00A51466">
        <w:t xml:space="preserve">. On the other hand, inundation with water, as would occur with flooding, has been shown to lower net photosynthetic rate, stomatal conductance, transpiration, and growth in </w:t>
      </w:r>
      <w:r w:rsidRPr="00A51466">
        <w:rPr>
          <w:i/>
          <w:iCs/>
        </w:rPr>
        <w:t>Populus</w:t>
      </w:r>
      <w:r w:rsidRPr="00A51466">
        <w:t xml:space="preserve"> (Amlin &amp; Rood 2001; Rood </w:t>
      </w:r>
      <w:r w:rsidRPr="00A51466">
        <w:rPr>
          <w:i/>
          <w:iCs/>
        </w:rPr>
        <w:t>et al.</w:t>
      </w:r>
      <w:r w:rsidRPr="00A51466">
        <w:t xml:space="preserve"> 2010). Varying responses to these two extremes of water stress, drought, and flooding, emphasize the need to consider population-level responses to multiple aspects of the water cycle. </w:t>
      </w:r>
    </w:p>
    <w:p w14:paraId="76202230" w14:textId="77777777" w:rsidR="004D30B5" w:rsidRPr="00A51466" w:rsidRDefault="004D30B5" w:rsidP="00A51466">
      <w:pPr>
        <w:spacing w:line="360" w:lineRule="auto"/>
        <w:ind w:firstLine="720"/>
        <w:jc w:val="both"/>
      </w:pPr>
      <w:r w:rsidRPr="00A51466">
        <w:t xml:space="preserve">Global variation in plant growth is predominantly attributed to temperature and water </w:t>
      </w:r>
      <w:r w:rsidRPr="00A51466">
        <w:fldChar w:fldCharType="begin" w:fldLock="1"/>
      </w:r>
      <w:r w:rsidRPr="00A51466">
        <w:instrText>ADDIN CSL_CITATION {"citationItems":[{"id":"ITEM-1","itemData":{"DOI":"10.1016/j.tree.2003.10.002","ISBN":"0169-5347","ISSN":"01695347","PMID":"16701235","abstract":"Floods and droughts are important features of most running water ecosystems, but the alteration of natural flow regimes by recent human activities, such as dam building, raises questions related to both evolution and conservation. Among organisms inhabiting running waters, what adaptations exist for surviving floods and droughts? How will the alteration of the frequency, timing and duration of flow extremes affect flood- and drought-adapted organisms? How rapidly can populations evolve in response to altered flow regimes? Here, we identify three modes of adaptation (life history, behavioral and morphological) that plants and animals use to survive floods and/or droughts. The mode of adaptation that an organism has determines its vulnerability to different kinds of flow regime alteration. The rate of evolution in response to flow regime alteration remains an open question. Because humans have now altered the flow regimes of most rivers and many streams, understanding the link between fitness and flow regime is crucial for the effective management and restoration of running water ecosystems.","author":[{"dropping-particle":"","family":"Lytle","given":"David A.","non-dropping-particle":"","parse-names":false,"suffix":""},{"dropping-particle":"","family":"Poff","given":"N. Le Roy","non-dropping-particle":"","parse-names":false,"suffix":""}],"container-title":"Trends in Ecology and Evolution","id":"ITEM-1","issued":{"date-parts":[["2004"]]},"title":"Adaptation to natural flow regimes","type":"article"},"uris":["http://www.mendeley.com/documents/?uuid=9830b372-d1cc-3a4d-815b-8814e3fda61f"]},{"id":"ITEM-2","itemData":{"DOI":"10.1038/nature04312","abstract":"Water availability on the continents is important for human health 1,2 , economic activity 3 , ecosystem function 4 and geophysical processes 5 . Because the saturation vapour pressure of water in air is highly sensitive to temperature, perturbations in the global water cycle are expected to accompany climate warming 6 . Regional patterns of warming-induced changes in surface hydroclimate are complex and less certain than those in temperature, however, with both regional increases and decreases expected in precipitation and runoff. Here we show that an ensemble of 12 climate models exhibits qualitative and statistically significant skill in simulating observed regional patterns of twentieth-century multidecadal changes in streamflow. These models project 10–40% increases in runoff in eastern equatorial Africa, the La Plata basin and high-latitude North America and Eurasia, and 10–30% decreases in runoff in southern Africa, southern Europe, the Middle East and mid-latitude western North America by the year 2050. Such changes in sustainable water availability would have con-siderable regional-scale consequences for economies as well as ecosystems. Streamflow is a temporally lagged, spatial integral of runoff over a river basin. Averaged over many years, runoff generally is equal to the difference between precipitation and evapotranspiration and, hence, to the convergence of horizontal atmospheric water flux. From a resource perspective, runoff is a measure of sustainable water availability. However, streamflow can be affected by anthropogenic disturbances, which may generate spurious (that is, nonclimatic) changes; at the spatial scale of basins to be considered here, the most significant of these disturbances is associated with the diversion of water for the irrigation of cropland. In support of an assessment of forced climate change conducted by the Intergovernmental Panel on Climate Change (IPCC), many climate-modelling centres recently performed '20C3M' simulations of climate with prescribed external forcing (variations in atmos-pheric composition and solar irradiance) for the late nineteenth century and the whole of the twentieth century. Forcing was not identical across models, but generally included estimated historical variations of radiatively active atmospheric gases and aerosols (including volcanic emissions) and solar irradiance. Control simu-lations with temporally invariant preindustrial forcing ('PICNTRL') were also performed, as were integ…","author":[{"dropping-particle":"","family":"Milly","given":"P C D","non-dropping-particle":"","parse-names":false,"suffix":""},{"dropping-particle":"","family":"Dunne","given":"K A","non-dropping-particle":"","parse-names":false,"suffix":""},{"dropping-particle":"V","family":"Vecchia","given":"A","non-dropping-particle":"","parse-names":false,"suffix":""}],"container-title":"Nature Letters","id":"ITEM-2","issued":{"date-parts":[["2005"]]},"title":"Global pattern of trends in streamflow and water availability in a changing climate","type":"article-journal","volume":"438"},"uris":["http://www.mendeley.com/documents/?uuid=5233b027-a18a-3eda-a1f0-fecba00cee98"]},{"id":"ITEM-3","itemData":{"DOI":"10.1016/j.jmb.2010.08.039","ISBN":"9789291691234","ISSN":"97892916","PMID":"20800598","abstract":"\"Observational records and climate projections provide abundant evidence that freshwater resources are vulnerable and have the potential to be strongly impacted by climate change, with wide-ranging consequences for human societies and ecosystems. ... The objectives of this Technical Paper ... are: to improve our understanding of the links between both natural and anthropogenically induced climate change, its impacts, and adaptation and mitigation response options, on the one hand, and water-related issues, on the other; to inform policymakers and stakeholders about the implications of climate change and climate change response options for water resources, as well as the implications for water resources of various climate change scenarios and climate change response options, including associated synergies and trade-offs.\" - p. 3-7","author":[{"dropping-particle":"","family":"Bates, B.C., Kundzewicz, Z.W., Wu, S., Palutikof","given":"J.P.","non-dropping-particle":"","parse-names":false,"suffix":""}],"container-title":"Climate change and water","id":"ITEM-3","issued":{"date-parts":[["2008"]]},"title":"Climate Change and Water. Technical Paper of the Intergovernmental Panel on Climate Change (IPCC)","type":"report"},"uris":["http://www.mendeley.com/documents/?uuid=d71391a4-1057-426d-bb76-9da637b49acb"]},{"id":"ITEM-4","itemData":{"DOI":"10.1111/j.1365-2427.2009.02272.x","ISSN":"00465070","author":[{"dropping-particle":"","family":"Poff, N. Le Roy, Zimmerman","given":"Julie KH","non-dropping-particle":"","parse-names":false,"suffix":""}],"container-title":"Freshwater Biology","id":"ITEM-4","issue":"1","issued":{"date-parts":[["2010","1"]]},"note":"Review: shows that changes in flow change ecology. between different groups, but not necessarily in a consistent quantifiable way.","page":"194-205","title":"Ecological responses to altered flow regimes: a literature review to inform the science and management of environmental flows","type":"article-journal","volume":"55"},"uris":["http://www.mendeley.com/documents/?uuid=e59895cd-69ba-4811-9a0a-bd3fe35788af"]},{"id":"ITEM-5","itemData":{"DOI":"10.1525/bio.2012.62.4.10","ISBN":"0006-3568","ISSN":"1525-3244","PMID":"732762","abstract":"Analyses of long-term records at 35 headwater basins in the United States and Canada indicate that climate change effects on streamflow are not\\nas clear as might be expected, perhaps because of ecosystem processes and human influences. Evapotranspiration was higher than was predicted by\\ntemperature in water-surplus ecosystems and lower than was predicted in water-deficit ecosystems. Streamflow was correlated with climate variability\\nindices (e.g., the El Nino-Southern Oscillation, the Pacific Decadal Oscillation, the North Atlantic Oscillation), especially in seasons when\\nvegetation influences are limited. Air temperature increased significantly at 17 of the 19 sites with 20- to 60-year records, but streamflow trends were\\ndirectly related to climate trends (through changes in ice and snow) at only 7 sites. Past and present human and natural disturbance, vegetation\\nsuccession, and human water use can mimic, exacerbate, counteract, or mask the effects of climate change on streamflow, even in reference basins.\\nLong-term ecological research sites are ideal places to disentangle these processes.","author":[{"dropping-particle":"","family":"Jones","given":"Julia A.","non-dropping-particle":"","parse-names":false,"suffix":""},{"dropping-particle":"","family":"Creed","given":"Irena F.","non-dropping-particle":"","parse-names":false,"suffix":""},{"dropping-particle":"","family":"Hatcher","given":"Kendra L.","non-dropping-particle":"","parse-names":false,"suffix":""},{"dropping-particle":"","family":"Warren","given":"Robert J.","non-dropping-particle":"","parse-names":false,"suffix":""},{"dropping-particle":"","family":"Adams","given":"Mary Beth","non-dropping-particle":"","parse-names":false,"suffix":""},{"dropping-particle":"","family":"Benson","given":"Melinda H.","non-dropping-particle":"","parse-names":false,"suffix":""},{"dropping-particle":"","family":"Boose","given":"Emery","non-dropping-particle":"","parse-names":false,"suffix":""},{"dropping-particle":"","family":"Brown","given":"Warren A.","non-dropping-particle":"","parse-names":false,"suffix":""},{"dropping-particle":"","family":"Campbell","given":"John L.","non-dropping-particle":"","parse-names":false,"suffix":""},{"dropping-particle":"","family":"Covich","given":"Alan","non-dropping-particle":"","parse-names":false,"suffix":""},{"dropping-particle":"","family":"Clow","given":"David W.","non-dropping-particle":"","parse-names":false,"suffix":""},{"dropping-particle":"","family":"Dahm","given":"Clifford N.","non-dropping-particle":"","parse-names":false,"suffix":""},{"dropping-particle":"","family":"Elder","given":"Kelly","non-dropping-particle":"","parse-names":false,"suffix":""},{"dropping-particle":"","family":"Ford","given":"Chelcy R.","non-dropping-particle":"","parse-names":false,"suffix":""},{"dropping-particle":"","family":"Grimm","given":"Nancy B.","non-dropping-particle":"","parse-names":false,"suffix":""},{"dropping-particle":"","family":"Henshaw","given":"Donald L.","non-dropping-particle":"","parse-names":false,"suffix":""},{"dropping-particle":"","family":"Larson","given":"Kelli L.","non-dropping-particle":"","parse-names":false,"suffix":""},{"dropping-particle":"","family":"Miles","given":"Evan S.","non-dropping-particle":"","parse-names":false,"suffix":""},{"dropping-particle":"","family":"Miles","given":"Kathleen M.","non-dropping-particle":"","parse-names":false,"suffix":""},{"dropping-particle":"","family":"Sebestyen","given":"Stephen D.","non-dropping-particle":"","parse-names":false,"suffix":""},{"dropping-particle":"","family":"Spargo","given":"Adam T.","non-dropping-particle":"","parse-names":false,"suffix":""},{"dropping-particle":"","family":"Stone","given":"Asa B.","non-dropping-particle":"","parse-names":false,"suffix":""},{"dropping-particle":"","family":"Vose","given":"James M.","non-dropping-particle":"","parse-names":false,"suffix":""},{"dropping-particle":"","family":"Williams","given":"Mark W.","non-dropping-particle":"","parse-names":false,"suffix":""}],"container-title":"BioScience","id":"ITEM-5","issued":{"date-parts":[["2012"]]},"title":"Ecosystem Processes and Human Influences Regulate Streamflow Response to Climate Change at Long-Term Ecological Research Sites","type":"article-journal"},"uris":["http://www.mendeley.com/documents/?uuid=cacb6dc5-fe90-32bc-8043-a59c107f6135"]},{"id":"ITEM-6","itemData":{"DOI":"10.1126/sciadv.aat4313","ISSN":"23752548","abstract":"&lt;p&gt; Energy and water limitations of tree growth remain insufficiently understood at large spatiotemporal scales, hindering model representation of interannual or longer-term ecosystem processes. By assessing and statistically scaling the climatic drivers from 2710 tree-ring sites, we identified the boreal and temperate land areas where tree growth during 1930–1960 CE responded positively to temperature (20.8 ± 3.7 Mio km &lt;sup&gt;2&lt;/sup&gt; ; 25.9 ± 4.6%), precipitation (77.5 ± 3.3 Mio km &lt;sup&gt;2&lt;/sup&gt; ; 96.4 ± 4.1%), and other parameters. The spatial manifestation of this climate response is determined by latitudinal and altitudinal temperature gradients, indicating that warming leads to geographic shifts in growth limitations. We observed a significant ( &lt;italic&gt;P&lt;/italic&gt; &amp;lt; 0.001) decrease in temperature response at cold-dry sites between 1930–1960 and 1960–1990 CE, and the total temperature-limited area shrunk by −8.7 ± 0.6 Mio km &lt;sup&gt;2&lt;/sup&gt; . Simultaneously, trees became more limited by atmospheric water demand almost worldwide. These changes occurred under mild warming, and we expect that continued climate change will trigger a major redistribution in growth responses to climate. &lt;/p&gt;","author":[{"dropping-particle":"","family":"Babst","given":"Flurin","non-dropping-particle":"","parse-names":false,"suffix":""},{"dropping-particle":"","family":"Bouriaud","given":"Olivier","non-dropping-particle":"","parse-names":false,"suffix":""},{"dropping-particle":"","family":"Poulter","given":"Benjamin","non-dropping-particle":"","parse-names":false,"suffix":""},{"dropping-particle":"","family":"Trouet","given":"Valerie","non-dropping-particle":"","parse-names":false,"suffix":""},{"dropping-particle":"","family":"Girardin","given":"Martin P.","non-dropping-particle":"","parse-names":false,"suffix":""},{"dropping-particle":"","family":"Frank","given":"David C.","non-dropping-particle":"","parse-names":false,"suffix":""}],"container-title":"Science Advances","id":"ITEM-6","issued":{"date-parts":[["2019"]]},"title":"Twentieth century redistribution in climatic drivers of global tree growth","type":"article-journal"},"uris":["http://www.mendeley.com/documents/?uuid=03cccafe-d6be-4ab0-9e36-fdcffb1ff506"]}],"mendeley":{"formattedCitation":"(Lytle &amp; Poff, 2004; Milly &lt;i&gt;et al.&lt;/i&gt;, 2005; Bates, B.C., Kundzewicz, Z.W., Wu, S., Palutikof, 2008; Poff, N. Le Roy, Zimmerman, 2010; Jones &lt;i&gt;et al.&lt;/i&gt;, 2012; Babst &lt;i&gt;et al.&lt;/i&gt;, 2019)","manualFormatting":"(Babst et al., 2019; Bates et al., 2008; Jones et al., 2012; Lytle &amp; Poff, 2004; Milly et al., 2005; Poff &amp; Zimmerman, 2010)","plainTextFormattedCitation":"(Lytle &amp; Poff, 2004; Milly et al., 2005; Bates, B.C., Kundzewicz, Z.W., Wu, S., Palutikof, 2008; Poff, N. Le Roy, Zimmerman, 2010; Jones et al., 2012; Babst et al., 2019)","previouslyFormattedCitation":"(Lytle &amp; Poff, 2004; Milly &lt;i&gt;et al.&lt;/i&gt;, 2005; Bates, B.C., Kundzewicz, Z.W., Wu, S., Palutikof, 2008; Poff, N. Le Roy, Zimmerman, 2010; Jones &lt;i&gt;et al.&lt;/i&gt;, 2012; Babst &lt;i&gt;et al.&lt;/i&gt;, 2019)"},"properties":{"noteIndex":0},"schema":"https://github.com/citation-style-language/schema/raw/master/csl-citation.json"}</w:instrText>
      </w:r>
      <w:r w:rsidRPr="00A51466">
        <w:fldChar w:fldCharType="separate"/>
      </w:r>
      <w:r w:rsidRPr="00A51466">
        <w:rPr>
          <w:noProof/>
        </w:rPr>
        <w:t xml:space="preserve">(Babst </w:t>
      </w:r>
      <w:r w:rsidRPr="00A51466">
        <w:rPr>
          <w:i/>
          <w:iCs/>
          <w:noProof/>
        </w:rPr>
        <w:t xml:space="preserve">et al. </w:t>
      </w:r>
      <w:r w:rsidRPr="00A51466">
        <w:rPr>
          <w:noProof/>
        </w:rPr>
        <w:t xml:space="preserve">2019; Bates </w:t>
      </w:r>
      <w:r w:rsidRPr="00A51466">
        <w:rPr>
          <w:i/>
          <w:iCs/>
          <w:noProof/>
        </w:rPr>
        <w:t xml:space="preserve">et al. </w:t>
      </w:r>
      <w:r w:rsidRPr="00A51466">
        <w:rPr>
          <w:noProof/>
        </w:rPr>
        <w:t xml:space="preserve">2008; Jones </w:t>
      </w:r>
      <w:r w:rsidRPr="00A51466">
        <w:rPr>
          <w:i/>
          <w:iCs/>
          <w:noProof/>
        </w:rPr>
        <w:t xml:space="preserve">et al. </w:t>
      </w:r>
      <w:r w:rsidRPr="00A51466">
        <w:rPr>
          <w:noProof/>
        </w:rPr>
        <w:t xml:space="preserve">2012; Lytle &amp; Poff 2004; Milly </w:t>
      </w:r>
      <w:r w:rsidRPr="00A51466">
        <w:rPr>
          <w:i/>
          <w:iCs/>
          <w:noProof/>
        </w:rPr>
        <w:t>et al.</w:t>
      </w:r>
      <w:r w:rsidRPr="00A51466">
        <w:rPr>
          <w:noProof/>
        </w:rPr>
        <w:t xml:space="preserve"> 2005; Poff &amp; Zimmerman 2010)</w:t>
      </w:r>
      <w:r w:rsidRPr="00A51466">
        <w:fldChar w:fldCharType="end"/>
      </w:r>
      <w:r w:rsidRPr="00A51466">
        <w:t xml:space="preserve">. As temperature increases, trees are becoming </w:t>
      </w:r>
      <w:r w:rsidRPr="00A51466">
        <w:lastRenderedPageBreak/>
        <w:t xml:space="preserve">increasingly limited by water as the atmospheric demand for water (PET) increases </w:t>
      </w:r>
      <w:r w:rsidRPr="00A51466">
        <w:fldChar w:fldCharType="begin" w:fldLock="1"/>
      </w:r>
      <w:r w:rsidRPr="00A51466">
        <w:instrText>ADDIN CSL_CITATION {"citationItems":[{"id":"ITEM-1","itemData":{"DOI":"10.1126/sciadv.aat4313","ISSN":"23752548","abstract":"&lt;p&gt; Energy and water limitations of tree growth remain insufficiently understood at large spatiotemporal scales, hindering model representation of interannual or longer-term ecosystem processes. By assessing and statistically scaling the climatic drivers from 2710 tree-ring sites, we identified the boreal and temperate land areas where tree growth during 1930–1960 CE responded positively to temperature (20.8 ± 3.7 Mio km &lt;sup&gt;2&lt;/sup&gt; ; 25.9 ± 4.6%), precipitation (77.5 ± 3.3 Mio km &lt;sup&gt;2&lt;/sup&gt; ; 96.4 ± 4.1%), and other parameters. The spatial manifestation of this climate response is determined by latitudinal and altitudinal temperature gradients, indicating that warming leads to geographic shifts in growth limitations. We observed a significant ( &lt;italic&gt;P&lt;/italic&gt; &amp;lt; 0.001) decrease in temperature response at cold-dry sites between 1930–1960 and 1960–1990 CE, and the total temperature-limited area shrunk by −8.7 ± 0.6 Mio km &lt;sup&gt;2&lt;/sup&gt; . Simultaneously, trees became more limited by atmospheric water demand almost worldwide. These changes occurred under mild warming, and we expect that continued climate change will trigger a major redistribution in growth responses to climate. &lt;/p&gt;","author":[{"dropping-particle":"","family":"Babst","given":"Flurin","non-dropping-particle":"","parse-names":false,"suffix":""},{"dropping-particle":"","family":"Bouriaud","given":"Olivier","non-dropping-particle":"","parse-names":false,"suffix":""},{"dropping-particle":"","family":"Poulter","given":"Benjamin","non-dropping-particle":"","parse-names":false,"suffix":""},{"dropping-particle":"","family":"Trouet","given":"Valerie","non-dropping-particle":"","parse-names":false,"suffix":""},{"dropping-particle":"","family":"Girardin","given":"Martin P.","non-dropping-particle":"","parse-names":false,"suffix":""},{"dropping-particle":"","family":"Frank","given":"David C.","non-dropping-particle":"","parse-names":false,"suffix":""}],"container-title":"Science Advances","id":"ITEM-1","issued":{"date-parts":[["2019"]]},"title":"Twentieth century redistribution in climatic drivers of global tree growth","type":"article-journal"},"uris":["http://www.mendeley.com/documents/?uuid=03cccafe-d6be-4ab0-9e36-fdcffb1ff506"]}],"mendeley":{"formattedCitation":"(Babst &lt;i&gt;et al.&lt;/i&gt;, 2019)","plainTextFormattedCitation":"(Babst et al., 2019)","previouslyFormattedCitation":"(Babst &lt;i&gt;et al.&lt;/i&gt;, 2019)"},"properties":{"noteIndex":0},"schema":"https://github.com/citation-style-language/schema/raw/master/csl-citation.json"}</w:instrText>
      </w:r>
      <w:r w:rsidRPr="00A51466">
        <w:fldChar w:fldCharType="separate"/>
      </w:r>
      <w:r w:rsidRPr="00A51466">
        <w:rPr>
          <w:noProof/>
        </w:rPr>
        <w:t xml:space="preserve">(Novick </w:t>
      </w:r>
      <w:r w:rsidRPr="00A51466">
        <w:rPr>
          <w:i/>
          <w:noProof/>
        </w:rPr>
        <w:t>et al.</w:t>
      </w:r>
      <w:r w:rsidRPr="00A51466">
        <w:rPr>
          <w:noProof/>
        </w:rPr>
        <w:t xml:space="preserve"> 2016; Babst </w:t>
      </w:r>
      <w:r w:rsidRPr="00A51466">
        <w:rPr>
          <w:i/>
          <w:noProof/>
        </w:rPr>
        <w:t>et al.</w:t>
      </w:r>
      <w:r w:rsidRPr="00A51466">
        <w:rPr>
          <w:noProof/>
        </w:rPr>
        <w:t xml:space="preserve"> 2019)</w:t>
      </w:r>
      <w:r w:rsidRPr="00A51466">
        <w:fldChar w:fldCharType="end"/>
      </w:r>
      <w:r w:rsidRPr="00A51466">
        <w:t xml:space="preserve">. In relation to landscape water supply and demand, we show biomass and stomatal traits differ between field and greenhouse trees, suggesting that plasticity in these correlated traits may also vary on the landscape. Though, whether there are genetically-based differences in phenotypic plasticity requires further study (e.g., Barton </w:t>
      </w:r>
      <w:r w:rsidRPr="00A51466">
        <w:rPr>
          <w:i/>
          <w:iCs/>
        </w:rPr>
        <w:t>et al.</w:t>
      </w:r>
      <w:r w:rsidRPr="00A51466">
        <w:t xml:space="preserve"> 2020) of population tolerance to environmental conditions as well as their capacity to display a range of phenotypes </w:t>
      </w:r>
      <w:r w:rsidRPr="00A51466">
        <w:fldChar w:fldCharType="begin" w:fldLock="1"/>
      </w:r>
      <w:r w:rsidRPr="00A51466">
        <w:instrText>ADDIN CSL_CITATION {"citationItems":[{"id":"ITEM-1","itemData":{"DOI":"10.1016/j.tplants.2010.09.008","ISBN":"1360-1385","ISSN":"13601385","PMID":"20970368","abstract":"Climate change is altering the availability of resources and the conditions that are crucial to plant performance. One way plants will respond to these changes is through environmentally induced shifts in phenotype (phenotypic plasticity). Understanding plastic responses is crucial for predicting and managing the effects of climate change on native species as well as crop plants. Here, we provide a toolbox with definitions of key theoretical elements and a synthesis of the current understanding of the molecular and genetic mechanisms underlying plasticity relevant to climate change. By bringing ecological, evolutionary, physiological and molecular perspectives together, we hope to provide clear directives for future research and stimulate cross-disciplinary dialogue on the relevance of phenotypic plasticity under climate change. © 2010 Elsevier Ltd.","author":[{"dropping-particle":"","family":"Nicotra","given":"A. B.","non-dropping-particle":"","parse-names":false,"suffix":""},{"dropping-particle":"","family":"Atkin","given":"O. K.","non-dropping-particle":"","parse-names":false,"suffix":""},{"dropping-particle":"","family":"Bonser","given":"S. P.","non-dropping-particle":"","parse-names":false,"suffix":""},{"dropping-particle":"","family":"Davidson","given":"A. M.","non-dropping-particle":"","parse-names":false,"suffix":""},{"dropping-particle":"","family":"Finnegan","given":"E. J.","non-dropping-particle":"","parse-names":false,"suffix":""},{"dropping-particle":"","family":"Mathesius","given":"U.","non-dropping-particle":"","parse-names":false,"suffix":""},{"dropping-particle":"","family":"Poot","given":"P.","non-dropping-particle":"","parse-names":false,"suffix":""},{"dropping-particle":"","family":"Purugganan","given":"M. D.","non-dropping-particle":"","parse-names":false,"suffix":""},{"dropping-particle":"","family":"Richards","given":"C. L.","non-dropping-particle":"","parse-names":false,"suffix":""},{"dropping-particle":"","family":"Valladares","given":"F.","non-dropping-particle":"","parse-names":false,"suffix":""},{"dropping-particle":"","family":"Kleunen","given":"M.","non-dropping-particle":"van","parse-names":false,"suffix":""}],"container-title":"Trends in Plant Science","id":"ITEM-1","issued":{"date-parts":[["2010"]]},"title":"Plant phenotypic plasticity in a changing climate","type":"article"},"uris":["http://www.mendeley.com/documents/?uuid=d9fd364d-907b-3ffc-a13c-932798e3f88c"]}],"mendeley":{"formattedCitation":"(Nicotra &lt;i&gt;et al.&lt;/i&gt;, 2010)","plainTextFormattedCitation":"(Nicotra et al., 2010)","previouslyFormattedCitation":"(Nicotra &lt;i&gt;et al.&lt;/i&gt;, 2010)"},"properties":{"noteIndex":0},"schema":"https://github.com/citation-style-language/schema/raw/master/csl-citation.json"}</w:instrText>
      </w:r>
      <w:r w:rsidRPr="00A51466">
        <w:fldChar w:fldCharType="separate"/>
      </w:r>
      <w:r w:rsidRPr="00A51466">
        <w:rPr>
          <w:noProof/>
        </w:rPr>
        <w:t xml:space="preserve">(Nicotra </w:t>
      </w:r>
      <w:r w:rsidRPr="00A51466">
        <w:rPr>
          <w:i/>
          <w:noProof/>
        </w:rPr>
        <w:t>et al.</w:t>
      </w:r>
      <w:r w:rsidRPr="00A51466">
        <w:rPr>
          <w:noProof/>
        </w:rPr>
        <w:t xml:space="preserve"> 2010)</w:t>
      </w:r>
      <w:r w:rsidRPr="00A51466">
        <w:fldChar w:fldCharType="end"/>
      </w:r>
      <w:r w:rsidRPr="00A51466">
        <w:t xml:space="preserve">. If plastic, variation in these traits could affect population responses to a changing climate – either buffering against rapid environmental change or assisting in adaptation </w:t>
      </w:r>
      <w:r w:rsidRPr="00A51466">
        <w:fldChar w:fldCharType="begin" w:fldLock="1"/>
      </w:r>
      <w:r w:rsidRPr="00A51466">
        <w:instrText>ADDIN CSL_CITATION {"citationItems":[{"id":"ITEM-1","itemData":{"DOI":"10.1111/j.1420-9101.2009.01754.x","ISBN":"1420-9101","ISSN":"1010061X","PMID":"19467134","abstract":"Adaptation to a sudden extreme change in environment, beyond the usual range of background environmental fluctuations, is analysed using a quantitative genetic model of phenotypic plasticity. Generations are discrete, with time lag tau between a critical period for environmental influence on individual development and natural selection on adult phenotypes. The optimum phenotype, and genotypic norms of reaction, are linear functions of the environment. Reaction norm elevation and slope (plasticity) vary among genotypes. Initially, in the average background environment, the character is canalized with minimum genetic and phenotypic variance, and no correlation between reaction norm elevation and slope. The optimal plasticity is proportional to the predictability of environmental fluctuations over time lag tau. During the first generation in the new environment the mean fitness suddenly drops and the mean phenotype jumps towards the new optimum phenotype by plasticity. Subsequent adaptation occurs in two phases. Rapid evolution of increased plasticity allows the mean phenotype to closely approach the new optimum. The new phenotype then undergoes slow genetic assimilation, with reduction in plasticity compensated by genetic evolution of reaction norm elevation in the original environment.","author":[{"dropping-particle":"","family":"Lande","given":"R.","non-dropping-particle":"","parse-names":false,"suffix":""}],"container-title":"Journal of Evolutionary Biology","id":"ITEM-1","issued":{"date-parts":[["2009"]]},"title":"Adaptation to an extraordinary environment by evolution of phenotypic plasticity and genetic assimilation","type":"article-journal"},"uris":["http://www.mendeley.com/documents/?uuid=dad0d4d9-36fe-38a4-8d67-6ea71ff316ac"]},{"id":"ITEM-2","itemData":{"DOI":"10.1371/journal.pbio.1000357","ISBN":"1545-7885 (Electronic)\\n1544-9173 (Linking)","ISSN":"15449173","PMID":"20463950","abstract":"\n&lt;p&gt;The authors analyze developmental, genetic, and demographic mechanisms by which populations tolerate changing environments and discuss empirical methods for determining the critical rate of sustained environmental change that causes population extinction.&lt;/p&gt;\n","author":[{"dropping-particle":"","family":"Chevin","given":"Luis Miguel","non-dropping-particle":"","parse-names":false,"suffix":""},{"dropping-particle":"","family":"Lande","given":"Russell","non-dropping-particle":"","parse-names":false,"suffix":""},{"dropping-particle":"","family":"Mace","given":"Georgina M.","non-dropping-particle":"","parse-names":false,"suffix":""}],"container-title":"PLoS Biology","id":"ITEM-2","issued":{"date-parts":[["2010"]]},"title":"Adaptation, plasticity, and extinction in a changing environment: Towards a predictive theory","type":"article-journal"},"uris":["http://www.mendeley.com/documents/?uuid=92b28c5f-e0a6-35ef-ae49-4ad3a704e7bd"]},{"id":"ITEM-3","itemData":{"DOI":"10.1016/j.tplants.2010.09.008","ISBN":"1360-1385","ISSN":"13601385","PMID":"20970368","abstract":"Climate change is altering the availability of resources and the conditions that are crucial to plant performance. One way plants will respond to these changes is through environmentally induced shifts in phenotype (phenotypic plasticity). Understanding plastic responses is crucial for predicting and managing the effects of climate change on native species as well as crop plants. Here, we provide a toolbox with definitions of key theoretical elements and a synthesis of the current understanding of the molecular and genetic mechanisms underlying plasticity relevant to climate change. By bringing ecological, evolutionary, physiological and molecular perspectives together, we hope to provide clear directives for future research and stimulate cross-disciplinary dialogue on the relevance of phenotypic plasticity under climate change. © 2010 Elsevier Ltd.","author":[{"dropping-particle":"","family":"Nicotra","given":"A. B.","non-dropping-particle":"","parse-names":false,"suffix":""},{"dropping-particle":"","family":"Atkin","given":"O. K.","non-dropping-particle":"","parse-names":false,"suffix":""},{"dropping-particle":"","family":"Bonser","given":"S. P.","non-dropping-particle":"","parse-names":false,"suffix":""},{"dropping-particle":"","family":"Davidson","given":"A. M.","non-dropping-particle":"","parse-names":false,"suffix":""},{"dropping-particle":"","family":"Finnegan","given":"E. J.","non-dropping-particle":"","parse-names":false,"suffix":""},{"dropping-particle":"","family":"Mathesius","given":"U.","non-dropping-particle":"","parse-names":false,"suffix":""},{"dropping-particle":"","family":"Poot","given":"P.","non-dropping-particle":"","parse-names":false,"suffix":""},{"dropping-particle":"","family":"Purugganan","given":"M. D.","non-dropping-particle":"","parse-names":false,"suffix":""},{"dropping-particle":"","family":"Richards","given":"C. L.","non-dropping-particle":"","parse-names":false,"suffix":""},{"dropping-particle":"","family":"Valladares","given":"F.","non-dropping-particle":"","parse-names":false,"suffix":""},{"dropping-particle":"","family":"Kleunen","given":"M.","non-dropping-particle":"van","parse-names":false,"suffix":""}],"container-title":"Trends in Plant Science","id":"ITEM-3","issued":{"date-parts":[["2010"]]},"title":"Plant phenotypic plasticity in a changing climate","type":"article"},"uris":["http://www.mendeley.com/documents/?uuid=d9fd364d-907b-3ffc-a13c-932798e3f88c"]}],"mendeley":{"formattedCitation":"(Lande, 2009; Chevin &lt;i&gt;et al.&lt;/i&gt;, 2010; Nicotra &lt;i&gt;et al.&lt;/i&gt;, 2010)","plainTextFormattedCitation":"(Lande, 2009; Chevin et al., 2010; Nicotra et al., 2010)","previouslyFormattedCitation":"(Lande, 2009; Chevin &lt;i&gt;et al.&lt;/i&gt;, 2010; Nicotra &lt;i&gt;et al.&lt;/i&gt;, 2010)"},"properties":{"noteIndex":0},"schema":"https://github.com/citation-style-language/schema/raw/master/csl-citation.json"}</w:instrText>
      </w:r>
      <w:r w:rsidRPr="00A51466">
        <w:fldChar w:fldCharType="separate"/>
      </w:r>
      <w:r w:rsidRPr="00A51466">
        <w:rPr>
          <w:noProof/>
        </w:rPr>
        <w:t xml:space="preserve">(Lande 2009; Chevin </w:t>
      </w:r>
      <w:r w:rsidRPr="00A51466">
        <w:rPr>
          <w:i/>
          <w:noProof/>
        </w:rPr>
        <w:t>et al.</w:t>
      </w:r>
      <w:r w:rsidRPr="00A51466">
        <w:rPr>
          <w:noProof/>
        </w:rPr>
        <w:t xml:space="preserve"> 2010; Nicotra </w:t>
      </w:r>
      <w:r w:rsidRPr="00A51466">
        <w:rPr>
          <w:i/>
          <w:noProof/>
        </w:rPr>
        <w:t>et al.</w:t>
      </w:r>
      <w:r w:rsidRPr="00A51466">
        <w:rPr>
          <w:noProof/>
        </w:rPr>
        <w:t xml:space="preserve"> 2010)</w:t>
      </w:r>
      <w:r w:rsidRPr="00A51466">
        <w:fldChar w:fldCharType="end"/>
      </w:r>
      <w:r w:rsidRPr="00A51466">
        <w:t xml:space="preserve">; could modify the strength and direction of plant-atmosphere feedbacks. </w:t>
      </w:r>
    </w:p>
    <w:p w14:paraId="49CC7516" w14:textId="77777777" w:rsidR="004D30B5" w:rsidRPr="00A51466" w:rsidRDefault="004D30B5" w:rsidP="00A51466">
      <w:pPr>
        <w:pStyle w:val="Heading3"/>
        <w:spacing w:line="360" w:lineRule="auto"/>
        <w:jc w:val="both"/>
        <w:rPr>
          <w:szCs w:val="24"/>
        </w:rPr>
      </w:pPr>
      <w:r w:rsidRPr="00A51466">
        <w:rPr>
          <w:szCs w:val="24"/>
        </w:rPr>
        <w:t>Feedback</w:t>
      </w:r>
    </w:p>
    <w:p w14:paraId="43B4AB54" w14:textId="2B064756" w:rsidR="004D30B5" w:rsidRPr="00A51466" w:rsidRDefault="004D30B5" w:rsidP="00A51466">
      <w:pPr>
        <w:spacing w:line="360" w:lineRule="auto"/>
        <w:jc w:val="both"/>
      </w:pPr>
      <w:r w:rsidRPr="00A51466">
        <w:t>M</w:t>
      </w:r>
      <w:r w:rsidRPr="00A51466">
        <w:rPr>
          <w:color w:val="000000" w:themeColor="text1"/>
        </w:rPr>
        <w:t xml:space="preserve">uch variation in ecosystem function depends on the metabolic – often adaptive – characteristics of individual organisms, which are governed by laws of mass and energy balance </w:t>
      </w:r>
      <w:r w:rsidRPr="00A51466">
        <w:rPr>
          <w:color w:val="000000" w:themeColor="text1"/>
        </w:rPr>
        <w:fldChar w:fldCharType="begin" w:fldLock="1"/>
      </w:r>
      <w:r w:rsidRPr="00A51466">
        <w:rPr>
          <w:color w:val="000000" w:themeColor="text1"/>
        </w:rPr>
        <w:instrText>ADDIN CSL_CITATION {"citationItems":[{"id":"ITEM-1","itemData":{"DOI":"Doi 10.1890/03-9000","ISBN":"0012-9658","ISSN":"00129658","PMID":"21915553","abstract":"Metabolism provides a basis for using first principles of physics, chemistry, and biology to link the biology of individual organisms to the ecology of populations, communities, And ecosystems. Metabolic rate, the rate at which organisms take up, transform, and expend energy and materials, is the most fundamental biological rate. We have developed a quantitative theory for how metabolic rate varies with body size and temperature. Metabolic theory predicts how metabolic rate, by setting the rates of resource uptake from the environment and resource allocation to survival, growth, and reproduction, controls ecological processes at all levels of organization from individuals to the biosphere. Examples include: (1) life history attributes, including development rate, mortality rate, age at maturity, life span, and population growth rate; (2) population interactions, including carrying capacity, rates of competition and predation, and patterns of species diversity; and (3) ecosystem processes, including rates of biomass production and respiration and patterns of trophic dynamics. Data compiled from the ecological literature strongly support the theoretical predictions. Eventually, metabolic theory may provide a conceptual foundation for much of ecology, just as genetic theory provides a foundation for much of evolutionary biology.","author":[{"dropping-particle":"","family":"Brown","given":"J H","non-dropping-particle":"","parse-names":false,"suffix":""},{"dropping-particle":"","family":"Gillooly","given":"J F","non-dropping-particle":"","parse-names":false,"suffix":""},{"dropping-particle":"","family":"Allen","given":"A P","non-dropping-particle":"","parse-names":false,"suffix":""},{"dropping-particle":"","family":"Savage","given":"V M","non-dropping-particle":"","parse-names":false,"suffix":""},{"dropping-particle":"","family":"West","given":"G B","non-dropping-particle":"","parse-names":false,"suffix":""}],"container-title":"Ecology","id":"ITEM-1","issued":{"date-parts":[["2004"]]},"title":"Toward a metabolic theory of ecology","type":"article-journal"},"uris":["http://www.mendeley.com/documents/?uuid=1bfb4ec2-015d-354a-b1c3-588565d504e9"]}],"mendeley":{"formattedCitation":"(Brown &lt;i&gt;et al.&lt;/i&gt;, 2004)","plainTextFormattedCitation":"(Brown et al., 2004)","previouslyFormattedCitation":"(Brown &lt;i&gt;et al.&lt;/i&gt;, 2004)"},"properties":{"noteIndex":0},"schema":"https://github.com/citation-style-language/schema/raw/master/csl-citation.json"}</w:instrText>
      </w:r>
      <w:r w:rsidRPr="00A51466">
        <w:rPr>
          <w:color w:val="000000" w:themeColor="text1"/>
        </w:rPr>
        <w:fldChar w:fldCharType="separate"/>
      </w:r>
      <w:r w:rsidRPr="00A51466">
        <w:rPr>
          <w:noProof/>
          <w:color w:val="000000" w:themeColor="text1"/>
        </w:rPr>
        <w:t xml:space="preserve">(Brown </w:t>
      </w:r>
      <w:r w:rsidRPr="00A51466">
        <w:rPr>
          <w:i/>
          <w:noProof/>
          <w:color w:val="000000" w:themeColor="text1"/>
        </w:rPr>
        <w:t>et al.</w:t>
      </w:r>
      <w:r w:rsidRPr="00A51466">
        <w:rPr>
          <w:noProof/>
          <w:color w:val="000000" w:themeColor="text1"/>
        </w:rPr>
        <w:t xml:space="preserve"> 2004)</w:t>
      </w:r>
      <w:r w:rsidRPr="00A51466">
        <w:rPr>
          <w:color w:val="000000" w:themeColor="text1"/>
        </w:rPr>
        <w:fldChar w:fldCharType="end"/>
      </w:r>
      <w:r w:rsidRPr="00A51466">
        <w:rPr>
          <w:color w:val="000000" w:themeColor="text1"/>
        </w:rPr>
        <w:t>.</w:t>
      </w:r>
      <w:r w:rsidRPr="00A51466">
        <w:t xml:space="preserve"> Above, we discussed how large-scale mass-energy relationships of the water cycle drive the evolution of plant populations to control water use (</w:t>
      </w:r>
      <w:r w:rsidR="003114A7" w:rsidRPr="00A51466">
        <w:t>Figure</w:t>
      </w:r>
      <w:r w:rsidRPr="00A51466">
        <w:t xml:space="preserve"> 3a; 3b). These trait differences surely manifest in the observed landscape patterns seen </w:t>
      </w:r>
      <w:r w:rsidR="00246C7B" w:rsidRPr="00A51466">
        <w:t>in</w:t>
      </w:r>
      <w:r w:rsidRPr="00A51466">
        <w:t xml:space="preserve"> 1) actual evapotranspiration (AET) on the landscape (</w:t>
      </w:r>
      <w:r w:rsidR="003114A7" w:rsidRPr="00A51466">
        <w:t>Figure</w:t>
      </w:r>
      <w:r w:rsidRPr="00A51466">
        <w:t xml:space="preserve"> 5a); 2) the relationship between AET and PET on the landscape (</w:t>
      </w:r>
      <w:r w:rsidR="003114A7" w:rsidRPr="00A51466">
        <w:t>Figure</w:t>
      </w:r>
      <w:r w:rsidRPr="00A51466">
        <w:t xml:space="preserve"> 5c); </w:t>
      </w:r>
      <w:r w:rsidR="00246C7B" w:rsidRPr="00A51466">
        <w:t>and</w:t>
      </w:r>
      <w:r w:rsidRPr="00A51466">
        <w:t xml:space="preserve"> 3) predictions of Q on the landscape (</w:t>
      </w:r>
      <w:r w:rsidR="003114A7" w:rsidRPr="00A51466">
        <w:t>Figure</w:t>
      </w:r>
      <w:r w:rsidRPr="00A51466">
        <w:t xml:space="preserve"> 5d). </w:t>
      </w:r>
      <w:r w:rsidRPr="00A51466">
        <w:rPr>
          <w:color w:val="000000" w:themeColor="text1"/>
        </w:rPr>
        <w:t xml:space="preserve">Transpiration </w:t>
      </w:r>
      <w:r w:rsidRPr="00A51466">
        <w:t xml:space="preserve">totals, on average, 80% - 90% of evapotranspiration on the landscape </w:t>
      </w:r>
      <w:r w:rsidRPr="00A51466">
        <w:fldChar w:fldCharType="begin" w:fldLock="1"/>
      </w:r>
      <w:r w:rsidRPr="00A51466">
        <w:instrText>ADDIN CSL_CITATION {"citationItems":[{"id":"ITEM-1","itemData":{"author":[{"dropping-particle":"","family":"Jasechko","given":"Scott","non-dropping-particle":"","parse-names":false,"suffix":""},{"dropping-particle":"","family":"Sharp","given":"Zachary D","non-dropping-particle":"","parse-names":false,"suffix":""},{"dropping-particle":"","family":"Gibson","given":"John J","non-dropping-particle":"","parse-names":false,"suffix":""},{"dropping-particle":"","family":"Birks","given":"S. Jean","non-dropping-particle":"","parse-names":false,"suffix":""},{"dropping-particle":"","family":"Yi","given":"Yi","non-dropping-particle":"","parse-names":false,"suffix":""},{"dropping-particle":"","family":"Fawcett","given":"Peter J","non-dropping-particle":"","parse-names":false,"suffix":""}],"container-title":"Nature","id":"ITEM-1","issued":{"date-parts":[["2013"]]},"page":"347-351","title":"Terrestrial water fluxes dominated by transpiration","type":"article-journal","volume":"496"},"uris":["http://www.mendeley.com/documents/?uuid=3ebe448d-e816-3f28-abbd-bf5407673de0"]}],"mendeley":{"formattedCitation":"(Jasechko &lt;i&gt;et al.&lt;/i&gt;, 2013)","plainTextFormattedCitation":"(Jasechko et al., 2013)","previouslyFormattedCitation":"(Jasechko &lt;i&gt;et al.&lt;/i&gt;, 2013)"},"properties":{"noteIndex":0},"schema":"https://github.com/citation-style-language/schema/raw/master/csl-citation.json"}</w:instrText>
      </w:r>
      <w:r w:rsidRPr="00A51466">
        <w:fldChar w:fldCharType="separate"/>
      </w:r>
      <w:r w:rsidRPr="00A51466">
        <w:rPr>
          <w:noProof/>
        </w:rPr>
        <w:t xml:space="preserve">(Jasechko </w:t>
      </w:r>
      <w:r w:rsidRPr="00A51466">
        <w:rPr>
          <w:i/>
          <w:noProof/>
        </w:rPr>
        <w:t>et al.</w:t>
      </w:r>
      <w:r w:rsidRPr="00A51466">
        <w:rPr>
          <w:noProof/>
        </w:rPr>
        <w:t xml:space="preserve"> 2013)</w:t>
      </w:r>
      <w:r w:rsidRPr="00A51466">
        <w:fldChar w:fldCharType="end"/>
      </w:r>
      <w:r w:rsidRPr="00A51466">
        <w:t xml:space="preserve">, such that these genetically-based trait divergences across plant populations </w:t>
      </w:r>
      <w:r w:rsidRPr="00A51466">
        <w:rPr>
          <w:bCs/>
        </w:rPr>
        <w:t>(</w:t>
      </w:r>
      <w:r w:rsidR="003114A7" w:rsidRPr="00A51466">
        <w:rPr>
          <w:bCs/>
        </w:rPr>
        <w:t>Figure</w:t>
      </w:r>
      <w:r w:rsidRPr="00A51466">
        <w:rPr>
          <w:bCs/>
        </w:rPr>
        <w:t xml:space="preserve"> 2) should</w:t>
      </w:r>
      <w:r w:rsidRPr="00A51466">
        <w:t xml:space="preserve"> cause populations to respond, and feedback, differently to water and energy availability. Because the water cycle is influenced significantly by genetically based plant traits, we demonstrate how among-population level evolutionary processes can result in variation in plant-atmosphere feedbacks on a geographic scale. All other work at this scale has been in the context of plant-soil relationships </w:t>
      </w:r>
      <w:r w:rsidRPr="00A51466">
        <w:fldChar w:fldCharType="begin" w:fldLock="1"/>
      </w:r>
      <w:r w:rsidRPr="00A51466">
        <w:instrText>ADDIN CSL_CITATION {"citationItems":[{"id":"ITEM-1","itemData":{"DOI":"10.1111/1365-2435.13267","ISSN":"13652435","abstract":"&lt;section class=\"article-section article-section__abstract\" lang=\"en\" data-lang=\"en\" id=\"section-1-en\"&gt;\n   &lt;h3 class=\"article-section__header main main\"&gt;Abstract&lt;/h3&gt;\n   &lt;div class=\"article-section__content en main\"&gt;\n      \n      &lt;p&gt;1.Unifying ecosystem ecology and evolutionary biology promises a more complete understanding of the processes that link different levels of biological organization across space and time. Feedbacks across levels of organization link theory associated with eco‐evolutionary dynamics, niche construction, and the geographic mosaic theory of co‐evolution.&lt;/p&gt;\n      &lt;p&gt;2.We describe a conceptual model, which builds upon previous work that shows how feedback among different levels of biological organization can link ecosystem and evolutionary processes over space and time. We provide empirical examples across terrestrial and aquatic systems that indicate broad generality of the conceptual framework and discuss its macroevolutionary consequences.&lt;/p&gt;\n      &lt;p&gt;3.Our conceptual model is based on three premises: genetically‐based species interactions can vary spatially and temporally from positive to neutral (i.e., no net feedback) to negative and drive evolutionary change; this evolutionary change can drive divergence in niche construction and ecosystem function; and lastly, such ecosystem‐level effects can reinforce spatiotemporal variation in evolutionary dynamics. Just as evolution can alter ecosystem function locally and across the landscape differently, variation in ecosystem processes can drive evolution locally and across the landscape differently.&lt;/p&gt;\n      &lt;p&gt;4.By highlighting our current knowledge of eco‐evolutionary feedbacks in ecosystems, as well as information gaps, we provide a foundation for understanding the interplay between biodiversity and ecosystem function through an eco‐evolutionary lens.&lt;/p&gt;\n      &lt;p&gt;This article is protected by copyright. All rights reserved.&lt;/p&gt;","author":[{"dropping-particle":"","family":"Ware","given":"Ian M.","non-dropping-particle":"","parse-names":false,"suffix":""},{"dropping-particle":"","family":"Fitzpatrick","given":"Connor R.","non-dropping-particle":"","parse-names":false,"suffix":""},{"dropping-particle":"","family":"Senthilnathan","given":"Athmanathan","non-dropping-particle":"","parse-names":false,"suffix":""},{"dropping-particle":"","family":"Bayliss","given":"Shannon L.J.","non-dropping-particle":"","parse-names":false,"suffix":""},{"dropping-particle":"","family":"Beals","given":"Kendall K.","non-dropping-particle":"","parse-names":false,"suffix":""},{"dropping-particle":"","family":"Mueller","given":"Liam O.","non-dropping-particle":"","parse-names":false,"suffix":""},{"dropping-particle":"","family":"Summers","given":"Jennifer L.","non-dropping-particle":"","parse-names":false,"suffix":""},{"dropping-particle":"","family":"Wooliver","given":"Rachel C.","non-dropping-particle":"","parse-names":false,"suffix":""},{"dropping-particle":"","family":"Nuland","given":"Michael E.","non-dropping-particle":"Van","parse-names":false,"suffix":""},{"dropping-particle":"","family":"Kinnison","given":"Michael T.","non-dropping-particle":"","parse-names":false,"suffix":""},{"dropping-particle":"","family":"Palkovacs","given":"Eric P.","non-dropping-particle":"","parse-names":false,"suffix":""},{"dropping-particle":"","family":"Schweitzer","given":"Jennifer A.","non-dropping-particle":"","parse-names":false,"suffix":""},{"dropping-particle":"","family":"Bailey","given":"Joseph K.","non-dropping-particle":"","parse-names":false,"suffix":""}],"container-title":"Functional Ecology","id":"ITEM-1","issued":{"date-parts":[["2019"]]},"title":"Feedbacks link ecosystem ecology and evolution across spatial and temporal scales: Empirical evidence and future directions","type":"article-journal"},"uris":["http://www.mendeley.com/documents/?uuid=f8a79089-bbad-4def-af73-fbb663fb6167"]},{"id":"ITEM-2","itemData":{"DOI":"10.1111/1365-2435.13259","ISSN":"13652435","abstract":"Abstract Plant species that occur in different soil nutrient environments often vary in plant functional traits that affect soil nutrient cycling, creating positive feedbacks that reinforce nutrient availability. Variation in such nutrient feedbacks could affect plant fitness, but few studies have explored the eco-evolutionary dynamics of within-species nutrient feedbacks, and the role that soil communities may play in mediating plant evolutionary responses. We investigated whether a widespread Populus species regulates soil fertility, resulting in positive nutrient feedbacks that influence population divergence. Here, we combined field observations, a reciprocal transplant experiment, and soil community sequencing to test how nutrient feedbacks might facilitate plant adaptation to soil environments. We find that: (1) Plant populations exist along a soil fertility gradient in the field and display trait variation consistent with positive nutrient feedbacks, (2) populations assemble distinct soil prokaryotic communities that are structured by soil chemistry, (3) populations show inconsistent patterns of local adaptation to their soil communities, however (4) genetic variation in plant?soil interactions reinforces soil nutrient differences. Soil communities may mediate variation in plant adaptation across a soil fertility gradient such that plant?soil interactions reinforce positive nutrient feedbacks. Identifying the eco-evolutionary links between plant trait variation, soil nutrients and microbial communities demonstrates that plants modify and adapt to soil environments. These results support the hypothesis that eco-evolutionary feedbacks may result when plant?soil interactions (eco) affect ecosystem-level processes that sustain population-level feedbacks and selective gradients (evo). A plain language summary is available for this article.","author":[{"dropping-particle":"","family":"Nuland","given":"Michael E.","non-dropping-particle":"Van","parse-names":false,"suffix":""},{"dropping-particle":"","family":"Ware","given":"Ian M.","non-dropping-particle":"","parse-names":false,"suffix":""},{"dropping-particle":"","family":"Bailey","given":"Joseph K.","non-dropping-particle":"","parse-names":false,"suffix":""},{"dropping-particle":"","family":"Schweitzer","given":"Jennifer A.","non-dropping-particle":"","parse-names":false,"suffix":""}],"container-title":"Functional Ecology","id":"ITEM-2","issued":{"date-parts":[["2019"]]},"title":"Ecosystem feedbacks contribute to geographic variation in plant–soil eco-evolutionary dynamics across a fertility gradient","type":"article-journal"},"uris":["http://www.mendeley.com/documents/?uuid=9de79706-9585-4fbb-8ad8-445e6655f802"]},{"id":"ITEM-3","itemData":{"DOI":"10.1111/1365-2435.12690","ISSN":"02698463","author":[{"dropping-particle":"","family":"Nuland","given":"Michael E.","non-dropping-particle":"Van","parse-names":false,"suffix":""},{"dropping-particle":"","family":"Wooliver","given":"Rachel C.","non-dropping-particle":"","parse-names":false,"suffix":""},{"dropping-particle":"","family":"Pfennigwerth","given":"Alix A.","non-dropping-particle":"","parse-names":false,"suffix":""},{"dropping-particle":"","family":"Read","given":"Quentin D.","non-dropping-particle":"","parse-names":false,"suffix":""},{"dropping-particle":"","family":"Ware","given":"Ian M.","non-dropping-particle":"","parse-names":false,"suffix":""},{"dropping-particle":"","family":"Mueller","given":"Liam","non-dropping-particle":"","parse-names":false,"suffix":""},{"dropping-particle":"","family":"Fordyce","given":"James A.","non-dropping-particle":"","parse-names":false,"suffix":""},{"dropping-particle":"","family":"Schweitzer","given":"Jennifer A.","non-dropping-particle":"","parse-names":false,"suffix":""},{"dropping-particle":"","family":"Bailey","given":"Joseph K.","non-dropping-particle":"","parse-names":false,"suffix":""}],"container-title":"Functional Ecology","editor":[{"dropping-particle":"","family":"Fox","given":"Charles","non-dropping-particle":"","parse-names":false,"suffix":""}],"id":"ITEM-3","issue":"7","issued":{"date-parts":[["2016","7"]]},"page":"1032-1042","title":"Plant-soil feedbacks: connecting ecosystem ecology and evolution","type":"article-journal","volume":"30"},"uris":["http://www.mendeley.com/documents/?uuid=c850edc9-6989-3b70-99ed-e222307cb1e5"]},{"id":"ITEM-4","itemData":{"DOI":"10.1038/s41559-017-0150","ISSN":"2397334X","abstract":"Variable plant–soil biotic interactions influence the migration and fragmentation of tree species, and models will need to incorporate soil parameters to more accurately predict future species distributions.","author":[{"dropping-particle":"","family":"Nuland","given":"Michael E.","non-dropping-particle":"Van","parse-names":false,"suffix":""},{"dropping-particle":"","family":"Bailey","given":"Joseph K.","non-dropping-particle":"","parse-names":false,"suffix":""},{"dropping-particle":"","family":"Schweitzer","given":"Jennifer A.","non-dropping-particle":"","parse-names":false,"suffix":""}],"container-title":"Nature Ecology and Evolution","id":"ITEM-4","issued":{"date-parts":[["2017"]]},"title":"Divergent plant-soil feedbacks could alter future elevation ranges and ecosystem dynamics","type":"article-journal"},"uris":["http://www.mendeley.com/documents/?uuid=8f8fad7d-fedd-463e-98bf-3879c4b659ce"]},{"id":"ITEM-5","itemData":{"DOI":"10.1002/ecs2.2409","ISSN":"21508925","abstract":"Plant-soil feedbacks (PSFs) are important drivers of plant community structure and diversity, with species varying in the way they both condition soils and respond to them. While plant phylogenetic relationships alone can predict this variation in some instances, trait conservatism across phylogenies may provide more reliable predictions. Using integrated common garden and glasshouse inoculation experiments including 13 Eucalyptus species across two subgenera, we specifically investigated soil microbial conditioning and root chemical traits as underlying drivers of phylogenetic differences in PSF. We found that eucalypt species responded variably to soils conditioned by closely related species, depending on their phylogenetic lineage, which was further related to root terpene concentrations and the presence/absence of specific fungal taxa in conditioned soils. Overall, these findings show that trait conservatism in root chemical traits and the subsequent conditioning of soil microbial communities can explain whether or not plants show phylogenetic patterns in PSF.","author":[{"dropping-particle":"","family":"Senior","given":"John K.","non-dropping-particle":"","parse-names":false,"suffix":""},{"dropping-particle":"","family":"Potts","given":"Brad M.","non-dropping-particle":"","parse-names":false,"suffix":""},{"dropping-particle":"","family":"O'Reilly-Wapstra","given":"Julianne M.","non-dropping-particle":"","parse-names":false,"suffix":""},{"dropping-particle":"","family":"Bissett","given":"Andrew","non-dropping-particle":"","parse-names":false,"suffix":""},{"dropping-particle":"","family":"Wooliver","given":"Rachel C.","non-dropping-particle":"","parse-names":false,"suffix":""},{"dropping-particle":"","family":"Bailey","given":"Joseph K.","non-dropping-particle":"","parse-names":false,"suffix":""},{"dropping-particle":"","family":"Glen","given":"Morag","non-dropping-particle":"","parse-names":false,"suffix":""},{"dropping-particle":"","family":"Schweitzer","given":"Jennifer A.","non-dropping-particle":"","parse-names":false,"suffix":""}],"container-title":"Ecosphere","id":"ITEM-5","issued":{"date-parts":[["2018"]]},"title":"Phylogenetic trait conservatism predicts patterns of plant-soil feedback","type":"article-journal"},"uris":["http://www.mendeley.com/documents/?uuid=6e34da87-6df0-46e3-a6c2-248987c0020c"]}],"mendeley":{"formattedCitation":"(Van Nuland &lt;i&gt;et al.&lt;/i&gt;, 2016, 2017, 2019; Senior &lt;i&gt;et al.&lt;/i&gt;, 2018; Ware &lt;i&gt;et al.&lt;/i&gt;, 2019a)","plainTextFormattedCitation":"(Van Nuland et al., 2016, 2017, 2019; Senior et al., 2018; Ware et al., 2019a)","previouslyFormattedCitation":"(Van Nuland &lt;i&gt;et al.&lt;/i&gt;, 2016, 2017, 2019; Senior &lt;i&gt;et al.&lt;/i&gt;, 2018; Ware &lt;i&gt;et al.&lt;/i&gt;, 2019a)"},"properties":{"noteIndex":0},"schema":"https://github.com/citation-style-language/schema/raw/master/csl-citation.json"}</w:instrText>
      </w:r>
      <w:r w:rsidRPr="00A51466">
        <w:fldChar w:fldCharType="separate"/>
      </w:r>
      <w:r w:rsidRPr="00A51466">
        <w:rPr>
          <w:noProof/>
        </w:rPr>
        <w:t xml:space="preserve">(Van Nuland </w:t>
      </w:r>
      <w:r w:rsidRPr="00A51466">
        <w:rPr>
          <w:i/>
          <w:noProof/>
        </w:rPr>
        <w:t>et al.</w:t>
      </w:r>
      <w:r w:rsidRPr="00A51466">
        <w:rPr>
          <w:noProof/>
        </w:rPr>
        <w:t xml:space="preserve"> 2016, 2017, 2019; Senior </w:t>
      </w:r>
      <w:r w:rsidRPr="00A51466">
        <w:rPr>
          <w:i/>
          <w:noProof/>
        </w:rPr>
        <w:t>et al.</w:t>
      </w:r>
      <w:r w:rsidRPr="00A51466">
        <w:rPr>
          <w:noProof/>
        </w:rPr>
        <w:t xml:space="preserve"> 2018; Ware </w:t>
      </w:r>
      <w:r w:rsidRPr="00A51466">
        <w:rPr>
          <w:i/>
          <w:noProof/>
        </w:rPr>
        <w:t>et al.</w:t>
      </w:r>
      <w:r w:rsidRPr="00A51466">
        <w:rPr>
          <w:noProof/>
        </w:rPr>
        <w:t xml:space="preserve"> 2019a)</w:t>
      </w:r>
      <w:r w:rsidRPr="00A51466">
        <w:fldChar w:fldCharType="end"/>
      </w:r>
      <w:r w:rsidRPr="00A51466">
        <w:t xml:space="preserve">. </w:t>
      </w:r>
      <w:r w:rsidRPr="00A51466">
        <w:rPr>
          <w:color w:val="000000" w:themeColor="text1"/>
        </w:rPr>
        <w:t>I</w:t>
      </w:r>
      <w:r w:rsidRPr="00A51466">
        <w:t xml:space="preserve">n drought conditions, the ability of plants to control water can alter feedbacks to the atmosphere (AET), while the ability of plants to opportunistically obtain water from </w:t>
      </w:r>
      <w:r w:rsidRPr="00A51466">
        <w:lastRenderedPageBreak/>
        <w:t>different sources (e.g., Snyder &amp; Williams 2000) may alter stream flow (Q) and entire stream ecosystems.</w:t>
      </w:r>
    </w:p>
    <w:p w14:paraId="051D834C" w14:textId="77777777" w:rsidR="004D30B5" w:rsidRPr="00A51466" w:rsidRDefault="004D30B5" w:rsidP="00A51466">
      <w:pPr>
        <w:spacing w:line="360" w:lineRule="auto"/>
        <w:ind w:firstLine="720"/>
        <w:jc w:val="both"/>
        <w:rPr>
          <w:color w:val="000000" w:themeColor="text1"/>
        </w:rPr>
      </w:pPr>
      <w:r w:rsidRPr="00A51466">
        <w:t xml:space="preserve">Scaling ecosystem feedbacks to global processes is a difficult challenge for ecosystem ecologists yet is crucial for understanding how populations are spatially distributed and the selective forces that act on the populations. Functional traits of organisms generally vary across large environmental gradients making it likely that similar feedbacks are common due to the interaction between environmental gradients and legacy effects of trait-based species interactions </w:t>
      </w:r>
      <w:r w:rsidRPr="00A51466">
        <w:fldChar w:fldCharType="begin" w:fldLock="1"/>
      </w:r>
      <w:r w:rsidRPr="00A51466">
        <w:instrText>ADDIN CSL_CITATION {"citationItems":[{"id":"ITEM-1","itemData":{"DOI":"10.1111/1365-2435.13267","ISSN":"13652435","abstract":"&lt;section class=\"article-section article-section__abstract\" lang=\"en\" data-lang=\"en\" id=\"section-1-en\"&gt;\n   &lt;h3 class=\"article-section__header main main\"&gt;Abstract&lt;/h3&gt;\n   &lt;div class=\"article-section__content en main\"&gt;\n      \n      &lt;p&gt;1.Unifying ecosystem ecology and evolutionary biology promises a more complete understanding of the processes that link different levels of biological organization across space and time. Feedbacks across levels of organization link theory associated with eco‐evolutionary dynamics, niche construction, and the geographic mosaic theory of co‐evolution.&lt;/p&gt;\n      &lt;p&gt;2.We describe a conceptual model, which builds upon previous work that shows how feedback among different levels of biological organization can link ecosystem and evolutionary processes over space and time. We provide empirical examples across terrestrial and aquatic systems that indicate broad generality of the conceptual framework and discuss its macroevolutionary consequences.&lt;/p&gt;\n      &lt;p&gt;3.Our conceptual model is based on three premises: genetically‐based species interactions can vary spatially and temporally from positive to neutral (i.e., no net feedback) to negative and drive evolutionary change; this evolutionary change can drive divergence in niche construction and ecosystem function; and lastly, such ecosystem‐level effects can reinforce spatiotemporal variation in evolutionary dynamics. Just as evolution can alter ecosystem function locally and across the landscape differently, variation in ecosystem processes can drive evolution locally and across the landscape differently.&lt;/p&gt;\n      &lt;p&gt;4.By highlighting our current knowledge of eco‐evolutionary feedbacks in ecosystems, as well as information gaps, we provide a foundation for understanding the interplay between biodiversity and ecosystem function through an eco‐evolutionary lens.&lt;/p&gt;\n      &lt;p&gt;This article is protected by copyright. All rights reserved.&lt;/p&gt;","author":[{"dropping-particle":"","family":"Ware","given":"Ian M.","non-dropping-particle":"","parse-names":false,"suffix":""},{"dropping-particle":"","family":"Fitzpatrick","given":"Connor R.","non-dropping-particle":"","parse-names":false,"suffix":""},{"dropping-particle":"","family":"Senthilnathan","given":"Athmanathan","non-dropping-particle":"","parse-names":false,"suffix":""},{"dropping-particle":"","family":"Bayliss","given":"Shannon L.J.","non-dropping-particle":"","parse-names":false,"suffix":""},{"dropping-particle":"","family":"Beals","given":"Kendall K.","non-dropping-particle":"","parse-names":false,"suffix":""},{"dropping-particle":"","family":"Mueller","given":"Liam O.","non-dropping-particle":"","parse-names":false,"suffix":""},{"dropping-particle":"","family":"Summers","given":"Jennifer L.","non-dropping-particle":"","parse-names":false,"suffix":""},{"dropping-particle":"","family":"Wooliver","given":"Rachel C.","non-dropping-particle":"","parse-names":false,"suffix":""},{"dropping-particle":"","family":"Nuland","given":"Michael E.","non-dropping-particle":"Van","parse-names":false,"suffix":""},{"dropping-particle":"","family":"Kinnison","given":"Michael T.","non-dropping-particle":"","parse-names":false,"suffix":""},{"dropping-particle":"","family":"Palkovacs","given":"Eric P.","non-dropping-particle":"","parse-names":false,"suffix":""},{"dropping-particle":"","family":"Schweitzer","given":"Jennifer A.","non-dropping-particle":"","parse-names":false,"suffix":""},{"dropping-particle":"","family":"Bailey","given":"Joseph K.","non-dropping-particle":"","parse-names":false,"suffix":""}],"container-title":"Functional Ecology","id":"ITEM-1","issued":{"date-parts":[["2019"]]},"title":"Feedbacks link ecosystem ecology and evolution across spatial and temporal scales: Empirical evidence and future directions","type":"article-journal"},"uris":["http://www.mendeley.com/documents/?uuid=f8a79089-bbad-4def-af73-fbb663fb6167"]},{"id":"ITEM-2","itemData":{"DOI":"10.1111/1365-2435.13259","ISSN":"13652435","abstract":"Abstract Plant species that occur in different soil nutrient environments often vary in plant functional traits that affect soil nutrient cycling, creating positive feedbacks that reinforce nutrient availability. Variation in such nutrient feedbacks could affect plant fitness, but few studies have explored the eco-evolutionary dynamics of within-species nutrient feedbacks, and the role that soil communities may play in mediating plant evolutionary responses. We investigated whether a widespread Populus species regulates soil fertility, resulting in positive nutrient feedbacks that influence population divergence. Here, we combined field observations, a reciprocal transplant experiment, and soil community sequencing to test how nutrient feedbacks might facilitate plant adaptation to soil environments. We find that: (1) Plant populations exist along a soil fertility gradient in the field and display trait variation consistent with positive nutrient feedbacks, (2) populations assemble distinct soil prokaryotic communities that are structured by soil chemistry, (3) populations show inconsistent patterns of local adaptation to their soil communities, however (4) genetic variation in plant?soil interactions reinforces soil nutrient differences. Soil communities may mediate variation in plant adaptation across a soil fertility gradient such that plant?soil interactions reinforce positive nutrient feedbacks. Identifying the eco-evolutionary links between plant trait variation, soil nutrients and microbial communities demonstrates that plants modify and adapt to soil environments. These results support the hypothesis that eco-evolutionary feedbacks may result when plant?soil interactions (eco) affect ecosystem-level processes that sustain population-level feedbacks and selective gradients (evo). A plain language summary is available for this article.","author":[{"dropping-particle":"","family":"Nuland","given":"Michael E.","non-dropping-particle":"Van","parse-names":false,"suffix":""},{"dropping-particle":"","family":"Ware","given":"Ian M.","non-dropping-particle":"","parse-names":false,"suffix":""},{"dropping-particle":"","family":"Bailey","given":"Joseph K.","non-dropping-particle":"","parse-names":false,"suffix":""},{"dropping-particle":"","family":"Schweitzer","given":"Jennifer A.","non-dropping-particle":"","parse-names":false,"suffix":""}],"container-title":"Functional Ecology","id":"ITEM-2","issued":{"date-parts":[["2019"]]},"title":"Ecosystem feedbacks contribute to geographic variation in plant–soil eco-evolutionary dynamics across a fertility gradient","type":"article-journal"},"uris":["http://www.mendeley.com/documents/?uuid=9de79706-9585-4fbb-8ad8-445e6655f802"]}],"mendeley":{"formattedCitation":"(Van Nuland &lt;i&gt;et al.&lt;/i&gt;, 2019; Ware &lt;i&gt;et al.&lt;/i&gt;, 2019a)","manualFormatting":"(Van Nuland et al., 2019; Ware et al., 2019; Fitzpatrick et al., 2019)","plainTextFormattedCitation":"(Van Nuland et al., 2019; Ware et al., 2019a)","previouslyFormattedCitation":"(Van Nuland &lt;i&gt;et al.&lt;/i&gt;, 2019; Ware &lt;i&gt;et al.&lt;/i&gt;, 2019a)"},"properties":{"noteIndex":0},"schema":"https://github.com/citation-style-language/schema/raw/master/csl-citation.json"}</w:instrText>
      </w:r>
      <w:r w:rsidRPr="00A51466">
        <w:fldChar w:fldCharType="separate"/>
      </w:r>
      <w:r w:rsidRPr="00A51466">
        <w:rPr>
          <w:noProof/>
        </w:rPr>
        <w:t xml:space="preserve">(Van Nuland </w:t>
      </w:r>
      <w:r w:rsidRPr="00A51466">
        <w:rPr>
          <w:i/>
          <w:iCs/>
          <w:noProof/>
        </w:rPr>
        <w:t xml:space="preserve">et al. </w:t>
      </w:r>
      <w:r w:rsidRPr="00A51466">
        <w:rPr>
          <w:noProof/>
        </w:rPr>
        <w:t xml:space="preserve">2019; Ware </w:t>
      </w:r>
      <w:r w:rsidRPr="00A51466">
        <w:rPr>
          <w:i/>
          <w:iCs/>
          <w:noProof/>
        </w:rPr>
        <w:t>et al.</w:t>
      </w:r>
      <w:r w:rsidRPr="00A51466">
        <w:rPr>
          <w:noProof/>
        </w:rPr>
        <w:t xml:space="preserve"> 2019; Fitzpatrick </w:t>
      </w:r>
      <w:r w:rsidRPr="00A51466">
        <w:rPr>
          <w:i/>
          <w:iCs/>
          <w:noProof/>
        </w:rPr>
        <w:t>et al.</w:t>
      </w:r>
      <w:r w:rsidRPr="00A51466">
        <w:rPr>
          <w:noProof/>
        </w:rPr>
        <w:t xml:space="preserve"> 2019)</w:t>
      </w:r>
      <w:r w:rsidRPr="00A51466">
        <w:fldChar w:fldCharType="end"/>
      </w:r>
      <w:r w:rsidRPr="00A51466">
        <w:t>. A</w:t>
      </w:r>
      <w:r w:rsidRPr="00A51466">
        <w:rPr>
          <w:color w:val="000000" w:themeColor="text1"/>
        </w:rPr>
        <w:t xml:space="preserve"> separate exploration of the </w:t>
      </w:r>
      <w:proofErr w:type="spellStart"/>
      <w:r w:rsidRPr="00A51466">
        <w:rPr>
          <w:color w:val="000000" w:themeColor="text1"/>
        </w:rPr>
        <w:t>Budyko</w:t>
      </w:r>
      <w:proofErr w:type="spellEnd"/>
      <w:r w:rsidRPr="00A51466">
        <w:rPr>
          <w:color w:val="000000" w:themeColor="text1"/>
        </w:rPr>
        <w:t xml:space="preserve"> model revealed plant adaptations to be simultaneously a cause and consequence of the water cycle, showing how rooting structure and transpiration efficiency have adapted to the dryness index </w:t>
      </w:r>
      <w:r w:rsidRPr="00A51466">
        <w:rPr>
          <w:color w:val="000000" w:themeColor="text1"/>
        </w:rPr>
        <w:fldChar w:fldCharType="begin" w:fldLock="1"/>
      </w:r>
      <w:r w:rsidRPr="00A51466">
        <w:rPr>
          <w:color w:val="000000" w:themeColor="text1"/>
        </w:rPr>
        <w:instrText>ADDIN CSL_CITATION {"citationItems":[{"id":"ITEM-1","itemData":{"DOI":"10.1029/2012GL053492","ISSN":"00948276","author":[{"dropping-particle":"","family":"Gentine","given":"Pierre","non-dropping-particle":"","parse-names":false,"suffix":""},{"dropping-particle":"","family":"D'Odorico","given":"Paolo","non-dropping-particle":"","parse-names":false,"suffix":""},{"dropping-particle":"","family":"Lintner","given":"Benjamin R.","non-dropping-particle":"","parse-names":false,"suffix":""},{"dropping-particle":"","family":"Sivandran","given":"Gajan","non-dropping-particle":"","parse-names":false,"suffix":""},{"dropping-particle":"","family":"Salvucci","given":"Guido","non-dropping-particle":"","parse-names":false,"suffix":""}],"container-title":"Geophysical Research Letters","id":"ITEM-1","issue":"19","issued":{"date-parts":[["2012","10","16"]]},"page":"n/a-n/a","title":"Interdependence of climate, soil, and vegetation as constrained by the Budyko curve","type":"article-journal","volume":"39"},"uris":["http://www.mendeley.com/documents/?uuid=8f198423-ac0f-37ad-a1e7-d11a0807ccab"]}],"mendeley":{"formattedCitation":"(Gentine &lt;i&gt;et al.&lt;/i&gt;, 2012)","plainTextFormattedCitation":"(Gentine et al., 2012)","previouslyFormattedCitation":"(Gentine &lt;i&gt;et al.&lt;/i&gt;, 2012)"},"properties":{"noteIndex":0},"schema":"https://github.com/citation-style-language/schema/raw/master/csl-citation.json"}</w:instrText>
      </w:r>
      <w:r w:rsidRPr="00A51466">
        <w:rPr>
          <w:color w:val="000000" w:themeColor="text1"/>
        </w:rPr>
        <w:fldChar w:fldCharType="separate"/>
      </w:r>
      <w:r w:rsidRPr="00A51466">
        <w:rPr>
          <w:noProof/>
          <w:color w:val="000000" w:themeColor="text1"/>
        </w:rPr>
        <w:t xml:space="preserve">(Gentine </w:t>
      </w:r>
      <w:r w:rsidRPr="00A51466">
        <w:rPr>
          <w:i/>
          <w:noProof/>
          <w:color w:val="000000" w:themeColor="text1"/>
        </w:rPr>
        <w:t>et al.</w:t>
      </w:r>
      <w:r w:rsidRPr="00A51466">
        <w:rPr>
          <w:noProof/>
          <w:color w:val="000000" w:themeColor="text1"/>
        </w:rPr>
        <w:t xml:space="preserve"> 2012)</w:t>
      </w:r>
      <w:r w:rsidRPr="00A51466">
        <w:rPr>
          <w:color w:val="000000" w:themeColor="text1"/>
        </w:rPr>
        <w:fldChar w:fldCharType="end"/>
      </w:r>
      <w:r w:rsidRPr="00A51466">
        <w:rPr>
          <w:color w:val="000000" w:themeColor="text1"/>
        </w:rPr>
        <w:t xml:space="preserve"> – plant adaptations can profoundly control the annual water cycle, revealing mechanisms for eco-evolutionary feedbacks </w:t>
      </w:r>
      <w:r w:rsidRPr="00A51466">
        <w:rPr>
          <w:color w:val="000000" w:themeColor="text1"/>
        </w:rPr>
        <w:fldChar w:fldCharType="begin" w:fldLock="1"/>
      </w:r>
      <w:r w:rsidRPr="00A51466">
        <w:rPr>
          <w:color w:val="000000" w:themeColor="text1"/>
        </w:rPr>
        <w:instrText>ADDIN CSL_CITATION {"citationItems":[{"id":"ITEM-1","itemData":{"DOI":"10.1029/2012GL053492","ISSN":"00948276","author":[{"dropping-particle":"","family":"Gentine","given":"Pierre","non-dropping-particle":"","parse-names":false,"suffix":""},{"dropping-particle":"","family":"D'Odorico","given":"Paolo","non-dropping-particle":"","parse-names":false,"suffix":""},{"dropping-particle":"","family":"Lintner","given":"Benjamin R.","non-dropping-particle":"","parse-names":false,"suffix":""},{"dropping-particle":"","family":"Sivandran","given":"Gajan","non-dropping-particle":"","parse-names":false,"suffix":""},{"dropping-particle":"","family":"Salvucci","given":"Guido","non-dropping-particle":"","parse-names":false,"suffix":""}],"container-title":"Geophysical Research Letters","id":"ITEM-1","issue":"19","issued":{"date-parts":[["2012","10","16"]]},"page":"n/a-n/a","title":"Interdependence of climate, soil, and vegetation as constrained by the Budyko curve","type":"article-journal","volume":"39"},"uris":["http://www.mendeley.com/documents/?uuid=8f198423-ac0f-37ad-a1e7-d11a0807ccab"]},{"id":"ITEM-2","itemData":{"DOI":"10.1029/WR014i005p00705","ISSN":"19447973","abstract":"A statistical dynamic formulation of the vertical water budget at a land-atmosphere interface is outlined. Physically based dynamic and conservation equations express the infiltration, exfiltration, transpiration, percolation to groundwater and capillary rise from the water table during rainstorms and interstorm periods in terms of independent variables representing the precipitation, potential evapotranspiration, soil and vegetal properties, and water table elevation. Uncertainty is introduced into these equations through the probability density functions of the independent climatic variables and yields derived probability distributions of the dependent water balance elements: surface runoff, evapotranspiration, and groundwater runoff. The mean values of these quantities give a long-term average water balance which, to the first order, defines the annual water yield and water loss in terms of the annual precipitation and potential evapotranspiration and in terms of physical parameters of the soil, vegetation, climate, and water table. This analytical framework provides physical insight into the dynamic coupling of climate-soil-vegetation systems. Details are presented in a series of subsequent papers.","author":[{"dropping-particle":"","family":"Eagleson","given":"Peter S.","non-dropping-particle":"","parse-names":false,"suffix":""}],"container-title":"Water Resources Research","id":"ITEM-2","issued":{"date-parts":[["1978"]]},"title":"Climate, soil, and vegetation: 1. Introduction to water balance dynamics","type":"article-journal"},"uris":["http://www.mendeley.com/documents/?uuid=e9bf7187-4064-46d9-8e5b-5dcd92a8a5c2"]},{"id":"ITEM-3","itemData":{"DOI":"10.1029/WR018i002p00341","ISSN":"19447973","abstract":"The solution space of an approximate statistical-dynamic model of the average annual water balance is explored with respect to the hydrologic parameters of both soil and vegetation. Within the accuracy of this model it is shown that water-limited natural vegetation systems are in stable equilibrium with their climatic and pedologic environments when the canopy density and species act to minimize average water demand stress. Theory shows a climatic limit to this equilibrium above which it is hypothesized that ecological pressure is toward maximization of biomass productivity. It is further hypothesized that natural soil-vegetation systems will develop gradually and synergistically, through vegetation-induced changes in soil structure, toward a set of hydraulic soil properties for which the minimum stress canopy density of a given species is maximum in a given climate. Using these hypotheses, only the soil effective porosity need be known to determine the optimum soil and vegetation parameters in a given climate.","author":[{"dropping-particle":"","family":"Eagleson","given":"Peter S.","non-dropping-particle":"","parse-names":false,"suffix":""},{"dropping-particle":"","family":"Tellers","given":"Tobin E.","non-dropping-particle":"","parse-names":false,"suffix":""}],"container-title":"Water Resources Research","id":"ITEM-3","issued":{"date-parts":[["1982"]]},"title":"Ecological optimality in water‐limited natural soil‐vegetation systems: 2. Tests and applications","type":"article-journal"},"uris":["http://www.mendeley.com/documents/?uuid=038a9a8d-695e-4b38-ae9b-85c37f076a3d"]}],"mendeley":{"formattedCitation":"(Eagleson, 1978; Eagleson &amp; Tellers, 1982; Gentine &lt;i&gt;et al.&lt;/i&gt;, 2012)","plainTextFormattedCitation":"(Eagleson, 1978; Eagleson &amp; Tellers, 1982; Gentine et al., 2012)","previouslyFormattedCitation":"(Eagleson, 1978; Eagleson &amp; Tellers, 1982; Gentine &lt;i&gt;et al.&lt;/i&gt;, 2012)"},"properties":{"noteIndex":0},"schema":"https://github.com/citation-style-language/schema/raw/master/csl-citation.json"}</w:instrText>
      </w:r>
      <w:r w:rsidRPr="00A51466">
        <w:rPr>
          <w:color w:val="000000" w:themeColor="text1"/>
        </w:rPr>
        <w:fldChar w:fldCharType="separate"/>
      </w:r>
      <w:r w:rsidRPr="00A51466">
        <w:rPr>
          <w:noProof/>
          <w:color w:val="000000" w:themeColor="text1"/>
        </w:rPr>
        <w:t xml:space="preserve">(Eagleson 1978; Eagleson &amp; Tellers 1982; Gentine </w:t>
      </w:r>
      <w:r w:rsidRPr="00A51466">
        <w:rPr>
          <w:i/>
          <w:noProof/>
          <w:color w:val="000000" w:themeColor="text1"/>
        </w:rPr>
        <w:t>et al.</w:t>
      </w:r>
      <w:r w:rsidRPr="00A51466">
        <w:rPr>
          <w:noProof/>
          <w:color w:val="000000" w:themeColor="text1"/>
        </w:rPr>
        <w:t xml:space="preserve"> 2012)</w:t>
      </w:r>
      <w:r w:rsidRPr="00A51466">
        <w:rPr>
          <w:color w:val="000000" w:themeColor="text1"/>
        </w:rPr>
        <w:fldChar w:fldCharType="end"/>
      </w:r>
      <w:r w:rsidRPr="00A51466">
        <w:t xml:space="preserve">. Similarly, soil moisture in zones of hybrid </w:t>
      </w:r>
      <w:r w:rsidRPr="00A51466">
        <w:rPr>
          <w:i/>
        </w:rPr>
        <w:t>Populus</w:t>
      </w:r>
      <w:r w:rsidRPr="00A51466">
        <w:t xml:space="preserve"> (cross between parent species </w:t>
      </w:r>
      <w:r w:rsidRPr="00A51466">
        <w:rPr>
          <w:i/>
        </w:rPr>
        <w:t xml:space="preserve">P. angustifolia </w:t>
      </w:r>
      <w:r w:rsidRPr="00A51466">
        <w:t>and</w:t>
      </w:r>
      <w:r w:rsidRPr="00A51466">
        <w:rPr>
          <w:i/>
        </w:rPr>
        <w:t xml:space="preserve"> P. </w:t>
      </w:r>
      <w:proofErr w:type="spellStart"/>
      <w:r w:rsidRPr="00A51466">
        <w:rPr>
          <w:i/>
        </w:rPr>
        <w:t>fremontii</w:t>
      </w:r>
      <w:proofErr w:type="spellEnd"/>
      <w:r w:rsidRPr="00A51466">
        <w:t xml:space="preserve">) was found to be lower than in adjacent zones dominated by the parent species </w:t>
      </w:r>
      <w:r w:rsidRPr="00A51466">
        <w:fldChar w:fldCharType="begin" w:fldLock="1"/>
      </w:r>
      <w:r w:rsidRPr="00A51466">
        <w:instrText>ADDIN CSL_CITATION {"citationItems":[{"id":"ITEM-1","itemData":{"DOI":"10.3732/ajb.89.6.981","ISSN":"00029122","abstract":"Using surveys of natural populations, experimental crosses, and common garden trials, we tested the hypothesis that hybrid cottonwoods (Populus fremontii × P. angustifolia) from the Weber River in northern Utah would produce as many viable offspring as their parental species. We found that both F(1) generations and backcross generations can be just as fit as the parent taxa. First, F(1) hybrids produced as many viable seed as P. angustifolia (but less than P. fremontii), and backcross genotypes produced as many viable seeds as both parent taxa. Second, hybrids produced nearly two times as many ramets from root sprouts as P. angustifolia and four times as many ramets as P. fremontii. Third, the high mortality of germinated seedlings of all tree types (i.e., &gt;90%) and very low mortality of asexually derived ramets provide hybrids with equal sexual reproduction and enhanced asexual reproduction, especially since backcross hybrids exhibit transgressive segregation in ramet production. Our findings suggest that the introgression of P. fremontii seed traits into the hybrid genome is responsible for their equivalent performance (at least to one parent) in sexual reproduction, while the contributions of asexual traits from P. angustifola results in hybrids having equal or greater fitness.","author":[{"dropping-particle":"","family":"Schweitzer","given":"Jennifer A.","non-dropping-particle":"","parse-names":false,"suffix":""},{"dropping-particle":"","family":"Martinsen","given":"Gregory D.","non-dropping-particle":"","parse-names":false,"suffix":""},{"dropping-particle":"","family":"Whitham","given":"Thomas G.","non-dropping-particle":"","parse-names":false,"suffix":""}],"container-title":"American Journal of Botany","id":"ITEM-1","issued":{"date-parts":[["2002"]]},"title":"Cottonwood hybrids gain fitness traits of both parents: A mechanism for their long-term persistence?","type":"article-journal"},"uris":["http://www.mendeley.com/documents/?uuid=b0a80324-c0a4-4fdf-a240-95e7982c9207"]}],"mendeley":{"formattedCitation":"(Schweitzer &lt;i&gt;et al.&lt;/i&gt;, 2002)","plainTextFormattedCitation":"(Schweitzer et al., 2002)","previouslyFormattedCitation":"(Schweitzer &lt;i&gt;et al.&lt;/i&gt;, 2002)"},"properties":{"noteIndex":0},"schema":"https://github.com/citation-style-language/schema/raw/master/csl-citation.json"}</w:instrText>
      </w:r>
      <w:r w:rsidRPr="00A51466">
        <w:fldChar w:fldCharType="separate"/>
      </w:r>
      <w:r w:rsidRPr="00A51466">
        <w:rPr>
          <w:noProof/>
        </w:rPr>
        <w:t xml:space="preserve">(Schweitzer </w:t>
      </w:r>
      <w:r w:rsidRPr="00A51466">
        <w:rPr>
          <w:i/>
          <w:noProof/>
        </w:rPr>
        <w:t>et al.</w:t>
      </w:r>
      <w:r w:rsidRPr="00A51466">
        <w:rPr>
          <w:noProof/>
        </w:rPr>
        <w:t xml:space="preserve"> 2002)</w:t>
      </w:r>
      <w:r w:rsidRPr="00A51466">
        <w:fldChar w:fldCharType="end"/>
      </w:r>
      <w:r w:rsidRPr="00A51466">
        <w:t xml:space="preserve">, reinforcing that genetically-based differences in transpiration rates </w:t>
      </w:r>
      <w:r w:rsidRPr="00A51466">
        <w:fldChar w:fldCharType="begin" w:fldLock="1"/>
      </w:r>
      <w:r w:rsidRPr="00A51466">
        <w:instrText>ADDIN CSL_CITATION {"citationItems":[{"id":"ITEM-1","itemData":{"DOI":"10.1007/s00442-004-1505-7","ISSN":"00298549","abstract":"Genetic variation in dominant species can affect plant and ecosystem functions in natural systems through multiple pathways. Our study focuses on how genetic variation in a dominant riparian tree ( Populus fremontii, P. angustifolia and their natural F(1) and backcross hybrids) affects whole-tree water use, and its potential ecosystem implications. Three major patterns were found. First, in a 12-year-old common garden with trees of known genetic makeup, hybrids had elevated daily integrated leaf-specific transpiration ( E(tl); P=0.013) and average canopy conductance ( G(c); P=0.037), with both E(tl) and G(c) approximately 30% higher in hybrid cross types than parental types. Second, delta(13)C values of leaves from these same trees were significantly more negative in hybrids ( P=0.004), and backcross hybrids had significantly more negative values than all other F(1) hybrid and parental types ( P&lt;0.001). Third, in the wild, a similar pattern was found in leaf delta(13)C values where both hybrid cross types had the lowest values ( P&lt;0.001) and backcross hybrids had lower delta(13)C values than any other tree type ( P&lt;0.001). Our findings have two important implications: (1). the existence of a consistent genetic difference in whole-tree physiology suggests that whole-tree gas and water exchange could be another pathway through which genes could affect ecosystems; and (2). such studies are important because they seek to quantify the genetic variation that exists in basic physiological processes-such knowledge could ultimately place ecosystem studies within a genetic framework.","author":[{"dropping-particle":"","family":"Fischer","given":"D. G.","non-dropping-particle":"","parse-names":false,"suffix":""},{"dropping-particle":"","family":"Hart","given":"S. C.","non-dropping-particle":"","parse-names":false,"suffix":""},{"dropping-particle":"","family":"Whitham","given":"T. G.","non-dropping-particle":"","parse-names":false,"suffix":""},{"dropping-particle":"","family":"Martinsen","given":"G. D.","non-dropping-particle":"","parse-names":false,"suffix":""},{"dropping-particle":"","family":"Keim","given":"P.","non-dropping-particle":"","parse-names":false,"suffix":""}],"container-title":"Oecologia","id":"ITEM-1","issued":{"date-parts":[["2004"]]},"title":"Ecosystem implications of genetic variation in water-use of a dominant riparian tree","type":"article-journal"},"uris":["http://www.mendeley.com/documents/?uuid=33ad8a6c-3319-431e-a726-b13e91591e3c"]}],"mendeley":{"formattedCitation":"(Fischer &lt;i&gt;et al.&lt;/i&gt;, 2004)","plainTextFormattedCitation":"(Fischer et al., 2004)","previouslyFormattedCitation":"(Fischer &lt;i&gt;et al.&lt;/i&gt;, 2004)"},"properties":{"noteIndex":0},"schema":"https://github.com/citation-style-language/schema/raw/master/csl-citation.json"}</w:instrText>
      </w:r>
      <w:r w:rsidRPr="00A51466">
        <w:fldChar w:fldCharType="separate"/>
      </w:r>
      <w:r w:rsidRPr="00A51466">
        <w:rPr>
          <w:noProof/>
        </w:rPr>
        <w:t xml:space="preserve">(Fischer </w:t>
      </w:r>
      <w:r w:rsidRPr="00A51466">
        <w:rPr>
          <w:i/>
          <w:noProof/>
        </w:rPr>
        <w:t>et al.</w:t>
      </w:r>
      <w:r w:rsidRPr="00A51466">
        <w:rPr>
          <w:noProof/>
        </w:rPr>
        <w:t xml:space="preserve"> 2004)</w:t>
      </w:r>
      <w:r w:rsidRPr="00A51466">
        <w:fldChar w:fldCharType="end"/>
      </w:r>
      <w:r w:rsidRPr="00A51466">
        <w:t xml:space="preserve"> and water-use traits (shown here) can be the basis for discovering feedbacks between population genetic variation and long-term variation in ecosystem fluxes of energy and water across large landscapes. </w:t>
      </w:r>
    </w:p>
    <w:p w14:paraId="58429C8D" w14:textId="77777777" w:rsidR="004D30B5" w:rsidRPr="00A51466" w:rsidRDefault="004D30B5" w:rsidP="00A51466">
      <w:pPr>
        <w:pStyle w:val="Heading3"/>
        <w:spacing w:line="360" w:lineRule="auto"/>
        <w:jc w:val="both"/>
        <w:rPr>
          <w:szCs w:val="24"/>
        </w:rPr>
      </w:pPr>
      <w:r w:rsidRPr="00A51466">
        <w:rPr>
          <w:szCs w:val="24"/>
        </w:rPr>
        <w:t>Implications</w:t>
      </w:r>
    </w:p>
    <w:p w14:paraId="0E7CB1EE" w14:textId="7D90EF95" w:rsidR="004D30B5" w:rsidRPr="00A51466" w:rsidRDefault="004D30B5" w:rsidP="00A51466">
      <w:pPr>
        <w:spacing w:line="360" w:lineRule="auto"/>
        <w:jc w:val="both"/>
      </w:pPr>
      <w:r w:rsidRPr="00A51466">
        <w:t xml:space="preserve">Increased drought conditions are predicted to become more widespread and more severe in many geographic locations </w:t>
      </w:r>
      <w:r w:rsidRPr="00A51466">
        <w:fldChar w:fldCharType="begin" w:fldLock="1"/>
      </w:r>
      <w:r w:rsidRPr="00A51466">
        <w:instrText>ADDIN CSL_CITATION {"citationItems":[{"id":"ITEM-1","itemData":{"DOI":"10.1038/nature04312","abstract":"Water availability on the continents is important for human health 1,2 , economic activity 3 , ecosystem function 4 and geophysical processes 5 . Because the saturation vapour pressure of water in air is highly sensitive to temperature, perturbations in the global water cycle are expected to accompany climate warming 6 . Regional patterns of warming-induced changes in surface hydroclimate are complex and less certain than those in temperature, however, with both regional increases and decreases expected in precipitation and runoff. Here we show that an ensemble of 12 climate models exhibits qualitative and statistically significant skill in simulating observed regional patterns of twentieth-century multidecadal changes in streamflow. These models project 10–40% increases in runoff in eastern equatorial Africa, the La Plata basin and high-latitude North America and Eurasia, and 10–30% decreases in runoff in southern Africa, southern Europe, the Middle East and mid-latitude western North America by the year 2050. Such changes in sustainable water availability would have con-siderable regional-scale consequences for economies as well as ecosystems. Streamflow is a temporally lagged, spatial integral of runoff over a river basin. Averaged over many years, runoff generally is equal to the difference between precipitation and evapotranspiration and, hence, to the convergence of horizontal atmospheric water flux. From a resource perspective, runoff is a measure of sustainable water availability. However, streamflow can be affected by anthropogenic disturbances, which may generate spurious (that is, nonclimatic) changes; at the spatial scale of basins to be considered here, the most significant of these disturbances is associated with the diversion of water for the irrigation of cropland. In support of an assessment of forced climate change conducted by the Intergovernmental Panel on Climate Change (IPCC), many climate-modelling centres recently performed '20C3M' simulations of climate with prescribed external forcing (variations in atmos-pheric composition and solar irradiance) for the late nineteenth century and the whole of the twentieth century. Forcing was not identical across models, but generally included estimated historical variations of radiatively active atmospheric gases and aerosols (including volcanic emissions) and solar irradiance. Control simu-lations with temporally invariant preindustrial forcing ('PICNTRL') were also performed, as were integ…","author":[{"dropping-particle":"","family":"Milly","given":"P C D","non-dropping-particle":"","parse-names":false,"suffix":""},{"dropping-particle":"","family":"Dunne","given":"K A","non-dropping-particle":"","parse-names":false,"suffix":""},{"dropping-particle":"V","family":"Vecchia","given":"A","non-dropping-particle":"","parse-names":false,"suffix":""}],"container-title":"Nature Letters","id":"ITEM-1","issued":{"date-parts":[["2005"]]},"title":"Global pattern of trends in streamflow and water availability in a changing climate","type":"article-journal","volume":"438"},"uris":["http://www.mendeley.com/documents/?uuid=5233b027-a18a-3eda-a1f0-fecba00cee98"]},{"id":"ITEM-2","itemData":{"DOI":"10.1038/nclimate2425","ISSN":"1758-678X","abstract":"Groundwater depletion the world over poses a far greater threat to global water security than is currently acknowledged.","author":[{"dropping-particle":"","family":"Famiglietti","given":"J. S.","non-dropping-particle":"","parse-names":false,"suffix":""}],"container-title":"Nature Climate Change","id":"ITEM-2","issued":{"date-parts":[["2014"]]},"title":"The global groundwater crisis","type":"article-journal"},"uris":["http://www.mendeley.com/documents/?uuid=5c7aa109-d24c-40ff-922b-60cf6a600457"]},{"id":"ITEM-3","itemData":{"DOI":"10.7930/J0G44N6T.On","abstract":"Georgakakos, A., P. Fleming, M. Dettinger, C. Peters-Lidard, T.C. Richmond, K. Reckhow, K. White, &amp; D. Yates. (2014). Water resources. In: Climate Change Impacts in the United States: The Third National Climate Assessment, J.M. Melillo, T.C. Richmond, and G.W. Yohe (Editors). U.S. Global Change Research Program, pp. 69-112, http://doi.org/10.7930/J0G44N6T","author":[{"dropping-particle":"","family":"Georgakakos","given":"A.","non-dropping-particle":"","parse-names":false,"suffix":""},{"dropping-particle":"","family":"Fleming","given":"P.","non-dropping-particle":"","parse-names":false,"suffix":""},{"dropping-particle":"","family":"Dettinger","given":"M.","non-dropping-particle":"","parse-names":false,"suffix":""},{"dropping-particle":"","family":"Peters-Lidard","given":"C.","non-dropping-particle":"","parse-names":false,"suffix":""},{"dropping-particle":"","family":"Richmond","given":"T.","non-dropping-particle":"","parse-names":false,"suffix":""},{"dropping-particle":"","family":"Reckhow","given":"K.","non-dropping-particle":"","parse-names":false,"suffix":""},{"dropping-particle":"","family":"White","given":"K.","non-dropping-particle":"","parse-names":false,"suffix":""},{"dropping-particle":"","family":"Yates","given":"D.","non-dropping-particle":"","parse-names":false,"suffix":""}],"container-title":"Climate Change Impacts in the United States: The Third National Climate Assessment","id":"ITEM-3","issued":{"date-parts":[["2014"]]},"title":"Ch. 3: Water Resources","type":"chapter"},"uris":["http://www.mendeley.com/documents/?uuid=bd3d6a61-9451-4aa6-94e9-9558759d6840"]}],"mendeley":{"formattedCitation":"(Milly &lt;i&gt;et al.&lt;/i&gt;, 2005; Famiglietti, 2014; Georgakakos &lt;i&gt;et al.&lt;/i&gt;, 2014)","manualFormatting":"(Famiglietti, 2014; Georgakakos et al., 2014; Milly et al., 2005)","plainTextFormattedCitation":"(Milly et al., 2005; Famiglietti, 2014; Georgakakos et al., 2014)","previouslyFormattedCitation":"(Milly &lt;i&gt;et al.&lt;/i&gt;, 2005; Famiglietti, 2014; Georgakakos &lt;i&gt;et al.&lt;/i&gt;, 2014)"},"properties":{"noteIndex":0},"schema":"https://github.com/citation-style-language/schema/raw/master/csl-citation.json"}</w:instrText>
      </w:r>
      <w:r w:rsidRPr="00A51466">
        <w:fldChar w:fldCharType="separate"/>
      </w:r>
      <w:r w:rsidRPr="00A51466">
        <w:rPr>
          <w:noProof/>
        </w:rPr>
        <w:t xml:space="preserve">(Famiglietti 2014; Georgakakos </w:t>
      </w:r>
      <w:r w:rsidRPr="00A51466">
        <w:rPr>
          <w:i/>
          <w:iCs/>
          <w:noProof/>
        </w:rPr>
        <w:t xml:space="preserve">et al. </w:t>
      </w:r>
      <w:r w:rsidRPr="00A51466">
        <w:rPr>
          <w:noProof/>
        </w:rPr>
        <w:t xml:space="preserve">2014; Milly </w:t>
      </w:r>
      <w:r w:rsidRPr="00A51466">
        <w:rPr>
          <w:i/>
          <w:iCs/>
          <w:noProof/>
        </w:rPr>
        <w:t>et al.</w:t>
      </w:r>
      <w:r w:rsidRPr="00A51466">
        <w:rPr>
          <w:noProof/>
        </w:rPr>
        <w:t xml:space="preserve"> 2005)</w:t>
      </w:r>
      <w:r w:rsidRPr="00A51466">
        <w:fldChar w:fldCharType="end"/>
      </w:r>
      <w:r w:rsidRPr="00A51466">
        <w:t xml:space="preserve">. The western U.S. is currently experiencing a 1000-year drought threatening the most diverse ecosystems in the desert (riparian ecosystems) with widespread mortality </w:t>
      </w:r>
      <w:r w:rsidRPr="00A51466">
        <w:fldChar w:fldCharType="begin" w:fldLock="1"/>
      </w:r>
      <w:r w:rsidRPr="00A51466">
        <w:instrText>ADDIN CSL_CITATION {"citationItems":[{"id":"ITEM-1","itemData":{"DOI":"10.1111/j.1523-1739.2006.00424.x","ISBN":"0888-8892 (Print)\\n0888-8892 (Linking)","ISSN":"08888892","PMID":"17002765","abstract":"Understanding patterns of plant population mortality during extreme weather events is important to conservation planners because the frequency of such events is expected to increase, creating the need to integrate climatic uncertainty into management. Dominant plants provide habitat and ecosystem structure, so changes in their distribution can be expected to have cascading effects on entire communities. Observing areas that respond quickly to climate fluctuations provides foresight into future ecological changes and will help prioritize conservation efforts. We investigated patterns of mortality in six dominant plant species during a drought in the southwestern United States. We quantified population mortality for each species across its regional distribution and tested hypotheses to identify ecological stress gradients for each species. Our results revealed three major patterns: (1) dominant species from diverse habitat types (i.e., riparian, chaparral, and low- to high-elevation forests) exhibited significant mortality, indicating that the effects of drought were widespread; (2) average mortality differed among dominant species (one-seed juniper[Juniperus monosperma (Engelm.) Sarg.] 3.3%; manzanita[Arctostaphylos pungens Kunth], 14.6%; quaking aspen[Populus tremuloides Michx.], 15.4%; ponderosa pine[Pinus ponderosa P. &amp; C. Lawson], 15.9%; Fremont cottonwood[Populus fremontii S. Wats.], 20.7%; and pinyon pine[Pinus edulis Engelm.], 41.4%); (3) all dominant species showed localized patterns of very high mortality (24-100%) consistent with water stress gradients. Land managers should plan for climatic uncertainty by promoting tree recruitment in rare habitat types, alleviating unnatural levels of competition on dominant plants, and conserving sites across water stress gradients. High-stress sites, such as those we examined, have conservation value as barometers of change and because they may harbor genotypes that are adapted to climatic extremes.","author":[{"dropping-particle":"","family":"Gitlin","given":"Alicyn R.","non-dropping-particle":"","parse-names":false,"suffix":""},{"dropping-particle":"","family":"Sthultz","given":"Christopher M.","non-dropping-particle":"","parse-names":false,"suffix":""},{"dropping-particle":"","family":"Bowker","given":"Matthew A.","non-dropping-particle":"","parse-names":false,"suffix":""},{"dropping-particle":"","family":"Stumpf","given":"Stacy","non-dropping-particle":"","parse-names":false,"suffix":""},{"dropping-particle":"","family":"Paxton","given":"Kristina L.","non-dropping-particle":"","parse-names":false,"suffix":""},{"dropping-particle":"","family":"Kennedy","given":"Karla","non-dropping-particle":"","parse-names":false,"suffix":""},{"dropping-particle":"","family":"Muñoz","given":"Axhel","non-dropping-particle":"","parse-names":false,"suffix":""},{"dropping-particle":"","family":"Bailey","given":"Joseph K.","non-dropping-particle":"","parse-names":false,"suffix":""},{"dropping-particle":"","family":"Whitham","given":"Thomas G.","non-dropping-particle":"","parse-names":false,"suffix":""}],"container-title":"Conservation Biology","id":"ITEM-1","issued":{"date-parts":[["2006"]]},"title":"Mortality gradients within and among dominant plant populations as barometers of ecosystem change during extreme drought","type":"article-journal"},"uris":["http://www.mendeley.com/documents/?uuid=d0b98a73-76ee-3737-8e49-a747f1e0a2a7"]},{"id":"ITEM-2","itemData":{"DOI":"10.1890/120056","ISBN":"1540-9295","ISSN":"15409295","abstract":"Riparian ecosystems support mosaics of terrestrial and aquatic plant species that enhance regional biodiversity and provide important ecosystem services to humans. Species composition and the distribution of functional traits – traits that define species in terms of their ecological roles – within riparian plant communities are rapidly changing in response to various global change drivers. Here, we present a conceptual framework illustrating how changes in dependent wildlife communities and ecosystem processes can be predicted by examining shifts in riparian plant functional trait diversity and redundancy (overlap). Three widespread examples of altered riparian plant composition are: shifts in the dominance of deciduous and coniferous species; increases in drought-tolerant species; and the increasing global distribution of plantation and crop species. Changes in the diversity and distribution of critical plant functional traits influence terrestrial and aquatic food webs, organic matter production and processing, nutrient cycling, water quality, and water availability. Effective conservation efforts and riparian ecosystems management require matching of plant functional trait diversity and redundancy with tolerance to environmental changes in all biomes. • Understanding species functional traits is critical to forecasting how environmental changes will affect biodiversity and ecosystem functioning • Global shifts in riparian plant traits include changes in phenology, increases in drought-tolerant generalists, and genetically modified plantation and crop species • Non-native and invasive species can reduce or enhance functional trait diversity and overlap • More research is needed to identify shifts in riparian plant communities outside of North America and Europe and to assess the effects of these changes on ecosystem function • Riparian management should focus on maintaining functional traits that ensure resilience to environmental changes in ecosystems.","author":[{"dropping-particle":"","family":"Kominoski","given":"John S.","non-dropping-particle":"","parse-names":false,"suffix":""},{"dropping-particle":"","family":"Shah","given":"Jennifer J Follstad","non-dropping-particle":"","parse-names":false,"suffix":""},{"dropping-particle":"","family":"Canhoto","given":"Cristina","non-dropping-particle":"","parse-names":false,"suffix":""},{"dropping-particle":"","family":"Fischer","given":"Dylan G.","non-dropping-particle":"","parse-names":false,"suffix":""},{"dropping-particle":"","family":"Giling","given":"Darren P.","non-dropping-particle":"","parse-names":false,"suffix":""},{"dropping-particle":"","family":"González","given":"Eduardo","non-dropping-particle":"","parse-names":false,"suffix":""},{"dropping-particle":"","family":"Griffiths","given":"Natalie A.","non-dropping-particle":"","parse-names":false,"suffix":""},{"dropping-particle":"","family":"Larrañaga","given":"Aitor","non-dropping-particle":"","parse-names":false,"suffix":""},{"dropping-particle":"","family":"Leroy","given":"Carri J.","non-dropping-particle":"","parse-names":false,"suffix":""},{"dropping-particle":"","family":"Mineau","given":"Madeleine M.","non-dropping-particle":"","parse-names":false,"suffix":""},{"dropping-particle":"","family":"McElarney","given":"Yvonne R.","non-dropping-particle":"","parse-names":false,"suffix":""},{"dropping-particle":"","family":"Shirley","given":"Susan M.","non-dropping-particle":"","parse-names":false,"suffix":""},{"dropping-particle":"","family":"Swan","given":"Christopher M.","non-dropping-particle":"","parse-names":false,"suffix":""},{"dropping-particle":"","family":"Tiegs","given":"Scott D.","non-dropping-particle":"","parse-names":false,"suffix":""}],"container-title":"Frontiers in Ecology and the Environment","id":"ITEM-2","issue":"8","issued":{"date-parts":[["2013"]]},"title":"Forecasting functional implications of global changes in riparian plant communities","type":"article","volume":"11"},"uris":["http://www.mendeley.com/documents/?uuid=7e826739-90c5-3533-b41a-8bade2df4a88"]}],"mendeley":{"formattedCitation":"(Gitlin &lt;i&gt;et al.&lt;/i&gt;, 2006; Kominoski &lt;i&gt;et al.&lt;/i&gt;, 2013)","plainTextFormattedCitation":"(Gitlin et al., 2006; Kominoski et al., 2013)","previouslyFormattedCitation":"(Gitlin &lt;i&gt;et al.&lt;/i&gt;, 2006; Kominoski &lt;i&gt;et al.&lt;/i&gt;, 2013)"},"properties":{"noteIndex":0},"schema":"https://github.com/citation-style-language/schema/raw/master/csl-citation.json"}</w:instrText>
      </w:r>
      <w:r w:rsidRPr="00A51466">
        <w:fldChar w:fldCharType="separate"/>
      </w:r>
      <w:r w:rsidRPr="00A51466">
        <w:rPr>
          <w:noProof/>
        </w:rPr>
        <w:t xml:space="preserve">(Gitlin </w:t>
      </w:r>
      <w:r w:rsidRPr="00A51466">
        <w:rPr>
          <w:i/>
          <w:noProof/>
        </w:rPr>
        <w:t>et al.</w:t>
      </w:r>
      <w:r w:rsidRPr="00A51466">
        <w:rPr>
          <w:noProof/>
        </w:rPr>
        <w:t xml:space="preserve"> 2006; Kominoski </w:t>
      </w:r>
      <w:r w:rsidRPr="00A51466">
        <w:rPr>
          <w:i/>
          <w:noProof/>
        </w:rPr>
        <w:t>et al.</w:t>
      </w:r>
      <w:r w:rsidRPr="00A51466">
        <w:rPr>
          <w:noProof/>
        </w:rPr>
        <w:t xml:space="preserve"> 2013)</w:t>
      </w:r>
      <w:r w:rsidRPr="00A51466">
        <w:fldChar w:fldCharType="end"/>
      </w:r>
      <w:r w:rsidRPr="00A51466">
        <w:t xml:space="preserve">. Occurring at the terrestrial-freshwater interface </w:t>
      </w:r>
      <w:r w:rsidRPr="00A51466">
        <w:fldChar w:fldCharType="begin" w:fldLock="1"/>
      </w:r>
      <w:r w:rsidRPr="00A51466">
        <w:instrText>ADDIN CSL_CITATION {"citationItems":[{"id":"ITEM-1","itemData":{"DOI":"10.1146/annurev.ecolsys.28.1.621","ISSN":"0066-4162","abstract":"Riparian zones possess an unusually diverse array of species and environmental\\nprocesses. The ecological diversity is related to variable flood\\nregimes, geographically unique channel processes, altitudinal climate\\nshifts, and upland influences on the fluvial corridor. The resulting\\ndynamic environment supports a variety of life-history strategies,\\nbiogeochemical cycles and rates, and organisms adapted to disturbance\\nregimes over broad spatial and temporal scales. Innovations in riparian\\nzone management have been effective in ameliorating many ecological\\nissues related to land use and environmental quality. Riparian zones\\nplay essential roles in water and landscape planning, in restoration\\nof aquatic systems, and in catalyzing institutional and societal\\ncooperation for these efforts.","author":[{"dropping-particle":"","family":"Naiman and","given":"Robert J.","non-dropping-particle":"","parse-names":false,"suffix":""},{"dropping-particle":"","family":"Décamps","given":"Henri","non-dropping-particle":"","parse-names":false,"suffix":""}],"container-title":"Annual Review of Ecology and Systematics","id":"ITEM-1","issued":{"date-parts":[["1997"]]},"title":"THE ECOLOGY OF INTERFACES:Riparian Zones","type":"article-journal"},"uris":["http://www.mendeley.com/documents/?uuid=f75b8679-c72d-4851-985a-3609a32ee15c"]}],"mendeley":{"formattedCitation":"(Naiman and &amp; Décamps, 1997)","manualFormatting":"(Naiman &amp; Décamps, 1997)","plainTextFormattedCitation":"(Naiman and &amp; Décamps, 1997)","previouslyFormattedCitation":"(Naiman and &amp; Décamps, 1997)"},"properties":{"noteIndex":0},"schema":"https://github.com/citation-style-language/schema/raw/master/csl-citation.json"}</w:instrText>
      </w:r>
      <w:r w:rsidRPr="00A51466">
        <w:fldChar w:fldCharType="separate"/>
      </w:r>
      <w:r w:rsidRPr="00A51466">
        <w:rPr>
          <w:noProof/>
        </w:rPr>
        <w:t>(Naiman &amp; Décamps 1997)</w:t>
      </w:r>
      <w:r w:rsidRPr="00A51466">
        <w:fldChar w:fldCharType="end"/>
      </w:r>
      <w:r w:rsidRPr="00A51466">
        <w:t xml:space="preserve">, riparian ecosystems are likely to be affected by changes to many aspects of the water cycle, such as streamflow or the atmospheric demand for water, as well as precipitation </w:t>
      </w:r>
      <w:r w:rsidRPr="00A51466">
        <w:fldChar w:fldCharType="begin" w:fldLock="1"/>
      </w:r>
      <w:r w:rsidRPr="00A51466">
        <w:instrText>ADDIN CSL_CITATION {"citationItems":[{"id":"ITEM-1","itemData":{"DOI":"10.1093/treephys/23.16.1113","ISSN":"0829318X","abstract":"Cottonwoods (Populus spp.) are adapted to riparian or floodplain zones throughout the Northern Hemisphere; they are also used as parents for fast-growing hybrid poplars. We review recent ecophysiological studies of the native cottonwoods Populus angustifolia James, P. balsamifera L., P. deltoides Marsh., P. fremontii S. Watson and P. trichocarpa T.  &amp;  G. in North America, and P. nigra L. in Europe. Variation exists within and across species and hybrids; however, all riparian cottonwoods are dependent on shallow alluvial groundwater that is linked to stream water, particularly in semi-arid regions. This conclusion is based on studies of their natural occurrence, decline following river damming and dewatering (water removal), water relations, isotopic composition of xylem water, and by the establishment of cottonwoods along formerly barren natural channels after flow augmentation in response to the conveyance of irrigation water. When alluvial groundwater is depleted as a result of river dewatering or groundwater pumping, riparian cottonwoods exhibit drought-stress responses including stomatal closure and reduced transpiration and photosynthesis, altered  13 C composition, reduced predawn and midday water potentials, and xylem cavitation. These physiological responses are accompanied by morphological responses including reduced shoot growth, altered root growth, branch sacrifice and crown die-back. In severe cases, mortality occurs. For example, severe dewatering of channels of the braided Big Lost River in Idaho led to mortality of the narrow-leaf cottonwood, P. angustifolia, and adjacent sandbar willows, Salix exigua Nutt., within 5 years, whereas riparian woodlands thrived along flowing channels nearby. The conservation and restoration of cottonwoods will rely on the provision of river flow regimes that satisfy these ecophysiological requirements for survival, growth and reproduction.","author":[{"dropping-particle":"","family":"Rood","given":"Stewart B.","non-dropping-particle":"","parse-names":false,"suffix":""},{"dropping-particle":"","family":"Braatne","given":"Jeffrey H.","non-dropping-particle":"","parse-names":false,"suffix":""},{"dropping-particle":"","family":"Hughes","given":"Francine M.R.","non-dropping-particle":"","parse-names":false,"suffix":""}],"container-title":"Tree Physiology","id":"ITEM-1","issue":"16","issued":{"date-parts":[["2003"]]},"page":"1113-1124","title":"Ecophysiology of riparian cottonwoods: Stream flow dependency, water relations and restoration","type":"article-journal","volume":"23"},"uris":["http://www.mendeley.com/documents/?uuid=0b7c8ccf-dced-43b3-a70a-af0683c0fa12"]},{"id":"ITEM-2","itemData":{"DOI":"10.1016/j.tree.2003.10.002","ISBN":"0169-5347","ISSN":"01695347","PMID":"16701235","abstract":"Floods and droughts are important features of most running water ecosystems, but the alteration of natural flow regimes by recent human activities, such as dam building, raises questions related to both evolution and conservation. Among organisms inhabiting running waters, what adaptations exist for surviving floods and droughts? How will the alteration of the frequency, timing and duration of flow extremes affect flood- and drought-adapted organisms? How rapidly can populations evolve in response to altered flow regimes? Here, we identify three modes of adaptation (life history, behavioral and morphological) that plants and animals use to survive floods and/or droughts. The mode of adaptation that an organism has determines its vulnerability to different kinds of flow regime alteration. The rate of evolution in response to flow regime alteration remains an open question. Because humans have now altered the flow regimes of most rivers and many streams, understanding the link between fitness and flow regime is crucial for the effective management and restoration of running water ecosystems.","author":[{"dropping-particle":"","family":"Lytle","given":"David A.","non-dropping-particle":"","parse-names":false,"suffix":""},{"dropping-particle":"","family":"Poff","given":"N. Le Roy","non-dropping-particle":"","parse-names":false,"suffix":""}],"container-title":"Trends in Ecology and Evolution","id":"ITEM-2","issued":{"date-parts":[["2004"]]},"title":"Adaptation to natural flow regimes","type":"article"},"uris":["http://www.mendeley.com/documents/?uuid=9830b372-d1cc-3a4d-815b-8814e3fda61f"]},{"id":"ITEM-3","itemData":{"DOI":"10.1038/nature04312","abstract":"Water availability on the continents is important for human health 1,2 , economic activity 3 , ecosystem function 4 and geophysical processes 5 . Because the saturation vapour pressure of water in air is highly sensitive to temperature, perturbations in the global water cycle are expected to accompany climate warming 6 . Regional patterns of warming-induced changes in surface hydroclimate are complex and less certain than those in temperature, however, with both regional increases and decreases expected in precipitation and runoff. Here we show that an ensemble of 12 climate models exhibits qualitative and statistically significant skill in simulating observed regional patterns of twentieth-century multidecadal changes in streamflow. These models project 10–40% increases in runoff in eastern equatorial Africa, the La Plata basin and high-latitude North America and Eurasia, and 10–30% decreases in runoff in southern Africa, southern Europe, the Middle East and mid-latitude western North America by the year 2050. Such changes in sustainable water availability would have con-siderable regional-scale consequences for economies as well as ecosystems. Streamflow is a temporally lagged, spatial integral of runoff over a river basin. Averaged over many years, runoff generally is equal to the difference between precipitation and evapotranspiration and, hence, to the convergence of horizontal atmospheric water flux. From a resource perspective, runoff is a measure of sustainable water availability. However, streamflow can be affected by anthropogenic disturbances, which may generate spurious (that is, nonclimatic) changes; at the spatial scale of basins to be considered here, the most significant of these disturbances is associated with the diversion of water for the irrigation of cropland. In support of an assessment of forced climate change conducted by the Intergovernmental Panel on Climate Change (IPCC), many climate-modelling centres recently performed '20C3M' simulations of climate with prescribed external forcing (variations in atmos-pheric composition and solar irradiance) for the late nineteenth century and the whole of the twentieth century. Forcing was not identical across models, but generally included estimated historical variations of radiatively active atmospheric gases and aerosols (including volcanic emissions) and solar irradiance. Control simu-lations with temporally invariant preindustrial forcing ('PICNTRL') were also performed, as were integ…","author":[{"dropping-particle":"","family":"Milly","given":"P C D","non-dropping-particle":"","parse-names":false,"suffix":""},{"dropping-particle":"","family":"Dunne","given":"K A","non-dropping-particle":"","parse-names":false,"suffix":""},{"dropping-particle":"V","family":"Vecchia","given":"A","non-dropping-particle":"","parse-names":false,"suffix":""}],"container-title":"Nature Letters","id":"ITEM-3","issued":{"date-parts":[["2005"]]},"title":"Global pattern of trends in streamflow and water availability in a changing climate","type":"article-journal","volume":"438"},"uris":["http://www.mendeley.com/documents/?uuid=5233b027-a18a-3eda-a1f0-fecba00cee98"]},{"id":"ITEM-4","itemData":{"DOI":"10.1111/j.1365-2427.2009.02272.x","ISSN":"00465070","author":[{"dropping-particle":"","family":"Poff, N. Le Roy, Zimmerman","given":"Julie KH","non-dropping-particle":"","parse-names":false,"suffix":""}],"container-title":"Freshwater Biology","id":"ITEM-4","issue":"1","issued":{"date-parts":[["2010","1"]]},"note":"Review: shows that changes in flow change ecology. between different groups, but not necessarily in a consistent quantifiable way.","page":"194-205","title":"Ecological responses to altered flow regimes: a literature review to inform the science and management of environmental flows","type":"article-journal","volume":"55"},"uris":["http://www.mendeley.com/documents/?uuid=e59895cd-69ba-4811-9a0a-bd3fe35788af"]},{"id":"ITEM-5","itemData":{"DOI":"10.1111/j.1365-2486.2011.02588.x","ISSN":"13541013","author":[{"dropping-particle":"","family":"Perry","given":"Laura G.","non-dropping-particle":"","parse-names":false,"suffix":""},{"dropping-particle":"","family":"Andersen","given":"Douglas C.","non-dropping-particle":"","parse-names":false,"suffix":""},{"dropping-particle":"V.","family":"Reynolds","given":"Lindsay","non-dropping-particle":"","parse-names":false,"suffix":""},{"dropping-particle":"","family":"Nelson","given":"S. Mark","non-dropping-particle":"","parse-names":false,"suffix":""},{"dropping-particle":"","family":"Shafroth","given":"Patrick B.","non-dropping-particle":"","parse-names":false,"suffix":""}],"container-title":"Global Change Biology","id":"ITEM-5","issue":"3","issued":{"date-parts":[["2012","3"]]},"page":"821-842","title":"Vulnerability of riparian ecosystems to elevated CO2 and climate change in arid and semiarid western North America","type":"article-journal","volume":"18"},"uris":["http://www.mendeley.com/documents/?uuid=9b0a8e7d-6af2-3128-90b4-9ac45ba7a00c"]}],"mendeley":{"formattedCitation":"(Rood &lt;i&gt;et al.&lt;/i&gt;, 2003; Lytle &amp; Poff, 2004; Milly &lt;i&gt;et al.&lt;/i&gt;, 2005; Poff, N. Le Roy, Zimmerman, 2010; Perry &lt;i&gt;et al.&lt;/i&gt;, 2012)","manualFormatting":"(Lytle &amp; Poff, 2004; Milly et al., 2005; Perry et al., 2012; Poff &amp; Zimmerman, 2010; Rood et al., 2003)","plainTextFormattedCitation":"(Rood et al., 2003; Lytle &amp; Poff, 2004; Milly et al., 2005; Poff, N. Le Roy, Zimmerman, 2010; Perry et al., 2012)","previouslyFormattedCitation":"(Rood &lt;i&gt;et al.&lt;/i&gt;, 2003; Lytle &amp; Poff, 2004; Milly &lt;i&gt;et al.&lt;/i&gt;, 2005; Poff, N. Le Roy, Zimmerman, 2010; Perry &lt;i&gt;et al.&lt;/i&gt;, 2012)"},"properties":{"noteIndex":0},"schema":"https://github.com/citation-style-language/schema/raw/master/csl-citation.json"}</w:instrText>
      </w:r>
      <w:r w:rsidRPr="00A51466">
        <w:fldChar w:fldCharType="separate"/>
      </w:r>
      <w:r w:rsidRPr="00A51466">
        <w:rPr>
          <w:noProof/>
        </w:rPr>
        <w:t xml:space="preserve">(Lytle &amp; Poff 2004; Milly </w:t>
      </w:r>
      <w:r w:rsidRPr="00A51466">
        <w:rPr>
          <w:i/>
          <w:iCs/>
          <w:noProof/>
        </w:rPr>
        <w:t>et al.</w:t>
      </w:r>
      <w:r w:rsidRPr="00A51466">
        <w:rPr>
          <w:noProof/>
        </w:rPr>
        <w:t xml:space="preserve"> 2005; Perry </w:t>
      </w:r>
      <w:r w:rsidRPr="00A51466">
        <w:rPr>
          <w:i/>
          <w:iCs/>
          <w:noProof/>
        </w:rPr>
        <w:t xml:space="preserve">et al. </w:t>
      </w:r>
      <w:r w:rsidRPr="00A51466">
        <w:rPr>
          <w:noProof/>
        </w:rPr>
        <w:t xml:space="preserve">2012; Poff &amp; Zimmerman </w:t>
      </w:r>
      <w:r w:rsidRPr="00A51466">
        <w:rPr>
          <w:noProof/>
        </w:rPr>
        <w:lastRenderedPageBreak/>
        <w:t xml:space="preserve">2010; Rood </w:t>
      </w:r>
      <w:r w:rsidRPr="00A51466">
        <w:rPr>
          <w:i/>
          <w:iCs/>
          <w:noProof/>
        </w:rPr>
        <w:t>et al.</w:t>
      </w:r>
      <w:r w:rsidRPr="00A51466">
        <w:rPr>
          <w:noProof/>
        </w:rPr>
        <w:t xml:space="preserve"> 2003)</w:t>
      </w:r>
      <w:r w:rsidRPr="00A51466">
        <w:fldChar w:fldCharType="end"/>
      </w:r>
      <w:r w:rsidRPr="00A51466">
        <w:t xml:space="preserve">. Though threatened, these systems may be “hotspots” for adaptation to climate change as they historically have been highly exposed to extremes of these various climatic stimuli </w:t>
      </w:r>
      <w:r w:rsidRPr="00A51466">
        <w:fldChar w:fldCharType="begin" w:fldLock="1"/>
      </w:r>
      <w:r w:rsidRPr="00A51466">
        <w:instrText>ADDIN CSL_CITATION {"citationItems":[{"id":"ITEM-1","itemData":{"DOI":"10.1007/s10021-013-9656-1","ISBN":"1432-9840","ISSN":"14329840","PMID":"15974422","abstract":"Riparian ecosystems in the 21st century are likely to play a critical role in determining the vulnerability of natural and human systems to climate change, and in influencing the capacity of these systems to adapt. Some authors have suggested that riparian ecosystems are particularly vulnerable to climate change impacts due to their high levels of exposure and sensitivity to climatic stimuli, and their history of degradation. Others have highlighted the probable resilience of riparian ecosystems to climate change as a result of their evolution under high levels of climatic and environmental variability. We synthesize current knowledge of the vulnerability of riparian ecosystems to climate change by assessing the potential exposure, sensitivity, and adaptive capacity of their key components and processes, as well as ecosystem functions, goods and services, to projected global climatic changes. We review key pathways for ecological and human adaptation for the maintenance, restoration and enhancement of riparian ecosystem functions, goods and services and present emerging principles for planned adaptation. Our synthesis suggests that, in the absence of adaptation, riparian ecosystems are likely to be highly vulnerable to climate change impacts. However, given the critical role of riparian ecosystem functions in landscapes, as well as the strong links between riparian ecosystems and human well-being, considerable means, motives and opportunities for strategically planned adaptation to climate change also exist. The need for planned adaptation of and for riparian ecosystems is likely to be strengthened as the importance of many riparian ecosystem functions, goods and services will grow under a changing climate. Consequently, riparian ecosystems are likely to become adaptation ‘hotspots’ as the century unfolds.","author":[{"dropping-particle":"","family":"Capon","given":"Samantha J.","non-dropping-particle":"","parse-names":false,"suffix":""},{"dropping-particle":"","family":"Chambers","given":"Lynda E.","non-dropping-particle":"","parse-names":false,"suffix":""},{"dropping-particle":"","family":"Nally","given":"Ralph","non-dropping-particle":"Mac","parse-names":false,"suffix":""},{"dropping-particle":"","family":"Naiman","given":"Robert J.","non-dropping-particle":"","parse-names":false,"suffix":""},{"dropping-particle":"","family":"Davies","given":"Peter","non-dropping-particle":"","parse-names":false,"suffix":""},{"dropping-particle":"","family":"Marshall","given":"Nadine","non-dropping-particle":"","parse-names":false,"suffix":""},{"dropping-particle":"","family":"Pittock","given":"Jamie","non-dropping-particle":"","parse-names":false,"suffix":""},{"dropping-particle":"","family":"Reid","given":"Michael","non-dropping-particle":"","parse-names":false,"suffix":""},{"dropping-particle":"","family":"Capon","given":"Timothy","non-dropping-particle":"","parse-names":false,"suffix":""},{"dropping-particle":"","family":"Douglas","given":"Michael","non-dropping-particle":"","parse-names":false,"suffix":""},{"dropping-particle":"","family":"Catford","given":"Jane","non-dropping-particle":"","parse-names":false,"suffix":""},{"dropping-particle":"","family":"Baldwin","given":"Darren S.","non-dropping-particle":"","parse-names":false,"suffix":""},{"dropping-particle":"","family":"Stewardson","given":"Michael","non-dropping-particle":"","parse-names":false,"suffix":""},{"dropping-particle":"","family":"Roberts","given":"Jane","non-dropping-particle":"","parse-names":false,"suffix":""},{"dropping-particle":"","family":"Parsons","given":"Meg","non-dropping-particle":"","parse-names":false,"suffix":""},{"dropping-particle":"","family":"Williams","given":"Stephen E.","non-dropping-particle":"","parse-names":false,"suffix":""}],"container-title":"Ecosystems","id":"ITEM-1","issued":{"date-parts":[["2013"]]},"title":"Riparian Ecosystems in the 21st Century: Hotspots for Climate Change Adaptation?","type":"article-journal"},"uris":["http://www.mendeley.com/documents/?uuid=4afdda26-f119-3ca8-8124-2f8b2a5d9730"]}],"mendeley":{"formattedCitation":"(Capon &lt;i&gt;et al.&lt;/i&gt;, 2013)","plainTextFormattedCitation":"(Capon et al., 2013)","previouslyFormattedCitation":"(Capon &lt;i&gt;et al.&lt;/i&gt;, 2013)"},"properties":{"noteIndex":0},"schema":"https://github.com/citation-style-language/schema/raw/master/csl-citation.json"}</w:instrText>
      </w:r>
      <w:r w:rsidRPr="00A51466">
        <w:fldChar w:fldCharType="separate"/>
      </w:r>
      <w:r w:rsidRPr="00A51466">
        <w:rPr>
          <w:noProof/>
        </w:rPr>
        <w:t xml:space="preserve">(Capon </w:t>
      </w:r>
      <w:r w:rsidRPr="00A51466">
        <w:rPr>
          <w:i/>
          <w:noProof/>
        </w:rPr>
        <w:t>et al.</w:t>
      </w:r>
      <w:r w:rsidRPr="00A51466">
        <w:rPr>
          <w:noProof/>
        </w:rPr>
        <w:t xml:space="preserve"> 2013)</w:t>
      </w:r>
      <w:r w:rsidRPr="00A51466">
        <w:fldChar w:fldCharType="end"/>
      </w:r>
      <w:r w:rsidRPr="00A51466">
        <w:t xml:space="preserve">. We demonstrated that biomass and stomatal traits, estimates of carbon acquisition, primary productivity, and water-use efficiency </w:t>
      </w:r>
      <w:r w:rsidRPr="00A51466">
        <w:fldChar w:fldCharType="begin" w:fldLock="1"/>
      </w:r>
      <w:r w:rsidRPr="00A51466">
        <w:instrText>ADDIN CSL_CITATION {"citationItems":[{"id":"ITEM-1","itemData":{"DOI":"10.1071/bt02124","ISSN":"0067-1924","abstract":"There is growing recognition that classifying terrestrial plant species on the basis of their function (into 'functional types') rather than their higher taxonomic identity, is a promising way forward for tackling important ecological questions at the scale of ecosystems, landscapes or biomes. These questions include those on vegetation responses to and vegetation effects on, environmental changes (e.g. changes in climate, atmospheric chemistry, land use or other disturbances). There is also growing consensus about a shortlist of plant traits that should underlie such functional plant classifications, because they have strong predictive power of important ecosystem responses to environmental change and/or they themselves have strong impacts on ecosystem processes. The most favoured traits are those that are also relatively easy and inexpensive to measure for large numbers of plant species. Large international research efforts, promoted by the IGBP–GCTE Programme, are underway to screen predominant plant species in various ecosystems and biomes worldwide for such traits. This paper provides an international methodological protocol aimed at standardising this research effort, based on consensus among a broad group of scientists in this field. It features a practical handbook with step-by-step recipes, with relatively brief information about the ecological context, for 28 functional traits recognised as critical for tackling large-scale ecological questions.","author":[{"dropping-particle":"","family":"Cornelissen","given":"J. H. C.","non-dropping-particle":"","parse-names":false,"suffix":""},{"dropping-particle":"","family":"Lavorel","given":"S.","non-dropping-particle":"","parse-names":false,"suffix":""},{"dropping-particle":"","family":"Garnier","given":"E.","non-dropping-particle":"","parse-names":false,"suffix":""},{"dropping-particle":"","family":"Díaz","given":"S.","non-dropping-particle":"","parse-names":false,"suffix":""},{"dropping-particle":"","family":"Buchmann","given":"N.","non-dropping-particle":"","parse-names":false,"suffix":""},{"dropping-particle":"","family":"Gurvich","given":"D. E.","non-dropping-particle":"","parse-names":false,"suffix":""},{"dropping-particle":"","family":"Reich","given":"P. B.","non-dropping-particle":"","parse-names":false,"suffix":""},{"dropping-particle":"ter","family":"Steege","given":"H.","non-dropping-particle":"","parse-names":false,"suffix":""},{"dropping-particle":"","family":"Morgan","given":"H. D.","non-dropping-particle":"","parse-names":false,"suffix":""},{"dropping-particle":"van der","family":"Heijden","given":"M. G. A.","non-dropping-particle":"","parse-names":false,"suffix":""},{"dropping-particle":"","family":"Pausas","given":"J. G.","non-dropping-particle":"","parse-names":false,"suffix":""},{"dropping-particle":"","family":"Poorter","given":"H.","non-dropping-particle":"","parse-names":false,"suffix":""}],"container-title":"Australian Journal of Botany","id":"ITEM-1","issued":{"date-parts":[["2003"]]},"title":"A handbook of protocols for standardised and easy measurement of plant functional traits worldwide","type":"article-journal"},"uris":["http://www.mendeley.com/documents/?uuid=dea2b2c8-e659-46ba-8fa5-8c69582cc6f6"]}],"mendeley":{"formattedCitation":"(Cornelissen &lt;i&gt;et al.&lt;/i&gt;, 2003)","plainTextFormattedCitation":"(Cornelissen et al., 2003)","previouslyFormattedCitation":"(Cornelissen &lt;i&gt;et al.&lt;/i&gt;, 2003)"},"properties":{"noteIndex":0},"schema":"https://github.com/citation-style-language/schema/raw/master/csl-citation.json"}</w:instrText>
      </w:r>
      <w:r w:rsidRPr="00A51466">
        <w:fldChar w:fldCharType="separate"/>
      </w:r>
      <w:r w:rsidRPr="00A51466">
        <w:rPr>
          <w:noProof/>
        </w:rPr>
        <w:t xml:space="preserve">(Cornelissen </w:t>
      </w:r>
      <w:r w:rsidRPr="00A51466">
        <w:rPr>
          <w:i/>
          <w:noProof/>
        </w:rPr>
        <w:t>et al.</w:t>
      </w:r>
      <w:r w:rsidRPr="00A51466">
        <w:rPr>
          <w:noProof/>
        </w:rPr>
        <w:t xml:space="preserve"> 2003)</w:t>
      </w:r>
      <w:r w:rsidRPr="00A51466">
        <w:fldChar w:fldCharType="end"/>
      </w:r>
      <w:r w:rsidRPr="00A51466">
        <w:t xml:space="preserve">, differ across populations of an foundational riparian tree. These adaptations are important for the plant and the entire ecosystem to deal with drought </w:t>
      </w:r>
      <w:r w:rsidRPr="00A51466">
        <w:fldChar w:fldCharType="begin" w:fldLock="1"/>
      </w:r>
      <w:r w:rsidRPr="00A51466">
        <w:instrText>ADDIN CSL_CITATION {"citationItems":[{"id":"ITEM-1","itemData":{"DOI":"10.1071/pp00157","ISSN":"1445-4408","abstract":"Some anatomical characteristics in leaves relating to hydraulic conductance and stomatal conductance were examined in six temperate deciduous tree species. The fourth power of the radius of the conducting elements in xylem (r4) and the area of mesophyll and epidermal cells per unit length of leaf cross-section (u) were high in leaves with high hydraulic conductance (L). Stomatal conductance (gs) and stomatal sensitivity to an increase in leaf water potential (si) correlated positively with the length of stomatal pore (l), but negatively with the guard cell width (z) and the length of the dorsal side of the guard cells (ld). Stomatal sensitivity to a decrease in leaf water potential (sd) correlated negatively with l and positively with z and ld. The anatomical characteristics associated with hydraulic conductance (r4 and u) and those associated with stomatal conductance and sensitivity to changes of leaf water potential (l, z and ld) were correlated. We conclude that hydraulic conductance may depend on anatomical characteristics of xylem, mesophyll and epidermis, and stomatal conductance and its sensitivity to changing water potential may depend on anatomical characteristics of stomata. The correlation of shoot hydraulic conductance with stomatal conductance and its sensitivity may be based largely on the correlation between the anatomical characteristics of the water conducting system and stomata in these trees.","author":[{"dropping-particle":"","family":"Aasamaa","given":"Krõõt","non-dropping-particle":"","parse-names":false,"suffix":""},{"dropping-particle":"","family":"Sõber","given":"Anu","non-dropping-particle":"","parse-names":false,"suffix":""},{"dropping-particle":"","family":"Rahi","given":"Märt","non-dropping-particle":"","parse-names":false,"suffix":""}],"container-title":"Functional Plant Biology","id":"ITEM-1","issued":{"date-parts":[["2002"]]},"title":"Leaf anatomical characteristics associated with shoot hydraulic conductance, stomatal conductance and stomatal sensitivity to changes of leaf water status in temperate deciduous trees","type":"article-journal"},"uris":["http://www.mendeley.com/documents/?uuid=3323e670-9f64-4ca9-94ae-213b77d24ebc"]},{"id":"ITEM-2","itemData":{"DOI":"10.1071/bt02124","ISSN":"0067-1924","abstract":"There is growing recognition that classifying terrestrial plant species on the basis of their function (into 'functional types') rather than their higher taxonomic identity, is a promising way forward for tackling important ecological questions at the scale of ecosystems, landscapes or biomes. These questions include those on vegetation responses to and vegetation effects on, environmental changes (e.g. changes in climate, atmospheric chemistry, land use or other disturbances). There is also growing consensus about a shortlist of plant traits that should underlie such functional plant classifications, because they have strong predictive power of important ecosystem responses to environmental change and/or they themselves have strong impacts on ecosystem processes. The most favoured traits are those that are also relatively easy and inexpensive to measure for large numbers of plant species. Large international research efforts, promoted by the IGBP–GCTE Programme, are underway to screen predominant plant species in various ecosystems and biomes worldwide for such traits. This paper provides an international methodological protocol aimed at standardising this research effort, based on consensus among a broad group of scientists in this field. It features a practical handbook with step-by-step recipes, with relatively brief information about the ecological context, for 28 functional traits recognised as critical for tackling large-scale ecological questions.","author":[{"dropping-particle":"","family":"Cornelissen","given":"J. H. C.","non-dropping-particle":"","parse-names":false,"suffix":""},{"dropping-particle":"","family":"Lavorel","given":"S.","non-dropping-particle":"","parse-names":false,"suffix":""},{"dropping-particle":"","family":"Garnier","given":"E.","non-dropping-particle":"","parse-names":false,"suffix":""},{"dropping-particle":"","family":"Díaz","given":"S.","non-dropping-particle":"","parse-names":false,"suffix":""},{"dropping-particle":"","family":"Buchmann","given":"N.","non-dropping-particle":"","parse-names":false,"suffix":""},{"dropping-particle":"","family":"Gurvich","given":"D. E.","non-dropping-particle":"","parse-names":false,"suffix":""},{"dropping-particle":"","family":"Reich","given":"P. B.","non-dropping-particle":"","parse-names":false,"suffix":""},{"dropping-particle":"ter","family":"Steege","given":"H.","non-dropping-particle":"","parse-names":false,"suffix":""},{"dropping-particle":"","family":"Morgan","given":"H. D.","non-dropping-particle":"","parse-names":false,"suffix":""},{"dropping-particle":"van der","family":"Heijden","given":"M. G. A.","non-dropping-particle":"","parse-names":false,"suffix":""},{"dropping-particle":"","family":"Pausas","given":"J. G.","non-dropping-particle":"","parse-names":false,"suffix":""},{"dropping-particle":"","family":"Poorter","given":"H.","non-dropping-particle":"","parse-names":false,"suffix":""}],"container-title":"Australian Journal of Botany","id":"ITEM-2","issued":{"date-parts":[["2003"]]},"title":"A handbook of protocols for standardised and easy measurement of plant functional traits worldwide","type":"article-journal"},"uris":["http://www.mendeley.com/documents/?uuid=dea2b2c8-e659-46ba-8fa5-8c69582cc6f6"]},{"id":"ITEM-3","itemData":{"abstract":"Stomata, the small pores on the surfaces of leaves and stalks, regulate the flow of gases in and out of leaves and thus plants as a whole. They adapt to local and global changes on all timescales from minutes to millennia. Recent data from diverse fields are establishing their central importance to plant physiology, evolution and global ecology. Stomatal morphology, distribution and behaviour respond to a spectrum of signals, from intracellular signalling to global climatic change. Such concerted adaptation results from a web of control systems, reminiscent of a 'scale-free' network, whose untangling requires integrated approaches beyond those currently used. S tomata (Fig. 1) are small pores on the surfaces of leaves and stems, bounded by a pair of guard cells, that control the exchange of gases-most importantly water vapour and CO 2-between the interior of the leaf and the atmosphere. In this capacity they make major contributions to the ability of the plant to control its water relations and to gain carbon. Gas exchange is regulated by controlling the aperture of the stomatal pore and the number of stomata that form on the epidermis. Environmental signals such as light intensity, the concentration of atmospheric carbon dioxide and endogenous plant hormones control stomatal aperture and development. The acquisition of stomata and an impervious leaf cuticle are considered to be key elements in the evolution of advanced terrestrial plants 1 , allowing the plant to inhabit a range of different, often fluctuating environments but still control water content. Here, we describe how the application of knowledge from cognate disciplines is providing new insights into how stomata evolve and are able to process information from simultaneous, often conflicting and sometimes rapidly changing signals. Although it is too early to say whether these recent advances will result in paradigm shifts in our understanding of how plants both respond to and drive environmental change, it is quite clear that stomata are a key experimental tool to investigate these phenomena. Before considering specific aspects of stomatal biology it is important to reflect on the impact of stomata at the global level. Although the total stomatal pore area may be only 5% of a leaf surface 2 , the rate of water vapour loss may reach as high as 70% of a similar structure without a cuticle. Stomata exert major controls on both the water and carbon cycles of the world. Annual precipitation over th…","author":[{"dropping-particle":"","family":"Hetherington","given":"Alistair M","non-dropping-particle":"","parse-names":false,"suffix":""},{"dropping-particle":"","family":"Woodward","given":"&amp; F Ian","non-dropping-particle":"","parse-names":false,"suffix":""}],"id":"ITEM-3","issued":{"date-parts":[["2003"]]},"title":"The role of stomata in sensing and driving environmental change","type":"report"},"uris":["http://www.mendeley.com/documents/?uuid=0ef4d74b-b4bb-3ce9-9913-e995215b304a"]},{"id":"ITEM-4","itemData":{"DOI":"10.3732/ajb.93.6.829","ISBN":"0002-9122","ISSN":"00029122","PMID":"21642145","abstract":"Intracanopy plasticity in tree leaf form is a major determinant of whole-plant function and potentially of forest understory ecology. However, there exists little systematic information for the full extent of intracanopy plasticity, whether it is linked with height and exposure, or its variation across species. For arboretum-grown trees of six temperate deciduous species averaging 13–18 m in height, we quantified intracanopy plasticity for 11 leaf traits across three canopy locations (basal-interior, basal-exterior, and top). Plasticity was pronounced across the canopy, and maximum likelihood analyses indicated that plasticity was primarily linked with irradiance, regardless of height. Intracanopy plasticity (the quotient of values for top and basal-interior leaves) was often similar across species and statistically indistinguishable across species for several key traits. At canopy tops, the area of individual leaves was on average 0.5–0.6 times that at basal-interior, stomatal density 1.1–1.5 times higher, sapwood cross-sectional area up to 1.7 times higher, and leaf mass per area 1.5–2.2 times higher; guard cell and stomatal pore lengths were invariant across the canopy. Species differed in intracanopy plasticity for the mass of individual leaves, leaf margin dissection, ratio of leaf to sapwood areas, and stomatal pore area per leaf area; plasticity quotients ranged only up to ≈2. Across the six species, trait plasticities were uncorrelated and independent of the magnitude of the canopy gradient in irradiance or height and of the species' light requirements for regeneration. This convergence across species indicates general optimization or constraints in development, resulting in a bounded plasticity that improves canopy performance.","author":[{"dropping-particle":"","family":"Sack","given":"Lawren","non-dropping-particle":"","parse-names":false,"suffix":""},{"dropping-particle":"","family":"Melcher","given":"Peter J.","non-dropping-particle":"","parse-names":false,"suffix":""},{"dropping-particle":"","family":"Liu","given":"Wendy H.","non-dropping-particle":"","parse-names":false,"suffix":""},{"dropping-particle":"","family":"Middleton","given":"Erin","non-dropping-particle":"","parse-names":false,"suffix":""},{"dropping-particle":"","family":"Pardee","given":"Tyler","non-dropping-particle":"","parse-names":false,"suffix":""}],"container-title":"American Journal of Botany","id":"ITEM-4","issued":{"date-parts":[["2006"]]},"title":"How strong is intracanopy leaf plasticity in temperate deciduous trees?","type":"article-journal"},"uris":["http://www.mendeley.com/documents/?uuid=e61d2d9b-8497-3614-80a6-1d493dc05c04"]}],"mendeley":{"formattedCitation":"(Aasamaa &lt;i&gt;et al.&lt;/i&gt;, 2002; Cornelissen &lt;i&gt;et al.&lt;/i&gt;, 2003; Hetherington &amp; Woodward, 2003; Sack &lt;i&gt;et al.&lt;/i&gt;, 2006)","plainTextFormattedCitation":"(Aasamaa et al., 2002; Cornelissen et al., 2003; Hetherington &amp; Woodward, 2003; Sack et al., 2006)","previouslyFormattedCitation":"(Aasamaa &lt;i&gt;et al.&lt;/i&gt;, 2002; Cornelissen &lt;i&gt;et al.&lt;/i&gt;, 2003; Hetherington &amp; Woodward, 2003; Sack &lt;i&gt;et al.&lt;/i&gt;, 2006)"},"properties":{"noteIndex":0},"schema":"https://github.com/citation-style-language/schema/raw/master/csl-citation.json"}</w:instrText>
      </w:r>
      <w:r w:rsidRPr="00A51466">
        <w:fldChar w:fldCharType="separate"/>
      </w:r>
      <w:r w:rsidRPr="00A51466">
        <w:rPr>
          <w:noProof/>
        </w:rPr>
        <w:t xml:space="preserve">(Aasamaa </w:t>
      </w:r>
      <w:r w:rsidRPr="00A51466">
        <w:rPr>
          <w:i/>
          <w:noProof/>
        </w:rPr>
        <w:t>et al.</w:t>
      </w:r>
      <w:r w:rsidRPr="00A51466">
        <w:rPr>
          <w:noProof/>
        </w:rPr>
        <w:t xml:space="preserve"> 2002; Cornelissen </w:t>
      </w:r>
      <w:r w:rsidRPr="00A51466">
        <w:rPr>
          <w:i/>
          <w:noProof/>
        </w:rPr>
        <w:t>et al.</w:t>
      </w:r>
      <w:r w:rsidRPr="00A51466">
        <w:rPr>
          <w:noProof/>
        </w:rPr>
        <w:t xml:space="preserve"> 2003; Hetherington &amp; Woodward 2003; Sack </w:t>
      </w:r>
      <w:r w:rsidRPr="00A51466">
        <w:rPr>
          <w:i/>
          <w:noProof/>
        </w:rPr>
        <w:t>et al.</w:t>
      </w:r>
      <w:r w:rsidRPr="00A51466">
        <w:rPr>
          <w:noProof/>
        </w:rPr>
        <w:t xml:space="preserve"> 2006)</w:t>
      </w:r>
      <w:r w:rsidRPr="00A51466">
        <w:fldChar w:fldCharType="end"/>
      </w:r>
      <w:r w:rsidRPr="00A51466">
        <w:t xml:space="preserve">. In drought conditions, the ability of plants to control water may alter feedbacks to the atmosphere (AET; </w:t>
      </w:r>
      <w:r w:rsidR="003114A7" w:rsidRPr="00A51466">
        <w:t>Figure</w:t>
      </w:r>
      <w:r w:rsidRPr="00A51466">
        <w:t xml:space="preserve"> 5a</w:t>
      </w:r>
      <w:r w:rsidR="00246C7B" w:rsidRPr="00A51466">
        <w:t>-</w:t>
      </w:r>
      <w:r w:rsidRPr="00A51466">
        <w:t xml:space="preserve">c), while the ability of plants to obtain water from different sources may alter stream flow (Q; </w:t>
      </w:r>
      <w:r w:rsidR="003114A7" w:rsidRPr="00A51466">
        <w:t>Figure</w:t>
      </w:r>
      <w:r w:rsidRPr="00A51466">
        <w:t xml:space="preserve"> 5b; 5d) and the greater stream ecosystem. </w:t>
      </w:r>
    </w:p>
    <w:p w14:paraId="60C2AFBB" w14:textId="2D585C7F" w:rsidR="004D30B5" w:rsidRPr="00A51466" w:rsidRDefault="003221FB" w:rsidP="00A51466">
      <w:pPr>
        <w:pStyle w:val="Heading3"/>
        <w:spacing w:line="360" w:lineRule="auto"/>
        <w:jc w:val="both"/>
        <w:rPr>
          <w:szCs w:val="24"/>
        </w:rPr>
      </w:pPr>
      <w:bookmarkStart w:id="16" w:name="_Toc81676921"/>
      <w:r w:rsidRPr="00A51466">
        <w:rPr>
          <w:szCs w:val="24"/>
        </w:rPr>
        <w:t>Chapter</w:t>
      </w:r>
      <w:r w:rsidR="004D30B5" w:rsidRPr="00A51466">
        <w:rPr>
          <w:szCs w:val="24"/>
        </w:rPr>
        <w:t xml:space="preserve"> </w:t>
      </w:r>
      <w:r w:rsidRPr="00A51466">
        <w:rPr>
          <w:szCs w:val="24"/>
        </w:rPr>
        <w:t>c</w:t>
      </w:r>
      <w:r w:rsidR="004D30B5" w:rsidRPr="00A51466">
        <w:rPr>
          <w:szCs w:val="24"/>
        </w:rPr>
        <w:t>onclusions</w:t>
      </w:r>
      <w:bookmarkEnd w:id="16"/>
    </w:p>
    <w:p w14:paraId="4B11AE31" w14:textId="226BA17D" w:rsidR="00975E37" w:rsidRPr="00A51466" w:rsidRDefault="004D30B5" w:rsidP="00A51466">
      <w:pPr>
        <w:spacing w:line="360" w:lineRule="auto"/>
        <w:jc w:val="both"/>
      </w:pPr>
      <w:r w:rsidRPr="00A51466">
        <w:rPr>
          <w:color w:val="000000" w:themeColor="text1"/>
        </w:rPr>
        <w:t xml:space="preserve">Integrating ecohydrology and landscape-level genetic variation using the theoretical </w:t>
      </w:r>
      <w:proofErr w:type="spellStart"/>
      <w:r w:rsidRPr="00A51466">
        <w:rPr>
          <w:color w:val="000000" w:themeColor="text1"/>
        </w:rPr>
        <w:t>Budyko</w:t>
      </w:r>
      <w:proofErr w:type="spellEnd"/>
      <w:r w:rsidRPr="00A51466">
        <w:rPr>
          <w:color w:val="000000" w:themeColor="text1"/>
        </w:rPr>
        <w:t xml:space="preserve"> Curve allowed us to consider fluxes of energy and matter, interacting climatic gradients, and population genetic structure together to understand linkages between large-scale hydrologic processes and evolutionary processes. </w:t>
      </w:r>
      <w:r w:rsidRPr="00A51466">
        <w:t xml:space="preserve">The model accounts for interactions between temperature and water which enact long-term selection pressures on plant traits and captures the key role plants play in the ecosystem through recycling water to the atmosphere. Combined, results indicate </w:t>
      </w:r>
      <w:proofErr w:type="gramStart"/>
      <w:r w:rsidRPr="00A51466">
        <w:t>a landscape-scale feedback</w:t>
      </w:r>
      <w:proofErr w:type="gramEnd"/>
      <w:r w:rsidR="00A51466" w:rsidRPr="00A51466">
        <w:t>,</w:t>
      </w:r>
      <w:r w:rsidRPr="00A51466">
        <w:t xml:space="preserve"> and</w:t>
      </w:r>
      <w:r w:rsidRPr="00A51466">
        <w:rPr>
          <w:color w:val="000000" w:themeColor="text1"/>
        </w:rPr>
        <w:t xml:space="preserve"> provide information about where populations and watersheds may be at risk and where ecosystem processes may be stable.</w:t>
      </w:r>
    </w:p>
    <w:p w14:paraId="00545895" w14:textId="77777777" w:rsidR="00FF1665" w:rsidRPr="00DF7C87" w:rsidRDefault="00975E37" w:rsidP="001A325F">
      <w:pPr>
        <w:pStyle w:val="Heading2"/>
        <w:spacing w:line="276" w:lineRule="auto"/>
      </w:pPr>
      <w:r w:rsidRPr="00DF7C87">
        <w:rPr>
          <w:sz w:val="24"/>
          <w:szCs w:val="24"/>
        </w:rPr>
        <w:br w:type="page"/>
      </w:r>
      <w:bookmarkStart w:id="17" w:name="_Toc289175831"/>
      <w:bookmarkStart w:id="18" w:name="_Toc88056478"/>
      <w:r w:rsidR="00FF1665" w:rsidRPr="00DF7C87">
        <w:lastRenderedPageBreak/>
        <w:t>R</w:t>
      </w:r>
      <w:bookmarkEnd w:id="17"/>
      <w:r w:rsidR="00060A6A">
        <w:t>EFERENCES</w:t>
      </w:r>
      <w:bookmarkEnd w:id="18"/>
    </w:p>
    <w:p w14:paraId="3ED70A3F" w14:textId="77777777" w:rsidR="00975E37" w:rsidRPr="00DF7C87" w:rsidRDefault="00975E37" w:rsidP="001A325F">
      <w:pPr>
        <w:spacing w:line="276" w:lineRule="auto"/>
      </w:pPr>
    </w:p>
    <w:p w14:paraId="08AF2DE0" w14:textId="77777777" w:rsidR="008161B3" w:rsidRPr="001F7098" w:rsidRDefault="008161B3" w:rsidP="001A325F">
      <w:pPr>
        <w:spacing w:line="276" w:lineRule="auto"/>
        <w:ind w:left="720" w:hanging="720"/>
        <w:jc w:val="both"/>
      </w:pPr>
      <w:proofErr w:type="spellStart"/>
      <w:r w:rsidRPr="001F7098">
        <w:t>Aasamaa</w:t>
      </w:r>
      <w:proofErr w:type="spellEnd"/>
      <w:r w:rsidRPr="001F7098">
        <w:t xml:space="preserve"> K, </w:t>
      </w:r>
      <w:proofErr w:type="spellStart"/>
      <w:r w:rsidRPr="001F7098">
        <w:t>Sõber</w:t>
      </w:r>
      <w:proofErr w:type="spellEnd"/>
      <w:r w:rsidRPr="001F7098">
        <w:t xml:space="preserve"> A, </w:t>
      </w:r>
      <w:proofErr w:type="spellStart"/>
      <w:r w:rsidRPr="001F7098">
        <w:t>Rahi</w:t>
      </w:r>
      <w:proofErr w:type="spellEnd"/>
      <w:r w:rsidRPr="001F7098">
        <w:t xml:space="preserve"> M. 2001. Leaf anatomical characteristics associated with shoot hydraulic conductance, stomatal </w:t>
      </w:r>
      <w:proofErr w:type="gramStart"/>
      <w:r w:rsidRPr="001F7098">
        <w:t>conductance</w:t>
      </w:r>
      <w:proofErr w:type="gramEnd"/>
      <w:r w:rsidRPr="001F7098">
        <w:t xml:space="preserve"> and stomatal sensitivity to changes of leaf water status in temperate deciduous trees. </w:t>
      </w:r>
      <w:r w:rsidRPr="001F7098">
        <w:rPr>
          <w:i/>
          <w:iCs/>
        </w:rPr>
        <w:t>Aust. J. Plant Physiol.</w:t>
      </w:r>
      <w:r w:rsidRPr="001F7098">
        <w:t xml:space="preserve"> 28: 765-774.</w:t>
      </w:r>
    </w:p>
    <w:p w14:paraId="437F9EE6" w14:textId="77777777" w:rsidR="008161B3" w:rsidRPr="001F7098" w:rsidRDefault="008161B3" w:rsidP="001A325F">
      <w:pPr>
        <w:spacing w:line="276" w:lineRule="auto"/>
        <w:ind w:left="720" w:hanging="720"/>
        <w:jc w:val="both"/>
      </w:pPr>
      <w:r w:rsidRPr="001F7098">
        <w:t xml:space="preserve">Ambrose SM, Sterling SM. 2014. Global patterns of annual actual evapotranspiration with land-cover type: knowledge gained from a new observation-based database. </w:t>
      </w:r>
      <w:proofErr w:type="spellStart"/>
      <w:r w:rsidRPr="001F7098">
        <w:rPr>
          <w:i/>
          <w:iCs/>
        </w:rPr>
        <w:t>Hydrol</w:t>
      </w:r>
      <w:proofErr w:type="spellEnd"/>
      <w:r w:rsidRPr="001F7098">
        <w:rPr>
          <w:i/>
          <w:iCs/>
        </w:rPr>
        <w:t>. Earth Syst. Sci. Discuss.</w:t>
      </w:r>
      <w:r w:rsidRPr="001F7098">
        <w:t xml:space="preserve"> 11: 12103-12135.</w:t>
      </w:r>
    </w:p>
    <w:p w14:paraId="11FFC40F" w14:textId="77777777" w:rsidR="008161B3" w:rsidRPr="001F7098" w:rsidRDefault="008161B3" w:rsidP="001A325F">
      <w:pPr>
        <w:spacing w:line="276" w:lineRule="auto"/>
        <w:ind w:left="720" w:hanging="720"/>
        <w:jc w:val="both"/>
      </w:pPr>
      <w:r w:rsidRPr="001F7098">
        <w:t xml:space="preserve">Amlin NA, Rood SB. 2001. Inundation Tolerances of Riparian Willows and Cottonwoods. </w:t>
      </w:r>
      <w:r w:rsidRPr="001F7098">
        <w:rPr>
          <w:i/>
          <w:iCs/>
        </w:rPr>
        <w:t xml:space="preserve">JAWRA </w:t>
      </w:r>
      <w:r w:rsidRPr="001F7098">
        <w:t>37(6):</w:t>
      </w:r>
      <w:r w:rsidRPr="001F7098">
        <w:rPr>
          <w:i/>
          <w:iCs/>
        </w:rPr>
        <w:t xml:space="preserve"> </w:t>
      </w:r>
      <w:r w:rsidRPr="001F7098">
        <w:t>1709-1720.</w:t>
      </w:r>
    </w:p>
    <w:p w14:paraId="1C113982" w14:textId="77777777" w:rsidR="008161B3" w:rsidRPr="001F7098" w:rsidRDefault="008161B3" w:rsidP="001A325F">
      <w:pPr>
        <w:spacing w:line="276" w:lineRule="auto"/>
        <w:ind w:left="720" w:hanging="720"/>
        <w:jc w:val="both"/>
      </w:pPr>
      <w:proofErr w:type="spellStart"/>
      <w:r w:rsidRPr="001F7098">
        <w:t>Babst</w:t>
      </w:r>
      <w:proofErr w:type="spellEnd"/>
      <w:r w:rsidRPr="001F7098">
        <w:t xml:space="preserve"> F, </w:t>
      </w:r>
      <w:proofErr w:type="spellStart"/>
      <w:r w:rsidRPr="001F7098">
        <w:t>Bouriaud</w:t>
      </w:r>
      <w:proofErr w:type="spellEnd"/>
      <w:r w:rsidRPr="001F7098">
        <w:t xml:space="preserve"> O, Poulter B, </w:t>
      </w:r>
      <w:proofErr w:type="spellStart"/>
      <w:r w:rsidRPr="001F7098">
        <w:t>Trouet</w:t>
      </w:r>
      <w:proofErr w:type="spellEnd"/>
      <w:r w:rsidRPr="001F7098">
        <w:t xml:space="preserve"> V, Girardin MP, Frank DC. 2019. Twentieth century redistribution in climatic drivers of global tree growth. </w:t>
      </w:r>
      <w:r w:rsidRPr="001F7098">
        <w:rPr>
          <w:i/>
          <w:iCs/>
        </w:rPr>
        <w:t>Sci. Adv.</w:t>
      </w:r>
      <w:r w:rsidRPr="001F7098">
        <w:t xml:space="preserve"> 5: eaat4313. </w:t>
      </w:r>
    </w:p>
    <w:p w14:paraId="5BD803B2" w14:textId="77777777" w:rsidR="008161B3" w:rsidRPr="001F7098" w:rsidRDefault="008161B3" w:rsidP="001A325F">
      <w:pPr>
        <w:spacing w:line="276" w:lineRule="auto"/>
        <w:ind w:left="720" w:hanging="720"/>
        <w:jc w:val="both"/>
      </w:pPr>
      <w:r w:rsidRPr="001F7098">
        <w:t xml:space="preserve">Barton KE, Jones C, Edwards KF, Shiels AB, Knight T. 2020. Local Adaptation constrains drought tolerance in a tropical foundation tree. </w:t>
      </w:r>
      <w:r w:rsidRPr="001F7098">
        <w:rPr>
          <w:i/>
          <w:iCs/>
        </w:rPr>
        <w:t>Ecology</w:t>
      </w:r>
      <w:r w:rsidRPr="001F7098">
        <w:t xml:space="preserve"> 00:1-13.</w:t>
      </w:r>
    </w:p>
    <w:p w14:paraId="0912AAD8" w14:textId="77777777" w:rsidR="008161B3" w:rsidRPr="001F7098" w:rsidRDefault="008161B3" w:rsidP="001A325F">
      <w:pPr>
        <w:spacing w:line="276" w:lineRule="auto"/>
        <w:ind w:left="720" w:hanging="720"/>
        <w:jc w:val="both"/>
      </w:pPr>
      <w:r w:rsidRPr="001F7098">
        <w:t xml:space="preserve">Bates BC, </w:t>
      </w:r>
      <w:proofErr w:type="spellStart"/>
      <w:r w:rsidRPr="001F7098">
        <w:t>Kundzewicz</w:t>
      </w:r>
      <w:proofErr w:type="spellEnd"/>
      <w:r w:rsidRPr="001F7098">
        <w:t xml:space="preserve"> ZW, Wu S, </w:t>
      </w:r>
      <w:proofErr w:type="spellStart"/>
      <w:r w:rsidRPr="001F7098">
        <w:t>Palutikof</w:t>
      </w:r>
      <w:proofErr w:type="spellEnd"/>
      <w:r w:rsidRPr="001F7098">
        <w:t xml:space="preserve"> JP. 2008. Climate Change and Water. Technical Paper of the Intergovernmental Panel on Climate Change, IPCC Secretariat, Geneva, 210.</w:t>
      </w:r>
    </w:p>
    <w:p w14:paraId="2C30D884" w14:textId="77777777" w:rsidR="008161B3" w:rsidRPr="001F7098" w:rsidRDefault="008161B3" w:rsidP="001A325F">
      <w:pPr>
        <w:spacing w:line="276" w:lineRule="auto"/>
        <w:ind w:left="720" w:hanging="720"/>
        <w:jc w:val="both"/>
      </w:pPr>
      <w:r w:rsidRPr="001F7098">
        <w:t xml:space="preserve">Bates D, </w:t>
      </w:r>
      <w:proofErr w:type="spellStart"/>
      <w:r w:rsidRPr="001F7098">
        <w:t>Maechler</w:t>
      </w:r>
      <w:proofErr w:type="spellEnd"/>
      <w:r w:rsidRPr="001F7098">
        <w:t xml:space="preserve"> M, </w:t>
      </w:r>
      <w:proofErr w:type="spellStart"/>
      <w:r w:rsidRPr="001F7098">
        <w:t>Bolker</w:t>
      </w:r>
      <w:proofErr w:type="spellEnd"/>
      <w:r w:rsidRPr="001F7098">
        <w:t xml:space="preserve"> B, Walker S, </w:t>
      </w:r>
      <w:proofErr w:type="spellStart"/>
      <w:r w:rsidRPr="001F7098">
        <w:t>Maechler</w:t>
      </w:r>
      <w:proofErr w:type="spellEnd"/>
      <w:r w:rsidRPr="001F7098">
        <w:t xml:space="preserve"> Martin, Walker S. 2015. Package ‘lme4’: Linear Mixed-Effects Models using ‘Eigen’ and S4. J. </w:t>
      </w:r>
      <w:r w:rsidRPr="001F7098">
        <w:rPr>
          <w:i/>
          <w:iCs/>
        </w:rPr>
        <w:t xml:space="preserve">Stat. </w:t>
      </w:r>
      <w:proofErr w:type="spellStart"/>
      <w:r w:rsidRPr="001F7098">
        <w:rPr>
          <w:i/>
          <w:iCs/>
        </w:rPr>
        <w:t>Softw</w:t>
      </w:r>
      <w:proofErr w:type="spellEnd"/>
      <w:r w:rsidRPr="001F7098">
        <w:rPr>
          <w:i/>
          <w:iCs/>
        </w:rPr>
        <w:t>.</w:t>
      </w:r>
      <w:r w:rsidRPr="001F7098">
        <w:t xml:space="preserve"> 67.</w:t>
      </w:r>
    </w:p>
    <w:p w14:paraId="68EF14B2" w14:textId="77777777" w:rsidR="008161B3" w:rsidRPr="001F7098" w:rsidRDefault="008161B3" w:rsidP="001A325F">
      <w:pPr>
        <w:spacing w:line="276" w:lineRule="auto"/>
        <w:ind w:left="720" w:hanging="720"/>
        <w:jc w:val="both"/>
      </w:pPr>
      <w:proofErr w:type="spellStart"/>
      <w:r w:rsidRPr="001F7098">
        <w:t>Beier</w:t>
      </w:r>
      <w:proofErr w:type="spellEnd"/>
      <w:r w:rsidRPr="001F7098">
        <w:t xml:space="preserve"> C, </w:t>
      </w:r>
      <w:proofErr w:type="spellStart"/>
      <w:r w:rsidRPr="001F7098">
        <w:t>Beierkuhnlein</w:t>
      </w:r>
      <w:proofErr w:type="spellEnd"/>
      <w:r w:rsidRPr="001F7098">
        <w:t xml:space="preserve"> C, Wohlgemuth T, Penuelas J, Emmett B, </w:t>
      </w:r>
      <w:proofErr w:type="spellStart"/>
      <w:r w:rsidRPr="001F7098">
        <w:t>Körner</w:t>
      </w:r>
      <w:proofErr w:type="spellEnd"/>
      <w:r w:rsidRPr="001F7098">
        <w:t xml:space="preserve"> C, de </w:t>
      </w:r>
      <w:proofErr w:type="spellStart"/>
      <w:r w:rsidRPr="001F7098">
        <w:t>Boeck</w:t>
      </w:r>
      <w:proofErr w:type="spellEnd"/>
      <w:r w:rsidRPr="001F7098">
        <w:t xml:space="preserve"> H, Christensen JH, Leuzinger S, Janssens IA, et al. 2012. Precipitation manipulation experiments - challenges and recommendations for the future. </w:t>
      </w:r>
      <w:r w:rsidRPr="001F7098">
        <w:rPr>
          <w:i/>
          <w:iCs/>
        </w:rPr>
        <w:t>Ecol. Lett.</w:t>
      </w:r>
      <w:r w:rsidRPr="001F7098">
        <w:t xml:space="preserve"> 15: 899-911.</w:t>
      </w:r>
    </w:p>
    <w:p w14:paraId="36F9DB37" w14:textId="77777777" w:rsidR="008161B3" w:rsidRPr="001F7098" w:rsidRDefault="008161B3" w:rsidP="001A325F">
      <w:pPr>
        <w:spacing w:line="276" w:lineRule="auto"/>
        <w:ind w:left="720" w:hanging="720"/>
        <w:jc w:val="both"/>
      </w:pPr>
      <w:r w:rsidRPr="001F7098">
        <w:t xml:space="preserve">Benito Garzón M, Robson TM, </w:t>
      </w:r>
      <w:proofErr w:type="spellStart"/>
      <w:r w:rsidRPr="001F7098">
        <w:t>Hampe</w:t>
      </w:r>
      <w:proofErr w:type="spellEnd"/>
      <w:r w:rsidRPr="001F7098">
        <w:t xml:space="preserve"> A. 2019. </w:t>
      </w:r>
      <w:proofErr w:type="spellStart"/>
      <w:r w:rsidRPr="001F7098">
        <w:t>ΔTraitSDMs</w:t>
      </w:r>
      <w:proofErr w:type="spellEnd"/>
      <w:r w:rsidRPr="001F7098">
        <w:t xml:space="preserve">: species distribution models that account for local adaptation and phenotypic plasticity. </w:t>
      </w:r>
      <w:r w:rsidRPr="001F7098">
        <w:rPr>
          <w:i/>
          <w:iCs/>
        </w:rPr>
        <w:t>New Phytol.</w:t>
      </w:r>
      <w:r w:rsidRPr="001F7098">
        <w:t xml:space="preserve"> </w:t>
      </w:r>
      <w:proofErr w:type="spellStart"/>
      <w:r w:rsidRPr="001F7098">
        <w:t>doi</w:t>
      </w:r>
      <w:proofErr w:type="spellEnd"/>
      <w:r w:rsidRPr="001F7098">
        <w:t xml:space="preserve">: 10.1111/nph.15716 </w:t>
      </w:r>
    </w:p>
    <w:p w14:paraId="2A5B8BB2" w14:textId="77777777" w:rsidR="008161B3" w:rsidRPr="001F7098" w:rsidRDefault="008161B3" w:rsidP="001A325F">
      <w:pPr>
        <w:spacing w:line="276" w:lineRule="auto"/>
        <w:ind w:left="720" w:hanging="720"/>
        <w:jc w:val="both"/>
      </w:pPr>
      <w:proofErr w:type="spellStart"/>
      <w:r w:rsidRPr="001F7098">
        <w:t>Bertolino</w:t>
      </w:r>
      <w:proofErr w:type="spellEnd"/>
      <w:r w:rsidRPr="001F7098">
        <w:t xml:space="preserve"> LT, Caine RS, Gray JE. 2019. Impact of Stomatal Density and Morphology on Water-Use Efficiency in a Changing World. </w:t>
      </w:r>
      <w:r w:rsidRPr="001F7098">
        <w:rPr>
          <w:i/>
          <w:iCs/>
        </w:rPr>
        <w:t>Front. Plant Sci.</w:t>
      </w:r>
      <w:r w:rsidRPr="001F7098">
        <w:t xml:space="preserve"> 10:225.</w:t>
      </w:r>
    </w:p>
    <w:p w14:paraId="150B06C8" w14:textId="77777777" w:rsidR="008161B3" w:rsidRPr="001F7098" w:rsidRDefault="008161B3" w:rsidP="001A325F">
      <w:pPr>
        <w:spacing w:line="276" w:lineRule="auto"/>
        <w:ind w:left="720" w:hanging="720"/>
        <w:jc w:val="both"/>
      </w:pPr>
      <w:r w:rsidRPr="001F7098">
        <w:t xml:space="preserve">Bowen GJ, Wassenaar LI, Hobson KA. 2005. Global application of stable hydrogen and oxygen isotopes to wildlife forensics. </w:t>
      </w:r>
      <w:proofErr w:type="spellStart"/>
      <w:r w:rsidRPr="001F7098">
        <w:rPr>
          <w:i/>
          <w:iCs/>
        </w:rPr>
        <w:t>Oecologia</w:t>
      </w:r>
      <w:proofErr w:type="spellEnd"/>
      <w:r w:rsidRPr="001F7098">
        <w:t xml:space="preserve"> 143: 337-348.</w:t>
      </w:r>
    </w:p>
    <w:p w14:paraId="630FD556" w14:textId="77777777" w:rsidR="008161B3" w:rsidRPr="001F7098" w:rsidRDefault="008161B3" w:rsidP="001A325F">
      <w:pPr>
        <w:spacing w:line="276" w:lineRule="auto"/>
        <w:ind w:left="720" w:hanging="720"/>
        <w:jc w:val="both"/>
      </w:pPr>
      <w:r w:rsidRPr="001F7098">
        <w:t>Bowen, GJ. 2019. The Online Isotopes in Precipitation Calculator, version 3.1. http://www.waterisotopes.org.</w:t>
      </w:r>
    </w:p>
    <w:p w14:paraId="7178244C" w14:textId="77777777" w:rsidR="008161B3" w:rsidRPr="001F7098" w:rsidRDefault="008161B3" w:rsidP="001A325F">
      <w:pPr>
        <w:spacing w:line="276" w:lineRule="auto"/>
        <w:ind w:left="720" w:hanging="720"/>
        <w:jc w:val="both"/>
      </w:pPr>
      <w:proofErr w:type="spellStart"/>
      <w:r w:rsidRPr="001F7098">
        <w:t>Bradie</w:t>
      </w:r>
      <w:proofErr w:type="spellEnd"/>
      <w:r w:rsidRPr="001F7098">
        <w:t xml:space="preserve"> J, Leung B. 2017. A quantitative synthesis of the importance of variables used in </w:t>
      </w:r>
      <w:proofErr w:type="spellStart"/>
      <w:r w:rsidRPr="001F7098">
        <w:t>MaxEnt</w:t>
      </w:r>
      <w:proofErr w:type="spellEnd"/>
      <w:r w:rsidRPr="001F7098">
        <w:t xml:space="preserve"> species distribution models. </w:t>
      </w:r>
      <w:r w:rsidRPr="001F7098">
        <w:rPr>
          <w:i/>
          <w:iCs/>
        </w:rPr>
        <w:t xml:space="preserve">J. </w:t>
      </w:r>
      <w:proofErr w:type="spellStart"/>
      <w:r w:rsidRPr="001F7098">
        <w:rPr>
          <w:i/>
          <w:iCs/>
        </w:rPr>
        <w:t>Biogeogr</w:t>
      </w:r>
      <w:proofErr w:type="spellEnd"/>
      <w:r w:rsidRPr="001F7098">
        <w:rPr>
          <w:i/>
          <w:iCs/>
        </w:rPr>
        <w:t>.</w:t>
      </w:r>
      <w:r w:rsidRPr="001F7098">
        <w:t xml:space="preserve"> 44: 1344-1361.</w:t>
      </w:r>
    </w:p>
    <w:p w14:paraId="29157292" w14:textId="77777777" w:rsidR="008161B3" w:rsidRPr="001F7098" w:rsidRDefault="008161B3" w:rsidP="001A325F">
      <w:pPr>
        <w:spacing w:line="276" w:lineRule="auto"/>
        <w:ind w:left="720" w:hanging="720"/>
        <w:jc w:val="both"/>
      </w:pPr>
      <w:proofErr w:type="spellStart"/>
      <w:r w:rsidRPr="001F7098">
        <w:t>Brodribb</w:t>
      </w:r>
      <w:proofErr w:type="spellEnd"/>
      <w:r w:rsidRPr="001F7098">
        <w:t xml:space="preserve"> TJ, Jordan GJ, Carpenter RJ. 2013. Unified changes in cell size permit coordinated leaf evolution. </w:t>
      </w:r>
      <w:r w:rsidRPr="001F7098">
        <w:rPr>
          <w:i/>
          <w:iCs/>
        </w:rPr>
        <w:t>New Phytol.</w:t>
      </w:r>
      <w:r w:rsidRPr="001F7098">
        <w:t xml:space="preserve"> 199: 559-570.</w:t>
      </w:r>
    </w:p>
    <w:p w14:paraId="36D9015D" w14:textId="77777777" w:rsidR="008161B3" w:rsidRPr="001F7098" w:rsidRDefault="008161B3" w:rsidP="001A325F">
      <w:pPr>
        <w:spacing w:line="276" w:lineRule="auto"/>
        <w:ind w:left="720" w:hanging="720"/>
        <w:jc w:val="both"/>
      </w:pPr>
      <w:r w:rsidRPr="001F7098">
        <w:lastRenderedPageBreak/>
        <w:t xml:space="preserve">Brown JH, </w:t>
      </w:r>
      <w:proofErr w:type="spellStart"/>
      <w:r w:rsidRPr="001F7098">
        <w:t>Gillooly</w:t>
      </w:r>
      <w:proofErr w:type="spellEnd"/>
      <w:r w:rsidRPr="001F7098">
        <w:t xml:space="preserve"> JF, Allen AP, Savage VM, West GB. 2004. Toward a metabolic theory of ecology. </w:t>
      </w:r>
      <w:r w:rsidRPr="001F7098">
        <w:rPr>
          <w:i/>
          <w:iCs/>
        </w:rPr>
        <w:t>Ecology</w:t>
      </w:r>
      <w:r w:rsidRPr="001F7098">
        <w:t xml:space="preserve"> 85(7): 1771-1789.</w:t>
      </w:r>
    </w:p>
    <w:p w14:paraId="3E161AB6" w14:textId="77777777" w:rsidR="008161B3" w:rsidRPr="001F7098" w:rsidRDefault="008161B3" w:rsidP="001A325F">
      <w:pPr>
        <w:spacing w:line="276" w:lineRule="auto"/>
        <w:ind w:left="720" w:hanging="720"/>
        <w:jc w:val="both"/>
      </w:pPr>
      <w:proofErr w:type="spellStart"/>
      <w:r w:rsidRPr="001F7098">
        <w:t>Budyko</w:t>
      </w:r>
      <w:proofErr w:type="spellEnd"/>
      <w:r w:rsidRPr="001F7098">
        <w:t xml:space="preserve"> M. 1974. Climate and Life. New York, NY: Academic Press.</w:t>
      </w:r>
    </w:p>
    <w:p w14:paraId="710B8E5B" w14:textId="77777777" w:rsidR="008161B3" w:rsidRPr="001F7098" w:rsidRDefault="008161B3" w:rsidP="001A325F">
      <w:pPr>
        <w:spacing w:line="276" w:lineRule="auto"/>
        <w:ind w:left="720" w:hanging="720"/>
        <w:jc w:val="both"/>
      </w:pPr>
      <w:r w:rsidRPr="001F7098">
        <w:t xml:space="preserve">Burrows MT, Schoeman DS, Buckley LB, Moore P, </w:t>
      </w:r>
      <w:proofErr w:type="spellStart"/>
      <w:r w:rsidRPr="001F7098">
        <w:t>Poloczanska</w:t>
      </w:r>
      <w:proofErr w:type="spellEnd"/>
      <w:r w:rsidRPr="001F7098">
        <w:t xml:space="preserve"> ES, Brander KM, Brown C, Bruno JF, Duarte CM, Halpern BS, et al. 2011. The Pace of Shifting Climate in Marine and Terrestrial Ecosystems. </w:t>
      </w:r>
      <w:r w:rsidRPr="001F7098">
        <w:rPr>
          <w:i/>
          <w:iCs/>
        </w:rPr>
        <w:t>Science</w:t>
      </w:r>
      <w:r w:rsidRPr="001F7098">
        <w:t xml:space="preserve"> 334: 652-655.</w:t>
      </w:r>
    </w:p>
    <w:p w14:paraId="63613BE2" w14:textId="77777777" w:rsidR="008161B3" w:rsidRPr="001F7098" w:rsidRDefault="008161B3" w:rsidP="001A325F">
      <w:pPr>
        <w:spacing w:line="276" w:lineRule="auto"/>
        <w:ind w:left="720" w:hanging="720"/>
        <w:jc w:val="both"/>
      </w:pPr>
      <w:r w:rsidRPr="001F7098">
        <w:t xml:space="preserve">Capon SJ, Chambers LE, Mac Nally R, </w:t>
      </w:r>
      <w:proofErr w:type="spellStart"/>
      <w:r w:rsidRPr="001F7098">
        <w:t>Naiman</w:t>
      </w:r>
      <w:proofErr w:type="spellEnd"/>
      <w:r w:rsidRPr="001F7098">
        <w:t xml:space="preserve"> RJ, Davies P, Marshall N, </w:t>
      </w:r>
      <w:proofErr w:type="spellStart"/>
      <w:r w:rsidRPr="001F7098">
        <w:t>Pittock</w:t>
      </w:r>
      <w:proofErr w:type="spellEnd"/>
      <w:r w:rsidRPr="001F7098">
        <w:t xml:space="preserve"> J, Reid M, Capon T, Douglas M, et al. 2013. Riparian Ecosystems in the 21st Century: Hotspots for Climate Change Adaptation? </w:t>
      </w:r>
      <w:r w:rsidRPr="001F7098">
        <w:rPr>
          <w:i/>
          <w:iCs/>
        </w:rPr>
        <w:t xml:space="preserve">Ecosystems </w:t>
      </w:r>
      <w:r w:rsidRPr="001F7098">
        <w:t>16: 359-381.</w:t>
      </w:r>
    </w:p>
    <w:p w14:paraId="24432CA3" w14:textId="77777777" w:rsidR="008161B3" w:rsidRPr="001F7098" w:rsidRDefault="008161B3" w:rsidP="001A325F">
      <w:pPr>
        <w:spacing w:line="276" w:lineRule="auto"/>
        <w:ind w:left="720" w:hanging="720"/>
        <w:jc w:val="both"/>
      </w:pPr>
      <w:r w:rsidRPr="001F7098">
        <w:t xml:space="preserve">Chevin L-M, </w:t>
      </w:r>
      <w:proofErr w:type="spellStart"/>
      <w:r w:rsidRPr="001F7098">
        <w:t>Lande</w:t>
      </w:r>
      <w:proofErr w:type="spellEnd"/>
      <w:r w:rsidRPr="001F7098">
        <w:t xml:space="preserve"> R, Mace GM. 2010. Adaptation, plasticity, and extinction in a changing environment: Towards a predictive theory. </w:t>
      </w:r>
      <w:r w:rsidRPr="001F7098">
        <w:rPr>
          <w:i/>
          <w:iCs/>
        </w:rPr>
        <w:t>PLOS Biol.</w:t>
      </w:r>
      <w:r w:rsidRPr="001F7098">
        <w:t xml:space="preserve"> 8(4): e1000357.</w:t>
      </w:r>
    </w:p>
    <w:p w14:paraId="40143365" w14:textId="77777777" w:rsidR="008161B3" w:rsidRPr="001F7098" w:rsidRDefault="008161B3" w:rsidP="001A325F">
      <w:pPr>
        <w:spacing w:line="276" w:lineRule="auto"/>
        <w:ind w:left="720" w:hanging="720"/>
        <w:jc w:val="both"/>
      </w:pPr>
      <w:proofErr w:type="spellStart"/>
      <w:r w:rsidRPr="001F7098">
        <w:t>Chojnacky</w:t>
      </w:r>
      <w:proofErr w:type="spellEnd"/>
      <w:r w:rsidRPr="001F7098">
        <w:t xml:space="preserve"> DC, Heath LS, Jenkins JC. 2014. Updated generalized biomass equations for North American tree species. </w:t>
      </w:r>
      <w:r w:rsidRPr="001F7098">
        <w:rPr>
          <w:i/>
          <w:iCs/>
        </w:rPr>
        <w:t>Forestry</w:t>
      </w:r>
      <w:r w:rsidRPr="001F7098">
        <w:t xml:space="preserve"> 87: 129-151.</w:t>
      </w:r>
    </w:p>
    <w:p w14:paraId="62047CC9" w14:textId="77777777" w:rsidR="008161B3" w:rsidRPr="001F7098" w:rsidRDefault="008161B3" w:rsidP="001A325F">
      <w:pPr>
        <w:spacing w:line="276" w:lineRule="auto"/>
        <w:ind w:left="720" w:hanging="720"/>
        <w:jc w:val="both"/>
      </w:pPr>
      <w:r w:rsidRPr="001F7098">
        <w:t xml:space="preserve">Cornelissen JHC, </w:t>
      </w:r>
      <w:proofErr w:type="spellStart"/>
      <w:r w:rsidRPr="001F7098">
        <w:t>Lavorel</w:t>
      </w:r>
      <w:proofErr w:type="spellEnd"/>
      <w:r w:rsidRPr="001F7098">
        <w:t xml:space="preserve"> S, Garnier E, Díaz S, Buchmann N, </w:t>
      </w:r>
      <w:proofErr w:type="spellStart"/>
      <w:r w:rsidRPr="001F7098">
        <w:t>Gurvich</w:t>
      </w:r>
      <w:proofErr w:type="spellEnd"/>
      <w:r w:rsidRPr="001F7098">
        <w:t xml:space="preserve"> DE, Reich PB, </w:t>
      </w:r>
      <w:proofErr w:type="spellStart"/>
      <w:r w:rsidRPr="001F7098">
        <w:t>Steege</w:t>
      </w:r>
      <w:proofErr w:type="spellEnd"/>
      <w:r w:rsidRPr="001F7098">
        <w:t xml:space="preserve"> H </w:t>
      </w:r>
      <w:proofErr w:type="spellStart"/>
      <w:r w:rsidRPr="001F7098">
        <w:t>ter</w:t>
      </w:r>
      <w:proofErr w:type="spellEnd"/>
      <w:r w:rsidRPr="001F7098">
        <w:t xml:space="preserve">, Morgan HD, Heijden MGA van der, et al. 2003. A handbook of protocols for </w:t>
      </w:r>
      <w:proofErr w:type="spellStart"/>
      <w:r w:rsidRPr="001F7098">
        <w:t>standardised</w:t>
      </w:r>
      <w:proofErr w:type="spellEnd"/>
      <w:r w:rsidRPr="001F7098">
        <w:t xml:space="preserve"> and easy measurement of plant functional traits worldwide. </w:t>
      </w:r>
      <w:r w:rsidRPr="001F7098">
        <w:rPr>
          <w:i/>
          <w:iCs/>
        </w:rPr>
        <w:t>Aust. J. Bot.</w:t>
      </w:r>
      <w:r w:rsidRPr="001F7098">
        <w:t xml:space="preserve"> 51(4): 335-380.</w:t>
      </w:r>
    </w:p>
    <w:p w14:paraId="613415B7" w14:textId="77777777" w:rsidR="008161B3" w:rsidRPr="001F7098" w:rsidRDefault="008161B3" w:rsidP="001A325F">
      <w:pPr>
        <w:spacing w:line="276" w:lineRule="auto"/>
        <w:ind w:left="720" w:hanging="720"/>
        <w:jc w:val="both"/>
      </w:pPr>
      <w:r w:rsidRPr="001F7098">
        <w:t xml:space="preserve">Cowan IR, Farquhar GD. 1977. Stomatal function in relation to leaf metabolism and environment. </w:t>
      </w:r>
      <w:r w:rsidRPr="001F7098">
        <w:rPr>
          <w:i/>
          <w:iCs/>
        </w:rPr>
        <w:t>Symposia of the Society for Experimental Biology</w:t>
      </w:r>
      <w:r w:rsidRPr="001F7098">
        <w:t xml:space="preserve"> 31: 471-505.</w:t>
      </w:r>
    </w:p>
    <w:p w14:paraId="2632007F" w14:textId="77777777" w:rsidR="008161B3" w:rsidRPr="001F7098" w:rsidRDefault="008161B3" w:rsidP="001A325F">
      <w:pPr>
        <w:spacing w:line="276" w:lineRule="auto"/>
        <w:ind w:left="720" w:hanging="720"/>
        <w:jc w:val="both"/>
      </w:pPr>
      <w:r w:rsidRPr="001F7098">
        <w:t xml:space="preserve">Craig H. 1961. Isotopic Variations in Meteoric Waters. </w:t>
      </w:r>
      <w:r w:rsidRPr="001F7098">
        <w:rPr>
          <w:i/>
          <w:iCs/>
        </w:rPr>
        <w:t xml:space="preserve">Science </w:t>
      </w:r>
      <w:r w:rsidRPr="001F7098">
        <w:t>133: 1702-1703.</w:t>
      </w:r>
    </w:p>
    <w:p w14:paraId="6749DB01" w14:textId="77777777" w:rsidR="008161B3" w:rsidRPr="001F7098" w:rsidRDefault="008161B3" w:rsidP="001A325F">
      <w:pPr>
        <w:spacing w:line="276" w:lineRule="auto"/>
        <w:ind w:left="720" w:hanging="720"/>
        <w:jc w:val="both"/>
      </w:pPr>
      <w:r w:rsidRPr="001F7098">
        <w:t xml:space="preserve">Creed IF, Spargo AT, Jones JA, Buttle JM, Adams MB, Beall FD, Booth EG, Campbell JL, Clow D, Elder K, </w:t>
      </w:r>
      <w:r w:rsidRPr="001F7098">
        <w:rPr>
          <w:i/>
          <w:iCs/>
        </w:rPr>
        <w:t>et al</w:t>
      </w:r>
      <w:r w:rsidRPr="001F7098">
        <w:t xml:space="preserve">. 2014. Changing forest water yields in response to climate warming: results from long-term experimental watershed sites across North America. </w:t>
      </w:r>
      <w:r w:rsidRPr="001F7098">
        <w:rPr>
          <w:i/>
          <w:iCs/>
        </w:rPr>
        <w:t>Glob. Change Biol</w:t>
      </w:r>
      <w:r w:rsidRPr="001F7098">
        <w:t>. 20: 3191–3208.</w:t>
      </w:r>
    </w:p>
    <w:p w14:paraId="1763B186" w14:textId="77777777" w:rsidR="008161B3" w:rsidRPr="001F7098" w:rsidRDefault="008161B3" w:rsidP="001A325F">
      <w:pPr>
        <w:spacing w:line="276" w:lineRule="auto"/>
        <w:ind w:left="720" w:hanging="720"/>
        <w:jc w:val="both"/>
      </w:pPr>
      <w:proofErr w:type="spellStart"/>
      <w:r w:rsidRPr="001F7098">
        <w:t>Dansgaard</w:t>
      </w:r>
      <w:proofErr w:type="spellEnd"/>
      <w:r w:rsidRPr="001F7098">
        <w:t xml:space="preserve"> W. 1964. Stable isotopes in precipitation. </w:t>
      </w:r>
      <w:r w:rsidRPr="001F7098">
        <w:rPr>
          <w:i/>
          <w:iCs/>
        </w:rPr>
        <w:t>Tellus</w:t>
      </w:r>
      <w:r w:rsidRPr="001F7098">
        <w:t xml:space="preserve"> 16(4): 436-468.</w:t>
      </w:r>
    </w:p>
    <w:p w14:paraId="669E1454" w14:textId="77777777" w:rsidR="008161B3" w:rsidRPr="001F7098" w:rsidRDefault="008161B3" w:rsidP="001A325F">
      <w:pPr>
        <w:spacing w:line="276" w:lineRule="auto"/>
        <w:ind w:left="720" w:hanging="720"/>
        <w:jc w:val="both"/>
      </w:pPr>
      <w:r w:rsidRPr="001F7098">
        <w:t xml:space="preserve">Dudley SA. 1996. Differing Selection on Plant Physiological Traits in Response to Environmental Water Availability: A Test of Adaptive Hypotheses. </w:t>
      </w:r>
      <w:r w:rsidRPr="001F7098">
        <w:rPr>
          <w:i/>
          <w:iCs/>
        </w:rPr>
        <w:t>Evolution</w:t>
      </w:r>
      <w:r w:rsidRPr="001F7098">
        <w:t xml:space="preserve"> 50(1): 92-102.</w:t>
      </w:r>
    </w:p>
    <w:p w14:paraId="597ED2A0" w14:textId="77777777" w:rsidR="008161B3" w:rsidRPr="001F7098" w:rsidRDefault="008161B3" w:rsidP="001A325F">
      <w:pPr>
        <w:spacing w:line="276" w:lineRule="auto"/>
        <w:ind w:left="720" w:hanging="720"/>
        <w:jc w:val="both"/>
      </w:pPr>
      <w:r w:rsidRPr="001F7098">
        <w:t xml:space="preserve">Dunlap JM, Stettler RF. 2001. Variation in leaf epidermal and stomatal traits of </w:t>
      </w:r>
      <w:r w:rsidRPr="004B4C00">
        <w:rPr>
          <w:i/>
          <w:iCs/>
        </w:rPr>
        <w:t xml:space="preserve">Populus </w:t>
      </w:r>
      <w:proofErr w:type="spellStart"/>
      <w:r w:rsidRPr="004B4C00">
        <w:rPr>
          <w:i/>
          <w:iCs/>
        </w:rPr>
        <w:t>trichocarpa</w:t>
      </w:r>
      <w:proofErr w:type="spellEnd"/>
      <w:r w:rsidRPr="001F7098">
        <w:t xml:space="preserve"> from two transects across the Washington Cascades. </w:t>
      </w:r>
      <w:r w:rsidRPr="001F7098">
        <w:rPr>
          <w:i/>
          <w:iCs/>
        </w:rPr>
        <w:t>Can. J. Bot.</w:t>
      </w:r>
      <w:r w:rsidRPr="001F7098">
        <w:t xml:space="preserve"> 79: 528–536.</w:t>
      </w:r>
    </w:p>
    <w:p w14:paraId="7163247B" w14:textId="77777777" w:rsidR="008161B3" w:rsidRPr="001F7098" w:rsidRDefault="008161B3" w:rsidP="001A325F">
      <w:pPr>
        <w:spacing w:line="276" w:lineRule="auto"/>
        <w:ind w:left="720" w:hanging="720"/>
        <w:jc w:val="both"/>
      </w:pPr>
      <w:proofErr w:type="spellStart"/>
      <w:r w:rsidRPr="001F7098">
        <w:t>Eagleson</w:t>
      </w:r>
      <w:proofErr w:type="spellEnd"/>
      <w:r w:rsidRPr="001F7098">
        <w:t xml:space="preserve"> PS. 1978. Climate, soil, and vegetation: 1. Introduction to water balance dynamics. </w:t>
      </w:r>
      <w:r w:rsidRPr="001F7098">
        <w:rPr>
          <w:i/>
          <w:iCs/>
        </w:rPr>
        <w:t xml:space="preserve">Water </w:t>
      </w:r>
      <w:proofErr w:type="spellStart"/>
      <w:r w:rsidRPr="001F7098">
        <w:rPr>
          <w:i/>
          <w:iCs/>
        </w:rPr>
        <w:t>Resour</w:t>
      </w:r>
      <w:proofErr w:type="spellEnd"/>
      <w:r w:rsidRPr="001F7098">
        <w:rPr>
          <w:i/>
          <w:iCs/>
        </w:rPr>
        <w:t>. Res.</w:t>
      </w:r>
      <w:r w:rsidRPr="001F7098">
        <w:t xml:space="preserve"> 14(5): 705-712.</w:t>
      </w:r>
    </w:p>
    <w:p w14:paraId="037B7328" w14:textId="77777777" w:rsidR="008161B3" w:rsidRPr="001F7098" w:rsidRDefault="008161B3" w:rsidP="001A325F">
      <w:pPr>
        <w:spacing w:line="276" w:lineRule="auto"/>
        <w:ind w:left="720" w:hanging="720"/>
        <w:jc w:val="both"/>
      </w:pPr>
      <w:proofErr w:type="spellStart"/>
      <w:r w:rsidRPr="001F7098">
        <w:t>Eagleson</w:t>
      </w:r>
      <w:proofErr w:type="spellEnd"/>
      <w:r w:rsidRPr="001F7098">
        <w:t xml:space="preserve"> PS, Tellers TE. 1982. Ecological Optimality in Water‐Limited Natural Soil‐Vegetation Systems: 2. Tests and Applications. </w:t>
      </w:r>
      <w:r w:rsidRPr="001F7098">
        <w:rPr>
          <w:i/>
          <w:iCs/>
        </w:rPr>
        <w:t xml:space="preserve">Water </w:t>
      </w:r>
      <w:proofErr w:type="spellStart"/>
      <w:r w:rsidRPr="001F7098">
        <w:rPr>
          <w:i/>
          <w:iCs/>
        </w:rPr>
        <w:t>Resour</w:t>
      </w:r>
      <w:proofErr w:type="spellEnd"/>
      <w:r w:rsidRPr="001F7098">
        <w:rPr>
          <w:i/>
          <w:iCs/>
        </w:rPr>
        <w:t>. Res.</w:t>
      </w:r>
      <w:r w:rsidRPr="001F7098">
        <w:t xml:space="preserve"> 18(2): 341-354.</w:t>
      </w:r>
    </w:p>
    <w:p w14:paraId="31FD6B5F" w14:textId="77777777" w:rsidR="008161B3" w:rsidRPr="001F7098" w:rsidRDefault="008161B3" w:rsidP="001A325F">
      <w:pPr>
        <w:spacing w:line="276" w:lineRule="auto"/>
        <w:ind w:left="720" w:hanging="720"/>
        <w:jc w:val="both"/>
      </w:pPr>
      <w:r w:rsidRPr="001F7098">
        <w:t xml:space="preserve">Eller CB, Rowland L, Oliveira RS, </w:t>
      </w:r>
      <w:proofErr w:type="spellStart"/>
      <w:r w:rsidRPr="001F7098">
        <w:t>Bittencourt</w:t>
      </w:r>
      <w:proofErr w:type="spellEnd"/>
      <w:r w:rsidRPr="001F7098">
        <w:t xml:space="preserve"> PRL, Barros F V, da Costa ACL, Meir P, Friend AD, </w:t>
      </w:r>
      <w:proofErr w:type="spellStart"/>
      <w:r w:rsidRPr="001F7098">
        <w:t>Mencuccini</w:t>
      </w:r>
      <w:proofErr w:type="spellEnd"/>
      <w:r w:rsidRPr="001F7098">
        <w:t xml:space="preserve"> M, </w:t>
      </w:r>
      <w:proofErr w:type="spellStart"/>
      <w:r w:rsidRPr="001F7098">
        <w:t>Sitch</w:t>
      </w:r>
      <w:proofErr w:type="spellEnd"/>
      <w:r w:rsidRPr="001F7098">
        <w:t xml:space="preserve"> S, Cox P. 2018. Modelling tropical forest responses to drought and El Niño with a stomatal optimization model based on xylem hydraulics. </w:t>
      </w:r>
      <w:r w:rsidRPr="001F7098">
        <w:rPr>
          <w:i/>
          <w:iCs/>
        </w:rPr>
        <w:t>Phil. Trans. R. Soc. B.</w:t>
      </w:r>
      <w:r w:rsidRPr="001F7098">
        <w:t xml:space="preserve"> 373: 20170315.</w:t>
      </w:r>
    </w:p>
    <w:p w14:paraId="620CEAEF" w14:textId="77777777" w:rsidR="008161B3" w:rsidRPr="001F7098" w:rsidRDefault="008161B3" w:rsidP="001A325F">
      <w:pPr>
        <w:spacing w:line="276" w:lineRule="auto"/>
        <w:ind w:left="720" w:hanging="720"/>
        <w:jc w:val="both"/>
      </w:pPr>
      <w:r w:rsidRPr="001F7098">
        <w:lastRenderedPageBreak/>
        <w:t xml:space="preserve">Evans LM, Allan GJ, </w:t>
      </w:r>
      <w:proofErr w:type="spellStart"/>
      <w:r w:rsidRPr="001F7098">
        <w:t>Difazio</w:t>
      </w:r>
      <w:proofErr w:type="spellEnd"/>
      <w:r w:rsidRPr="001F7098">
        <w:t xml:space="preserve"> SP, </w:t>
      </w:r>
      <w:proofErr w:type="spellStart"/>
      <w:r w:rsidRPr="001F7098">
        <w:t>Slavov</w:t>
      </w:r>
      <w:proofErr w:type="spellEnd"/>
      <w:r w:rsidRPr="001F7098">
        <w:t xml:space="preserve"> GT, Wilder JA, </w:t>
      </w:r>
      <w:proofErr w:type="spellStart"/>
      <w:r w:rsidRPr="001F7098">
        <w:t>Floate</w:t>
      </w:r>
      <w:proofErr w:type="spellEnd"/>
      <w:r w:rsidRPr="001F7098">
        <w:t xml:space="preserve"> KD, Rood SB, Whitham TG. 2015. Geographical barriers and climate influence demographic history in narrowleaf cottonwoods. </w:t>
      </w:r>
      <w:r w:rsidRPr="001F7098">
        <w:rPr>
          <w:i/>
          <w:iCs/>
        </w:rPr>
        <w:t>Heredity</w:t>
      </w:r>
      <w:r w:rsidRPr="001F7098">
        <w:t xml:space="preserve"> 114: 387-396.</w:t>
      </w:r>
    </w:p>
    <w:p w14:paraId="249DC158" w14:textId="77777777" w:rsidR="008161B3" w:rsidRPr="001F7098" w:rsidRDefault="008161B3" w:rsidP="001A325F">
      <w:pPr>
        <w:spacing w:line="276" w:lineRule="auto"/>
        <w:ind w:left="720" w:hanging="720"/>
        <w:jc w:val="both"/>
      </w:pPr>
      <w:r w:rsidRPr="001F7098">
        <w:t xml:space="preserve">Evans LM, </w:t>
      </w:r>
      <w:proofErr w:type="spellStart"/>
      <w:r w:rsidRPr="001F7098">
        <w:t>Kaluthota</w:t>
      </w:r>
      <w:proofErr w:type="spellEnd"/>
      <w:r w:rsidRPr="001F7098">
        <w:t xml:space="preserve"> S, Pearce DW, Allan GJ, </w:t>
      </w:r>
      <w:proofErr w:type="spellStart"/>
      <w:r w:rsidRPr="001F7098">
        <w:t>Floate</w:t>
      </w:r>
      <w:proofErr w:type="spellEnd"/>
      <w:r w:rsidRPr="001F7098">
        <w:t xml:space="preserve"> K, Rood SB, Whitham TG. 2016. Bud phenology and growth are subject to divergent selection across latitudinal gradient in </w:t>
      </w:r>
      <w:r w:rsidRPr="001F7098">
        <w:rPr>
          <w:i/>
          <w:iCs/>
        </w:rPr>
        <w:t>Populus angustifolia</w:t>
      </w:r>
      <w:r w:rsidRPr="001F7098">
        <w:t xml:space="preserve"> and impact adaptation across the distributional range and associated arthropods. </w:t>
      </w:r>
      <w:r w:rsidRPr="001F7098">
        <w:rPr>
          <w:i/>
          <w:iCs/>
        </w:rPr>
        <w:t xml:space="preserve">Ecol. </w:t>
      </w:r>
      <w:proofErr w:type="spellStart"/>
      <w:r w:rsidRPr="001F7098">
        <w:rPr>
          <w:i/>
          <w:iCs/>
        </w:rPr>
        <w:t>Evol</w:t>
      </w:r>
      <w:proofErr w:type="spellEnd"/>
      <w:r w:rsidRPr="001F7098">
        <w:rPr>
          <w:i/>
          <w:iCs/>
        </w:rPr>
        <w:t xml:space="preserve">. </w:t>
      </w:r>
      <w:r w:rsidRPr="001F7098">
        <w:t>6(13): 4565-4581.</w:t>
      </w:r>
    </w:p>
    <w:p w14:paraId="530F23BC" w14:textId="77777777" w:rsidR="008161B3" w:rsidRPr="001F7098" w:rsidRDefault="008161B3" w:rsidP="001A325F">
      <w:pPr>
        <w:spacing w:line="276" w:lineRule="auto"/>
        <w:ind w:left="720" w:hanging="720"/>
        <w:jc w:val="both"/>
      </w:pPr>
      <w:proofErr w:type="spellStart"/>
      <w:r w:rsidRPr="001F7098">
        <w:t>Famiglietti</w:t>
      </w:r>
      <w:proofErr w:type="spellEnd"/>
      <w:r w:rsidRPr="001F7098">
        <w:t xml:space="preserve"> JS. 2014. The global groundwater crisis. Nature Climate Change 4: 945-948.</w:t>
      </w:r>
    </w:p>
    <w:p w14:paraId="06DACA2D" w14:textId="77777777" w:rsidR="008161B3" w:rsidRPr="001F7098" w:rsidRDefault="008161B3" w:rsidP="001A325F">
      <w:pPr>
        <w:spacing w:line="276" w:lineRule="auto"/>
        <w:ind w:left="720" w:hanging="720"/>
        <w:jc w:val="both"/>
      </w:pPr>
      <w:r w:rsidRPr="001F7098">
        <w:t xml:space="preserve">Fick SE, </w:t>
      </w:r>
      <w:proofErr w:type="spellStart"/>
      <w:r w:rsidRPr="001F7098">
        <w:t>Hijmans</w:t>
      </w:r>
      <w:proofErr w:type="spellEnd"/>
      <w:r w:rsidRPr="001F7098">
        <w:t xml:space="preserve"> RJ, 2017. </w:t>
      </w:r>
      <w:proofErr w:type="spellStart"/>
      <w:r w:rsidRPr="001F7098">
        <w:t>Worldclim</w:t>
      </w:r>
      <w:proofErr w:type="spellEnd"/>
      <w:r w:rsidRPr="001F7098">
        <w:t xml:space="preserve"> 2: new 1-km spatial resolution climate surfaces for global land areas. </w:t>
      </w:r>
      <w:r w:rsidRPr="001F7098">
        <w:rPr>
          <w:i/>
          <w:iCs/>
        </w:rPr>
        <w:t xml:space="preserve">Int. J. </w:t>
      </w:r>
      <w:proofErr w:type="spellStart"/>
      <w:r w:rsidRPr="001F7098">
        <w:rPr>
          <w:i/>
          <w:iCs/>
        </w:rPr>
        <w:t>Climatol</w:t>
      </w:r>
      <w:proofErr w:type="spellEnd"/>
      <w:r w:rsidRPr="001F7098">
        <w:rPr>
          <w:i/>
          <w:iCs/>
        </w:rPr>
        <w:t>.</w:t>
      </w:r>
      <w:r w:rsidRPr="001F7098">
        <w:t xml:space="preserve"> 37: 4302-4315.</w:t>
      </w:r>
    </w:p>
    <w:p w14:paraId="128AE2E3" w14:textId="77777777" w:rsidR="008161B3" w:rsidRPr="001F7098" w:rsidRDefault="008161B3" w:rsidP="001A325F">
      <w:pPr>
        <w:spacing w:line="276" w:lineRule="auto"/>
        <w:ind w:left="720" w:hanging="720"/>
        <w:jc w:val="both"/>
      </w:pPr>
      <w:r w:rsidRPr="001F7098">
        <w:t xml:space="preserve">Fischer DG, Hart SC, Whitham TG, Martinsen GD, </w:t>
      </w:r>
      <w:proofErr w:type="spellStart"/>
      <w:r w:rsidRPr="001F7098">
        <w:t>Keim</w:t>
      </w:r>
      <w:proofErr w:type="spellEnd"/>
      <w:r w:rsidRPr="001F7098">
        <w:t xml:space="preserve"> P. 2004. Ecosystem implications of genetic variation in water-use of a dominant riparian tree. </w:t>
      </w:r>
      <w:proofErr w:type="spellStart"/>
      <w:r w:rsidRPr="001F7098">
        <w:rPr>
          <w:i/>
          <w:iCs/>
        </w:rPr>
        <w:t>Oecologia</w:t>
      </w:r>
      <w:proofErr w:type="spellEnd"/>
      <w:r w:rsidRPr="001F7098">
        <w:t xml:space="preserve"> 139(2): 288-297.</w:t>
      </w:r>
    </w:p>
    <w:p w14:paraId="752EDD54" w14:textId="77777777" w:rsidR="008161B3" w:rsidRPr="001F7098" w:rsidRDefault="008161B3" w:rsidP="001A325F">
      <w:pPr>
        <w:spacing w:line="276" w:lineRule="auto"/>
        <w:ind w:left="720" w:hanging="720"/>
        <w:jc w:val="both"/>
      </w:pPr>
      <w:r w:rsidRPr="001F7098">
        <w:t>Fox J, Weisberg S, Adler D, Bates D, Baud-</w:t>
      </w:r>
      <w:proofErr w:type="spellStart"/>
      <w:r w:rsidRPr="001F7098">
        <w:t>Bovy</w:t>
      </w:r>
      <w:proofErr w:type="spellEnd"/>
      <w:r w:rsidRPr="001F7098">
        <w:t xml:space="preserve"> G, Ellison S, Firth D, Friendly M, </w:t>
      </w:r>
      <w:proofErr w:type="spellStart"/>
      <w:r w:rsidRPr="001F7098">
        <w:t>Gorjanc</w:t>
      </w:r>
      <w:proofErr w:type="spellEnd"/>
      <w:r w:rsidRPr="001F7098">
        <w:t xml:space="preserve"> G, Graves S, et al. 2018. car: Companion to Applied Regression. In: R Package Version 2.0-21.</w:t>
      </w:r>
    </w:p>
    <w:p w14:paraId="21EDC891" w14:textId="77777777" w:rsidR="008161B3" w:rsidRPr="001F7098" w:rsidRDefault="008161B3" w:rsidP="001A325F">
      <w:pPr>
        <w:spacing w:line="276" w:lineRule="auto"/>
        <w:ind w:left="720" w:hanging="720"/>
        <w:jc w:val="both"/>
      </w:pPr>
      <w:proofErr w:type="spellStart"/>
      <w:r w:rsidRPr="001F7098">
        <w:t>Gentine</w:t>
      </w:r>
      <w:proofErr w:type="spellEnd"/>
      <w:r w:rsidRPr="001F7098">
        <w:t xml:space="preserve"> P, </w:t>
      </w:r>
      <w:proofErr w:type="spellStart"/>
      <w:r w:rsidRPr="001F7098">
        <w:t>D’Odorico</w:t>
      </w:r>
      <w:proofErr w:type="spellEnd"/>
      <w:r w:rsidRPr="001F7098">
        <w:t xml:space="preserve"> P, Lintner BR, </w:t>
      </w:r>
      <w:proofErr w:type="spellStart"/>
      <w:r w:rsidRPr="001F7098">
        <w:t>Sivandran</w:t>
      </w:r>
      <w:proofErr w:type="spellEnd"/>
      <w:r w:rsidRPr="001F7098">
        <w:t xml:space="preserve"> G, </w:t>
      </w:r>
      <w:proofErr w:type="spellStart"/>
      <w:r w:rsidRPr="001F7098">
        <w:t>Salvucci</w:t>
      </w:r>
      <w:proofErr w:type="spellEnd"/>
      <w:r w:rsidRPr="001F7098">
        <w:t xml:space="preserve"> G. 2012. Interdependence of climate, soil, and vegetation as constrained by the </w:t>
      </w:r>
      <w:proofErr w:type="spellStart"/>
      <w:r w:rsidRPr="001F7098">
        <w:t>Budyko</w:t>
      </w:r>
      <w:proofErr w:type="spellEnd"/>
      <w:r w:rsidRPr="001F7098">
        <w:t xml:space="preserve"> curve. </w:t>
      </w:r>
      <w:proofErr w:type="spellStart"/>
      <w:r w:rsidRPr="001F7098">
        <w:rPr>
          <w:i/>
          <w:iCs/>
        </w:rPr>
        <w:t>Geophys</w:t>
      </w:r>
      <w:proofErr w:type="spellEnd"/>
      <w:r w:rsidRPr="001F7098">
        <w:rPr>
          <w:i/>
          <w:iCs/>
        </w:rPr>
        <w:t>. Res. Lett.</w:t>
      </w:r>
      <w:r w:rsidRPr="001F7098">
        <w:t xml:space="preserve"> 39(19): L19404.</w:t>
      </w:r>
    </w:p>
    <w:p w14:paraId="3A342FA1" w14:textId="77777777" w:rsidR="008161B3" w:rsidRPr="001F7098" w:rsidRDefault="008161B3" w:rsidP="001A325F">
      <w:pPr>
        <w:spacing w:line="276" w:lineRule="auto"/>
        <w:ind w:left="720" w:hanging="720"/>
        <w:jc w:val="both"/>
      </w:pPr>
      <w:proofErr w:type="spellStart"/>
      <w:r w:rsidRPr="001F7098">
        <w:t>Georgakakos</w:t>
      </w:r>
      <w:proofErr w:type="spellEnd"/>
      <w:r w:rsidRPr="001F7098">
        <w:t xml:space="preserve"> A, Fleming P, </w:t>
      </w:r>
      <w:proofErr w:type="spellStart"/>
      <w:r w:rsidRPr="001F7098">
        <w:t>Dettinger</w:t>
      </w:r>
      <w:proofErr w:type="spellEnd"/>
      <w:r w:rsidRPr="001F7098">
        <w:t xml:space="preserve"> M, Peters-</w:t>
      </w:r>
      <w:proofErr w:type="spellStart"/>
      <w:r w:rsidRPr="001F7098">
        <w:t>Lidard</w:t>
      </w:r>
      <w:proofErr w:type="spellEnd"/>
      <w:r w:rsidRPr="001F7098">
        <w:t xml:space="preserve"> C, Richmond T, </w:t>
      </w:r>
      <w:proofErr w:type="spellStart"/>
      <w:r w:rsidRPr="001F7098">
        <w:t>Reckhow</w:t>
      </w:r>
      <w:proofErr w:type="spellEnd"/>
      <w:r w:rsidRPr="001F7098">
        <w:t xml:space="preserve"> K, White K, Yates D. 2014. Ch. 3: Water Resources. Climate Change Impacts in the United States: The Third National Climate Assessment. JM Melillo, </w:t>
      </w:r>
      <w:proofErr w:type="spellStart"/>
      <w:r w:rsidRPr="001F7098">
        <w:t>Terese</w:t>
      </w:r>
      <w:proofErr w:type="spellEnd"/>
      <w:r w:rsidRPr="001F7098">
        <w:t xml:space="preserve"> (TC) Richmond, GW </w:t>
      </w:r>
      <w:proofErr w:type="spellStart"/>
      <w:r w:rsidRPr="001F7098">
        <w:t>Yohe</w:t>
      </w:r>
      <w:proofErr w:type="spellEnd"/>
      <w:r w:rsidRPr="001F7098">
        <w:t>, Eds., U.S. Global Change Research Program, 69-112.</w:t>
      </w:r>
    </w:p>
    <w:p w14:paraId="7F13FBDE" w14:textId="77777777" w:rsidR="008161B3" w:rsidRPr="001F7098" w:rsidRDefault="008161B3" w:rsidP="001A325F">
      <w:pPr>
        <w:spacing w:line="276" w:lineRule="auto"/>
        <w:ind w:left="720" w:hanging="720"/>
        <w:jc w:val="both"/>
      </w:pPr>
      <w:r w:rsidRPr="001F7098">
        <w:t xml:space="preserve">Gitlin AR, </w:t>
      </w:r>
      <w:proofErr w:type="spellStart"/>
      <w:r w:rsidRPr="001F7098">
        <w:t>Sthultz</w:t>
      </w:r>
      <w:proofErr w:type="spellEnd"/>
      <w:r w:rsidRPr="001F7098">
        <w:t xml:space="preserve"> CM, Bowker MA, Stumpf S, Paxton KL, Kennedy K, Muñoz A, Bailey JK, Whitham TG. 2006. Mortality Gradients within and among Dominant Plant Populations as Barometers of Ecosystem Change During Extreme Drought. </w:t>
      </w:r>
      <w:proofErr w:type="spellStart"/>
      <w:r w:rsidRPr="001F7098">
        <w:rPr>
          <w:i/>
          <w:iCs/>
        </w:rPr>
        <w:t>Conserv</w:t>
      </w:r>
      <w:proofErr w:type="spellEnd"/>
      <w:r w:rsidRPr="001F7098">
        <w:rPr>
          <w:i/>
          <w:iCs/>
        </w:rPr>
        <w:t>. Biol.</w:t>
      </w:r>
      <w:r w:rsidRPr="001F7098">
        <w:t xml:space="preserve"> 20(5):1477-1486.</w:t>
      </w:r>
    </w:p>
    <w:p w14:paraId="3CB25F52" w14:textId="77777777" w:rsidR="008161B3" w:rsidRPr="001F7098" w:rsidRDefault="008161B3" w:rsidP="001A325F">
      <w:pPr>
        <w:spacing w:line="276" w:lineRule="auto"/>
        <w:ind w:left="720" w:hanging="720"/>
        <w:jc w:val="both"/>
      </w:pPr>
      <w:r w:rsidRPr="001F7098">
        <w:t xml:space="preserve">Goldsmith GR, Allen ST, Braun S, </w:t>
      </w:r>
      <w:proofErr w:type="spellStart"/>
      <w:r w:rsidRPr="001F7098">
        <w:t>Engbersen</w:t>
      </w:r>
      <w:proofErr w:type="spellEnd"/>
      <w:r w:rsidRPr="001F7098">
        <w:t xml:space="preserve"> N, González-Quijano CR, Kirchner JW, </w:t>
      </w:r>
      <w:proofErr w:type="spellStart"/>
      <w:r w:rsidRPr="001F7098">
        <w:t>Siegwolf</w:t>
      </w:r>
      <w:proofErr w:type="spellEnd"/>
      <w:r w:rsidRPr="001F7098">
        <w:t xml:space="preserve"> RTW. 2019. Spatial variation in throughfall, soil, and plant water isotopes in a temperate forest. </w:t>
      </w:r>
      <w:proofErr w:type="spellStart"/>
      <w:r w:rsidRPr="001F7098">
        <w:rPr>
          <w:i/>
          <w:iCs/>
        </w:rPr>
        <w:t>Ecohydrol</w:t>
      </w:r>
      <w:proofErr w:type="spellEnd"/>
      <w:r w:rsidRPr="001F7098">
        <w:rPr>
          <w:i/>
          <w:iCs/>
        </w:rPr>
        <w:t>.</w:t>
      </w:r>
      <w:r w:rsidRPr="001F7098">
        <w:t xml:space="preserve"> </w:t>
      </w:r>
      <w:proofErr w:type="gramStart"/>
      <w:r w:rsidRPr="001F7098">
        <w:t>12:e</w:t>
      </w:r>
      <w:proofErr w:type="gramEnd"/>
      <w:r w:rsidRPr="001F7098">
        <w:t>2059.</w:t>
      </w:r>
    </w:p>
    <w:p w14:paraId="21FFA761" w14:textId="77777777" w:rsidR="008161B3" w:rsidRPr="001F7098" w:rsidRDefault="008161B3" w:rsidP="001A325F">
      <w:pPr>
        <w:spacing w:line="276" w:lineRule="auto"/>
        <w:ind w:left="720" w:hanging="720"/>
        <w:jc w:val="both"/>
      </w:pPr>
      <w:proofErr w:type="spellStart"/>
      <w:r w:rsidRPr="001F7098">
        <w:t>Gotelli</w:t>
      </w:r>
      <w:proofErr w:type="spellEnd"/>
      <w:r w:rsidRPr="001F7098">
        <w:t xml:space="preserve"> NJ, Stanton-Geddes J. 2015. Climate change, genetic </w:t>
      </w:r>
      <w:proofErr w:type="gramStart"/>
      <w:r w:rsidRPr="001F7098">
        <w:t>markers</w:t>
      </w:r>
      <w:proofErr w:type="gramEnd"/>
      <w:r w:rsidRPr="001F7098">
        <w:t xml:space="preserve"> and species distribution modelling. </w:t>
      </w:r>
      <w:r w:rsidRPr="001F7098">
        <w:rPr>
          <w:i/>
          <w:iCs/>
        </w:rPr>
        <w:t xml:space="preserve">J. </w:t>
      </w:r>
      <w:proofErr w:type="spellStart"/>
      <w:r w:rsidRPr="001F7098">
        <w:rPr>
          <w:i/>
          <w:iCs/>
        </w:rPr>
        <w:t>Biogeogr</w:t>
      </w:r>
      <w:proofErr w:type="spellEnd"/>
      <w:r w:rsidRPr="001F7098">
        <w:rPr>
          <w:i/>
          <w:iCs/>
        </w:rPr>
        <w:t>.</w:t>
      </w:r>
      <w:r w:rsidRPr="001F7098">
        <w:t xml:space="preserve"> 42: 1577-1585.</w:t>
      </w:r>
    </w:p>
    <w:p w14:paraId="67C4FEDD" w14:textId="77777777" w:rsidR="008161B3" w:rsidRPr="001F7098" w:rsidRDefault="008161B3" w:rsidP="001A325F">
      <w:pPr>
        <w:spacing w:line="276" w:lineRule="auto"/>
        <w:ind w:left="720" w:hanging="720"/>
        <w:jc w:val="both"/>
      </w:pPr>
      <w:proofErr w:type="spellStart"/>
      <w:r w:rsidRPr="001F7098">
        <w:t>Grossiord</w:t>
      </w:r>
      <w:proofErr w:type="spellEnd"/>
      <w:r w:rsidRPr="001F7098">
        <w:t xml:space="preserve"> C, Buckley TN, </w:t>
      </w:r>
      <w:proofErr w:type="spellStart"/>
      <w:r w:rsidRPr="001F7098">
        <w:t>Cernusaka</w:t>
      </w:r>
      <w:proofErr w:type="spellEnd"/>
      <w:r w:rsidRPr="001F7098">
        <w:t xml:space="preserve"> LA, Novick KA, Poulter B, </w:t>
      </w:r>
      <w:proofErr w:type="spellStart"/>
      <w:r w:rsidRPr="001F7098">
        <w:t>Siegwolf</w:t>
      </w:r>
      <w:proofErr w:type="spellEnd"/>
      <w:r w:rsidRPr="001F7098">
        <w:t xml:space="preserve"> RTW, Sperry JS, McDowell NG. 2020. Plant responses to rising vapor pressure deficit. </w:t>
      </w:r>
      <w:r w:rsidRPr="001F7098">
        <w:rPr>
          <w:i/>
          <w:iCs/>
        </w:rPr>
        <w:t>New Phytol.</w:t>
      </w:r>
      <w:r w:rsidRPr="001F7098">
        <w:t xml:space="preserve"> 226: 1150-1566.</w:t>
      </w:r>
    </w:p>
    <w:p w14:paraId="0B726132" w14:textId="77777777" w:rsidR="008161B3" w:rsidRPr="001F7098" w:rsidRDefault="008161B3" w:rsidP="001A325F">
      <w:pPr>
        <w:spacing w:line="276" w:lineRule="auto"/>
        <w:ind w:left="720" w:hanging="720"/>
        <w:jc w:val="both"/>
      </w:pPr>
      <w:proofErr w:type="spellStart"/>
      <w:r w:rsidRPr="001F7098">
        <w:t>Guisan</w:t>
      </w:r>
      <w:proofErr w:type="spellEnd"/>
      <w:r w:rsidRPr="001F7098">
        <w:t xml:space="preserve"> A, Zimmermann NE. 2000. Predictive habitat distribution models in ecology</w:t>
      </w:r>
      <w:r w:rsidRPr="001F7098">
        <w:rPr>
          <w:i/>
          <w:iCs/>
        </w:rPr>
        <w:t>. Ecol. Model.</w:t>
      </w:r>
      <w:r w:rsidRPr="001F7098">
        <w:t xml:space="preserve"> 135(2-3): 147-186.</w:t>
      </w:r>
    </w:p>
    <w:p w14:paraId="3E0766C6" w14:textId="77777777" w:rsidR="008161B3" w:rsidRPr="001F7098" w:rsidRDefault="008161B3" w:rsidP="001A325F">
      <w:pPr>
        <w:spacing w:line="276" w:lineRule="auto"/>
        <w:ind w:left="720" w:hanging="720"/>
        <w:jc w:val="both"/>
        <w:rPr>
          <w:color w:val="000000" w:themeColor="text1"/>
        </w:rPr>
      </w:pPr>
      <w:r w:rsidRPr="001F7098">
        <w:rPr>
          <w:color w:val="000000" w:themeColor="text1"/>
        </w:rPr>
        <w:t xml:space="preserve">Guy RD, Gornall JL. 2007. Geographic variation in </w:t>
      </w:r>
      <w:proofErr w:type="spellStart"/>
      <w:r w:rsidRPr="001F7098">
        <w:rPr>
          <w:color w:val="000000" w:themeColor="text1"/>
        </w:rPr>
        <w:t>ecophysiological</w:t>
      </w:r>
      <w:proofErr w:type="spellEnd"/>
      <w:r w:rsidRPr="001F7098">
        <w:rPr>
          <w:color w:val="000000" w:themeColor="text1"/>
        </w:rPr>
        <w:t xml:space="preserve"> traits of black cottonwood (</w:t>
      </w:r>
      <w:r w:rsidRPr="001F7098">
        <w:rPr>
          <w:i/>
          <w:iCs/>
          <w:color w:val="000000" w:themeColor="text1"/>
        </w:rPr>
        <w:t xml:space="preserve">Populus </w:t>
      </w:r>
      <w:proofErr w:type="spellStart"/>
      <w:r w:rsidRPr="001F7098">
        <w:rPr>
          <w:i/>
          <w:iCs/>
          <w:color w:val="000000" w:themeColor="text1"/>
        </w:rPr>
        <w:t>trichocarpa</w:t>
      </w:r>
      <w:proofErr w:type="spellEnd"/>
      <w:r w:rsidRPr="001F7098">
        <w:rPr>
          <w:i/>
          <w:iCs/>
          <w:color w:val="000000" w:themeColor="text1"/>
        </w:rPr>
        <w:t>). Canadian Journal of Botany</w:t>
      </w:r>
      <w:r w:rsidRPr="001F7098">
        <w:rPr>
          <w:color w:val="000000" w:themeColor="text1"/>
        </w:rPr>
        <w:t xml:space="preserve"> 85: 1202-1213</w:t>
      </w:r>
    </w:p>
    <w:p w14:paraId="3CFE88D4" w14:textId="77777777" w:rsidR="008161B3" w:rsidRPr="001F7098" w:rsidRDefault="008161B3" w:rsidP="001A325F">
      <w:pPr>
        <w:spacing w:line="276" w:lineRule="auto"/>
        <w:ind w:left="720" w:hanging="720"/>
        <w:jc w:val="both"/>
        <w:rPr>
          <w:color w:val="000000" w:themeColor="text1"/>
        </w:rPr>
      </w:pPr>
      <w:proofErr w:type="spellStart"/>
      <w:r w:rsidRPr="001F7098">
        <w:rPr>
          <w:color w:val="000000" w:themeColor="text1"/>
        </w:rPr>
        <w:lastRenderedPageBreak/>
        <w:t>Hamanishi</w:t>
      </w:r>
      <w:proofErr w:type="spellEnd"/>
      <w:r w:rsidRPr="001F7098">
        <w:rPr>
          <w:color w:val="000000" w:themeColor="text1"/>
        </w:rPr>
        <w:t xml:space="preserve"> ET, Thomas BR, Campbell MM. 2012. Drought induces alterations in the stomatal development program in </w:t>
      </w:r>
      <w:r w:rsidRPr="001F7098">
        <w:rPr>
          <w:i/>
          <w:iCs/>
          <w:color w:val="000000" w:themeColor="text1"/>
        </w:rPr>
        <w:t>Populus</w:t>
      </w:r>
      <w:r w:rsidRPr="001F7098">
        <w:rPr>
          <w:color w:val="000000" w:themeColor="text1"/>
        </w:rPr>
        <w:t>. J. Exp. Bot. 63(13): 4959-4971.</w:t>
      </w:r>
    </w:p>
    <w:p w14:paraId="0BD41120" w14:textId="77777777" w:rsidR="008161B3" w:rsidRPr="001F7098" w:rsidRDefault="008161B3" w:rsidP="001A325F">
      <w:pPr>
        <w:spacing w:line="276" w:lineRule="auto"/>
        <w:ind w:left="720" w:hanging="720"/>
        <w:jc w:val="both"/>
      </w:pPr>
      <w:r w:rsidRPr="001F7098">
        <w:rPr>
          <w:color w:val="000000" w:themeColor="text1"/>
        </w:rPr>
        <w:t>Hendry AP. 2017. Eco-evolutionary Dynamics. Princeton (New Jersey): Princeton University Press. ISBN: 978-0-691</w:t>
      </w:r>
      <w:r w:rsidRPr="001F7098">
        <w:t xml:space="preserve">-14543-3. 2017. </w:t>
      </w:r>
    </w:p>
    <w:p w14:paraId="61A19F83" w14:textId="77777777" w:rsidR="008161B3" w:rsidRPr="001F7098" w:rsidRDefault="008161B3" w:rsidP="001A325F">
      <w:pPr>
        <w:spacing w:line="276" w:lineRule="auto"/>
        <w:ind w:left="720" w:hanging="720"/>
        <w:jc w:val="both"/>
      </w:pPr>
      <w:r w:rsidRPr="001F7098">
        <w:t xml:space="preserve">Hetherington AM, Woodward FI. 2003. The role of stomata in sensing and driving environmental change. </w:t>
      </w:r>
      <w:r w:rsidRPr="001F7098">
        <w:rPr>
          <w:i/>
          <w:iCs/>
        </w:rPr>
        <w:t>Nature</w:t>
      </w:r>
      <w:r w:rsidRPr="001F7098">
        <w:t xml:space="preserve"> 424: 901-908.</w:t>
      </w:r>
    </w:p>
    <w:p w14:paraId="107148D9" w14:textId="77777777" w:rsidR="008161B3" w:rsidRPr="001F7098" w:rsidRDefault="008161B3" w:rsidP="001A325F">
      <w:pPr>
        <w:spacing w:line="276" w:lineRule="auto"/>
        <w:ind w:left="720" w:hanging="720"/>
        <w:jc w:val="both"/>
      </w:pPr>
      <w:proofErr w:type="spellStart"/>
      <w:r w:rsidRPr="001F7098">
        <w:t>Hothorn</w:t>
      </w:r>
      <w:proofErr w:type="spellEnd"/>
      <w:r w:rsidRPr="001F7098">
        <w:t xml:space="preserve"> T, </w:t>
      </w:r>
      <w:proofErr w:type="spellStart"/>
      <w:r w:rsidRPr="001F7098">
        <w:t>Bretz</w:t>
      </w:r>
      <w:proofErr w:type="spellEnd"/>
      <w:r w:rsidRPr="001F7098">
        <w:t xml:space="preserve"> F, Westfall P. 2008. Simultaneous Inference in General Parametric Models. </w:t>
      </w:r>
      <w:r w:rsidRPr="001F7098">
        <w:rPr>
          <w:i/>
          <w:iCs/>
        </w:rPr>
        <w:t>Biometrical J.</w:t>
      </w:r>
      <w:r w:rsidRPr="001F7098">
        <w:t xml:space="preserve"> 50: 346-363.</w:t>
      </w:r>
    </w:p>
    <w:p w14:paraId="650461A8" w14:textId="77777777" w:rsidR="008161B3" w:rsidRPr="001F7098" w:rsidRDefault="008161B3" w:rsidP="001A325F">
      <w:pPr>
        <w:spacing w:line="276" w:lineRule="auto"/>
        <w:ind w:left="720" w:hanging="720"/>
        <w:jc w:val="both"/>
      </w:pPr>
      <w:r w:rsidRPr="001F7098">
        <w:t>Horton JL, Kolb TE, Hart SC. 2001. Physiological Response to Groundwater Depth Varies among Species and with River Flow Regulation</w:t>
      </w:r>
      <w:r w:rsidRPr="001F7098">
        <w:rPr>
          <w:i/>
          <w:iCs/>
        </w:rPr>
        <w:t>. Ecol. Appl.</w:t>
      </w:r>
      <w:r w:rsidRPr="001F7098">
        <w:t xml:space="preserve"> 11(4): 1046–1059.</w:t>
      </w:r>
    </w:p>
    <w:p w14:paraId="7423460A" w14:textId="77777777" w:rsidR="008161B3" w:rsidRPr="001F7098" w:rsidRDefault="008161B3" w:rsidP="001A325F">
      <w:pPr>
        <w:spacing w:line="276" w:lineRule="auto"/>
        <w:ind w:left="720" w:hanging="720"/>
        <w:jc w:val="both"/>
      </w:pPr>
      <w:proofErr w:type="spellStart"/>
      <w:r w:rsidRPr="001F7098">
        <w:t>Jasechko</w:t>
      </w:r>
      <w:proofErr w:type="spellEnd"/>
      <w:r w:rsidRPr="001F7098">
        <w:t xml:space="preserve"> S, Sharp ZD, Gibson JJ, Birks SJ, Yi Y, Fawcett PJ. 2013. Terrestrial water fluxes dominated by transpiration. </w:t>
      </w:r>
      <w:r w:rsidRPr="001F7098">
        <w:rPr>
          <w:i/>
          <w:iCs/>
        </w:rPr>
        <w:t>Nature</w:t>
      </w:r>
      <w:r w:rsidRPr="001F7098">
        <w:t xml:space="preserve"> 496: 347–351.</w:t>
      </w:r>
    </w:p>
    <w:p w14:paraId="0842EFF0" w14:textId="77777777" w:rsidR="008161B3" w:rsidRPr="001F7098" w:rsidRDefault="008161B3" w:rsidP="001A325F">
      <w:pPr>
        <w:spacing w:line="276" w:lineRule="auto"/>
        <w:ind w:left="720" w:hanging="720"/>
        <w:jc w:val="both"/>
      </w:pPr>
      <w:r w:rsidRPr="001F7098">
        <w:t xml:space="preserve">Jones JA, Creed IF, Hatcher KL, Warren RJ, Adams MB, Benson MH, </w:t>
      </w:r>
      <w:proofErr w:type="spellStart"/>
      <w:r w:rsidRPr="001F7098">
        <w:t>Boose</w:t>
      </w:r>
      <w:proofErr w:type="spellEnd"/>
      <w:r w:rsidRPr="001F7098">
        <w:t xml:space="preserve"> E, Brown WA, Campbell JL, </w:t>
      </w:r>
      <w:proofErr w:type="spellStart"/>
      <w:r w:rsidRPr="001F7098">
        <w:t>Covich</w:t>
      </w:r>
      <w:proofErr w:type="spellEnd"/>
      <w:r w:rsidRPr="001F7098">
        <w:t xml:space="preserve"> A, et al. 2012. Ecosystem Processes and Human Influences Regulate Streamflow Response to Climate Change at Long-Term Ecological Research Sites. </w:t>
      </w:r>
      <w:proofErr w:type="spellStart"/>
      <w:r w:rsidRPr="001F7098">
        <w:rPr>
          <w:i/>
          <w:iCs/>
        </w:rPr>
        <w:t>BioScience</w:t>
      </w:r>
      <w:proofErr w:type="spellEnd"/>
      <w:r w:rsidRPr="001F7098">
        <w:t xml:space="preserve"> 62(4): 390-404.</w:t>
      </w:r>
    </w:p>
    <w:p w14:paraId="0AFB78DF" w14:textId="77777777" w:rsidR="008161B3" w:rsidRPr="001F7098" w:rsidRDefault="008161B3" w:rsidP="001A325F">
      <w:pPr>
        <w:spacing w:line="276" w:lineRule="auto"/>
        <w:ind w:left="720" w:hanging="720"/>
        <w:jc w:val="both"/>
      </w:pPr>
      <w:proofErr w:type="spellStart"/>
      <w:r w:rsidRPr="001F7098">
        <w:t>Kaluthota</w:t>
      </w:r>
      <w:proofErr w:type="spellEnd"/>
      <w:r w:rsidRPr="001F7098">
        <w:t xml:space="preserve"> S, Pearce DW, Evans LM, Letts MG, Whitham TG, Rood SB. 2015. Higher photosynthetic capacity from higher latitude: foliar characteristics and gas exchange of southern, </w:t>
      </w:r>
      <w:proofErr w:type="gramStart"/>
      <w:r w:rsidRPr="001F7098">
        <w:t>central</w:t>
      </w:r>
      <w:proofErr w:type="gramEnd"/>
      <w:r w:rsidRPr="001F7098">
        <w:t xml:space="preserve"> and northern populations of </w:t>
      </w:r>
      <w:r w:rsidRPr="004B4C00">
        <w:rPr>
          <w:i/>
          <w:iCs/>
        </w:rPr>
        <w:t>Populus angustifolia.</w:t>
      </w:r>
      <w:r w:rsidRPr="001F7098">
        <w:t xml:space="preserve"> </w:t>
      </w:r>
      <w:r w:rsidRPr="001F7098">
        <w:rPr>
          <w:i/>
          <w:iCs/>
        </w:rPr>
        <w:t>Tree Physiol.</w:t>
      </w:r>
      <w:r w:rsidRPr="001F7098">
        <w:t xml:space="preserve"> 35: 936-948.</w:t>
      </w:r>
    </w:p>
    <w:p w14:paraId="6C58BCB4" w14:textId="77777777" w:rsidR="008161B3" w:rsidRPr="001F7098" w:rsidRDefault="008161B3" w:rsidP="001A325F">
      <w:pPr>
        <w:spacing w:line="276" w:lineRule="auto"/>
        <w:ind w:left="720" w:hanging="720"/>
        <w:jc w:val="both"/>
      </w:pPr>
      <w:r w:rsidRPr="001F7098">
        <w:t xml:space="preserve">Kawecki TJ, Ebert D. 2004. Conceptual issues in local adaptation. </w:t>
      </w:r>
      <w:r w:rsidRPr="001F7098">
        <w:rPr>
          <w:i/>
          <w:iCs/>
        </w:rPr>
        <w:t>Ecol. Lett.</w:t>
      </w:r>
      <w:r w:rsidRPr="001F7098">
        <w:t xml:space="preserve"> 7:1225-1241</w:t>
      </w:r>
    </w:p>
    <w:p w14:paraId="234C405A" w14:textId="77777777" w:rsidR="008161B3" w:rsidRPr="001F7098" w:rsidRDefault="008161B3" w:rsidP="001A325F">
      <w:pPr>
        <w:spacing w:line="276" w:lineRule="auto"/>
        <w:ind w:left="720" w:hanging="720"/>
        <w:jc w:val="both"/>
      </w:pPr>
      <w:proofErr w:type="spellStart"/>
      <w:r w:rsidRPr="001F7098">
        <w:t>Kominoski</w:t>
      </w:r>
      <w:proofErr w:type="spellEnd"/>
      <w:r w:rsidRPr="001F7098">
        <w:t xml:space="preserve"> JS, Shah JJF, </w:t>
      </w:r>
      <w:proofErr w:type="spellStart"/>
      <w:r w:rsidRPr="001F7098">
        <w:t>Canhoto</w:t>
      </w:r>
      <w:proofErr w:type="spellEnd"/>
      <w:r w:rsidRPr="001F7098">
        <w:t xml:space="preserve"> C, Fischer DG, </w:t>
      </w:r>
      <w:proofErr w:type="spellStart"/>
      <w:r w:rsidRPr="001F7098">
        <w:t>Giling</w:t>
      </w:r>
      <w:proofErr w:type="spellEnd"/>
      <w:r w:rsidRPr="001F7098">
        <w:t xml:space="preserve"> DP, González E, Griffiths NA, </w:t>
      </w:r>
      <w:proofErr w:type="spellStart"/>
      <w:r w:rsidRPr="001F7098">
        <w:t>Larrañaga</w:t>
      </w:r>
      <w:proofErr w:type="spellEnd"/>
      <w:r w:rsidRPr="001F7098">
        <w:t xml:space="preserve"> A, Leroy CJ, </w:t>
      </w:r>
      <w:proofErr w:type="spellStart"/>
      <w:r w:rsidRPr="001F7098">
        <w:t>Mineau</w:t>
      </w:r>
      <w:proofErr w:type="spellEnd"/>
      <w:r w:rsidRPr="001F7098">
        <w:t xml:space="preserve"> MM, et al. 2013. Forecasting functional implications of global changes in riparian plant communities. </w:t>
      </w:r>
      <w:r w:rsidRPr="001F7098">
        <w:rPr>
          <w:i/>
          <w:iCs/>
        </w:rPr>
        <w:t>Front. Ecol. Environ.</w:t>
      </w:r>
      <w:r w:rsidRPr="001F7098">
        <w:t xml:space="preserve"> 11(8): 423-432.</w:t>
      </w:r>
    </w:p>
    <w:p w14:paraId="3F4D7305" w14:textId="77777777" w:rsidR="008161B3" w:rsidRPr="001F7098" w:rsidRDefault="008161B3" w:rsidP="001A325F">
      <w:pPr>
        <w:spacing w:line="276" w:lineRule="auto"/>
        <w:ind w:left="720" w:hanging="720"/>
        <w:jc w:val="both"/>
      </w:pPr>
      <w:proofErr w:type="spellStart"/>
      <w:r w:rsidRPr="001F7098">
        <w:t>Lande</w:t>
      </w:r>
      <w:proofErr w:type="spellEnd"/>
      <w:r w:rsidRPr="001F7098">
        <w:t xml:space="preserve"> R. 2009. Adaptation to an extraordinary environment by evolution of phenotypic plasticity and genetic assimilation. </w:t>
      </w:r>
      <w:r w:rsidRPr="001F7098">
        <w:rPr>
          <w:i/>
          <w:iCs/>
        </w:rPr>
        <w:t xml:space="preserve">J. </w:t>
      </w:r>
      <w:proofErr w:type="spellStart"/>
      <w:r w:rsidRPr="001F7098">
        <w:rPr>
          <w:i/>
          <w:iCs/>
        </w:rPr>
        <w:t>Evol</w:t>
      </w:r>
      <w:proofErr w:type="spellEnd"/>
      <w:r w:rsidRPr="001F7098">
        <w:rPr>
          <w:i/>
          <w:iCs/>
        </w:rPr>
        <w:t>. Biol.</w:t>
      </w:r>
      <w:r w:rsidRPr="001F7098">
        <w:t xml:space="preserve"> 22: 1435-1446.</w:t>
      </w:r>
    </w:p>
    <w:p w14:paraId="194254BF" w14:textId="77777777" w:rsidR="008161B3" w:rsidRPr="001F7098" w:rsidRDefault="008161B3" w:rsidP="001A325F">
      <w:pPr>
        <w:spacing w:line="276" w:lineRule="auto"/>
        <w:ind w:left="720" w:hanging="720"/>
        <w:jc w:val="both"/>
      </w:pPr>
      <w:r w:rsidRPr="001F7098">
        <w:t xml:space="preserve">Landwehr JM, </w:t>
      </w:r>
      <w:proofErr w:type="spellStart"/>
      <w:r w:rsidRPr="001F7098">
        <w:t>Coplen</w:t>
      </w:r>
      <w:proofErr w:type="spellEnd"/>
      <w:r w:rsidRPr="001F7098">
        <w:t xml:space="preserve"> TB. 2014. Spatial, seasonal, and source variability in the stable oxygen and hydrogen isotopic composition of tap waters throughout the USA. </w:t>
      </w:r>
      <w:proofErr w:type="spellStart"/>
      <w:r w:rsidRPr="001F7098">
        <w:rPr>
          <w:i/>
          <w:iCs/>
        </w:rPr>
        <w:t>Hydrol</w:t>
      </w:r>
      <w:proofErr w:type="spellEnd"/>
      <w:r w:rsidRPr="001F7098">
        <w:rPr>
          <w:i/>
          <w:iCs/>
        </w:rPr>
        <w:t>. Process.</w:t>
      </w:r>
      <w:r w:rsidRPr="001F7098">
        <w:t xml:space="preserve"> 28(21): 5382-5422.</w:t>
      </w:r>
    </w:p>
    <w:p w14:paraId="20B9D345" w14:textId="77777777" w:rsidR="008161B3" w:rsidRPr="001F7098" w:rsidRDefault="008161B3" w:rsidP="001A325F">
      <w:pPr>
        <w:spacing w:line="276" w:lineRule="auto"/>
        <w:ind w:left="720" w:hanging="720"/>
        <w:jc w:val="both"/>
      </w:pPr>
      <w:proofErr w:type="spellStart"/>
      <w:r w:rsidRPr="001F7098">
        <w:t>Leimu</w:t>
      </w:r>
      <w:proofErr w:type="spellEnd"/>
      <w:r w:rsidRPr="001F7098">
        <w:t xml:space="preserve"> R, Fischer M. 2008. A meta-analysis of local adaptation in plants. </w:t>
      </w:r>
      <w:proofErr w:type="spellStart"/>
      <w:r w:rsidRPr="001F7098">
        <w:rPr>
          <w:i/>
          <w:iCs/>
        </w:rPr>
        <w:t>PLoS</w:t>
      </w:r>
      <w:proofErr w:type="spellEnd"/>
      <w:r w:rsidRPr="001F7098">
        <w:rPr>
          <w:i/>
          <w:iCs/>
        </w:rPr>
        <w:t xml:space="preserve"> One</w:t>
      </w:r>
      <w:r w:rsidRPr="001F7098">
        <w:t xml:space="preserve"> 3: e4010.</w:t>
      </w:r>
    </w:p>
    <w:p w14:paraId="13EAB42B" w14:textId="77777777" w:rsidR="008161B3" w:rsidRPr="001F7098" w:rsidRDefault="008161B3" w:rsidP="001A325F">
      <w:pPr>
        <w:spacing w:line="276" w:lineRule="auto"/>
        <w:ind w:left="720" w:hanging="720"/>
        <w:jc w:val="both"/>
      </w:pPr>
      <w:r w:rsidRPr="001F7098">
        <w:t xml:space="preserve">Lytle DA, </w:t>
      </w:r>
      <w:proofErr w:type="spellStart"/>
      <w:r w:rsidRPr="001F7098">
        <w:t>Poff</w:t>
      </w:r>
      <w:proofErr w:type="spellEnd"/>
      <w:r w:rsidRPr="001F7098">
        <w:t xml:space="preserve"> NL. 2004. Adaptation to natural flow regimes. </w:t>
      </w:r>
      <w:r w:rsidRPr="001F7098">
        <w:rPr>
          <w:i/>
          <w:iCs/>
        </w:rPr>
        <w:t xml:space="preserve">Trends Ecol. </w:t>
      </w:r>
      <w:proofErr w:type="spellStart"/>
      <w:r w:rsidRPr="001F7098">
        <w:rPr>
          <w:i/>
          <w:iCs/>
        </w:rPr>
        <w:t>Evol</w:t>
      </w:r>
      <w:proofErr w:type="spellEnd"/>
      <w:r w:rsidRPr="001F7098">
        <w:rPr>
          <w:i/>
          <w:iCs/>
        </w:rPr>
        <w:t>.</w:t>
      </w:r>
      <w:r w:rsidRPr="001F7098">
        <w:t xml:space="preserve"> 19(2): 94-100.</w:t>
      </w:r>
    </w:p>
    <w:p w14:paraId="2E0E8EA5" w14:textId="77777777" w:rsidR="008161B3" w:rsidRPr="001F7098" w:rsidRDefault="008161B3" w:rsidP="001A325F">
      <w:pPr>
        <w:spacing w:line="276" w:lineRule="auto"/>
        <w:ind w:left="720" w:hanging="720"/>
        <w:jc w:val="both"/>
      </w:pPr>
      <w:r w:rsidRPr="001F7098">
        <w:t xml:space="preserve">McAdam SAM, </w:t>
      </w:r>
      <w:proofErr w:type="spellStart"/>
      <w:r w:rsidRPr="001F7098">
        <w:t>Brodribb</w:t>
      </w:r>
      <w:proofErr w:type="spellEnd"/>
      <w:r w:rsidRPr="001F7098">
        <w:t xml:space="preserve"> TJ. 2014. Separating Active and Passive Influences on Stomatal Control of Transpiration. </w:t>
      </w:r>
      <w:r w:rsidRPr="001F7098">
        <w:rPr>
          <w:i/>
          <w:iCs/>
        </w:rPr>
        <w:t>Plant Physiol.</w:t>
      </w:r>
      <w:r w:rsidRPr="001F7098">
        <w:t xml:space="preserve"> 164: 1578-1586.</w:t>
      </w:r>
    </w:p>
    <w:p w14:paraId="7F830C2E" w14:textId="77777777" w:rsidR="008161B3" w:rsidRPr="001F7098" w:rsidRDefault="008161B3" w:rsidP="001A325F">
      <w:pPr>
        <w:spacing w:line="276" w:lineRule="auto"/>
        <w:ind w:left="720" w:hanging="720"/>
        <w:jc w:val="both"/>
      </w:pPr>
      <w:r w:rsidRPr="001F7098">
        <w:t xml:space="preserve">McKay L, </w:t>
      </w:r>
      <w:proofErr w:type="spellStart"/>
      <w:r w:rsidRPr="001F7098">
        <w:t>Bondelid</w:t>
      </w:r>
      <w:proofErr w:type="spellEnd"/>
      <w:r w:rsidRPr="001F7098">
        <w:t xml:space="preserve"> T, and Dewald T. 2012. </w:t>
      </w:r>
      <w:proofErr w:type="spellStart"/>
      <w:r w:rsidRPr="001F7098">
        <w:t>NHDPlus</w:t>
      </w:r>
      <w:proofErr w:type="spellEnd"/>
      <w:r w:rsidRPr="001F7098">
        <w:t xml:space="preserve"> Version 2: User Guide. U.S. EPA and USGS. </w:t>
      </w:r>
    </w:p>
    <w:p w14:paraId="61774269" w14:textId="77777777" w:rsidR="008161B3" w:rsidRPr="001F7098" w:rsidRDefault="008161B3" w:rsidP="001A325F">
      <w:pPr>
        <w:spacing w:line="276" w:lineRule="auto"/>
        <w:ind w:left="720" w:hanging="720"/>
        <w:jc w:val="both"/>
      </w:pPr>
      <w:r w:rsidRPr="001F7098">
        <w:lastRenderedPageBreak/>
        <w:t xml:space="preserve">Milly PCD, Dunne KA, </w:t>
      </w:r>
      <w:proofErr w:type="spellStart"/>
      <w:r w:rsidRPr="001F7098">
        <w:t>Vecchia</w:t>
      </w:r>
      <w:proofErr w:type="spellEnd"/>
      <w:r w:rsidRPr="001F7098">
        <w:t xml:space="preserve"> AV. 2005. Global pattern of trends in streamflow and water availability in a changing climate. </w:t>
      </w:r>
      <w:r w:rsidRPr="001F7098">
        <w:rPr>
          <w:i/>
          <w:iCs/>
        </w:rPr>
        <w:t>Nature Letters</w:t>
      </w:r>
      <w:r w:rsidRPr="001F7098">
        <w:t xml:space="preserve"> 438: 347-350.</w:t>
      </w:r>
    </w:p>
    <w:p w14:paraId="373BA02B" w14:textId="77777777" w:rsidR="008161B3" w:rsidRPr="001F7098" w:rsidRDefault="008161B3" w:rsidP="001A325F">
      <w:pPr>
        <w:spacing w:line="276" w:lineRule="auto"/>
        <w:ind w:left="720" w:hanging="720"/>
        <w:jc w:val="both"/>
      </w:pPr>
      <w:r w:rsidRPr="001F7098">
        <w:t xml:space="preserve">Mitton JB, Grant MC, Yoshino AM. 1998. Variation in allozymes and stomatal size in pinyon (Pinus edulis, Pinaceae), associated with soil moisture. </w:t>
      </w:r>
      <w:r w:rsidRPr="001F7098">
        <w:rPr>
          <w:i/>
          <w:iCs/>
        </w:rPr>
        <w:t>Am. J. Bot.</w:t>
      </w:r>
      <w:r w:rsidRPr="001F7098">
        <w:t xml:space="preserve"> 85(9): 1262–1265.</w:t>
      </w:r>
    </w:p>
    <w:p w14:paraId="057C6C4A" w14:textId="77777777" w:rsidR="008161B3" w:rsidRPr="001F7098" w:rsidRDefault="008161B3" w:rsidP="001A325F">
      <w:pPr>
        <w:spacing w:line="276" w:lineRule="auto"/>
        <w:ind w:left="720" w:hanging="720"/>
        <w:jc w:val="both"/>
      </w:pPr>
      <w:r w:rsidRPr="001F7098">
        <w:t xml:space="preserve">Mod HK, Scherrer D, </w:t>
      </w:r>
      <w:proofErr w:type="spellStart"/>
      <w:r w:rsidRPr="001F7098">
        <w:t>Luoto</w:t>
      </w:r>
      <w:proofErr w:type="spellEnd"/>
      <w:r w:rsidRPr="001F7098">
        <w:t xml:space="preserve"> M, </w:t>
      </w:r>
      <w:proofErr w:type="spellStart"/>
      <w:r w:rsidRPr="001F7098">
        <w:t>Guisan</w:t>
      </w:r>
      <w:proofErr w:type="spellEnd"/>
      <w:r w:rsidRPr="001F7098">
        <w:t xml:space="preserve"> A. 2016. What we use is not what we know: environmental predictors in plant distribution models. </w:t>
      </w:r>
      <w:r w:rsidRPr="001F7098">
        <w:rPr>
          <w:i/>
          <w:iCs/>
        </w:rPr>
        <w:t>J. Veg. Sci</w:t>
      </w:r>
      <w:r w:rsidRPr="001F7098">
        <w:t>. 27: 1308-1322.</w:t>
      </w:r>
    </w:p>
    <w:p w14:paraId="1152FE1F" w14:textId="77777777" w:rsidR="008161B3" w:rsidRPr="001F7098" w:rsidRDefault="008161B3" w:rsidP="001A325F">
      <w:pPr>
        <w:spacing w:line="276" w:lineRule="auto"/>
        <w:ind w:left="720" w:hanging="720"/>
        <w:jc w:val="both"/>
      </w:pPr>
      <w:r w:rsidRPr="001F7098">
        <w:t xml:space="preserve">Naeem S, Duffy JE, </w:t>
      </w:r>
      <w:proofErr w:type="spellStart"/>
      <w:r w:rsidRPr="001F7098">
        <w:t>Zavaleta</w:t>
      </w:r>
      <w:proofErr w:type="spellEnd"/>
      <w:r w:rsidRPr="001F7098">
        <w:t xml:space="preserve"> E. 2012. The Functions of Biological Diversity in an Age of Extinction. </w:t>
      </w:r>
      <w:r w:rsidRPr="001F7098">
        <w:rPr>
          <w:i/>
          <w:iCs/>
        </w:rPr>
        <w:t>Science</w:t>
      </w:r>
      <w:r w:rsidRPr="001F7098">
        <w:t xml:space="preserve"> 336: 1401-1406.</w:t>
      </w:r>
    </w:p>
    <w:p w14:paraId="37EB9752" w14:textId="77777777" w:rsidR="008161B3" w:rsidRPr="001F7098" w:rsidRDefault="008161B3" w:rsidP="001A325F">
      <w:pPr>
        <w:spacing w:line="276" w:lineRule="auto"/>
        <w:ind w:left="720" w:hanging="720"/>
        <w:jc w:val="both"/>
      </w:pPr>
      <w:proofErr w:type="spellStart"/>
      <w:r w:rsidRPr="001F7098">
        <w:t>Naiman</w:t>
      </w:r>
      <w:proofErr w:type="spellEnd"/>
      <w:r w:rsidRPr="001F7098">
        <w:t xml:space="preserve"> and RJ, </w:t>
      </w:r>
      <w:proofErr w:type="spellStart"/>
      <w:r w:rsidRPr="001F7098">
        <w:t>Décamps</w:t>
      </w:r>
      <w:proofErr w:type="spellEnd"/>
      <w:r w:rsidRPr="001F7098">
        <w:t xml:space="preserve"> H. 1997. The Ecology of Interfaces: Riparian Zones. </w:t>
      </w:r>
      <w:proofErr w:type="spellStart"/>
      <w:r w:rsidRPr="001F7098">
        <w:rPr>
          <w:i/>
          <w:iCs/>
        </w:rPr>
        <w:t>Annu</w:t>
      </w:r>
      <w:proofErr w:type="spellEnd"/>
      <w:r w:rsidRPr="001F7098">
        <w:rPr>
          <w:i/>
          <w:iCs/>
        </w:rPr>
        <w:t xml:space="preserve">. Rev. Ecol. </w:t>
      </w:r>
      <w:proofErr w:type="spellStart"/>
      <w:r w:rsidRPr="001F7098">
        <w:rPr>
          <w:i/>
          <w:iCs/>
        </w:rPr>
        <w:t>Evol</w:t>
      </w:r>
      <w:proofErr w:type="spellEnd"/>
      <w:r w:rsidRPr="001F7098">
        <w:rPr>
          <w:i/>
          <w:iCs/>
        </w:rPr>
        <w:t xml:space="preserve">. Syst. </w:t>
      </w:r>
      <w:r w:rsidRPr="001F7098">
        <w:t>28: 621-658.</w:t>
      </w:r>
    </w:p>
    <w:p w14:paraId="6418F722" w14:textId="77777777" w:rsidR="008161B3" w:rsidRPr="001F7098" w:rsidRDefault="008161B3" w:rsidP="001A325F">
      <w:pPr>
        <w:spacing w:line="276" w:lineRule="auto"/>
        <w:ind w:left="720" w:hanging="720"/>
        <w:jc w:val="both"/>
      </w:pPr>
      <w:r w:rsidRPr="001F7098">
        <w:t xml:space="preserve">Nicotra AB, Atkin OK, Bonser SP, Davidson AM, Finnegan EJ, </w:t>
      </w:r>
      <w:proofErr w:type="spellStart"/>
      <w:r w:rsidRPr="001F7098">
        <w:t>Mathesius</w:t>
      </w:r>
      <w:proofErr w:type="spellEnd"/>
      <w:r w:rsidRPr="001F7098">
        <w:t xml:space="preserve"> U, Poot P, </w:t>
      </w:r>
      <w:proofErr w:type="spellStart"/>
      <w:r w:rsidRPr="001F7098">
        <w:t>Purugganan</w:t>
      </w:r>
      <w:proofErr w:type="spellEnd"/>
      <w:r w:rsidRPr="001F7098">
        <w:t xml:space="preserve"> MD, Richards CL, Valladares F, et al. 2010. Plant phenotypic plasticity in a changing climate. </w:t>
      </w:r>
      <w:r w:rsidRPr="001F7098">
        <w:rPr>
          <w:i/>
          <w:iCs/>
        </w:rPr>
        <w:t>Trends Plant Sci.</w:t>
      </w:r>
      <w:r w:rsidRPr="001F7098">
        <w:t xml:space="preserve"> 15(12): 684-692.</w:t>
      </w:r>
    </w:p>
    <w:p w14:paraId="2CCDC518" w14:textId="77777777" w:rsidR="008161B3" w:rsidRPr="001F7098" w:rsidRDefault="008161B3" w:rsidP="001A325F">
      <w:pPr>
        <w:spacing w:line="276" w:lineRule="auto"/>
        <w:ind w:left="720" w:hanging="720"/>
        <w:jc w:val="both"/>
      </w:pPr>
      <w:r w:rsidRPr="001F7098">
        <w:t xml:space="preserve">Novick KA, </w:t>
      </w:r>
      <w:proofErr w:type="spellStart"/>
      <w:r w:rsidRPr="001F7098">
        <w:t>Ficklin</w:t>
      </w:r>
      <w:proofErr w:type="spellEnd"/>
      <w:r w:rsidRPr="001F7098">
        <w:t xml:space="preserve"> DL, </w:t>
      </w:r>
      <w:proofErr w:type="spellStart"/>
      <w:r w:rsidRPr="001F7098">
        <w:t>Stoy</w:t>
      </w:r>
      <w:proofErr w:type="spellEnd"/>
      <w:r w:rsidRPr="001F7098">
        <w:t xml:space="preserve"> PC, Williams CA, </w:t>
      </w:r>
      <w:proofErr w:type="spellStart"/>
      <w:r w:rsidRPr="001F7098">
        <w:t>Bohrer</w:t>
      </w:r>
      <w:proofErr w:type="spellEnd"/>
      <w:r w:rsidRPr="001F7098">
        <w:t xml:space="preserve"> G, Oishi AC, </w:t>
      </w:r>
      <w:proofErr w:type="spellStart"/>
      <w:r w:rsidRPr="001F7098">
        <w:t>Papuga</w:t>
      </w:r>
      <w:proofErr w:type="spellEnd"/>
      <w:r w:rsidRPr="001F7098">
        <w:t xml:space="preserve"> SA, </w:t>
      </w:r>
      <w:proofErr w:type="spellStart"/>
      <w:r w:rsidRPr="001F7098">
        <w:t>Blanken</w:t>
      </w:r>
      <w:proofErr w:type="spellEnd"/>
      <w:r w:rsidRPr="001F7098">
        <w:t xml:space="preserve"> PD, </w:t>
      </w:r>
      <w:proofErr w:type="spellStart"/>
      <w:r w:rsidRPr="001F7098">
        <w:t>Noormets</w:t>
      </w:r>
      <w:proofErr w:type="spellEnd"/>
      <w:r w:rsidRPr="001F7098">
        <w:t xml:space="preserve"> A, </w:t>
      </w:r>
      <w:proofErr w:type="spellStart"/>
      <w:r w:rsidRPr="001F7098">
        <w:t>Sulman</w:t>
      </w:r>
      <w:proofErr w:type="spellEnd"/>
      <w:r w:rsidRPr="001F7098">
        <w:t xml:space="preserve"> BN, et al. 2016. The increasing importance of atmospheric demand for ecosystem water and carbon fluxes. </w:t>
      </w:r>
      <w:r w:rsidRPr="001F7098">
        <w:rPr>
          <w:i/>
          <w:iCs/>
        </w:rPr>
        <w:t xml:space="preserve">Nat. </w:t>
      </w:r>
      <w:proofErr w:type="spellStart"/>
      <w:r w:rsidRPr="001F7098">
        <w:rPr>
          <w:i/>
          <w:iCs/>
        </w:rPr>
        <w:t>Clim</w:t>
      </w:r>
      <w:proofErr w:type="spellEnd"/>
      <w:r w:rsidRPr="001F7098">
        <w:rPr>
          <w:i/>
          <w:iCs/>
        </w:rPr>
        <w:t>. Change</w:t>
      </w:r>
      <w:r w:rsidRPr="001F7098">
        <w:t xml:space="preserve"> 6: 1023-1027.</w:t>
      </w:r>
    </w:p>
    <w:p w14:paraId="6D0EF937" w14:textId="77777777" w:rsidR="008161B3" w:rsidRPr="001F7098" w:rsidRDefault="008161B3" w:rsidP="001A325F">
      <w:pPr>
        <w:spacing w:line="276" w:lineRule="auto"/>
        <w:ind w:left="720" w:hanging="720"/>
        <w:jc w:val="both"/>
      </w:pPr>
      <w:r w:rsidRPr="001F7098">
        <w:t xml:space="preserve">Oren R, Sperry JS, </w:t>
      </w:r>
      <w:proofErr w:type="spellStart"/>
      <w:r w:rsidRPr="001F7098">
        <w:t>Katul</w:t>
      </w:r>
      <w:proofErr w:type="spellEnd"/>
      <w:r w:rsidRPr="001F7098">
        <w:t xml:space="preserve"> GG, Pataki DE, Ewers BE, Phillips N, Schäfer KVR. 1999. Survey and synthesis of intra- and interspecific variation in stomatal sensitivity to </w:t>
      </w:r>
      <w:proofErr w:type="spellStart"/>
      <w:r w:rsidRPr="001F7098">
        <w:t>vapour</w:t>
      </w:r>
      <w:proofErr w:type="spellEnd"/>
      <w:r w:rsidRPr="001F7098">
        <w:t xml:space="preserve"> pressure deficit. </w:t>
      </w:r>
      <w:r w:rsidRPr="001F7098">
        <w:rPr>
          <w:i/>
          <w:iCs/>
        </w:rPr>
        <w:t>Plant Cell Environ.</w:t>
      </w:r>
      <w:r w:rsidRPr="001F7098">
        <w:t xml:space="preserve"> 22: 1515-1526.</w:t>
      </w:r>
    </w:p>
    <w:p w14:paraId="727BA877" w14:textId="77777777" w:rsidR="008161B3" w:rsidRPr="001F7098" w:rsidRDefault="008161B3" w:rsidP="001A325F">
      <w:pPr>
        <w:spacing w:line="276" w:lineRule="auto"/>
        <w:ind w:left="720" w:hanging="720"/>
        <w:jc w:val="both"/>
        <w:rPr>
          <w:color w:val="000000" w:themeColor="text1"/>
        </w:rPr>
      </w:pPr>
      <w:r w:rsidRPr="001F7098">
        <w:t xml:space="preserve">Parmesan </w:t>
      </w:r>
      <w:r w:rsidRPr="001F7098">
        <w:rPr>
          <w:color w:val="000000" w:themeColor="text1"/>
        </w:rPr>
        <w:t xml:space="preserve">C. 2006. Ecological and Evolutionary Responses to Recent Climate Change. </w:t>
      </w:r>
      <w:proofErr w:type="spellStart"/>
      <w:r w:rsidRPr="001F7098">
        <w:rPr>
          <w:i/>
          <w:iCs/>
          <w:color w:val="000000" w:themeColor="text1"/>
        </w:rPr>
        <w:t>Annu</w:t>
      </w:r>
      <w:proofErr w:type="spellEnd"/>
      <w:r w:rsidRPr="001F7098">
        <w:rPr>
          <w:i/>
          <w:iCs/>
          <w:color w:val="000000" w:themeColor="text1"/>
        </w:rPr>
        <w:t xml:space="preserve">. Rev. Ecol. </w:t>
      </w:r>
      <w:proofErr w:type="spellStart"/>
      <w:r w:rsidRPr="001F7098">
        <w:rPr>
          <w:i/>
          <w:iCs/>
          <w:color w:val="000000" w:themeColor="text1"/>
        </w:rPr>
        <w:t>Evol</w:t>
      </w:r>
      <w:proofErr w:type="spellEnd"/>
      <w:r w:rsidRPr="001F7098">
        <w:rPr>
          <w:i/>
          <w:iCs/>
          <w:color w:val="000000" w:themeColor="text1"/>
        </w:rPr>
        <w:t xml:space="preserve">. Syst. </w:t>
      </w:r>
      <w:r w:rsidRPr="001F7098">
        <w:rPr>
          <w:color w:val="000000" w:themeColor="text1"/>
        </w:rPr>
        <w:t>37:637-669.</w:t>
      </w:r>
    </w:p>
    <w:p w14:paraId="0CFAD63E" w14:textId="77777777" w:rsidR="008161B3" w:rsidRPr="001F7098" w:rsidRDefault="008161B3" w:rsidP="001A325F">
      <w:pPr>
        <w:spacing w:line="276" w:lineRule="auto"/>
        <w:ind w:left="720" w:hanging="720"/>
        <w:jc w:val="both"/>
        <w:rPr>
          <w:color w:val="000000" w:themeColor="text1"/>
        </w:rPr>
      </w:pPr>
      <w:r w:rsidRPr="001F7098">
        <w:rPr>
          <w:color w:val="000000" w:themeColor="text1"/>
        </w:rPr>
        <w:t xml:space="preserve">Pearce DW, Millard S, Bray DF, Rood SB. 2005. Stomatal characteristics of riparian poplar species in a semi-arid environment. </w:t>
      </w:r>
      <w:r w:rsidRPr="001F7098">
        <w:rPr>
          <w:i/>
          <w:iCs/>
          <w:color w:val="000000" w:themeColor="text1"/>
        </w:rPr>
        <w:t>Tree Physiol.</w:t>
      </w:r>
      <w:r w:rsidRPr="001F7098">
        <w:rPr>
          <w:color w:val="000000" w:themeColor="text1"/>
        </w:rPr>
        <w:t xml:space="preserve"> 26: 211-218.</w:t>
      </w:r>
    </w:p>
    <w:p w14:paraId="0DF9C97D" w14:textId="77777777" w:rsidR="008161B3" w:rsidRPr="001F7098" w:rsidRDefault="008161B3" w:rsidP="001A325F">
      <w:pPr>
        <w:spacing w:line="276" w:lineRule="auto"/>
        <w:ind w:left="720" w:hanging="720"/>
        <w:jc w:val="both"/>
        <w:rPr>
          <w:color w:val="000000" w:themeColor="text1"/>
        </w:rPr>
      </w:pPr>
      <w:r w:rsidRPr="001F7098">
        <w:rPr>
          <w:color w:val="000000" w:themeColor="text1"/>
        </w:rPr>
        <w:t xml:space="preserve">Perry LG, Andersen DC, Reynolds LV, Nelson SM, </w:t>
      </w:r>
      <w:proofErr w:type="spellStart"/>
      <w:r w:rsidRPr="001F7098">
        <w:rPr>
          <w:color w:val="000000" w:themeColor="text1"/>
        </w:rPr>
        <w:t>Shafroth</w:t>
      </w:r>
      <w:proofErr w:type="spellEnd"/>
      <w:r w:rsidRPr="001F7098">
        <w:rPr>
          <w:color w:val="000000" w:themeColor="text1"/>
        </w:rPr>
        <w:t xml:space="preserve"> PB. 2012. Vulnerability of riparian ecosystems to elevated CO2 and climate change in arid and semiarid western North America. </w:t>
      </w:r>
      <w:r w:rsidRPr="001F7098">
        <w:rPr>
          <w:i/>
          <w:iCs/>
          <w:color w:val="000000" w:themeColor="text1"/>
        </w:rPr>
        <w:t>Glob. Change Biol.</w:t>
      </w:r>
      <w:r w:rsidRPr="001F7098">
        <w:rPr>
          <w:color w:val="000000" w:themeColor="text1"/>
        </w:rPr>
        <w:t xml:space="preserve"> 18: 821–842.</w:t>
      </w:r>
    </w:p>
    <w:p w14:paraId="42B38665" w14:textId="77777777" w:rsidR="008161B3" w:rsidRPr="001F7098" w:rsidRDefault="008161B3" w:rsidP="001A325F">
      <w:pPr>
        <w:spacing w:line="276" w:lineRule="auto"/>
        <w:ind w:left="720" w:hanging="720"/>
        <w:jc w:val="both"/>
      </w:pPr>
      <w:r w:rsidRPr="001F7098">
        <w:rPr>
          <w:color w:val="000000" w:themeColor="text1"/>
        </w:rPr>
        <w:t xml:space="preserve">Peterson ML, </w:t>
      </w:r>
      <w:proofErr w:type="spellStart"/>
      <w:r w:rsidRPr="001F7098">
        <w:rPr>
          <w:color w:val="000000" w:themeColor="text1"/>
        </w:rPr>
        <w:t>Doak</w:t>
      </w:r>
      <w:proofErr w:type="spellEnd"/>
      <w:r w:rsidRPr="001F7098">
        <w:rPr>
          <w:color w:val="000000" w:themeColor="text1"/>
        </w:rPr>
        <w:t xml:space="preserve"> DF, Morris WF. 2019. Incorporating local adaptation into forecasts of species’ distribution and abundance under climate change</w:t>
      </w:r>
      <w:r w:rsidRPr="001F7098">
        <w:t xml:space="preserve">. </w:t>
      </w:r>
      <w:r w:rsidRPr="001F7098">
        <w:rPr>
          <w:i/>
          <w:iCs/>
        </w:rPr>
        <w:t>Glob. Change Biol.</w:t>
      </w:r>
      <w:r w:rsidRPr="001F7098">
        <w:t xml:space="preserve"> 25(3): 775-793.</w:t>
      </w:r>
    </w:p>
    <w:p w14:paraId="7C379D31" w14:textId="77777777" w:rsidR="008161B3" w:rsidRPr="001F7098" w:rsidRDefault="008161B3" w:rsidP="001A325F">
      <w:pPr>
        <w:spacing w:line="276" w:lineRule="auto"/>
        <w:ind w:left="720" w:hanging="720"/>
        <w:jc w:val="both"/>
      </w:pPr>
      <w:proofErr w:type="spellStart"/>
      <w:r w:rsidRPr="001F7098">
        <w:t>Poff</w:t>
      </w:r>
      <w:proofErr w:type="spellEnd"/>
      <w:r w:rsidRPr="001F7098">
        <w:t xml:space="preserve"> NL, Zimmerman JKH. 2010. Ecological responses to altered flow regimes: a literature review to inform the science and management of environmental flows</w:t>
      </w:r>
      <w:r w:rsidRPr="001F7098">
        <w:rPr>
          <w:i/>
          <w:iCs/>
        </w:rPr>
        <w:t xml:space="preserve">. </w:t>
      </w:r>
      <w:proofErr w:type="spellStart"/>
      <w:r w:rsidRPr="001F7098">
        <w:rPr>
          <w:i/>
          <w:iCs/>
        </w:rPr>
        <w:t>Freshw</w:t>
      </w:r>
      <w:proofErr w:type="spellEnd"/>
      <w:r w:rsidRPr="001F7098">
        <w:rPr>
          <w:i/>
          <w:iCs/>
        </w:rPr>
        <w:t>. Biol.</w:t>
      </w:r>
      <w:r w:rsidRPr="001F7098">
        <w:t xml:space="preserve"> 55: 194–205.</w:t>
      </w:r>
    </w:p>
    <w:p w14:paraId="7C964C18" w14:textId="77777777" w:rsidR="008161B3" w:rsidRPr="001F7098" w:rsidRDefault="008161B3" w:rsidP="001A325F">
      <w:pPr>
        <w:spacing w:line="276" w:lineRule="auto"/>
        <w:ind w:left="720" w:hanging="720"/>
        <w:jc w:val="both"/>
      </w:pPr>
      <w:r w:rsidRPr="001F7098">
        <w:t>R Development Core Team. 2016. R: A language and environment for statistical computing. R Foundation for Statistical Computing.</w:t>
      </w:r>
    </w:p>
    <w:p w14:paraId="2CF2391E" w14:textId="77777777" w:rsidR="008161B3" w:rsidRPr="001F7098" w:rsidRDefault="008161B3" w:rsidP="001A325F">
      <w:pPr>
        <w:spacing w:line="276" w:lineRule="auto"/>
        <w:ind w:left="720" w:hanging="720"/>
        <w:jc w:val="both"/>
      </w:pPr>
      <w:r w:rsidRPr="001F7098">
        <w:t>Rodriguez-</w:t>
      </w:r>
      <w:proofErr w:type="spellStart"/>
      <w:r w:rsidRPr="001F7098">
        <w:t>Iturbe</w:t>
      </w:r>
      <w:proofErr w:type="spellEnd"/>
      <w:r w:rsidRPr="001F7098">
        <w:t xml:space="preserve"> I, </w:t>
      </w:r>
      <w:proofErr w:type="spellStart"/>
      <w:r w:rsidRPr="001F7098">
        <w:t>Porporato</w:t>
      </w:r>
      <w:proofErr w:type="spellEnd"/>
      <w:r w:rsidRPr="001F7098">
        <w:t xml:space="preserve"> A. 2005. Ecohydrology of water-controlled ecosystems: Soil moisture and plant dynamics. Cambridge University Press. </w:t>
      </w:r>
    </w:p>
    <w:p w14:paraId="63860C3D" w14:textId="77777777" w:rsidR="008161B3" w:rsidRPr="001F7098" w:rsidRDefault="008161B3" w:rsidP="001A325F">
      <w:pPr>
        <w:spacing w:line="276" w:lineRule="auto"/>
        <w:ind w:left="720" w:hanging="720"/>
        <w:jc w:val="both"/>
      </w:pPr>
      <w:r w:rsidRPr="001F7098">
        <w:lastRenderedPageBreak/>
        <w:t xml:space="preserve">Rood SB, </w:t>
      </w:r>
      <w:proofErr w:type="spellStart"/>
      <w:r w:rsidRPr="001F7098">
        <w:t>Patiño</w:t>
      </w:r>
      <w:proofErr w:type="spellEnd"/>
      <w:r w:rsidRPr="001F7098">
        <w:t xml:space="preserve"> S, Coombs K, Tyree MT. 2000. Branch sacrifice: Cavitation-associated drought adaptation of riparian cottonwoods. </w:t>
      </w:r>
      <w:r w:rsidRPr="001F7098">
        <w:rPr>
          <w:i/>
          <w:iCs/>
        </w:rPr>
        <w:t>Trees</w:t>
      </w:r>
      <w:r w:rsidRPr="001F7098">
        <w:t xml:space="preserve"> 14: 248–257.</w:t>
      </w:r>
    </w:p>
    <w:p w14:paraId="28905FEC" w14:textId="77777777" w:rsidR="008161B3" w:rsidRPr="001F7098" w:rsidRDefault="008161B3" w:rsidP="001A325F">
      <w:pPr>
        <w:spacing w:line="276" w:lineRule="auto"/>
        <w:ind w:left="720" w:hanging="720"/>
        <w:jc w:val="both"/>
      </w:pPr>
      <w:r w:rsidRPr="001F7098">
        <w:t xml:space="preserve">Rood SB, </w:t>
      </w:r>
      <w:proofErr w:type="spellStart"/>
      <w:r w:rsidRPr="001F7098">
        <w:t>Braatne</w:t>
      </w:r>
      <w:proofErr w:type="spellEnd"/>
      <w:r w:rsidRPr="001F7098">
        <w:t xml:space="preserve"> JH, Hughes FMR. 2003. Ecophysiology of riparian cottonwoods: Stream flow dependency, water relations and restoration. </w:t>
      </w:r>
      <w:r w:rsidRPr="001F7098">
        <w:rPr>
          <w:i/>
          <w:iCs/>
        </w:rPr>
        <w:t>Tree Physiol.</w:t>
      </w:r>
      <w:r w:rsidRPr="001F7098">
        <w:t xml:space="preserve"> 23: 1113–1124.</w:t>
      </w:r>
    </w:p>
    <w:p w14:paraId="45BC9974" w14:textId="77777777" w:rsidR="008161B3" w:rsidRPr="001F7098" w:rsidRDefault="008161B3" w:rsidP="001A325F">
      <w:pPr>
        <w:spacing w:line="276" w:lineRule="auto"/>
        <w:ind w:left="720" w:hanging="720"/>
        <w:jc w:val="both"/>
      </w:pPr>
      <w:r w:rsidRPr="001F7098">
        <w:t xml:space="preserve">Rood SB, Nielsen JL, Shenton L, Gill KM, Letts MG. 2010. Effects of flooding on leaf development, transpiration, and photosynthesis in narrowleaf cottonwood, a willow-like poplar. </w:t>
      </w:r>
      <w:r w:rsidRPr="001F7098">
        <w:rPr>
          <w:i/>
          <w:iCs/>
        </w:rPr>
        <w:t xml:space="preserve">Photosynth. Res. </w:t>
      </w:r>
      <w:r w:rsidRPr="001F7098">
        <w:t xml:space="preserve">104: 31-39. </w:t>
      </w:r>
    </w:p>
    <w:p w14:paraId="6F57E43C" w14:textId="77777777" w:rsidR="008161B3" w:rsidRPr="001F7098" w:rsidRDefault="008161B3" w:rsidP="001A325F">
      <w:pPr>
        <w:spacing w:line="276" w:lineRule="auto"/>
        <w:ind w:left="720" w:hanging="720"/>
        <w:jc w:val="both"/>
      </w:pPr>
      <w:r w:rsidRPr="001F7098">
        <w:t xml:space="preserve">Sack L, Melcher PJ, Liu WH, Middleton E, Pardee T. 2006. How strong is </w:t>
      </w:r>
      <w:proofErr w:type="spellStart"/>
      <w:r w:rsidRPr="001F7098">
        <w:t>intracanopy</w:t>
      </w:r>
      <w:proofErr w:type="spellEnd"/>
      <w:r w:rsidRPr="001F7098">
        <w:t xml:space="preserve"> leaf plasticity in temperate deciduous trees? </w:t>
      </w:r>
      <w:r w:rsidRPr="001F7098">
        <w:rPr>
          <w:i/>
          <w:iCs/>
        </w:rPr>
        <w:t>Am. J. Bot.</w:t>
      </w:r>
      <w:r w:rsidRPr="001F7098">
        <w:t xml:space="preserve"> 93(6): 829-839.</w:t>
      </w:r>
    </w:p>
    <w:p w14:paraId="19DBBD9F" w14:textId="77777777" w:rsidR="008161B3" w:rsidRPr="001F7098" w:rsidRDefault="008161B3" w:rsidP="001A325F">
      <w:pPr>
        <w:spacing w:line="276" w:lineRule="auto"/>
        <w:ind w:left="720" w:hanging="720"/>
        <w:jc w:val="both"/>
        <w:rPr>
          <w:color w:val="000000" w:themeColor="text1"/>
        </w:rPr>
      </w:pPr>
      <w:r w:rsidRPr="001F7098">
        <w:rPr>
          <w:color w:val="000000" w:themeColor="text1"/>
        </w:rPr>
        <w:t xml:space="preserve">Schaeffer SM, Williams DG, Goodrich DC. 2000. Transpiration of cottonwood/willow forest estimated from sap flux. </w:t>
      </w:r>
      <w:r w:rsidRPr="001F7098">
        <w:rPr>
          <w:i/>
          <w:iCs/>
          <w:color w:val="000000" w:themeColor="text1"/>
        </w:rPr>
        <w:t xml:space="preserve">Agric. For. </w:t>
      </w:r>
      <w:proofErr w:type="spellStart"/>
      <w:r w:rsidRPr="001F7098">
        <w:rPr>
          <w:i/>
          <w:iCs/>
          <w:color w:val="000000" w:themeColor="text1"/>
        </w:rPr>
        <w:t>Meteorol</w:t>
      </w:r>
      <w:proofErr w:type="spellEnd"/>
      <w:r w:rsidRPr="001F7098">
        <w:rPr>
          <w:i/>
          <w:iCs/>
          <w:color w:val="000000" w:themeColor="text1"/>
        </w:rPr>
        <w:t xml:space="preserve">. </w:t>
      </w:r>
      <w:r w:rsidRPr="001F7098">
        <w:rPr>
          <w:color w:val="000000" w:themeColor="text1"/>
        </w:rPr>
        <w:t>105: 257-270.</w:t>
      </w:r>
    </w:p>
    <w:p w14:paraId="1E063EED" w14:textId="77777777" w:rsidR="008161B3" w:rsidRPr="001F7098" w:rsidRDefault="008161B3" w:rsidP="001A325F">
      <w:pPr>
        <w:spacing w:line="276" w:lineRule="auto"/>
        <w:ind w:left="720" w:hanging="720"/>
        <w:jc w:val="both"/>
      </w:pPr>
      <w:r w:rsidRPr="001F7098">
        <w:t xml:space="preserve">Schneider, C.A., </w:t>
      </w:r>
      <w:proofErr w:type="spellStart"/>
      <w:r w:rsidRPr="001F7098">
        <w:t>Rasband</w:t>
      </w:r>
      <w:proofErr w:type="spellEnd"/>
      <w:r w:rsidRPr="001F7098">
        <w:t xml:space="preserve">, W.S., </w:t>
      </w:r>
      <w:proofErr w:type="spellStart"/>
      <w:r w:rsidRPr="001F7098">
        <w:t>Eliceiri</w:t>
      </w:r>
      <w:proofErr w:type="spellEnd"/>
      <w:r w:rsidRPr="001F7098">
        <w:t xml:space="preserve">, K.W. 2012. NIH Image to ImageJ: 25 years of image analysis. </w:t>
      </w:r>
      <w:r w:rsidRPr="001F7098">
        <w:rPr>
          <w:i/>
          <w:iCs/>
        </w:rPr>
        <w:t>Nat. Methods</w:t>
      </w:r>
      <w:r w:rsidRPr="001F7098">
        <w:t xml:space="preserve"> 9: 671-675.</w:t>
      </w:r>
    </w:p>
    <w:p w14:paraId="70A8CC7B" w14:textId="77777777" w:rsidR="008161B3" w:rsidRPr="001F7098" w:rsidRDefault="008161B3" w:rsidP="001A325F">
      <w:pPr>
        <w:spacing w:line="276" w:lineRule="auto"/>
        <w:ind w:left="720" w:hanging="720"/>
        <w:jc w:val="both"/>
      </w:pPr>
      <w:r w:rsidRPr="001F7098">
        <w:t xml:space="preserve">Schweitzer JA, Martinsen GD, Whitham TG. 2002. Cottonwood hybrids gain fitness traits of both parents: A mechanism for their long-term persistence? </w:t>
      </w:r>
      <w:r w:rsidRPr="001F7098">
        <w:rPr>
          <w:i/>
          <w:iCs/>
        </w:rPr>
        <w:t>Am. J. Bot.</w:t>
      </w:r>
      <w:r w:rsidRPr="001F7098">
        <w:t xml:space="preserve"> 89(6): 981-990.</w:t>
      </w:r>
    </w:p>
    <w:p w14:paraId="16B98857" w14:textId="77777777" w:rsidR="008161B3" w:rsidRPr="001F7098" w:rsidRDefault="008161B3" w:rsidP="001A325F">
      <w:pPr>
        <w:spacing w:line="276" w:lineRule="auto"/>
        <w:ind w:left="720" w:hanging="720"/>
        <w:jc w:val="both"/>
      </w:pPr>
      <w:r w:rsidRPr="001F7098">
        <w:t>Senior JK, Potts BM, O’Reilly-</w:t>
      </w:r>
      <w:proofErr w:type="spellStart"/>
      <w:r w:rsidRPr="001F7098">
        <w:t>Wapstra</w:t>
      </w:r>
      <w:proofErr w:type="spellEnd"/>
      <w:r w:rsidRPr="001F7098">
        <w:t xml:space="preserve"> JM, Bissett A, </w:t>
      </w:r>
      <w:proofErr w:type="spellStart"/>
      <w:r w:rsidRPr="001F7098">
        <w:t>Wooliver</w:t>
      </w:r>
      <w:proofErr w:type="spellEnd"/>
      <w:r w:rsidRPr="001F7098">
        <w:t xml:space="preserve"> RC, Bailey JK, Glen M, Schweitzer JA. 2018. Phylogenetic trait conservatism predicts patterns of plant-soil feedback. </w:t>
      </w:r>
      <w:r w:rsidRPr="001F7098">
        <w:rPr>
          <w:i/>
          <w:iCs/>
        </w:rPr>
        <w:t>Ecosphere</w:t>
      </w:r>
      <w:r w:rsidRPr="001F7098">
        <w:t xml:space="preserve"> 9(10): e02409.</w:t>
      </w:r>
    </w:p>
    <w:p w14:paraId="66B03C9B" w14:textId="77777777" w:rsidR="008161B3" w:rsidRPr="001F7098" w:rsidRDefault="008161B3" w:rsidP="001A325F">
      <w:pPr>
        <w:spacing w:line="276" w:lineRule="auto"/>
        <w:ind w:left="720" w:hanging="720"/>
        <w:jc w:val="both"/>
      </w:pPr>
      <w:proofErr w:type="spellStart"/>
      <w:r w:rsidRPr="001F7098">
        <w:t>Siepielski</w:t>
      </w:r>
      <w:proofErr w:type="spellEnd"/>
      <w:r w:rsidRPr="001F7098">
        <w:t xml:space="preserve"> AM, Morrissey MB, </w:t>
      </w:r>
      <w:proofErr w:type="spellStart"/>
      <w:r w:rsidRPr="001F7098">
        <w:t>Buoro</w:t>
      </w:r>
      <w:proofErr w:type="spellEnd"/>
      <w:r w:rsidRPr="001F7098">
        <w:t xml:space="preserve"> M, Carlson SM, Caruso CM, Clegg SM, Coulson T, </w:t>
      </w:r>
      <w:proofErr w:type="spellStart"/>
      <w:r w:rsidRPr="001F7098">
        <w:t>Dibattista</w:t>
      </w:r>
      <w:proofErr w:type="spellEnd"/>
      <w:r w:rsidRPr="001F7098">
        <w:t xml:space="preserve"> J, </w:t>
      </w:r>
      <w:proofErr w:type="spellStart"/>
      <w:r w:rsidRPr="001F7098">
        <w:t>Gotanda</w:t>
      </w:r>
      <w:proofErr w:type="spellEnd"/>
      <w:r w:rsidRPr="001F7098">
        <w:t xml:space="preserve"> KM, Francis CD, et al. 2017. Precipitation drives global variation in natural selection. </w:t>
      </w:r>
      <w:r w:rsidRPr="001F7098">
        <w:rPr>
          <w:i/>
          <w:iCs/>
        </w:rPr>
        <w:t>Science</w:t>
      </w:r>
      <w:r w:rsidRPr="001F7098">
        <w:t xml:space="preserve"> 355: 959–962.</w:t>
      </w:r>
    </w:p>
    <w:p w14:paraId="1211FFB2" w14:textId="77777777" w:rsidR="008161B3" w:rsidRPr="001F7098" w:rsidRDefault="008161B3" w:rsidP="001A325F">
      <w:pPr>
        <w:spacing w:line="276" w:lineRule="auto"/>
        <w:ind w:left="720" w:hanging="720"/>
        <w:jc w:val="both"/>
      </w:pPr>
      <w:r w:rsidRPr="001F7098">
        <w:t xml:space="preserve">Snyder KA, Williams DG. 2000. Water sources used by riparian trees varies among stream types on the San Pedro River, Arizona. Agric. For. </w:t>
      </w:r>
      <w:proofErr w:type="spellStart"/>
      <w:r w:rsidRPr="001F7098">
        <w:t>Meteorol</w:t>
      </w:r>
      <w:proofErr w:type="spellEnd"/>
      <w:r w:rsidRPr="001F7098">
        <w:t>. 105: 227-240.</w:t>
      </w:r>
    </w:p>
    <w:p w14:paraId="578B0D07" w14:textId="77777777" w:rsidR="008161B3" w:rsidRPr="001F7098" w:rsidRDefault="008161B3" w:rsidP="001A325F">
      <w:pPr>
        <w:spacing w:line="276" w:lineRule="auto"/>
        <w:ind w:left="720" w:hanging="720"/>
        <w:jc w:val="both"/>
        <w:rPr>
          <w:color w:val="000000" w:themeColor="text1"/>
        </w:rPr>
      </w:pPr>
      <w:proofErr w:type="spellStart"/>
      <w:r w:rsidRPr="001F7098">
        <w:rPr>
          <w:color w:val="000000" w:themeColor="text1"/>
        </w:rPr>
        <w:t>Soolanayakanahally</w:t>
      </w:r>
      <w:proofErr w:type="spellEnd"/>
      <w:r w:rsidRPr="001F7098">
        <w:rPr>
          <w:color w:val="000000" w:themeColor="text1"/>
        </w:rPr>
        <w:t xml:space="preserve"> RY, Guy RD, </w:t>
      </w:r>
      <w:proofErr w:type="spellStart"/>
      <w:r w:rsidRPr="001F7098">
        <w:rPr>
          <w:color w:val="000000" w:themeColor="text1"/>
        </w:rPr>
        <w:t>Silim</w:t>
      </w:r>
      <w:proofErr w:type="spellEnd"/>
      <w:r w:rsidRPr="001F7098">
        <w:rPr>
          <w:color w:val="000000" w:themeColor="text1"/>
        </w:rPr>
        <w:t xml:space="preserve"> SN, Drewes EC, Schroeder WR. 2009. Enhanced assimilation rate and water use efficiency with latitude through increased photosynthetic capacity and internal conductance in balsam poplar </w:t>
      </w:r>
      <w:r w:rsidRPr="001F7098">
        <w:rPr>
          <w:i/>
          <w:iCs/>
          <w:color w:val="000000" w:themeColor="text1"/>
        </w:rPr>
        <w:t>(Populus balsamifera L.).</w:t>
      </w:r>
      <w:r w:rsidRPr="001F7098">
        <w:rPr>
          <w:color w:val="000000" w:themeColor="text1"/>
        </w:rPr>
        <w:t xml:space="preserve"> </w:t>
      </w:r>
      <w:r w:rsidRPr="001F7098">
        <w:rPr>
          <w:i/>
          <w:iCs/>
          <w:color w:val="000000" w:themeColor="text1"/>
        </w:rPr>
        <w:t>Plant Cell Environ</w:t>
      </w:r>
      <w:r w:rsidRPr="001F7098">
        <w:rPr>
          <w:color w:val="000000" w:themeColor="text1"/>
        </w:rPr>
        <w:t>. 32: 1821-1832.</w:t>
      </w:r>
    </w:p>
    <w:p w14:paraId="0C7FBCAF" w14:textId="77777777" w:rsidR="008161B3" w:rsidRPr="001F7098" w:rsidRDefault="008161B3" w:rsidP="001A325F">
      <w:pPr>
        <w:spacing w:line="276" w:lineRule="auto"/>
        <w:ind w:left="720" w:hanging="720"/>
        <w:jc w:val="both"/>
      </w:pPr>
      <w:proofErr w:type="spellStart"/>
      <w:r w:rsidRPr="001F7098">
        <w:t>Sposito</w:t>
      </w:r>
      <w:proofErr w:type="spellEnd"/>
      <w:r w:rsidRPr="001F7098">
        <w:t xml:space="preserve"> G. 2017. Understanding the </w:t>
      </w:r>
      <w:proofErr w:type="spellStart"/>
      <w:r w:rsidRPr="001F7098">
        <w:t>Budyko</w:t>
      </w:r>
      <w:proofErr w:type="spellEnd"/>
      <w:r w:rsidRPr="001F7098">
        <w:t xml:space="preserve"> Equation. </w:t>
      </w:r>
      <w:r w:rsidRPr="001F7098">
        <w:rPr>
          <w:i/>
          <w:iCs/>
        </w:rPr>
        <w:t>Water</w:t>
      </w:r>
      <w:r w:rsidRPr="001F7098">
        <w:t xml:space="preserve"> 9: 236.</w:t>
      </w:r>
    </w:p>
    <w:p w14:paraId="1B7631B6" w14:textId="77777777" w:rsidR="008161B3" w:rsidRPr="001F7098" w:rsidRDefault="008161B3" w:rsidP="001A325F">
      <w:pPr>
        <w:spacing w:line="276" w:lineRule="auto"/>
        <w:ind w:left="720" w:hanging="720"/>
        <w:jc w:val="both"/>
      </w:pPr>
      <w:r w:rsidRPr="001F7098">
        <w:t xml:space="preserve">Sprenger M, </w:t>
      </w:r>
      <w:proofErr w:type="spellStart"/>
      <w:r w:rsidRPr="001F7098">
        <w:t>Leistert</w:t>
      </w:r>
      <w:proofErr w:type="spellEnd"/>
      <w:r w:rsidRPr="001F7098">
        <w:t xml:space="preserve"> H, Gimbel K, </w:t>
      </w:r>
      <w:proofErr w:type="spellStart"/>
      <w:r w:rsidRPr="001F7098">
        <w:t>Weiler</w:t>
      </w:r>
      <w:proofErr w:type="spellEnd"/>
      <w:r w:rsidRPr="001F7098">
        <w:t xml:space="preserve"> M. 2016. Illuminating hydrological processes at the soil-vegetation-atmosphere interface with water stable isotopes. </w:t>
      </w:r>
      <w:r w:rsidRPr="001F7098">
        <w:rPr>
          <w:i/>
          <w:iCs/>
        </w:rPr>
        <w:t xml:space="preserve">Rev. </w:t>
      </w:r>
      <w:proofErr w:type="spellStart"/>
      <w:r w:rsidRPr="001F7098">
        <w:rPr>
          <w:i/>
          <w:iCs/>
        </w:rPr>
        <w:t>Geophys</w:t>
      </w:r>
      <w:proofErr w:type="spellEnd"/>
      <w:r w:rsidRPr="001F7098">
        <w:t>. 54: 674–704.</w:t>
      </w:r>
    </w:p>
    <w:p w14:paraId="205DC612" w14:textId="77777777" w:rsidR="008161B3" w:rsidRPr="001F7098" w:rsidRDefault="008161B3" w:rsidP="001A325F">
      <w:pPr>
        <w:spacing w:line="276" w:lineRule="auto"/>
        <w:ind w:left="720" w:hanging="720"/>
        <w:jc w:val="both"/>
      </w:pPr>
      <w:r w:rsidRPr="001F7098">
        <w:t>Thompson JN. 2005. Coevolution: The geographic mosaic of coevolutionary arms races. Current Biology.</w:t>
      </w:r>
    </w:p>
    <w:p w14:paraId="488467CC" w14:textId="77777777" w:rsidR="008161B3" w:rsidRPr="001F7098" w:rsidRDefault="008161B3" w:rsidP="001A325F">
      <w:pPr>
        <w:spacing w:line="276" w:lineRule="auto"/>
        <w:ind w:left="720" w:hanging="720"/>
        <w:jc w:val="both"/>
      </w:pPr>
      <w:proofErr w:type="spellStart"/>
      <w:r w:rsidRPr="001F7098">
        <w:t>Trabucco</w:t>
      </w:r>
      <w:proofErr w:type="spellEnd"/>
      <w:r w:rsidRPr="001F7098">
        <w:t xml:space="preserve"> A, </w:t>
      </w:r>
      <w:proofErr w:type="spellStart"/>
      <w:r w:rsidRPr="001F7098">
        <w:t>Zomer</w:t>
      </w:r>
      <w:proofErr w:type="spellEnd"/>
      <w:r w:rsidRPr="001F7098">
        <w:t xml:space="preserve"> RJ. 2009. Global Aridity Index (Global-Aridity) and Global Potential </w:t>
      </w:r>
      <w:proofErr w:type="spellStart"/>
      <w:r w:rsidRPr="001F7098">
        <w:t>Evapo</w:t>
      </w:r>
      <w:proofErr w:type="spellEnd"/>
      <w:r w:rsidRPr="001F7098">
        <w:t xml:space="preserve">-Transpiration (Global-PET) Geospatial Database. CGIAR Consortium for Spatial Information. Published online, available from CGIAR-CSI </w:t>
      </w:r>
      <w:proofErr w:type="spellStart"/>
      <w:r w:rsidRPr="001F7098">
        <w:t>GeoPortal</w:t>
      </w:r>
      <w:proofErr w:type="spellEnd"/>
      <w:r w:rsidRPr="001F7098">
        <w:t xml:space="preserve"> at: http://www.csi.cgiar.org.</w:t>
      </w:r>
    </w:p>
    <w:p w14:paraId="1A8ECCFC" w14:textId="77777777" w:rsidR="008161B3" w:rsidRPr="001F7098" w:rsidRDefault="008161B3" w:rsidP="001A325F">
      <w:pPr>
        <w:spacing w:line="276" w:lineRule="auto"/>
        <w:ind w:left="720" w:hanging="720"/>
        <w:jc w:val="both"/>
      </w:pPr>
      <w:r w:rsidRPr="001F7098">
        <w:lastRenderedPageBreak/>
        <w:t xml:space="preserve">Trenberth KE, Fasullo JT, </w:t>
      </w:r>
      <w:proofErr w:type="spellStart"/>
      <w:r w:rsidRPr="001F7098">
        <w:t>Kiehl</w:t>
      </w:r>
      <w:proofErr w:type="spellEnd"/>
      <w:r w:rsidRPr="001F7098">
        <w:t xml:space="preserve"> J. 2009. Earth’s global energy budget. </w:t>
      </w:r>
      <w:r w:rsidRPr="001F7098">
        <w:rPr>
          <w:i/>
          <w:iCs/>
        </w:rPr>
        <w:t>Bull. Amer. Meteor. Soc.</w:t>
      </w:r>
      <w:r w:rsidRPr="001F7098">
        <w:t xml:space="preserve"> 90(3): 311-324.</w:t>
      </w:r>
    </w:p>
    <w:p w14:paraId="735AAB26" w14:textId="77777777" w:rsidR="008161B3" w:rsidRPr="001F7098" w:rsidRDefault="008161B3" w:rsidP="001A325F">
      <w:pPr>
        <w:spacing w:line="276" w:lineRule="auto"/>
        <w:ind w:left="720" w:hanging="720"/>
        <w:jc w:val="both"/>
      </w:pPr>
      <w:r w:rsidRPr="001F7098">
        <w:t xml:space="preserve">Troch PA, Carrillo G, Sivapalan M, Wagener T, </w:t>
      </w:r>
      <w:proofErr w:type="spellStart"/>
      <w:r w:rsidRPr="001F7098">
        <w:t>Sawicz</w:t>
      </w:r>
      <w:proofErr w:type="spellEnd"/>
      <w:r w:rsidRPr="001F7098">
        <w:t xml:space="preserve"> K. 2013. Climate-vegetation-soil interactions and long-term hydrologic partitioning: Signatures of catchment co-evolution. </w:t>
      </w:r>
      <w:proofErr w:type="spellStart"/>
      <w:r w:rsidRPr="001F7098">
        <w:rPr>
          <w:i/>
          <w:iCs/>
        </w:rPr>
        <w:t>Hydrol</w:t>
      </w:r>
      <w:proofErr w:type="spellEnd"/>
      <w:r w:rsidRPr="001F7098">
        <w:rPr>
          <w:i/>
          <w:iCs/>
        </w:rPr>
        <w:t>. Earth Syst. Sci.</w:t>
      </w:r>
      <w:r w:rsidRPr="001F7098">
        <w:t xml:space="preserve"> 17(6): 2209-2013.</w:t>
      </w:r>
    </w:p>
    <w:p w14:paraId="7864B535" w14:textId="77777777" w:rsidR="008161B3" w:rsidRPr="001F7098" w:rsidRDefault="008161B3" w:rsidP="001A325F">
      <w:pPr>
        <w:spacing w:line="276" w:lineRule="auto"/>
        <w:ind w:left="720" w:hanging="720"/>
        <w:jc w:val="both"/>
      </w:pPr>
      <w:r w:rsidRPr="001F7098">
        <w:t xml:space="preserve">Tyree MT, Kolb KJ, Rood SB, </w:t>
      </w:r>
      <w:proofErr w:type="spellStart"/>
      <w:r w:rsidRPr="001F7098">
        <w:t>Patino</w:t>
      </w:r>
      <w:proofErr w:type="spellEnd"/>
      <w:r w:rsidRPr="001F7098">
        <w:t xml:space="preserve"> S. 1994. Vulnerability to drought-induced cavitation of riparian cottonwoods in Alberta: A possible factor in the decline of the ecosystem? </w:t>
      </w:r>
      <w:r w:rsidRPr="001F7098">
        <w:rPr>
          <w:i/>
          <w:iCs/>
        </w:rPr>
        <w:t xml:space="preserve">Tree Physiol. </w:t>
      </w:r>
      <w:r w:rsidRPr="001F7098">
        <w:t>14(5): 455–466.</w:t>
      </w:r>
    </w:p>
    <w:p w14:paraId="4A889B61" w14:textId="77777777" w:rsidR="008161B3" w:rsidRPr="001F7098" w:rsidRDefault="008161B3" w:rsidP="001A325F">
      <w:pPr>
        <w:spacing w:line="276" w:lineRule="auto"/>
        <w:ind w:left="720" w:hanging="720"/>
        <w:jc w:val="both"/>
      </w:pPr>
      <w:r w:rsidRPr="001F7098">
        <w:t xml:space="preserve">Urban MC. 2015. Accelerating extinction risk from climate change. </w:t>
      </w:r>
      <w:r w:rsidRPr="001F7098">
        <w:rPr>
          <w:i/>
          <w:iCs/>
        </w:rPr>
        <w:t>Science</w:t>
      </w:r>
      <w:r w:rsidRPr="001F7098">
        <w:t xml:space="preserve"> 438(6234): 571-573.</w:t>
      </w:r>
    </w:p>
    <w:p w14:paraId="75BDAC15" w14:textId="77777777" w:rsidR="008161B3" w:rsidRPr="001F7098" w:rsidRDefault="008161B3" w:rsidP="001A325F">
      <w:pPr>
        <w:spacing w:line="276" w:lineRule="auto"/>
        <w:ind w:left="720" w:hanging="720"/>
        <w:jc w:val="both"/>
      </w:pPr>
      <w:r w:rsidRPr="001F7098">
        <w:t xml:space="preserve">Van Nuland ME, Bailey JK, Schweitzer JA. 2017. Divergent plant-soil feedbacks could alter future elevation ranges and ecosystem dynamics. </w:t>
      </w:r>
      <w:r w:rsidRPr="001F7098">
        <w:rPr>
          <w:i/>
          <w:iCs/>
        </w:rPr>
        <w:t xml:space="preserve">Nat. Ecol. </w:t>
      </w:r>
      <w:proofErr w:type="spellStart"/>
      <w:r w:rsidRPr="001F7098">
        <w:rPr>
          <w:i/>
          <w:iCs/>
        </w:rPr>
        <w:t>Evol</w:t>
      </w:r>
      <w:proofErr w:type="spellEnd"/>
      <w:r w:rsidRPr="001F7098">
        <w:t>. 1, 0150.</w:t>
      </w:r>
    </w:p>
    <w:p w14:paraId="087F854A" w14:textId="77777777" w:rsidR="008161B3" w:rsidRPr="001F7098" w:rsidRDefault="008161B3" w:rsidP="001A325F">
      <w:pPr>
        <w:spacing w:line="276" w:lineRule="auto"/>
        <w:ind w:left="720" w:hanging="720"/>
        <w:jc w:val="both"/>
      </w:pPr>
      <w:r w:rsidRPr="001F7098">
        <w:t xml:space="preserve">Van Nuland ME, Ware IM, Bailey JK, Schweitzer JA. 2019. Ecosystem feedbacks contribute to geographic variation in plant–soil eco-evolutionary dynamics across a fertility gradient. </w:t>
      </w:r>
      <w:proofErr w:type="spellStart"/>
      <w:r w:rsidRPr="001F7098">
        <w:rPr>
          <w:i/>
          <w:iCs/>
        </w:rPr>
        <w:t>Funct</w:t>
      </w:r>
      <w:proofErr w:type="spellEnd"/>
      <w:r w:rsidRPr="001F7098">
        <w:rPr>
          <w:i/>
          <w:iCs/>
        </w:rPr>
        <w:t>. Ecol.</w:t>
      </w:r>
      <w:r w:rsidRPr="001F7098">
        <w:t xml:space="preserve"> 33(1): 95-106.</w:t>
      </w:r>
    </w:p>
    <w:p w14:paraId="1F290B7A" w14:textId="77777777" w:rsidR="008161B3" w:rsidRPr="001F7098" w:rsidRDefault="008161B3" w:rsidP="001A325F">
      <w:pPr>
        <w:spacing w:line="276" w:lineRule="auto"/>
        <w:ind w:left="720" w:hanging="720"/>
        <w:jc w:val="both"/>
      </w:pPr>
      <w:r w:rsidRPr="001F7098">
        <w:t xml:space="preserve">Van Nuland ME, </w:t>
      </w:r>
      <w:proofErr w:type="spellStart"/>
      <w:r w:rsidRPr="001F7098">
        <w:t>Wooliver</w:t>
      </w:r>
      <w:proofErr w:type="spellEnd"/>
      <w:r w:rsidRPr="001F7098">
        <w:t xml:space="preserve"> RC, </w:t>
      </w:r>
      <w:proofErr w:type="spellStart"/>
      <w:r w:rsidRPr="001F7098">
        <w:t>Pfennigwerth</w:t>
      </w:r>
      <w:proofErr w:type="spellEnd"/>
      <w:r w:rsidRPr="001F7098">
        <w:t xml:space="preserve"> AA, Read QD, Ware IM, Mueller L, Fordyce JA, Schweitzer JA, Bailey JK. 2016. Plant-soil feedbacks: connecting ecosystem ecology and evolution (C Fox, Ed.).</w:t>
      </w:r>
      <w:r w:rsidRPr="001F7098">
        <w:rPr>
          <w:i/>
          <w:iCs/>
        </w:rPr>
        <w:t xml:space="preserve"> </w:t>
      </w:r>
      <w:proofErr w:type="spellStart"/>
      <w:r w:rsidRPr="001F7098">
        <w:rPr>
          <w:i/>
          <w:iCs/>
        </w:rPr>
        <w:t>Funct</w:t>
      </w:r>
      <w:proofErr w:type="spellEnd"/>
      <w:r w:rsidRPr="001F7098">
        <w:rPr>
          <w:i/>
          <w:iCs/>
        </w:rPr>
        <w:t>. Ecol.</w:t>
      </w:r>
      <w:r w:rsidRPr="001F7098">
        <w:t xml:space="preserve"> 30: 1032–1042.</w:t>
      </w:r>
    </w:p>
    <w:p w14:paraId="04AA0584" w14:textId="77777777" w:rsidR="008161B3" w:rsidRPr="001F7098" w:rsidRDefault="008161B3" w:rsidP="001A325F">
      <w:pPr>
        <w:spacing w:line="276" w:lineRule="auto"/>
        <w:ind w:left="720" w:hanging="720"/>
        <w:jc w:val="both"/>
      </w:pPr>
      <w:r w:rsidRPr="001F7098">
        <w:t xml:space="preserve">Wang K, Dickinson RE. 2012. A review of global terrestrial evapotranspiration: Observation, modeling, climatology, and climatic variability. </w:t>
      </w:r>
      <w:r w:rsidRPr="001F7098">
        <w:rPr>
          <w:i/>
          <w:iCs/>
        </w:rPr>
        <w:t xml:space="preserve">Rev. </w:t>
      </w:r>
      <w:proofErr w:type="spellStart"/>
      <w:r w:rsidRPr="001F7098">
        <w:rPr>
          <w:i/>
          <w:iCs/>
        </w:rPr>
        <w:t>Geophys</w:t>
      </w:r>
      <w:proofErr w:type="spellEnd"/>
      <w:r w:rsidRPr="001F7098">
        <w:rPr>
          <w:i/>
          <w:iCs/>
        </w:rPr>
        <w:t>.</w:t>
      </w:r>
      <w:r w:rsidRPr="001F7098">
        <w:t xml:space="preserve"> 50(2).</w:t>
      </w:r>
    </w:p>
    <w:p w14:paraId="09A2434B" w14:textId="77777777" w:rsidR="008161B3" w:rsidRPr="001F7098" w:rsidRDefault="008161B3" w:rsidP="001A325F">
      <w:pPr>
        <w:spacing w:line="276" w:lineRule="auto"/>
        <w:ind w:left="720" w:hanging="720"/>
        <w:jc w:val="both"/>
      </w:pPr>
      <w:r w:rsidRPr="001F7098">
        <w:t xml:space="preserve">Ware IM, Fitzpatrick CR, </w:t>
      </w:r>
      <w:proofErr w:type="spellStart"/>
      <w:r w:rsidRPr="001F7098">
        <w:t>Senthilnathan</w:t>
      </w:r>
      <w:proofErr w:type="spellEnd"/>
      <w:r w:rsidRPr="001F7098">
        <w:t xml:space="preserve"> A, Bayliss SLJ, </w:t>
      </w:r>
      <w:proofErr w:type="spellStart"/>
      <w:r w:rsidRPr="001F7098">
        <w:t>Beals</w:t>
      </w:r>
      <w:proofErr w:type="spellEnd"/>
      <w:r w:rsidRPr="001F7098">
        <w:t xml:space="preserve"> KK, Mueller LO, Summers JL, </w:t>
      </w:r>
      <w:proofErr w:type="spellStart"/>
      <w:r w:rsidRPr="001F7098">
        <w:t>Wooliver</w:t>
      </w:r>
      <w:proofErr w:type="spellEnd"/>
      <w:r w:rsidRPr="001F7098">
        <w:t xml:space="preserve"> RC, Van Nuland ME, </w:t>
      </w:r>
      <w:proofErr w:type="spellStart"/>
      <w:r w:rsidRPr="001F7098">
        <w:t>Kinnison</w:t>
      </w:r>
      <w:proofErr w:type="spellEnd"/>
      <w:r w:rsidRPr="001F7098">
        <w:t xml:space="preserve"> MT, et al. 2019a. Feedbacks link ecosystem ecology and evolution across spatial and temporal scales: Empirical evidence and future directions. </w:t>
      </w:r>
      <w:proofErr w:type="spellStart"/>
      <w:r w:rsidRPr="001F7098">
        <w:rPr>
          <w:i/>
          <w:iCs/>
        </w:rPr>
        <w:t>Funct</w:t>
      </w:r>
      <w:proofErr w:type="spellEnd"/>
      <w:r w:rsidRPr="001F7098">
        <w:rPr>
          <w:i/>
          <w:iCs/>
        </w:rPr>
        <w:t>. Ecol.</w:t>
      </w:r>
      <w:r w:rsidRPr="001F7098">
        <w:t xml:space="preserve"> 33: 31-42.</w:t>
      </w:r>
    </w:p>
    <w:p w14:paraId="30FC3969" w14:textId="77777777" w:rsidR="008161B3" w:rsidRPr="001F7098" w:rsidRDefault="008161B3" w:rsidP="001A325F">
      <w:pPr>
        <w:spacing w:line="276" w:lineRule="auto"/>
        <w:ind w:left="720" w:hanging="720"/>
        <w:jc w:val="both"/>
      </w:pPr>
      <w:r w:rsidRPr="001F7098">
        <w:t xml:space="preserve">Ware IM, Van Nuland ME, Schweitzer JA, Yang Z, </w:t>
      </w:r>
      <w:proofErr w:type="spellStart"/>
      <w:r w:rsidRPr="001F7098">
        <w:t>Schadt</w:t>
      </w:r>
      <w:proofErr w:type="spellEnd"/>
      <w:r w:rsidRPr="001F7098">
        <w:t xml:space="preserve"> CW, </w:t>
      </w:r>
      <w:proofErr w:type="spellStart"/>
      <w:r w:rsidRPr="001F7098">
        <w:t>Sidak</w:t>
      </w:r>
      <w:proofErr w:type="spellEnd"/>
      <w:r w:rsidRPr="001F7098">
        <w:t xml:space="preserve">-Loftis LC, Stone NE, Busch JD, Wagner DM, Bailey JK. 2019b. Climate-driven reduction of genetic variation in plant phenology alters soil communities and nutrient pools. </w:t>
      </w:r>
      <w:r w:rsidRPr="001F7098">
        <w:rPr>
          <w:i/>
          <w:iCs/>
        </w:rPr>
        <w:t xml:space="preserve">Glob. Change Biol. </w:t>
      </w:r>
      <w:r w:rsidRPr="001F7098">
        <w:t>25: 1514-1528.</w:t>
      </w:r>
    </w:p>
    <w:p w14:paraId="57334E94" w14:textId="77777777" w:rsidR="008161B3" w:rsidRPr="001F7098" w:rsidRDefault="008161B3" w:rsidP="001A325F">
      <w:pPr>
        <w:spacing w:line="276" w:lineRule="auto"/>
        <w:ind w:left="720" w:hanging="720"/>
        <w:jc w:val="both"/>
      </w:pPr>
      <w:r w:rsidRPr="001F7098">
        <w:t>Welker JM. 2000. Isotopic (δ18O) characteristics of weekly precipitation collected across the USA: An initial analysis with application to water source studies.</w:t>
      </w:r>
      <w:r w:rsidRPr="001F7098">
        <w:rPr>
          <w:i/>
          <w:iCs/>
        </w:rPr>
        <w:t xml:space="preserve"> </w:t>
      </w:r>
      <w:proofErr w:type="spellStart"/>
      <w:r w:rsidRPr="001F7098">
        <w:rPr>
          <w:i/>
          <w:iCs/>
        </w:rPr>
        <w:t>Hydrol</w:t>
      </w:r>
      <w:proofErr w:type="spellEnd"/>
      <w:r w:rsidRPr="001F7098">
        <w:rPr>
          <w:i/>
          <w:iCs/>
        </w:rPr>
        <w:t>. Process.</w:t>
      </w:r>
      <w:r w:rsidRPr="001F7098">
        <w:t xml:space="preserve"> 14(8): 1449-1464.</w:t>
      </w:r>
    </w:p>
    <w:p w14:paraId="665A7102" w14:textId="77777777" w:rsidR="008161B3" w:rsidRPr="001F7098" w:rsidRDefault="008161B3" w:rsidP="001A325F">
      <w:pPr>
        <w:spacing w:line="276" w:lineRule="auto"/>
        <w:ind w:left="720" w:hanging="720"/>
        <w:jc w:val="both"/>
      </w:pPr>
      <w:r w:rsidRPr="001F7098">
        <w:t xml:space="preserve">Wright IJ, Reich PB, Westoby M, </w:t>
      </w:r>
      <w:proofErr w:type="spellStart"/>
      <w:r w:rsidRPr="001F7098">
        <w:t>Ackerly</w:t>
      </w:r>
      <w:proofErr w:type="spellEnd"/>
      <w:r w:rsidRPr="001F7098">
        <w:t xml:space="preserve"> DD, Baruch Z, </w:t>
      </w:r>
      <w:proofErr w:type="spellStart"/>
      <w:r w:rsidRPr="001F7098">
        <w:t>Bongers</w:t>
      </w:r>
      <w:proofErr w:type="spellEnd"/>
      <w:r w:rsidRPr="001F7098">
        <w:t xml:space="preserve"> F, Cavender-Bares J, et al. 2004. The worldwide leaf economics spectrum. </w:t>
      </w:r>
      <w:r w:rsidRPr="001F7098">
        <w:rPr>
          <w:i/>
          <w:iCs/>
        </w:rPr>
        <w:t>Nature</w:t>
      </w:r>
      <w:r w:rsidRPr="001F7098">
        <w:t xml:space="preserve"> 428: 821-827.</w:t>
      </w:r>
    </w:p>
    <w:p w14:paraId="36AE537C" w14:textId="77777777" w:rsidR="008161B3" w:rsidRPr="001F7098" w:rsidRDefault="008161B3" w:rsidP="001A325F">
      <w:pPr>
        <w:spacing w:line="276" w:lineRule="auto"/>
        <w:ind w:left="720" w:hanging="720"/>
        <w:jc w:val="both"/>
      </w:pPr>
      <w:r w:rsidRPr="001F7098">
        <w:t xml:space="preserve">Yang H, Rood SB, Flanagan LB. 2019. Controls on ecosystem water-use and water-use efficiency: insights from a comparison between grassland and riparian forest in the northern Great Plains. Agric. For. </w:t>
      </w:r>
      <w:proofErr w:type="spellStart"/>
      <w:r w:rsidRPr="001F7098">
        <w:t>Meteorol</w:t>
      </w:r>
      <w:proofErr w:type="spellEnd"/>
      <w:r w:rsidRPr="001F7098">
        <w:t>. 271: 22-32.</w:t>
      </w:r>
    </w:p>
    <w:p w14:paraId="58C59C41" w14:textId="77777777" w:rsidR="008161B3" w:rsidRPr="001F7098" w:rsidRDefault="008161B3" w:rsidP="001A325F">
      <w:pPr>
        <w:spacing w:line="276" w:lineRule="auto"/>
        <w:ind w:left="720" w:hanging="720"/>
        <w:jc w:val="both"/>
      </w:pPr>
      <w:r w:rsidRPr="001F7098">
        <w:t xml:space="preserve">Zhang L, Dawes WR, Walker GR. 2001. Response of mean annual evapotranspiration to vegetation changes at catchment scale. </w:t>
      </w:r>
      <w:r w:rsidRPr="001F7098">
        <w:rPr>
          <w:i/>
          <w:iCs/>
        </w:rPr>
        <w:t xml:space="preserve">Water </w:t>
      </w:r>
      <w:proofErr w:type="spellStart"/>
      <w:r w:rsidRPr="001F7098">
        <w:rPr>
          <w:i/>
          <w:iCs/>
        </w:rPr>
        <w:t>Resour</w:t>
      </w:r>
      <w:proofErr w:type="spellEnd"/>
      <w:r w:rsidRPr="001F7098">
        <w:rPr>
          <w:i/>
          <w:iCs/>
        </w:rPr>
        <w:t>. Res.</w:t>
      </w:r>
      <w:r w:rsidRPr="001F7098">
        <w:t xml:space="preserve"> 37: 701–708.</w:t>
      </w:r>
    </w:p>
    <w:p w14:paraId="30084C25" w14:textId="77777777" w:rsidR="008161B3" w:rsidRPr="001F7098" w:rsidRDefault="008161B3" w:rsidP="001A325F">
      <w:pPr>
        <w:spacing w:line="276" w:lineRule="auto"/>
        <w:ind w:left="720" w:hanging="720"/>
        <w:jc w:val="both"/>
      </w:pPr>
      <w:r w:rsidRPr="001F7098">
        <w:lastRenderedPageBreak/>
        <w:t xml:space="preserve">Zhao L, Wang L, </w:t>
      </w:r>
      <w:proofErr w:type="spellStart"/>
      <w:r w:rsidRPr="001F7098">
        <w:t>Cernusak</w:t>
      </w:r>
      <w:proofErr w:type="spellEnd"/>
      <w:r w:rsidRPr="001F7098">
        <w:t xml:space="preserve"> LA, Liu X, Xiao H, Zhou M, Zhang S. 2016. Significant Difference in Hydrogen Isotope Composition Between Xylem and Tissue Water in </w:t>
      </w:r>
      <w:r w:rsidRPr="001F7098">
        <w:rPr>
          <w:i/>
          <w:iCs/>
        </w:rPr>
        <w:t xml:space="preserve">Populus </w:t>
      </w:r>
      <w:proofErr w:type="spellStart"/>
      <w:r w:rsidRPr="001F7098">
        <w:rPr>
          <w:i/>
          <w:iCs/>
        </w:rPr>
        <w:t>Euphratica</w:t>
      </w:r>
      <w:proofErr w:type="spellEnd"/>
      <w:r w:rsidRPr="001F7098">
        <w:t xml:space="preserve">. </w:t>
      </w:r>
      <w:r w:rsidRPr="001F7098">
        <w:rPr>
          <w:i/>
          <w:iCs/>
        </w:rPr>
        <w:t xml:space="preserve">Plant Cell Environ. </w:t>
      </w:r>
      <w:r w:rsidRPr="001F7098">
        <w:t>39: 1848-1857.</w:t>
      </w:r>
    </w:p>
    <w:p w14:paraId="4E0C776F" w14:textId="0D091501" w:rsidR="007F0173" w:rsidRDefault="00975E37" w:rsidP="005E54E2">
      <w:pPr>
        <w:pStyle w:val="Heading2"/>
      </w:pPr>
      <w:r w:rsidRPr="00DF7C87">
        <w:rPr>
          <w:sz w:val="24"/>
          <w:szCs w:val="24"/>
        </w:rPr>
        <w:br w:type="page"/>
      </w:r>
      <w:bookmarkStart w:id="19" w:name="_Toc88056479"/>
      <w:r w:rsidR="009A1193">
        <w:lastRenderedPageBreak/>
        <w:t>APPENDIX</w:t>
      </w:r>
      <w:r w:rsidR="003925DB">
        <w:t xml:space="preserve"> 1</w:t>
      </w:r>
      <w:bookmarkEnd w:id="19"/>
    </w:p>
    <w:p w14:paraId="266BAF26" w14:textId="55A3D53E" w:rsidR="00975E37" w:rsidRPr="00E443E3" w:rsidRDefault="007F0173" w:rsidP="005E54E2">
      <w:pPr>
        <w:rPr>
          <w:b/>
          <w:bCs/>
          <w:iCs/>
          <w:sz w:val="28"/>
          <w:szCs w:val="28"/>
        </w:rPr>
      </w:pPr>
      <w:r>
        <w:br w:type="page"/>
      </w:r>
    </w:p>
    <w:p w14:paraId="6E45D84F" w14:textId="46EDA3EA" w:rsidR="004D30B5" w:rsidRPr="00A51466" w:rsidRDefault="004D30B5" w:rsidP="00A51466">
      <w:pPr>
        <w:pStyle w:val="Caption"/>
        <w:jc w:val="both"/>
        <w:rPr>
          <w:sz w:val="22"/>
          <w:szCs w:val="22"/>
        </w:rPr>
      </w:pPr>
      <w:bookmarkStart w:id="20" w:name="_Toc289175849"/>
      <w:bookmarkStart w:id="21" w:name="_Toc88053987"/>
      <w:r w:rsidRPr="00A51466">
        <w:rPr>
          <w:sz w:val="22"/>
          <w:szCs w:val="22"/>
        </w:rPr>
        <w:lastRenderedPageBreak/>
        <w:t xml:space="preserve">Table </w:t>
      </w:r>
      <w:r w:rsidRPr="00A51466">
        <w:rPr>
          <w:sz w:val="22"/>
          <w:szCs w:val="22"/>
        </w:rPr>
        <w:fldChar w:fldCharType="begin"/>
      </w:r>
      <w:r w:rsidRPr="00A51466">
        <w:rPr>
          <w:sz w:val="22"/>
          <w:szCs w:val="22"/>
        </w:rPr>
        <w:instrText xml:space="preserve"> SEQ Table \* ARABIC </w:instrText>
      </w:r>
      <w:r w:rsidRPr="00A51466">
        <w:rPr>
          <w:sz w:val="22"/>
          <w:szCs w:val="22"/>
        </w:rPr>
        <w:fldChar w:fldCharType="separate"/>
      </w:r>
      <w:r w:rsidRPr="00A51466">
        <w:rPr>
          <w:sz w:val="22"/>
          <w:szCs w:val="22"/>
        </w:rPr>
        <w:t>1</w:t>
      </w:r>
      <w:r w:rsidRPr="00A51466">
        <w:rPr>
          <w:sz w:val="22"/>
          <w:szCs w:val="22"/>
        </w:rPr>
        <w:fldChar w:fldCharType="end"/>
      </w:r>
      <w:r w:rsidRPr="00A51466">
        <w:rPr>
          <w:sz w:val="22"/>
          <w:szCs w:val="22"/>
        </w:rPr>
        <w:t xml:space="preserve">. </w:t>
      </w:r>
      <w:bookmarkEnd w:id="20"/>
      <w:r w:rsidRPr="00A51466">
        <w:rPr>
          <w:sz w:val="22"/>
          <w:szCs w:val="22"/>
        </w:rPr>
        <w:t xml:space="preserve">Summary of the linear mixed effects model rankings for determining importance of provenance for biomass, stomatal density, distribution (ratio), and size (abaxial pore length) in the field [F] and in the greenhouse [GH]. </w:t>
      </w:r>
      <w:r w:rsidRPr="00A51466">
        <w:rPr>
          <w:b w:val="0"/>
          <w:bCs w:val="0"/>
          <w:sz w:val="22"/>
          <w:szCs w:val="22"/>
        </w:rPr>
        <w:t>River is included as random effect for all models. Genotype is also included as a random effect for stomatal models.</w:t>
      </w:r>
      <w:bookmarkEnd w:id="21"/>
    </w:p>
    <w:tbl>
      <w:tblPr>
        <w:tblStyle w:val="TableGrid"/>
        <w:tblW w:w="8635" w:type="dxa"/>
        <w:tblLayout w:type="fixed"/>
        <w:tblCellMar>
          <w:top w:w="43" w:type="dxa"/>
          <w:left w:w="14" w:type="dxa"/>
          <w:bottom w:w="43" w:type="dxa"/>
          <w:right w:w="14" w:type="dxa"/>
        </w:tblCellMar>
        <w:tblLook w:val="04A0" w:firstRow="1" w:lastRow="0" w:firstColumn="1" w:lastColumn="0" w:noHBand="0" w:noVBand="1"/>
      </w:tblPr>
      <w:tblGrid>
        <w:gridCol w:w="2155"/>
        <w:gridCol w:w="1350"/>
        <w:gridCol w:w="1260"/>
        <w:gridCol w:w="1260"/>
        <w:gridCol w:w="1350"/>
        <w:gridCol w:w="1260"/>
      </w:tblGrid>
      <w:tr w:rsidR="004D30B5" w:rsidRPr="004E160E" w14:paraId="4CC30CC8" w14:textId="77777777" w:rsidTr="00477B20">
        <w:tc>
          <w:tcPr>
            <w:tcW w:w="2155" w:type="dxa"/>
            <w:tcBorders>
              <w:left w:val="single" w:sz="4" w:space="0" w:color="FFFFFF" w:themeColor="background1"/>
              <w:right w:val="single" w:sz="4" w:space="0" w:color="F2F2F2" w:themeColor="background1" w:themeShade="F2"/>
            </w:tcBorders>
            <w:vAlign w:val="center"/>
          </w:tcPr>
          <w:p w14:paraId="5C0FE36D" w14:textId="77777777" w:rsidR="004D30B5" w:rsidRPr="00D32289" w:rsidRDefault="004D30B5" w:rsidP="00477B20">
            <w:pPr>
              <w:jc w:val="center"/>
              <w:rPr>
                <w:b/>
                <w:bCs/>
                <w:color w:val="000000" w:themeColor="text1"/>
                <w:sz w:val="20"/>
                <w:szCs w:val="20"/>
              </w:rPr>
            </w:pPr>
            <w:r w:rsidRPr="00D32289">
              <w:rPr>
                <w:b/>
                <w:bCs/>
                <w:color w:val="000000" w:themeColor="text1"/>
                <w:sz w:val="20"/>
                <w:szCs w:val="20"/>
              </w:rPr>
              <w:t>Trait</w:t>
            </w:r>
          </w:p>
        </w:tc>
        <w:tc>
          <w:tcPr>
            <w:tcW w:w="1350" w:type="dxa"/>
            <w:tcBorders>
              <w:left w:val="single" w:sz="4" w:space="0" w:color="F2F2F2" w:themeColor="background1" w:themeShade="F2"/>
              <w:right w:val="single" w:sz="4" w:space="0" w:color="F2F2F2" w:themeColor="background1" w:themeShade="F2"/>
            </w:tcBorders>
            <w:vAlign w:val="center"/>
          </w:tcPr>
          <w:p w14:paraId="6894BD96" w14:textId="77777777" w:rsidR="004D30B5" w:rsidRPr="00D32289" w:rsidRDefault="004D30B5" w:rsidP="00477B20">
            <w:pPr>
              <w:jc w:val="center"/>
              <w:rPr>
                <w:b/>
                <w:bCs/>
                <w:color w:val="000000" w:themeColor="text1"/>
                <w:sz w:val="20"/>
                <w:szCs w:val="20"/>
              </w:rPr>
            </w:pPr>
            <w:r w:rsidRPr="00D32289">
              <w:rPr>
                <w:b/>
                <w:bCs/>
                <w:color w:val="000000" w:themeColor="text1"/>
                <w:sz w:val="20"/>
                <w:szCs w:val="20"/>
              </w:rPr>
              <w:t>Model Rank</w:t>
            </w:r>
          </w:p>
        </w:tc>
        <w:tc>
          <w:tcPr>
            <w:tcW w:w="1260" w:type="dxa"/>
            <w:tcBorders>
              <w:left w:val="single" w:sz="4" w:space="0" w:color="F2F2F2" w:themeColor="background1" w:themeShade="F2"/>
              <w:right w:val="single" w:sz="4" w:space="0" w:color="F2F2F2" w:themeColor="background1" w:themeShade="F2"/>
            </w:tcBorders>
            <w:vAlign w:val="center"/>
          </w:tcPr>
          <w:p w14:paraId="2D3A2066" w14:textId="77777777" w:rsidR="004D30B5" w:rsidRPr="00D32289" w:rsidRDefault="004D30B5" w:rsidP="00477B20">
            <w:pPr>
              <w:jc w:val="center"/>
              <w:rPr>
                <w:b/>
                <w:bCs/>
                <w:color w:val="000000" w:themeColor="text1"/>
                <w:sz w:val="20"/>
                <w:szCs w:val="20"/>
              </w:rPr>
            </w:pPr>
            <w:r w:rsidRPr="00D32289">
              <w:rPr>
                <w:b/>
                <w:bCs/>
                <w:color w:val="000000" w:themeColor="text1"/>
                <w:sz w:val="20"/>
                <w:szCs w:val="20"/>
              </w:rPr>
              <w:t>Main Effects</w:t>
            </w:r>
          </w:p>
        </w:tc>
        <w:tc>
          <w:tcPr>
            <w:tcW w:w="1260" w:type="dxa"/>
            <w:tcBorders>
              <w:left w:val="single" w:sz="4" w:space="0" w:color="F2F2F2" w:themeColor="background1" w:themeShade="F2"/>
              <w:right w:val="single" w:sz="4" w:space="0" w:color="F2F2F2" w:themeColor="background1" w:themeShade="F2"/>
            </w:tcBorders>
            <w:vAlign w:val="center"/>
          </w:tcPr>
          <w:p w14:paraId="29F9BB07" w14:textId="77777777" w:rsidR="004D30B5" w:rsidRPr="00D32289" w:rsidRDefault="004D30B5" w:rsidP="00477B20">
            <w:pPr>
              <w:jc w:val="center"/>
              <w:rPr>
                <w:b/>
                <w:bCs/>
                <w:color w:val="000000" w:themeColor="text1"/>
                <w:sz w:val="20"/>
                <w:szCs w:val="20"/>
              </w:rPr>
            </w:pPr>
            <w:r w:rsidRPr="00D32289">
              <w:rPr>
                <w:b/>
                <w:bCs/>
                <w:color w:val="000000" w:themeColor="text1"/>
                <w:sz w:val="20"/>
                <w:szCs w:val="20"/>
              </w:rPr>
              <w:t>AIC</w:t>
            </w:r>
          </w:p>
        </w:tc>
        <w:tc>
          <w:tcPr>
            <w:tcW w:w="1350" w:type="dxa"/>
            <w:tcBorders>
              <w:left w:val="single" w:sz="4" w:space="0" w:color="F2F2F2" w:themeColor="background1" w:themeShade="F2"/>
              <w:right w:val="single" w:sz="4" w:space="0" w:color="F2F2F2" w:themeColor="background1" w:themeShade="F2"/>
            </w:tcBorders>
            <w:vAlign w:val="center"/>
          </w:tcPr>
          <w:p w14:paraId="6C88CA71" w14:textId="77777777" w:rsidR="004D30B5" w:rsidRPr="00D32289" w:rsidRDefault="004D30B5" w:rsidP="00477B20">
            <w:pPr>
              <w:jc w:val="center"/>
              <w:rPr>
                <w:b/>
                <w:bCs/>
                <w:color w:val="000000" w:themeColor="text1"/>
                <w:sz w:val="20"/>
                <w:szCs w:val="20"/>
              </w:rPr>
            </w:pPr>
            <w:proofErr w:type="spellStart"/>
            <w:r w:rsidRPr="00D32289">
              <w:rPr>
                <w:b/>
                <w:bCs/>
                <w:color w:val="000000" w:themeColor="text1"/>
                <w:sz w:val="20"/>
                <w:szCs w:val="20"/>
              </w:rPr>
              <w:t>Chisq</w:t>
            </w:r>
            <w:proofErr w:type="spellEnd"/>
            <w:r w:rsidRPr="00D32289">
              <w:rPr>
                <w:b/>
                <w:bCs/>
                <w:color w:val="000000" w:themeColor="text1"/>
                <w:sz w:val="20"/>
                <w:szCs w:val="20"/>
              </w:rPr>
              <w:t>, df</w:t>
            </w:r>
          </w:p>
        </w:tc>
        <w:tc>
          <w:tcPr>
            <w:tcW w:w="1260" w:type="dxa"/>
            <w:tcBorders>
              <w:left w:val="single" w:sz="4" w:space="0" w:color="F2F2F2" w:themeColor="background1" w:themeShade="F2"/>
              <w:right w:val="single" w:sz="4" w:space="0" w:color="FFFFFF" w:themeColor="background1"/>
            </w:tcBorders>
            <w:vAlign w:val="center"/>
          </w:tcPr>
          <w:p w14:paraId="56CB3527" w14:textId="77777777" w:rsidR="004D30B5" w:rsidRPr="00D32289" w:rsidRDefault="004D30B5" w:rsidP="00477B20">
            <w:pPr>
              <w:jc w:val="center"/>
              <w:rPr>
                <w:b/>
                <w:bCs/>
                <w:color w:val="000000" w:themeColor="text1"/>
                <w:sz w:val="20"/>
                <w:szCs w:val="20"/>
              </w:rPr>
            </w:pPr>
            <w:r w:rsidRPr="00D32289">
              <w:rPr>
                <w:b/>
                <w:bCs/>
                <w:color w:val="000000" w:themeColor="text1"/>
                <w:sz w:val="20"/>
                <w:szCs w:val="20"/>
              </w:rPr>
              <w:t>P (&gt;</w:t>
            </w:r>
            <w:proofErr w:type="spellStart"/>
            <w:r w:rsidRPr="00D32289">
              <w:rPr>
                <w:b/>
                <w:bCs/>
                <w:color w:val="000000" w:themeColor="text1"/>
                <w:sz w:val="20"/>
                <w:szCs w:val="20"/>
              </w:rPr>
              <w:t>Chisq</w:t>
            </w:r>
            <w:proofErr w:type="spellEnd"/>
            <w:r w:rsidRPr="00D32289">
              <w:rPr>
                <w:b/>
                <w:bCs/>
                <w:color w:val="000000" w:themeColor="text1"/>
                <w:sz w:val="20"/>
                <w:szCs w:val="20"/>
              </w:rPr>
              <w:t>)</w:t>
            </w:r>
          </w:p>
        </w:tc>
      </w:tr>
      <w:tr w:rsidR="004D30B5" w:rsidRPr="004E160E" w14:paraId="1B1BC42D" w14:textId="77777777" w:rsidTr="00477B20">
        <w:tc>
          <w:tcPr>
            <w:tcW w:w="2155" w:type="dxa"/>
            <w:tcBorders>
              <w:left w:val="single" w:sz="4" w:space="0" w:color="FFFFFF" w:themeColor="background1"/>
              <w:bottom w:val="single" w:sz="4" w:space="0" w:color="F2F2F2" w:themeColor="background1" w:themeShade="F2"/>
              <w:right w:val="single" w:sz="4" w:space="0" w:color="F2F2F2" w:themeColor="background1" w:themeShade="F2"/>
            </w:tcBorders>
            <w:vAlign w:val="center"/>
          </w:tcPr>
          <w:p w14:paraId="71CE38E8" w14:textId="77777777" w:rsidR="004D30B5" w:rsidRPr="00D32289" w:rsidRDefault="004D30B5" w:rsidP="00477B20">
            <w:pPr>
              <w:jc w:val="center"/>
              <w:rPr>
                <w:color w:val="000000" w:themeColor="text1"/>
                <w:sz w:val="20"/>
                <w:szCs w:val="20"/>
              </w:rPr>
            </w:pPr>
            <w:r w:rsidRPr="00D32289">
              <w:rPr>
                <w:color w:val="000000" w:themeColor="text1"/>
                <w:sz w:val="20"/>
                <w:szCs w:val="20"/>
              </w:rPr>
              <w:t>[GH] Biomass</w:t>
            </w:r>
          </w:p>
        </w:tc>
        <w:tc>
          <w:tcPr>
            <w:tcW w:w="135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F6A1DD6" w14:textId="77777777" w:rsidR="004D30B5" w:rsidRPr="00D32289" w:rsidRDefault="004D30B5" w:rsidP="00477B20">
            <w:pPr>
              <w:jc w:val="center"/>
              <w:rPr>
                <w:color w:val="000000" w:themeColor="text1"/>
                <w:sz w:val="20"/>
                <w:szCs w:val="20"/>
              </w:rPr>
            </w:pPr>
            <w:r w:rsidRPr="00D32289">
              <w:rPr>
                <w:color w:val="000000" w:themeColor="text1"/>
                <w:sz w:val="20"/>
                <w:szCs w:val="20"/>
              </w:rPr>
              <w:t>1</w:t>
            </w:r>
          </w:p>
          <w:p w14:paraId="75075076" w14:textId="77777777" w:rsidR="004D30B5" w:rsidRPr="00D32289" w:rsidRDefault="004D30B5" w:rsidP="00477B20">
            <w:pPr>
              <w:jc w:val="center"/>
              <w:rPr>
                <w:color w:val="000000" w:themeColor="text1"/>
                <w:sz w:val="20"/>
                <w:szCs w:val="20"/>
              </w:rPr>
            </w:pPr>
            <w:r w:rsidRPr="00D32289">
              <w:rPr>
                <w:color w:val="000000" w:themeColor="text1"/>
                <w:sz w:val="20"/>
                <w:szCs w:val="20"/>
              </w:rPr>
              <w:t>2</w:t>
            </w:r>
          </w:p>
        </w:tc>
        <w:tc>
          <w:tcPr>
            <w:tcW w:w="126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4A6C823" w14:textId="77777777" w:rsidR="004D30B5" w:rsidRPr="00D32289" w:rsidRDefault="004D30B5" w:rsidP="00477B20">
            <w:pPr>
              <w:shd w:val="clear" w:color="auto" w:fill="FFFFFF"/>
              <w:jc w:val="center"/>
              <w:rPr>
                <w:color w:val="000000" w:themeColor="text1"/>
                <w:sz w:val="20"/>
                <w:szCs w:val="20"/>
              </w:rPr>
            </w:pPr>
            <w:r w:rsidRPr="00D32289">
              <w:rPr>
                <w:color w:val="000000" w:themeColor="text1"/>
                <w:sz w:val="20"/>
                <w:szCs w:val="20"/>
              </w:rPr>
              <w:t>Provenance</w:t>
            </w:r>
          </w:p>
          <w:p w14:paraId="7D58B78F" w14:textId="77777777" w:rsidR="004D30B5" w:rsidRPr="00D32289" w:rsidRDefault="004D30B5" w:rsidP="00477B20">
            <w:pPr>
              <w:shd w:val="clear" w:color="auto" w:fill="FFFFFF"/>
              <w:jc w:val="center"/>
              <w:rPr>
                <w:color w:val="000000" w:themeColor="text1"/>
                <w:sz w:val="20"/>
                <w:szCs w:val="20"/>
              </w:rPr>
            </w:pPr>
            <w:r w:rsidRPr="00D32289">
              <w:rPr>
                <w:color w:val="000000" w:themeColor="text1"/>
                <w:sz w:val="20"/>
                <w:szCs w:val="20"/>
              </w:rPr>
              <w:t>Null</w:t>
            </w:r>
          </w:p>
        </w:tc>
        <w:tc>
          <w:tcPr>
            <w:tcW w:w="126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F86E8C7" w14:textId="77777777" w:rsidR="004D30B5" w:rsidRPr="00D32289" w:rsidRDefault="004D30B5" w:rsidP="00477B20">
            <w:pPr>
              <w:shd w:val="clear" w:color="auto" w:fill="FFFFFF"/>
              <w:jc w:val="center"/>
              <w:rPr>
                <w:color w:val="000000" w:themeColor="text1"/>
                <w:sz w:val="20"/>
                <w:szCs w:val="20"/>
              </w:rPr>
            </w:pPr>
            <w:r w:rsidRPr="00D32289">
              <w:rPr>
                <w:color w:val="000000" w:themeColor="text1"/>
                <w:sz w:val="20"/>
                <w:szCs w:val="20"/>
              </w:rPr>
              <w:t>4653.1</w:t>
            </w:r>
          </w:p>
          <w:p w14:paraId="059CEFA4" w14:textId="77777777" w:rsidR="004D30B5" w:rsidRPr="00D32289" w:rsidRDefault="004D30B5" w:rsidP="00477B20">
            <w:pPr>
              <w:shd w:val="clear" w:color="auto" w:fill="FFFFFF"/>
              <w:jc w:val="center"/>
              <w:rPr>
                <w:color w:val="000000" w:themeColor="text1"/>
                <w:sz w:val="20"/>
                <w:szCs w:val="20"/>
              </w:rPr>
            </w:pPr>
            <w:r w:rsidRPr="00D32289">
              <w:rPr>
                <w:color w:val="000000" w:themeColor="text1"/>
                <w:sz w:val="20"/>
                <w:szCs w:val="20"/>
              </w:rPr>
              <w:t>4667.1</w:t>
            </w:r>
          </w:p>
        </w:tc>
        <w:tc>
          <w:tcPr>
            <w:tcW w:w="135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0A215C8" w14:textId="77777777" w:rsidR="004D30B5" w:rsidRPr="00D32289" w:rsidRDefault="004D30B5" w:rsidP="00477B20">
            <w:pPr>
              <w:shd w:val="clear" w:color="auto" w:fill="FFFFFF"/>
              <w:jc w:val="center"/>
              <w:rPr>
                <w:color w:val="000000" w:themeColor="text1"/>
                <w:sz w:val="20"/>
                <w:szCs w:val="20"/>
              </w:rPr>
            </w:pPr>
            <w:r w:rsidRPr="00D32289">
              <w:rPr>
                <w:color w:val="000000" w:themeColor="text1"/>
                <w:sz w:val="20"/>
                <w:szCs w:val="20"/>
              </w:rPr>
              <w:t>17.99,2</w:t>
            </w:r>
          </w:p>
        </w:tc>
        <w:tc>
          <w:tcPr>
            <w:tcW w:w="1260" w:type="dxa"/>
            <w:tcBorders>
              <w:left w:val="single" w:sz="4" w:space="0" w:color="F2F2F2" w:themeColor="background1" w:themeShade="F2"/>
              <w:bottom w:val="single" w:sz="4" w:space="0" w:color="F2F2F2" w:themeColor="background1" w:themeShade="F2"/>
              <w:right w:val="single" w:sz="4" w:space="0" w:color="FFFFFF" w:themeColor="background1"/>
            </w:tcBorders>
            <w:vAlign w:val="center"/>
          </w:tcPr>
          <w:p w14:paraId="152A8422" w14:textId="77777777" w:rsidR="004D30B5" w:rsidRPr="00D32289" w:rsidRDefault="004D30B5" w:rsidP="00477B20">
            <w:pPr>
              <w:shd w:val="clear" w:color="auto" w:fill="FFFFFF"/>
              <w:jc w:val="center"/>
              <w:rPr>
                <w:b/>
                <w:bCs/>
                <w:color w:val="000000" w:themeColor="text1"/>
                <w:sz w:val="20"/>
                <w:szCs w:val="20"/>
              </w:rPr>
            </w:pPr>
            <w:r w:rsidRPr="00D32289">
              <w:rPr>
                <w:b/>
                <w:bCs/>
                <w:color w:val="000000" w:themeColor="text1"/>
                <w:sz w:val="20"/>
                <w:szCs w:val="20"/>
              </w:rPr>
              <w:t>0.000124</w:t>
            </w:r>
          </w:p>
        </w:tc>
      </w:tr>
      <w:tr w:rsidR="004D30B5" w:rsidRPr="004E160E" w14:paraId="28E9C65A" w14:textId="77777777" w:rsidTr="00477B20">
        <w:tc>
          <w:tcPr>
            <w:tcW w:w="2155" w:type="dxa"/>
            <w:tcBorders>
              <w:top w:val="single" w:sz="4" w:space="0" w:color="F2F2F2"/>
              <w:left w:val="single" w:sz="4" w:space="0" w:color="FFFFFF" w:themeColor="background1"/>
              <w:bottom w:val="single" w:sz="4" w:space="0" w:color="F2F2F2"/>
              <w:right w:val="single" w:sz="4" w:space="0" w:color="F2F2F2" w:themeColor="background1" w:themeShade="F2"/>
            </w:tcBorders>
            <w:vAlign w:val="center"/>
          </w:tcPr>
          <w:p w14:paraId="1341B231" w14:textId="77777777" w:rsidR="004D30B5" w:rsidRPr="00D32289" w:rsidRDefault="004D30B5" w:rsidP="00477B20">
            <w:pPr>
              <w:jc w:val="center"/>
              <w:rPr>
                <w:color w:val="000000" w:themeColor="text1"/>
                <w:sz w:val="20"/>
                <w:szCs w:val="20"/>
              </w:rPr>
            </w:pPr>
            <w:r w:rsidRPr="00D32289">
              <w:rPr>
                <w:color w:val="000000" w:themeColor="text1"/>
                <w:sz w:val="20"/>
                <w:szCs w:val="20"/>
              </w:rPr>
              <w:t>[GH] Stomatal Density</w:t>
            </w:r>
          </w:p>
        </w:tc>
        <w:tc>
          <w:tcPr>
            <w:tcW w:w="1350" w:type="dxa"/>
            <w:tcBorders>
              <w:top w:val="single" w:sz="4" w:space="0" w:color="F2F2F2"/>
              <w:left w:val="single" w:sz="4" w:space="0" w:color="F2F2F2" w:themeColor="background1" w:themeShade="F2"/>
              <w:bottom w:val="single" w:sz="4" w:space="0" w:color="F2F2F2"/>
              <w:right w:val="single" w:sz="4" w:space="0" w:color="F2F2F2" w:themeColor="background1" w:themeShade="F2"/>
            </w:tcBorders>
            <w:vAlign w:val="center"/>
          </w:tcPr>
          <w:p w14:paraId="5A5DABFC" w14:textId="77777777" w:rsidR="004D30B5" w:rsidRPr="00D32289" w:rsidRDefault="004D30B5" w:rsidP="00477B20">
            <w:pPr>
              <w:jc w:val="center"/>
              <w:rPr>
                <w:color w:val="000000" w:themeColor="text1"/>
                <w:sz w:val="20"/>
                <w:szCs w:val="20"/>
              </w:rPr>
            </w:pPr>
            <w:r w:rsidRPr="00D32289">
              <w:rPr>
                <w:color w:val="000000" w:themeColor="text1"/>
                <w:sz w:val="20"/>
                <w:szCs w:val="20"/>
              </w:rPr>
              <w:t>1</w:t>
            </w:r>
          </w:p>
          <w:p w14:paraId="569BC680" w14:textId="77777777" w:rsidR="004D30B5" w:rsidRPr="00D32289" w:rsidRDefault="004D30B5" w:rsidP="00477B20">
            <w:pPr>
              <w:jc w:val="center"/>
              <w:rPr>
                <w:color w:val="000000" w:themeColor="text1"/>
                <w:sz w:val="20"/>
                <w:szCs w:val="20"/>
              </w:rPr>
            </w:pPr>
            <w:r w:rsidRPr="00D32289">
              <w:rPr>
                <w:color w:val="000000" w:themeColor="text1"/>
                <w:sz w:val="20"/>
                <w:szCs w:val="20"/>
              </w:rPr>
              <w:t>2</w:t>
            </w:r>
          </w:p>
        </w:tc>
        <w:tc>
          <w:tcPr>
            <w:tcW w:w="1260" w:type="dxa"/>
            <w:tcBorders>
              <w:top w:val="single" w:sz="4" w:space="0" w:color="F2F2F2"/>
              <w:left w:val="single" w:sz="4" w:space="0" w:color="F2F2F2" w:themeColor="background1" w:themeShade="F2"/>
              <w:bottom w:val="single" w:sz="4" w:space="0" w:color="F2F2F2"/>
              <w:right w:val="single" w:sz="4" w:space="0" w:color="F2F2F2" w:themeColor="background1" w:themeShade="F2"/>
            </w:tcBorders>
            <w:vAlign w:val="center"/>
          </w:tcPr>
          <w:p w14:paraId="311B022E" w14:textId="77777777" w:rsidR="004D30B5" w:rsidRPr="00D32289" w:rsidRDefault="004D30B5" w:rsidP="00477B20">
            <w:pPr>
              <w:jc w:val="center"/>
              <w:rPr>
                <w:color w:val="000000" w:themeColor="text1"/>
                <w:sz w:val="20"/>
                <w:szCs w:val="20"/>
              </w:rPr>
            </w:pPr>
            <w:r w:rsidRPr="00D32289">
              <w:rPr>
                <w:color w:val="000000" w:themeColor="text1"/>
                <w:sz w:val="20"/>
                <w:szCs w:val="20"/>
              </w:rPr>
              <w:t>Provenance</w:t>
            </w:r>
          </w:p>
          <w:p w14:paraId="742F64D7"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rPr>
              <w:t>Null</w:t>
            </w:r>
          </w:p>
        </w:tc>
        <w:tc>
          <w:tcPr>
            <w:tcW w:w="1260" w:type="dxa"/>
            <w:tcBorders>
              <w:top w:val="single" w:sz="4" w:space="0" w:color="F2F2F2"/>
              <w:left w:val="single" w:sz="4" w:space="0" w:color="F2F2F2" w:themeColor="background1" w:themeShade="F2"/>
              <w:bottom w:val="single" w:sz="4" w:space="0" w:color="F2F2F2"/>
              <w:right w:val="single" w:sz="4" w:space="0" w:color="F2F2F2" w:themeColor="background1" w:themeShade="F2"/>
            </w:tcBorders>
            <w:vAlign w:val="center"/>
          </w:tcPr>
          <w:p w14:paraId="593C8CE8"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785.9</w:t>
            </w:r>
          </w:p>
          <w:p w14:paraId="02F6836A"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791.94</w:t>
            </w:r>
          </w:p>
        </w:tc>
        <w:tc>
          <w:tcPr>
            <w:tcW w:w="1350" w:type="dxa"/>
            <w:tcBorders>
              <w:top w:val="single" w:sz="4" w:space="0" w:color="F2F2F2"/>
              <w:left w:val="single" w:sz="4" w:space="0" w:color="F2F2F2" w:themeColor="background1" w:themeShade="F2"/>
              <w:bottom w:val="single" w:sz="4" w:space="0" w:color="F2F2F2"/>
              <w:right w:val="single" w:sz="4" w:space="0" w:color="F2F2F2" w:themeColor="background1" w:themeShade="F2"/>
            </w:tcBorders>
            <w:vAlign w:val="center"/>
          </w:tcPr>
          <w:p w14:paraId="461C38E6"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10.04,2</w:t>
            </w:r>
          </w:p>
        </w:tc>
        <w:tc>
          <w:tcPr>
            <w:tcW w:w="1260" w:type="dxa"/>
            <w:tcBorders>
              <w:top w:val="single" w:sz="4" w:space="0" w:color="F2F2F2"/>
              <w:left w:val="single" w:sz="4" w:space="0" w:color="F2F2F2" w:themeColor="background1" w:themeShade="F2"/>
              <w:bottom w:val="single" w:sz="4" w:space="0" w:color="F2F2F2"/>
              <w:right w:val="single" w:sz="4" w:space="0" w:color="FFFFFF" w:themeColor="background1"/>
            </w:tcBorders>
            <w:vAlign w:val="center"/>
          </w:tcPr>
          <w:p w14:paraId="43BF9CA9" w14:textId="77777777" w:rsidR="004D30B5" w:rsidRPr="00D32289" w:rsidRDefault="004D30B5" w:rsidP="00477B20">
            <w:pPr>
              <w:jc w:val="center"/>
              <w:rPr>
                <w:b/>
                <w:bCs/>
                <w:color w:val="000000" w:themeColor="text1"/>
                <w:sz w:val="20"/>
                <w:szCs w:val="20"/>
              </w:rPr>
            </w:pPr>
            <w:r w:rsidRPr="00D32289">
              <w:rPr>
                <w:b/>
                <w:bCs/>
                <w:color w:val="000000" w:themeColor="text1"/>
                <w:sz w:val="20"/>
                <w:szCs w:val="20"/>
                <w:shd w:val="clear" w:color="auto" w:fill="FFFFFF"/>
              </w:rPr>
              <w:t>0.0066</w:t>
            </w:r>
          </w:p>
        </w:tc>
      </w:tr>
      <w:tr w:rsidR="004D30B5" w:rsidRPr="004E160E" w14:paraId="35DCD52D" w14:textId="77777777" w:rsidTr="00477B20">
        <w:tc>
          <w:tcPr>
            <w:tcW w:w="2155" w:type="dxa"/>
            <w:tcBorders>
              <w:top w:val="single" w:sz="4" w:space="0" w:color="F2F2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2B6B450F" w14:textId="77777777" w:rsidR="004D30B5" w:rsidRPr="00D32289" w:rsidRDefault="004D30B5" w:rsidP="00477B20">
            <w:pPr>
              <w:jc w:val="center"/>
              <w:rPr>
                <w:color w:val="000000" w:themeColor="text1"/>
                <w:sz w:val="20"/>
                <w:szCs w:val="20"/>
              </w:rPr>
            </w:pPr>
            <w:r w:rsidRPr="00D32289">
              <w:rPr>
                <w:color w:val="000000" w:themeColor="text1"/>
                <w:sz w:val="20"/>
                <w:szCs w:val="20"/>
              </w:rPr>
              <w:t>[GH] Stomatal Ratio</w:t>
            </w:r>
          </w:p>
        </w:tc>
        <w:tc>
          <w:tcPr>
            <w:tcW w:w="1350" w:type="dxa"/>
            <w:tcBorders>
              <w:top w:val="single" w:sz="4" w:space="0" w:color="F2F2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D452C89" w14:textId="77777777" w:rsidR="004D30B5" w:rsidRPr="00D32289" w:rsidRDefault="004D30B5" w:rsidP="00477B20">
            <w:pPr>
              <w:jc w:val="center"/>
              <w:rPr>
                <w:color w:val="000000" w:themeColor="text1"/>
                <w:sz w:val="20"/>
                <w:szCs w:val="20"/>
              </w:rPr>
            </w:pPr>
            <w:r w:rsidRPr="00D32289">
              <w:rPr>
                <w:color w:val="000000" w:themeColor="text1"/>
                <w:sz w:val="20"/>
                <w:szCs w:val="20"/>
              </w:rPr>
              <w:t>1</w:t>
            </w:r>
          </w:p>
          <w:p w14:paraId="71CA66AC" w14:textId="77777777" w:rsidR="004D30B5" w:rsidRPr="00D32289" w:rsidRDefault="004D30B5" w:rsidP="00477B20">
            <w:pPr>
              <w:jc w:val="center"/>
              <w:rPr>
                <w:color w:val="000000" w:themeColor="text1"/>
                <w:sz w:val="20"/>
                <w:szCs w:val="20"/>
              </w:rPr>
            </w:pPr>
            <w:r w:rsidRPr="00D32289">
              <w:rPr>
                <w:color w:val="000000" w:themeColor="text1"/>
                <w:sz w:val="20"/>
                <w:szCs w:val="20"/>
              </w:rPr>
              <w:t>2</w:t>
            </w:r>
          </w:p>
        </w:tc>
        <w:tc>
          <w:tcPr>
            <w:tcW w:w="1260" w:type="dxa"/>
            <w:tcBorders>
              <w:top w:val="single" w:sz="4" w:space="0" w:color="F2F2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CD1CBB1" w14:textId="77777777" w:rsidR="004D30B5" w:rsidRPr="00D32289" w:rsidRDefault="004D30B5" w:rsidP="00477B20">
            <w:pPr>
              <w:jc w:val="center"/>
              <w:rPr>
                <w:color w:val="000000" w:themeColor="text1"/>
                <w:sz w:val="20"/>
                <w:szCs w:val="20"/>
              </w:rPr>
            </w:pPr>
            <w:r w:rsidRPr="00D32289">
              <w:rPr>
                <w:color w:val="000000" w:themeColor="text1"/>
                <w:sz w:val="20"/>
                <w:szCs w:val="20"/>
              </w:rPr>
              <w:t>Provenance</w:t>
            </w:r>
          </w:p>
          <w:p w14:paraId="17804535"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rPr>
              <w:t>Null</w:t>
            </w:r>
          </w:p>
        </w:tc>
        <w:tc>
          <w:tcPr>
            <w:tcW w:w="1260" w:type="dxa"/>
            <w:tcBorders>
              <w:top w:val="single" w:sz="4" w:space="0" w:color="F2F2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EEBB821"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-19.785</w:t>
            </w:r>
          </w:p>
          <w:p w14:paraId="24039478"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-19.233</w:t>
            </w:r>
          </w:p>
        </w:tc>
        <w:tc>
          <w:tcPr>
            <w:tcW w:w="1350" w:type="dxa"/>
            <w:tcBorders>
              <w:top w:val="single" w:sz="4" w:space="0" w:color="F2F2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8638833"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4.563,2</w:t>
            </w:r>
          </w:p>
        </w:tc>
        <w:tc>
          <w:tcPr>
            <w:tcW w:w="1260" w:type="dxa"/>
            <w:tcBorders>
              <w:top w:val="single" w:sz="4" w:space="0" w:color="F2F2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5D6CE6BD" w14:textId="77777777" w:rsidR="004D30B5" w:rsidRPr="00D32289" w:rsidRDefault="004D30B5" w:rsidP="00477B20">
            <w:pPr>
              <w:jc w:val="center"/>
              <w:rPr>
                <w:color w:val="000000" w:themeColor="text1"/>
                <w:sz w:val="20"/>
                <w:szCs w:val="20"/>
              </w:rPr>
            </w:pPr>
            <w:r w:rsidRPr="00D32289">
              <w:rPr>
                <w:color w:val="000000" w:themeColor="text1"/>
                <w:sz w:val="20"/>
                <w:szCs w:val="20"/>
                <w:shd w:val="clear" w:color="auto" w:fill="FFFFFF"/>
              </w:rPr>
              <w:t>0.102</w:t>
            </w:r>
          </w:p>
        </w:tc>
      </w:tr>
      <w:tr w:rsidR="004D30B5" w:rsidRPr="004E160E" w14:paraId="03AABC73" w14:textId="77777777" w:rsidTr="00477B20">
        <w:tc>
          <w:tcPr>
            <w:tcW w:w="2155"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73EAE421" w14:textId="77777777" w:rsidR="004D30B5" w:rsidRPr="00D32289" w:rsidRDefault="004D30B5" w:rsidP="00477B20">
            <w:pPr>
              <w:jc w:val="center"/>
              <w:rPr>
                <w:color w:val="000000" w:themeColor="text1"/>
                <w:sz w:val="20"/>
                <w:szCs w:val="20"/>
              </w:rPr>
            </w:pPr>
            <w:r w:rsidRPr="00D32289">
              <w:rPr>
                <w:color w:val="000000" w:themeColor="text1"/>
                <w:sz w:val="20"/>
                <w:szCs w:val="20"/>
              </w:rPr>
              <w:t>[GH] Abaxial Pore Length</w:t>
            </w:r>
          </w:p>
        </w:tc>
        <w:tc>
          <w:tcPr>
            <w:tcW w:w="135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53EBC74" w14:textId="77777777" w:rsidR="004D30B5" w:rsidRPr="00D32289" w:rsidRDefault="004D30B5" w:rsidP="00477B20">
            <w:pPr>
              <w:jc w:val="center"/>
              <w:rPr>
                <w:color w:val="000000" w:themeColor="text1"/>
                <w:sz w:val="20"/>
                <w:szCs w:val="20"/>
              </w:rPr>
            </w:pPr>
            <w:r w:rsidRPr="00D32289">
              <w:rPr>
                <w:color w:val="000000" w:themeColor="text1"/>
                <w:sz w:val="20"/>
                <w:szCs w:val="20"/>
              </w:rPr>
              <w:t>1</w:t>
            </w:r>
          </w:p>
          <w:p w14:paraId="22D0685D" w14:textId="77777777" w:rsidR="004D30B5" w:rsidRPr="00D32289" w:rsidRDefault="004D30B5" w:rsidP="00477B20">
            <w:pPr>
              <w:jc w:val="center"/>
              <w:rPr>
                <w:color w:val="000000" w:themeColor="text1"/>
                <w:sz w:val="20"/>
                <w:szCs w:val="20"/>
              </w:rPr>
            </w:pPr>
            <w:r w:rsidRPr="00D32289">
              <w:rPr>
                <w:color w:val="000000" w:themeColor="text1"/>
                <w:sz w:val="20"/>
                <w:szCs w:val="20"/>
              </w:rPr>
              <w:t>2</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040706F" w14:textId="77777777" w:rsidR="004D30B5" w:rsidRPr="00D32289" w:rsidRDefault="004D30B5" w:rsidP="00477B20">
            <w:pPr>
              <w:jc w:val="center"/>
              <w:rPr>
                <w:color w:val="000000" w:themeColor="text1"/>
                <w:sz w:val="20"/>
                <w:szCs w:val="20"/>
              </w:rPr>
            </w:pPr>
            <w:r w:rsidRPr="00D32289">
              <w:rPr>
                <w:color w:val="000000" w:themeColor="text1"/>
                <w:sz w:val="20"/>
                <w:szCs w:val="20"/>
              </w:rPr>
              <w:t>Provenance</w:t>
            </w:r>
          </w:p>
          <w:p w14:paraId="33261217"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rPr>
              <w:t>Null</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5690C5EF"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168.14</w:t>
            </w:r>
          </w:p>
          <w:p w14:paraId="0B0649E7"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168.9</w:t>
            </w:r>
          </w:p>
        </w:tc>
        <w:tc>
          <w:tcPr>
            <w:tcW w:w="135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B4DE1DC"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4.755,2</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45DE7E94" w14:textId="77777777" w:rsidR="004D30B5" w:rsidRPr="00D32289" w:rsidRDefault="004D30B5" w:rsidP="00477B20">
            <w:pPr>
              <w:jc w:val="center"/>
              <w:rPr>
                <w:color w:val="000000" w:themeColor="text1"/>
                <w:sz w:val="20"/>
                <w:szCs w:val="20"/>
              </w:rPr>
            </w:pPr>
            <w:r w:rsidRPr="00D32289">
              <w:rPr>
                <w:color w:val="000000" w:themeColor="text1"/>
                <w:sz w:val="20"/>
                <w:szCs w:val="20"/>
                <w:shd w:val="clear" w:color="auto" w:fill="FFFFFF"/>
              </w:rPr>
              <w:t>0.093</w:t>
            </w:r>
          </w:p>
        </w:tc>
      </w:tr>
      <w:tr w:rsidR="004D30B5" w:rsidRPr="004E160E" w14:paraId="5595F95F" w14:textId="77777777" w:rsidTr="00477B20">
        <w:tc>
          <w:tcPr>
            <w:tcW w:w="2155"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480C4299" w14:textId="77777777" w:rsidR="004D30B5" w:rsidRPr="00D32289" w:rsidRDefault="004D30B5" w:rsidP="00477B20">
            <w:pPr>
              <w:jc w:val="center"/>
              <w:rPr>
                <w:color w:val="000000" w:themeColor="text1"/>
                <w:sz w:val="20"/>
                <w:szCs w:val="20"/>
              </w:rPr>
            </w:pPr>
            <w:r w:rsidRPr="00D32289">
              <w:rPr>
                <w:color w:val="000000" w:themeColor="text1"/>
                <w:sz w:val="20"/>
                <w:szCs w:val="20"/>
              </w:rPr>
              <w:t>[F] Biomass</w:t>
            </w:r>
          </w:p>
        </w:tc>
        <w:tc>
          <w:tcPr>
            <w:tcW w:w="135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963B19D" w14:textId="77777777" w:rsidR="004D30B5" w:rsidRPr="00D32289" w:rsidRDefault="004D30B5" w:rsidP="00477B20">
            <w:pPr>
              <w:jc w:val="center"/>
              <w:rPr>
                <w:color w:val="000000" w:themeColor="text1"/>
                <w:sz w:val="20"/>
                <w:szCs w:val="20"/>
              </w:rPr>
            </w:pPr>
            <w:r w:rsidRPr="00D32289">
              <w:rPr>
                <w:color w:val="000000" w:themeColor="text1"/>
                <w:sz w:val="20"/>
                <w:szCs w:val="20"/>
              </w:rPr>
              <w:t>1</w:t>
            </w:r>
          </w:p>
          <w:p w14:paraId="20A19932" w14:textId="77777777" w:rsidR="004D30B5" w:rsidRPr="00D32289" w:rsidRDefault="004D30B5" w:rsidP="00477B20">
            <w:pPr>
              <w:jc w:val="center"/>
              <w:rPr>
                <w:color w:val="000000" w:themeColor="text1"/>
                <w:sz w:val="20"/>
                <w:szCs w:val="20"/>
              </w:rPr>
            </w:pPr>
            <w:r w:rsidRPr="00D32289">
              <w:rPr>
                <w:color w:val="000000" w:themeColor="text1"/>
                <w:sz w:val="20"/>
                <w:szCs w:val="20"/>
              </w:rPr>
              <w:t>2</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27EDFBD" w14:textId="77777777" w:rsidR="004D30B5" w:rsidRPr="00D32289" w:rsidRDefault="004D30B5" w:rsidP="00477B20">
            <w:pPr>
              <w:jc w:val="center"/>
              <w:rPr>
                <w:color w:val="000000" w:themeColor="text1"/>
                <w:sz w:val="20"/>
                <w:szCs w:val="20"/>
              </w:rPr>
            </w:pPr>
            <w:r w:rsidRPr="00D32289">
              <w:rPr>
                <w:color w:val="000000" w:themeColor="text1"/>
                <w:sz w:val="20"/>
                <w:szCs w:val="20"/>
              </w:rPr>
              <w:t>Provenance</w:t>
            </w:r>
          </w:p>
          <w:p w14:paraId="085A47EE"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rPr>
              <w:t>Null</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A862917"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2140.8</w:t>
            </w:r>
          </w:p>
          <w:p w14:paraId="57E31099"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2144.1</w:t>
            </w:r>
          </w:p>
        </w:tc>
        <w:tc>
          <w:tcPr>
            <w:tcW w:w="135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D00B518"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7.273,2</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5F3028B1" w14:textId="77777777" w:rsidR="004D30B5" w:rsidRPr="00D32289" w:rsidRDefault="004D30B5" w:rsidP="00477B20">
            <w:pPr>
              <w:jc w:val="center"/>
              <w:rPr>
                <w:b/>
                <w:bCs/>
                <w:color w:val="000000" w:themeColor="text1"/>
                <w:sz w:val="20"/>
                <w:szCs w:val="20"/>
              </w:rPr>
            </w:pPr>
            <w:r w:rsidRPr="00D32289">
              <w:rPr>
                <w:b/>
                <w:bCs/>
                <w:color w:val="000000" w:themeColor="text1"/>
                <w:sz w:val="20"/>
                <w:szCs w:val="20"/>
              </w:rPr>
              <w:t>0.0263</w:t>
            </w:r>
          </w:p>
        </w:tc>
      </w:tr>
      <w:tr w:rsidR="004D30B5" w:rsidRPr="004E160E" w14:paraId="571111C1" w14:textId="77777777" w:rsidTr="00477B20">
        <w:tc>
          <w:tcPr>
            <w:tcW w:w="2155"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758CA101" w14:textId="77777777" w:rsidR="004D30B5" w:rsidRPr="00D32289" w:rsidRDefault="004D30B5" w:rsidP="00477B20">
            <w:pPr>
              <w:jc w:val="center"/>
              <w:rPr>
                <w:color w:val="000000" w:themeColor="text1"/>
                <w:sz w:val="20"/>
                <w:szCs w:val="20"/>
              </w:rPr>
            </w:pPr>
            <w:r w:rsidRPr="00D32289">
              <w:rPr>
                <w:color w:val="000000" w:themeColor="text1"/>
                <w:sz w:val="20"/>
                <w:szCs w:val="20"/>
              </w:rPr>
              <w:t>[F] Stomatal Density</w:t>
            </w:r>
          </w:p>
        </w:tc>
        <w:tc>
          <w:tcPr>
            <w:tcW w:w="135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F0987FE" w14:textId="77777777" w:rsidR="004D30B5" w:rsidRPr="00D32289" w:rsidRDefault="004D30B5" w:rsidP="00477B20">
            <w:pPr>
              <w:jc w:val="center"/>
              <w:rPr>
                <w:color w:val="000000" w:themeColor="text1"/>
                <w:sz w:val="20"/>
                <w:szCs w:val="20"/>
              </w:rPr>
            </w:pPr>
            <w:r w:rsidRPr="00D32289">
              <w:rPr>
                <w:color w:val="000000" w:themeColor="text1"/>
                <w:sz w:val="20"/>
                <w:szCs w:val="20"/>
              </w:rPr>
              <w:t>1</w:t>
            </w:r>
          </w:p>
          <w:p w14:paraId="1BB2F304" w14:textId="77777777" w:rsidR="004D30B5" w:rsidRPr="00D32289" w:rsidRDefault="004D30B5" w:rsidP="00477B20">
            <w:pPr>
              <w:jc w:val="center"/>
              <w:rPr>
                <w:color w:val="000000" w:themeColor="text1"/>
                <w:sz w:val="20"/>
                <w:szCs w:val="20"/>
              </w:rPr>
            </w:pPr>
            <w:r w:rsidRPr="00D32289">
              <w:rPr>
                <w:color w:val="000000" w:themeColor="text1"/>
                <w:sz w:val="20"/>
                <w:szCs w:val="20"/>
              </w:rPr>
              <w:t>2</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B21AED4" w14:textId="77777777" w:rsidR="004D30B5" w:rsidRPr="00D32289" w:rsidRDefault="004D30B5" w:rsidP="00477B20">
            <w:pPr>
              <w:jc w:val="center"/>
              <w:rPr>
                <w:color w:val="000000" w:themeColor="text1"/>
                <w:sz w:val="20"/>
                <w:szCs w:val="20"/>
              </w:rPr>
            </w:pPr>
            <w:r w:rsidRPr="00D32289">
              <w:rPr>
                <w:color w:val="000000" w:themeColor="text1"/>
                <w:sz w:val="20"/>
                <w:szCs w:val="20"/>
              </w:rPr>
              <w:t>Provenance</w:t>
            </w:r>
          </w:p>
          <w:p w14:paraId="163CD4B5"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rPr>
              <w:t>Null</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6B8E77D"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874.97</w:t>
            </w:r>
          </w:p>
          <w:p w14:paraId="6E95880A"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872.62</w:t>
            </w:r>
          </w:p>
        </w:tc>
        <w:tc>
          <w:tcPr>
            <w:tcW w:w="135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990DB78"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1.646,2</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454083E7" w14:textId="77777777" w:rsidR="004D30B5" w:rsidRPr="00D32289" w:rsidRDefault="004D30B5" w:rsidP="00477B20">
            <w:pPr>
              <w:jc w:val="center"/>
              <w:rPr>
                <w:color w:val="000000" w:themeColor="text1"/>
                <w:sz w:val="20"/>
                <w:szCs w:val="20"/>
              </w:rPr>
            </w:pPr>
            <w:r w:rsidRPr="00D32289">
              <w:rPr>
                <w:color w:val="000000" w:themeColor="text1"/>
                <w:sz w:val="20"/>
                <w:szCs w:val="20"/>
                <w:shd w:val="clear" w:color="auto" w:fill="FFFFFF"/>
              </w:rPr>
              <w:t>0.439</w:t>
            </w:r>
          </w:p>
        </w:tc>
      </w:tr>
      <w:tr w:rsidR="004D30B5" w:rsidRPr="004E160E" w14:paraId="54DD4686" w14:textId="77777777" w:rsidTr="00477B20">
        <w:tc>
          <w:tcPr>
            <w:tcW w:w="2155"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44E2F4FA" w14:textId="77777777" w:rsidR="004D30B5" w:rsidRPr="00D32289" w:rsidRDefault="004D30B5" w:rsidP="00477B20">
            <w:pPr>
              <w:jc w:val="center"/>
              <w:rPr>
                <w:color w:val="000000" w:themeColor="text1"/>
                <w:sz w:val="20"/>
                <w:szCs w:val="20"/>
              </w:rPr>
            </w:pPr>
            <w:r w:rsidRPr="00D32289">
              <w:rPr>
                <w:color w:val="000000" w:themeColor="text1"/>
                <w:sz w:val="20"/>
                <w:szCs w:val="20"/>
              </w:rPr>
              <w:t>[F Stomatal Ratio</w:t>
            </w:r>
          </w:p>
        </w:tc>
        <w:tc>
          <w:tcPr>
            <w:tcW w:w="135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51DCE8D2" w14:textId="77777777" w:rsidR="004D30B5" w:rsidRPr="00D32289" w:rsidRDefault="004D30B5" w:rsidP="00477B20">
            <w:pPr>
              <w:jc w:val="center"/>
              <w:rPr>
                <w:color w:val="000000" w:themeColor="text1"/>
                <w:sz w:val="20"/>
                <w:szCs w:val="20"/>
              </w:rPr>
            </w:pPr>
            <w:r w:rsidRPr="00D32289">
              <w:rPr>
                <w:color w:val="000000" w:themeColor="text1"/>
                <w:sz w:val="20"/>
                <w:szCs w:val="20"/>
              </w:rPr>
              <w:t>1</w:t>
            </w:r>
          </w:p>
          <w:p w14:paraId="22DC9D81" w14:textId="77777777" w:rsidR="004D30B5" w:rsidRPr="00D32289" w:rsidRDefault="004D30B5" w:rsidP="00477B20">
            <w:pPr>
              <w:jc w:val="center"/>
              <w:rPr>
                <w:color w:val="000000" w:themeColor="text1"/>
                <w:sz w:val="20"/>
                <w:szCs w:val="20"/>
              </w:rPr>
            </w:pPr>
            <w:r w:rsidRPr="00D32289">
              <w:rPr>
                <w:color w:val="000000" w:themeColor="text1"/>
                <w:sz w:val="20"/>
                <w:szCs w:val="20"/>
              </w:rPr>
              <w:t>2</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4930FD8" w14:textId="77777777" w:rsidR="004D30B5" w:rsidRPr="00D32289" w:rsidRDefault="004D30B5" w:rsidP="00477B20">
            <w:pPr>
              <w:jc w:val="center"/>
              <w:rPr>
                <w:color w:val="000000" w:themeColor="text1"/>
                <w:sz w:val="20"/>
                <w:szCs w:val="20"/>
              </w:rPr>
            </w:pPr>
            <w:r w:rsidRPr="00D32289">
              <w:rPr>
                <w:color w:val="000000" w:themeColor="text1"/>
                <w:sz w:val="20"/>
                <w:szCs w:val="20"/>
              </w:rPr>
              <w:t>Provenance</w:t>
            </w:r>
          </w:p>
          <w:p w14:paraId="18D38ADE"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rPr>
              <w:t>Null</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6831F5F"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-138.44</w:t>
            </w:r>
          </w:p>
          <w:p w14:paraId="6F57463E"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-129.94</w:t>
            </w:r>
          </w:p>
        </w:tc>
        <w:tc>
          <w:tcPr>
            <w:tcW w:w="135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22EA459"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12.502,2</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5263AC7E" w14:textId="77777777" w:rsidR="004D30B5" w:rsidRPr="00D32289" w:rsidRDefault="004D30B5" w:rsidP="00477B20">
            <w:pPr>
              <w:jc w:val="center"/>
              <w:rPr>
                <w:b/>
                <w:bCs/>
                <w:color w:val="000000" w:themeColor="text1"/>
                <w:sz w:val="20"/>
                <w:szCs w:val="20"/>
              </w:rPr>
            </w:pPr>
            <w:r w:rsidRPr="00D32289">
              <w:rPr>
                <w:b/>
                <w:bCs/>
                <w:color w:val="000000" w:themeColor="text1"/>
                <w:sz w:val="20"/>
                <w:szCs w:val="20"/>
                <w:shd w:val="clear" w:color="auto" w:fill="FFFFFF"/>
              </w:rPr>
              <w:t>0.00193</w:t>
            </w:r>
          </w:p>
        </w:tc>
      </w:tr>
      <w:tr w:rsidR="004D30B5" w:rsidRPr="004E160E" w14:paraId="60E46746" w14:textId="77777777" w:rsidTr="00477B20">
        <w:tc>
          <w:tcPr>
            <w:tcW w:w="2155" w:type="dxa"/>
            <w:tcBorders>
              <w:top w:val="single" w:sz="4" w:space="0" w:color="F2F2F2" w:themeColor="background1" w:themeShade="F2"/>
              <w:left w:val="single" w:sz="4" w:space="0" w:color="FFFFFF" w:themeColor="background1"/>
              <w:right w:val="single" w:sz="4" w:space="0" w:color="F2F2F2" w:themeColor="background1" w:themeShade="F2"/>
            </w:tcBorders>
            <w:vAlign w:val="center"/>
          </w:tcPr>
          <w:p w14:paraId="47E770F9" w14:textId="77777777" w:rsidR="004D30B5" w:rsidRPr="00D32289" w:rsidRDefault="004D30B5" w:rsidP="00477B20">
            <w:pPr>
              <w:jc w:val="center"/>
              <w:rPr>
                <w:color w:val="000000" w:themeColor="text1"/>
                <w:sz w:val="20"/>
                <w:szCs w:val="20"/>
              </w:rPr>
            </w:pPr>
            <w:r w:rsidRPr="00D32289">
              <w:rPr>
                <w:color w:val="000000" w:themeColor="text1"/>
                <w:sz w:val="20"/>
                <w:szCs w:val="20"/>
              </w:rPr>
              <w:t>[F] Abaxial Pore Length</w:t>
            </w:r>
          </w:p>
        </w:tc>
        <w:tc>
          <w:tcPr>
            <w:tcW w:w="135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14E5E8AF" w14:textId="77777777" w:rsidR="004D30B5" w:rsidRPr="00D32289" w:rsidRDefault="004D30B5" w:rsidP="00477B20">
            <w:pPr>
              <w:jc w:val="center"/>
              <w:rPr>
                <w:color w:val="000000" w:themeColor="text1"/>
                <w:sz w:val="20"/>
                <w:szCs w:val="20"/>
              </w:rPr>
            </w:pPr>
            <w:r w:rsidRPr="00D32289">
              <w:rPr>
                <w:color w:val="000000" w:themeColor="text1"/>
                <w:sz w:val="20"/>
                <w:szCs w:val="20"/>
              </w:rPr>
              <w:t>1</w:t>
            </w:r>
          </w:p>
          <w:p w14:paraId="531C4E73" w14:textId="77777777" w:rsidR="004D30B5" w:rsidRPr="00D32289" w:rsidRDefault="004D30B5" w:rsidP="00477B20">
            <w:pPr>
              <w:jc w:val="center"/>
              <w:rPr>
                <w:color w:val="000000" w:themeColor="text1"/>
                <w:sz w:val="20"/>
                <w:szCs w:val="20"/>
              </w:rPr>
            </w:pPr>
            <w:r w:rsidRPr="00D32289">
              <w:rPr>
                <w:color w:val="000000" w:themeColor="text1"/>
                <w:sz w:val="20"/>
                <w:szCs w:val="20"/>
              </w:rPr>
              <w:t>2</w:t>
            </w:r>
          </w:p>
        </w:tc>
        <w:tc>
          <w:tcPr>
            <w:tcW w:w="126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7FFA798D" w14:textId="77777777" w:rsidR="004D30B5" w:rsidRPr="00D32289" w:rsidRDefault="004D30B5" w:rsidP="00477B20">
            <w:pPr>
              <w:jc w:val="center"/>
              <w:rPr>
                <w:color w:val="000000" w:themeColor="text1"/>
                <w:sz w:val="20"/>
                <w:szCs w:val="20"/>
              </w:rPr>
            </w:pPr>
            <w:r w:rsidRPr="00D32289">
              <w:rPr>
                <w:color w:val="000000" w:themeColor="text1"/>
                <w:sz w:val="20"/>
                <w:szCs w:val="20"/>
              </w:rPr>
              <w:t>Provenance</w:t>
            </w:r>
          </w:p>
          <w:p w14:paraId="47160604"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rPr>
              <w:t>Null</w:t>
            </w:r>
          </w:p>
        </w:tc>
        <w:tc>
          <w:tcPr>
            <w:tcW w:w="126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32F1A198"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161.16</w:t>
            </w:r>
          </w:p>
          <w:p w14:paraId="7AD10B66"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164.34</w:t>
            </w:r>
          </w:p>
        </w:tc>
        <w:tc>
          <w:tcPr>
            <w:tcW w:w="135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40AF3753"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7.181,2</w:t>
            </w:r>
          </w:p>
        </w:tc>
        <w:tc>
          <w:tcPr>
            <w:tcW w:w="1260" w:type="dxa"/>
            <w:tcBorders>
              <w:top w:val="single" w:sz="4" w:space="0" w:color="F2F2F2" w:themeColor="background1" w:themeShade="F2"/>
              <w:left w:val="single" w:sz="4" w:space="0" w:color="F2F2F2" w:themeColor="background1" w:themeShade="F2"/>
              <w:right w:val="single" w:sz="4" w:space="0" w:color="FFFFFF" w:themeColor="background1"/>
            </w:tcBorders>
            <w:vAlign w:val="center"/>
          </w:tcPr>
          <w:p w14:paraId="1CEA3AF4" w14:textId="77777777" w:rsidR="004D30B5" w:rsidRPr="00D32289" w:rsidRDefault="004D30B5" w:rsidP="00477B20">
            <w:pPr>
              <w:jc w:val="center"/>
              <w:rPr>
                <w:b/>
                <w:bCs/>
                <w:color w:val="000000" w:themeColor="text1"/>
                <w:sz w:val="20"/>
                <w:szCs w:val="20"/>
                <w:shd w:val="clear" w:color="auto" w:fill="FFFFFF"/>
              </w:rPr>
            </w:pPr>
            <w:r w:rsidRPr="00D32289">
              <w:rPr>
                <w:b/>
                <w:bCs/>
                <w:color w:val="000000" w:themeColor="text1"/>
                <w:sz w:val="20"/>
                <w:szCs w:val="20"/>
                <w:shd w:val="clear" w:color="auto" w:fill="FFFFFF"/>
              </w:rPr>
              <w:t>0.0280</w:t>
            </w:r>
          </w:p>
        </w:tc>
      </w:tr>
    </w:tbl>
    <w:p w14:paraId="507687D5" w14:textId="31C367D1" w:rsidR="007F0173" w:rsidRDefault="007F0173" w:rsidP="005E54E2"/>
    <w:p w14:paraId="0C2B0B2A" w14:textId="4418EB64" w:rsidR="00975E37" w:rsidRPr="00DF7C87" w:rsidRDefault="007F0173" w:rsidP="005E54E2">
      <w:r>
        <w:br w:type="page"/>
      </w:r>
    </w:p>
    <w:p w14:paraId="6A58133C" w14:textId="29DE704D" w:rsidR="00975E37" w:rsidRPr="00E443E3" w:rsidRDefault="00975E37" w:rsidP="00A51466">
      <w:pPr>
        <w:pStyle w:val="Caption"/>
        <w:jc w:val="both"/>
        <w:rPr>
          <w:sz w:val="22"/>
          <w:szCs w:val="22"/>
        </w:rPr>
      </w:pPr>
      <w:bookmarkStart w:id="22" w:name="_Toc289175850"/>
      <w:bookmarkStart w:id="23" w:name="_Toc88053988"/>
      <w:r w:rsidRPr="00E443E3">
        <w:rPr>
          <w:sz w:val="22"/>
          <w:szCs w:val="22"/>
        </w:rPr>
        <w:lastRenderedPageBreak/>
        <w:t xml:space="preserve">Table </w:t>
      </w:r>
      <w:r w:rsidR="000D0B9C" w:rsidRPr="00E443E3">
        <w:rPr>
          <w:sz w:val="22"/>
          <w:szCs w:val="22"/>
        </w:rPr>
        <w:fldChar w:fldCharType="begin"/>
      </w:r>
      <w:r w:rsidR="000D0B9C" w:rsidRPr="00E443E3">
        <w:rPr>
          <w:sz w:val="22"/>
          <w:szCs w:val="22"/>
        </w:rPr>
        <w:instrText xml:space="preserve"> SEQ Table \* ARABIC </w:instrText>
      </w:r>
      <w:r w:rsidR="000D0B9C" w:rsidRPr="00E443E3">
        <w:rPr>
          <w:sz w:val="22"/>
          <w:szCs w:val="22"/>
        </w:rPr>
        <w:fldChar w:fldCharType="separate"/>
      </w:r>
      <w:r w:rsidR="00DF7C87" w:rsidRPr="00E443E3">
        <w:rPr>
          <w:sz w:val="22"/>
          <w:szCs w:val="22"/>
        </w:rPr>
        <w:t>2</w:t>
      </w:r>
      <w:r w:rsidR="000D0B9C" w:rsidRPr="00E443E3">
        <w:rPr>
          <w:sz w:val="22"/>
          <w:szCs w:val="22"/>
        </w:rPr>
        <w:fldChar w:fldCharType="end"/>
      </w:r>
      <w:r w:rsidRPr="00E443E3">
        <w:rPr>
          <w:sz w:val="22"/>
          <w:szCs w:val="22"/>
        </w:rPr>
        <w:t xml:space="preserve">: </w:t>
      </w:r>
      <w:bookmarkEnd w:id="22"/>
      <w:r w:rsidR="004D30B5" w:rsidRPr="00E443E3">
        <w:rPr>
          <w:sz w:val="22"/>
          <w:szCs w:val="22"/>
        </w:rPr>
        <w:t>Summary of linear regression parameters for the relationship between oxygen (</w:t>
      </w:r>
      <w:r w:rsidR="004D30B5" w:rsidRPr="00E443E3">
        <w:rPr>
          <w:sz w:val="22"/>
          <w:szCs w:val="22"/>
        </w:rPr>
        <w:sym w:font="Symbol" w:char="F064"/>
      </w:r>
      <w:r w:rsidR="004D30B5" w:rsidRPr="00E443E3">
        <w:rPr>
          <w:sz w:val="22"/>
          <w:szCs w:val="22"/>
        </w:rPr>
        <w:t>18O) and hydrogen isotopes (</w:t>
      </w:r>
      <w:r w:rsidR="004D30B5" w:rsidRPr="00E443E3">
        <w:rPr>
          <w:sz w:val="22"/>
          <w:szCs w:val="22"/>
        </w:rPr>
        <w:sym w:font="Symbol" w:char="F064"/>
      </w:r>
      <w:r w:rsidR="004D30B5" w:rsidRPr="00E443E3">
        <w:rPr>
          <w:sz w:val="22"/>
          <w:szCs w:val="22"/>
        </w:rPr>
        <w:t xml:space="preserve">2H). </w:t>
      </w:r>
      <w:r w:rsidR="004D30B5" w:rsidRPr="00E443E3">
        <w:rPr>
          <w:b w:val="0"/>
          <w:bCs w:val="0"/>
          <w:sz w:val="22"/>
          <w:szCs w:val="22"/>
        </w:rPr>
        <w:t>Parameters are represented for precipitation (</w:t>
      </w:r>
      <w:proofErr w:type="spellStart"/>
      <w:r w:rsidR="004D30B5" w:rsidRPr="00E443E3">
        <w:rPr>
          <w:b w:val="0"/>
          <w:bCs w:val="0"/>
          <w:sz w:val="22"/>
          <w:szCs w:val="22"/>
        </w:rPr>
        <w:t>lmwl</w:t>
      </w:r>
      <w:proofErr w:type="spellEnd"/>
      <w:r w:rsidR="004D30B5" w:rsidRPr="00E443E3">
        <w:rPr>
          <w:b w:val="0"/>
          <w:bCs w:val="0"/>
          <w:sz w:val="22"/>
          <w:szCs w:val="22"/>
        </w:rPr>
        <w:t>), stream, soil, stem, and leaf samples.</w:t>
      </w:r>
      <w:bookmarkEnd w:id="23"/>
    </w:p>
    <w:tbl>
      <w:tblPr>
        <w:tblStyle w:val="TableGrid"/>
        <w:tblW w:w="5575" w:type="dxa"/>
        <w:tblInd w:w="1527" w:type="dxa"/>
        <w:tblLayout w:type="fixed"/>
        <w:tblCellMar>
          <w:top w:w="43" w:type="dxa"/>
          <w:left w:w="14" w:type="dxa"/>
          <w:bottom w:w="43" w:type="dxa"/>
          <w:right w:w="14" w:type="dxa"/>
        </w:tblCellMar>
        <w:tblLook w:val="04A0" w:firstRow="1" w:lastRow="0" w:firstColumn="1" w:lastColumn="0" w:noHBand="0" w:noVBand="1"/>
      </w:tblPr>
      <w:tblGrid>
        <w:gridCol w:w="1615"/>
        <w:gridCol w:w="1260"/>
        <w:gridCol w:w="1350"/>
        <w:gridCol w:w="1350"/>
      </w:tblGrid>
      <w:tr w:rsidR="004D30B5" w:rsidRPr="004E160E" w14:paraId="0AA79C1A" w14:textId="77777777" w:rsidTr="00A51466">
        <w:tc>
          <w:tcPr>
            <w:tcW w:w="1615" w:type="dxa"/>
            <w:tcBorders>
              <w:left w:val="single" w:sz="4" w:space="0" w:color="FFFFFF" w:themeColor="background1"/>
              <w:right w:val="single" w:sz="4" w:space="0" w:color="F2F2F2" w:themeColor="background1" w:themeShade="F2"/>
            </w:tcBorders>
            <w:vAlign w:val="center"/>
          </w:tcPr>
          <w:p w14:paraId="7E93EB65" w14:textId="77777777" w:rsidR="004D30B5" w:rsidRPr="00D32289" w:rsidRDefault="004D30B5" w:rsidP="00477B20">
            <w:pPr>
              <w:jc w:val="center"/>
              <w:rPr>
                <w:b/>
                <w:bCs/>
                <w:color w:val="000000" w:themeColor="text1"/>
                <w:sz w:val="20"/>
                <w:szCs w:val="20"/>
              </w:rPr>
            </w:pPr>
            <w:r w:rsidRPr="00D32289">
              <w:rPr>
                <w:b/>
                <w:bCs/>
                <w:color w:val="000000" w:themeColor="text1"/>
                <w:sz w:val="20"/>
                <w:szCs w:val="20"/>
              </w:rPr>
              <w:t>Sample</w:t>
            </w:r>
          </w:p>
        </w:tc>
        <w:tc>
          <w:tcPr>
            <w:tcW w:w="1260" w:type="dxa"/>
            <w:tcBorders>
              <w:left w:val="single" w:sz="4" w:space="0" w:color="F2F2F2" w:themeColor="background1" w:themeShade="F2"/>
              <w:right w:val="single" w:sz="4" w:space="0" w:color="F2F2F2" w:themeColor="background1" w:themeShade="F2"/>
            </w:tcBorders>
            <w:vAlign w:val="center"/>
          </w:tcPr>
          <w:p w14:paraId="0BBA8D5C" w14:textId="77777777" w:rsidR="004D30B5" w:rsidRPr="00D32289" w:rsidRDefault="004D30B5" w:rsidP="00477B20">
            <w:pPr>
              <w:jc w:val="center"/>
              <w:rPr>
                <w:b/>
                <w:bCs/>
                <w:color w:val="000000" w:themeColor="text1"/>
                <w:sz w:val="20"/>
                <w:szCs w:val="20"/>
              </w:rPr>
            </w:pPr>
            <w:r w:rsidRPr="00D32289">
              <w:rPr>
                <w:b/>
                <w:bCs/>
                <w:color w:val="000000" w:themeColor="text1"/>
                <w:sz w:val="20"/>
                <w:szCs w:val="20"/>
              </w:rPr>
              <w:t>Slope</w:t>
            </w:r>
          </w:p>
        </w:tc>
        <w:tc>
          <w:tcPr>
            <w:tcW w:w="1350" w:type="dxa"/>
            <w:tcBorders>
              <w:left w:val="single" w:sz="4" w:space="0" w:color="F2F2F2" w:themeColor="background1" w:themeShade="F2"/>
              <w:right w:val="single" w:sz="4" w:space="0" w:color="F2F2F2" w:themeColor="background1" w:themeShade="F2"/>
            </w:tcBorders>
            <w:vAlign w:val="center"/>
          </w:tcPr>
          <w:p w14:paraId="0ECDCC14" w14:textId="77777777" w:rsidR="004D30B5" w:rsidRPr="00D32289" w:rsidRDefault="004D30B5" w:rsidP="00477B20">
            <w:pPr>
              <w:jc w:val="center"/>
              <w:rPr>
                <w:b/>
                <w:bCs/>
                <w:color w:val="000000" w:themeColor="text1"/>
                <w:sz w:val="20"/>
                <w:szCs w:val="20"/>
              </w:rPr>
            </w:pPr>
            <w:r w:rsidRPr="00D32289">
              <w:rPr>
                <w:b/>
                <w:bCs/>
                <w:color w:val="000000" w:themeColor="text1"/>
                <w:sz w:val="20"/>
                <w:szCs w:val="20"/>
              </w:rPr>
              <w:t>Intercept</w:t>
            </w:r>
          </w:p>
        </w:tc>
        <w:tc>
          <w:tcPr>
            <w:tcW w:w="1350" w:type="dxa"/>
            <w:tcBorders>
              <w:left w:val="single" w:sz="4" w:space="0" w:color="F2F2F2" w:themeColor="background1" w:themeShade="F2"/>
              <w:right w:val="single" w:sz="4" w:space="0" w:color="F2F2F2" w:themeColor="background1" w:themeShade="F2"/>
            </w:tcBorders>
            <w:vAlign w:val="center"/>
          </w:tcPr>
          <w:p w14:paraId="081AE3F3" w14:textId="77777777" w:rsidR="004D30B5" w:rsidRPr="00D32289" w:rsidRDefault="004D30B5" w:rsidP="00477B20">
            <w:pPr>
              <w:jc w:val="center"/>
              <w:rPr>
                <w:b/>
                <w:bCs/>
                <w:color w:val="000000" w:themeColor="text1"/>
                <w:sz w:val="20"/>
                <w:szCs w:val="20"/>
                <w:vertAlign w:val="superscript"/>
              </w:rPr>
            </w:pPr>
            <w:r w:rsidRPr="00D32289">
              <w:rPr>
                <w:b/>
                <w:bCs/>
                <w:color w:val="000000" w:themeColor="text1"/>
                <w:sz w:val="20"/>
                <w:szCs w:val="20"/>
              </w:rPr>
              <w:t>R</w:t>
            </w:r>
            <w:r w:rsidRPr="00D32289">
              <w:rPr>
                <w:b/>
                <w:bCs/>
                <w:color w:val="000000" w:themeColor="text1"/>
                <w:sz w:val="20"/>
                <w:szCs w:val="20"/>
                <w:vertAlign w:val="superscript"/>
              </w:rPr>
              <w:t>2</w:t>
            </w:r>
          </w:p>
        </w:tc>
      </w:tr>
      <w:tr w:rsidR="004D30B5" w:rsidRPr="004E160E" w14:paraId="1F120484" w14:textId="77777777" w:rsidTr="00A51466">
        <w:tc>
          <w:tcPr>
            <w:tcW w:w="1615" w:type="dxa"/>
            <w:tcBorders>
              <w:left w:val="single" w:sz="4" w:space="0" w:color="FFFFFF" w:themeColor="background1"/>
              <w:bottom w:val="single" w:sz="4" w:space="0" w:color="F2F2F2" w:themeColor="background1" w:themeShade="F2"/>
              <w:right w:val="single" w:sz="4" w:space="0" w:color="F2F2F2" w:themeColor="background1" w:themeShade="F2"/>
            </w:tcBorders>
            <w:vAlign w:val="center"/>
          </w:tcPr>
          <w:p w14:paraId="5B1C351C" w14:textId="77777777" w:rsidR="004D30B5" w:rsidRPr="00D32289" w:rsidRDefault="004D30B5" w:rsidP="00477B20">
            <w:pPr>
              <w:jc w:val="center"/>
              <w:rPr>
                <w:color w:val="000000" w:themeColor="text1"/>
                <w:sz w:val="20"/>
                <w:szCs w:val="20"/>
              </w:rPr>
            </w:pPr>
            <w:proofErr w:type="spellStart"/>
            <w:r w:rsidRPr="00D32289">
              <w:rPr>
                <w:color w:val="000000" w:themeColor="text1"/>
                <w:sz w:val="20"/>
                <w:szCs w:val="20"/>
              </w:rPr>
              <w:t>lmwl</w:t>
            </w:r>
            <w:proofErr w:type="spellEnd"/>
          </w:p>
        </w:tc>
        <w:tc>
          <w:tcPr>
            <w:tcW w:w="126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42E5EB1" w14:textId="77777777" w:rsidR="004D30B5" w:rsidRPr="00D32289" w:rsidRDefault="004D30B5" w:rsidP="00477B20">
            <w:pPr>
              <w:jc w:val="center"/>
              <w:rPr>
                <w:color w:val="000000" w:themeColor="text1"/>
                <w:sz w:val="20"/>
                <w:szCs w:val="20"/>
              </w:rPr>
            </w:pPr>
            <w:r w:rsidRPr="00D32289">
              <w:rPr>
                <w:color w:val="000000" w:themeColor="text1"/>
                <w:sz w:val="20"/>
                <w:szCs w:val="20"/>
              </w:rPr>
              <w:t>7.01</w:t>
            </w:r>
          </w:p>
        </w:tc>
        <w:tc>
          <w:tcPr>
            <w:tcW w:w="135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1F39F3D" w14:textId="77777777" w:rsidR="004D30B5" w:rsidRPr="00D32289" w:rsidRDefault="004D30B5" w:rsidP="00477B20">
            <w:pPr>
              <w:shd w:val="clear" w:color="auto" w:fill="FFFFFF"/>
              <w:jc w:val="center"/>
              <w:rPr>
                <w:color w:val="000000" w:themeColor="text1"/>
                <w:sz w:val="20"/>
                <w:szCs w:val="20"/>
              </w:rPr>
            </w:pPr>
            <w:r w:rsidRPr="00D32289">
              <w:rPr>
                <w:color w:val="000000" w:themeColor="text1"/>
                <w:sz w:val="20"/>
                <w:szCs w:val="20"/>
              </w:rPr>
              <w:t>3.77</w:t>
            </w:r>
          </w:p>
        </w:tc>
        <w:tc>
          <w:tcPr>
            <w:tcW w:w="135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5A30D96D" w14:textId="77777777" w:rsidR="004D30B5" w:rsidRPr="00D32289" w:rsidRDefault="004D30B5" w:rsidP="00477B20">
            <w:pPr>
              <w:shd w:val="clear" w:color="auto" w:fill="FFFFFF"/>
              <w:jc w:val="center"/>
              <w:rPr>
                <w:color w:val="000000" w:themeColor="text1"/>
                <w:sz w:val="20"/>
                <w:szCs w:val="20"/>
              </w:rPr>
            </w:pPr>
            <w:r w:rsidRPr="00D32289">
              <w:rPr>
                <w:color w:val="000000" w:themeColor="text1"/>
                <w:sz w:val="20"/>
                <w:szCs w:val="20"/>
              </w:rPr>
              <w:t>0.988</w:t>
            </w:r>
          </w:p>
        </w:tc>
      </w:tr>
      <w:tr w:rsidR="004D30B5" w:rsidRPr="004E160E" w14:paraId="18D5738C" w14:textId="77777777" w:rsidTr="00A51466">
        <w:tc>
          <w:tcPr>
            <w:tcW w:w="1615" w:type="dxa"/>
            <w:tcBorders>
              <w:top w:val="single" w:sz="4" w:space="0" w:color="F2F2F2"/>
              <w:left w:val="single" w:sz="4" w:space="0" w:color="FFFFFF" w:themeColor="background1"/>
              <w:bottom w:val="single" w:sz="4" w:space="0" w:color="F2F2F2"/>
              <w:right w:val="single" w:sz="4" w:space="0" w:color="F2F2F2" w:themeColor="background1" w:themeShade="F2"/>
            </w:tcBorders>
            <w:vAlign w:val="center"/>
          </w:tcPr>
          <w:p w14:paraId="1143EE3C" w14:textId="77777777" w:rsidR="004D30B5" w:rsidRPr="00D32289" w:rsidRDefault="004D30B5" w:rsidP="00477B20">
            <w:pPr>
              <w:jc w:val="center"/>
              <w:rPr>
                <w:color w:val="000000" w:themeColor="text1"/>
                <w:sz w:val="20"/>
                <w:szCs w:val="20"/>
              </w:rPr>
            </w:pPr>
            <w:r w:rsidRPr="00D32289">
              <w:rPr>
                <w:color w:val="000000" w:themeColor="text1"/>
                <w:sz w:val="20"/>
                <w:szCs w:val="20"/>
              </w:rPr>
              <w:t>stream</w:t>
            </w:r>
          </w:p>
        </w:tc>
        <w:tc>
          <w:tcPr>
            <w:tcW w:w="1260" w:type="dxa"/>
            <w:tcBorders>
              <w:top w:val="single" w:sz="4" w:space="0" w:color="F2F2F2"/>
              <w:left w:val="single" w:sz="4" w:space="0" w:color="F2F2F2" w:themeColor="background1" w:themeShade="F2"/>
              <w:bottom w:val="single" w:sz="4" w:space="0" w:color="F2F2F2"/>
              <w:right w:val="single" w:sz="4" w:space="0" w:color="F2F2F2" w:themeColor="background1" w:themeShade="F2"/>
            </w:tcBorders>
            <w:vAlign w:val="center"/>
          </w:tcPr>
          <w:p w14:paraId="761722B3" w14:textId="77777777" w:rsidR="004D30B5" w:rsidRPr="00D32289" w:rsidRDefault="004D30B5" w:rsidP="00477B20">
            <w:pPr>
              <w:jc w:val="center"/>
              <w:rPr>
                <w:color w:val="000000" w:themeColor="text1"/>
                <w:sz w:val="20"/>
                <w:szCs w:val="20"/>
              </w:rPr>
            </w:pPr>
            <w:r w:rsidRPr="00D32289">
              <w:rPr>
                <w:color w:val="000000" w:themeColor="text1"/>
                <w:sz w:val="20"/>
                <w:szCs w:val="20"/>
              </w:rPr>
              <w:t>7.39</w:t>
            </w:r>
          </w:p>
        </w:tc>
        <w:tc>
          <w:tcPr>
            <w:tcW w:w="1350" w:type="dxa"/>
            <w:tcBorders>
              <w:top w:val="single" w:sz="4" w:space="0" w:color="F2F2F2"/>
              <w:left w:val="single" w:sz="4" w:space="0" w:color="F2F2F2" w:themeColor="background1" w:themeShade="F2"/>
              <w:bottom w:val="single" w:sz="4" w:space="0" w:color="F2F2F2"/>
              <w:right w:val="single" w:sz="4" w:space="0" w:color="F2F2F2" w:themeColor="background1" w:themeShade="F2"/>
            </w:tcBorders>
            <w:vAlign w:val="center"/>
          </w:tcPr>
          <w:p w14:paraId="709B21FD"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rPr>
              <w:t>2.30</w:t>
            </w:r>
          </w:p>
        </w:tc>
        <w:tc>
          <w:tcPr>
            <w:tcW w:w="1350" w:type="dxa"/>
            <w:tcBorders>
              <w:top w:val="single" w:sz="4" w:space="0" w:color="F2F2F2"/>
              <w:left w:val="single" w:sz="4" w:space="0" w:color="F2F2F2" w:themeColor="background1" w:themeShade="F2"/>
              <w:bottom w:val="single" w:sz="4" w:space="0" w:color="F2F2F2"/>
              <w:right w:val="single" w:sz="4" w:space="0" w:color="F2F2F2" w:themeColor="background1" w:themeShade="F2"/>
            </w:tcBorders>
            <w:vAlign w:val="center"/>
          </w:tcPr>
          <w:p w14:paraId="0A73D595"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0.983</w:t>
            </w:r>
          </w:p>
        </w:tc>
      </w:tr>
      <w:tr w:rsidR="004D30B5" w:rsidRPr="004E160E" w14:paraId="526BC8D7" w14:textId="77777777" w:rsidTr="00A51466">
        <w:tc>
          <w:tcPr>
            <w:tcW w:w="1615" w:type="dxa"/>
            <w:tcBorders>
              <w:top w:val="single" w:sz="4" w:space="0" w:color="F2F2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4FBE8119" w14:textId="77777777" w:rsidR="004D30B5" w:rsidRPr="00D32289" w:rsidRDefault="004D30B5" w:rsidP="00477B20">
            <w:pPr>
              <w:jc w:val="center"/>
              <w:rPr>
                <w:color w:val="000000" w:themeColor="text1"/>
                <w:sz w:val="20"/>
                <w:szCs w:val="20"/>
              </w:rPr>
            </w:pPr>
            <w:r w:rsidRPr="00D32289">
              <w:rPr>
                <w:color w:val="000000" w:themeColor="text1"/>
                <w:sz w:val="20"/>
                <w:szCs w:val="20"/>
              </w:rPr>
              <w:t>soil</w:t>
            </w:r>
          </w:p>
        </w:tc>
        <w:tc>
          <w:tcPr>
            <w:tcW w:w="1260" w:type="dxa"/>
            <w:tcBorders>
              <w:top w:val="single" w:sz="4" w:space="0" w:color="F2F2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5A6B819C" w14:textId="77777777" w:rsidR="004D30B5" w:rsidRPr="00D32289" w:rsidRDefault="004D30B5" w:rsidP="00477B20">
            <w:pPr>
              <w:jc w:val="center"/>
              <w:rPr>
                <w:color w:val="000000" w:themeColor="text1"/>
                <w:sz w:val="20"/>
                <w:szCs w:val="20"/>
              </w:rPr>
            </w:pPr>
            <w:r w:rsidRPr="00D32289">
              <w:rPr>
                <w:color w:val="000000" w:themeColor="text1"/>
                <w:sz w:val="20"/>
                <w:szCs w:val="20"/>
              </w:rPr>
              <w:t>4.45</w:t>
            </w:r>
          </w:p>
        </w:tc>
        <w:tc>
          <w:tcPr>
            <w:tcW w:w="1350" w:type="dxa"/>
            <w:tcBorders>
              <w:top w:val="single" w:sz="4" w:space="0" w:color="F2F2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9581C3B"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rPr>
              <w:t>-53.6</w:t>
            </w:r>
          </w:p>
        </w:tc>
        <w:tc>
          <w:tcPr>
            <w:tcW w:w="1350" w:type="dxa"/>
            <w:tcBorders>
              <w:top w:val="single" w:sz="4" w:space="0" w:color="F2F2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43FE61C"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0.824</w:t>
            </w:r>
          </w:p>
        </w:tc>
      </w:tr>
      <w:tr w:rsidR="004D30B5" w:rsidRPr="004E160E" w14:paraId="62C7164E" w14:textId="77777777" w:rsidTr="00A51466">
        <w:tc>
          <w:tcPr>
            <w:tcW w:w="1615"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0C04C5F0" w14:textId="77777777" w:rsidR="004D30B5" w:rsidRPr="00D32289" w:rsidRDefault="004D30B5" w:rsidP="00477B20">
            <w:pPr>
              <w:jc w:val="center"/>
              <w:rPr>
                <w:color w:val="000000" w:themeColor="text1"/>
                <w:sz w:val="20"/>
                <w:szCs w:val="20"/>
              </w:rPr>
            </w:pPr>
            <w:r w:rsidRPr="00D32289">
              <w:rPr>
                <w:color w:val="000000" w:themeColor="text1"/>
                <w:sz w:val="20"/>
                <w:szCs w:val="20"/>
              </w:rPr>
              <w:t>stem</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E2A35E5" w14:textId="77777777" w:rsidR="004D30B5" w:rsidRPr="00D32289" w:rsidRDefault="004D30B5" w:rsidP="00477B20">
            <w:pPr>
              <w:jc w:val="center"/>
              <w:rPr>
                <w:color w:val="000000" w:themeColor="text1"/>
                <w:sz w:val="20"/>
                <w:szCs w:val="20"/>
              </w:rPr>
            </w:pPr>
            <w:r w:rsidRPr="00D32289">
              <w:rPr>
                <w:color w:val="000000" w:themeColor="text1"/>
                <w:sz w:val="20"/>
                <w:szCs w:val="20"/>
              </w:rPr>
              <w:t>5.65</w:t>
            </w:r>
          </w:p>
        </w:tc>
        <w:tc>
          <w:tcPr>
            <w:tcW w:w="135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4626464"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rPr>
              <w:t>-38.1</w:t>
            </w:r>
          </w:p>
        </w:tc>
        <w:tc>
          <w:tcPr>
            <w:tcW w:w="135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DB20DC4"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0.771</w:t>
            </w:r>
          </w:p>
        </w:tc>
      </w:tr>
      <w:tr w:rsidR="004D30B5" w:rsidRPr="004E160E" w14:paraId="1FBB7347" w14:textId="77777777" w:rsidTr="00A51466">
        <w:tc>
          <w:tcPr>
            <w:tcW w:w="1615" w:type="dxa"/>
            <w:tcBorders>
              <w:top w:val="single" w:sz="4" w:space="0" w:color="F2F2F2" w:themeColor="background1" w:themeShade="F2"/>
              <w:left w:val="single" w:sz="4" w:space="0" w:color="FFFFFF" w:themeColor="background1"/>
              <w:bottom w:val="single" w:sz="4" w:space="0" w:color="000000"/>
              <w:right w:val="single" w:sz="4" w:space="0" w:color="F2F2F2" w:themeColor="background1" w:themeShade="F2"/>
            </w:tcBorders>
            <w:vAlign w:val="center"/>
          </w:tcPr>
          <w:p w14:paraId="0AAFA327" w14:textId="77777777" w:rsidR="004D30B5" w:rsidRPr="00D32289" w:rsidRDefault="004D30B5" w:rsidP="00477B20">
            <w:pPr>
              <w:jc w:val="center"/>
              <w:rPr>
                <w:color w:val="000000" w:themeColor="text1"/>
                <w:sz w:val="20"/>
                <w:szCs w:val="20"/>
              </w:rPr>
            </w:pPr>
            <w:r w:rsidRPr="00D32289">
              <w:rPr>
                <w:color w:val="000000" w:themeColor="text1"/>
                <w:sz w:val="20"/>
                <w:szCs w:val="20"/>
              </w:rPr>
              <w:t>leaf</w:t>
            </w:r>
          </w:p>
        </w:tc>
        <w:tc>
          <w:tcPr>
            <w:tcW w:w="1260" w:type="dxa"/>
            <w:tcBorders>
              <w:top w:val="single" w:sz="4" w:space="0" w:color="F2F2F2" w:themeColor="background1" w:themeShade="F2"/>
              <w:left w:val="single" w:sz="4" w:space="0" w:color="F2F2F2" w:themeColor="background1" w:themeShade="F2"/>
              <w:bottom w:val="single" w:sz="4" w:space="0" w:color="000000"/>
              <w:right w:val="single" w:sz="4" w:space="0" w:color="F2F2F2" w:themeColor="background1" w:themeShade="F2"/>
            </w:tcBorders>
            <w:vAlign w:val="center"/>
          </w:tcPr>
          <w:p w14:paraId="0F12C977" w14:textId="77777777" w:rsidR="004D30B5" w:rsidRPr="00D32289" w:rsidRDefault="004D30B5" w:rsidP="00477B20">
            <w:pPr>
              <w:jc w:val="center"/>
              <w:rPr>
                <w:color w:val="000000" w:themeColor="text1"/>
                <w:sz w:val="20"/>
                <w:szCs w:val="20"/>
              </w:rPr>
            </w:pPr>
            <w:r w:rsidRPr="00D32289">
              <w:rPr>
                <w:color w:val="000000" w:themeColor="text1"/>
                <w:sz w:val="20"/>
                <w:szCs w:val="20"/>
              </w:rPr>
              <w:t>3.22</w:t>
            </w:r>
          </w:p>
        </w:tc>
        <w:tc>
          <w:tcPr>
            <w:tcW w:w="1350" w:type="dxa"/>
            <w:tcBorders>
              <w:top w:val="single" w:sz="4" w:space="0" w:color="F2F2F2" w:themeColor="background1" w:themeShade="F2"/>
              <w:left w:val="single" w:sz="4" w:space="0" w:color="F2F2F2" w:themeColor="background1" w:themeShade="F2"/>
              <w:bottom w:val="single" w:sz="4" w:space="0" w:color="000000"/>
              <w:right w:val="single" w:sz="4" w:space="0" w:color="F2F2F2" w:themeColor="background1" w:themeShade="F2"/>
            </w:tcBorders>
            <w:vAlign w:val="center"/>
          </w:tcPr>
          <w:p w14:paraId="5EC799D8"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rPr>
              <w:t>-72.5</w:t>
            </w:r>
          </w:p>
        </w:tc>
        <w:tc>
          <w:tcPr>
            <w:tcW w:w="1350" w:type="dxa"/>
            <w:tcBorders>
              <w:top w:val="single" w:sz="4" w:space="0" w:color="F2F2F2" w:themeColor="background1" w:themeShade="F2"/>
              <w:left w:val="single" w:sz="4" w:space="0" w:color="F2F2F2" w:themeColor="background1" w:themeShade="F2"/>
              <w:bottom w:val="single" w:sz="4" w:space="0" w:color="000000"/>
              <w:right w:val="single" w:sz="4" w:space="0" w:color="F2F2F2" w:themeColor="background1" w:themeShade="F2"/>
            </w:tcBorders>
            <w:vAlign w:val="center"/>
          </w:tcPr>
          <w:p w14:paraId="2A65D57A" w14:textId="77777777" w:rsidR="004D30B5" w:rsidRPr="00D32289" w:rsidRDefault="004D30B5" w:rsidP="00477B20">
            <w:pPr>
              <w:jc w:val="center"/>
              <w:rPr>
                <w:color w:val="000000" w:themeColor="text1"/>
                <w:sz w:val="20"/>
                <w:szCs w:val="20"/>
                <w:shd w:val="clear" w:color="auto" w:fill="FFFFFF"/>
              </w:rPr>
            </w:pPr>
            <w:r w:rsidRPr="00D32289">
              <w:rPr>
                <w:color w:val="000000" w:themeColor="text1"/>
                <w:sz w:val="20"/>
                <w:szCs w:val="20"/>
                <w:shd w:val="clear" w:color="auto" w:fill="FFFFFF"/>
              </w:rPr>
              <w:t>0.954</w:t>
            </w:r>
          </w:p>
        </w:tc>
      </w:tr>
    </w:tbl>
    <w:p w14:paraId="04418771" w14:textId="3EE7687D" w:rsidR="00975E37" w:rsidRDefault="00975E37" w:rsidP="005E54E2"/>
    <w:p w14:paraId="2054A9CD" w14:textId="0D84807E" w:rsidR="004D30B5" w:rsidRDefault="004D30B5" w:rsidP="004D30B5">
      <w:r>
        <w:br w:type="page"/>
      </w:r>
    </w:p>
    <w:p w14:paraId="545318C0" w14:textId="09389D0B" w:rsidR="004D30B5" w:rsidRDefault="004D30B5" w:rsidP="004D30B5">
      <w:pPr>
        <w:pStyle w:val="Caption"/>
      </w:pPr>
      <w:r>
        <w:rPr>
          <w:noProof/>
        </w:rPr>
        <w:lastRenderedPageBreak/>
        <w:drawing>
          <wp:inline distT="0" distB="0" distL="0" distR="0" wp14:anchorId="071AD3C7" wp14:editId="2B3B3516">
            <wp:extent cx="5342709" cy="2678374"/>
            <wp:effectExtent l="0" t="0" r="4445" b="190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rotWithShape="1">
                    <a:blip r:embed="rId8" cstate="print">
                      <a:extLst>
                        <a:ext uri="{28A0092B-C50C-407E-A947-70E740481C1C}">
                          <a14:useLocalDpi xmlns:a14="http://schemas.microsoft.com/office/drawing/2010/main" val="0"/>
                        </a:ext>
                      </a:extLst>
                    </a:blip>
                    <a:srcRect l="9286" b="13512"/>
                    <a:stretch/>
                  </pic:blipFill>
                  <pic:spPr bwMode="auto">
                    <a:xfrm>
                      <a:off x="0" y="0"/>
                      <a:ext cx="5353960" cy="2684014"/>
                    </a:xfrm>
                    <a:prstGeom prst="rect">
                      <a:avLst/>
                    </a:prstGeom>
                    <a:ln>
                      <a:noFill/>
                    </a:ln>
                    <a:extLst>
                      <a:ext uri="{53640926-AAD7-44D8-BBD7-CCE9431645EC}">
                        <a14:shadowObscured xmlns:a14="http://schemas.microsoft.com/office/drawing/2010/main"/>
                      </a:ext>
                    </a:extLst>
                  </pic:spPr>
                </pic:pic>
              </a:graphicData>
            </a:graphic>
          </wp:inline>
        </w:drawing>
      </w:r>
    </w:p>
    <w:p w14:paraId="45618EB8" w14:textId="55F4920D" w:rsidR="004D30B5" w:rsidRPr="008161B3" w:rsidRDefault="004D30B5" w:rsidP="00A51466">
      <w:pPr>
        <w:pStyle w:val="Caption"/>
        <w:jc w:val="both"/>
        <w:rPr>
          <w:b w:val="0"/>
          <w:bCs w:val="0"/>
          <w:sz w:val="22"/>
          <w:szCs w:val="22"/>
        </w:rPr>
      </w:pPr>
      <w:bookmarkStart w:id="24" w:name="_Toc88053996"/>
      <w:r w:rsidRPr="007E5AD3">
        <w:rPr>
          <w:sz w:val="22"/>
          <w:szCs w:val="22"/>
        </w:rPr>
        <w:t xml:space="preserve">Figure </w:t>
      </w:r>
      <w:r w:rsidRPr="007E5AD3">
        <w:rPr>
          <w:sz w:val="22"/>
          <w:szCs w:val="22"/>
        </w:rPr>
        <w:fldChar w:fldCharType="begin"/>
      </w:r>
      <w:r w:rsidRPr="007E5AD3">
        <w:rPr>
          <w:sz w:val="22"/>
          <w:szCs w:val="22"/>
        </w:rPr>
        <w:instrText xml:space="preserve"> SEQ Figure \* ARABIC </w:instrText>
      </w:r>
      <w:r w:rsidRPr="007E5AD3">
        <w:rPr>
          <w:sz w:val="22"/>
          <w:szCs w:val="22"/>
        </w:rPr>
        <w:fldChar w:fldCharType="separate"/>
      </w:r>
      <w:r w:rsidRPr="007E5AD3">
        <w:rPr>
          <w:sz w:val="22"/>
          <w:szCs w:val="22"/>
        </w:rPr>
        <w:t>1</w:t>
      </w:r>
      <w:r w:rsidRPr="007E5AD3">
        <w:rPr>
          <w:sz w:val="22"/>
          <w:szCs w:val="22"/>
        </w:rPr>
        <w:fldChar w:fldCharType="end"/>
      </w:r>
      <w:r w:rsidRPr="007E5AD3">
        <w:rPr>
          <w:sz w:val="22"/>
          <w:szCs w:val="22"/>
        </w:rPr>
        <w:t xml:space="preserve">. Map of field collection sites, genetic provenances, and geographic range of </w:t>
      </w:r>
      <w:r w:rsidRPr="00D3715E">
        <w:rPr>
          <w:i/>
          <w:iCs/>
          <w:sz w:val="22"/>
          <w:szCs w:val="22"/>
        </w:rPr>
        <w:t>Populus angustifolia</w:t>
      </w:r>
      <w:r w:rsidR="00E443E3" w:rsidRPr="007E5AD3">
        <w:rPr>
          <w:sz w:val="22"/>
          <w:szCs w:val="22"/>
        </w:rPr>
        <w:t xml:space="preserve"> (a) and field collection sites within the 17 </w:t>
      </w:r>
      <w:r w:rsidR="00E443E3" w:rsidRPr="00001A42">
        <w:rPr>
          <w:i/>
          <w:iCs/>
          <w:sz w:val="22"/>
          <w:szCs w:val="22"/>
        </w:rPr>
        <w:t>Populus angustifolia</w:t>
      </w:r>
      <w:r w:rsidR="00E443E3" w:rsidRPr="007E5AD3">
        <w:rPr>
          <w:sz w:val="22"/>
          <w:szCs w:val="22"/>
        </w:rPr>
        <w:t xml:space="preserve"> populations plotted with </w:t>
      </w:r>
      <w:proofErr w:type="spellStart"/>
      <w:r w:rsidR="00E443E3" w:rsidRPr="007E5AD3">
        <w:rPr>
          <w:sz w:val="22"/>
          <w:szCs w:val="22"/>
        </w:rPr>
        <w:t>Budyko</w:t>
      </w:r>
      <w:proofErr w:type="spellEnd"/>
      <w:r w:rsidR="00E443E3" w:rsidRPr="007E5AD3">
        <w:rPr>
          <w:sz w:val="22"/>
          <w:szCs w:val="22"/>
        </w:rPr>
        <w:t xml:space="preserve"> Model Parameters (b).</w:t>
      </w:r>
      <w:r w:rsidRPr="008161B3">
        <w:rPr>
          <w:b w:val="0"/>
          <w:bCs w:val="0"/>
          <w:sz w:val="22"/>
          <w:szCs w:val="22"/>
        </w:rPr>
        <w:t xml:space="preserve"> Each point represents a unique sampling location: there are multiple collection sites within each of the 17 populations of the three genetic provenances (provenance represented by color). AET= Actual Evapotranspiration; P= Precipitation; PET= Potential Evapotranspiration. The blue line represents a water-limit (AET = P), at which 100% of water supplied to the landscape as precipitation (P) is cycled back to the atmosphere through evapotranspiration (AET). The red line represents an energy-limit (AET=PET), at which the amount of water recycled to the atmosphere through evapotranspiration (AET) meets the atmospheric demand for water (PET). Genetic provenance is represented by color as in panel A. Points are plotted using observed values of mean annual P, PET, and AET from georeferenced locations of field collection sites. Inset boxplots show provenance differences in the two </w:t>
      </w:r>
      <w:proofErr w:type="spellStart"/>
      <w:r w:rsidRPr="008161B3">
        <w:rPr>
          <w:b w:val="0"/>
          <w:bCs w:val="0"/>
          <w:sz w:val="22"/>
          <w:szCs w:val="22"/>
        </w:rPr>
        <w:t>Budyko</w:t>
      </w:r>
      <w:proofErr w:type="spellEnd"/>
      <w:r w:rsidRPr="008161B3">
        <w:rPr>
          <w:b w:val="0"/>
          <w:bCs w:val="0"/>
          <w:sz w:val="22"/>
          <w:szCs w:val="22"/>
        </w:rPr>
        <w:t xml:space="preserve"> parameters, with letters referring to statistically significant differences between provenances from post-hoc Tukey Contrasts.</w:t>
      </w:r>
      <w:bookmarkEnd w:id="24"/>
    </w:p>
    <w:p w14:paraId="276E8A3A" w14:textId="77777777" w:rsidR="004D30B5" w:rsidRDefault="004D30B5">
      <w:pPr>
        <w:rPr>
          <w:b/>
          <w:bCs/>
        </w:rPr>
      </w:pPr>
      <w:r>
        <w:br w:type="page"/>
      </w:r>
    </w:p>
    <w:p w14:paraId="135067EF" w14:textId="77777777" w:rsidR="004D30B5" w:rsidRDefault="004D30B5" w:rsidP="003F21A1">
      <w:pPr>
        <w:pStyle w:val="Caption"/>
        <w:jc w:val="center"/>
      </w:pPr>
      <w:r>
        <w:rPr>
          <w:bCs w:val="0"/>
          <w:noProof/>
        </w:rPr>
        <w:lastRenderedPageBreak/>
        <mc:AlternateContent>
          <mc:Choice Requires="wps">
            <w:drawing>
              <wp:anchor distT="0" distB="0" distL="114300" distR="114300" simplePos="0" relativeHeight="251659264" behindDoc="0" locked="0" layoutInCell="1" allowOverlap="1" wp14:anchorId="1CE0DF73" wp14:editId="527EBADC">
                <wp:simplePos x="0" y="0"/>
                <wp:positionH relativeFrom="column">
                  <wp:posOffset>-71252</wp:posOffset>
                </wp:positionH>
                <wp:positionV relativeFrom="paragraph">
                  <wp:posOffset>4797128</wp:posOffset>
                </wp:positionV>
                <wp:extent cx="328474" cy="310719"/>
                <wp:effectExtent l="0" t="0" r="1905" b="2540"/>
                <wp:wrapNone/>
                <wp:docPr id="8" name="Rectangle 8"/>
                <wp:cNvGraphicFramePr/>
                <a:graphic xmlns:a="http://schemas.openxmlformats.org/drawingml/2006/main">
                  <a:graphicData uri="http://schemas.microsoft.com/office/word/2010/wordprocessingShape">
                    <wps:wsp>
                      <wps:cNvSpPr/>
                      <wps:spPr>
                        <a:xfrm>
                          <a:off x="0" y="0"/>
                          <a:ext cx="328474" cy="3107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1A7635" id="Rectangle 8" o:spid="_x0000_s1026" style="position:absolute;margin-left:-5.6pt;margin-top:377.75pt;width:25.85pt;height:24.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" fillcolor="white [3212]" stroked="f" strokeweight="2pt"/>
            </w:pict>
          </mc:Fallback>
        </mc:AlternateContent>
      </w:r>
      <w:r>
        <w:rPr>
          <w:bCs w:val="0"/>
          <w:noProof/>
        </w:rPr>
        <w:drawing>
          <wp:inline distT="0" distB="0" distL="0" distR="0" wp14:anchorId="5841E275" wp14:editId="55FD4FD3">
            <wp:extent cx="3080272" cy="5166804"/>
            <wp:effectExtent l="0" t="0" r="6350" b="2540"/>
            <wp:docPr id="7" name="Picture 7"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diagram&#10;&#10;Description automatically generated"/>
                    <pic:cNvPicPr/>
                  </pic:nvPicPr>
                  <pic:blipFill rotWithShape="1">
                    <a:blip r:embed="rId9">
                      <a:extLst>
                        <a:ext uri="{28A0092B-C50C-407E-A947-70E740481C1C}">
                          <a14:useLocalDpi xmlns:a14="http://schemas.microsoft.com/office/drawing/2010/main" val="0"/>
                        </a:ext>
                      </a:extLst>
                    </a:blip>
                    <a:srcRect l="14077" t="5714" r="8386" b="6749"/>
                    <a:stretch/>
                  </pic:blipFill>
                  <pic:spPr bwMode="auto">
                    <a:xfrm>
                      <a:off x="0" y="0"/>
                      <a:ext cx="3087787" cy="5179410"/>
                    </a:xfrm>
                    <a:prstGeom prst="rect">
                      <a:avLst/>
                    </a:prstGeom>
                    <a:ln>
                      <a:noFill/>
                    </a:ln>
                    <a:extLst>
                      <a:ext uri="{53640926-AAD7-44D8-BBD7-CCE9431645EC}">
                        <a14:shadowObscured xmlns:a14="http://schemas.microsoft.com/office/drawing/2010/main"/>
                      </a:ext>
                    </a:extLst>
                  </pic:spPr>
                </pic:pic>
              </a:graphicData>
            </a:graphic>
          </wp:inline>
        </w:drawing>
      </w:r>
    </w:p>
    <w:p w14:paraId="11450E93" w14:textId="6BE9F5D7" w:rsidR="008161B3" w:rsidRPr="00A51466" w:rsidRDefault="004D30B5" w:rsidP="00A51466">
      <w:pPr>
        <w:pStyle w:val="Caption"/>
        <w:jc w:val="both"/>
        <w:rPr>
          <w:b w:val="0"/>
          <w:bCs w:val="0"/>
          <w:sz w:val="22"/>
          <w:szCs w:val="22"/>
        </w:rPr>
      </w:pPr>
      <w:bookmarkStart w:id="25" w:name="_Toc88053997"/>
      <w:r w:rsidRPr="00A51466">
        <w:rPr>
          <w:sz w:val="22"/>
          <w:szCs w:val="22"/>
        </w:rPr>
        <w:t xml:space="preserve">Figure </w:t>
      </w:r>
      <w:r w:rsidRPr="00A51466">
        <w:rPr>
          <w:sz w:val="22"/>
          <w:szCs w:val="22"/>
        </w:rPr>
        <w:fldChar w:fldCharType="begin"/>
      </w:r>
      <w:r w:rsidRPr="00A51466">
        <w:rPr>
          <w:sz w:val="22"/>
          <w:szCs w:val="22"/>
        </w:rPr>
        <w:instrText xml:space="preserve"> SEQ Figure \* ARABIC </w:instrText>
      </w:r>
      <w:r w:rsidRPr="00A51466">
        <w:rPr>
          <w:sz w:val="22"/>
          <w:szCs w:val="22"/>
        </w:rPr>
        <w:fldChar w:fldCharType="separate"/>
      </w:r>
      <w:r w:rsidRPr="00A51466">
        <w:rPr>
          <w:noProof/>
          <w:sz w:val="22"/>
          <w:szCs w:val="22"/>
        </w:rPr>
        <w:t>2</w:t>
      </w:r>
      <w:r w:rsidRPr="00A51466">
        <w:rPr>
          <w:sz w:val="22"/>
          <w:szCs w:val="22"/>
        </w:rPr>
        <w:fldChar w:fldCharType="end"/>
      </w:r>
      <w:r w:rsidRPr="00A51466">
        <w:rPr>
          <w:sz w:val="22"/>
          <w:szCs w:val="22"/>
        </w:rPr>
        <w:t xml:space="preserve">. Genetic provenances of </w:t>
      </w:r>
      <w:r w:rsidRPr="00A51466">
        <w:rPr>
          <w:i/>
          <w:sz w:val="22"/>
          <w:szCs w:val="22"/>
        </w:rPr>
        <w:t>Populus angustifolia</w:t>
      </w:r>
      <w:r w:rsidRPr="00A51466">
        <w:rPr>
          <w:sz w:val="22"/>
          <w:szCs w:val="22"/>
        </w:rPr>
        <w:t xml:space="preserve"> differ in traits relating to water-use and ecosystem function.</w:t>
      </w:r>
      <w:r w:rsidRPr="00A51466">
        <w:rPr>
          <w:b w:val="0"/>
          <w:bCs w:val="0"/>
          <w:sz w:val="22"/>
          <w:szCs w:val="22"/>
        </w:rPr>
        <w:t xml:space="preserve"> Letters refer to statistically significant differences between provenances from post-hoc Tukey Contrasts. Note the difference in y-axis scale between field and greenhouse biomass.  (a) Field Biomass (kg), log transformed (Prov</w:t>
      </w:r>
      <w:r w:rsidRPr="00A51466">
        <w:rPr>
          <w:b w:val="0"/>
          <w:bCs w:val="0"/>
          <w:sz w:val="22"/>
          <w:szCs w:val="22"/>
          <w:vertAlign w:val="subscript"/>
        </w:rPr>
        <w:t>3-1</w:t>
      </w:r>
      <w:r w:rsidRPr="00A51466">
        <w:rPr>
          <w:b w:val="0"/>
          <w:bCs w:val="0"/>
          <w:sz w:val="22"/>
          <w:szCs w:val="22"/>
        </w:rPr>
        <w:t xml:space="preserve"> p=0.018); (b) Greenhouse Biomass (g), log transformed (Prov</w:t>
      </w:r>
      <w:r w:rsidRPr="00A51466">
        <w:rPr>
          <w:b w:val="0"/>
          <w:bCs w:val="0"/>
          <w:sz w:val="22"/>
          <w:szCs w:val="22"/>
          <w:vertAlign w:val="subscript"/>
        </w:rPr>
        <w:t xml:space="preserve">2-1 </w:t>
      </w:r>
      <w:r w:rsidRPr="00A51466">
        <w:rPr>
          <w:b w:val="0"/>
          <w:bCs w:val="0"/>
          <w:sz w:val="22"/>
          <w:szCs w:val="22"/>
        </w:rPr>
        <w:t>p=0.001; Prov</w:t>
      </w:r>
      <w:r w:rsidRPr="00A51466">
        <w:rPr>
          <w:b w:val="0"/>
          <w:bCs w:val="0"/>
          <w:sz w:val="22"/>
          <w:szCs w:val="22"/>
          <w:vertAlign w:val="subscript"/>
        </w:rPr>
        <w:t xml:space="preserve">3-1 </w:t>
      </w:r>
      <w:r w:rsidRPr="00A51466">
        <w:rPr>
          <w:b w:val="0"/>
          <w:bCs w:val="0"/>
          <w:sz w:val="22"/>
          <w:szCs w:val="22"/>
        </w:rPr>
        <w:t>p&lt;0.001); (c) Field Stomatal Density (#/area); (d) Greenhouse Stomatal Density (#/area; Prov</w:t>
      </w:r>
      <w:r w:rsidRPr="00A51466">
        <w:rPr>
          <w:b w:val="0"/>
          <w:bCs w:val="0"/>
          <w:sz w:val="22"/>
          <w:szCs w:val="22"/>
          <w:vertAlign w:val="subscript"/>
        </w:rPr>
        <w:t>3-1</w:t>
      </w:r>
      <w:r w:rsidRPr="00A51466">
        <w:rPr>
          <w:b w:val="0"/>
          <w:bCs w:val="0"/>
          <w:sz w:val="22"/>
          <w:szCs w:val="22"/>
        </w:rPr>
        <w:t xml:space="preserve"> p&lt;0.001); (e) Field Stomatal Ratio (</w:t>
      </w:r>
      <w:proofErr w:type="spellStart"/>
      <w:r w:rsidRPr="00A51466">
        <w:rPr>
          <w:b w:val="0"/>
          <w:bCs w:val="0"/>
          <w:sz w:val="22"/>
          <w:szCs w:val="22"/>
        </w:rPr>
        <w:t>ad:abaxial</w:t>
      </w:r>
      <w:proofErr w:type="spellEnd"/>
      <w:r w:rsidRPr="00A51466">
        <w:rPr>
          <w:b w:val="0"/>
          <w:bCs w:val="0"/>
          <w:sz w:val="22"/>
          <w:szCs w:val="22"/>
        </w:rPr>
        <w:t>; Prov</w:t>
      </w:r>
      <w:r w:rsidRPr="00A51466">
        <w:rPr>
          <w:b w:val="0"/>
          <w:bCs w:val="0"/>
          <w:sz w:val="22"/>
          <w:szCs w:val="22"/>
          <w:vertAlign w:val="subscript"/>
        </w:rPr>
        <w:t>2-1</w:t>
      </w:r>
      <w:r w:rsidRPr="00A51466">
        <w:rPr>
          <w:b w:val="0"/>
          <w:bCs w:val="0"/>
          <w:sz w:val="22"/>
          <w:szCs w:val="22"/>
        </w:rPr>
        <w:t xml:space="preserve"> p&lt;0.001; Prov</w:t>
      </w:r>
      <w:r w:rsidRPr="00A51466">
        <w:rPr>
          <w:b w:val="0"/>
          <w:bCs w:val="0"/>
          <w:sz w:val="22"/>
          <w:szCs w:val="22"/>
          <w:vertAlign w:val="subscript"/>
        </w:rPr>
        <w:t>3-1</w:t>
      </w:r>
      <w:r w:rsidRPr="00A51466">
        <w:rPr>
          <w:b w:val="0"/>
          <w:bCs w:val="0"/>
          <w:sz w:val="22"/>
          <w:szCs w:val="22"/>
        </w:rPr>
        <w:t xml:space="preserve"> p&lt;0.001); (f) Greenhouse Stomatal Ratio (</w:t>
      </w:r>
      <w:proofErr w:type="spellStart"/>
      <w:r w:rsidRPr="00A51466">
        <w:rPr>
          <w:b w:val="0"/>
          <w:bCs w:val="0"/>
          <w:sz w:val="22"/>
          <w:szCs w:val="22"/>
        </w:rPr>
        <w:t>ad:abaxial</w:t>
      </w:r>
      <w:proofErr w:type="spellEnd"/>
      <w:r w:rsidRPr="00A51466">
        <w:rPr>
          <w:b w:val="0"/>
          <w:bCs w:val="0"/>
          <w:sz w:val="22"/>
          <w:szCs w:val="22"/>
        </w:rPr>
        <w:t>; Prov</w:t>
      </w:r>
      <w:r w:rsidRPr="00A51466">
        <w:rPr>
          <w:b w:val="0"/>
          <w:bCs w:val="0"/>
          <w:sz w:val="22"/>
          <w:szCs w:val="22"/>
          <w:vertAlign w:val="subscript"/>
        </w:rPr>
        <w:t>2-1</w:t>
      </w:r>
      <w:r w:rsidRPr="00A51466">
        <w:rPr>
          <w:b w:val="0"/>
          <w:bCs w:val="0"/>
          <w:sz w:val="22"/>
          <w:szCs w:val="22"/>
        </w:rPr>
        <w:t xml:space="preserve"> p=0.068); (g) Field Abaxial Stomatal Pore Length (</w:t>
      </w:r>
      <w:r w:rsidRPr="00A51466">
        <w:rPr>
          <w:rFonts w:ascii="Cambria Math" w:hAnsi="Cambria Math" w:cs="Cambria Math"/>
          <w:b w:val="0"/>
          <w:bCs w:val="0"/>
          <w:sz w:val="22"/>
          <w:szCs w:val="22"/>
        </w:rPr>
        <w:t>𝜇</w:t>
      </w:r>
      <w:r w:rsidRPr="00A51466">
        <w:rPr>
          <w:b w:val="0"/>
          <w:bCs w:val="0"/>
          <w:sz w:val="22"/>
          <w:szCs w:val="22"/>
        </w:rPr>
        <w:t>m); (h) Greenhouse Abaxial Stomatal Pore Length (</w:t>
      </w:r>
      <w:r w:rsidRPr="00A51466">
        <w:rPr>
          <w:rFonts w:ascii="Cambria Math" w:hAnsi="Cambria Math" w:cs="Cambria Math"/>
          <w:b w:val="0"/>
          <w:bCs w:val="0"/>
          <w:sz w:val="22"/>
          <w:szCs w:val="22"/>
        </w:rPr>
        <w:t>𝜇</w:t>
      </w:r>
      <w:r w:rsidRPr="00A51466">
        <w:rPr>
          <w:b w:val="0"/>
          <w:bCs w:val="0"/>
          <w:sz w:val="22"/>
          <w:szCs w:val="22"/>
        </w:rPr>
        <w:t>m; Prov</w:t>
      </w:r>
      <w:r w:rsidRPr="00A51466">
        <w:rPr>
          <w:b w:val="0"/>
          <w:bCs w:val="0"/>
          <w:sz w:val="22"/>
          <w:szCs w:val="22"/>
          <w:vertAlign w:val="subscript"/>
        </w:rPr>
        <w:t xml:space="preserve">2-1 </w:t>
      </w:r>
      <w:r w:rsidRPr="00A51466">
        <w:rPr>
          <w:b w:val="0"/>
          <w:bCs w:val="0"/>
          <w:sz w:val="22"/>
          <w:szCs w:val="22"/>
        </w:rPr>
        <w:t>p=0.009; Prov</w:t>
      </w:r>
      <w:r w:rsidRPr="00A51466">
        <w:rPr>
          <w:b w:val="0"/>
          <w:bCs w:val="0"/>
          <w:sz w:val="22"/>
          <w:szCs w:val="22"/>
          <w:vertAlign w:val="subscript"/>
        </w:rPr>
        <w:t>3-1</w:t>
      </w:r>
      <w:r w:rsidRPr="00A51466">
        <w:rPr>
          <w:b w:val="0"/>
          <w:bCs w:val="0"/>
          <w:sz w:val="22"/>
          <w:szCs w:val="22"/>
        </w:rPr>
        <w:t xml:space="preserve"> p=0.059).</w:t>
      </w:r>
      <w:bookmarkEnd w:id="25"/>
    </w:p>
    <w:p w14:paraId="098928AD" w14:textId="77777777" w:rsidR="008161B3" w:rsidRDefault="008161B3">
      <w:pPr>
        <w:rPr>
          <w:sz w:val="22"/>
          <w:szCs w:val="22"/>
        </w:rPr>
      </w:pPr>
      <w:r>
        <w:rPr>
          <w:b/>
          <w:bCs/>
          <w:sz w:val="22"/>
          <w:szCs w:val="22"/>
        </w:rPr>
        <w:br w:type="page"/>
      </w:r>
    </w:p>
    <w:p w14:paraId="1CF5C265" w14:textId="5BED6997" w:rsidR="004D30B5" w:rsidRPr="00E443E3" w:rsidRDefault="008161B3" w:rsidP="004D30B5">
      <w:pPr>
        <w:pStyle w:val="Caption"/>
        <w:rPr>
          <w:b w:val="0"/>
          <w:bCs w:val="0"/>
          <w:sz w:val="22"/>
          <w:szCs w:val="22"/>
        </w:rPr>
      </w:pPr>
      <w:r>
        <w:rPr>
          <w:noProof/>
        </w:rPr>
        <w:lastRenderedPageBreak/>
        <w:drawing>
          <wp:inline distT="0" distB="0" distL="0" distR="0" wp14:anchorId="5F3C7193" wp14:editId="2CDE0D1D">
            <wp:extent cx="5294145" cy="1764030"/>
            <wp:effectExtent l="0" t="0" r="1905" b="1270"/>
            <wp:docPr id="9" name="Picture 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scatter chart&#10;&#10;Description automatically generated"/>
                    <pic:cNvPicPr/>
                  </pic:nvPicPr>
                  <pic:blipFill rotWithShape="1">
                    <a:blip r:embed="rId10" cstate="print">
                      <a:extLst>
                        <a:ext uri="{28A0092B-C50C-407E-A947-70E740481C1C}">
                          <a14:useLocalDpi xmlns:a14="http://schemas.microsoft.com/office/drawing/2010/main" val="0"/>
                        </a:ext>
                      </a:extLst>
                    </a:blip>
                    <a:srcRect l="4844" t="14865" r="5215" b="17440"/>
                    <a:stretch/>
                  </pic:blipFill>
                  <pic:spPr bwMode="auto">
                    <a:xfrm>
                      <a:off x="0" y="0"/>
                      <a:ext cx="5314376" cy="1770771"/>
                    </a:xfrm>
                    <a:prstGeom prst="rect">
                      <a:avLst/>
                    </a:prstGeom>
                    <a:ln>
                      <a:noFill/>
                    </a:ln>
                    <a:extLst>
                      <a:ext uri="{53640926-AAD7-44D8-BBD7-CCE9431645EC}">
                        <a14:shadowObscured xmlns:a14="http://schemas.microsoft.com/office/drawing/2010/main"/>
                      </a:ext>
                    </a:extLst>
                  </pic:spPr>
                </pic:pic>
              </a:graphicData>
            </a:graphic>
          </wp:inline>
        </w:drawing>
      </w:r>
    </w:p>
    <w:p w14:paraId="5783C989" w14:textId="3BB2B3D5" w:rsidR="008161B3" w:rsidRPr="00E443E3" w:rsidRDefault="008161B3" w:rsidP="00A51466">
      <w:pPr>
        <w:pStyle w:val="Caption"/>
        <w:jc w:val="both"/>
        <w:rPr>
          <w:b w:val="0"/>
          <w:bCs w:val="0"/>
          <w:sz w:val="22"/>
          <w:szCs w:val="22"/>
        </w:rPr>
      </w:pPr>
      <w:bookmarkStart w:id="26" w:name="_Toc88053998"/>
      <w:r w:rsidRPr="00E443E3">
        <w:rPr>
          <w:sz w:val="22"/>
          <w:szCs w:val="22"/>
        </w:rPr>
        <w:t xml:space="preserve">Figure </w:t>
      </w:r>
      <w:r w:rsidRPr="00E443E3">
        <w:rPr>
          <w:sz w:val="22"/>
          <w:szCs w:val="22"/>
        </w:rPr>
        <w:fldChar w:fldCharType="begin"/>
      </w:r>
      <w:r w:rsidRPr="00E443E3">
        <w:rPr>
          <w:sz w:val="22"/>
          <w:szCs w:val="22"/>
        </w:rPr>
        <w:instrText xml:space="preserve"> SEQ Figure \* ARABIC </w:instrText>
      </w:r>
      <w:r w:rsidRPr="00E443E3">
        <w:rPr>
          <w:sz w:val="22"/>
          <w:szCs w:val="22"/>
        </w:rPr>
        <w:fldChar w:fldCharType="separate"/>
      </w:r>
      <w:r w:rsidRPr="00E443E3">
        <w:rPr>
          <w:noProof/>
          <w:sz w:val="22"/>
          <w:szCs w:val="22"/>
        </w:rPr>
        <w:t>3</w:t>
      </w:r>
      <w:r w:rsidRPr="00E443E3">
        <w:rPr>
          <w:sz w:val="22"/>
          <w:szCs w:val="22"/>
        </w:rPr>
        <w:fldChar w:fldCharType="end"/>
      </w:r>
      <w:r w:rsidRPr="00E443E3">
        <w:rPr>
          <w:sz w:val="22"/>
          <w:szCs w:val="22"/>
        </w:rPr>
        <w:t xml:space="preserve">. Water-regulatory traits related to hydrologic variables on the landscape. </w:t>
      </w:r>
      <w:r w:rsidRPr="00E443E3">
        <w:rPr>
          <w:b w:val="0"/>
          <w:bCs w:val="0"/>
          <w:sz w:val="22"/>
          <w:szCs w:val="22"/>
        </w:rPr>
        <w:t xml:space="preserve">(a) Greenhouse biomass (g) of </w:t>
      </w:r>
      <w:r w:rsidRPr="00E443E3">
        <w:rPr>
          <w:b w:val="0"/>
          <w:bCs w:val="0"/>
          <w:i/>
          <w:iCs/>
          <w:sz w:val="22"/>
          <w:szCs w:val="22"/>
        </w:rPr>
        <w:t>Populus angustifolia</w:t>
      </w:r>
      <w:r w:rsidRPr="00E443E3">
        <w:rPr>
          <w:b w:val="0"/>
          <w:bCs w:val="0"/>
          <w:sz w:val="22"/>
          <w:szCs w:val="22"/>
        </w:rPr>
        <w:t xml:space="preserve"> increases with Dryness Index (PET/P) (estimate=160.6, slope=21.3, N=381, p=0.00025); (b) Greenhouse stomatal density increases with atmospheric demand (PET); Field stomatal density does not (grey dotted line and points); (c) Genetic Trait Correlation. Population means and standard errors of greenhouse stomatal density and biomass (R</w:t>
      </w:r>
      <w:r w:rsidRPr="00E443E3">
        <w:rPr>
          <w:b w:val="0"/>
          <w:bCs w:val="0"/>
          <w:sz w:val="22"/>
          <w:szCs w:val="22"/>
          <w:vertAlign w:val="superscript"/>
        </w:rPr>
        <w:t>2</w:t>
      </w:r>
      <w:r w:rsidRPr="00E443E3">
        <w:rPr>
          <w:b w:val="0"/>
          <w:bCs w:val="0"/>
          <w:sz w:val="22"/>
          <w:szCs w:val="22"/>
        </w:rPr>
        <w:t>=0.80, p=0.016). Provenance color follows Figure 1 for all panels.</w:t>
      </w:r>
      <w:bookmarkEnd w:id="26"/>
    </w:p>
    <w:p w14:paraId="51A9D8F4" w14:textId="77777777" w:rsidR="008161B3" w:rsidRDefault="008161B3">
      <w:pPr>
        <w:rPr>
          <w:sz w:val="22"/>
          <w:szCs w:val="22"/>
        </w:rPr>
      </w:pPr>
      <w:r>
        <w:rPr>
          <w:sz w:val="22"/>
          <w:szCs w:val="22"/>
        </w:rPr>
        <w:br w:type="page"/>
      </w:r>
    </w:p>
    <w:p w14:paraId="30DD7A89" w14:textId="4ADBA545" w:rsidR="008161B3" w:rsidRPr="008161B3" w:rsidRDefault="008161B3" w:rsidP="008161B3">
      <w:pPr>
        <w:rPr>
          <w:sz w:val="22"/>
          <w:szCs w:val="22"/>
        </w:rPr>
      </w:pPr>
      <w:r>
        <w:rPr>
          <w:bCs/>
          <w:noProof/>
        </w:rPr>
        <w:lastRenderedPageBreak/>
        <mc:AlternateContent>
          <mc:Choice Requires="wps">
            <w:drawing>
              <wp:anchor distT="0" distB="0" distL="114300" distR="114300" simplePos="0" relativeHeight="251661312" behindDoc="0" locked="0" layoutInCell="1" allowOverlap="1" wp14:anchorId="558D482D" wp14:editId="659304B0">
                <wp:simplePos x="0" y="0"/>
                <wp:positionH relativeFrom="column">
                  <wp:posOffset>-2969</wp:posOffset>
                </wp:positionH>
                <wp:positionV relativeFrom="paragraph">
                  <wp:posOffset>3562596</wp:posOffset>
                </wp:positionV>
                <wp:extent cx="328295" cy="366296"/>
                <wp:effectExtent l="0" t="0" r="1905" b="2540"/>
                <wp:wrapNone/>
                <wp:docPr id="12" name="Rectangle 12"/>
                <wp:cNvGraphicFramePr/>
                <a:graphic xmlns:a="http://schemas.openxmlformats.org/drawingml/2006/main">
                  <a:graphicData uri="http://schemas.microsoft.com/office/word/2010/wordprocessingShape">
                    <wps:wsp>
                      <wps:cNvSpPr/>
                      <wps:spPr>
                        <a:xfrm flipV="1">
                          <a:off x="0" y="0"/>
                          <a:ext cx="328295" cy="36629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0D4BEF" id="Rectangle 12" o:spid="_x0000_s1026" style="position:absolute;margin-left:-.25pt;margin-top:280.5pt;width:25.85pt;height:28.85pt;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" fillcolor="white [3212]" stroked="f" strokeweight="2pt"/>
            </w:pict>
          </mc:Fallback>
        </mc:AlternateContent>
      </w:r>
      <w:r>
        <w:rPr>
          <w:b/>
          <w:noProof/>
        </w:rPr>
        <w:drawing>
          <wp:inline distT="0" distB="0" distL="0" distR="0" wp14:anchorId="31C6084D" wp14:editId="02322294">
            <wp:extent cx="5285873" cy="4072205"/>
            <wp:effectExtent l="0" t="0" r="0" b="508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rotWithShape="1">
                    <a:blip r:embed="rId11" cstate="print">
                      <a:extLst>
                        <a:ext uri="{28A0092B-C50C-407E-A947-70E740481C1C}">
                          <a14:useLocalDpi xmlns:a14="http://schemas.microsoft.com/office/drawing/2010/main" val="0"/>
                        </a:ext>
                      </a:extLst>
                    </a:blip>
                    <a:srcRect l="14035"/>
                    <a:stretch/>
                  </pic:blipFill>
                  <pic:spPr bwMode="auto">
                    <a:xfrm>
                      <a:off x="0" y="0"/>
                      <a:ext cx="5297290" cy="4081000"/>
                    </a:xfrm>
                    <a:prstGeom prst="rect">
                      <a:avLst/>
                    </a:prstGeom>
                    <a:ln>
                      <a:noFill/>
                    </a:ln>
                    <a:extLst>
                      <a:ext uri="{53640926-AAD7-44D8-BBD7-CCE9431645EC}">
                        <a14:shadowObscured xmlns:a14="http://schemas.microsoft.com/office/drawing/2010/main"/>
                      </a:ext>
                    </a:extLst>
                  </pic:spPr>
                </pic:pic>
              </a:graphicData>
            </a:graphic>
          </wp:inline>
        </w:drawing>
      </w:r>
    </w:p>
    <w:p w14:paraId="7640E257" w14:textId="0883D566" w:rsidR="008161B3" w:rsidRPr="008161B3" w:rsidRDefault="008161B3" w:rsidP="00A51466">
      <w:pPr>
        <w:jc w:val="both"/>
        <w:rPr>
          <w:bCs/>
          <w:sz w:val="22"/>
          <w:szCs w:val="22"/>
        </w:rPr>
      </w:pPr>
      <w:bookmarkStart w:id="27" w:name="_Toc88053999"/>
      <w:r w:rsidRPr="00911272">
        <w:rPr>
          <w:b/>
          <w:bCs/>
          <w:sz w:val="22"/>
          <w:szCs w:val="22"/>
        </w:rPr>
        <w:t xml:space="preserve">Figure </w:t>
      </w:r>
      <w:r w:rsidRPr="00911272">
        <w:rPr>
          <w:b/>
          <w:bCs/>
          <w:sz w:val="22"/>
          <w:szCs w:val="22"/>
        </w:rPr>
        <w:fldChar w:fldCharType="begin"/>
      </w:r>
      <w:r w:rsidRPr="00911272">
        <w:rPr>
          <w:b/>
          <w:bCs/>
          <w:sz w:val="22"/>
          <w:szCs w:val="22"/>
        </w:rPr>
        <w:instrText xml:space="preserve"> SEQ Figure \* ARABIC </w:instrText>
      </w:r>
      <w:r w:rsidRPr="00911272">
        <w:rPr>
          <w:b/>
          <w:bCs/>
          <w:sz w:val="22"/>
          <w:szCs w:val="22"/>
        </w:rPr>
        <w:fldChar w:fldCharType="separate"/>
      </w:r>
      <w:r w:rsidRPr="00911272">
        <w:rPr>
          <w:b/>
          <w:bCs/>
          <w:noProof/>
          <w:sz w:val="22"/>
          <w:szCs w:val="22"/>
        </w:rPr>
        <w:t>4</w:t>
      </w:r>
      <w:r w:rsidRPr="00911272">
        <w:rPr>
          <w:b/>
          <w:bCs/>
          <w:sz w:val="22"/>
          <w:szCs w:val="22"/>
        </w:rPr>
        <w:fldChar w:fldCharType="end"/>
      </w:r>
      <w:r w:rsidRPr="00911272">
        <w:rPr>
          <w:b/>
          <w:bCs/>
          <w:sz w:val="22"/>
          <w:szCs w:val="22"/>
        </w:rPr>
        <w:t>. (a) Dual isotope plot comparing stable oxygen (</w:t>
      </w:r>
      <w:r w:rsidRPr="00911272">
        <w:rPr>
          <w:b/>
          <w:bCs/>
          <w:sz w:val="22"/>
          <w:szCs w:val="22"/>
          <w:vertAlign w:val="superscript"/>
        </w:rPr>
        <w:t>18</w:t>
      </w:r>
      <w:r w:rsidRPr="00911272">
        <w:rPr>
          <w:b/>
          <w:bCs/>
          <w:sz w:val="22"/>
          <w:szCs w:val="22"/>
        </w:rPr>
        <w:t>O/</w:t>
      </w:r>
      <w:r w:rsidRPr="00911272">
        <w:rPr>
          <w:b/>
          <w:bCs/>
          <w:sz w:val="22"/>
          <w:szCs w:val="22"/>
          <w:vertAlign w:val="superscript"/>
        </w:rPr>
        <w:t>16</w:t>
      </w:r>
      <w:r w:rsidRPr="00911272">
        <w:rPr>
          <w:b/>
          <w:bCs/>
          <w:sz w:val="22"/>
          <w:szCs w:val="22"/>
        </w:rPr>
        <w:t>O) and hydrogen (</w:t>
      </w:r>
      <w:r w:rsidRPr="00911272">
        <w:rPr>
          <w:b/>
          <w:bCs/>
          <w:sz w:val="22"/>
          <w:szCs w:val="22"/>
          <w:vertAlign w:val="superscript"/>
        </w:rPr>
        <w:t>2</w:t>
      </w:r>
      <w:r w:rsidRPr="00911272">
        <w:rPr>
          <w:b/>
          <w:bCs/>
          <w:sz w:val="22"/>
          <w:szCs w:val="22"/>
        </w:rPr>
        <w:t>H/</w:t>
      </w:r>
      <w:r w:rsidRPr="00911272">
        <w:rPr>
          <w:b/>
          <w:bCs/>
          <w:sz w:val="22"/>
          <w:szCs w:val="22"/>
          <w:vertAlign w:val="superscript"/>
        </w:rPr>
        <w:t>1</w:t>
      </w:r>
      <w:r w:rsidRPr="00911272">
        <w:rPr>
          <w:b/>
          <w:bCs/>
          <w:sz w:val="22"/>
          <w:szCs w:val="22"/>
        </w:rPr>
        <w:t xml:space="preserve">H) ratios (expressed per </w:t>
      </w:r>
      <w:proofErr w:type="spellStart"/>
      <w:r w:rsidRPr="00911272">
        <w:rPr>
          <w:b/>
          <w:bCs/>
          <w:sz w:val="22"/>
          <w:szCs w:val="22"/>
        </w:rPr>
        <w:t>mille</w:t>
      </w:r>
      <w:proofErr w:type="spellEnd"/>
      <w:r w:rsidRPr="00911272">
        <w:rPr>
          <w:b/>
          <w:bCs/>
          <w:sz w:val="22"/>
          <w:szCs w:val="22"/>
        </w:rPr>
        <w:t>).</w:t>
      </w:r>
      <w:r w:rsidRPr="008161B3">
        <w:rPr>
          <w:bCs/>
          <w:sz w:val="22"/>
          <w:szCs w:val="22"/>
        </w:rPr>
        <w:t xml:space="preserve"> The local meteoric water line (LMWL) representing isotopic composition of precipitation in June is represented by the dotted black line (y = 7.01x + 3.77, R</w:t>
      </w:r>
      <w:r w:rsidRPr="008161B3">
        <w:rPr>
          <w:bCs/>
          <w:sz w:val="22"/>
          <w:szCs w:val="22"/>
          <w:vertAlign w:val="superscript"/>
        </w:rPr>
        <w:t xml:space="preserve">2 </w:t>
      </w:r>
      <w:r w:rsidRPr="008161B3">
        <w:rPr>
          <w:bCs/>
          <w:sz w:val="22"/>
          <w:szCs w:val="22"/>
        </w:rPr>
        <w:t>= 0.99). Blue points represent stream samples collected at the mid-elevation site along each of the six rivers. Soil (brown line; y = 4.45x – 53.6, R</w:t>
      </w:r>
      <w:r w:rsidRPr="008161B3">
        <w:rPr>
          <w:bCs/>
          <w:sz w:val="22"/>
          <w:szCs w:val="22"/>
          <w:vertAlign w:val="superscript"/>
        </w:rPr>
        <w:t xml:space="preserve">2 </w:t>
      </w:r>
      <w:r w:rsidRPr="008161B3">
        <w:rPr>
          <w:bCs/>
          <w:sz w:val="22"/>
          <w:szCs w:val="22"/>
        </w:rPr>
        <w:t xml:space="preserve">= 0.82), </w:t>
      </w:r>
      <w:r w:rsidRPr="008161B3">
        <w:rPr>
          <w:bCs/>
          <w:i/>
          <w:iCs/>
          <w:sz w:val="22"/>
          <w:szCs w:val="22"/>
        </w:rPr>
        <w:t>P. angustifolia</w:t>
      </w:r>
      <w:r w:rsidRPr="008161B3">
        <w:rPr>
          <w:bCs/>
          <w:sz w:val="22"/>
          <w:szCs w:val="22"/>
        </w:rPr>
        <w:t xml:space="preserve"> stem (dark green; y = 5.65x – 38.07, R</w:t>
      </w:r>
      <w:r w:rsidRPr="008161B3">
        <w:rPr>
          <w:bCs/>
          <w:sz w:val="22"/>
          <w:szCs w:val="22"/>
          <w:vertAlign w:val="superscript"/>
        </w:rPr>
        <w:t xml:space="preserve">2 </w:t>
      </w:r>
      <w:r w:rsidRPr="008161B3">
        <w:rPr>
          <w:bCs/>
          <w:sz w:val="22"/>
          <w:szCs w:val="22"/>
        </w:rPr>
        <w:t>= 0.77) and leaf (light green; y = 3.22x -72.52, R</w:t>
      </w:r>
      <w:r w:rsidRPr="008161B3">
        <w:rPr>
          <w:bCs/>
          <w:sz w:val="22"/>
          <w:szCs w:val="22"/>
          <w:vertAlign w:val="superscript"/>
        </w:rPr>
        <w:t xml:space="preserve">2 </w:t>
      </w:r>
      <w:r w:rsidRPr="008161B3">
        <w:rPr>
          <w:bCs/>
          <w:sz w:val="22"/>
          <w:szCs w:val="22"/>
        </w:rPr>
        <w:t>= 0.95) samples are also represented. Populations are represented by symbols. Line conditioned excess values for soil (b), stem (c), and leaf (d) samples by provenance. Asterisks refer to statistically significant differences between provenances.</w:t>
      </w:r>
      <w:bookmarkEnd w:id="27"/>
    </w:p>
    <w:p w14:paraId="581AD308" w14:textId="77777777" w:rsidR="008161B3" w:rsidRDefault="008161B3">
      <w:pPr>
        <w:rPr>
          <w:bCs/>
        </w:rPr>
      </w:pPr>
      <w:r>
        <w:rPr>
          <w:bCs/>
        </w:rPr>
        <w:br w:type="page"/>
      </w:r>
    </w:p>
    <w:p w14:paraId="09D6CFEB" w14:textId="41E1CED5" w:rsidR="004D30B5" w:rsidRDefault="008161B3" w:rsidP="008161B3">
      <w:pPr>
        <w:rPr>
          <w:bCs/>
        </w:rPr>
      </w:pPr>
      <w:r>
        <w:rPr>
          <w:noProof/>
        </w:rPr>
        <w:lastRenderedPageBreak/>
        <w:drawing>
          <wp:inline distT="0" distB="0" distL="0" distR="0" wp14:anchorId="3050EB1D" wp14:editId="0C70C106">
            <wp:extent cx="5486400" cy="2314026"/>
            <wp:effectExtent l="0" t="0" r="0" b="0"/>
            <wp:docPr id="13" name="Picture 1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scatter chart&#10;&#10;Description automatically generated"/>
                    <pic:cNvPicPr/>
                  </pic:nvPicPr>
                  <pic:blipFill rotWithShape="1">
                    <a:blip r:embed="rId12">
                      <a:extLst>
                        <a:ext uri="{28A0092B-C50C-407E-A947-70E740481C1C}">
                          <a14:useLocalDpi xmlns:a14="http://schemas.microsoft.com/office/drawing/2010/main" val="0"/>
                        </a:ext>
                      </a:extLst>
                    </a:blip>
                    <a:srcRect l="3409" t="9982" r="3005" b="15161"/>
                    <a:stretch/>
                  </pic:blipFill>
                  <pic:spPr bwMode="auto">
                    <a:xfrm>
                      <a:off x="0" y="0"/>
                      <a:ext cx="5486400" cy="2314026"/>
                    </a:xfrm>
                    <a:prstGeom prst="rect">
                      <a:avLst/>
                    </a:prstGeom>
                    <a:ln>
                      <a:noFill/>
                    </a:ln>
                    <a:extLst>
                      <a:ext uri="{53640926-AAD7-44D8-BBD7-CCE9431645EC}">
                        <a14:shadowObscured xmlns:a14="http://schemas.microsoft.com/office/drawing/2010/main"/>
                      </a:ext>
                    </a:extLst>
                  </pic:spPr>
                </pic:pic>
              </a:graphicData>
            </a:graphic>
          </wp:inline>
        </w:drawing>
      </w:r>
    </w:p>
    <w:p w14:paraId="0EC88E09" w14:textId="77777777" w:rsidR="008161B3" w:rsidRPr="008161B3" w:rsidRDefault="008161B3" w:rsidP="008161B3">
      <w:pPr>
        <w:rPr>
          <w:bCs/>
          <w:sz w:val="22"/>
          <w:szCs w:val="22"/>
        </w:rPr>
      </w:pPr>
    </w:p>
    <w:p w14:paraId="1636CBAC" w14:textId="161F0451" w:rsidR="008161B3" w:rsidRPr="00A51466" w:rsidRDefault="008161B3" w:rsidP="00A51466">
      <w:pPr>
        <w:jc w:val="both"/>
        <w:rPr>
          <w:bCs/>
          <w:sz w:val="22"/>
          <w:szCs w:val="22"/>
        </w:rPr>
      </w:pPr>
      <w:bookmarkStart w:id="28" w:name="_Toc88054000"/>
      <w:r w:rsidRPr="00911272">
        <w:rPr>
          <w:b/>
          <w:bCs/>
          <w:sz w:val="22"/>
          <w:szCs w:val="22"/>
        </w:rPr>
        <w:t xml:space="preserve">Figure </w:t>
      </w:r>
      <w:r w:rsidRPr="00911272">
        <w:rPr>
          <w:b/>
          <w:bCs/>
          <w:sz w:val="22"/>
          <w:szCs w:val="22"/>
        </w:rPr>
        <w:fldChar w:fldCharType="begin"/>
      </w:r>
      <w:r w:rsidRPr="00911272">
        <w:rPr>
          <w:b/>
          <w:bCs/>
          <w:sz w:val="22"/>
          <w:szCs w:val="22"/>
        </w:rPr>
        <w:instrText xml:space="preserve"> SEQ Figure \* ARABIC </w:instrText>
      </w:r>
      <w:r w:rsidRPr="00911272">
        <w:rPr>
          <w:b/>
          <w:bCs/>
          <w:sz w:val="22"/>
          <w:szCs w:val="22"/>
        </w:rPr>
        <w:fldChar w:fldCharType="separate"/>
      </w:r>
      <w:r w:rsidRPr="00911272">
        <w:rPr>
          <w:b/>
          <w:bCs/>
          <w:noProof/>
          <w:sz w:val="22"/>
          <w:szCs w:val="22"/>
        </w:rPr>
        <w:t>5</w:t>
      </w:r>
      <w:r w:rsidRPr="00911272">
        <w:rPr>
          <w:b/>
          <w:bCs/>
          <w:sz w:val="22"/>
          <w:szCs w:val="22"/>
        </w:rPr>
        <w:fldChar w:fldCharType="end"/>
      </w:r>
      <w:r w:rsidRPr="00911272">
        <w:rPr>
          <w:b/>
          <w:bCs/>
          <w:sz w:val="22"/>
          <w:szCs w:val="22"/>
        </w:rPr>
        <w:t>. Landscape-Vegetation-Atmospheric Feedback.</w:t>
      </w:r>
      <w:r w:rsidRPr="008161B3">
        <w:rPr>
          <w:bCs/>
          <w:sz w:val="22"/>
          <w:szCs w:val="22"/>
        </w:rPr>
        <w:t xml:space="preserve"> (a) The Evaporative Index (AET/P) is significantly related to stomatal ratio in the field (filled diamonds, black line; R</w:t>
      </w:r>
      <w:r w:rsidRPr="008161B3">
        <w:rPr>
          <w:bCs/>
          <w:sz w:val="22"/>
          <w:szCs w:val="22"/>
          <w:vertAlign w:val="superscript"/>
        </w:rPr>
        <w:t>2</w:t>
      </w:r>
      <w:r w:rsidRPr="008161B3">
        <w:rPr>
          <w:bCs/>
          <w:sz w:val="22"/>
          <w:szCs w:val="22"/>
        </w:rPr>
        <w:t>= -0.35, df=106, p=0.00023) and in the greenhouse (open diamonds, grey line; R</w:t>
      </w:r>
      <w:r w:rsidRPr="008161B3">
        <w:rPr>
          <w:bCs/>
          <w:sz w:val="22"/>
          <w:szCs w:val="22"/>
          <w:vertAlign w:val="superscript"/>
        </w:rPr>
        <w:t>2</w:t>
      </w:r>
      <w:r w:rsidRPr="008161B3">
        <w:rPr>
          <w:bCs/>
          <w:sz w:val="22"/>
          <w:szCs w:val="22"/>
        </w:rPr>
        <w:t>= -0.23, df=77, p=0.039); (b) Conceptual figure representing role of vegetation in the water cycle; (c) The ratio of actual evapotranspiration (AET) to potential evapotranspiration (PET) indicates the relationship between water-use on the landscape and atmospheric demand for water. The higher the ratio, the closer the landscape is to meeting the atmospheric demand for water; (d) Difference between predicted and actual streamflow, standardized by precipitation. Predicted streamflow standardized by precipitation was calculated as 1-[AET/P].</w:t>
      </w:r>
      <w:bookmarkEnd w:id="28"/>
      <w:r w:rsidRPr="008161B3">
        <w:rPr>
          <w:bCs/>
          <w:sz w:val="22"/>
          <w:szCs w:val="22"/>
        </w:rPr>
        <w:t xml:space="preserve"> </w:t>
      </w:r>
    </w:p>
    <w:p w14:paraId="4E36CCE2" w14:textId="29E34A2A" w:rsidR="00CE3A3E" w:rsidRPr="008161B3" w:rsidRDefault="00FF1665" w:rsidP="008161B3">
      <w:pPr>
        <w:pStyle w:val="Heading1"/>
      </w:pPr>
      <w:r w:rsidRPr="00DF7C87">
        <w:rPr>
          <w:sz w:val="24"/>
        </w:rPr>
        <w:br w:type="page"/>
      </w:r>
      <w:bookmarkStart w:id="29" w:name="_Toc289175833"/>
      <w:bookmarkStart w:id="30" w:name="_Toc88056480"/>
      <w:r w:rsidR="00CE3A3E" w:rsidRPr="008161B3">
        <w:lastRenderedPageBreak/>
        <w:t>CHAPTER I</w:t>
      </w:r>
      <w:r w:rsidR="00236E6D" w:rsidRPr="008161B3">
        <w:t>I</w:t>
      </w:r>
      <w:r w:rsidR="00E459DC" w:rsidRPr="008161B3">
        <w:br/>
      </w:r>
      <w:bookmarkEnd w:id="29"/>
      <w:r w:rsidR="008161B3" w:rsidRPr="008161B3">
        <w:rPr>
          <w:szCs w:val="28"/>
        </w:rPr>
        <w:t>Population-range models outperform species-range models in predicting geographic distributions</w:t>
      </w:r>
      <w:bookmarkEnd w:id="30"/>
    </w:p>
    <w:p w14:paraId="275EE1E1" w14:textId="77777777" w:rsidR="00F71ADC" w:rsidRPr="008161B3" w:rsidRDefault="00CE3A3E" w:rsidP="00F71ADC">
      <w:pPr>
        <w:rPr>
          <w:sz w:val="28"/>
          <w:szCs w:val="28"/>
        </w:rPr>
      </w:pPr>
      <w:r w:rsidRPr="008161B3">
        <w:rPr>
          <w:sz w:val="28"/>
          <w:szCs w:val="28"/>
        </w:rPr>
        <w:br w:type="page"/>
      </w:r>
    </w:p>
    <w:p w14:paraId="7E0C3E2A" w14:textId="77777777" w:rsidR="00236E6D" w:rsidRPr="00DF7C87" w:rsidRDefault="00CE4D4B" w:rsidP="00A51466">
      <w:pPr>
        <w:pStyle w:val="Heading2"/>
        <w:spacing w:line="360" w:lineRule="auto"/>
        <w:rPr>
          <w:sz w:val="24"/>
          <w:szCs w:val="24"/>
        </w:rPr>
      </w:pPr>
      <w:bookmarkStart w:id="31" w:name="_Toc289175834"/>
      <w:bookmarkStart w:id="32" w:name="_Toc88056481"/>
      <w:r w:rsidRPr="00DF7C87">
        <w:rPr>
          <w:sz w:val="24"/>
          <w:szCs w:val="24"/>
        </w:rPr>
        <w:lastRenderedPageBreak/>
        <w:t>Abstract</w:t>
      </w:r>
      <w:bookmarkEnd w:id="31"/>
      <w:bookmarkEnd w:id="32"/>
    </w:p>
    <w:p w14:paraId="11B0ED1A" w14:textId="7B154EE2" w:rsidR="00CE4D4B" w:rsidRPr="008161B3" w:rsidRDefault="008161B3" w:rsidP="00A51466">
      <w:pPr>
        <w:spacing w:line="360" w:lineRule="auto"/>
        <w:jc w:val="both"/>
        <w:rPr>
          <w:iCs/>
        </w:rPr>
      </w:pPr>
      <w:r w:rsidRPr="009237B4">
        <w:t>Identifying and predicting how plant and animal species ranges will change in response to climate change is paramount for conservation and restoration. Ecological niche models (</w:t>
      </w:r>
      <w:r w:rsidR="00DE413C">
        <w:t>SDM</w:t>
      </w:r>
      <w:r w:rsidRPr="009237B4">
        <w:t xml:space="preserve">s) are the </w:t>
      </w:r>
      <w:proofErr w:type="gramStart"/>
      <w:r w:rsidRPr="009237B4">
        <w:t>most commonly used</w:t>
      </w:r>
      <w:proofErr w:type="gramEnd"/>
      <w:r w:rsidRPr="009237B4">
        <w:t xml:space="preserve"> method to estimate potential distributions of species, but models traditionally omit knowledge that intraspecific variation can allow populations to respond uniquely to global change. Here, we test the extent to which population X environment relationships influence model predictions of suitable conditions and geographic distributions</w:t>
      </w:r>
      <w:r w:rsidRPr="009237B4">
        <w:rPr>
          <w:i/>
          <w:iCs/>
        </w:rPr>
        <w:t xml:space="preserve"> </w:t>
      </w:r>
      <w:r w:rsidRPr="009237B4">
        <w:t xml:space="preserve">by manipulating the geographic training extent of models based on knowledge of genetic substructure. </w:t>
      </w:r>
      <w:r w:rsidRPr="009237B4">
        <w:rPr>
          <w:iCs/>
        </w:rPr>
        <w:t xml:space="preserve">As hypothesized, the traditionally built species-range model </w:t>
      </w:r>
      <w:r w:rsidRPr="009237B4">
        <w:t xml:space="preserve">provides broad projections of suitable conditions: </w:t>
      </w:r>
      <w:r w:rsidRPr="009237B4">
        <w:rPr>
          <w:iCs/>
        </w:rPr>
        <w:t xml:space="preserve">when compared to models based on intraspecific genetic structure, the species-range models over-predicted extent of suitable conditions by as much as 62% and 87%, depending on the choice of environmental variables. </w:t>
      </w:r>
      <w:r w:rsidR="00DE413C">
        <w:rPr>
          <w:iCs/>
        </w:rPr>
        <w:t>SDM</w:t>
      </w:r>
      <w:r w:rsidRPr="009237B4">
        <w:rPr>
          <w:iCs/>
        </w:rPr>
        <w:t xml:space="preserve">s are generally thought to increase in utility with the inclusion of genetic information, though it is rarely incorporated. This </w:t>
      </w:r>
      <w:r w:rsidRPr="009237B4">
        <w:t>study also emphasizes the great extent to which these improvements depend on the type and selection of predictor variables, which has broad implications for predicting population-level ecological and evolutionary responses to climate change.</w:t>
      </w:r>
    </w:p>
    <w:p w14:paraId="4B84A7F5" w14:textId="77777777" w:rsidR="00CE4D4B" w:rsidRPr="00DF7C87" w:rsidRDefault="00CE4D4B" w:rsidP="00A51466">
      <w:pPr>
        <w:pStyle w:val="Heading2"/>
        <w:spacing w:line="360" w:lineRule="auto"/>
        <w:rPr>
          <w:sz w:val="24"/>
          <w:szCs w:val="24"/>
        </w:rPr>
      </w:pPr>
      <w:bookmarkStart w:id="33" w:name="_Toc289175835"/>
      <w:bookmarkStart w:id="34" w:name="_Toc88056482"/>
      <w:r w:rsidRPr="00DF7C87">
        <w:rPr>
          <w:sz w:val="24"/>
          <w:szCs w:val="24"/>
        </w:rPr>
        <w:t>Introduction</w:t>
      </w:r>
      <w:bookmarkEnd w:id="33"/>
      <w:bookmarkEnd w:id="34"/>
    </w:p>
    <w:p w14:paraId="77692150" w14:textId="6D0E80A9" w:rsidR="008161B3" w:rsidRPr="009237B4" w:rsidRDefault="008161B3" w:rsidP="00155C4B">
      <w:pPr>
        <w:keepNext/>
        <w:pBdr>
          <w:top w:val="nil"/>
          <w:left w:val="nil"/>
          <w:bottom w:val="nil"/>
          <w:right w:val="nil"/>
          <w:between w:val="nil"/>
        </w:pBdr>
        <w:spacing w:before="240" w:after="60" w:line="360" w:lineRule="auto"/>
        <w:jc w:val="both"/>
        <w:rPr>
          <w:b/>
          <w:color w:val="000000"/>
        </w:rPr>
      </w:pPr>
      <w:r w:rsidRPr="009237B4">
        <w:rPr>
          <w:bCs/>
          <w:color w:val="000000"/>
        </w:rPr>
        <w:t xml:space="preserve">Distribution models are a </w:t>
      </w:r>
      <w:r>
        <w:rPr>
          <w:bCs/>
          <w:color w:val="000000"/>
        </w:rPr>
        <w:t>valuable</w:t>
      </w:r>
      <w:r w:rsidRPr="009237B4">
        <w:rPr>
          <w:bCs/>
          <w:color w:val="000000"/>
        </w:rPr>
        <w:t xml:space="preserve"> tool for predicting species range dynamics in response to environmental changes, but a</w:t>
      </w:r>
      <w:r w:rsidRPr="009237B4">
        <w:t xml:space="preserve">n overwhelming number of </w:t>
      </w:r>
      <w:r w:rsidR="00DE413C">
        <w:t>species distribution models</w:t>
      </w:r>
      <w:r w:rsidRPr="009237B4">
        <w:t xml:space="preserve"> (</w:t>
      </w:r>
      <w:r w:rsidR="00DE413C">
        <w:t>SDM</w:t>
      </w:r>
      <w:r w:rsidRPr="009237B4">
        <w:t xml:space="preserve">s) ignore intraspecific variation (reviewed in Benito Garzón et al. 2019; Peterson, </w:t>
      </w:r>
      <w:proofErr w:type="spellStart"/>
      <w:r w:rsidRPr="009237B4">
        <w:t>Doak</w:t>
      </w:r>
      <w:proofErr w:type="spellEnd"/>
      <w:r w:rsidRPr="009237B4">
        <w:t xml:space="preserve">, &amp; Morris 2019). This is highly problematic given </w:t>
      </w:r>
      <w:r w:rsidRPr="009237B4">
        <w:rPr>
          <w:bCs/>
        </w:rPr>
        <w:t xml:space="preserve">the rate of climate change (Parmesan 2006, Burrows et al. 2011), advances in eco-evolutionary theory, and the frequency of distribution model use in the literature. </w:t>
      </w:r>
      <w:r w:rsidRPr="009237B4">
        <w:t xml:space="preserve">Consequently, models disregard key genotype-by-environment (G x E) and biotic (G x G) interactions across landscapes (G x G x E; Bailey et al. 2014, Van Nuland et al. 2016, Ware et al. 2019). Researchers can incorporate intraspecific variation into distribution models with knowledge of phenotypic groups, taxonomic units, genetic groups, or biogeographic regions. Intraspecific models can then be compared to each other and to species-wide models for a better understanding </w:t>
      </w:r>
      <w:r w:rsidRPr="009237B4">
        <w:lastRenderedPageBreak/>
        <w:t xml:space="preserve">of lineage-level differences in climatic-drivers of distribution and potential consequences of climate change (Peterson, </w:t>
      </w:r>
      <w:proofErr w:type="spellStart"/>
      <w:r w:rsidRPr="009237B4">
        <w:t>Doak</w:t>
      </w:r>
      <w:proofErr w:type="spellEnd"/>
      <w:r w:rsidRPr="009237B4">
        <w:t>, &amp; Morris 2019).</w:t>
      </w:r>
      <w:r w:rsidRPr="009237B4">
        <w:rPr>
          <w:color w:val="000000"/>
        </w:rPr>
        <w:t xml:space="preserve"> With information from these model comparisons, we can better identify where, and which, populations, communities, and ecosystems are most at risk to climate change.</w:t>
      </w:r>
    </w:p>
    <w:p w14:paraId="172FF420" w14:textId="77777777" w:rsidR="008161B3" w:rsidRPr="009237B4" w:rsidRDefault="008161B3" w:rsidP="00A51466">
      <w:pPr>
        <w:spacing w:line="360" w:lineRule="auto"/>
        <w:ind w:firstLine="720"/>
        <w:jc w:val="both"/>
      </w:pPr>
      <w:r w:rsidRPr="009237B4">
        <w:t xml:space="preserve">One way to consider intraspecific variation in spatial models is to incorporate underlying genetic sub-structure when delineating the geographic areas to represent the range extent in the models. Species are </w:t>
      </w:r>
      <w:r w:rsidRPr="009237B4">
        <w:rPr>
          <w:i/>
        </w:rPr>
        <w:t>not</w:t>
      </w:r>
      <w:r w:rsidRPr="009237B4">
        <w:t xml:space="preserve"> uniform entities across their geographic distributions, with common examples of locally adapted populations spread across geographic ranges and environmental gradients (Clausen, Keck, &amp; </w:t>
      </w:r>
      <w:proofErr w:type="spellStart"/>
      <w:r w:rsidRPr="009237B4">
        <w:t>Hiesey</w:t>
      </w:r>
      <w:proofErr w:type="spellEnd"/>
      <w:r w:rsidRPr="009237B4">
        <w:t xml:space="preserve"> 1940, </w:t>
      </w:r>
      <w:proofErr w:type="spellStart"/>
      <w:r w:rsidRPr="009237B4">
        <w:t>Leimu</w:t>
      </w:r>
      <w:proofErr w:type="spellEnd"/>
      <w:r w:rsidRPr="009237B4">
        <w:t xml:space="preserve"> &amp; Fisher 2008, Hereford 2009). Accommodating this information in models is critical, as locally adapted populations are likely to respond differently to environmental change, with implications for shifting species’ distributions and range limits (Hargreaves et al. 2014). Evidence to date suggests that including this information can produce more accurate models (Pearman et al. 2010, </w:t>
      </w:r>
      <w:proofErr w:type="spellStart"/>
      <w:r w:rsidRPr="009237B4">
        <w:t>Marcer</w:t>
      </w:r>
      <w:proofErr w:type="spellEnd"/>
      <w:r w:rsidRPr="009237B4">
        <w:t xml:space="preserve"> et al. 2016, Ikeda et al. 2017) and broader predictions (e.g.</w:t>
      </w:r>
      <w:r>
        <w:t>,</w:t>
      </w:r>
      <w:r w:rsidRPr="009237B4">
        <w:t xml:space="preserve"> </w:t>
      </w:r>
      <w:proofErr w:type="spellStart"/>
      <w:r w:rsidRPr="009237B4">
        <w:t>Oney</w:t>
      </w:r>
      <w:proofErr w:type="spellEnd"/>
      <w:r w:rsidRPr="009237B4">
        <w:t xml:space="preserve"> et al. 2013) of conserved distributions in future climate scenarios (</w:t>
      </w:r>
      <w:proofErr w:type="spellStart"/>
      <w:r w:rsidRPr="009237B4">
        <w:t>Gotelli</w:t>
      </w:r>
      <w:proofErr w:type="spellEnd"/>
      <w:r w:rsidRPr="009237B4">
        <w:t xml:space="preserve"> &amp; Stanton-Geddes 2015, Ikeda et al. 2017, Benito-Garzón et al. 2019, Peterson, </w:t>
      </w:r>
      <w:proofErr w:type="spellStart"/>
      <w:r w:rsidRPr="009237B4">
        <w:t>Doak</w:t>
      </w:r>
      <w:proofErr w:type="spellEnd"/>
      <w:r w:rsidRPr="009237B4">
        <w:t>, &amp; Morris 2019). Further, incorporating genetic structure into spatial models can help address limitations of correlative models relating abiotic variables to species occurrences (</w:t>
      </w:r>
      <w:proofErr w:type="spellStart"/>
      <w:r w:rsidRPr="009237B4">
        <w:t>Gotelli</w:t>
      </w:r>
      <w:proofErr w:type="spellEnd"/>
      <w:r w:rsidRPr="009237B4">
        <w:t xml:space="preserve"> &amp; Stanton-Geddes 2015, Phillips et al. 2006, Peterson et al. 2011). For instance, these methods perform well at predicting current distributions (</w:t>
      </w:r>
      <w:proofErr w:type="spellStart"/>
      <w:r w:rsidRPr="009237B4">
        <w:t>Elith</w:t>
      </w:r>
      <w:proofErr w:type="spellEnd"/>
      <w:r w:rsidRPr="009237B4">
        <w:t xml:space="preserve"> et al. 2010) but provide little insight into mechanisms underlying how and why species are distributed across environments (Warren et al. 2008, </w:t>
      </w:r>
      <w:proofErr w:type="spellStart"/>
      <w:r w:rsidRPr="009237B4">
        <w:t>Dormann</w:t>
      </w:r>
      <w:proofErr w:type="spellEnd"/>
      <w:r w:rsidRPr="009237B4">
        <w:t xml:space="preserve"> et al. 2012, </w:t>
      </w:r>
      <w:proofErr w:type="spellStart"/>
      <w:r w:rsidRPr="009237B4">
        <w:t>Gotelli</w:t>
      </w:r>
      <w:proofErr w:type="spellEnd"/>
      <w:r w:rsidRPr="009237B4">
        <w:t xml:space="preserve"> &amp; Stanton-Geddes 2015). </w:t>
      </w:r>
    </w:p>
    <w:p w14:paraId="25B51F0E" w14:textId="7BDFF65D" w:rsidR="008161B3" w:rsidRPr="009237B4" w:rsidRDefault="008161B3" w:rsidP="00A51466">
      <w:pPr>
        <w:spacing w:line="360" w:lineRule="auto"/>
        <w:ind w:firstLine="720"/>
        <w:jc w:val="both"/>
      </w:pPr>
      <w:r w:rsidRPr="009237B4">
        <w:t xml:space="preserve">The choice of relevant environmental predictors is important for the utility of models, especially as genetically distinct populations may be locally adapted or have varying tolerances to environmental stressors (Peterson, </w:t>
      </w:r>
      <w:proofErr w:type="spellStart"/>
      <w:r w:rsidRPr="009237B4">
        <w:t>Doak</w:t>
      </w:r>
      <w:proofErr w:type="spellEnd"/>
      <w:r w:rsidRPr="009237B4">
        <w:t xml:space="preserve">, &amp; Morris 2019). Assessments of environmental predictor choice in </w:t>
      </w:r>
      <w:r w:rsidR="00DE413C">
        <w:t>SDM</w:t>
      </w:r>
      <w:r w:rsidRPr="009237B4">
        <w:t xml:space="preserve">s consistently show differences in model accuracy or transferability to future climatic conditions or different geographic regions. Predictor choice (e.g., bioclimatic variables vs. land-use variables) affects model performance and thereby confidence in future predictions (e.g., </w:t>
      </w:r>
      <w:proofErr w:type="spellStart"/>
      <w:r w:rsidRPr="009237B4">
        <w:t>Synes</w:t>
      </w:r>
      <w:proofErr w:type="spellEnd"/>
      <w:r w:rsidRPr="009237B4">
        <w:t xml:space="preserve"> &amp; Osborne 2011). Model performance often improves with the inclusion of species-relevant predictors (e.g., </w:t>
      </w:r>
      <w:proofErr w:type="spellStart"/>
      <w:r w:rsidRPr="009237B4">
        <w:lastRenderedPageBreak/>
        <w:t>Petitpierre</w:t>
      </w:r>
      <w:proofErr w:type="spellEnd"/>
      <w:r w:rsidRPr="009237B4">
        <w:t xml:space="preserve"> et al. 2017), species ecological traits (e.g.</w:t>
      </w:r>
      <w:r>
        <w:t>,</w:t>
      </w:r>
      <w:r w:rsidRPr="009237B4">
        <w:t xml:space="preserve"> McPherson &amp; </w:t>
      </w:r>
      <w:proofErr w:type="spellStart"/>
      <w:r w:rsidRPr="009237B4">
        <w:t>Jetz</w:t>
      </w:r>
      <w:proofErr w:type="spellEnd"/>
      <w:r w:rsidRPr="009237B4">
        <w:t xml:space="preserve"> 2007), or ecosystem functioning variables (“EFAs”; Alcaraz-Segura et al. 2017, Arenas-Castro et al. 2018, </w:t>
      </w:r>
      <w:proofErr w:type="spellStart"/>
      <w:r w:rsidRPr="009237B4">
        <w:t>Regos</w:t>
      </w:r>
      <w:proofErr w:type="spellEnd"/>
      <w:r w:rsidRPr="009237B4">
        <w:t xml:space="preserve"> et al. 2019). Nevertheless, </w:t>
      </w:r>
      <w:r>
        <w:t>many</w:t>
      </w:r>
      <w:r w:rsidRPr="009237B4">
        <w:t xml:space="preserve"> models use </w:t>
      </w:r>
      <w:r>
        <w:t>substitute,</w:t>
      </w:r>
      <w:r w:rsidRPr="009237B4">
        <w:t xml:space="preserve"> </w:t>
      </w:r>
      <w:r>
        <w:t xml:space="preserve">or proximal, </w:t>
      </w:r>
      <w:r w:rsidRPr="009237B4">
        <w:t>predictor variables rather than species-specific predictor variables, which limits the accuracy of predictions when models are transferred across space or time (</w:t>
      </w:r>
      <w:proofErr w:type="spellStart"/>
      <w:r w:rsidRPr="009237B4">
        <w:t>Kühn</w:t>
      </w:r>
      <w:proofErr w:type="spellEnd"/>
      <w:r w:rsidRPr="009237B4">
        <w:t xml:space="preserve"> &amp; </w:t>
      </w:r>
      <w:proofErr w:type="spellStart"/>
      <w:r w:rsidRPr="009237B4">
        <w:t>Dormann</w:t>
      </w:r>
      <w:proofErr w:type="spellEnd"/>
      <w:r w:rsidRPr="009237B4">
        <w:t xml:space="preserve"> 2012; </w:t>
      </w:r>
      <w:proofErr w:type="spellStart"/>
      <w:r w:rsidRPr="009237B4">
        <w:t>Regos</w:t>
      </w:r>
      <w:proofErr w:type="spellEnd"/>
      <w:r w:rsidRPr="009237B4">
        <w:t xml:space="preserve"> et al. 2019). Assumptions about local adaptation to environmental conditions cannot be drawn without incorporating genetic structure into spatial models (Alvarado-Serrano &amp; Knowles, 2014; </w:t>
      </w:r>
      <w:proofErr w:type="spellStart"/>
      <w:r w:rsidRPr="009237B4">
        <w:t>Hällfors</w:t>
      </w:r>
      <w:proofErr w:type="spellEnd"/>
      <w:r w:rsidRPr="009237B4">
        <w:t xml:space="preserve"> et al. 2016; Peterson, </w:t>
      </w:r>
      <w:proofErr w:type="spellStart"/>
      <w:r w:rsidRPr="009237B4">
        <w:t>Doak</w:t>
      </w:r>
      <w:proofErr w:type="spellEnd"/>
      <w:r w:rsidRPr="009237B4">
        <w:t xml:space="preserve">, &amp; Morris, 2019), and it is important to consider that different environmental variables may be relevant for genetically different populations or groups. </w:t>
      </w:r>
    </w:p>
    <w:p w14:paraId="3075351A" w14:textId="77777777" w:rsidR="008161B3" w:rsidRPr="009237B4" w:rsidRDefault="008161B3" w:rsidP="00A51466">
      <w:pPr>
        <w:spacing w:line="360" w:lineRule="auto"/>
        <w:ind w:firstLine="720"/>
        <w:jc w:val="both"/>
      </w:pPr>
      <w:r w:rsidRPr="009237B4">
        <w:t>We used underlying genetic structure to delineate populations with which to build and compare spatial models and we recognize that this is just one way to include intraspecific variation in models (</w:t>
      </w:r>
      <w:r>
        <w:t xml:space="preserve">reviewed in </w:t>
      </w:r>
      <w:r w:rsidRPr="009237B4">
        <w:t>Benito-Garzón et al. 2019</w:t>
      </w:r>
      <w:r>
        <w:t xml:space="preserve"> and </w:t>
      </w:r>
      <w:r w:rsidRPr="009237B4">
        <w:t xml:space="preserve">Peterson, </w:t>
      </w:r>
      <w:proofErr w:type="spellStart"/>
      <w:r w:rsidRPr="009237B4">
        <w:t>Doak</w:t>
      </w:r>
      <w:proofErr w:type="spellEnd"/>
      <w:r w:rsidRPr="009237B4">
        <w:t>, &amp; Morris 2019). Consistent with pervasive G x E interactions known to exist on the landscape (Jump &amp; Penuelas 2005, Ware et al. 2019), our study aims to test how differences in predictions can result from manipulating factors related to species’ genetic variation and the environment</w:t>
      </w:r>
      <w:r>
        <w:t xml:space="preserve"> in distribution models</w:t>
      </w:r>
      <w:r w:rsidRPr="009237B4">
        <w:t xml:space="preserve">. Different predictor choices produce models with varying levels of transferability and accuracy – differences that are likely to compound with uncertainties inherent in future global change scenarios (McPherson &amp; </w:t>
      </w:r>
      <w:proofErr w:type="spellStart"/>
      <w:r w:rsidRPr="009237B4">
        <w:t>Jetz</w:t>
      </w:r>
      <w:proofErr w:type="spellEnd"/>
      <w:r w:rsidRPr="009237B4">
        <w:t xml:space="preserve"> 2007, </w:t>
      </w:r>
      <w:proofErr w:type="spellStart"/>
      <w:r w:rsidRPr="009237B4">
        <w:t>Synes</w:t>
      </w:r>
      <w:proofErr w:type="spellEnd"/>
      <w:r w:rsidRPr="009237B4">
        <w:t xml:space="preserve"> &amp; Osborne 2011, </w:t>
      </w:r>
      <w:proofErr w:type="spellStart"/>
      <w:r w:rsidRPr="009237B4">
        <w:t>Petitpierre</w:t>
      </w:r>
      <w:proofErr w:type="spellEnd"/>
      <w:r w:rsidRPr="009237B4">
        <w:t xml:space="preserve"> et al. 2017, </w:t>
      </w:r>
      <w:proofErr w:type="spellStart"/>
      <w:r w:rsidRPr="009237B4">
        <w:t>Regos</w:t>
      </w:r>
      <w:proofErr w:type="spellEnd"/>
      <w:r w:rsidRPr="009237B4">
        <w:t xml:space="preserve"> et al. 2019).</w:t>
      </w:r>
    </w:p>
    <w:p w14:paraId="6A32137D" w14:textId="10497867" w:rsidR="00236E6D" w:rsidRPr="00DF7C87" w:rsidRDefault="008161B3" w:rsidP="00A51466">
      <w:pPr>
        <w:spacing w:line="360" w:lineRule="auto"/>
        <w:ind w:firstLine="720"/>
        <w:jc w:val="both"/>
      </w:pPr>
      <w:r w:rsidRPr="009237B4">
        <w:t xml:space="preserve">Using known occurrences of genetically differentiated </w:t>
      </w:r>
      <w:r w:rsidRPr="009237B4">
        <w:rPr>
          <w:i/>
        </w:rPr>
        <w:t>Populus angustifolia</w:t>
      </w:r>
      <w:r w:rsidRPr="009237B4">
        <w:t xml:space="preserve"> </w:t>
      </w:r>
      <w:r w:rsidRPr="009237B4">
        <w:rPr>
          <w:color w:val="000000" w:themeColor="text1"/>
        </w:rPr>
        <w:t xml:space="preserve">provenances </w:t>
      </w:r>
      <w:r w:rsidRPr="009237B4">
        <w:t xml:space="preserve">across the species distribution and Maxent modeling algorithms (Phillips et al. 2006), we compare predictions and model accuracy of multiple </w:t>
      </w:r>
      <w:r w:rsidR="00DE413C">
        <w:t>SDM</w:t>
      </w:r>
      <w:r w:rsidRPr="009237B4">
        <w:t>s to assess the level of uncertainty that may arise from unique population X environment relationships on the landscape. To test the overarching hypothesis that species range-wide models will over-predict</w:t>
      </w:r>
      <w:r>
        <w:t xml:space="preserve"> – make broader predictions of – </w:t>
      </w:r>
      <w:r w:rsidRPr="009237B4">
        <w:t xml:space="preserve">the extent of suitability of genetic population ranges, we manipulated the </w:t>
      </w:r>
      <w:r w:rsidRPr="009237B4">
        <w:rPr>
          <w:i/>
          <w:iCs/>
        </w:rPr>
        <w:t xml:space="preserve">geographic training extent </w:t>
      </w:r>
      <w:r w:rsidRPr="009237B4">
        <w:t xml:space="preserve">of models using knowledge of </w:t>
      </w:r>
      <w:r w:rsidRPr="009237B4">
        <w:rPr>
          <w:i/>
          <w:iCs/>
        </w:rPr>
        <w:t>P. angustifolia</w:t>
      </w:r>
      <w:r w:rsidRPr="009237B4">
        <w:t xml:space="preserve"> genetic substructure. </w:t>
      </w:r>
      <w:r w:rsidRPr="009237B4">
        <w:rPr>
          <w:iCs/>
        </w:rPr>
        <w:t>If species models regularly over</w:t>
      </w:r>
      <w:r>
        <w:rPr>
          <w:iCs/>
        </w:rPr>
        <w:t>-</w:t>
      </w:r>
      <w:r w:rsidRPr="009237B4">
        <w:rPr>
          <w:iCs/>
        </w:rPr>
        <w:t xml:space="preserve">predict suitable distributions, then </w:t>
      </w:r>
      <w:r w:rsidR="00DE413C">
        <w:rPr>
          <w:iCs/>
        </w:rPr>
        <w:t>SDM</w:t>
      </w:r>
      <w:r w:rsidRPr="009237B4">
        <w:rPr>
          <w:iCs/>
        </w:rPr>
        <w:t>s may be less likely to predict at-risk populations or responses to global change factors.</w:t>
      </w:r>
    </w:p>
    <w:p w14:paraId="0AB1BF23" w14:textId="12D0E738" w:rsidR="008161B3" w:rsidRPr="008161B3" w:rsidRDefault="008161B3" w:rsidP="00A51466">
      <w:pPr>
        <w:pStyle w:val="Heading2"/>
        <w:spacing w:line="360" w:lineRule="auto"/>
        <w:rPr>
          <w:sz w:val="24"/>
          <w:szCs w:val="24"/>
        </w:rPr>
      </w:pPr>
      <w:bookmarkStart w:id="35" w:name="_Toc83051515"/>
      <w:bookmarkStart w:id="36" w:name="_Toc88056483"/>
      <w:r>
        <w:rPr>
          <w:sz w:val="24"/>
          <w:szCs w:val="24"/>
        </w:rPr>
        <w:lastRenderedPageBreak/>
        <w:t xml:space="preserve">Materials </w:t>
      </w:r>
      <w:r w:rsidR="00F36563">
        <w:rPr>
          <w:sz w:val="24"/>
          <w:szCs w:val="24"/>
        </w:rPr>
        <w:t>&amp;</w:t>
      </w:r>
      <w:r>
        <w:rPr>
          <w:sz w:val="24"/>
          <w:szCs w:val="24"/>
        </w:rPr>
        <w:t xml:space="preserve"> Methods</w:t>
      </w:r>
      <w:bookmarkEnd w:id="35"/>
      <w:bookmarkEnd w:id="36"/>
    </w:p>
    <w:p w14:paraId="5FFE4DB2" w14:textId="77777777" w:rsidR="008161B3" w:rsidRPr="00DF7C87" w:rsidRDefault="008161B3" w:rsidP="00A51466">
      <w:pPr>
        <w:pStyle w:val="Heading3"/>
        <w:spacing w:line="360" w:lineRule="auto"/>
        <w:jc w:val="both"/>
        <w:rPr>
          <w:szCs w:val="24"/>
        </w:rPr>
      </w:pPr>
      <w:r>
        <w:rPr>
          <w:szCs w:val="24"/>
        </w:rPr>
        <w:t>Modeling approaches</w:t>
      </w:r>
    </w:p>
    <w:p w14:paraId="39F79768" w14:textId="041E4FDF" w:rsidR="008161B3" w:rsidRPr="00DF7C87" w:rsidRDefault="008161B3" w:rsidP="00A51466">
      <w:pPr>
        <w:spacing w:line="360" w:lineRule="auto"/>
        <w:jc w:val="both"/>
      </w:pPr>
      <w:r w:rsidRPr="009237B4">
        <w:t xml:space="preserve">We used Maxent to build our </w:t>
      </w:r>
      <w:r w:rsidR="00DE413C">
        <w:t>species distribution</w:t>
      </w:r>
      <w:r w:rsidRPr="009237B4">
        <w:t xml:space="preserve"> models. Maximum entropy (Maxent) is a high-performing modeling technique that approximates species niches using environmental parameters and presence-only occurrence data (Phillips et al. 2006, </w:t>
      </w:r>
      <w:proofErr w:type="spellStart"/>
      <w:r w:rsidRPr="009237B4">
        <w:t>Elith</w:t>
      </w:r>
      <w:proofErr w:type="spellEnd"/>
      <w:r w:rsidRPr="009237B4">
        <w:t xml:space="preserve"> et al. 2010). We ran 14 Maxent (Version 3.3.3k) experiments to address our hypothesis, manipulating training extent and variable selection of each model (Table </w:t>
      </w:r>
      <w:r w:rsidR="00246C7B">
        <w:t>5</w:t>
      </w:r>
      <w:r>
        <w:t>;</w:t>
      </w:r>
      <w:r w:rsidRPr="00A61932">
        <w:t xml:space="preserve"> </w:t>
      </w:r>
      <w:r w:rsidRPr="00DF7C87">
        <w:t xml:space="preserve">All tables and figures are in </w:t>
      </w:r>
      <w:r w:rsidR="000117D7">
        <w:t>A</w:t>
      </w:r>
      <w:r w:rsidRPr="00DF7C87">
        <w:t>ppendix</w:t>
      </w:r>
      <w:r>
        <w:t xml:space="preserve"> </w:t>
      </w:r>
      <w:r w:rsidR="0006662E">
        <w:t xml:space="preserve">2 at the end </w:t>
      </w:r>
      <w:r>
        <w:t>of this chapter</w:t>
      </w:r>
      <w:r w:rsidRPr="009237B4">
        <w:t>).</w:t>
      </w:r>
      <w:r>
        <w:t xml:space="preserve"> </w:t>
      </w:r>
    </w:p>
    <w:p w14:paraId="6A784047" w14:textId="77777777" w:rsidR="008161B3" w:rsidRPr="00DF7C87" w:rsidRDefault="008161B3" w:rsidP="00A51466">
      <w:pPr>
        <w:pStyle w:val="Heading3"/>
        <w:spacing w:line="360" w:lineRule="auto"/>
        <w:jc w:val="both"/>
        <w:rPr>
          <w:szCs w:val="24"/>
        </w:rPr>
      </w:pPr>
      <w:r>
        <w:rPr>
          <w:szCs w:val="24"/>
        </w:rPr>
        <w:t>Species occurrence data</w:t>
      </w:r>
    </w:p>
    <w:p w14:paraId="130A71CE" w14:textId="343E6C63" w:rsidR="008161B3" w:rsidRDefault="008161B3" w:rsidP="00A51466">
      <w:pPr>
        <w:spacing w:line="360" w:lineRule="auto"/>
        <w:jc w:val="both"/>
      </w:pPr>
      <w:r w:rsidRPr="009237B4">
        <w:t xml:space="preserve">The dominant riparian tree, </w:t>
      </w:r>
      <w:r w:rsidRPr="009237B4">
        <w:rPr>
          <w:i/>
        </w:rPr>
        <w:t xml:space="preserve">P. angustifolia </w:t>
      </w:r>
      <w:r w:rsidRPr="009237B4">
        <w:rPr>
          <w:iCs/>
        </w:rPr>
        <w:t>James</w:t>
      </w:r>
      <w:r w:rsidRPr="009237B4">
        <w:rPr>
          <w:i/>
        </w:rPr>
        <w:t xml:space="preserve">, </w:t>
      </w:r>
      <w:r w:rsidRPr="009237B4">
        <w:t xml:space="preserve">is a model system for incorporating intraspecific variation into </w:t>
      </w:r>
      <w:r w:rsidR="00DE413C">
        <w:t>SDM</w:t>
      </w:r>
      <w:r w:rsidRPr="009237B4">
        <w:t xml:space="preserve">s: the species spans broad abiotic gradients and approximately 1700 km of latitude in the </w:t>
      </w:r>
      <w:r w:rsidR="006D363B">
        <w:t>w</w:t>
      </w:r>
      <w:r w:rsidRPr="009237B4">
        <w:t xml:space="preserve">estern United States, across which at least three genetic provenances exist (Evans et al. 2015). As </w:t>
      </w:r>
      <w:r w:rsidRPr="009237B4">
        <w:rPr>
          <w:i/>
          <w:iCs/>
        </w:rPr>
        <w:t>P. angustifolia</w:t>
      </w:r>
      <w:r w:rsidRPr="009237B4">
        <w:t xml:space="preserve"> is a riparian tree, it is important to include non-climatic hydrological variables </w:t>
      </w:r>
      <w:r w:rsidR="00D35D51">
        <w:t xml:space="preserve">in models </w:t>
      </w:r>
      <w:r w:rsidRPr="009237B4">
        <w:t xml:space="preserve">that are known to affect the evolution, ecology, and distribution of this and other riparian species (Mahoney &amp; Rood 1998, Lytle &amp; </w:t>
      </w:r>
      <w:proofErr w:type="spellStart"/>
      <w:r w:rsidRPr="009237B4">
        <w:t>Poff</w:t>
      </w:r>
      <w:proofErr w:type="spellEnd"/>
      <w:r w:rsidRPr="009237B4">
        <w:t xml:space="preserve"> 2004, Cushman et al. 2014, Bothwell et al. 2016). Further, </w:t>
      </w:r>
      <w:r w:rsidR="00D35D51">
        <w:t>this</w:t>
      </w:r>
      <w:r w:rsidRPr="009237B4">
        <w:t xml:space="preserve"> species has strong effects on community interactions and ecosystem functions across its geographic range (e.g., Whitham et al. 2006, Ware et al. 2019), making it important to understand the extent to which predictions differ with environment and genetic structure. The occurrence dataset (N=657) for </w:t>
      </w:r>
      <w:r w:rsidRPr="009237B4">
        <w:rPr>
          <w:i/>
        </w:rPr>
        <w:t>P. angustifolia</w:t>
      </w:r>
      <w:r w:rsidRPr="009237B4">
        <w:t xml:space="preserve"> was collected May - June 2012. Latitude and longitude coordinates were collected </w:t>
      </w:r>
      <w:r w:rsidRPr="00C75B22">
        <w:t>for each sampled tree as decimal values using Oregon 500 Garmin GPS units with WGS 84 datum. Details of data collection have been published previously (Van Nuland et al. 2018). Occurrence</w:t>
      </w:r>
      <w:r w:rsidRPr="009237B4">
        <w:t xml:space="preserve"> data span the range of three genetic provenances around geographic features including the Great Basin, the Rocky Mountains, and the Mogollon Rim (Evans et al. 2015). The described sampling methods cover a range of broad environments as well as many locations near the edge of the species’ geographical range. In contrast to random sampling across a species range, these methods are thought to provide more resolved predictions of range expansions and contractions expected with </w:t>
      </w:r>
      <w:r w:rsidRPr="009237B4">
        <w:lastRenderedPageBreak/>
        <w:t>climate change (</w:t>
      </w:r>
      <w:proofErr w:type="spellStart"/>
      <w:r w:rsidRPr="009237B4">
        <w:t>Hampe</w:t>
      </w:r>
      <w:proofErr w:type="spellEnd"/>
      <w:r w:rsidRPr="009237B4">
        <w:t xml:space="preserve"> &amp; Petit 2005, Hargreaves et al. 2014, </w:t>
      </w:r>
      <w:proofErr w:type="spellStart"/>
      <w:r w:rsidRPr="009237B4">
        <w:t>Woolbright</w:t>
      </w:r>
      <w:proofErr w:type="spellEnd"/>
      <w:r w:rsidRPr="009237B4">
        <w:t xml:space="preserve"> et al. 2014, </w:t>
      </w:r>
      <w:proofErr w:type="spellStart"/>
      <w:r w:rsidRPr="009237B4">
        <w:t>Gotelli</w:t>
      </w:r>
      <w:proofErr w:type="spellEnd"/>
      <w:r w:rsidRPr="009237B4">
        <w:t xml:space="preserve"> &amp; Stanton-Geddes 2015). </w:t>
      </w:r>
    </w:p>
    <w:p w14:paraId="12BCACBA" w14:textId="77777777" w:rsidR="008161B3" w:rsidRDefault="008161B3" w:rsidP="00A51466">
      <w:pPr>
        <w:pStyle w:val="Heading3"/>
        <w:spacing w:line="360" w:lineRule="auto"/>
        <w:jc w:val="both"/>
        <w:rPr>
          <w:szCs w:val="24"/>
        </w:rPr>
      </w:pPr>
      <w:r>
        <w:rPr>
          <w:szCs w:val="24"/>
        </w:rPr>
        <w:t>Model training extents</w:t>
      </w:r>
    </w:p>
    <w:p w14:paraId="6B3B1A95" w14:textId="36F71918" w:rsidR="008161B3" w:rsidRPr="0086056E" w:rsidRDefault="008161B3" w:rsidP="00A51466">
      <w:pPr>
        <w:spacing w:line="360" w:lineRule="auto"/>
        <w:jc w:val="both"/>
        <w:rPr>
          <w:color w:val="000000"/>
        </w:rPr>
      </w:pPr>
      <w:r w:rsidRPr="009237B4">
        <w:t xml:space="preserve">We created four </w:t>
      </w:r>
      <w:r>
        <w:t xml:space="preserve">training datasets based on different </w:t>
      </w:r>
      <w:r w:rsidRPr="009237B4">
        <w:t>geographic extents</w:t>
      </w:r>
      <w:r>
        <w:t xml:space="preserve"> (regions)</w:t>
      </w:r>
      <w:r w:rsidRPr="009237B4">
        <w:t>: one based on all occurrence points (SR, “species-range”) and three based on occurrence points split into each of the three genetic provenances (P1, P2, and P3, summing to SR; Fig</w:t>
      </w:r>
      <w:r w:rsidR="00CD2B89">
        <w:t>ure</w:t>
      </w:r>
      <w:r w:rsidRPr="009237B4">
        <w:t xml:space="preserve"> </w:t>
      </w:r>
      <w:r w:rsidR="00246C7B">
        <w:t>6</w:t>
      </w:r>
      <w:r w:rsidRPr="009237B4">
        <w:t xml:space="preserve">a). The </w:t>
      </w:r>
      <w:r>
        <w:t xml:space="preserve">exact </w:t>
      </w:r>
      <w:r w:rsidRPr="009237B4">
        <w:t>ex</w:t>
      </w:r>
      <w:r w:rsidRPr="009237B4">
        <w:rPr>
          <w:color w:val="000000"/>
        </w:rPr>
        <w:t xml:space="preserve">tent of </w:t>
      </w:r>
      <w:r>
        <w:rPr>
          <w:color w:val="000000"/>
        </w:rPr>
        <w:t xml:space="preserve">the </w:t>
      </w:r>
      <w:r w:rsidRPr="009237B4">
        <w:rPr>
          <w:color w:val="000000"/>
        </w:rPr>
        <w:t xml:space="preserve">training regions </w:t>
      </w:r>
      <w:r>
        <w:rPr>
          <w:color w:val="000000"/>
        </w:rPr>
        <w:t>was</w:t>
      </w:r>
      <w:r w:rsidRPr="009237B4">
        <w:rPr>
          <w:color w:val="000000"/>
        </w:rPr>
        <w:t xml:space="preserve"> based on assumptions about riparian dispersal within water basins, so we </w:t>
      </w:r>
      <w:r w:rsidRPr="009237B4">
        <w:t xml:space="preserve">created geographic bounds by mapping HUC (hydrologic unit code) level 6 </w:t>
      </w:r>
      <w:r w:rsidR="00D35D51">
        <w:t xml:space="preserve">watersheds </w:t>
      </w:r>
      <w:r w:rsidRPr="009237B4">
        <w:t xml:space="preserve">from the USGS Watershed Boundary Dataset (https://water.usgs.gov/GIS/huc.html) </w:t>
      </w:r>
      <w:r>
        <w:t xml:space="preserve">which allowed us to </w:t>
      </w:r>
      <w:r w:rsidRPr="009237B4">
        <w:t xml:space="preserve">include all </w:t>
      </w:r>
      <w:r>
        <w:t xml:space="preserve">relevant </w:t>
      </w:r>
      <w:r w:rsidRPr="009237B4">
        <w:t xml:space="preserve">occurrence data points with the </w:t>
      </w:r>
      <w:r>
        <w:t>lowest</w:t>
      </w:r>
      <w:r w:rsidRPr="009237B4">
        <w:t xml:space="preserve"> number of water basins. In this system riparian network connectivity is related to genetic connectivity of </w:t>
      </w:r>
      <w:r w:rsidRPr="009237B4">
        <w:rPr>
          <w:i/>
          <w:iCs/>
        </w:rPr>
        <w:t>P. angustifolia</w:t>
      </w:r>
      <w:r w:rsidRPr="009237B4">
        <w:t xml:space="preserve"> </w:t>
      </w:r>
      <w:r w:rsidRPr="009237B4">
        <w:rPr>
          <w:color w:val="000000"/>
        </w:rPr>
        <w:t>(Cushman et al. 2014, Bothwell et al. 2016).</w:t>
      </w:r>
    </w:p>
    <w:p w14:paraId="5577BD1D" w14:textId="77777777" w:rsidR="008161B3" w:rsidRDefault="008161B3" w:rsidP="00A51466">
      <w:pPr>
        <w:pStyle w:val="Heading3"/>
        <w:spacing w:line="360" w:lineRule="auto"/>
        <w:jc w:val="both"/>
        <w:rPr>
          <w:szCs w:val="24"/>
        </w:rPr>
      </w:pPr>
      <w:r>
        <w:rPr>
          <w:szCs w:val="24"/>
        </w:rPr>
        <w:t>Environmental variables and variable selection</w:t>
      </w:r>
    </w:p>
    <w:p w14:paraId="6D9EEC75" w14:textId="29967ED7" w:rsidR="008161B3" w:rsidRDefault="008161B3" w:rsidP="00A51466">
      <w:pPr>
        <w:spacing w:line="360" w:lineRule="auto"/>
        <w:jc w:val="both"/>
      </w:pPr>
      <w:r w:rsidRPr="009237B4">
        <w:t xml:space="preserve">We used environmental variables from two sources, all modified in ArcMap (ESRI 2018) to be of the same extent (geographic bounds) and spatial resolution (1 km) and projected in the same coordinate system as the species occurrence data (WGS84). First, we extracted 23 bioclimatic variables and 4 seasonal variables from 1981-2010 from </w:t>
      </w:r>
      <w:proofErr w:type="spellStart"/>
      <w:r w:rsidRPr="009237B4">
        <w:t>AdaptWest</w:t>
      </w:r>
      <w:proofErr w:type="spellEnd"/>
      <w:r w:rsidRPr="009237B4">
        <w:t xml:space="preserve"> Project (</w:t>
      </w:r>
      <w:proofErr w:type="spellStart"/>
      <w:r w:rsidRPr="009237B4">
        <w:t>AdaptWest</w:t>
      </w:r>
      <w:proofErr w:type="spellEnd"/>
      <w:r w:rsidRPr="009237B4">
        <w:t xml:space="preserve"> Project, 2015; </w:t>
      </w:r>
      <w:proofErr w:type="spellStart"/>
      <w:r w:rsidRPr="009237B4">
        <w:t>Hamaan</w:t>
      </w:r>
      <w:proofErr w:type="spellEnd"/>
      <w:r w:rsidRPr="009237B4">
        <w:t xml:space="preserve"> et al. 2013). </w:t>
      </w:r>
      <w:r w:rsidRPr="009237B4">
        <w:rPr>
          <w:color w:val="000000"/>
        </w:rPr>
        <w:t xml:space="preserve">Second, we extracted hydrologic variables from the </w:t>
      </w:r>
      <w:r w:rsidRPr="009237B4">
        <w:t xml:space="preserve">National Hydrology Dataset (NHDPlusV2; McKay et al. 2012), a companion to the Watershed Boundary Dataset that was used to delineate geographic training extents. This second dataset describes river and stream attributes of the riparian habitats of </w:t>
      </w:r>
      <w:r w:rsidRPr="009237B4">
        <w:rPr>
          <w:i/>
          <w:iCs/>
        </w:rPr>
        <w:t>P. angustifolia</w:t>
      </w:r>
      <w:r w:rsidRPr="009237B4">
        <w:t xml:space="preserve">. It is important to include these variables as stream properties affect the ecology and evolution, including dispersal ability, of riparian plants like </w:t>
      </w:r>
      <w:r w:rsidRPr="009237B4">
        <w:rPr>
          <w:i/>
          <w:iCs/>
        </w:rPr>
        <w:t>P. angustifolia</w:t>
      </w:r>
      <w:r w:rsidRPr="009237B4">
        <w:t xml:space="preserve"> (Mahoney &amp; Rood 1998; Lytle &amp; </w:t>
      </w:r>
      <w:proofErr w:type="spellStart"/>
      <w:r w:rsidRPr="009237B4">
        <w:t>Poff</w:t>
      </w:r>
      <w:proofErr w:type="spellEnd"/>
      <w:r w:rsidRPr="009237B4">
        <w:t xml:space="preserve"> 2004; Bothwell et al. 2016). All included environmental variables are in Table </w:t>
      </w:r>
      <w:r w:rsidR="00246C7B">
        <w:t>4</w:t>
      </w:r>
      <w:r w:rsidRPr="009237B4">
        <w:t>. To test if environmental variables used in models differed across the three genetic provenances, we used redundancy analysis (RDA; R package vegan; Oksanen et al. 2017) with genetic provenance as a constrained axis.</w:t>
      </w:r>
    </w:p>
    <w:p w14:paraId="04E22611" w14:textId="43680D86" w:rsidR="008161B3" w:rsidRPr="009237B4" w:rsidRDefault="008161B3" w:rsidP="00A51466">
      <w:pPr>
        <w:spacing w:line="360" w:lineRule="auto"/>
        <w:ind w:firstLine="720"/>
        <w:jc w:val="both"/>
      </w:pPr>
      <w:r w:rsidRPr="009237B4">
        <w:lastRenderedPageBreak/>
        <w:t xml:space="preserve">Nine of the initial 27 bioclimatic variables were removed based on knowledge of the species natural history and/or high spatial correlation within the range-wide training extent, determined using </w:t>
      </w:r>
      <w:proofErr w:type="spellStart"/>
      <w:r w:rsidRPr="009237B4">
        <w:t>SDMToolbox</w:t>
      </w:r>
      <w:proofErr w:type="spellEnd"/>
      <w:r w:rsidRPr="009237B4">
        <w:t xml:space="preserve"> (Brown 2014). We first selected bioclimatic variables for the range-wide experiment by using the remaining 18 variables to train Maxent models with 5-fold cross-validation. The average test AUC (+/- standard error) for the 5 replicates was 0.865 +/- 0.022, and each replicate had test AUC values &gt; 0.8, indicating good discriminatory ability of all replicates (</w:t>
      </w:r>
      <w:proofErr w:type="spellStart"/>
      <w:r w:rsidRPr="009237B4">
        <w:t>Swets</w:t>
      </w:r>
      <w:proofErr w:type="spellEnd"/>
      <w:r w:rsidRPr="009237B4">
        <w:t xml:space="preserve"> 1988). </w:t>
      </w:r>
      <w:bookmarkStart w:id="37" w:name="OLE_LINK3"/>
      <w:bookmarkStart w:id="38" w:name="OLE_LINK4"/>
      <w:r w:rsidRPr="009237B4">
        <w:t xml:space="preserve">From these 18 variables, </w:t>
      </w:r>
      <w:r w:rsidRPr="009237B4">
        <w:rPr>
          <w:color w:val="000000"/>
        </w:rPr>
        <w:t xml:space="preserve">we then selected those which had </w:t>
      </w:r>
      <w:r w:rsidRPr="009237B4">
        <w:t>cumulatively contributed between 90-95% to the gain in model fit of the five replicates</w:t>
      </w:r>
      <w:r w:rsidRPr="009237B4">
        <w:rPr>
          <w:color w:val="000000"/>
        </w:rPr>
        <w:t xml:space="preserve">, resulting in a final suite of seven bioclimatic variables: </w:t>
      </w:r>
      <w:r>
        <w:rPr>
          <w:color w:val="000000"/>
        </w:rPr>
        <w:t>annual heat moisture index (</w:t>
      </w:r>
      <w:proofErr w:type="spellStart"/>
      <w:r w:rsidRPr="009237B4">
        <w:rPr>
          <w:color w:val="000000"/>
        </w:rPr>
        <w:t>ahm</w:t>
      </w:r>
      <w:proofErr w:type="spellEnd"/>
      <w:r>
        <w:rPr>
          <w:color w:val="000000"/>
        </w:rPr>
        <w:t>)</w:t>
      </w:r>
      <w:r w:rsidRPr="009237B4">
        <w:rPr>
          <w:color w:val="000000"/>
        </w:rPr>
        <w:t>,</w:t>
      </w:r>
      <w:r>
        <w:rPr>
          <w:color w:val="000000"/>
        </w:rPr>
        <w:t xml:space="preserve"> </w:t>
      </w:r>
      <w:proofErr w:type="spellStart"/>
      <w:r>
        <w:rPr>
          <w:color w:val="000000"/>
        </w:rPr>
        <w:t>Hargreave’s</w:t>
      </w:r>
      <w:proofErr w:type="spellEnd"/>
      <w:r>
        <w:rPr>
          <w:color w:val="000000"/>
        </w:rPr>
        <w:t xml:space="preserve"> climatic moisture index (</w:t>
      </w:r>
      <w:proofErr w:type="spellStart"/>
      <w:r w:rsidRPr="009237B4">
        <w:rPr>
          <w:color w:val="000000"/>
        </w:rPr>
        <w:t>cmd</w:t>
      </w:r>
      <w:proofErr w:type="spellEnd"/>
      <w:r>
        <w:rPr>
          <w:color w:val="000000"/>
        </w:rPr>
        <w:t>)</w:t>
      </w:r>
      <w:r w:rsidRPr="009237B4">
        <w:rPr>
          <w:color w:val="000000"/>
        </w:rPr>
        <w:t xml:space="preserve">, </w:t>
      </w:r>
      <w:proofErr w:type="spellStart"/>
      <w:r>
        <w:rPr>
          <w:color w:val="000000"/>
        </w:rPr>
        <w:t>Hargreave’s</w:t>
      </w:r>
      <w:proofErr w:type="spellEnd"/>
      <w:r>
        <w:rPr>
          <w:color w:val="000000"/>
        </w:rPr>
        <w:t xml:space="preserve"> reference evapotranspiration (</w:t>
      </w:r>
      <w:proofErr w:type="spellStart"/>
      <w:r>
        <w:rPr>
          <w:color w:val="000000"/>
        </w:rPr>
        <w:t>e</w:t>
      </w:r>
      <w:r w:rsidRPr="009237B4">
        <w:rPr>
          <w:color w:val="000000"/>
        </w:rPr>
        <w:t>ref</w:t>
      </w:r>
      <w:proofErr w:type="spellEnd"/>
      <w:r>
        <w:rPr>
          <w:color w:val="000000"/>
        </w:rPr>
        <w:t>)</w:t>
      </w:r>
      <w:r w:rsidRPr="009237B4">
        <w:rPr>
          <w:color w:val="000000"/>
        </w:rPr>
        <w:t>, m</w:t>
      </w:r>
      <w:r>
        <w:rPr>
          <w:color w:val="000000"/>
        </w:rPr>
        <w:t>ean annual precipitation (m</w:t>
      </w:r>
      <w:r w:rsidRPr="009237B4">
        <w:rPr>
          <w:color w:val="000000"/>
        </w:rPr>
        <w:t>ap</w:t>
      </w:r>
      <w:r>
        <w:rPr>
          <w:color w:val="000000"/>
        </w:rPr>
        <w:t>)</w:t>
      </w:r>
      <w:r w:rsidRPr="009237B4">
        <w:rPr>
          <w:color w:val="000000"/>
        </w:rPr>
        <w:t xml:space="preserve">, </w:t>
      </w:r>
      <w:r>
        <w:rPr>
          <w:color w:val="000000"/>
        </w:rPr>
        <w:t>winter (dec.-</w:t>
      </w:r>
      <w:proofErr w:type="spellStart"/>
      <w:r>
        <w:rPr>
          <w:color w:val="000000"/>
        </w:rPr>
        <w:t>feb.</w:t>
      </w:r>
      <w:proofErr w:type="spellEnd"/>
      <w:r>
        <w:rPr>
          <w:color w:val="000000"/>
        </w:rPr>
        <w:t>) precipitation (</w:t>
      </w:r>
      <w:proofErr w:type="spellStart"/>
      <w:r w:rsidRPr="009237B4">
        <w:rPr>
          <w:color w:val="000000"/>
        </w:rPr>
        <w:t>ppt_wt</w:t>
      </w:r>
      <w:proofErr w:type="spellEnd"/>
      <w:r>
        <w:rPr>
          <w:color w:val="000000"/>
        </w:rPr>
        <w:t>)</w:t>
      </w:r>
      <w:r w:rsidRPr="009237B4">
        <w:rPr>
          <w:color w:val="000000"/>
        </w:rPr>
        <w:t xml:space="preserve">, </w:t>
      </w:r>
      <w:r>
        <w:rPr>
          <w:color w:val="000000"/>
        </w:rPr>
        <w:t>relative humidity (</w:t>
      </w:r>
      <w:r w:rsidRPr="009237B4">
        <w:rPr>
          <w:color w:val="000000"/>
        </w:rPr>
        <w:t>rh</w:t>
      </w:r>
      <w:r>
        <w:rPr>
          <w:color w:val="000000"/>
        </w:rPr>
        <w:t>)</w:t>
      </w:r>
      <w:r w:rsidRPr="009237B4">
        <w:rPr>
          <w:color w:val="000000"/>
        </w:rPr>
        <w:t xml:space="preserve">, and </w:t>
      </w:r>
      <w:r>
        <w:rPr>
          <w:color w:val="000000"/>
        </w:rPr>
        <w:t>continentality (</w:t>
      </w:r>
      <w:r w:rsidRPr="00222AE8">
        <w:t>difference between mean temperature of the coldest and warmest months</w:t>
      </w:r>
      <w:r>
        <w:rPr>
          <w:color w:val="000000"/>
        </w:rPr>
        <w:t xml:space="preserve">, </w:t>
      </w:r>
      <w:r w:rsidRPr="009237B4">
        <w:rPr>
          <w:color w:val="000000"/>
        </w:rPr>
        <w:t>td</w:t>
      </w:r>
      <w:r>
        <w:rPr>
          <w:color w:val="000000"/>
        </w:rPr>
        <w:t xml:space="preserve">) (Table </w:t>
      </w:r>
      <w:r w:rsidR="00246C7B">
        <w:rPr>
          <w:color w:val="000000"/>
        </w:rPr>
        <w:t>4</w:t>
      </w:r>
      <w:r>
        <w:rPr>
          <w:color w:val="000000"/>
        </w:rPr>
        <w:t>).</w:t>
      </w:r>
      <w:r w:rsidRPr="009237B4">
        <w:rPr>
          <w:color w:val="000000"/>
        </w:rPr>
        <w:t xml:space="preserve"> </w:t>
      </w:r>
      <w:r w:rsidRPr="009237B4">
        <w:t xml:space="preserve">Because </w:t>
      </w:r>
      <w:r>
        <w:t>many</w:t>
      </w:r>
      <w:r w:rsidRPr="009237B4">
        <w:t xml:space="preserve"> niche </w:t>
      </w:r>
      <w:r w:rsidR="009E6EB7">
        <w:t xml:space="preserve">modeling </w:t>
      </w:r>
      <w:r w:rsidRPr="009237B4">
        <w:t xml:space="preserve">studies rely solely on bioclimatic variables, we include </w:t>
      </w:r>
      <w:r w:rsidRPr="009237B4">
        <w:rPr>
          <w:color w:val="000000"/>
        </w:rPr>
        <w:t xml:space="preserve">in the supplement models that were built with only these seven bioclimatic variables to </w:t>
      </w:r>
      <w:r>
        <w:rPr>
          <w:color w:val="000000"/>
        </w:rPr>
        <w:t xml:space="preserve">provide another dataset making comparisons between </w:t>
      </w:r>
      <w:r w:rsidRPr="009237B4">
        <w:rPr>
          <w:color w:val="000000"/>
        </w:rPr>
        <w:t xml:space="preserve">predictions and </w:t>
      </w:r>
      <w:r w:rsidRPr="009237B4">
        <w:t>relative contribution</w:t>
      </w:r>
      <w:r>
        <w:t>s</w:t>
      </w:r>
      <w:r w:rsidRPr="009237B4">
        <w:t xml:space="preserve"> of bioclimatic variables and ecosystem-relevant variables to models (supplemental information). </w:t>
      </w:r>
    </w:p>
    <w:p w14:paraId="72DAFA78" w14:textId="78A9368F" w:rsidR="008161B3" w:rsidRPr="009237B4" w:rsidRDefault="008161B3" w:rsidP="00A51466">
      <w:pPr>
        <w:spacing w:line="360" w:lineRule="auto"/>
        <w:ind w:firstLine="720"/>
        <w:jc w:val="both"/>
      </w:pPr>
      <w:r w:rsidRPr="009237B4">
        <w:t>We also included distance to stream (near), mean annual streamflow (</w:t>
      </w:r>
      <w:proofErr w:type="spellStart"/>
      <w:r w:rsidRPr="009237B4">
        <w:t>q_ma</w:t>
      </w:r>
      <w:proofErr w:type="spellEnd"/>
      <w:r w:rsidRPr="009237B4">
        <w:t>), stream order (</w:t>
      </w:r>
      <w:proofErr w:type="spellStart"/>
      <w:r w:rsidRPr="009237B4">
        <w:t>strmord</w:t>
      </w:r>
      <w:proofErr w:type="spellEnd"/>
      <w:r w:rsidRPr="009237B4">
        <w:t>), stream velocity (</w:t>
      </w:r>
      <w:proofErr w:type="spellStart"/>
      <w:r w:rsidRPr="009237B4">
        <w:t>v_ma</w:t>
      </w:r>
      <w:proofErr w:type="spellEnd"/>
      <w:r w:rsidRPr="009237B4">
        <w:t xml:space="preserve">) to the chosen seven bioclimatic variables. From these 11 variables, we selected final variables for the “range-wide” (see Table </w:t>
      </w:r>
      <w:r w:rsidR="00246C7B">
        <w:t>3</w:t>
      </w:r>
      <w:r w:rsidRPr="009237B4">
        <w:t>) model experiments in Maxent using 5-fold cross-validation, as described above. The average test AUC (+/- standard error) for the 5 replicates was 0.933 +/- 0.016</w:t>
      </w:r>
      <w:r w:rsidRPr="009237B4">
        <w:rPr>
          <w:color w:val="000000"/>
        </w:rPr>
        <w:t xml:space="preserve">, and the lowest replicate test AUC was 0.914, indicating very good model discriminatory ability. </w:t>
      </w:r>
      <w:r w:rsidRPr="009237B4">
        <w:t>Again, we selected the top variables that cumulatively contributed between 90-95% to the gain in model fitting of each replicate, which included</w:t>
      </w:r>
      <w:r w:rsidRPr="009237B4">
        <w:rPr>
          <w:color w:val="000000"/>
        </w:rPr>
        <w:t xml:space="preserve"> </w:t>
      </w:r>
      <w:proofErr w:type="spellStart"/>
      <w:r w:rsidRPr="009237B4">
        <w:rPr>
          <w:color w:val="000000"/>
        </w:rPr>
        <w:t>ahm</w:t>
      </w:r>
      <w:proofErr w:type="spellEnd"/>
      <w:r w:rsidRPr="009237B4">
        <w:rPr>
          <w:color w:val="000000"/>
        </w:rPr>
        <w:t xml:space="preserve">, </w:t>
      </w:r>
      <w:proofErr w:type="spellStart"/>
      <w:r w:rsidRPr="009237B4">
        <w:rPr>
          <w:color w:val="000000"/>
        </w:rPr>
        <w:t>cmd</w:t>
      </w:r>
      <w:proofErr w:type="spellEnd"/>
      <w:r w:rsidRPr="009237B4">
        <w:rPr>
          <w:color w:val="000000"/>
        </w:rPr>
        <w:t xml:space="preserve">, near, </w:t>
      </w:r>
      <w:proofErr w:type="spellStart"/>
      <w:r w:rsidRPr="009237B4">
        <w:rPr>
          <w:color w:val="000000"/>
        </w:rPr>
        <w:t>q_ma</w:t>
      </w:r>
      <w:proofErr w:type="spellEnd"/>
      <w:r w:rsidRPr="009237B4">
        <w:rPr>
          <w:color w:val="000000"/>
        </w:rPr>
        <w:t xml:space="preserve">, </w:t>
      </w:r>
      <w:proofErr w:type="spellStart"/>
      <w:r w:rsidRPr="009237B4">
        <w:rPr>
          <w:color w:val="000000"/>
        </w:rPr>
        <w:t>strmord</w:t>
      </w:r>
      <w:proofErr w:type="spellEnd"/>
      <w:r w:rsidRPr="009237B4">
        <w:rPr>
          <w:color w:val="000000"/>
        </w:rPr>
        <w:t xml:space="preserve">, td, and </w:t>
      </w:r>
      <w:proofErr w:type="spellStart"/>
      <w:r w:rsidRPr="009237B4">
        <w:rPr>
          <w:color w:val="000000"/>
        </w:rPr>
        <w:t>v_ma</w:t>
      </w:r>
      <w:proofErr w:type="spellEnd"/>
      <w:r w:rsidRPr="009237B4">
        <w:rPr>
          <w:color w:val="000000"/>
        </w:rPr>
        <w:t xml:space="preserve"> (Table </w:t>
      </w:r>
      <w:r w:rsidR="00246C7B">
        <w:rPr>
          <w:color w:val="000000"/>
        </w:rPr>
        <w:t>4</w:t>
      </w:r>
      <w:r w:rsidRPr="009237B4">
        <w:rPr>
          <w:color w:val="000000"/>
        </w:rPr>
        <w:t>).</w:t>
      </w:r>
      <w:r w:rsidRPr="009237B4">
        <w:t xml:space="preserve"> </w:t>
      </w:r>
      <w:r w:rsidRPr="009237B4">
        <w:rPr>
          <w:color w:val="000000"/>
        </w:rPr>
        <w:t xml:space="preserve">We refer to this group of variables as the “range-wide” (RW) variables throughout the manuscript as we also used these seven variables to build models at the provenance geographic extents (Table </w:t>
      </w:r>
      <w:r w:rsidR="00246C7B">
        <w:rPr>
          <w:color w:val="000000"/>
        </w:rPr>
        <w:t>3</w:t>
      </w:r>
      <w:r w:rsidRPr="009237B4">
        <w:rPr>
          <w:color w:val="000000"/>
        </w:rPr>
        <w:t xml:space="preserve">). Finally, we built </w:t>
      </w:r>
      <w:r w:rsidRPr="009237B4">
        <w:rPr>
          <w:i/>
          <w:iCs/>
          <w:color w:val="000000"/>
        </w:rPr>
        <w:t>unique</w:t>
      </w:r>
      <w:r w:rsidRPr="009237B4">
        <w:rPr>
          <w:color w:val="000000"/>
        </w:rPr>
        <w:t xml:space="preserve"> provenance models by repeating the entire variable selection process described above </w:t>
      </w:r>
      <w:r w:rsidRPr="009237B4">
        <w:rPr>
          <w:i/>
          <w:iCs/>
          <w:color w:val="000000"/>
        </w:rPr>
        <w:t>within</w:t>
      </w:r>
      <w:r w:rsidRPr="009237B4">
        <w:rPr>
          <w:color w:val="000000"/>
        </w:rPr>
        <w:t xml:space="preserve"> each provenance extent. We refer </w:t>
      </w:r>
      <w:r w:rsidRPr="009237B4">
        <w:rPr>
          <w:color w:val="000000"/>
        </w:rPr>
        <w:lastRenderedPageBreak/>
        <w:t xml:space="preserve">to these three groups of </w:t>
      </w:r>
      <w:proofErr w:type="gramStart"/>
      <w:r w:rsidRPr="009237B4">
        <w:rPr>
          <w:color w:val="000000"/>
        </w:rPr>
        <w:t>uniquely-selected</w:t>
      </w:r>
      <w:proofErr w:type="gramEnd"/>
      <w:r w:rsidRPr="009237B4">
        <w:rPr>
          <w:color w:val="000000"/>
        </w:rPr>
        <w:t xml:space="preserve"> variables as P1, P2, or P3 variables throughout the manuscript (Table </w:t>
      </w:r>
      <w:r w:rsidR="00246C7B">
        <w:rPr>
          <w:color w:val="000000"/>
        </w:rPr>
        <w:t>3</w:t>
      </w:r>
      <w:r w:rsidRPr="009237B4">
        <w:rPr>
          <w:color w:val="000000"/>
        </w:rPr>
        <w:t xml:space="preserve">). </w:t>
      </w:r>
    </w:p>
    <w:p w14:paraId="55C7B272" w14:textId="7FC6CE46" w:rsidR="008161B3" w:rsidRPr="009237B4" w:rsidRDefault="008161B3" w:rsidP="00A51466">
      <w:pPr>
        <w:spacing w:line="360" w:lineRule="auto"/>
        <w:ind w:firstLine="720"/>
        <w:jc w:val="both"/>
      </w:pPr>
      <w:r w:rsidRPr="009237B4">
        <w:rPr>
          <w:color w:val="000000"/>
        </w:rPr>
        <w:t xml:space="preserve">After variable selection for all experimental models, each was run a final time with 30% of the occurrence data as a subset for model testing. </w:t>
      </w:r>
      <w:r w:rsidRPr="009237B4">
        <w:t xml:space="preserve">Each Maxent model was formatted to run with logistic output </w:t>
      </w:r>
      <w:r w:rsidR="00246C7B" w:rsidRPr="009237B4">
        <w:t>to</w:t>
      </w:r>
      <w:r w:rsidRPr="009237B4">
        <w:t xml:space="preserve"> best conceptualize the output as estimates of the probability of suitability between values of 0 (unlikely to be present) and 1 (likely to be present). We used the default Maxent options for background sample selection (10,000 points), number of iterations (500), and regularization multiplier (1). </w:t>
      </w:r>
      <w:r w:rsidRPr="009237B4">
        <w:rPr>
          <w:color w:val="000000"/>
        </w:rPr>
        <w:t xml:space="preserve">We applied a </w:t>
      </w:r>
      <w:r w:rsidR="00246C7B" w:rsidRPr="009237B4">
        <w:rPr>
          <w:color w:val="000000"/>
        </w:rPr>
        <w:t>10-percentile</w:t>
      </w:r>
      <w:r w:rsidRPr="009237B4">
        <w:rPr>
          <w:color w:val="000000"/>
        </w:rPr>
        <w:t xml:space="preserve"> training presence threshold rule to obtain binary output to test our hypotheses.</w:t>
      </w:r>
      <w:bookmarkEnd w:id="37"/>
      <w:bookmarkEnd w:id="38"/>
      <w:r w:rsidRPr="009237B4">
        <w:rPr>
          <w:color w:val="000000"/>
        </w:rPr>
        <w:t xml:space="preserve"> This threshold rule finds the suitability value at which 10% of the training presence points are predicted absent (i.e., omission error) and uses it to reclassify pixels with suitability values below that value as unsuitable (absent) and above as suitable (present). </w:t>
      </w:r>
      <w:r w:rsidRPr="009237B4">
        <w:t xml:space="preserve">It should be noted that we have different sample sizes for each provenance, which does introduce variability in sizes of training and testing subsets, especially low for the P1- models (N train(test) = 9(3); Table </w:t>
      </w:r>
      <w:r w:rsidR="00246C7B">
        <w:t>3</w:t>
      </w:r>
      <w:r w:rsidRPr="009237B4">
        <w:t>).</w:t>
      </w:r>
    </w:p>
    <w:p w14:paraId="6915AC22" w14:textId="3B4FB969" w:rsidR="008161B3" w:rsidRDefault="008161B3" w:rsidP="009E6EB7">
      <w:pPr>
        <w:spacing w:line="360" w:lineRule="auto"/>
        <w:ind w:firstLine="720"/>
        <w:jc w:val="both"/>
      </w:pPr>
      <w:r w:rsidRPr="009237B4">
        <w:t xml:space="preserve">Before comparing range-wide models to </w:t>
      </w:r>
      <w:r>
        <w:t>provenance</w:t>
      </w:r>
      <w:r w:rsidRPr="009237B4">
        <w:t xml:space="preserve"> models, we tested the effect of different types of environmental variables on model performance. Models trained with both bioclimatic and ecosystem-relevant hydrological variables more accurately predicted individual occurrences than models trained with only bioclimatic variables. </w:t>
      </w:r>
      <w:r w:rsidR="00DE413C">
        <w:t>SDM</w:t>
      </w:r>
      <w:r w:rsidRPr="009237B4">
        <w:t xml:space="preserve">s generally had higher discriminatory ability with both variable types (i.e., higher </w:t>
      </w:r>
      <w:proofErr w:type="spellStart"/>
      <w:r w:rsidRPr="009237B4">
        <w:t>AUC</w:t>
      </w:r>
      <w:r w:rsidRPr="009237B4">
        <w:rPr>
          <w:vertAlign w:val="subscript"/>
        </w:rPr>
        <w:t>test</w:t>
      </w:r>
      <w:proofErr w:type="spellEnd"/>
      <w:r w:rsidRPr="009237B4">
        <w:t xml:space="preserve"> = lower type II </w:t>
      </w:r>
      <w:proofErr w:type="gramStart"/>
      <w:r w:rsidRPr="009237B4">
        <w:t>error;</w:t>
      </w:r>
      <w:proofErr w:type="gramEnd"/>
      <w:r w:rsidRPr="009237B4">
        <w:t xml:space="preserve"> </w:t>
      </w:r>
      <w:r w:rsidR="00CD2B89" w:rsidRPr="00CD2B89">
        <w:t xml:space="preserve">Table 8 and </w:t>
      </w:r>
      <w:r w:rsidRPr="00CD2B89">
        <w:t>Fig</w:t>
      </w:r>
      <w:r w:rsidR="00CD2B89" w:rsidRPr="00CD2B89">
        <w:t>ure 16 in Appendix 4</w:t>
      </w:r>
      <w:r w:rsidRPr="00CD2B89">
        <w:t>).</w:t>
      </w:r>
      <w:r w:rsidRPr="009237B4">
        <w:t xml:space="preserve"> </w:t>
      </w:r>
    </w:p>
    <w:p w14:paraId="7F7983B1" w14:textId="77777777" w:rsidR="008161B3" w:rsidRDefault="008161B3" w:rsidP="00A51466">
      <w:pPr>
        <w:pStyle w:val="Heading3"/>
        <w:spacing w:line="360" w:lineRule="auto"/>
        <w:jc w:val="both"/>
        <w:rPr>
          <w:szCs w:val="24"/>
        </w:rPr>
      </w:pPr>
      <w:r>
        <w:rPr>
          <w:szCs w:val="24"/>
        </w:rPr>
        <w:t>Comparing range-wide models to provenance models</w:t>
      </w:r>
    </w:p>
    <w:p w14:paraId="38EE5719" w14:textId="1A5ADC7B" w:rsidR="00236E6D" w:rsidRPr="008161B3" w:rsidRDefault="008161B3" w:rsidP="00A51466">
      <w:pPr>
        <w:spacing w:line="360" w:lineRule="auto"/>
        <w:jc w:val="both"/>
        <w:rPr>
          <w:iCs/>
        </w:rPr>
      </w:pPr>
      <w:r>
        <w:rPr>
          <w:iCs/>
        </w:rPr>
        <w:t xml:space="preserve">To compare range-wide models to provenance models, we calculated the percent of the landscape that was predicted suitable by one, both, and neither binary model. This resulted in six comparisons. Our use of the term “over-prediction” is not meant to be synonymous with commission error – cases where a model predicts a species is </w:t>
      </w:r>
      <w:r w:rsidR="00246C7B">
        <w:rPr>
          <w:iCs/>
        </w:rPr>
        <w:t>present,</w:t>
      </w:r>
      <w:r>
        <w:rPr>
          <w:iCs/>
        </w:rPr>
        <w:t xml:space="preserve"> but it is </w:t>
      </w:r>
      <w:proofErr w:type="gramStart"/>
      <w:r>
        <w:rPr>
          <w:iCs/>
        </w:rPr>
        <w:t>actually absent</w:t>
      </w:r>
      <w:proofErr w:type="gramEnd"/>
      <w:r>
        <w:rPr>
          <w:iCs/>
        </w:rPr>
        <w:t xml:space="preserve"> -- rather that one model predicts more suitable landscape than another model within the same geographic region. We also calculated </w:t>
      </w:r>
      <w:proofErr w:type="spellStart"/>
      <w:r>
        <w:rPr>
          <w:iCs/>
        </w:rPr>
        <w:t>Schoener’s</w:t>
      </w:r>
      <w:proofErr w:type="spellEnd"/>
      <w:r>
        <w:rPr>
          <w:iCs/>
        </w:rPr>
        <w:t xml:space="preserve"> D, which provides a measure of niche overlap comparing density distributions (Warren et al., 2008). This metric </w:t>
      </w:r>
      <w:r>
        <w:rPr>
          <w:iCs/>
        </w:rPr>
        <w:lastRenderedPageBreak/>
        <w:t xml:space="preserve">provides a value between 0-1, where values closer to zero represent little overlap between modeled niches and a value of 1 representing full overlap of modeled niches. Finally, we combined provenance model predictions to compare with range-wide predictions. </w:t>
      </w:r>
    </w:p>
    <w:p w14:paraId="2BF6CE5A" w14:textId="77777777" w:rsidR="008161B3" w:rsidRPr="00BF4BCA" w:rsidRDefault="008161B3" w:rsidP="00A51466">
      <w:pPr>
        <w:pStyle w:val="Heading2"/>
        <w:spacing w:line="360" w:lineRule="auto"/>
        <w:rPr>
          <w:sz w:val="24"/>
          <w:szCs w:val="24"/>
        </w:rPr>
      </w:pPr>
      <w:bookmarkStart w:id="39" w:name="_Toc83051516"/>
      <w:bookmarkStart w:id="40" w:name="_Toc88056484"/>
      <w:r>
        <w:rPr>
          <w:sz w:val="24"/>
          <w:szCs w:val="24"/>
        </w:rPr>
        <w:t>Results</w:t>
      </w:r>
      <w:bookmarkEnd w:id="39"/>
      <w:bookmarkEnd w:id="40"/>
    </w:p>
    <w:p w14:paraId="3657130F" w14:textId="77777777" w:rsidR="008161B3" w:rsidRDefault="008161B3" w:rsidP="00A51466">
      <w:pPr>
        <w:pStyle w:val="Heading3"/>
        <w:spacing w:line="360" w:lineRule="auto"/>
        <w:jc w:val="both"/>
        <w:rPr>
          <w:szCs w:val="24"/>
        </w:rPr>
      </w:pPr>
      <w:r>
        <w:rPr>
          <w:szCs w:val="24"/>
        </w:rPr>
        <w:t>Species range-wide models consistently over-predict provenance models in geographic space</w:t>
      </w:r>
    </w:p>
    <w:p w14:paraId="4583016A" w14:textId="25AF44EE" w:rsidR="008161B3" w:rsidRDefault="008161B3" w:rsidP="00155C4B">
      <w:pPr>
        <w:spacing w:line="360" w:lineRule="auto"/>
        <w:jc w:val="both"/>
        <w:rPr>
          <w:iCs/>
        </w:rPr>
      </w:pPr>
      <w:r w:rsidRPr="009237B4">
        <w:rPr>
          <w:iCs/>
        </w:rPr>
        <w:t xml:space="preserve">Range-wide </w:t>
      </w:r>
      <w:r w:rsidR="00DE413C">
        <w:rPr>
          <w:iCs/>
        </w:rPr>
        <w:t>SDM</w:t>
      </w:r>
      <w:r w:rsidRPr="009237B4">
        <w:rPr>
          <w:iCs/>
        </w:rPr>
        <w:t xml:space="preserve">s over-predicted environmental suitability within the ranges of the three known distinct genetic provenances of </w:t>
      </w:r>
      <w:r w:rsidRPr="009237B4">
        <w:rPr>
          <w:i/>
        </w:rPr>
        <w:t>P. angustifolia</w:t>
      </w:r>
      <w:r w:rsidRPr="009237B4">
        <w:rPr>
          <w:iCs/>
        </w:rPr>
        <w:t xml:space="preserve"> for all model comparisons. After accounting for agreement in suitability between range-wide models and provenance models, we found that range-wide models predicted more suitable areas within the three provenance extents than did provenance models by 11.0 to 62.4 percent (Fig</w:t>
      </w:r>
      <w:r w:rsidR="00CD2B89">
        <w:rPr>
          <w:iCs/>
        </w:rPr>
        <w:t>ure</w:t>
      </w:r>
      <w:r w:rsidRPr="009237B4">
        <w:rPr>
          <w:iCs/>
        </w:rPr>
        <w:t xml:space="preserve"> </w:t>
      </w:r>
      <w:r w:rsidR="00246C7B">
        <w:rPr>
          <w:iCs/>
        </w:rPr>
        <w:t>7</w:t>
      </w:r>
      <w:r w:rsidRPr="009237B4">
        <w:rPr>
          <w:iCs/>
        </w:rPr>
        <w:t xml:space="preserve">a). One hypothesis for the provenance differences in range-wide model over-prediction is that the environmental parameters that determine the suitability of </w:t>
      </w:r>
      <w:r w:rsidRPr="009237B4">
        <w:rPr>
          <w:i/>
          <w:iCs/>
        </w:rPr>
        <w:t>P. angustifolia</w:t>
      </w:r>
      <w:r w:rsidRPr="009237B4">
        <w:rPr>
          <w:iCs/>
        </w:rPr>
        <w:t xml:space="preserve"> vary by provenance.</w:t>
      </w:r>
      <w:r w:rsidRPr="00E05DD1">
        <w:rPr>
          <w:iCs/>
        </w:rPr>
        <w:t xml:space="preserve"> </w:t>
      </w:r>
      <w:r w:rsidRPr="009237B4">
        <w:rPr>
          <w:iCs/>
        </w:rPr>
        <w:t xml:space="preserve">Agreement of suitability between species models and provenance models ranged from 28.2 to 57.5 percent (Fig </w:t>
      </w:r>
      <w:r w:rsidR="00246C7B">
        <w:rPr>
          <w:iCs/>
        </w:rPr>
        <w:t>7</w:t>
      </w:r>
      <w:r w:rsidRPr="009237B4">
        <w:rPr>
          <w:iCs/>
        </w:rPr>
        <w:t>b).</w:t>
      </w:r>
      <w:r w:rsidRPr="002F100E">
        <w:rPr>
          <w:iCs/>
        </w:rPr>
        <w:t xml:space="preserve"> </w:t>
      </w:r>
      <w:r w:rsidRPr="009237B4">
        <w:rPr>
          <w:iCs/>
        </w:rPr>
        <w:t>The highest degree of over-predictions in geographic space by the range-wide species model was made in provenance 3 – the northernmost provenance (</w:t>
      </w:r>
      <w:r w:rsidR="00CD2B89">
        <w:rPr>
          <w:iCs/>
        </w:rPr>
        <w:t>Figure</w:t>
      </w:r>
      <w:r>
        <w:rPr>
          <w:iCs/>
        </w:rPr>
        <w:t>s</w:t>
      </w:r>
      <w:r w:rsidRPr="009237B4">
        <w:rPr>
          <w:iCs/>
        </w:rPr>
        <w:t xml:space="preserve"> </w:t>
      </w:r>
      <w:r w:rsidR="00246C7B">
        <w:rPr>
          <w:iCs/>
        </w:rPr>
        <w:t>6</w:t>
      </w:r>
      <w:r w:rsidRPr="009237B4">
        <w:rPr>
          <w:iCs/>
        </w:rPr>
        <w:t>a</w:t>
      </w:r>
      <w:r>
        <w:rPr>
          <w:iCs/>
        </w:rPr>
        <w:t xml:space="preserve"> and </w:t>
      </w:r>
      <w:r w:rsidR="00246C7B">
        <w:rPr>
          <w:iCs/>
        </w:rPr>
        <w:t>7</w:t>
      </w:r>
      <w:r w:rsidRPr="009237B4">
        <w:rPr>
          <w:iCs/>
        </w:rPr>
        <w:t xml:space="preserve">a). Accordingly, provenance 3 models show the lowest levels of niche overlap with the range-wide species model: </w:t>
      </w:r>
      <w:proofErr w:type="spellStart"/>
      <w:r w:rsidRPr="009237B4">
        <w:rPr>
          <w:iCs/>
        </w:rPr>
        <w:t>Schoener’s</w:t>
      </w:r>
      <w:proofErr w:type="spellEnd"/>
      <w:r w:rsidRPr="009237B4">
        <w:rPr>
          <w:iCs/>
        </w:rPr>
        <w:t xml:space="preserve"> D between the species model and the provenance 3 model trained with range-wide variables (model P3-RW) was 0.118 and the provenance 3 model trained with provenance-selected variables (model </w:t>
      </w:r>
      <w:r w:rsidRPr="00287E43">
        <w:rPr>
          <w:iCs/>
        </w:rPr>
        <w:t xml:space="preserve">P3-P3) was 0.169 (Table </w:t>
      </w:r>
      <w:r w:rsidR="00287E43" w:rsidRPr="00287E43">
        <w:rPr>
          <w:iCs/>
        </w:rPr>
        <w:t>5</w:t>
      </w:r>
      <w:r w:rsidRPr="00287E43">
        <w:rPr>
          <w:iCs/>
        </w:rPr>
        <w:t>). In contrast,</w:t>
      </w:r>
      <w:r w:rsidRPr="009237B4">
        <w:rPr>
          <w:iCs/>
        </w:rPr>
        <w:t xml:space="preserve"> provenance 1 – the southernmost provenance (</w:t>
      </w:r>
      <w:r w:rsidR="00CD2B89">
        <w:rPr>
          <w:iCs/>
        </w:rPr>
        <w:t>Figure</w:t>
      </w:r>
      <w:r w:rsidRPr="009237B4">
        <w:rPr>
          <w:iCs/>
        </w:rPr>
        <w:t xml:space="preserve"> </w:t>
      </w:r>
      <w:r w:rsidR="00911272">
        <w:rPr>
          <w:iCs/>
        </w:rPr>
        <w:t>6</w:t>
      </w:r>
      <w:r w:rsidRPr="009237B4">
        <w:rPr>
          <w:iCs/>
        </w:rPr>
        <w:t>a) – shows the highest degree of geographic spatial agreement with, and lowest over-predictions by the species model when built with the range-wide suite of variables – though this pattern switches when provenance 1 is built with variables selected within its extent (</w:t>
      </w:r>
      <w:r w:rsidR="00CD2B89">
        <w:rPr>
          <w:iCs/>
        </w:rPr>
        <w:t>Figure</w:t>
      </w:r>
      <w:r w:rsidRPr="009237B4">
        <w:rPr>
          <w:iCs/>
        </w:rPr>
        <w:t xml:space="preserve"> </w:t>
      </w:r>
      <w:r w:rsidR="00911272">
        <w:rPr>
          <w:iCs/>
        </w:rPr>
        <w:t>7</w:t>
      </w:r>
      <w:r w:rsidRPr="009237B4">
        <w:rPr>
          <w:iCs/>
        </w:rPr>
        <w:t>). One explanation for this pattern is that the environmental conditions of provenance 1 are the most unique (</w:t>
      </w:r>
      <w:r w:rsidR="00CD2B89">
        <w:rPr>
          <w:iCs/>
        </w:rPr>
        <w:t>Figure</w:t>
      </w:r>
      <w:r w:rsidRPr="009237B4">
        <w:rPr>
          <w:iCs/>
        </w:rPr>
        <w:t xml:space="preserve"> </w:t>
      </w:r>
      <w:r w:rsidR="00911272">
        <w:rPr>
          <w:iCs/>
        </w:rPr>
        <w:t>6</w:t>
      </w:r>
      <w:r w:rsidRPr="009237B4">
        <w:rPr>
          <w:iCs/>
        </w:rPr>
        <w:t>b),</w:t>
      </w:r>
      <w:r>
        <w:rPr>
          <w:iCs/>
        </w:rPr>
        <w:t xml:space="preserve"> </w:t>
      </w:r>
      <w:r w:rsidRPr="009237B4">
        <w:rPr>
          <w:iCs/>
        </w:rPr>
        <w:t xml:space="preserve">and thus contribute highly to the range-wide niche. </w:t>
      </w:r>
      <w:proofErr w:type="spellStart"/>
      <w:r w:rsidRPr="009237B4">
        <w:rPr>
          <w:iCs/>
        </w:rPr>
        <w:t>Schoener’s</w:t>
      </w:r>
      <w:proofErr w:type="spellEnd"/>
      <w:r w:rsidRPr="009237B4">
        <w:rPr>
          <w:iCs/>
        </w:rPr>
        <w:t xml:space="preserve"> D values also support that niche overlap is the highest between the range-wide species model and the provenance 1 model built with range-wide selected variables (</w:t>
      </w:r>
      <w:r w:rsidR="00CD2B89">
        <w:rPr>
          <w:iCs/>
        </w:rPr>
        <w:t>Figure</w:t>
      </w:r>
      <w:r w:rsidRPr="009237B4">
        <w:rPr>
          <w:iCs/>
        </w:rPr>
        <w:t xml:space="preserve"> </w:t>
      </w:r>
      <w:r w:rsidR="00911272">
        <w:rPr>
          <w:iCs/>
        </w:rPr>
        <w:t>7</w:t>
      </w:r>
      <w:r w:rsidRPr="009237B4">
        <w:rPr>
          <w:iCs/>
        </w:rPr>
        <w:t>c</w:t>
      </w:r>
      <w:r>
        <w:rPr>
          <w:iCs/>
        </w:rPr>
        <w:t xml:space="preserve"> and</w:t>
      </w:r>
      <w:r w:rsidRPr="009237B4">
        <w:rPr>
          <w:iCs/>
        </w:rPr>
        <w:t xml:space="preserve"> Table </w:t>
      </w:r>
      <w:r w:rsidR="00911272">
        <w:rPr>
          <w:iCs/>
        </w:rPr>
        <w:t>5</w:t>
      </w:r>
      <w:r w:rsidRPr="009237B4">
        <w:rPr>
          <w:iCs/>
        </w:rPr>
        <w:t xml:space="preserve">). This similarity between the range-wide species </w:t>
      </w:r>
      <w:r w:rsidRPr="009237B4">
        <w:rPr>
          <w:iCs/>
        </w:rPr>
        <w:lastRenderedPageBreak/>
        <w:t>niche and the provenance 1 niche may explain the high values of spatial over-prediction made by the species model in provenance 3 (</w:t>
      </w:r>
      <w:r w:rsidR="00CD2B89">
        <w:rPr>
          <w:iCs/>
        </w:rPr>
        <w:t>Figure</w:t>
      </w:r>
      <w:r w:rsidRPr="009237B4">
        <w:rPr>
          <w:iCs/>
        </w:rPr>
        <w:t xml:space="preserve"> </w:t>
      </w:r>
      <w:r w:rsidR="00911272">
        <w:rPr>
          <w:iCs/>
        </w:rPr>
        <w:t>7</w:t>
      </w:r>
      <w:r w:rsidRPr="009237B4">
        <w:rPr>
          <w:iCs/>
        </w:rPr>
        <w:t>a). These results indicate that a genetically based perspective is important for predicting the quantitative and qualitative projections of suitability.</w:t>
      </w:r>
    </w:p>
    <w:p w14:paraId="4DDA069D" w14:textId="53BC969E" w:rsidR="008161B3" w:rsidRPr="009237B4" w:rsidRDefault="008161B3" w:rsidP="00A51466">
      <w:pPr>
        <w:spacing w:line="360" w:lineRule="auto"/>
        <w:ind w:firstLine="720"/>
        <w:jc w:val="both"/>
        <w:rPr>
          <w:iCs/>
        </w:rPr>
      </w:pPr>
      <w:r w:rsidRPr="009237B4">
        <w:rPr>
          <w:iCs/>
        </w:rPr>
        <w:t xml:space="preserve">The level of agreement in geographic space between species and provenance models depended on choices about which environmental predictor variables were used in models. For example, the degree of over-prediction was exaggerated in models that only used bioclimatic variables (range of 18.2 to 87.1 </w:t>
      </w:r>
      <w:r w:rsidRPr="00287E43">
        <w:rPr>
          <w:iCs/>
        </w:rPr>
        <w:t xml:space="preserve">percent; </w:t>
      </w:r>
      <w:r w:rsidR="00CD2B89">
        <w:rPr>
          <w:iCs/>
        </w:rPr>
        <w:t>Figure</w:t>
      </w:r>
      <w:r w:rsidR="00287E43" w:rsidRPr="00287E43">
        <w:rPr>
          <w:iCs/>
        </w:rPr>
        <w:t xml:space="preserve"> 18 in Appendix 4</w:t>
      </w:r>
      <w:r w:rsidR="000117D7">
        <w:rPr>
          <w:iCs/>
        </w:rPr>
        <w:t xml:space="preserve"> (A4)</w:t>
      </w:r>
      <w:r w:rsidRPr="00287E43">
        <w:rPr>
          <w:iCs/>
        </w:rPr>
        <w:t>).</w:t>
      </w:r>
      <w:r w:rsidRPr="009237B4">
        <w:rPr>
          <w:iCs/>
        </w:rPr>
        <w:t xml:space="preserve"> Interestingly, the geographic spatial agreement between range-wide species model and provenance 1 models decreased by as much as 43.7 percent (Table</w:t>
      </w:r>
      <w:r w:rsidR="00287E43">
        <w:rPr>
          <w:iCs/>
        </w:rPr>
        <w:t xml:space="preserve"> 8 in A4</w:t>
      </w:r>
      <w:r w:rsidRPr="009237B4">
        <w:rPr>
          <w:iCs/>
        </w:rPr>
        <w:t>) while the geographic agreement between the range-wide species model and provenance 2 and provenance 3 models increased (</w:t>
      </w:r>
      <w:r w:rsidR="00CD2B89">
        <w:rPr>
          <w:iCs/>
        </w:rPr>
        <w:t>Figure</w:t>
      </w:r>
      <w:r w:rsidR="00287E43" w:rsidRPr="00287E43">
        <w:rPr>
          <w:iCs/>
        </w:rPr>
        <w:t xml:space="preserve"> 18 in A4</w:t>
      </w:r>
      <w:r w:rsidRPr="009237B4">
        <w:rPr>
          <w:iCs/>
        </w:rPr>
        <w:t>). Accordingly, over-predictions by the species models increased significantly for the southern-most provenance 1 (up to 87%) when only bioclimatic variables were included (</w:t>
      </w:r>
      <w:r w:rsidR="00CD2B89">
        <w:rPr>
          <w:iCs/>
        </w:rPr>
        <w:t>Figure</w:t>
      </w:r>
      <w:r w:rsidR="00287E43" w:rsidRPr="00287E43">
        <w:rPr>
          <w:iCs/>
        </w:rPr>
        <w:t xml:space="preserve"> 18 in A4</w:t>
      </w:r>
      <w:r w:rsidRPr="009237B4">
        <w:rPr>
          <w:iCs/>
        </w:rPr>
        <w:t xml:space="preserve">). These results further support the need to build genetically informed provenance-specific niches as range-wide species models are too broad to be usefully applied across genetic provenances.  </w:t>
      </w:r>
    </w:p>
    <w:p w14:paraId="403C9D56" w14:textId="77777777" w:rsidR="008161B3" w:rsidRDefault="008161B3" w:rsidP="00A51466">
      <w:pPr>
        <w:pStyle w:val="Heading3"/>
        <w:spacing w:line="360" w:lineRule="auto"/>
        <w:jc w:val="both"/>
        <w:rPr>
          <w:szCs w:val="24"/>
        </w:rPr>
      </w:pPr>
      <w:r>
        <w:rPr>
          <w:szCs w:val="24"/>
        </w:rPr>
        <w:t>Range-wide niche versus population-level niches</w:t>
      </w:r>
    </w:p>
    <w:p w14:paraId="706CC016" w14:textId="7656CE66" w:rsidR="008161B3" w:rsidRPr="009237B4" w:rsidRDefault="008161B3" w:rsidP="00155C4B">
      <w:pPr>
        <w:spacing w:line="360" w:lineRule="auto"/>
        <w:jc w:val="both"/>
      </w:pPr>
      <w:r w:rsidRPr="009237B4">
        <w:t xml:space="preserve">Significant environmental variation across species’ ranges begs a more deliberate identification of bioclimatic and ecological niches through understanding how, why, and when to include different types of variables in models. We show that environmental variables vary on the landscape across the three genetic provenances of </w:t>
      </w:r>
      <w:r w:rsidRPr="009237B4">
        <w:rPr>
          <w:i/>
          <w:iCs/>
        </w:rPr>
        <w:t>P. angustifolia</w:t>
      </w:r>
      <w:r w:rsidRPr="009237B4">
        <w:t xml:space="preserve"> with a </w:t>
      </w:r>
      <w:proofErr w:type="gramStart"/>
      <w:r w:rsidRPr="009237B4">
        <w:t>redundancy analyses</w:t>
      </w:r>
      <w:proofErr w:type="gramEnd"/>
      <w:r w:rsidRPr="009237B4">
        <w:t xml:space="preserve"> (RDA; R package vegan; Oksanen et al. 2017) that revealed 58.2 percent of the variance in all environmental response variables could be explained by the geographic extent of genetic provenance (p&lt;0.001; </w:t>
      </w:r>
      <w:r w:rsidR="00CD2B89">
        <w:t>Figure</w:t>
      </w:r>
      <w:r w:rsidRPr="009237B4">
        <w:t xml:space="preserve"> </w:t>
      </w:r>
      <w:r w:rsidR="00911272">
        <w:t>6</w:t>
      </w:r>
      <w:r w:rsidRPr="009237B4">
        <w:t xml:space="preserve">b). This significant environmental variation across the range of </w:t>
      </w:r>
      <w:r w:rsidRPr="009237B4">
        <w:rPr>
          <w:i/>
          <w:iCs/>
        </w:rPr>
        <w:t>P. angustifolia</w:t>
      </w:r>
      <w:r w:rsidRPr="009237B4">
        <w:t xml:space="preserve"> provides an additional reason to examine environmental niches at the intraspecific level, and to carefully consider the types of environmental predictor variables included in models. The average percent contribution of ecosystem variables, those describing the riparian habitat of </w:t>
      </w:r>
      <w:r w:rsidRPr="009237B4">
        <w:rPr>
          <w:i/>
          <w:iCs/>
        </w:rPr>
        <w:t xml:space="preserve">P. </w:t>
      </w:r>
      <w:proofErr w:type="spellStart"/>
      <w:r w:rsidRPr="009237B4">
        <w:rPr>
          <w:i/>
          <w:iCs/>
        </w:rPr>
        <w:t>angustifiolia</w:t>
      </w:r>
      <w:proofErr w:type="spellEnd"/>
      <w:r w:rsidRPr="009237B4">
        <w:t xml:space="preserve">, was higher than the contribution of bioclimatic variables (17.9% and 11.3%, </w:t>
      </w:r>
      <w:r w:rsidRPr="009237B4">
        <w:lastRenderedPageBreak/>
        <w:t xml:space="preserve">respectively; </w:t>
      </w:r>
      <w:r w:rsidR="00CD2B89">
        <w:rPr>
          <w:iCs/>
        </w:rPr>
        <w:t>Figure</w:t>
      </w:r>
      <w:r w:rsidR="004146CC" w:rsidRPr="00287E43">
        <w:rPr>
          <w:iCs/>
        </w:rPr>
        <w:t xml:space="preserve"> 18 in Appendix 4</w:t>
      </w:r>
      <w:r w:rsidRPr="009237B4">
        <w:t xml:space="preserve">), though the difference was significant only at p=0.07. Repeating the RDA on each of these variable types (bioclimatic and ecosystem-related) reveals that genetic provenance explains 61.1 percent of the variation in ecosystem-related variables but just 11.2 percent of the bioclimatic variables (p&lt;0.001 for both models; R package vegan; Oksanen et al. 2017).  </w:t>
      </w:r>
    </w:p>
    <w:p w14:paraId="1711EFA6" w14:textId="5FC421F8" w:rsidR="008161B3" w:rsidRPr="009237B4" w:rsidRDefault="008161B3" w:rsidP="00A51466">
      <w:pPr>
        <w:spacing w:line="360" w:lineRule="auto"/>
        <w:ind w:firstLine="720"/>
        <w:jc w:val="both"/>
      </w:pPr>
      <w:r w:rsidRPr="009237B4">
        <w:t xml:space="preserve">Consistent with the hypothesis that range-wide species models are too broad, we did not find a single model could be applied to genetically distinct populations of </w:t>
      </w:r>
      <w:r w:rsidRPr="009237B4">
        <w:rPr>
          <w:i/>
          <w:iCs/>
        </w:rPr>
        <w:t xml:space="preserve">P. angustifolia. </w:t>
      </w:r>
      <w:r w:rsidRPr="009237B4">
        <w:t xml:space="preserve">Closer examination of important variables for the species range-wide model and provenance models </w:t>
      </w:r>
      <w:r w:rsidR="00911272" w:rsidRPr="009237B4">
        <w:t>reveals</w:t>
      </w:r>
      <w:r w:rsidRPr="009237B4">
        <w:t xml:space="preserve"> how the environmental niches differ between groups. The result of the range-wide species model indicates that the niche of </w:t>
      </w:r>
      <w:r w:rsidRPr="009237B4">
        <w:rPr>
          <w:i/>
          <w:iCs/>
        </w:rPr>
        <w:t xml:space="preserve">P. angustifolia </w:t>
      </w:r>
      <w:r w:rsidRPr="009237B4">
        <w:t xml:space="preserve">is driven largely by mean annual streamflow (35.7%) and stream order (19.6%; Table </w:t>
      </w:r>
      <w:r w:rsidR="00911272">
        <w:t>4</w:t>
      </w:r>
      <w:r>
        <w:t xml:space="preserve"> and</w:t>
      </w:r>
      <w:r w:rsidRPr="009237B4">
        <w:t xml:space="preserve"> </w:t>
      </w:r>
      <w:r w:rsidR="00CD2B89">
        <w:rPr>
          <w:iCs/>
        </w:rPr>
        <w:t>Figure</w:t>
      </w:r>
      <w:r w:rsidR="004146CC" w:rsidRPr="00287E43">
        <w:rPr>
          <w:iCs/>
        </w:rPr>
        <w:t xml:space="preserve"> 1</w:t>
      </w:r>
      <w:r w:rsidR="004146CC">
        <w:rPr>
          <w:iCs/>
        </w:rPr>
        <w:t>7</w:t>
      </w:r>
      <w:r w:rsidR="004146CC" w:rsidRPr="00287E43">
        <w:rPr>
          <w:iCs/>
        </w:rPr>
        <w:t xml:space="preserve"> in Appendix 4</w:t>
      </w:r>
      <w:r w:rsidR="000117D7">
        <w:rPr>
          <w:iCs/>
        </w:rPr>
        <w:t xml:space="preserve"> (A4)</w:t>
      </w:r>
      <w:r w:rsidRPr="009237B4">
        <w:t xml:space="preserve">). Similarly, provenances 2 and 3 also show high contributions of mean annual streamflow (between 41.6 - 47.3%), while stream </w:t>
      </w:r>
      <w:r w:rsidRPr="009237B4">
        <w:rPr>
          <w:i/>
          <w:iCs/>
        </w:rPr>
        <w:t>order,</w:t>
      </w:r>
      <w:r w:rsidRPr="009237B4">
        <w:t xml:space="preserve"> not flow, matters most for provenance 1 (Table </w:t>
      </w:r>
      <w:r w:rsidR="00911272">
        <w:t>4</w:t>
      </w:r>
      <w:r>
        <w:t xml:space="preserve"> and</w:t>
      </w:r>
      <w:r w:rsidRPr="009237B4">
        <w:t xml:space="preserve"> </w:t>
      </w:r>
      <w:r w:rsidR="00CD2B89">
        <w:rPr>
          <w:iCs/>
        </w:rPr>
        <w:t>Figure</w:t>
      </w:r>
      <w:r w:rsidR="004146CC" w:rsidRPr="00287E43">
        <w:rPr>
          <w:iCs/>
        </w:rPr>
        <w:t xml:space="preserve"> 1</w:t>
      </w:r>
      <w:r w:rsidR="004146CC">
        <w:rPr>
          <w:iCs/>
        </w:rPr>
        <w:t>7</w:t>
      </w:r>
      <w:r w:rsidR="004146CC" w:rsidRPr="00287E43">
        <w:rPr>
          <w:iCs/>
        </w:rPr>
        <w:t xml:space="preserve"> in </w:t>
      </w:r>
      <w:r w:rsidR="000117D7">
        <w:rPr>
          <w:iCs/>
        </w:rPr>
        <w:t>A</w:t>
      </w:r>
      <w:r w:rsidR="004146CC" w:rsidRPr="00287E43">
        <w:rPr>
          <w:iCs/>
        </w:rPr>
        <w:t>4</w:t>
      </w:r>
      <w:r w:rsidRPr="009237B4">
        <w:t xml:space="preserve">). This makes sense as stream flow can be intermittent across the extent of provenance 1 where water is less available at higher stream orders, and because </w:t>
      </w:r>
      <w:r w:rsidRPr="009237B4">
        <w:rPr>
          <w:i/>
          <w:iCs/>
        </w:rPr>
        <w:t>P. angustifolia</w:t>
      </w:r>
      <w:r w:rsidRPr="009237B4">
        <w:t xml:space="preserve"> is an obligate riparian species. We predicted that uniquely selecting environmental variables within provenance extents would improve </w:t>
      </w:r>
      <w:r w:rsidR="00DE413C">
        <w:t>SDM</w:t>
      </w:r>
      <w:r w:rsidRPr="009237B4">
        <w:t xml:space="preserve"> accuracy compared to range-wide variable selection. We found that this method of variable selection did not consistently affect model discriminatory ability, though it did change predictions (</w:t>
      </w:r>
      <w:r w:rsidR="00CD2B89">
        <w:t>Figure</w:t>
      </w:r>
      <w:r w:rsidRPr="009237B4">
        <w:t xml:space="preserve"> </w:t>
      </w:r>
      <w:r w:rsidR="00911272">
        <w:t>6</w:t>
      </w:r>
      <w:r w:rsidRPr="009237B4">
        <w:t>c</w:t>
      </w:r>
      <w:r>
        <w:t xml:space="preserve"> and</w:t>
      </w:r>
      <w:r w:rsidRPr="009237B4">
        <w:t xml:space="preserve"> Table </w:t>
      </w:r>
      <w:r w:rsidR="00911272">
        <w:t>3</w:t>
      </w:r>
      <w:r w:rsidRPr="009237B4">
        <w:t xml:space="preserve">) – also supported by values of </w:t>
      </w:r>
      <w:proofErr w:type="spellStart"/>
      <w:r w:rsidRPr="009237B4">
        <w:t>Schoener’s</w:t>
      </w:r>
      <w:proofErr w:type="spellEnd"/>
      <w:r w:rsidRPr="009237B4">
        <w:t xml:space="preserve"> D, showing the relative degree of niche overlap between the models (Table </w:t>
      </w:r>
      <w:r w:rsidR="00911272">
        <w:t>5</w:t>
      </w:r>
      <w:r w:rsidRPr="009237B4">
        <w:t>). With environmental variables tailored for each provenance, further differences in variable importance from the species model were noted</w:t>
      </w:r>
      <w:r w:rsidRPr="009237B4">
        <w:rPr>
          <w:i/>
          <w:iCs/>
        </w:rPr>
        <w:t>,</w:t>
      </w:r>
      <w:r w:rsidRPr="009237B4">
        <w:t xml:space="preserve"> supporting the need to examine how population X environment relationships manifest within </w:t>
      </w:r>
      <w:r w:rsidR="00DE413C">
        <w:t>SDM</w:t>
      </w:r>
      <w:r w:rsidRPr="009237B4">
        <w:t>s.</w:t>
      </w:r>
    </w:p>
    <w:p w14:paraId="26237D43" w14:textId="0D4EFE3B" w:rsidR="008161B3" w:rsidRDefault="008161B3" w:rsidP="00A51466">
      <w:pPr>
        <w:spacing w:line="360" w:lineRule="auto"/>
        <w:ind w:firstLine="720"/>
        <w:jc w:val="both"/>
      </w:pPr>
      <w:r w:rsidRPr="009237B4">
        <w:t>Though models were consistently improved with hydrological predictors across all four geographic extents (</w:t>
      </w:r>
      <w:r w:rsidR="00CD2B89">
        <w:rPr>
          <w:iCs/>
        </w:rPr>
        <w:t>Figure</w:t>
      </w:r>
      <w:r w:rsidR="004146CC" w:rsidRPr="00287E43">
        <w:rPr>
          <w:iCs/>
        </w:rPr>
        <w:t xml:space="preserve"> 1</w:t>
      </w:r>
      <w:r w:rsidR="004146CC">
        <w:rPr>
          <w:iCs/>
        </w:rPr>
        <w:t>6</w:t>
      </w:r>
      <w:r w:rsidR="004146CC" w:rsidRPr="00287E43">
        <w:rPr>
          <w:iCs/>
        </w:rPr>
        <w:t xml:space="preserve"> in Appendix 4</w:t>
      </w:r>
      <w:r w:rsidR="000117D7">
        <w:rPr>
          <w:iCs/>
        </w:rPr>
        <w:t xml:space="preserve"> (A4)</w:t>
      </w:r>
      <w:r w:rsidRPr="009237B4">
        <w:t xml:space="preserve">), their inclusion made </w:t>
      </w:r>
      <w:r>
        <w:t xml:space="preserve">predictions of </w:t>
      </w:r>
      <w:r w:rsidRPr="009237B4">
        <w:t xml:space="preserve">markedly smaller suitable </w:t>
      </w:r>
      <w:r>
        <w:t>regions</w:t>
      </w:r>
      <w:r w:rsidRPr="009237B4">
        <w:t xml:space="preserve"> (</w:t>
      </w:r>
      <w:r w:rsidR="00CD2B89">
        <w:t>Figure</w:t>
      </w:r>
      <w:r w:rsidRPr="009237B4">
        <w:t xml:space="preserve"> </w:t>
      </w:r>
      <w:r w:rsidR="00911272">
        <w:t>8</w:t>
      </w:r>
      <w:r w:rsidRPr="009237B4">
        <w:t>). Projecting provenance models showed that between 18.8 and 19.4 percent of the landscape was predicted suitable with range-wide and provenance-specific variables, respectively (</w:t>
      </w:r>
      <w:r w:rsidR="00CD2B89">
        <w:t>Figure</w:t>
      </w:r>
      <w:r w:rsidRPr="009237B4">
        <w:t xml:space="preserve"> </w:t>
      </w:r>
      <w:r w:rsidR="00911272">
        <w:t>8</w:t>
      </w:r>
      <w:r w:rsidRPr="009237B4">
        <w:t xml:space="preserve">). Had we only used bioclimatic variables to model </w:t>
      </w:r>
      <w:r w:rsidRPr="009237B4">
        <w:rPr>
          <w:i/>
          <w:iCs/>
        </w:rPr>
        <w:t>P. angustifolia</w:t>
      </w:r>
      <w:r w:rsidRPr="009237B4">
        <w:t xml:space="preserve">, suitable distributions would have been predicted on as </w:t>
      </w:r>
      <w:r w:rsidRPr="009237B4">
        <w:lastRenderedPageBreak/>
        <w:t>high as 40.6 and 47.9 percent of the landscape, with greater uncertainty arising depending on variable selection method (</w:t>
      </w:r>
      <w:r w:rsidR="00CD2B89">
        <w:t>Figure</w:t>
      </w:r>
      <w:r w:rsidRPr="009237B4">
        <w:t xml:space="preserve"> </w:t>
      </w:r>
      <w:r w:rsidR="00911272">
        <w:t>8</w:t>
      </w:r>
      <w:r w:rsidRPr="009237B4">
        <w:t xml:space="preserve">). This is a high level of potential error arising from models that ignore population X environment relationships within </w:t>
      </w:r>
      <w:r w:rsidR="00DE413C">
        <w:t>SDM</w:t>
      </w:r>
      <w:r w:rsidRPr="009237B4">
        <w:t>s.</w:t>
      </w:r>
    </w:p>
    <w:p w14:paraId="3A893188" w14:textId="77777777" w:rsidR="008161B3" w:rsidRDefault="008161B3" w:rsidP="00A51466">
      <w:pPr>
        <w:pStyle w:val="Heading2"/>
        <w:spacing w:line="360" w:lineRule="auto"/>
        <w:rPr>
          <w:sz w:val="24"/>
          <w:szCs w:val="24"/>
        </w:rPr>
      </w:pPr>
      <w:bookmarkStart w:id="41" w:name="_Toc83051517"/>
      <w:bookmarkStart w:id="42" w:name="_Toc88056485"/>
      <w:r>
        <w:rPr>
          <w:sz w:val="24"/>
          <w:szCs w:val="24"/>
        </w:rPr>
        <w:t>Discussion</w:t>
      </w:r>
      <w:bookmarkEnd w:id="41"/>
      <w:bookmarkEnd w:id="42"/>
    </w:p>
    <w:p w14:paraId="3C3DFF1B" w14:textId="77777777" w:rsidR="008161B3" w:rsidRPr="0043437A" w:rsidRDefault="008161B3" w:rsidP="00A51466">
      <w:pPr>
        <w:pStyle w:val="Heading3"/>
        <w:spacing w:line="360" w:lineRule="auto"/>
        <w:jc w:val="both"/>
        <w:rPr>
          <w:szCs w:val="24"/>
        </w:rPr>
      </w:pPr>
      <w:r>
        <w:rPr>
          <w:szCs w:val="24"/>
        </w:rPr>
        <w:t>Range-wide models consistently overpredict suitable distribution</w:t>
      </w:r>
    </w:p>
    <w:p w14:paraId="31707A56" w14:textId="174AA1D9" w:rsidR="008161B3" w:rsidRPr="009237B4" w:rsidRDefault="008161B3" w:rsidP="003761F7">
      <w:pPr>
        <w:spacing w:line="360" w:lineRule="auto"/>
        <w:jc w:val="both"/>
        <w:rPr>
          <w:iCs/>
        </w:rPr>
      </w:pPr>
      <w:r w:rsidRPr="009237B4">
        <w:t>Range-wide ecological niche models (</w:t>
      </w:r>
      <w:r w:rsidR="00DE413C">
        <w:t>SDM</w:t>
      </w:r>
      <w:r w:rsidRPr="009237B4">
        <w:t xml:space="preserve">s) overpredicted suitable distribution within the geographic bounds delineated by genetic provenance, relative to each of the twelve </w:t>
      </w:r>
      <w:r w:rsidR="00DE413C">
        <w:t>SDM</w:t>
      </w:r>
      <w:r w:rsidRPr="009237B4">
        <w:t xml:space="preserve">s built for provenances. We found that 18.2 and 11 percent were the </w:t>
      </w:r>
      <w:r w:rsidRPr="009237B4">
        <w:rPr>
          <w:i/>
          <w:iCs/>
        </w:rPr>
        <w:t>lowest</w:t>
      </w:r>
      <w:r w:rsidRPr="009237B4">
        <w:t xml:space="preserve"> overpredictions, and 87 and 62 percent were the </w:t>
      </w:r>
      <w:r w:rsidRPr="009237B4">
        <w:rPr>
          <w:i/>
          <w:iCs/>
        </w:rPr>
        <w:t>highest</w:t>
      </w:r>
      <w:r w:rsidRPr="009237B4">
        <w:t xml:space="preserve"> overpredictions. Overprediction was expected from range-wide models as a species’ range spans broader environmental gradients and larger areas than intraspecific delineations (</w:t>
      </w:r>
      <w:proofErr w:type="spellStart"/>
      <w:r w:rsidRPr="009237B4">
        <w:t>Gotelli</w:t>
      </w:r>
      <w:proofErr w:type="spellEnd"/>
      <w:r w:rsidRPr="009237B4">
        <w:t xml:space="preserve"> &amp; Stanton-Geddes 2015, Peterson, </w:t>
      </w:r>
      <w:proofErr w:type="spellStart"/>
      <w:r w:rsidRPr="009237B4">
        <w:t>Doak</w:t>
      </w:r>
      <w:proofErr w:type="spellEnd"/>
      <w:r w:rsidRPr="009237B4">
        <w:t>, &amp; Morris 2019). W</w:t>
      </w:r>
      <w:r w:rsidRPr="009237B4">
        <w:rPr>
          <w:iCs/>
        </w:rPr>
        <w:t xml:space="preserve">hether the resulting overpredictions were affected by the inclusion of species-relevant ecosystem variables depended upon provenance (overprediction increased in provenances 2 and 3, decreased in the southernmost provenance 1). </w:t>
      </w:r>
      <w:r w:rsidRPr="009237B4">
        <w:t>We are unable to assess whether including genetic provenance increases model accuracy because models were built in different geographic areas and with different numbers of occurrences – both range size and sample size affect model accuracy (</w:t>
      </w:r>
      <w:proofErr w:type="spellStart"/>
      <w:r w:rsidRPr="009237B4">
        <w:t>Stockwell</w:t>
      </w:r>
      <w:proofErr w:type="spellEnd"/>
      <w:r w:rsidRPr="009237B4">
        <w:t xml:space="preserve"> &amp; Peterson 2002, McPherson, </w:t>
      </w:r>
      <w:proofErr w:type="spellStart"/>
      <w:r w:rsidRPr="009237B4">
        <w:t>Jetz</w:t>
      </w:r>
      <w:proofErr w:type="spellEnd"/>
      <w:r w:rsidRPr="009237B4">
        <w:t xml:space="preserve"> &amp; Rogers 2004).</w:t>
      </w:r>
      <w:r w:rsidRPr="009237B4">
        <w:rPr>
          <w:iCs/>
        </w:rPr>
        <w:t xml:space="preserve"> However, overall, our study adds to accumulating evidence that building </w:t>
      </w:r>
      <w:r w:rsidR="00DE413C">
        <w:rPr>
          <w:iCs/>
        </w:rPr>
        <w:t>SDM</w:t>
      </w:r>
      <w:r w:rsidRPr="009237B4">
        <w:rPr>
          <w:iCs/>
        </w:rPr>
        <w:t>s at the species-level</w:t>
      </w:r>
      <w:r w:rsidRPr="009237B4">
        <w:t xml:space="preserve"> can lead to overly broad and drastically misleading predictions for certain populations and genetic provenances.</w:t>
      </w:r>
    </w:p>
    <w:p w14:paraId="431212AE" w14:textId="77777777" w:rsidR="008161B3" w:rsidRDefault="008161B3" w:rsidP="00A51466">
      <w:pPr>
        <w:pStyle w:val="Heading3"/>
        <w:spacing w:line="360" w:lineRule="auto"/>
        <w:jc w:val="both"/>
        <w:rPr>
          <w:szCs w:val="24"/>
        </w:rPr>
      </w:pPr>
      <w:r>
        <w:rPr>
          <w:szCs w:val="24"/>
        </w:rPr>
        <w:t>There is no single species-level niche that can be applied to populations</w:t>
      </w:r>
    </w:p>
    <w:p w14:paraId="27636418" w14:textId="09630B6E" w:rsidR="008161B3" w:rsidRPr="009237B4" w:rsidRDefault="008161B3" w:rsidP="00A51466">
      <w:pPr>
        <w:spacing w:line="360" w:lineRule="auto"/>
        <w:jc w:val="both"/>
        <w:rPr>
          <w:b/>
          <w:bCs/>
          <w:i/>
        </w:rPr>
      </w:pPr>
      <w:r w:rsidRPr="009237B4">
        <w:rPr>
          <w:iCs/>
        </w:rPr>
        <w:t>Our results suggest that the use of bioclimatic variables does not suffice to define population-level niches</w:t>
      </w:r>
      <w:r w:rsidR="004146CC">
        <w:rPr>
          <w:iCs/>
        </w:rPr>
        <w:t xml:space="preserve"> (</w:t>
      </w:r>
      <w:r w:rsidR="00CD2B89">
        <w:rPr>
          <w:iCs/>
        </w:rPr>
        <w:t>Figure</w:t>
      </w:r>
      <w:r w:rsidR="004146CC">
        <w:rPr>
          <w:iCs/>
        </w:rPr>
        <w:t xml:space="preserve"> 19 in </w:t>
      </w:r>
      <w:r w:rsidR="000117D7">
        <w:rPr>
          <w:iCs/>
        </w:rPr>
        <w:t>A</w:t>
      </w:r>
      <w:r w:rsidR="004146CC">
        <w:rPr>
          <w:iCs/>
        </w:rPr>
        <w:t>4)</w:t>
      </w:r>
      <w:r w:rsidRPr="009237B4">
        <w:rPr>
          <w:iCs/>
        </w:rPr>
        <w:t>. We consistently</w:t>
      </w:r>
      <w:r w:rsidRPr="009237B4">
        <w:t xml:space="preserve"> improved model discriminatory ability by incorporating predictor variables relevant to the ecology of </w:t>
      </w:r>
      <w:r w:rsidRPr="009237B4">
        <w:rPr>
          <w:i/>
          <w:iCs/>
        </w:rPr>
        <w:t>P. angustifolia</w:t>
      </w:r>
      <w:r w:rsidRPr="009237B4">
        <w:t xml:space="preserve"> in addition to bioclimatic variables. Reassuringly, our models confirm much of what we already know about the habitat preferences of </w:t>
      </w:r>
      <w:r w:rsidRPr="009237B4">
        <w:rPr>
          <w:i/>
          <w:iCs/>
        </w:rPr>
        <w:t>P. angustifolia</w:t>
      </w:r>
      <w:r w:rsidRPr="009237B4">
        <w:t xml:space="preserve"> – a riparian species influenced by hydrological processes (Cushman et al. 2014, Evans et al. 2016). Not only did model accuracy improve with the inclusion of hydrological variables, but hydrological </w:t>
      </w:r>
      <w:r w:rsidRPr="009237B4">
        <w:lastRenderedPageBreak/>
        <w:t>variables contributed more to models than bioclimatic variables did when both types were included (</w:t>
      </w:r>
      <w:r w:rsidR="004146CC">
        <w:t xml:space="preserve">Tables 8-9 and </w:t>
      </w:r>
      <w:r w:rsidR="00CD2B89">
        <w:rPr>
          <w:iCs/>
        </w:rPr>
        <w:t>Figure</w:t>
      </w:r>
      <w:r w:rsidR="004146CC">
        <w:rPr>
          <w:iCs/>
        </w:rPr>
        <w:t>s</w:t>
      </w:r>
      <w:r w:rsidR="004146CC" w:rsidRPr="00287E43">
        <w:rPr>
          <w:iCs/>
        </w:rPr>
        <w:t xml:space="preserve"> </w:t>
      </w:r>
      <w:r w:rsidR="004146CC">
        <w:rPr>
          <w:iCs/>
        </w:rPr>
        <w:t>16-17</w:t>
      </w:r>
      <w:r w:rsidR="004146CC" w:rsidRPr="00287E43">
        <w:rPr>
          <w:iCs/>
        </w:rPr>
        <w:t xml:space="preserve"> in </w:t>
      </w:r>
      <w:r w:rsidR="000117D7">
        <w:rPr>
          <w:iCs/>
        </w:rPr>
        <w:t>A</w:t>
      </w:r>
      <w:r w:rsidR="004146CC" w:rsidRPr="00287E43">
        <w:rPr>
          <w:iCs/>
        </w:rPr>
        <w:t>4</w:t>
      </w:r>
      <w:r w:rsidRPr="009237B4">
        <w:t xml:space="preserve">). Localized variables related to riparian systems (e.g., stream order) are not consistently correlated with coarser bioclimatic variables (e.g., precipitation), consequently resulting in misjudgments of occurrence-environment relationships if these variables are not included (McPherson &amp; </w:t>
      </w:r>
      <w:proofErr w:type="spellStart"/>
      <w:r w:rsidRPr="009237B4">
        <w:t>Jetz</w:t>
      </w:r>
      <w:proofErr w:type="spellEnd"/>
      <w:r w:rsidRPr="009237B4">
        <w:t xml:space="preserve"> 2007). Though models were consistently improved with hydrological predictors across all four geographic extents, their inclusion made markedly smaller (by 75%) predictions of suitable </w:t>
      </w:r>
      <w:r>
        <w:t>geographic region</w:t>
      </w:r>
      <w:r w:rsidRPr="009237B4">
        <w:t xml:space="preserve"> for three of the four geographic extents (i.e., range-wide and all three genetic provenances), indicating population X environment interactions. Provenances 2 and 3 are less constrained by climate than provenance 1. Prediction differences may result from river attributes lessening stressful climatic conditions; for example, a lack of precipitation could be offset by subterranean stream flow, whereby riparian trees instead acquire water from rivers rather than soil storage (e.g., Snyder &amp; Williams 2000). </w:t>
      </w:r>
    </w:p>
    <w:p w14:paraId="2B03C01E" w14:textId="08502EC6" w:rsidR="008161B3" w:rsidRPr="009237B4" w:rsidRDefault="008161B3" w:rsidP="00A51466">
      <w:pPr>
        <w:spacing w:line="360" w:lineRule="auto"/>
        <w:ind w:firstLine="720"/>
        <w:jc w:val="both"/>
        <w:rPr>
          <w:b/>
          <w:bCs/>
          <w:i/>
        </w:rPr>
      </w:pPr>
      <w:r w:rsidRPr="009237B4">
        <w:t>Contrary to our expectations</w:t>
      </w:r>
      <w:r w:rsidRPr="009237B4">
        <w:rPr>
          <w:i/>
          <w:iCs/>
        </w:rPr>
        <w:t>,</w:t>
      </w:r>
      <w:r w:rsidRPr="009237B4">
        <w:t xml:space="preserve"> genetic provenance </w:t>
      </w:r>
      <w:r w:rsidR="00DE413C">
        <w:t>SDM</w:t>
      </w:r>
      <w:r w:rsidRPr="009237B4">
        <w:t xml:space="preserve">s trained on a tailored set of environmental variables (selected within each provenance’s geographic bounds) did not consistently perform better than when </w:t>
      </w:r>
      <w:r w:rsidR="00DE413C">
        <w:t>SDM</w:t>
      </w:r>
      <w:r w:rsidRPr="009237B4">
        <w:t xml:space="preserve">s were provided with variables selected within bounds of the species range. Higher average </w:t>
      </w:r>
      <w:proofErr w:type="spellStart"/>
      <w:r w:rsidRPr="009237B4">
        <w:t>AUC</w:t>
      </w:r>
      <w:r w:rsidRPr="009237B4">
        <w:rPr>
          <w:vertAlign w:val="subscript"/>
        </w:rPr>
        <w:t>test</w:t>
      </w:r>
      <w:proofErr w:type="spellEnd"/>
      <w:r w:rsidRPr="009237B4">
        <w:t xml:space="preserve"> values emerged for only four of the six comparisons. Though model performance did not necessarily </w:t>
      </w:r>
      <w:r w:rsidRPr="009237B4">
        <w:rPr>
          <w:i/>
          <w:iCs/>
        </w:rPr>
        <w:t>improve</w:t>
      </w:r>
      <w:r w:rsidRPr="009237B4">
        <w:t>, models did perform well overall (</w:t>
      </w:r>
      <w:proofErr w:type="spellStart"/>
      <w:r w:rsidRPr="009237B4">
        <w:t>AUC</w:t>
      </w:r>
      <w:r w:rsidRPr="009237B4">
        <w:rPr>
          <w:vertAlign w:val="subscript"/>
        </w:rPr>
        <w:t>test</w:t>
      </w:r>
      <w:proofErr w:type="spellEnd"/>
      <w:r w:rsidRPr="009237B4">
        <w:t xml:space="preserve"> &gt; 0.8 for all but one model; </w:t>
      </w:r>
      <w:proofErr w:type="spellStart"/>
      <w:r w:rsidRPr="009237B4">
        <w:t>Swets</w:t>
      </w:r>
      <w:proofErr w:type="spellEnd"/>
      <w:r w:rsidRPr="009237B4">
        <w:t xml:space="preserve"> 1988), suggesting that it may instead be important to consider in which scenarios the different variable selection methods may be useful. For example, it may be more useful to select variables at the genetic provenance level when projecting models across space or time, given that the identity and contributions of variables selected differed considerably from the range-wide selection and across genetic groups (</w:t>
      </w:r>
      <w:r w:rsidR="00CD2B89">
        <w:t xml:space="preserve">Table 9 and </w:t>
      </w:r>
      <w:r w:rsidR="00CD2B89">
        <w:rPr>
          <w:iCs/>
        </w:rPr>
        <w:t>Figure</w:t>
      </w:r>
      <w:r w:rsidR="004146CC" w:rsidRPr="00287E43">
        <w:rPr>
          <w:iCs/>
        </w:rPr>
        <w:t xml:space="preserve"> 1</w:t>
      </w:r>
      <w:r w:rsidR="004146CC">
        <w:rPr>
          <w:iCs/>
        </w:rPr>
        <w:t xml:space="preserve">7 </w:t>
      </w:r>
      <w:r w:rsidR="00CD2B89">
        <w:rPr>
          <w:iCs/>
        </w:rPr>
        <w:t xml:space="preserve">in </w:t>
      </w:r>
      <w:r w:rsidR="000117D7">
        <w:rPr>
          <w:iCs/>
        </w:rPr>
        <w:t>A</w:t>
      </w:r>
      <w:r w:rsidR="004146CC" w:rsidRPr="00287E43">
        <w:rPr>
          <w:iCs/>
        </w:rPr>
        <w:t>4</w:t>
      </w:r>
      <w:r w:rsidRPr="009237B4">
        <w:t xml:space="preserve">). </w:t>
      </w:r>
      <w:r>
        <w:t>When combined into a single output, the three</w:t>
      </w:r>
      <w:r w:rsidRPr="009237B4">
        <w:t xml:space="preserve"> genetic provenance models predicted broader suitable distribution over the entire species’ range than did range-wide models</w:t>
      </w:r>
      <w:r>
        <w:t xml:space="preserve"> (</w:t>
      </w:r>
      <w:r w:rsidR="00CD2B89">
        <w:t>Figure</w:t>
      </w:r>
      <w:r>
        <w:t xml:space="preserve"> </w:t>
      </w:r>
      <w:r w:rsidR="00911272">
        <w:t>8</w:t>
      </w:r>
      <w:r>
        <w:t>).</w:t>
      </w:r>
    </w:p>
    <w:p w14:paraId="49EDF8BE" w14:textId="031D4350" w:rsidR="008161B3" w:rsidRPr="0043437A" w:rsidRDefault="008161B3" w:rsidP="00A51466">
      <w:pPr>
        <w:spacing w:line="360" w:lineRule="auto"/>
        <w:ind w:firstLine="720"/>
        <w:jc w:val="both"/>
      </w:pPr>
      <w:r w:rsidRPr="009237B4">
        <w:t xml:space="preserve">We compared predictions made by </w:t>
      </w:r>
      <w:r w:rsidR="00DE413C">
        <w:t>SDM</w:t>
      </w:r>
      <w:r w:rsidRPr="009237B4">
        <w:t xml:space="preserve">s to test factors related to population X environment relationships. We manipulated geographic training extents based on the species’ genetic constitution and the selection method of variables. Range-wide species </w:t>
      </w:r>
      <w:r w:rsidR="00DE413C">
        <w:t>SDM</w:t>
      </w:r>
      <w:r w:rsidRPr="009237B4">
        <w:t>s always overpredicted suitable distribution r</w:t>
      </w:r>
      <w:r w:rsidRPr="009237B4">
        <w:rPr>
          <w:iCs/>
        </w:rPr>
        <w:t xml:space="preserve">egardless of variable type or selection </w:t>
      </w:r>
      <w:r w:rsidRPr="009237B4">
        <w:rPr>
          <w:iCs/>
        </w:rPr>
        <w:lastRenderedPageBreak/>
        <w:t xml:space="preserve">method. Though rarely incorporated, genetic information should increase the utility of </w:t>
      </w:r>
      <w:r w:rsidR="00DE413C">
        <w:rPr>
          <w:iCs/>
        </w:rPr>
        <w:t>SDM</w:t>
      </w:r>
      <w:r w:rsidRPr="009237B4">
        <w:rPr>
          <w:iCs/>
        </w:rPr>
        <w:t xml:space="preserve">s. The lack of a “single niche” for the species that encompasses niches of provenance populations emphasizes </w:t>
      </w:r>
      <w:r w:rsidRPr="009237B4">
        <w:t>the large extent to which improvements depend not only on the inclusion of genetic information but also on the type and selection of predictor variables that interact with that genetic information. These results have broad implications for predicting population-level ecological and evolutionary responses to climate change.</w:t>
      </w:r>
    </w:p>
    <w:p w14:paraId="496C738E" w14:textId="77777777" w:rsidR="008161B3" w:rsidRDefault="008161B3" w:rsidP="00A51466">
      <w:pPr>
        <w:pStyle w:val="Heading3"/>
        <w:spacing w:line="360" w:lineRule="auto"/>
        <w:jc w:val="both"/>
        <w:rPr>
          <w:szCs w:val="24"/>
        </w:rPr>
      </w:pPr>
      <w:r>
        <w:rPr>
          <w:szCs w:val="24"/>
        </w:rPr>
        <w:t>Climate change conclusions</w:t>
      </w:r>
    </w:p>
    <w:p w14:paraId="62EFE257" w14:textId="4B810F72" w:rsidR="004C2071" w:rsidRPr="008161B3" w:rsidRDefault="008161B3" w:rsidP="00A51466">
      <w:pPr>
        <w:spacing w:line="360" w:lineRule="auto"/>
        <w:jc w:val="both"/>
        <w:rPr>
          <w:bCs/>
        </w:rPr>
      </w:pPr>
      <w:r w:rsidRPr="009237B4">
        <w:t xml:space="preserve">Incorporating intraspecific variation into </w:t>
      </w:r>
      <w:r w:rsidR="00DE413C">
        <w:t>species distribution models</w:t>
      </w:r>
      <w:r w:rsidRPr="009237B4">
        <w:t xml:space="preserve"> (</w:t>
      </w:r>
      <w:r w:rsidR="00DE413C">
        <w:t>SDM</w:t>
      </w:r>
      <w:r w:rsidRPr="009237B4">
        <w:t xml:space="preserve">s) has been hypothesized to increase model accuracy, change estimates of risk of species-level declines, and reveal differential responses of intraspecific groups to climate change depending on range-position (e.g., edge vs. central lineages) and/or performance-climate relationships (e.g., warm-adapted lineages; reviewed by Peterson, </w:t>
      </w:r>
      <w:proofErr w:type="spellStart"/>
      <w:r w:rsidRPr="009237B4">
        <w:t>Doak</w:t>
      </w:r>
      <w:proofErr w:type="spellEnd"/>
      <w:r w:rsidRPr="009237B4">
        <w:t xml:space="preserve">, &amp; Morris 2019). Here, we considered the disagreement among </w:t>
      </w:r>
      <w:r w:rsidR="00DE413C">
        <w:t>SDM</w:t>
      </w:r>
      <w:r w:rsidRPr="009237B4">
        <w:t xml:space="preserve"> predictions by manipulating factors related to population-environment relationships on the landscape to show that range-wide models provide over-predictions of suitable distribution. Overall, we emphasize the need to consider how and why environmental variables are selected for </w:t>
      </w:r>
      <w:r w:rsidR="00DE413C">
        <w:t>SDM</w:t>
      </w:r>
      <w:r w:rsidRPr="009237B4">
        <w:t xml:space="preserve">s, </w:t>
      </w:r>
      <w:r w:rsidRPr="009237B4">
        <w:rPr>
          <w:i/>
          <w:iCs/>
        </w:rPr>
        <w:t>especially</w:t>
      </w:r>
      <w:r w:rsidRPr="009237B4">
        <w:t xml:space="preserve"> when including genetic substructure within a species. More nuanced </w:t>
      </w:r>
      <w:r w:rsidR="00DE413C">
        <w:t>SDM</w:t>
      </w:r>
      <w:r w:rsidRPr="009237B4">
        <w:t xml:space="preserve">s should allow for a more refined understanding of species and population-level risks in the face of climate change. Our findings advance current understanding of how distribution models should be interpreted and used. This may be critically important for conservation managers who need accurate predictions to </w:t>
      </w:r>
      <w:r w:rsidRPr="009237B4">
        <w:rPr>
          <w:bCs/>
          <w:color w:val="000000"/>
        </w:rPr>
        <w:t>better identify where, and which, populations, communities and ecosystems are most at risk due to climate change</w:t>
      </w:r>
      <w:r w:rsidRPr="009237B4">
        <w:rPr>
          <w:bCs/>
        </w:rPr>
        <w:t xml:space="preserve">. </w:t>
      </w:r>
    </w:p>
    <w:p w14:paraId="472E7D82" w14:textId="4DEF177E" w:rsidR="00D677AA" w:rsidRDefault="00F710F9" w:rsidP="008161B3">
      <w:pPr>
        <w:pStyle w:val="Heading2"/>
      </w:pPr>
      <w:r w:rsidRPr="00DF7C87">
        <w:rPr>
          <w:sz w:val="24"/>
          <w:szCs w:val="24"/>
        </w:rPr>
        <w:br w:type="page"/>
      </w:r>
      <w:bookmarkStart w:id="43" w:name="_Toc289175842"/>
      <w:bookmarkStart w:id="44" w:name="_Toc88056486"/>
      <w:r w:rsidR="004C2071" w:rsidRPr="00DF7C87">
        <w:lastRenderedPageBreak/>
        <w:t>R</w:t>
      </w:r>
      <w:bookmarkEnd w:id="43"/>
      <w:r w:rsidR="00060A6A">
        <w:t>EFERENCES</w:t>
      </w:r>
      <w:bookmarkEnd w:id="44"/>
    </w:p>
    <w:p w14:paraId="68651E2E" w14:textId="77777777" w:rsidR="008161B3" w:rsidRPr="008161B3" w:rsidRDefault="008161B3" w:rsidP="008161B3"/>
    <w:p w14:paraId="10306B20" w14:textId="77777777" w:rsidR="008161B3" w:rsidRPr="001A325F" w:rsidRDefault="008161B3" w:rsidP="001A325F">
      <w:pPr>
        <w:spacing w:line="276" w:lineRule="auto"/>
        <w:ind w:left="720" w:hanging="720"/>
        <w:jc w:val="both"/>
        <w:rPr>
          <w:shd w:val="clear" w:color="auto" w:fill="FFFFFF"/>
        </w:rPr>
      </w:pPr>
      <w:proofErr w:type="spellStart"/>
      <w:r w:rsidRPr="001A325F">
        <w:rPr>
          <w:shd w:val="clear" w:color="auto" w:fill="FFFFFF"/>
        </w:rPr>
        <w:t>AdaptWest</w:t>
      </w:r>
      <w:proofErr w:type="spellEnd"/>
      <w:r w:rsidRPr="001A325F">
        <w:rPr>
          <w:shd w:val="clear" w:color="auto" w:fill="FFFFFF"/>
        </w:rPr>
        <w:t xml:space="preserve"> Project. 2015. Gridded current and projected climate data for North America at 1km resolution, interpolated using the </w:t>
      </w:r>
      <w:proofErr w:type="spellStart"/>
      <w:r w:rsidRPr="001A325F">
        <w:rPr>
          <w:i/>
          <w:iCs/>
          <w:bdr w:val="none" w:sz="0" w:space="0" w:color="auto" w:frame="1"/>
        </w:rPr>
        <w:t>ClimateNA</w:t>
      </w:r>
      <w:proofErr w:type="spellEnd"/>
      <w:r w:rsidRPr="001A325F">
        <w:rPr>
          <w:i/>
          <w:iCs/>
          <w:bdr w:val="none" w:sz="0" w:space="0" w:color="auto" w:frame="1"/>
        </w:rPr>
        <w:t xml:space="preserve"> v5.10</w:t>
      </w:r>
      <w:r w:rsidRPr="001A325F">
        <w:rPr>
          <w:shd w:val="clear" w:color="auto" w:fill="FFFFFF"/>
        </w:rPr>
        <w:t> software (T. Wang et al., 2015). Available at adaptwest.databasin.org.</w:t>
      </w:r>
    </w:p>
    <w:p w14:paraId="2C8A697E" w14:textId="04EB07F0" w:rsidR="008161B3" w:rsidRPr="001A325F" w:rsidRDefault="008161B3" w:rsidP="001A325F">
      <w:pPr>
        <w:spacing w:line="276" w:lineRule="auto"/>
        <w:ind w:left="720" w:hanging="720"/>
        <w:jc w:val="both"/>
      </w:pPr>
      <w:r w:rsidRPr="001A325F">
        <w:t xml:space="preserve">Alcaraz-Segura D, </w:t>
      </w:r>
      <w:proofErr w:type="spellStart"/>
      <w:r w:rsidRPr="001A325F">
        <w:t>Lomba</w:t>
      </w:r>
      <w:proofErr w:type="spellEnd"/>
      <w:r w:rsidRPr="001A325F">
        <w:t xml:space="preserve"> A, Sousa-Silva R, Nieto-</w:t>
      </w:r>
      <w:proofErr w:type="spellStart"/>
      <w:r w:rsidRPr="001A325F">
        <w:t>Lugilde</w:t>
      </w:r>
      <w:proofErr w:type="spellEnd"/>
      <w:r w:rsidRPr="001A325F">
        <w:t xml:space="preserve"> D, Alves P, Georges D, Vicente JR, </w:t>
      </w:r>
      <w:proofErr w:type="spellStart"/>
      <w:r w:rsidRPr="001A325F">
        <w:t>Honrado</w:t>
      </w:r>
      <w:proofErr w:type="spellEnd"/>
      <w:r w:rsidRPr="001A325F">
        <w:t xml:space="preserve"> JP. 2017. Potential of satellite-derived ecosystem functional attributes to anticipate species range shifts. </w:t>
      </w:r>
      <w:r w:rsidRPr="001A325F">
        <w:rPr>
          <w:i/>
          <w:iCs/>
        </w:rPr>
        <w:t>International Journal of Applied Earth Observation and Geoinformation</w:t>
      </w:r>
      <w:r w:rsidRPr="001A325F">
        <w:t xml:space="preserve"> 57: 86-92. </w:t>
      </w:r>
    </w:p>
    <w:p w14:paraId="54FDC975" w14:textId="479C422D" w:rsidR="008161B3" w:rsidRPr="001A325F" w:rsidRDefault="008161B3" w:rsidP="001A325F">
      <w:pPr>
        <w:spacing w:line="276" w:lineRule="auto"/>
        <w:ind w:left="720" w:hanging="720"/>
        <w:jc w:val="both"/>
      </w:pPr>
      <w:r w:rsidRPr="001A325F">
        <w:t xml:space="preserve">Alvarado-Serrano DF, Knowles LL. 2014. Ecological niche models in phylogeographic studies: Applications, </w:t>
      </w:r>
      <w:proofErr w:type="gramStart"/>
      <w:r w:rsidRPr="001A325F">
        <w:t>advances</w:t>
      </w:r>
      <w:proofErr w:type="gramEnd"/>
      <w:r w:rsidRPr="001A325F">
        <w:t xml:space="preserve"> and precautions. </w:t>
      </w:r>
      <w:r w:rsidRPr="001A325F">
        <w:rPr>
          <w:i/>
          <w:iCs/>
        </w:rPr>
        <w:t>Molecular Ecology Resources</w:t>
      </w:r>
      <w:r w:rsidRPr="001A325F">
        <w:t xml:space="preserve"> 14(2). </w:t>
      </w:r>
    </w:p>
    <w:p w14:paraId="272680AC" w14:textId="50A396D5" w:rsidR="008161B3" w:rsidRPr="001A325F" w:rsidRDefault="008161B3" w:rsidP="001A325F">
      <w:pPr>
        <w:spacing w:line="276" w:lineRule="auto"/>
        <w:ind w:left="720" w:hanging="720"/>
        <w:jc w:val="both"/>
        <w:rPr>
          <w:shd w:val="clear" w:color="auto" w:fill="FFFFFF"/>
        </w:rPr>
      </w:pPr>
      <w:r w:rsidRPr="001A325F">
        <w:rPr>
          <w:shd w:val="clear" w:color="auto" w:fill="FFFFFF"/>
        </w:rPr>
        <w:t xml:space="preserve">Arenas-Castro S, Gonçalves J, Alves P, Alcaraz-Segura D, </w:t>
      </w:r>
      <w:proofErr w:type="spellStart"/>
      <w:r w:rsidRPr="001A325F">
        <w:rPr>
          <w:shd w:val="clear" w:color="auto" w:fill="FFFFFF"/>
        </w:rPr>
        <w:t>Honrado</w:t>
      </w:r>
      <w:proofErr w:type="spellEnd"/>
      <w:r w:rsidRPr="001A325F">
        <w:rPr>
          <w:shd w:val="clear" w:color="auto" w:fill="FFFFFF"/>
        </w:rPr>
        <w:t xml:space="preserve"> JP. 2018. Assessing the multi-scale predictive ability of ecosystem functional attributes for species distribution modelling. </w:t>
      </w:r>
      <w:proofErr w:type="spellStart"/>
      <w:r w:rsidRPr="001A325F">
        <w:rPr>
          <w:i/>
          <w:iCs/>
          <w:shd w:val="clear" w:color="auto" w:fill="FFFFFF"/>
        </w:rPr>
        <w:t>PLoS</w:t>
      </w:r>
      <w:proofErr w:type="spellEnd"/>
      <w:r w:rsidRPr="001A325F">
        <w:rPr>
          <w:i/>
          <w:iCs/>
          <w:shd w:val="clear" w:color="auto" w:fill="FFFFFF"/>
        </w:rPr>
        <w:t xml:space="preserve"> ONE</w:t>
      </w:r>
      <w:r w:rsidRPr="001A325F">
        <w:rPr>
          <w:shd w:val="clear" w:color="auto" w:fill="FFFFFF"/>
        </w:rPr>
        <w:t xml:space="preserve"> 13(6): e0199292. </w:t>
      </w:r>
    </w:p>
    <w:p w14:paraId="0B2300EF" w14:textId="2EDE4518" w:rsidR="008161B3" w:rsidRPr="001A325F" w:rsidRDefault="008161B3" w:rsidP="001A325F">
      <w:pPr>
        <w:spacing w:line="276" w:lineRule="auto"/>
        <w:ind w:left="720" w:hanging="720"/>
        <w:jc w:val="both"/>
      </w:pPr>
      <w:r w:rsidRPr="001A325F">
        <w:t xml:space="preserve">Bailey JK, </w:t>
      </w:r>
      <w:proofErr w:type="spellStart"/>
      <w:r w:rsidRPr="001A325F">
        <w:t>Genung</w:t>
      </w:r>
      <w:proofErr w:type="spellEnd"/>
      <w:r w:rsidRPr="001A325F">
        <w:t xml:space="preserve"> MA, Ware IM, Gorman C, Van Nuland ME, Long H, Schweitzer JA. 2014. Indirect genetic effects: An evolutionary mechanism linking feedbacks, genotypic </w:t>
      </w:r>
      <w:proofErr w:type="gramStart"/>
      <w:r w:rsidRPr="001A325F">
        <w:t>diversity</w:t>
      </w:r>
      <w:proofErr w:type="gramEnd"/>
      <w:r w:rsidRPr="001A325F">
        <w:t xml:space="preserve"> and coadaptation in a climate change context. </w:t>
      </w:r>
      <w:r w:rsidRPr="001A325F">
        <w:rPr>
          <w:i/>
          <w:iCs/>
        </w:rPr>
        <w:t>Functional Ecology</w:t>
      </w:r>
      <w:r w:rsidRPr="001A325F">
        <w:t xml:space="preserve"> 28(1). </w:t>
      </w:r>
    </w:p>
    <w:p w14:paraId="58E77803" w14:textId="200D69C9" w:rsidR="008161B3" w:rsidRPr="001A325F" w:rsidRDefault="008161B3" w:rsidP="001A325F">
      <w:pPr>
        <w:spacing w:line="276" w:lineRule="auto"/>
        <w:ind w:left="720" w:hanging="720"/>
        <w:jc w:val="both"/>
      </w:pPr>
      <w:r w:rsidRPr="001A325F">
        <w:t xml:space="preserve">Benito-Garzón M, Robson TM, </w:t>
      </w:r>
      <w:proofErr w:type="spellStart"/>
      <w:r w:rsidRPr="001A325F">
        <w:t>Hampe</w:t>
      </w:r>
      <w:proofErr w:type="spellEnd"/>
      <w:r w:rsidRPr="001A325F">
        <w:t xml:space="preserve"> A. 2019. </w:t>
      </w:r>
      <w:proofErr w:type="spellStart"/>
      <w:r w:rsidRPr="001A325F">
        <w:t>ΔTraitSDMs</w:t>
      </w:r>
      <w:proofErr w:type="spellEnd"/>
      <w:r w:rsidRPr="001A325F">
        <w:t xml:space="preserve">: species distribution models that account for local adaptation and phenotypic plasticity. </w:t>
      </w:r>
      <w:r w:rsidRPr="001A325F">
        <w:rPr>
          <w:i/>
          <w:iCs/>
        </w:rPr>
        <w:t xml:space="preserve">New Phytologist </w:t>
      </w:r>
      <w:r w:rsidRPr="001A325F">
        <w:t xml:space="preserve">222(4). </w:t>
      </w:r>
    </w:p>
    <w:p w14:paraId="42F3E4DB" w14:textId="3DA0031C" w:rsidR="008161B3" w:rsidRPr="001A325F" w:rsidRDefault="008161B3" w:rsidP="001A325F">
      <w:pPr>
        <w:spacing w:line="276" w:lineRule="auto"/>
        <w:ind w:left="720" w:hanging="720"/>
        <w:jc w:val="both"/>
      </w:pPr>
      <w:r w:rsidRPr="001A325F">
        <w:t xml:space="preserve">Bothwell HM, Cushman SA, </w:t>
      </w:r>
      <w:proofErr w:type="spellStart"/>
      <w:r w:rsidRPr="001A325F">
        <w:t>Woolbright</w:t>
      </w:r>
      <w:proofErr w:type="spellEnd"/>
      <w:r w:rsidRPr="001A325F">
        <w:t xml:space="preserve"> SA, Hersch-Green EI, Evans LM, Whitham TG, Allan GJ. 2017. Conserving threatened riparian ecosystems in the American West: Precipitation gradients and river networks drive genetic connectivity and diversity in a foundation riparian tree (</w:t>
      </w:r>
      <w:r w:rsidRPr="001A325F">
        <w:rPr>
          <w:i/>
          <w:iCs/>
        </w:rPr>
        <w:t>Populus angustifolia</w:t>
      </w:r>
      <w:r w:rsidRPr="001A325F">
        <w:t xml:space="preserve">). </w:t>
      </w:r>
      <w:r w:rsidRPr="001A325F">
        <w:rPr>
          <w:i/>
          <w:iCs/>
        </w:rPr>
        <w:t xml:space="preserve">Molecular Ecology </w:t>
      </w:r>
      <w:r w:rsidRPr="001A325F">
        <w:t xml:space="preserve">26(19). </w:t>
      </w:r>
    </w:p>
    <w:p w14:paraId="219F7044" w14:textId="77777777" w:rsidR="008161B3" w:rsidRPr="001A325F" w:rsidRDefault="008161B3" w:rsidP="001A325F">
      <w:pPr>
        <w:spacing w:line="276" w:lineRule="auto"/>
        <w:ind w:left="720" w:hanging="720"/>
        <w:jc w:val="both"/>
      </w:pPr>
      <w:r w:rsidRPr="001A325F">
        <w:t xml:space="preserve">Brown JL. 2014. </w:t>
      </w:r>
      <w:proofErr w:type="spellStart"/>
      <w:r w:rsidRPr="001A325F">
        <w:t>SDMtoolbox</w:t>
      </w:r>
      <w:proofErr w:type="spellEnd"/>
      <w:r w:rsidRPr="001A325F">
        <w:t xml:space="preserve"> User Guide. </w:t>
      </w:r>
      <w:r w:rsidRPr="001A325F">
        <w:rPr>
          <w:i/>
          <w:iCs/>
        </w:rPr>
        <w:t>Methods in Ecology and Evolution</w:t>
      </w:r>
      <w:bookmarkStart w:id="45" w:name="Tables"/>
      <w:bookmarkStart w:id="46" w:name="MaterialsMethods"/>
      <w:bookmarkEnd w:id="45"/>
      <w:bookmarkEnd w:id="46"/>
      <w:r w:rsidRPr="001A325F">
        <w:rPr>
          <w:i/>
          <w:iCs/>
        </w:rPr>
        <w:t>.</w:t>
      </w:r>
    </w:p>
    <w:p w14:paraId="7CA297D9" w14:textId="3989BFA4" w:rsidR="008161B3" w:rsidRPr="001A325F" w:rsidRDefault="008161B3" w:rsidP="001A325F">
      <w:pPr>
        <w:spacing w:line="276" w:lineRule="auto"/>
        <w:ind w:left="720" w:hanging="720"/>
        <w:jc w:val="both"/>
      </w:pPr>
      <w:r w:rsidRPr="001A325F">
        <w:t xml:space="preserve">Burrows, MT, Schoeman DS, Buckley LB, Moore P, </w:t>
      </w:r>
      <w:proofErr w:type="spellStart"/>
      <w:r w:rsidRPr="001A325F">
        <w:t>Poloczanska</w:t>
      </w:r>
      <w:proofErr w:type="spellEnd"/>
      <w:r w:rsidRPr="001A325F">
        <w:t xml:space="preserve"> ES, Brander KM, Brown C, Bruno JF, Duarte CM, Halpern BS, Holding J, Kappel CV, </w:t>
      </w:r>
      <w:proofErr w:type="spellStart"/>
      <w:r w:rsidRPr="001A325F">
        <w:t>Kiessling</w:t>
      </w:r>
      <w:proofErr w:type="spellEnd"/>
      <w:r w:rsidRPr="001A325F">
        <w:t xml:space="preserve"> W, O’Connor MI, </w:t>
      </w:r>
      <w:proofErr w:type="spellStart"/>
      <w:r w:rsidRPr="001A325F">
        <w:t>Pandolfi</w:t>
      </w:r>
      <w:proofErr w:type="spellEnd"/>
      <w:r w:rsidRPr="001A325F">
        <w:t xml:space="preserve"> JM, Parmesan C, Schwing FB, </w:t>
      </w:r>
      <w:proofErr w:type="spellStart"/>
      <w:r w:rsidRPr="001A325F">
        <w:t>Sydeman</w:t>
      </w:r>
      <w:proofErr w:type="spellEnd"/>
      <w:r w:rsidRPr="001A325F">
        <w:t xml:space="preserve"> WJ, Richardson AJ. 2011. The pace of shifting climate in marine and terrestrial ecosystems. </w:t>
      </w:r>
      <w:r w:rsidRPr="001A325F">
        <w:rPr>
          <w:i/>
          <w:iCs/>
        </w:rPr>
        <w:t>Science</w:t>
      </w:r>
      <w:r w:rsidRPr="001A325F">
        <w:t xml:space="preserve"> 334(6056): 652-655.</w:t>
      </w:r>
    </w:p>
    <w:p w14:paraId="04A8540D" w14:textId="77777777" w:rsidR="008161B3" w:rsidRPr="001A325F" w:rsidRDefault="008161B3" w:rsidP="001A325F">
      <w:pPr>
        <w:spacing w:line="276" w:lineRule="auto"/>
        <w:ind w:left="720" w:hanging="720"/>
        <w:jc w:val="both"/>
      </w:pPr>
      <w:r w:rsidRPr="001A325F">
        <w:t xml:space="preserve">Chase JM, </w:t>
      </w:r>
      <w:proofErr w:type="spellStart"/>
      <w:r w:rsidRPr="001A325F">
        <w:t>Leibold</w:t>
      </w:r>
      <w:proofErr w:type="spellEnd"/>
      <w:r w:rsidRPr="001A325F">
        <w:t xml:space="preserve"> LM. 2003. </w:t>
      </w:r>
      <w:r w:rsidRPr="001A325F">
        <w:rPr>
          <w:i/>
          <w:iCs/>
        </w:rPr>
        <w:t>Ecological Niches: Linking Classical and Contemporary Approaches.</w:t>
      </w:r>
      <w:r w:rsidRPr="001A325F">
        <w:t xml:space="preserve"> University of Chicago Press.</w:t>
      </w:r>
    </w:p>
    <w:p w14:paraId="48AD1FB5" w14:textId="77777777" w:rsidR="008161B3" w:rsidRPr="001A325F" w:rsidRDefault="008161B3" w:rsidP="001A325F">
      <w:pPr>
        <w:spacing w:line="276" w:lineRule="auto"/>
        <w:ind w:left="720" w:hanging="720"/>
        <w:jc w:val="both"/>
      </w:pPr>
      <w:r w:rsidRPr="001A325F">
        <w:t xml:space="preserve">Clausen J, Keck DD, </w:t>
      </w:r>
      <w:proofErr w:type="spellStart"/>
      <w:r w:rsidRPr="001A325F">
        <w:t>Hiesey</w:t>
      </w:r>
      <w:proofErr w:type="spellEnd"/>
      <w:r w:rsidRPr="001A325F">
        <w:t xml:space="preserve"> WM. 1940. Experimental studies on the nature of species. I. Effect of varied environments on western North American plants. </w:t>
      </w:r>
      <w:r w:rsidRPr="001A325F">
        <w:rPr>
          <w:i/>
          <w:iCs/>
        </w:rPr>
        <w:t>Carnegie Inst Wash Publishing.</w:t>
      </w:r>
    </w:p>
    <w:p w14:paraId="34A64A4E" w14:textId="77777777" w:rsidR="008161B3" w:rsidRPr="001A325F" w:rsidRDefault="008161B3" w:rsidP="001A325F">
      <w:pPr>
        <w:spacing w:line="276" w:lineRule="auto"/>
        <w:ind w:left="720" w:hanging="720"/>
        <w:jc w:val="both"/>
      </w:pPr>
      <w:r w:rsidRPr="001A325F">
        <w:t xml:space="preserve">Cushman SA, Max T, </w:t>
      </w:r>
      <w:proofErr w:type="spellStart"/>
      <w:r w:rsidRPr="001A325F">
        <w:t>Meneses</w:t>
      </w:r>
      <w:proofErr w:type="spellEnd"/>
      <w:r w:rsidRPr="001A325F">
        <w:t xml:space="preserve"> N, Evans LM, Ferrier S, Honchak B, Whitham TG, Allan GJ. 2014. Landscape genetic connectivity in a riparian foundation tree is jointly </w:t>
      </w:r>
      <w:r w:rsidRPr="001A325F">
        <w:lastRenderedPageBreak/>
        <w:t xml:space="preserve">driven by climatic gradients and river networks. </w:t>
      </w:r>
      <w:r w:rsidRPr="001A325F">
        <w:rPr>
          <w:i/>
          <w:iCs/>
        </w:rPr>
        <w:t>Ecological Applications</w:t>
      </w:r>
      <w:r w:rsidRPr="001A325F">
        <w:t xml:space="preserve"> 24: 1000–1014. </w:t>
      </w:r>
    </w:p>
    <w:p w14:paraId="6A7D6D39" w14:textId="7489D882" w:rsidR="008161B3" w:rsidRPr="001A325F" w:rsidRDefault="008161B3" w:rsidP="001A325F">
      <w:pPr>
        <w:spacing w:line="276" w:lineRule="auto"/>
        <w:ind w:left="720" w:hanging="720"/>
        <w:jc w:val="both"/>
      </w:pPr>
      <w:proofErr w:type="spellStart"/>
      <w:r w:rsidRPr="001A325F">
        <w:t>Dormann</w:t>
      </w:r>
      <w:proofErr w:type="spellEnd"/>
      <w:r w:rsidRPr="001A325F">
        <w:t xml:space="preserve"> CF, </w:t>
      </w:r>
      <w:proofErr w:type="spellStart"/>
      <w:r w:rsidRPr="001A325F">
        <w:t>Schymanski</w:t>
      </w:r>
      <w:proofErr w:type="spellEnd"/>
      <w:r w:rsidRPr="001A325F">
        <w:t xml:space="preserve"> SJ, Cabral J, </w:t>
      </w:r>
      <w:proofErr w:type="spellStart"/>
      <w:r w:rsidRPr="001A325F">
        <w:t>Chuine</w:t>
      </w:r>
      <w:proofErr w:type="spellEnd"/>
      <w:r w:rsidRPr="001A325F">
        <w:t xml:space="preserve"> I, Graham C, </w:t>
      </w:r>
      <w:proofErr w:type="spellStart"/>
      <w:r w:rsidRPr="001A325F">
        <w:t>Hartig</w:t>
      </w:r>
      <w:proofErr w:type="spellEnd"/>
      <w:r w:rsidRPr="001A325F">
        <w:t xml:space="preserve"> F, Kearney M, Morin X, </w:t>
      </w:r>
      <w:proofErr w:type="spellStart"/>
      <w:r w:rsidRPr="001A325F">
        <w:t>Römermann</w:t>
      </w:r>
      <w:proofErr w:type="spellEnd"/>
      <w:r w:rsidRPr="001A325F">
        <w:t xml:space="preserve"> C, </w:t>
      </w:r>
      <w:proofErr w:type="spellStart"/>
      <w:r w:rsidRPr="001A325F">
        <w:t>Schröder</w:t>
      </w:r>
      <w:proofErr w:type="spellEnd"/>
      <w:r w:rsidRPr="001A325F">
        <w:t xml:space="preserve"> B, Singer A. 2012. Correlation and process in species distribution models: Bridging a dichotomy. </w:t>
      </w:r>
      <w:r w:rsidRPr="001A325F">
        <w:rPr>
          <w:i/>
          <w:iCs/>
        </w:rPr>
        <w:t>Journal of Biogeography</w:t>
      </w:r>
      <w:r w:rsidRPr="001A325F">
        <w:t xml:space="preserve"> 39(12): 2119–2131. </w:t>
      </w:r>
    </w:p>
    <w:p w14:paraId="68D40A35" w14:textId="6743DC93" w:rsidR="008161B3" w:rsidRPr="001A325F" w:rsidRDefault="008161B3" w:rsidP="001A325F">
      <w:pPr>
        <w:spacing w:line="276" w:lineRule="auto"/>
        <w:ind w:left="720" w:hanging="720"/>
        <w:jc w:val="both"/>
      </w:pPr>
      <w:proofErr w:type="spellStart"/>
      <w:r w:rsidRPr="001A325F">
        <w:t>Elith</w:t>
      </w:r>
      <w:proofErr w:type="spellEnd"/>
      <w:r w:rsidRPr="001A325F">
        <w:t xml:space="preserve"> J, Kearney M, Phillips S. 2010. The art of modelling range-shifting species. </w:t>
      </w:r>
      <w:r w:rsidRPr="001A325F">
        <w:rPr>
          <w:i/>
          <w:iCs/>
        </w:rPr>
        <w:t xml:space="preserve">Methods in Ecology and Evolution </w:t>
      </w:r>
      <w:r w:rsidRPr="001A325F">
        <w:t xml:space="preserve">1(4). </w:t>
      </w:r>
    </w:p>
    <w:p w14:paraId="29987FAD" w14:textId="77777777" w:rsidR="008161B3" w:rsidRPr="001A325F" w:rsidRDefault="008161B3" w:rsidP="001A325F">
      <w:pPr>
        <w:spacing w:line="276" w:lineRule="auto"/>
        <w:ind w:left="720" w:hanging="720"/>
        <w:jc w:val="both"/>
      </w:pPr>
      <w:r w:rsidRPr="001A325F">
        <w:t xml:space="preserve">Elton C. 1927. </w:t>
      </w:r>
      <w:r w:rsidRPr="001A325F">
        <w:rPr>
          <w:i/>
          <w:iCs/>
        </w:rPr>
        <w:t>Animal Ecology</w:t>
      </w:r>
      <w:r w:rsidRPr="001A325F">
        <w:t>. Sidgwick and Jackson, London.</w:t>
      </w:r>
    </w:p>
    <w:p w14:paraId="5A66E351" w14:textId="77777777" w:rsidR="008161B3" w:rsidRPr="001A325F" w:rsidRDefault="008161B3" w:rsidP="001A325F">
      <w:pPr>
        <w:spacing w:line="276" w:lineRule="auto"/>
        <w:ind w:left="720" w:hanging="720"/>
        <w:jc w:val="both"/>
      </w:pPr>
      <w:r w:rsidRPr="001A325F">
        <w:t xml:space="preserve">Esri. 2018. ArcMap 10.6.1. In </w:t>
      </w:r>
      <w:r w:rsidRPr="001A325F">
        <w:rPr>
          <w:i/>
          <w:iCs/>
        </w:rPr>
        <w:t>ESRI</w:t>
      </w:r>
      <w:r w:rsidRPr="001A325F">
        <w:t>.</w:t>
      </w:r>
    </w:p>
    <w:p w14:paraId="382B819A" w14:textId="3171DC3A" w:rsidR="008161B3" w:rsidRPr="001A325F" w:rsidRDefault="008161B3" w:rsidP="001A325F">
      <w:pPr>
        <w:spacing w:line="276" w:lineRule="auto"/>
        <w:ind w:left="720" w:hanging="720"/>
        <w:jc w:val="both"/>
      </w:pPr>
      <w:r w:rsidRPr="001A325F">
        <w:t xml:space="preserve">Evans LM, Allan GJ, </w:t>
      </w:r>
      <w:proofErr w:type="spellStart"/>
      <w:r w:rsidRPr="001A325F">
        <w:t>Difazio</w:t>
      </w:r>
      <w:proofErr w:type="spellEnd"/>
      <w:r w:rsidRPr="001A325F">
        <w:t xml:space="preserve"> SP, </w:t>
      </w:r>
      <w:proofErr w:type="spellStart"/>
      <w:r w:rsidRPr="001A325F">
        <w:t>Slavov</w:t>
      </w:r>
      <w:proofErr w:type="spellEnd"/>
      <w:r w:rsidRPr="001A325F">
        <w:t xml:space="preserve"> GT, Wilder JA, </w:t>
      </w:r>
      <w:proofErr w:type="spellStart"/>
      <w:r w:rsidRPr="001A325F">
        <w:t>Floate</w:t>
      </w:r>
      <w:proofErr w:type="spellEnd"/>
      <w:r w:rsidRPr="001A325F">
        <w:t xml:space="preserve"> KD, Rood SB, Whitham TG. 2015. Geographical barriers and climate influence demographic history in narrowleaf cottonwoods. </w:t>
      </w:r>
      <w:r w:rsidRPr="001A325F">
        <w:rPr>
          <w:i/>
          <w:iCs/>
        </w:rPr>
        <w:t>Heredity</w:t>
      </w:r>
      <w:r w:rsidRPr="001A325F">
        <w:t xml:space="preserve"> 114: 387-396. </w:t>
      </w:r>
    </w:p>
    <w:p w14:paraId="7817CF5A" w14:textId="77777777" w:rsidR="008161B3" w:rsidRPr="001A325F" w:rsidRDefault="008161B3" w:rsidP="001A325F">
      <w:pPr>
        <w:spacing w:line="276" w:lineRule="auto"/>
        <w:ind w:left="720" w:hanging="720"/>
        <w:jc w:val="both"/>
      </w:pPr>
      <w:r w:rsidRPr="001A325F">
        <w:t xml:space="preserve">Evans LM, </w:t>
      </w:r>
      <w:proofErr w:type="spellStart"/>
      <w:r w:rsidRPr="001A325F">
        <w:t>Kaluthota</w:t>
      </w:r>
      <w:proofErr w:type="spellEnd"/>
      <w:r w:rsidRPr="001A325F">
        <w:t xml:space="preserve"> S, Pearce DW, Allan GJ, </w:t>
      </w:r>
      <w:proofErr w:type="spellStart"/>
      <w:r w:rsidRPr="001A325F">
        <w:t>Floate</w:t>
      </w:r>
      <w:proofErr w:type="spellEnd"/>
      <w:r w:rsidRPr="001A325F">
        <w:t xml:space="preserve"> K, Rood SB, Whitham TG. 2016. Bud phenology and growth are subject to divergent selection across latitudinal gradient in </w:t>
      </w:r>
      <w:r w:rsidRPr="001A325F">
        <w:rPr>
          <w:i/>
          <w:iCs/>
        </w:rPr>
        <w:t>Populus angustifolia</w:t>
      </w:r>
      <w:r w:rsidRPr="001A325F">
        <w:t xml:space="preserve"> and impact adaptation across the distributional range and associated arthropods. </w:t>
      </w:r>
      <w:r w:rsidRPr="001A325F">
        <w:rPr>
          <w:i/>
          <w:iCs/>
        </w:rPr>
        <w:t xml:space="preserve">Ecol. </w:t>
      </w:r>
      <w:proofErr w:type="spellStart"/>
      <w:r w:rsidRPr="001A325F">
        <w:rPr>
          <w:i/>
          <w:iCs/>
        </w:rPr>
        <w:t>Evol</w:t>
      </w:r>
      <w:proofErr w:type="spellEnd"/>
      <w:r w:rsidRPr="001A325F">
        <w:rPr>
          <w:i/>
          <w:iCs/>
        </w:rPr>
        <w:t xml:space="preserve">. </w:t>
      </w:r>
      <w:r w:rsidRPr="001A325F">
        <w:t>6(13): 4565-4581.</w:t>
      </w:r>
    </w:p>
    <w:p w14:paraId="447AAACD" w14:textId="781A7B54" w:rsidR="008161B3" w:rsidRPr="001A325F" w:rsidRDefault="008161B3" w:rsidP="001A325F">
      <w:pPr>
        <w:spacing w:line="276" w:lineRule="auto"/>
        <w:ind w:left="720" w:hanging="720"/>
        <w:jc w:val="both"/>
      </w:pPr>
      <w:proofErr w:type="spellStart"/>
      <w:r w:rsidRPr="001A325F">
        <w:t>Gotelli</w:t>
      </w:r>
      <w:proofErr w:type="spellEnd"/>
      <w:r w:rsidRPr="001A325F">
        <w:t xml:space="preserve"> NJ, Stanton-Geddes J. 2015. Climate change, genetic </w:t>
      </w:r>
      <w:proofErr w:type="gramStart"/>
      <w:r w:rsidRPr="001A325F">
        <w:t>markers</w:t>
      </w:r>
      <w:proofErr w:type="gramEnd"/>
      <w:r w:rsidRPr="001A325F">
        <w:t xml:space="preserve"> and species distribution modelling. </w:t>
      </w:r>
      <w:r w:rsidRPr="001A325F">
        <w:rPr>
          <w:i/>
          <w:iCs/>
        </w:rPr>
        <w:t>Journal of Biogeography</w:t>
      </w:r>
      <w:r w:rsidRPr="001A325F">
        <w:t xml:space="preserve"> 42(9). </w:t>
      </w:r>
    </w:p>
    <w:p w14:paraId="30F76519" w14:textId="2AFA32B0" w:rsidR="008161B3" w:rsidRPr="001A325F" w:rsidRDefault="008161B3" w:rsidP="001A325F">
      <w:pPr>
        <w:spacing w:line="276" w:lineRule="auto"/>
        <w:ind w:left="720" w:hanging="720"/>
        <w:jc w:val="both"/>
      </w:pPr>
      <w:r w:rsidRPr="001A325F">
        <w:t xml:space="preserve">Grinnell J. 1917. The Niche-Relationships of the California Thrasher. </w:t>
      </w:r>
      <w:r w:rsidRPr="001A325F">
        <w:rPr>
          <w:i/>
          <w:iCs/>
        </w:rPr>
        <w:t>The Auk</w:t>
      </w:r>
      <w:r w:rsidRPr="001A325F">
        <w:t xml:space="preserve"> </w:t>
      </w:r>
      <w:r w:rsidRPr="001A325F">
        <w:rPr>
          <w:i/>
          <w:iCs/>
        </w:rPr>
        <w:t>34</w:t>
      </w:r>
      <w:r w:rsidRPr="001A325F">
        <w:t xml:space="preserve">: 427–433. </w:t>
      </w:r>
    </w:p>
    <w:p w14:paraId="1DEE35C5" w14:textId="5B775670" w:rsidR="008161B3" w:rsidRPr="001A325F" w:rsidRDefault="008161B3" w:rsidP="001A325F">
      <w:pPr>
        <w:spacing w:line="276" w:lineRule="auto"/>
        <w:ind w:left="720" w:hanging="720"/>
        <w:jc w:val="both"/>
      </w:pPr>
      <w:proofErr w:type="spellStart"/>
      <w:r w:rsidRPr="001A325F">
        <w:t>Hällfors</w:t>
      </w:r>
      <w:proofErr w:type="spellEnd"/>
      <w:r w:rsidRPr="001A325F">
        <w:t xml:space="preserve"> MH, Liao J, </w:t>
      </w:r>
      <w:proofErr w:type="spellStart"/>
      <w:r w:rsidRPr="001A325F">
        <w:t>Dzurisin</w:t>
      </w:r>
      <w:proofErr w:type="spellEnd"/>
      <w:r w:rsidRPr="001A325F">
        <w:t xml:space="preserve"> J, </w:t>
      </w:r>
      <w:proofErr w:type="spellStart"/>
      <w:r w:rsidRPr="001A325F">
        <w:t>Grundel</w:t>
      </w:r>
      <w:proofErr w:type="spellEnd"/>
      <w:r w:rsidRPr="001A325F">
        <w:t xml:space="preserve"> R, </w:t>
      </w:r>
      <w:proofErr w:type="spellStart"/>
      <w:r w:rsidRPr="001A325F">
        <w:t>Hyvärinen</w:t>
      </w:r>
      <w:proofErr w:type="spellEnd"/>
      <w:r w:rsidRPr="001A325F">
        <w:t xml:space="preserve"> M, Towle K, Wu GC, Hellmann JJ. 2016. Addressing potential local adaptation in species distribution models: Implications for conservation under climate change. </w:t>
      </w:r>
      <w:r w:rsidRPr="001A325F">
        <w:rPr>
          <w:i/>
          <w:iCs/>
        </w:rPr>
        <w:t>Ecological Applications</w:t>
      </w:r>
      <w:r w:rsidRPr="001A325F">
        <w:t xml:space="preserve"> 26(4). </w:t>
      </w:r>
    </w:p>
    <w:p w14:paraId="56917732" w14:textId="77777777" w:rsidR="008161B3" w:rsidRPr="001A325F" w:rsidRDefault="008161B3" w:rsidP="001A325F">
      <w:pPr>
        <w:spacing w:line="276" w:lineRule="auto"/>
        <w:ind w:left="720" w:hanging="720"/>
        <w:jc w:val="both"/>
      </w:pPr>
      <w:r w:rsidRPr="001A325F">
        <w:t xml:space="preserve">Hamann A, Wang T, </w:t>
      </w:r>
      <w:proofErr w:type="spellStart"/>
      <w:r w:rsidRPr="001A325F">
        <w:t>Spittlehouse</w:t>
      </w:r>
      <w:proofErr w:type="spellEnd"/>
      <w:r w:rsidRPr="001A325F">
        <w:t xml:space="preserve"> DL, Murdock TQ. 2013. A comprehensive, high-resolution database of historical and projected climate surfaces for western North America. </w:t>
      </w:r>
      <w:r w:rsidRPr="001A325F">
        <w:rPr>
          <w:i/>
          <w:iCs/>
        </w:rPr>
        <w:t>Bulletin of the American Meteorological Society</w:t>
      </w:r>
      <w:r w:rsidRPr="001A325F">
        <w:t xml:space="preserve"> 94(9): 1307-1309.</w:t>
      </w:r>
    </w:p>
    <w:p w14:paraId="25968E96" w14:textId="0C3BF1FD" w:rsidR="008161B3" w:rsidRPr="001A325F" w:rsidRDefault="008161B3" w:rsidP="001A325F">
      <w:pPr>
        <w:spacing w:line="276" w:lineRule="auto"/>
        <w:ind w:left="720" w:hanging="720"/>
        <w:jc w:val="both"/>
      </w:pPr>
      <w:proofErr w:type="spellStart"/>
      <w:r w:rsidRPr="001A325F">
        <w:t>Hampe</w:t>
      </w:r>
      <w:proofErr w:type="spellEnd"/>
      <w:r w:rsidRPr="001A325F">
        <w:t xml:space="preserve"> A, Petit RJ. 2005. Conserving biodiversity under climate change: the rear edge matters. </w:t>
      </w:r>
      <w:r w:rsidRPr="001A325F">
        <w:rPr>
          <w:i/>
          <w:iCs/>
        </w:rPr>
        <w:t>Ecology Letters</w:t>
      </w:r>
      <w:r w:rsidRPr="001A325F">
        <w:t xml:space="preserve"> 8(5): 461–467. </w:t>
      </w:r>
    </w:p>
    <w:p w14:paraId="1BE8C6AB" w14:textId="4E0FAEF7" w:rsidR="008161B3" w:rsidRPr="001A325F" w:rsidRDefault="008161B3" w:rsidP="001A325F">
      <w:pPr>
        <w:spacing w:line="276" w:lineRule="auto"/>
        <w:ind w:left="720" w:hanging="720"/>
        <w:jc w:val="both"/>
      </w:pPr>
      <w:r w:rsidRPr="001A325F">
        <w:t xml:space="preserve">Hargreaves AL, </w:t>
      </w:r>
      <w:proofErr w:type="spellStart"/>
      <w:r w:rsidRPr="001A325F">
        <w:t>Samis</w:t>
      </w:r>
      <w:proofErr w:type="spellEnd"/>
      <w:r w:rsidRPr="001A325F">
        <w:t xml:space="preserve"> KE, Eckert CG. 2014. Are Species’ Range Limits Simply Niche Limits Writ Large? A Review of Transplant Experiments beyond the Range. </w:t>
      </w:r>
      <w:r w:rsidRPr="001A325F">
        <w:rPr>
          <w:i/>
          <w:iCs/>
        </w:rPr>
        <w:t>The American Naturalist</w:t>
      </w:r>
      <w:r w:rsidRPr="001A325F">
        <w:t xml:space="preserve">, 183(2). </w:t>
      </w:r>
    </w:p>
    <w:p w14:paraId="4C1A4E1C" w14:textId="77777777" w:rsidR="008161B3" w:rsidRPr="001A325F" w:rsidRDefault="008161B3" w:rsidP="001A325F">
      <w:pPr>
        <w:spacing w:line="276" w:lineRule="auto"/>
        <w:ind w:left="720" w:hanging="720"/>
        <w:jc w:val="both"/>
      </w:pPr>
      <w:r w:rsidRPr="001A325F">
        <w:t xml:space="preserve">Hendry AP. 2017. </w:t>
      </w:r>
      <w:r w:rsidRPr="001A325F">
        <w:rPr>
          <w:i/>
          <w:iCs/>
        </w:rPr>
        <w:t>Eco-Evolutionary Dynamics</w:t>
      </w:r>
      <w:r w:rsidRPr="001A325F">
        <w:t>. Princeton University Press.</w:t>
      </w:r>
    </w:p>
    <w:p w14:paraId="283366A9" w14:textId="4AB829D3" w:rsidR="008161B3" w:rsidRPr="001A325F" w:rsidRDefault="008161B3" w:rsidP="001A325F">
      <w:pPr>
        <w:spacing w:line="276" w:lineRule="auto"/>
        <w:ind w:left="720" w:hanging="720"/>
        <w:jc w:val="both"/>
      </w:pPr>
      <w:r w:rsidRPr="001A325F">
        <w:t xml:space="preserve">Hereford J. 2009. A quantitative survey of local adaptation and fitness trade-offs. </w:t>
      </w:r>
      <w:r w:rsidRPr="001A325F">
        <w:rPr>
          <w:i/>
          <w:iCs/>
        </w:rPr>
        <w:t>American Naturalist</w:t>
      </w:r>
      <w:r w:rsidRPr="001A325F">
        <w:t xml:space="preserve"> 173(5). </w:t>
      </w:r>
    </w:p>
    <w:p w14:paraId="56F616BE" w14:textId="1629534E" w:rsidR="008161B3" w:rsidRPr="001A325F" w:rsidRDefault="008161B3" w:rsidP="001A325F">
      <w:pPr>
        <w:spacing w:line="276" w:lineRule="auto"/>
        <w:ind w:left="720" w:hanging="720"/>
        <w:jc w:val="both"/>
      </w:pPr>
      <w:r w:rsidRPr="001A325F">
        <w:t xml:space="preserve">Ikeda DH, Max TL, Allan GJ, Lau MK, Shuster SM, Whitham TG. 2017. Genetically informed ecological niche models improve climate change predictions. </w:t>
      </w:r>
      <w:r w:rsidRPr="001A325F">
        <w:rPr>
          <w:i/>
          <w:iCs/>
        </w:rPr>
        <w:t>Global Change Biology</w:t>
      </w:r>
      <w:r w:rsidRPr="001A325F">
        <w:t xml:space="preserve"> 23(1). </w:t>
      </w:r>
    </w:p>
    <w:p w14:paraId="39D35D73" w14:textId="4A6D8E09" w:rsidR="008161B3" w:rsidRPr="001A325F" w:rsidRDefault="008161B3" w:rsidP="001A325F">
      <w:pPr>
        <w:spacing w:line="276" w:lineRule="auto"/>
        <w:ind w:left="720" w:hanging="720"/>
        <w:jc w:val="both"/>
      </w:pPr>
      <w:r w:rsidRPr="001A325F">
        <w:lastRenderedPageBreak/>
        <w:t xml:space="preserve">Jump AS, </w:t>
      </w:r>
      <w:proofErr w:type="spellStart"/>
      <w:r w:rsidRPr="001A325F">
        <w:t>Peñuelas</w:t>
      </w:r>
      <w:proofErr w:type="spellEnd"/>
      <w:r w:rsidRPr="001A325F">
        <w:t xml:space="preserve"> J. 2005. Running to stand still: adaptation and the response of plants to rapid climate change. </w:t>
      </w:r>
      <w:r w:rsidRPr="001A325F">
        <w:rPr>
          <w:i/>
          <w:iCs/>
        </w:rPr>
        <w:t>Ecology Letters</w:t>
      </w:r>
      <w:r w:rsidRPr="001A325F">
        <w:t xml:space="preserve"> 8(9): 1010–1020. </w:t>
      </w:r>
    </w:p>
    <w:p w14:paraId="7CB4EA3A" w14:textId="67EEB9AC" w:rsidR="008161B3" w:rsidRPr="001A325F" w:rsidRDefault="008161B3" w:rsidP="001A325F">
      <w:pPr>
        <w:spacing w:line="276" w:lineRule="auto"/>
        <w:ind w:left="720" w:hanging="720"/>
        <w:jc w:val="both"/>
      </w:pPr>
      <w:proofErr w:type="spellStart"/>
      <w:r w:rsidRPr="001A325F">
        <w:t>Kühn</w:t>
      </w:r>
      <w:proofErr w:type="spellEnd"/>
      <w:r w:rsidRPr="001A325F">
        <w:t xml:space="preserve"> I, </w:t>
      </w:r>
      <w:proofErr w:type="spellStart"/>
      <w:r w:rsidRPr="001A325F">
        <w:t>Dormann</w:t>
      </w:r>
      <w:proofErr w:type="spellEnd"/>
      <w:r w:rsidRPr="001A325F">
        <w:t xml:space="preserve"> CF. 2012. Less than eight (and a half) misconceptions of spatial analysis. </w:t>
      </w:r>
      <w:r w:rsidRPr="001A325F">
        <w:rPr>
          <w:i/>
          <w:iCs/>
        </w:rPr>
        <w:t xml:space="preserve">J. </w:t>
      </w:r>
      <w:proofErr w:type="spellStart"/>
      <w:r w:rsidRPr="001A325F">
        <w:rPr>
          <w:i/>
          <w:iCs/>
        </w:rPr>
        <w:t>Biogeogr</w:t>
      </w:r>
      <w:proofErr w:type="spellEnd"/>
      <w:r w:rsidRPr="001A325F">
        <w:rPr>
          <w:i/>
          <w:iCs/>
        </w:rPr>
        <w:t>.</w:t>
      </w:r>
      <w:r w:rsidRPr="001A325F">
        <w:t xml:space="preserve"> 39: 995-1003. </w:t>
      </w:r>
    </w:p>
    <w:p w14:paraId="438AB106" w14:textId="4C55E37C" w:rsidR="008161B3" w:rsidRPr="001A325F" w:rsidRDefault="008161B3" w:rsidP="001A325F">
      <w:pPr>
        <w:spacing w:line="276" w:lineRule="auto"/>
        <w:ind w:left="720" w:hanging="720"/>
        <w:jc w:val="both"/>
      </w:pPr>
      <w:proofErr w:type="spellStart"/>
      <w:r w:rsidRPr="001A325F">
        <w:t>Leimu</w:t>
      </w:r>
      <w:proofErr w:type="spellEnd"/>
      <w:r w:rsidRPr="001A325F">
        <w:t xml:space="preserve"> R, Fischer M. 2008. A meta-analysis of local adaptation in plants. </w:t>
      </w:r>
      <w:proofErr w:type="spellStart"/>
      <w:r w:rsidRPr="001A325F">
        <w:rPr>
          <w:i/>
          <w:iCs/>
        </w:rPr>
        <w:t>PloS</w:t>
      </w:r>
      <w:proofErr w:type="spellEnd"/>
      <w:r w:rsidRPr="001A325F">
        <w:rPr>
          <w:i/>
          <w:iCs/>
        </w:rPr>
        <w:t xml:space="preserve"> One </w:t>
      </w:r>
      <w:r w:rsidRPr="001A325F">
        <w:t xml:space="preserve">3(12), e4010. </w:t>
      </w:r>
    </w:p>
    <w:p w14:paraId="3AB61A0F" w14:textId="1604EA62" w:rsidR="008161B3" w:rsidRPr="001A325F" w:rsidRDefault="008161B3" w:rsidP="001A325F">
      <w:pPr>
        <w:spacing w:line="276" w:lineRule="auto"/>
        <w:ind w:left="720" w:hanging="720"/>
        <w:jc w:val="both"/>
      </w:pPr>
      <w:r w:rsidRPr="001A325F">
        <w:t xml:space="preserve">Lytle DA, </w:t>
      </w:r>
      <w:proofErr w:type="spellStart"/>
      <w:r w:rsidRPr="001A325F">
        <w:t>Poff</w:t>
      </w:r>
      <w:proofErr w:type="spellEnd"/>
      <w:r w:rsidRPr="001A325F">
        <w:t xml:space="preserve"> NLR. 2004. Adaptation to natural flow regimes. </w:t>
      </w:r>
      <w:r w:rsidRPr="001A325F">
        <w:rPr>
          <w:i/>
          <w:iCs/>
        </w:rPr>
        <w:t>Trends in Ecology and Evolution</w:t>
      </w:r>
      <w:r w:rsidRPr="001A325F">
        <w:t xml:space="preserve"> 19(2): 94-100. </w:t>
      </w:r>
    </w:p>
    <w:p w14:paraId="771273FC" w14:textId="77777777" w:rsidR="008161B3" w:rsidRPr="001A325F" w:rsidRDefault="008161B3" w:rsidP="001A325F">
      <w:pPr>
        <w:spacing w:line="276" w:lineRule="auto"/>
        <w:ind w:left="720" w:hanging="720"/>
        <w:jc w:val="both"/>
      </w:pPr>
      <w:r w:rsidRPr="001A325F">
        <w:t xml:space="preserve">Mahoney JM, Rood SB. 1998. Streamflow requirements for cottonwood seedling recruitment – An integrative model. </w:t>
      </w:r>
      <w:r w:rsidRPr="001A325F">
        <w:rPr>
          <w:i/>
          <w:iCs/>
        </w:rPr>
        <w:t>Wetlands</w:t>
      </w:r>
      <w:r w:rsidRPr="001A325F">
        <w:t xml:space="preserve"> 18: 634-645.</w:t>
      </w:r>
    </w:p>
    <w:p w14:paraId="19F86FC7" w14:textId="55A07F60" w:rsidR="008161B3" w:rsidRPr="001A325F" w:rsidRDefault="008161B3" w:rsidP="001A325F">
      <w:pPr>
        <w:spacing w:line="276" w:lineRule="auto"/>
        <w:ind w:left="720" w:hanging="720"/>
        <w:jc w:val="both"/>
      </w:pPr>
      <w:proofErr w:type="spellStart"/>
      <w:r w:rsidRPr="001A325F">
        <w:t>Marcer</w:t>
      </w:r>
      <w:proofErr w:type="spellEnd"/>
      <w:r w:rsidRPr="001A325F">
        <w:t xml:space="preserve"> A, Méndez-Vigo B, Alonso-Blanco C, </w:t>
      </w:r>
      <w:proofErr w:type="spellStart"/>
      <w:r w:rsidRPr="001A325F">
        <w:t>Picó</w:t>
      </w:r>
      <w:proofErr w:type="spellEnd"/>
      <w:r w:rsidRPr="001A325F">
        <w:t xml:space="preserve"> FX. 2016. Tackling intraspecific genetic structure in distribution models better reflects species geographical range. </w:t>
      </w:r>
      <w:r w:rsidRPr="001A325F">
        <w:rPr>
          <w:i/>
          <w:iCs/>
        </w:rPr>
        <w:t>Ecology and Evolution</w:t>
      </w:r>
      <w:r w:rsidRPr="001A325F">
        <w:t xml:space="preserve"> 6(7). </w:t>
      </w:r>
    </w:p>
    <w:p w14:paraId="6AE4E80D" w14:textId="77777777" w:rsidR="008161B3" w:rsidRPr="001A325F" w:rsidRDefault="008161B3" w:rsidP="001A325F">
      <w:pPr>
        <w:spacing w:line="276" w:lineRule="auto"/>
        <w:ind w:left="720" w:hanging="720"/>
        <w:jc w:val="both"/>
      </w:pPr>
      <w:r w:rsidRPr="001A325F">
        <w:t xml:space="preserve">McKay L, </w:t>
      </w:r>
      <w:proofErr w:type="spellStart"/>
      <w:r w:rsidRPr="001A325F">
        <w:t>Bondelid</w:t>
      </w:r>
      <w:proofErr w:type="spellEnd"/>
      <w:r w:rsidRPr="001A325F">
        <w:t xml:space="preserve"> T, Dewald T, Johnston J, Moore, R, Rea A. 2012. “</w:t>
      </w:r>
      <w:proofErr w:type="spellStart"/>
      <w:r w:rsidRPr="001A325F">
        <w:t>NHDPlus</w:t>
      </w:r>
      <w:proofErr w:type="spellEnd"/>
      <w:r w:rsidRPr="001A325F">
        <w:t xml:space="preserve"> Version 2: User Guide.”</w:t>
      </w:r>
    </w:p>
    <w:p w14:paraId="6AA734DA" w14:textId="77777777" w:rsidR="008161B3" w:rsidRPr="001A325F" w:rsidRDefault="008161B3" w:rsidP="001A325F">
      <w:pPr>
        <w:spacing w:line="276" w:lineRule="auto"/>
        <w:ind w:left="720" w:hanging="720"/>
        <w:jc w:val="both"/>
      </w:pPr>
      <w:r w:rsidRPr="001A325F">
        <w:t xml:space="preserve">McPherson JM, </w:t>
      </w:r>
      <w:proofErr w:type="spellStart"/>
      <w:r w:rsidRPr="001A325F">
        <w:t>Jetz</w:t>
      </w:r>
      <w:proofErr w:type="spellEnd"/>
      <w:r w:rsidRPr="001A325F">
        <w:t xml:space="preserve"> W, Rogers DJ. 2004. The effects of species’ range sizes on the accuracy of distribution models: ecological phenomenon or statistical artefact? </w:t>
      </w:r>
      <w:r w:rsidRPr="001A325F">
        <w:rPr>
          <w:i/>
          <w:iCs/>
        </w:rPr>
        <w:t>Journal of Applied Ecology</w:t>
      </w:r>
      <w:r w:rsidRPr="001A325F">
        <w:t xml:space="preserve"> 41: 811-823.</w:t>
      </w:r>
    </w:p>
    <w:p w14:paraId="2BA39265" w14:textId="0943748C" w:rsidR="008161B3" w:rsidRPr="001A325F" w:rsidRDefault="008161B3" w:rsidP="001A325F">
      <w:pPr>
        <w:spacing w:line="276" w:lineRule="auto"/>
        <w:ind w:left="720" w:hanging="720"/>
        <w:jc w:val="both"/>
      </w:pPr>
      <w:r w:rsidRPr="001A325F">
        <w:t xml:space="preserve">McPherson JM, </w:t>
      </w:r>
      <w:proofErr w:type="spellStart"/>
      <w:r w:rsidRPr="001A325F">
        <w:t>Jetz</w:t>
      </w:r>
      <w:proofErr w:type="spellEnd"/>
      <w:r w:rsidRPr="001A325F">
        <w:t xml:space="preserve"> W. 2007. Effects of species’ ecology on the accuracy of distribution models. </w:t>
      </w:r>
      <w:proofErr w:type="spellStart"/>
      <w:r w:rsidRPr="001A325F">
        <w:rPr>
          <w:i/>
          <w:iCs/>
        </w:rPr>
        <w:t>Ecography</w:t>
      </w:r>
      <w:proofErr w:type="spellEnd"/>
      <w:r w:rsidRPr="001A325F">
        <w:t xml:space="preserve"> 30: 135-151. </w:t>
      </w:r>
    </w:p>
    <w:p w14:paraId="3D34088E" w14:textId="7BDADD32" w:rsidR="008161B3" w:rsidRPr="001A325F" w:rsidRDefault="008161B3" w:rsidP="001A325F">
      <w:pPr>
        <w:spacing w:line="276" w:lineRule="auto"/>
        <w:ind w:left="720" w:hanging="720"/>
        <w:jc w:val="both"/>
      </w:pPr>
      <w:proofErr w:type="spellStart"/>
      <w:r w:rsidRPr="001A325F">
        <w:t>Odling</w:t>
      </w:r>
      <w:proofErr w:type="spellEnd"/>
      <w:r w:rsidRPr="001A325F">
        <w:t xml:space="preserve">-Smee FJ, </w:t>
      </w:r>
      <w:proofErr w:type="spellStart"/>
      <w:r w:rsidRPr="001A325F">
        <w:t>Laland</w:t>
      </w:r>
      <w:proofErr w:type="spellEnd"/>
      <w:r w:rsidRPr="001A325F">
        <w:t xml:space="preserve"> KN, Feldman MW. 2003. Chapter 1: Introduction. </w:t>
      </w:r>
      <w:r w:rsidRPr="001A325F">
        <w:rPr>
          <w:i/>
          <w:iCs/>
        </w:rPr>
        <w:t>Niche Construction: The Neglected Process in Evolution</w:t>
      </w:r>
      <w:r w:rsidRPr="001A325F">
        <w:t xml:space="preserve">. </w:t>
      </w:r>
    </w:p>
    <w:p w14:paraId="1038FD97" w14:textId="77777777" w:rsidR="008161B3" w:rsidRPr="001A325F" w:rsidRDefault="008161B3" w:rsidP="001A325F">
      <w:pPr>
        <w:spacing w:line="276" w:lineRule="auto"/>
        <w:ind w:left="720" w:hanging="720"/>
        <w:jc w:val="both"/>
      </w:pPr>
      <w:proofErr w:type="spellStart"/>
      <w:r w:rsidRPr="001A325F">
        <w:t>Odling</w:t>
      </w:r>
      <w:proofErr w:type="spellEnd"/>
      <w:r w:rsidRPr="001A325F">
        <w:t xml:space="preserve">-Smee FJ. 1988. Niche-constructing phenotypes. </w:t>
      </w:r>
      <w:r w:rsidRPr="001A325F">
        <w:rPr>
          <w:i/>
          <w:iCs/>
        </w:rPr>
        <w:t>The role of behavior in evolution</w:t>
      </w:r>
      <w:r w:rsidRPr="001A325F">
        <w:t>.</w:t>
      </w:r>
    </w:p>
    <w:p w14:paraId="756540B3" w14:textId="77777777" w:rsidR="008161B3" w:rsidRPr="001A325F" w:rsidRDefault="008161B3" w:rsidP="001A325F">
      <w:pPr>
        <w:spacing w:line="276" w:lineRule="auto"/>
        <w:ind w:left="720" w:hanging="720"/>
        <w:jc w:val="both"/>
      </w:pPr>
      <w:r w:rsidRPr="001A325F">
        <w:t xml:space="preserve">Oksanen J. 2017. Vegan: ecological diversity. In </w:t>
      </w:r>
      <w:r w:rsidRPr="001A325F">
        <w:rPr>
          <w:i/>
          <w:iCs/>
        </w:rPr>
        <w:t>R Package Version 2.4-4</w:t>
      </w:r>
      <w:r w:rsidRPr="001A325F">
        <w:t xml:space="preserve">. </w:t>
      </w:r>
    </w:p>
    <w:p w14:paraId="487011BB" w14:textId="1664CC2A" w:rsidR="008161B3" w:rsidRPr="001A325F" w:rsidRDefault="008161B3" w:rsidP="001A325F">
      <w:pPr>
        <w:spacing w:line="276" w:lineRule="auto"/>
        <w:ind w:left="720" w:hanging="720"/>
        <w:jc w:val="both"/>
      </w:pPr>
      <w:proofErr w:type="spellStart"/>
      <w:r w:rsidRPr="001A325F">
        <w:t>Oney</w:t>
      </w:r>
      <w:proofErr w:type="spellEnd"/>
      <w:r w:rsidRPr="001A325F">
        <w:t xml:space="preserve"> B, </w:t>
      </w:r>
      <w:proofErr w:type="spellStart"/>
      <w:r w:rsidRPr="001A325F">
        <w:t>Reineking</w:t>
      </w:r>
      <w:proofErr w:type="spellEnd"/>
      <w:r w:rsidRPr="001A325F">
        <w:t xml:space="preserve"> B, O’Neill G, </w:t>
      </w:r>
      <w:proofErr w:type="spellStart"/>
      <w:r w:rsidRPr="001A325F">
        <w:t>Kreyling</w:t>
      </w:r>
      <w:proofErr w:type="spellEnd"/>
      <w:r w:rsidRPr="001A325F">
        <w:t xml:space="preserve"> J. 2013. Intraspecific variation buffers projected climate change impacts on Pinus contorta. </w:t>
      </w:r>
      <w:r w:rsidRPr="001A325F">
        <w:rPr>
          <w:i/>
          <w:iCs/>
        </w:rPr>
        <w:t>Ecology and Evolution</w:t>
      </w:r>
      <w:r w:rsidRPr="001A325F">
        <w:t xml:space="preserve"> 3(2). </w:t>
      </w:r>
    </w:p>
    <w:p w14:paraId="0E6512C5" w14:textId="33F92A9F" w:rsidR="008161B3" w:rsidRPr="001A325F" w:rsidRDefault="008161B3" w:rsidP="001A325F">
      <w:pPr>
        <w:spacing w:line="276" w:lineRule="auto"/>
        <w:ind w:left="720" w:hanging="720"/>
        <w:jc w:val="both"/>
      </w:pPr>
      <w:r w:rsidRPr="001A325F">
        <w:t xml:space="preserve">Parmesan C. 2006. Ecological and Evolutionary Responses to Recent Climate Change. </w:t>
      </w:r>
      <w:r w:rsidRPr="001A325F">
        <w:rPr>
          <w:i/>
          <w:iCs/>
        </w:rPr>
        <w:t xml:space="preserve">Annual Review of Ecology, Evolution, and Systematics </w:t>
      </w:r>
      <w:r w:rsidRPr="001A325F">
        <w:t>37: 637-669</w:t>
      </w:r>
      <w:r w:rsidRPr="001A325F">
        <w:rPr>
          <w:i/>
          <w:iCs/>
        </w:rPr>
        <w:t xml:space="preserve">. </w:t>
      </w:r>
    </w:p>
    <w:p w14:paraId="568DCF41" w14:textId="78E4D48C" w:rsidR="008161B3" w:rsidRPr="001A325F" w:rsidRDefault="008161B3" w:rsidP="001A325F">
      <w:pPr>
        <w:spacing w:line="276" w:lineRule="auto"/>
        <w:ind w:left="720" w:hanging="720"/>
        <w:jc w:val="both"/>
      </w:pPr>
      <w:r w:rsidRPr="001A325F">
        <w:t xml:space="preserve">Pearman PB, </w:t>
      </w:r>
      <w:proofErr w:type="spellStart"/>
      <w:r w:rsidRPr="001A325F">
        <w:t>D’Amen</w:t>
      </w:r>
      <w:proofErr w:type="spellEnd"/>
      <w:r w:rsidRPr="001A325F">
        <w:t xml:space="preserve"> M, Graham CH, </w:t>
      </w:r>
      <w:proofErr w:type="spellStart"/>
      <w:r w:rsidRPr="001A325F">
        <w:t>Thuiller</w:t>
      </w:r>
      <w:proofErr w:type="spellEnd"/>
      <w:r w:rsidRPr="001A325F">
        <w:t xml:space="preserve"> W, Zimmermann NE. 2010. Within-taxon niche structure: niche conservatism, divergence and predicted effects of climate change. </w:t>
      </w:r>
      <w:proofErr w:type="spellStart"/>
      <w:r w:rsidRPr="001A325F">
        <w:t>Ecography</w:t>
      </w:r>
      <w:proofErr w:type="spellEnd"/>
      <w:r w:rsidRPr="001A325F">
        <w:t xml:space="preserve"> 33, 990-1003. </w:t>
      </w:r>
    </w:p>
    <w:p w14:paraId="1954D997" w14:textId="77777777" w:rsidR="008161B3" w:rsidRPr="001A325F" w:rsidRDefault="008161B3" w:rsidP="001A325F">
      <w:pPr>
        <w:spacing w:line="276" w:lineRule="auto"/>
        <w:ind w:left="720" w:hanging="720"/>
        <w:jc w:val="both"/>
      </w:pPr>
      <w:r w:rsidRPr="001A325F">
        <w:t xml:space="preserve">Peterson AT, </w:t>
      </w:r>
      <w:proofErr w:type="spellStart"/>
      <w:r w:rsidRPr="001A325F">
        <w:t>Soberón</w:t>
      </w:r>
      <w:proofErr w:type="spellEnd"/>
      <w:r w:rsidRPr="001A325F">
        <w:t xml:space="preserve"> J, Pearson RG, Anderson RP, Martínez-Meyer E, Nakamura M, Araújo MB. 2011. </w:t>
      </w:r>
      <w:r w:rsidRPr="001A325F">
        <w:rPr>
          <w:i/>
          <w:iCs/>
        </w:rPr>
        <w:t>Ecological Niches and Geographic Distributions.</w:t>
      </w:r>
      <w:r w:rsidRPr="001A325F">
        <w:t xml:space="preserve"> Princeton University Press.</w:t>
      </w:r>
    </w:p>
    <w:p w14:paraId="672C3BB0" w14:textId="7DBB074D" w:rsidR="008161B3" w:rsidRPr="001A325F" w:rsidRDefault="008161B3" w:rsidP="001A325F">
      <w:pPr>
        <w:spacing w:line="276" w:lineRule="auto"/>
        <w:ind w:left="720" w:hanging="720"/>
        <w:jc w:val="both"/>
      </w:pPr>
      <w:r w:rsidRPr="001A325F">
        <w:t xml:space="preserve">Peterson ML, </w:t>
      </w:r>
      <w:proofErr w:type="spellStart"/>
      <w:r w:rsidRPr="001A325F">
        <w:t>Doak</w:t>
      </w:r>
      <w:proofErr w:type="spellEnd"/>
      <w:r w:rsidRPr="001A325F">
        <w:t xml:space="preserve"> DF, Morris WF. 2019. Incorporating local adaptation into forecasts of species’ distribution and abundance under climate change. </w:t>
      </w:r>
      <w:r w:rsidRPr="001A325F">
        <w:rPr>
          <w:i/>
          <w:iCs/>
        </w:rPr>
        <w:t>Global Change Biology</w:t>
      </w:r>
      <w:r w:rsidRPr="001A325F">
        <w:t xml:space="preserve"> 25(3). </w:t>
      </w:r>
    </w:p>
    <w:p w14:paraId="26FAB3DE" w14:textId="0B140C56" w:rsidR="008161B3" w:rsidRPr="001A325F" w:rsidRDefault="008161B3" w:rsidP="001A325F">
      <w:pPr>
        <w:spacing w:line="276" w:lineRule="auto"/>
        <w:ind w:left="720" w:hanging="720"/>
        <w:jc w:val="both"/>
      </w:pPr>
      <w:proofErr w:type="spellStart"/>
      <w:r w:rsidRPr="001A325F">
        <w:lastRenderedPageBreak/>
        <w:t>Petitpierre</w:t>
      </w:r>
      <w:proofErr w:type="spellEnd"/>
      <w:r w:rsidRPr="001A325F">
        <w:t xml:space="preserve"> B, </w:t>
      </w:r>
      <w:proofErr w:type="spellStart"/>
      <w:r w:rsidRPr="001A325F">
        <w:t>Broennimann</w:t>
      </w:r>
      <w:proofErr w:type="spellEnd"/>
      <w:r w:rsidRPr="001A325F">
        <w:t xml:space="preserve"> O, </w:t>
      </w:r>
      <w:proofErr w:type="spellStart"/>
      <w:r w:rsidRPr="001A325F">
        <w:t>Kueffer</w:t>
      </w:r>
      <w:proofErr w:type="spellEnd"/>
      <w:r w:rsidRPr="001A325F">
        <w:t xml:space="preserve"> C, Daehler C, </w:t>
      </w:r>
      <w:proofErr w:type="spellStart"/>
      <w:r w:rsidRPr="001A325F">
        <w:t>Guisan</w:t>
      </w:r>
      <w:proofErr w:type="spellEnd"/>
      <w:r w:rsidRPr="001A325F">
        <w:t xml:space="preserve"> A. 2017. Selecting predictors to maximize the transferability of species distribution models: lessons from cross-continental plant invasions. Global Ecol. </w:t>
      </w:r>
      <w:proofErr w:type="spellStart"/>
      <w:r w:rsidRPr="001A325F">
        <w:t>Biogeogr</w:t>
      </w:r>
      <w:proofErr w:type="spellEnd"/>
      <w:r w:rsidRPr="001A325F">
        <w:t xml:space="preserve">. 26: 275-287. </w:t>
      </w:r>
    </w:p>
    <w:p w14:paraId="7AD318D2" w14:textId="1B2A005C" w:rsidR="008161B3" w:rsidRPr="001A325F" w:rsidRDefault="008161B3" w:rsidP="001A325F">
      <w:pPr>
        <w:spacing w:line="276" w:lineRule="auto"/>
        <w:ind w:left="720" w:hanging="720"/>
        <w:jc w:val="both"/>
      </w:pPr>
      <w:r w:rsidRPr="001A325F">
        <w:t xml:space="preserve">Phillips SJ, Anderson RP, </w:t>
      </w:r>
      <w:proofErr w:type="spellStart"/>
      <w:r w:rsidRPr="001A325F">
        <w:t>Schapire</w:t>
      </w:r>
      <w:proofErr w:type="spellEnd"/>
      <w:r w:rsidRPr="001A325F">
        <w:t xml:space="preserve"> RE. 2006. Maximum entropy modeling of species geographic distributions. </w:t>
      </w:r>
      <w:r w:rsidRPr="001A325F">
        <w:rPr>
          <w:i/>
          <w:iCs/>
        </w:rPr>
        <w:t xml:space="preserve">Ecological Modelling </w:t>
      </w:r>
      <w:r w:rsidRPr="001A325F">
        <w:t xml:space="preserve">190, 231-259. </w:t>
      </w:r>
    </w:p>
    <w:p w14:paraId="0F6C33F1" w14:textId="355C76FB" w:rsidR="008161B3" w:rsidRPr="001A325F" w:rsidRDefault="008161B3" w:rsidP="001A325F">
      <w:pPr>
        <w:spacing w:line="276" w:lineRule="auto"/>
        <w:ind w:left="720" w:hanging="720"/>
        <w:jc w:val="both"/>
      </w:pPr>
      <w:proofErr w:type="spellStart"/>
      <w:r w:rsidRPr="001A325F">
        <w:t>Regos</w:t>
      </w:r>
      <w:proofErr w:type="spellEnd"/>
      <w:r w:rsidRPr="001A325F">
        <w:t xml:space="preserve"> A, Gagne L, Alcaraz-Segura D, </w:t>
      </w:r>
      <w:proofErr w:type="spellStart"/>
      <w:r w:rsidRPr="001A325F">
        <w:t>Honrado</w:t>
      </w:r>
      <w:proofErr w:type="spellEnd"/>
      <w:r w:rsidRPr="001A325F">
        <w:t xml:space="preserve"> JP, Domínguez J. 2019. Effects of species traits and environmental predictors on performance and transferability of ecological niche models. </w:t>
      </w:r>
      <w:r w:rsidRPr="001A325F">
        <w:rPr>
          <w:i/>
          <w:iCs/>
        </w:rPr>
        <w:t xml:space="preserve">Scientific Reports </w:t>
      </w:r>
      <w:r w:rsidRPr="001A325F">
        <w:t xml:space="preserve">9, 4221. </w:t>
      </w:r>
    </w:p>
    <w:p w14:paraId="45115D92" w14:textId="77777777" w:rsidR="008161B3" w:rsidRPr="001A325F" w:rsidRDefault="008161B3" w:rsidP="001A325F">
      <w:pPr>
        <w:spacing w:line="276" w:lineRule="auto"/>
        <w:ind w:left="720" w:hanging="720"/>
        <w:jc w:val="both"/>
      </w:pPr>
      <w:r w:rsidRPr="001A325F">
        <w:t xml:space="preserve">Snyder KA, Williams DG. 2000. Water sources used by riparian trees varies among stream types on the San Pedro River, Arizona. </w:t>
      </w:r>
      <w:r w:rsidRPr="001A325F">
        <w:rPr>
          <w:i/>
          <w:iCs/>
        </w:rPr>
        <w:t xml:space="preserve">Agric. For. </w:t>
      </w:r>
      <w:proofErr w:type="spellStart"/>
      <w:r w:rsidRPr="001A325F">
        <w:rPr>
          <w:i/>
          <w:iCs/>
        </w:rPr>
        <w:t>Meteorol</w:t>
      </w:r>
      <w:proofErr w:type="spellEnd"/>
      <w:r w:rsidRPr="001A325F">
        <w:t>. 105: 227-240.</w:t>
      </w:r>
    </w:p>
    <w:p w14:paraId="463F8CA5" w14:textId="77777777" w:rsidR="008161B3" w:rsidRPr="001A325F" w:rsidRDefault="008161B3" w:rsidP="001A325F">
      <w:pPr>
        <w:spacing w:line="276" w:lineRule="auto"/>
        <w:ind w:left="720" w:hanging="720"/>
        <w:jc w:val="both"/>
      </w:pPr>
      <w:proofErr w:type="spellStart"/>
      <w:r w:rsidRPr="001A325F">
        <w:t>Stockwell</w:t>
      </w:r>
      <w:proofErr w:type="spellEnd"/>
      <w:r w:rsidRPr="001A325F">
        <w:t xml:space="preserve"> DRB, Peterson AT. 2002. Effects of sample size on accuracy of species distribution models. </w:t>
      </w:r>
      <w:r w:rsidRPr="001A325F">
        <w:rPr>
          <w:i/>
          <w:iCs/>
        </w:rPr>
        <w:t>Ecological Modelling</w:t>
      </w:r>
      <w:r w:rsidRPr="001A325F">
        <w:t xml:space="preserve"> 148: 1-13.</w:t>
      </w:r>
    </w:p>
    <w:p w14:paraId="0F037148" w14:textId="77777777" w:rsidR="008161B3" w:rsidRPr="001A325F" w:rsidRDefault="008161B3" w:rsidP="001A325F">
      <w:pPr>
        <w:spacing w:line="276" w:lineRule="auto"/>
        <w:ind w:left="720" w:hanging="720"/>
        <w:jc w:val="both"/>
      </w:pPr>
      <w:proofErr w:type="spellStart"/>
      <w:r w:rsidRPr="001A325F">
        <w:t>Swets</w:t>
      </w:r>
      <w:proofErr w:type="spellEnd"/>
      <w:r w:rsidRPr="001A325F">
        <w:t xml:space="preserve"> JA. 1988. Measuring the accuracy of diagnostic systems. </w:t>
      </w:r>
      <w:r w:rsidRPr="001A325F">
        <w:rPr>
          <w:i/>
          <w:iCs/>
        </w:rPr>
        <w:t>Science</w:t>
      </w:r>
      <w:r w:rsidRPr="001A325F">
        <w:t xml:space="preserve"> 240: 1285-1293.</w:t>
      </w:r>
    </w:p>
    <w:p w14:paraId="121D9ABF" w14:textId="374D3F72" w:rsidR="008161B3" w:rsidRPr="001A325F" w:rsidRDefault="008161B3" w:rsidP="001A325F">
      <w:pPr>
        <w:spacing w:line="276" w:lineRule="auto"/>
        <w:ind w:left="720" w:hanging="720"/>
        <w:jc w:val="both"/>
      </w:pPr>
      <w:proofErr w:type="spellStart"/>
      <w:r w:rsidRPr="001A325F">
        <w:t>Synes</w:t>
      </w:r>
      <w:proofErr w:type="spellEnd"/>
      <w:r w:rsidRPr="001A325F">
        <w:t xml:space="preserve"> NW, Osborne PE. 2011. Choice of predictor variables as a source of uncertainty in continental-scale species distribution modelling under climate change. </w:t>
      </w:r>
      <w:r w:rsidRPr="001A325F">
        <w:rPr>
          <w:i/>
          <w:iCs/>
        </w:rPr>
        <w:t>Global Ecol. Biogeography,</w:t>
      </w:r>
      <w:r w:rsidRPr="001A325F">
        <w:t xml:space="preserve"> 20: 904-914. </w:t>
      </w:r>
    </w:p>
    <w:p w14:paraId="14C63EB9" w14:textId="77777777" w:rsidR="008161B3" w:rsidRPr="001A325F" w:rsidRDefault="008161B3" w:rsidP="001A325F">
      <w:pPr>
        <w:spacing w:line="276" w:lineRule="auto"/>
        <w:ind w:left="720" w:hanging="720"/>
        <w:jc w:val="both"/>
      </w:pPr>
      <w:r w:rsidRPr="001A325F">
        <w:t xml:space="preserve">Van Nuland ME, Ware IM, Bailey JK, Schweitzer JA. 2018. Ecosystem feedbacks contribute to geographic variation in plant-soil eco-evolutionary dynamics across a fertility gradient. Functional Ecology, </w:t>
      </w:r>
      <w:r w:rsidRPr="001A325F">
        <w:rPr>
          <w:i/>
          <w:iCs/>
        </w:rPr>
        <w:t>33</w:t>
      </w:r>
      <w:r w:rsidRPr="001A325F">
        <w:t>: 95-106.</w:t>
      </w:r>
    </w:p>
    <w:p w14:paraId="1460EE91" w14:textId="2987BE19" w:rsidR="008161B3" w:rsidRPr="001A325F" w:rsidRDefault="008161B3" w:rsidP="001A325F">
      <w:pPr>
        <w:spacing w:line="276" w:lineRule="auto"/>
        <w:ind w:left="720" w:hanging="720"/>
        <w:jc w:val="both"/>
      </w:pPr>
      <w:r w:rsidRPr="001A325F">
        <w:t xml:space="preserve">Van Nuland ME, </w:t>
      </w:r>
      <w:proofErr w:type="spellStart"/>
      <w:r w:rsidRPr="001A325F">
        <w:t>Wooliver</w:t>
      </w:r>
      <w:proofErr w:type="spellEnd"/>
      <w:r w:rsidRPr="001A325F">
        <w:t xml:space="preserve"> RC, </w:t>
      </w:r>
      <w:proofErr w:type="spellStart"/>
      <w:r w:rsidRPr="001A325F">
        <w:t>Pfennigwerth</w:t>
      </w:r>
      <w:proofErr w:type="spellEnd"/>
      <w:r w:rsidRPr="001A325F">
        <w:t xml:space="preserve"> AA, Read QD, Ware IM, Mueller LO, Fordyce JA, Schweitzer JA, Bailey JK. 2016. Plant-soil feedbacks: connecting ecosystem ecology and evolution. </w:t>
      </w:r>
      <w:r w:rsidRPr="001A325F">
        <w:rPr>
          <w:i/>
          <w:iCs/>
        </w:rPr>
        <w:t>Functional Ecology</w:t>
      </w:r>
      <w:r w:rsidRPr="001A325F">
        <w:t xml:space="preserve"> 30(7): 1032–1042. </w:t>
      </w:r>
    </w:p>
    <w:p w14:paraId="65ACDC5B" w14:textId="57949C13" w:rsidR="008161B3" w:rsidRPr="001A325F" w:rsidRDefault="008161B3" w:rsidP="001A325F">
      <w:pPr>
        <w:spacing w:line="276" w:lineRule="auto"/>
        <w:ind w:left="720" w:hanging="720"/>
        <w:jc w:val="both"/>
      </w:pPr>
      <w:r w:rsidRPr="001A325F">
        <w:t xml:space="preserve">Ware IM, Fitzpatrick CR, </w:t>
      </w:r>
      <w:proofErr w:type="spellStart"/>
      <w:r w:rsidRPr="001A325F">
        <w:t>Senthilnathan</w:t>
      </w:r>
      <w:proofErr w:type="spellEnd"/>
      <w:r w:rsidRPr="001A325F">
        <w:t xml:space="preserve"> A, Bayliss SLJ, </w:t>
      </w:r>
      <w:proofErr w:type="spellStart"/>
      <w:r w:rsidRPr="001A325F">
        <w:t>Beals</w:t>
      </w:r>
      <w:proofErr w:type="spellEnd"/>
      <w:r w:rsidRPr="001A325F">
        <w:t xml:space="preserve"> KK, Mueller LO, Summers JL, </w:t>
      </w:r>
      <w:proofErr w:type="spellStart"/>
      <w:r w:rsidRPr="001A325F">
        <w:t>Wooliver</w:t>
      </w:r>
      <w:proofErr w:type="spellEnd"/>
      <w:r w:rsidRPr="001A325F">
        <w:t xml:space="preserve"> RC, Van Nuland ME, </w:t>
      </w:r>
      <w:proofErr w:type="spellStart"/>
      <w:r w:rsidRPr="001A325F">
        <w:t>Kinnison</w:t>
      </w:r>
      <w:proofErr w:type="spellEnd"/>
      <w:r w:rsidRPr="001A325F">
        <w:t xml:space="preserve"> MT, </w:t>
      </w:r>
      <w:proofErr w:type="spellStart"/>
      <w:r w:rsidRPr="001A325F">
        <w:t>Palkovacs</w:t>
      </w:r>
      <w:proofErr w:type="spellEnd"/>
      <w:r w:rsidRPr="001A325F">
        <w:t xml:space="preserve"> EP, Schweitzer JA, Bailey JK. 2019. Feedbacks link ecosystem ecology and evolution across spatial and temporal scales: Empirical evidence and future directions. </w:t>
      </w:r>
      <w:r w:rsidRPr="001A325F">
        <w:rPr>
          <w:i/>
          <w:iCs/>
        </w:rPr>
        <w:t>Functional Ecology</w:t>
      </w:r>
      <w:r w:rsidRPr="001A325F">
        <w:t xml:space="preserve"> 33(1). </w:t>
      </w:r>
    </w:p>
    <w:p w14:paraId="338E8B4A" w14:textId="7B345A51" w:rsidR="008161B3" w:rsidRPr="001A325F" w:rsidRDefault="008161B3" w:rsidP="001A325F">
      <w:pPr>
        <w:spacing w:line="276" w:lineRule="auto"/>
        <w:ind w:left="720" w:hanging="720"/>
        <w:jc w:val="both"/>
      </w:pPr>
      <w:r w:rsidRPr="001A325F">
        <w:t xml:space="preserve">Warren DL, </w:t>
      </w:r>
      <w:proofErr w:type="spellStart"/>
      <w:r w:rsidRPr="001A325F">
        <w:t>Glor</w:t>
      </w:r>
      <w:proofErr w:type="spellEnd"/>
      <w:r w:rsidRPr="001A325F">
        <w:t xml:space="preserve"> RE, </w:t>
      </w:r>
      <w:proofErr w:type="spellStart"/>
      <w:r w:rsidRPr="001A325F">
        <w:t>Turelli</w:t>
      </w:r>
      <w:proofErr w:type="spellEnd"/>
      <w:r w:rsidRPr="001A325F">
        <w:t xml:space="preserve"> M. 2008. Environmental niche equivalency versus conservatism: Quantitative approaches to niche evolution. </w:t>
      </w:r>
      <w:r w:rsidRPr="001A325F">
        <w:rPr>
          <w:i/>
          <w:iCs/>
        </w:rPr>
        <w:t>Evolution</w:t>
      </w:r>
      <w:r w:rsidRPr="001A325F">
        <w:t xml:space="preserve"> 62(11). </w:t>
      </w:r>
    </w:p>
    <w:p w14:paraId="7E8275DD" w14:textId="77777777" w:rsidR="008161B3" w:rsidRPr="001A325F" w:rsidRDefault="008161B3" w:rsidP="001A325F">
      <w:pPr>
        <w:spacing w:line="276" w:lineRule="auto"/>
        <w:ind w:left="720" w:hanging="720"/>
        <w:jc w:val="both"/>
      </w:pPr>
      <w:r w:rsidRPr="001A325F">
        <w:t xml:space="preserve">Whitham TG, Bailey JK, Schweitzer JA, Shuster SM, </w:t>
      </w:r>
      <w:proofErr w:type="spellStart"/>
      <w:r w:rsidRPr="001A325F">
        <w:t>Bangert</w:t>
      </w:r>
      <w:proofErr w:type="spellEnd"/>
      <w:r w:rsidRPr="001A325F">
        <w:t xml:space="preserve"> RK, LeRoy CJ, </w:t>
      </w:r>
      <w:proofErr w:type="spellStart"/>
      <w:r w:rsidRPr="001A325F">
        <w:t>Lonsdorf</w:t>
      </w:r>
      <w:proofErr w:type="spellEnd"/>
      <w:r w:rsidRPr="001A325F">
        <w:t xml:space="preserve"> EV, Allan GJ, </w:t>
      </w:r>
      <w:proofErr w:type="spellStart"/>
      <w:r w:rsidRPr="001A325F">
        <w:t>DiFazio</w:t>
      </w:r>
      <w:proofErr w:type="spellEnd"/>
      <w:r w:rsidRPr="001A325F">
        <w:t xml:space="preserve"> SP, Potts BM, Fischer DG, Gehring CA, </w:t>
      </w:r>
      <w:proofErr w:type="spellStart"/>
      <w:r w:rsidRPr="001A325F">
        <w:t>Lindroth</w:t>
      </w:r>
      <w:proofErr w:type="spellEnd"/>
      <w:r w:rsidRPr="001A325F">
        <w:t xml:space="preserve"> RL, Marks JC, Hart SC, Wimp GM, Wooley SC. 2006. A framework for community and ecosystem genetics: from genes to ecosystems. </w:t>
      </w:r>
      <w:r w:rsidRPr="001A325F">
        <w:rPr>
          <w:i/>
          <w:iCs/>
        </w:rPr>
        <w:t>Nature Reviews. Genetics</w:t>
      </w:r>
      <w:r w:rsidRPr="001A325F">
        <w:t>, 7(7): 510–523.</w:t>
      </w:r>
    </w:p>
    <w:p w14:paraId="04BD1521" w14:textId="2279D854" w:rsidR="003761F7" w:rsidRPr="001A325F" w:rsidRDefault="008161B3" w:rsidP="001A325F">
      <w:pPr>
        <w:spacing w:line="276" w:lineRule="auto"/>
        <w:ind w:left="720" w:hanging="720"/>
        <w:jc w:val="both"/>
      </w:pPr>
      <w:proofErr w:type="spellStart"/>
      <w:r w:rsidRPr="001A325F">
        <w:t>Woolbright</w:t>
      </w:r>
      <w:proofErr w:type="spellEnd"/>
      <w:r w:rsidRPr="001A325F">
        <w:t xml:space="preserve"> SA, Whitham TG, Gehring CA, Allan GJ, Bailey JK. 2014. Climate relicts and their associated communities as natural ecology and evolution laboratories. </w:t>
      </w:r>
      <w:r w:rsidRPr="001A325F">
        <w:rPr>
          <w:i/>
          <w:iCs/>
        </w:rPr>
        <w:t>Trends in Ecology &amp; Evolution</w:t>
      </w:r>
      <w:r w:rsidRPr="001A325F">
        <w:t xml:space="preserve"> 29(7): 406–416. </w:t>
      </w:r>
    </w:p>
    <w:p w14:paraId="11615547" w14:textId="78CAA74F" w:rsidR="00D677AA" w:rsidRPr="00DF7C87" w:rsidRDefault="003761F7" w:rsidP="003761F7">
      <w:r>
        <w:br w:type="page"/>
      </w:r>
    </w:p>
    <w:p w14:paraId="64E03A66" w14:textId="6BD2FEB0" w:rsidR="007F0173" w:rsidRDefault="009A1193" w:rsidP="00D677AA">
      <w:pPr>
        <w:pStyle w:val="Heading2"/>
      </w:pPr>
      <w:bookmarkStart w:id="47" w:name="_Toc88056487"/>
      <w:r>
        <w:lastRenderedPageBreak/>
        <w:t>APPENDIX</w:t>
      </w:r>
      <w:r w:rsidR="003925DB">
        <w:t xml:space="preserve"> 2</w:t>
      </w:r>
      <w:bookmarkEnd w:id="47"/>
    </w:p>
    <w:p w14:paraId="1CFFC423" w14:textId="7D6A8E7A" w:rsidR="008161B3" w:rsidRPr="007F0173" w:rsidRDefault="007F0173" w:rsidP="008161B3">
      <w:pPr>
        <w:rPr>
          <w:b/>
          <w:bCs/>
          <w:iCs/>
          <w:sz w:val="28"/>
          <w:szCs w:val="28"/>
        </w:rPr>
      </w:pPr>
      <w:r>
        <w:br w:type="page"/>
      </w:r>
    </w:p>
    <w:p w14:paraId="6C46B006" w14:textId="28CBAB5F" w:rsidR="008161B3" w:rsidRDefault="008161B3" w:rsidP="003761F7">
      <w:pPr>
        <w:pStyle w:val="Caption"/>
        <w:jc w:val="both"/>
        <w:rPr>
          <w:sz w:val="22"/>
          <w:szCs w:val="22"/>
        </w:rPr>
      </w:pPr>
      <w:bookmarkStart w:id="48" w:name="_Toc88053989"/>
      <w:r w:rsidRPr="002977BC">
        <w:rPr>
          <w:sz w:val="22"/>
          <w:szCs w:val="22"/>
        </w:rPr>
        <w:lastRenderedPageBreak/>
        <w:t xml:space="preserve">Table </w:t>
      </w:r>
      <w:r w:rsidRPr="002977BC">
        <w:rPr>
          <w:sz w:val="22"/>
          <w:szCs w:val="22"/>
        </w:rPr>
        <w:fldChar w:fldCharType="begin"/>
      </w:r>
      <w:r w:rsidRPr="002977BC">
        <w:rPr>
          <w:sz w:val="22"/>
          <w:szCs w:val="22"/>
        </w:rPr>
        <w:instrText xml:space="preserve"> SEQ Table \* ARABIC </w:instrText>
      </w:r>
      <w:r w:rsidRPr="002977BC">
        <w:rPr>
          <w:sz w:val="22"/>
          <w:szCs w:val="22"/>
        </w:rPr>
        <w:fldChar w:fldCharType="separate"/>
      </w:r>
      <w:r w:rsidRPr="002977BC">
        <w:rPr>
          <w:noProof/>
          <w:sz w:val="22"/>
          <w:szCs w:val="22"/>
        </w:rPr>
        <w:t>3</w:t>
      </w:r>
      <w:r w:rsidRPr="002977BC">
        <w:rPr>
          <w:sz w:val="22"/>
          <w:szCs w:val="22"/>
        </w:rPr>
        <w:fldChar w:fldCharType="end"/>
      </w:r>
      <w:r w:rsidRPr="002977BC">
        <w:rPr>
          <w:sz w:val="22"/>
          <w:szCs w:val="22"/>
        </w:rPr>
        <w:t xml:space="preserve">: Description of </w:t>
      </w:r>
      <w:r w:rsidR="009E6EB7">
        <w:rPr>
          <w:sz w:val="22"/>
          <w:szCs w:val="22"/>
        </w:rPr>
        <w:t>m</w:t>
      </w:r>
      <w:r w:rsidRPr="002977BC">
        <w:rPr>
          <w:sz w:val="22"/>
          <w:szCs w:val="22"/>
        </w:rPr>
        <w:t xml:space="preserve">odeling </w:t>
      </w:r>
      <w:r w:rsidR="009E6EB7">
        <w:rPr>
          <w:sz w:val="22"/>
          <w:szCs w:val="22"/>
        </w:rPr>
        <w:t>e</w:t>
      </w:r>
      <w:r w:rsidRPr="002977BC">
        <w:rPr>
          <w:sz w:val="22"/>
          <w:szCs w:val="22"/>
        </w:rPr>
        <w:t>xperiments: Building, evaluation, and performance.</w:t>
      </w:r>
      <w:bookmarkEnd w:id="48"/>
    </w:p>
    <w:tbl>
      <w:tblPr>
        <w:tblStyle w:val="TableGrid"/>
        <w:tblW w:w="0" w:type="auto"/>
        <w:tblInd w:w="-5" w:type="dxa"/>
        <w:tblLayout w:type="fixed"/>
        <w:tblCellMar>
          <w:top w:w="14" w:type="dxa"/>
          <w:bottom w:w="14" w:type="dxa"/>
        </w:tblCellMar>
        <w:tblLook w:val="04A0" w:firstRow="1" w:lastRow="0" w:firstColumn="1" w:lastColumn="0" w:noHBand="0" w:noVBand="1"/>
      </w:tblPr>
      <w:tblGrid>
        <w:gridCol w:w="990"/>
        <w:gridCol w:w="1440"/>
        <w:gridCol w:w="1260"/>
        <w:gridCol w:w="990"/>
        <w:gridCol w:w="1530"/>
        <w:gridCol w:w="1080"/>
        <w:gridCol w:w="1080"/>
      </w:tblGrid>
      <w:tr w:rsidR="008161B3" w14:paraId="2C94844A" w14:textId="77777777" w:rsidTr="00477B20">
        <w:tc>
          <w:tcPr>
            <w:tcW w:w="990" w:type="dxa"/>
            <w:tcBorders>
              <w:left w:val="single" w:sz="4" w:space="0" w:color="FFFFFF" w:themeColor="background1"/>
              <w:right w:val="single" w:sz="4" w:space="0" w:color="F2F2F2" w:themeColor="background1" w:themeShade="F2"/>
            </w:tcBorders>
            <w:vAlign w:val="center"/>
          </w:tcPr>
          <w:p w14:paraId="6F0042F4" w14:textId="77777777" w:rsidR="008161B3" w:rsidRPr="00B42808" w:rsidRDefault="008161B3" w:rsidP="00477B20">
            <w:pPr>
              <w:pStyle w:val="NormalWeb"/>
              <w:jc w:val="center"/>
              <w:rPr>
                <w:b/>
                <w:bCs/>
                <w:sz w:val="20"/>
                <w:szCs w:val="20"/>
              </w:rPr>
            </w:pPr>
            <w:r w:rsidRPr="00B42808">
              <w:rPr>
                <w:b/>
                <w:bCs/>
                <w:sz w:val="20"/>
                <w:szCs w:val="20"/>
              </w:rPr>
              <w:t>Model Name</w:t>
            </w:r>
          </w:p>
        </w:tc>
        <w:tc>
          <w:tcPr>
            <w:tcW w:w="1440" w:type="dxa"/>
            <w:tcBorders>
              <w:left w:val="single" w:sz="4" w:space="0" w:color="F2F2F2" w:themeColor="background1" w:themeShade="F2"/>
              <w:right w:val="single" w:sz="4" w:space="0" w:color="F2F2F2" w:themeColor="background1" w:themeShade="F2"/>
            </w:tcBorders>
            <w:vAlign w:val="center"/>
          </w:tcPr>
          <w:p w14:paraId="78158C0A" w14:textId="77777777" w:rsidR="008161B3" w:rsidRPr="00B42808" w:rsidRDefault="008161B3" w:rsidP="00477B20">
            <w:pPr>
              <w:pStyle w:val="NormalWeb"/>
              <w:jc w:val="center"/>
              <w:rPr>
                <w:b/>
                <w:bCs/>
                <w:sz w:val="20"/>
                <w:szCs w:val="20"/>
              </w:rPr>
            </w:pPr>
            <w:r w:rsidRPr="00B42808">
              <w:rPr>
                <w:b/>
                <w:bCs/>
                <w:sz w:val="20"/>
                <w:szCs w:val="20"/>
              </w:rPr>
              <w:t>Training Extent</w:t>
            </w:r>
          </w:p>
        </w:tc>
        <w:tc>
          <w:tcPr>
            <w:tcW w:w="1260" w:type="dxa"/>
            <w:tcBorders>
              <w:left w:val="single" w:sz="4" w:space="0" w:color="F2F2F2" w:themeColor="background1" w:themeShade="F2"/>
              <w:right w:val="single" w:sz="4" w:space="0" w:color="F2F2F2" w:themeColor="background1" w:themeShade="F2"/>
            </w:tcBorders>
            <w:vAlign w:val="center"/>
          </w:tcPr>
          <w:p w14:paraId="6DAA5025" w14:textId="77777777" w:rsidR="008161B3" w:rsidRPr="00B42808" w:rsidRDefault="008161B3" w:rsidP="00477B20">
            <w:pPr>
              <w:pStyle w:val="NormalWeb"/>
              <w:jc w:val="center"/>
              <w:rPr>
                <w:b/>
                <w:bCs/>
                <w:sz w:val="20"/>
                <w:szCs w:val="20"/>
              </w:rPr>
            </w:pPr>
            <w:r w:rsidRPr="00B42808">
              <w:rPr>
                <w:b/>
                <w:bCs/>
                <w:sz w:val="20"/>
                <w:szCs w:val="20"/>
              </w:rPr>
              <w:t>Variable Selection</w:t>
            </w:r>
          </w:p>
        </w:tc>
        <w:tc>
          <w:tcPr>
            <w:tcW w:w="990" w:type="dxa"/>
            <w:tcBorders>
              <w:left w:val="single" w:sz="4" w:space="0" w:color="F2F2F2" w:themeColor="background1" w:themeShade="F2"/>
              <w:right w:val="single" w:sz="4" w:space="0" w:color="F2F2F2" w:themeColor="background1" w:themeShade="F2"/>
            </w:tcBorders>
            <w:vAlign w:val="center"/>
          </w:tcPr>
          <w:p w14:paraId="39D186AA" w14:textId="77777777" w:rsidR="008161B3" w:rsidRPr="00B42808" w:rsidRDefault="008161B3" w:rsidP="00477B20">
            <w:pPr>
              <w:pStyle w:val="NormalWeb"/>
              <w:jc w:val="center"/>
              <w:rPr>
                <w:b/>
                <w:bCs/>
                <w:sz w:val="20"/>
                <w:szCs w:val="20"/>
              </w:rPr>
            </w:pPr>
            <w:proofErr w:type="spellStart"/>
            <w:r w:rsidRPr="00B42808">
              <w:rPr>
                <w:b/>
                <w:bCs/>
                <w:sz w:val="20"/>
                <w:szCs w:val="20"/>
              </w:rPr>
              <w:t>AUC</w:t>
            </w:r>
            <w:r w:rsidRPr="00B42808">
              <w:rPr>
                <w:b/>
                <w:bCs/>
                <w:sz w:val="20"/>
                <w:szCs w:val="20"/>
                <w:vertAlign w:val="subscript"/>
              </w:rPr>
              <w:t>train</w:t>
            </w:r>
            <w:proofErr w:type="spellEnd"/>
          </w:p>
        </w:tc>
        <w:tc>
          <w:tcPr>
            <w:tcW w:w="1530" w:type="dxa"/>
            <w:tcBorders>
              <w:left w:val="single" w:sz="4" w:space="0" w:color="F2F2F2" w:themeColor="background1" w:themeShade="F2"/>
              <w:right w:val="single" w:sz="4" w:space="0" w:color="F2F2F2" w:themeColor="background1" w:themeShade="F2"/>
            </w:tcBorders>
            <w:vAlign w:val="center"/>
          </w:tcPr>
          <w:p w14:paraId="3627FEE6" w14:textId="77777777" w:rsidR="008161B3" w:rsidRPr="00B42808" w:rsidRDefault="008161B3" w:rsidP="00477B20">
            <w:pPr>
              <w:pStyle w:val="NormalWeb"/>
              <w:jc w:val="center"/>
              <w:rPr>
                <w:b/>
                <w:bCs/>
                <w:sz w:val="20"/>
                <w:szCs w:val="20"/>
              </w:rPr>
            </w:pPr>
            <w:proofErr w:type="spellStart"/>
            <w:r w:rsidRPr="00B42808">
              <w:rPr>
                <w:b/>
                <w:bCs/>
                <w:sz w:val="20"/>
                <w:szCs w:val="20"/>
              </w:rPr>
              <w:t>AUC</w:t>
            </w:r>
            <w:r w:rsidRPr="00B42808">
              <w:rPr>
                <w:b/>
                <w:bCs/>
                <w:sz w:val="20"/>
                <w:szCs w:val="20"/>
                <w:vertAlign w:val="subscript"/>
              </w:rPr>
              <w:t>test</w:t>
            </w:r>
            <w:proofErr w:type="spellEnd"/>
            <w:r w:rsidRPr="00B42808">
              <w:rPr>
                <w:b/>
                <w:bCs/>
                <w:sz w:val="20"/>
                <w:szCs w:val="20"/>
              </w:rPr>
              <w:t xml:space="preserve"> +/- </w:t>
            </w:r>
            <w:proofErr w:type="spellStart"/>
            <w:r w:rsidRPr="00B42808">
              <w:rPr>
                <w:b/>
                <w:bCs/>
                <w:sz w:val="20"/>
                <w:szCs w:val="20"/>
              </w:rPr>
              <w:t>sd</w:t>
            </w:r>
            <w:proofErr w:type="spellEnd"/>
          </w:p>
        </w:tc>
        <w:tc>
          <w:tcPr>
            <w:tcW w:w="1080" w:type="dxa"/>
            <w:tcBorders>
              <w:left w:val="single" w:sz="4" w:space="0" w:color="F2F2F2" w:themeColor="background1" w:themeShade="F2"/>
              <w:right w:val="single" w:sz="4" w:space="0" w:color="F2F2F2" w:themeColor="background1" w:themeShade="F2"/>
            </w:tcBorders>
            <w:vAlign w:val="center"/>
          </w:tcPr>
          <w:p w14:paraId="376AA0E9" w14:textId="77777777" w:rsidR="008161B3" w:rsidRPr="00B42808" w:rsidRDefault="008161B3" w:rsidP="00477B20">
            <w:pPr>
              <w:pStyle w:val="NormalWeb"/>
              <w:jc w:val="center"/>
              <w:rPr>
                <w:b/>
                <w:bCs/>
                <w:sz w:val="20"/>
                <w:szCs w:val="20"/>
              </w:rPr>
            </w:pPr>
            <w:r w:rsidRPr="00B42808">
              <w:rPr>
                <w:b/>
                <w:bCs/>
                <w:sz w:val="20"/>
                <w:szCs w:val="20"/>
              </w:rPr>
              <w:t>N train(test)</w:t>
            </w:r>
          </w:p>
        </w:tc>
        <w:tc>
          <w:tcPr>
            <w:tcW w:w="1080" w:type="dxa"/>
            <w:tcBorders>
              <w:left w:val="single" w:sz="4" w:space="0" w:color="F2F2F2" w:themeColor="background1" w:themeShade="F2"/>
              <w:right w:val="single" w:sz="4" w:space="0" w:color="FFFFFF" w:themeColor="background1"/>
            </w:tcBorders>
            <w:vAlign w:val="center"/>
          </w:tcPr>
          <w:p w14:paraId="10ABDEF1" w14:textId="77777777" w:rsidR="008161B3" w:rsidRPr="00B42808" w:rsidRDefault="008161B3" w:rsidP="00477B20">
            <w:pPr>
              <w:pStyle w:val="NormalWeb"/>
              <w:jc w:val="center"/>
              <w:rPr>
                <w:b/>
                <w:bCs/>
                <w:sz w:val="20"/>
                <w:szCs w:val="20"/>
              </w:rPr>
            </w:pPr>
            <w:r w:rsidRPr="00B42808">
              <w:rPr>
                <w:b/>
                <w:bCs/>
                <w:sz w:val="20"/>
                <w:szCs w:val="20"/>
              </w:rPr>
              <w:t>Omission Rate</w:t>
            </w:r>
          </w:p>
        </w:tc>
      </w:tr>
      <w:tr w:rsidR="008161B3" w14:paraId="4E816A0B" w14:textId="77777777" w:rsidTr="00477B20">
        <w:tc>
          <w:tcPr>
            <w:tcW w:w="990" w:type="dxa"/>
            <w:tcBorders>
              <w:left w:val="single" w:sz="4" w:space="0" w:color="FFFFFF" w:themeColor="background1"/>
              <w:bottom w:val="single" w:sz="4" w:space="0" w:color="F2F2F2" w:themeColor="background1" w:themeShade="F2"/>
              <w:right w:val="single" w:sz="4" w:space="0" w:color="F2F2F2" w:themeColor="background1" w:themeShade="F2"/>
            </w:tcBorders>
            <w:vAlign w:val="center"/>
          </w:tcPr>
          <w:p w14:paraId="58A3E253" w14:textId="77777777" w:rsidR="008161B3" w:rsidRPr="00B42808" w:rsidRDefault="008161B3" w:rsidP="00477B20">
            <w:pPr>
              <w:pStyle w:val="NormalWeb"/>
              <w:jc w:val="center"/>
              <w:rPr>
                <w:sz w:val="20"/>
                <w:szCs w:val="20"/>
              </w:rPr>
            </w:pPr>
            <w:r w:rsidRPr="00B42808">
              <w:rPr>
                <w:sz w:val="20"/>
                <w:szCs w:val="20"/>
              </w:rPr>
              <w:t>SR</w:t>
            </w:r>
          </w:p>
        </w:tc>
        <w:tc>
          <w:tcPr>
            <w:tcW w:w="144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22E6305" w14:textId="77777777" w:rsidR="008161B3" w:rsidRPr="00B42808" w:rsidRDefault="008161B3" w:rsidP="00477B20">
            <w:pPr>
              <w:pStyle w:val="NormalWeb"/>
              <w:jc w:val="center"/>
              <w:rPr>
                <w:sz w:val="20"/>
                <w:szCs w:val="20"/>
              </w:rPr>
            </w:pPr>
            <w:r w:rsidRPr="00B42808">
              <w:rPr>
                <w:sz w:val="20"/>
                <w:szCs w:val="20"/>
              </w:rPr>
              <w:t>Species Range</w:t>
            </w:r>
          </w:p>
        </w:tc>
        <w:tc>
          <w:tcPr>
            <w:tcW w:w="126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8997AA0" w14:textId="77777777" w:rsidR="008161B3" w:rsidRPr="00B42808" w:rsidRDefault="008161B3" w:rsidP="00477B20">
            <w:pPr>
              <w:pStyle w:val="NormalWeb"/>
              <w:jc w:val="center"/>
              <w:rPr>
                <w:sz w:val="20"/>
                <w:szCs w:val="20"/>
              </w:rPr>
            </w:pPr>
            <w:r w:rsidRPr="00B42808">
              <w:rPr>
                <w:sz w:val="20"/>
                <w:szCs w:val="20"/>
              </w:rPr>
              <w:t>Range-Wide (RW)</w:t>
            </w:r>
          </w:p>
        </w:tc>
        <w:tc>
          <w:tcPr>
            <w:tcW w:w="99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30234B9" w14:textId="77777777" w:rsidR="008161B3" w:rsidRPr="00B42808" w:rsidRDefault="008161B3" w:rsidP="00477B20">
            <w:pPr>
              <w:pStyle w:val="NormalWeb"/>
              <w:jc w:val="center"/>
              <w:rPr>
                <w:sz w:val="20"/>
                <w:szCs w:val="20"/>
              </w:rPr>
            </w:pPr>
            <w:r w:rsidRPr="00B42808">
              <w:rPr>
                <w:sz w:val="20"/>
                <w:szCs w:val="20"/>
              </w:rPr>
              <w:t>0.948</w:t>
            </w:r>
          </w:p>
        </w:tc>
        <w:tc>
          <w:tcPr>
            <w:tcW w:w="153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6AD8CEC" w14:textId="77777777" w:rsidR="008161B3" w:rsidRPr="00B42808" w:rsidRDefault="008161B3" w:rsidP="00477B20">
            <w:pPr>
              <w:pStyle w:val="NormalWeb"/>
              <w:jc w:val="center"/>
              <w:rPr>
                <w:sz w:val="20"/>
                <w:szCs w:val="20"/>
              </w:rPr>
            </w:pPr>
            <w:r w:rsidRPr="00B42808">
              <w:rPr>
                <w:sz w:val="20"/>
                <w:szCs w:val="20"/>
              </w:rPr>
              <w:t>0.918 +/- 0.022</w:t>
            </w:r>
          </w:p>
        </w:tc>
        <w:tc>
          <w:tcPr>
            <w:tcW w:w="108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B043345" w14:textId="77777777" w:rsidR="008161B3" w:rsidRPr="00B42808" w:rsidRDefault="008161B3" w:rsidP="00477B20">
            <w:pPr>
              <w:pStyle w:val="NormalWeb"/>
              <w:jc w:val="center"/>
              <w:rPr>
                <w:sz w:val="20"/>
                <w:szCs w:val="20"/>
              </w:rPr>
            </w:pPr>
            <w:r w:rsidRPr="00B42808">
              <w:rPr>
                <w:sz w:val="20"/>
                <w:szCs w:val="20"/>
              </w:rPr>
              <w:t>75(31)</w:t>
            </w:r>
          </w:p>
        </w:tc>
        <w:tc>
          <w:tcPr>
            <w:tcW w:w="1080" w:type="dxa"/>
            <w:tcBorders>
              <w:left w:val="single" w:sz="4" w:space="0" w:color="F2F2F2" w:themeColor="background1" w:themeShade="F2"/>
              <w:bottom w:val="single" w:sz="4" w:space="0" w:color="F2F2F2" w:themeColor="background1" w:themeShade="F2"/>
              <w:right w:val="single" w:sz="4" w:space="0" w:color="FFFFFF" w:themeColor="background1"/>
            </w:tcBorders>
            <w:vAlign w:val="center"/>
          </w:tcPr>
          <w:p w14:paraId="5B2FA95E" w14:textId="77777777" w:rsidR="008161B3" w:rsidRPr="00B42808" w:rsidRDefault="008161B3" w:rsidP="00477B20">
            <w:pPr>
              <w:pStyle w:val="NormalWeb"/>
              <w:jc w:val="center"/>
              <w:rPr>
                <w:sz w:val="20"/>
                <w:szCs w:val="20"/>
              </w:rPr>
            </w:pPr>
            <w:r w:rsidRPr="00B42808">
              <w:rPr>
                <w:sz w:val="20"/>
                <w:szCs w:val="20"/>
              </w:rPr>
              <w:t>0.194</w:t>
            </w:r>
          </w:p>
        </w:tc>
      </w:tr>
      <w:tr w:rsidR="008161B3" w14:paraId="5A09AC78" w14:textId="77777777" w:rsidTr="00477B20">
        <w:tc>
          <w:tcPr>
            <w:tcW w:w="990"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55CDFB3E" w14:textId="77777777" w:rsidR="008161B3" w:rsidRPr="00B42808" w:rsidRDefault="008161B3" w:rsidP="00477B20">
            <w:pPr>
              <w:pStyle w:val="NormalWeb"/>
              <w:jc w:val="center"/>
              <w:rPr>
                <w:sz w:val="20"/>
                <w:szCs w:val="20"/>
              </w:rPr>
            </w:pPr>
            <w:r w:rsidRPr="00B42808">
              <w:rPr>
                <w:sz w:val="20"/>
                <w:szCs w:val="20"/>
              </w:rPr>
              <w:t>P1-RW</w:t>
            </w:r>
          </w:p>
        </w:tc>
        <w:tc>
          <w:tcPr>
            <w:tcW w:w="14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5A2C4BCB" w14:textId="77777777" w:rsidR="008161B3" w:rsidRPr="00B42808" w:rsidRDefault="008161B3" w:rsidP="00477B20">
            <w:pPr>
              <w:pStyle w:val="NormalWeb"/>
              <w:jc w:val="center"/>
              <w:rPr>
                <w:sz w:val="20"/>
                <w:szCs w:val="20"/>
              </w:rPr>
            </w:pPr>
            <w:r w:rsidRPr="00B42808">
              <w:rPr>
                <w:sz w:val="20"/>
                <w:szCs w:val="20"/>
              </w:rPr>
              <w:t>P1</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0649584" w14:textId="77777777" w:rsidR="008161B3" w:rsidRPr="00B42808" w:rsidRDefault="008161B3" w:rsidP="00477B20">
            <w:pPr>
              <w:pStyle w:val="NormalWeb"/>
              <w:jc w:val="center"/>
              <w:rPr>
                <w:sz w:val="20"/>
                <w:szCs w:val="20"/>
              </w:rPr>
            </w:pPr>
            <w:r w:rsidRPr="00B42808">
              <w:rPr>
                <w:sz w:val="20"/>
                <w:szCs w:val="20"/>
              </w:rPr>
              <w:t>RW</w:t>
            </w:r>
          </w:p>
        </w:tc>
        <w:tc>
          <w:tcPr>
            <w:tcW w:w="99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5DC8E2EF" w14:textId="77777777" w:rsidR="008161B3" w:rsidRPr="00B42808" w:rsidRDefault="008161B3" w:rsidP="00477B20">
            <w:pPr>
              <w:pStyle w:val="NormalWeb"/>
              <w:jc w:val="center"/>
              <w:rPr>
                <w:sz w:val="20"/>
                <w:szCs w:val="20"/>
              </w:rPr>
            </w:pPr>
            <w:r w:rsidRPr="00B42808">
              <w:rPr>
                <w:sz w:val="20"/>
                <w:szCs w:val="20"/>
              </w:rPr>
              <w:t>0.979</w:t>
            </w:r>
          </w:p>
        </w:tc>
        <w:tc>
          <w:tcPr>
            <w:tcW w:w="15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EB6DFEF" w14:textId="77777777" w:rsidR="008161B3" w:rsidRPr="00B42808" w:rsidRDefault="008161B3" w:rsidP="00477B20">
            <w:pPr>
              <w:pStyle w:val="NormalWeb"/>
              <w:jc w:val="center"/>
              <w:rPr>
                <w:sz w:val="20"/>
                <w:szCs w:val="20"/>
              </w:rPr>
            </w:pPr>
            <w:r w:rsidRPr="00B42808">
              <w:rPr>
                <w:sz w:val="20"/>
                <w:szCs w:val="20"/>
              </w:rPr>
              <w:t>0974 +/- 0.021</w:t>
            </w:r>
          </w:p>
        </w:tc>
        <w:tc>
          <w:tcPr>
            <w:tcW w:w="108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8B9D05B" w14:textId="77777777" w:rsidR="008161B3" w:rsidRPr="00B42808" w:rsidRDefault="008161B3" w:rsidP="00477B20">
            <w:pPr>
              <w:pStyle w:val="NormalWeb"/>
              <w:jc w:val="center"/>
              <w:rPr>
                <w:sz w:val="20"/>
                <w:szCs w:val="20"/>
              </w:rPr>
            </w:pPr>
            <w:r w:rsidRPr="00B42808">
              <w:rPr>
                <w:sz w:val="20"/>
                <w:szCs w:val="20"/>
              </w:rPr>
              <w:t>9(3)</w:t>
            </w:r>
          </w:p>
        </w:tc>
        <w:tc>
          <w:tcPr>
            <w:tcW w:w="108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1B7B08B4" w14:textId="77777777" w:rsidR="008161B3" w:rsidRPr="00B42808" w:rsidRDefault="008161B3" w:rsidP="00477B20">
            <w:pPr>
              <w:pStyle w:val="NormalWeb"/>
              <w:jc w:val="center"/>
              <w:rPr>
                <w:sz w:val="20"/>
                <w:szCs w:val="20"/>
              </w:rPr>
            </w:pPr>
            <w:r w:rsidRPr="00B42808">
              <w:rPr>
                <w:sz w:val="20"/>
                <w:szCs w:val="20"/>
              </w:rPr>
              <w:t>0</w:t>
            </w:r>
          </w:p>
        </w:tc>
      </w:tr>
      <w:tr w:rsidR="008161B3" w14:paraId="2F6FE040" w14:textId="77777777" w:rsidTr="00477B20">
        <w:tc>
          <w:tcPr>
            <w:tcW w:w="990"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402A5195" w14:textId="77777777" w:rsidR="008161B3" w:rsidRPr="00B42808" w:rsidRDefault="008161B3" w:rsidP="00477B20">
            <w:pPr>
              <w:pStyle w:val="NormalWeb"/>
              <w:jc w:val="center"/>
              <w:rPr>
                <w:sz w:val="20"/>
                <w:szCs w:val="20"/>
              </w:rPr>
            </w:pPr>
            <w:r w:rsidRPr="00B42808">
              <w:rPr>
                <w:sz w:val="20"/>
                <w:szCs w:val="20"/>
              </w:rPr>
              <w:t>P1-P1</w:t>
            </w:r>
          </w:p>
        </w:tc>
        <w:tc>
          <w:tcPr>
            <w:tcW w:w="14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288A0BD" w14:textId="77777777" w:rsidR="008161B3" w:rsidRPr="00B42808" w:rsidRDefault="008161B3" w:rsidP="00477B20">
            <w:pPr>
              <w:pStyle w:val="NormalWeb"/>
              <w:jc w:val="center"/>
              <w:rPr>
                <w:sz w:val="20"/>
                <w:szCs w:val="20"/>
              </w:rPr>
            </w:pPr>
            <w:r w:rsidRPr="00B42808">
              <w:rPr>
                <w:sz w:val="20"/>
                <w:szCs w:val="20"/>
              </w:rPr>
              <w:t>P1</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E8B43CF" w14:textId="77777777" w:rsidR="008161B3" w:rsidRPr="00B42808" w:rsidRDefault="008161B3" w:rsidP="00477B20">
            <w:pPr>
              <w:pStyle w:val="NormalWeb"/>
              <w:jc w:val="center"/>
              <w:rPr>
                <w:sz w:val="20"/>
                <w:szCs w:val="20"/>
              </w:rPr>
            </w:pPr>
            <w:r w:rsidRPr="00B42808">
              <w:rPr>
                <w:sz w:val="20"/>
                <w:szCs w:val="20"/>
              </w:rPr>
              <w:t>P1 Range</w:t>
            </w:r>
          </w:p>
        </w:tc>
        <w:tc>
          <w:tcPr>
            <w:tcW w:w="99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FB52B2C" w14:textId="77777777" w:rsidR="008161B3" w:rsidRPr="00B42808" w:rsidRDefault="008161B3" w:rsidP="00477B20">
            <w:pPr>
              <w:pStyle w:val="NormalWeb"/>
              <w:jc w:val="center"/>
              <w:rPr>
                <w:sz w:val="20"/>
                <w:szCs w:val="20"/>
              </w:rPr>
            </w:pPr>
            <w:r w:rsidRPr="00B42808">
              <w:rPr>
                <w:sz w:val="20"/>
                <w:szCs w:val="20"/>
              </w:rPr>
              <w:t>0.988</w:t>
            </w:r>
          </w:p>
        </w:tc>
        <w:tc>
          <w:tcPr>
            <w:tcW w:w="15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446220E" w14:textId="77777777" w:rsidR="008161B3" w:rsidRPr="00B42808" w:rsidRDefault="008161B3" w:rsidP="00477B20">
            <w:pPr>
              <w:pStyle w:val="NormalWeb"/>
              <w:jc w:val="center"/>
              <w:rPr>
                <w:sz w:val="20"/>
                <w:szCs w:val="20"/>
              </w:rPr>
            </w:pPr>
            <w:r w:rsidRPr="00B42808">
              <w:rPr>
                <w:sz w:val="20"/>
                <w:szCs w:val="20"/>
              </w:rPr>
              <w:t>0.986 +/- 0.01</w:t>
            </w:r>
          </w:p>
        </w:tc>
        <w:tc>
          <w:tcPr>
            <w:tcW w:w="108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19562A7" w14:textId="77777777" w:rsidR="008161B3" w:rsidRPr="00B42808" w:rsidRDefault="008161B3" w:rsidP="00477B20">
            <w:pPr>
              <w:pStyle w:val="NormalWeb"/>
              <w:jc w:val="center"/>
              <w:rPr>
                <w:sz w:val="20"/>
                <w:szCs w:val="20"/>
              </w:rPr>
            </w:pPr>
            <w:r w:rsidRPr="00B42808">
              <w:rPr>
                <w:sz w:val="20"/>
                <w:szCs w:val="20"/>
              </w:rPr>
              <w:t>9(3)</w:t>
            </w:r>
          </w:p>
        </w:tc>
        <w:tc>
          <w:tcPr>
            <w:tcW w:w="108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0AF68C45" w14:textId="77777777" w:rsidR="008161B3" w:rsidRPr="00B42808" w:rsidRDefault="008161B3" w:rsidP="00477B20">
            <w:pPr>
              <w:pStyle w:val="NormalWeb"/>
              <w:jc w:val="center"/>
              <w:rPr>
                <w:sz w:val="20"/>
                <w:szCs w:val="20"/>
              </w:rPr>
            </w:pPr>
            <w:r w:rsidRPr="00B42808">
              <w:rPr>
                <w:sz w:val="20"/>
                <w:szCs w:val="20"/>
              </w:rPr>
              <w:t>0</w:t>
            </w:r>
          </w:p>
        </w:tc>
      </w:tr>
      <w:tr w:rsidR="008161B3" w14:paraId="732DE5BA" w14:textId="77777777" w:rsidTr="00477B20">
        <w:tc>
          <w:tcPr>
            <w:tcW w:w="990"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71FABF07" w14:textId="77777777" w:rsidR="008161B3" w:rsidRPr="00B42808" w:rsidRDefault="008161B3" w:rsidP="00477B20">
            <w:pPr>
              <w:pStyle w:val="NormalWeb"/>
              <w:jc w:val="center"/>
              <w:rPr>
                <w:sz w:val="20"/>
                <w:szCs w:val="20"/>
              </w:rPr>
            </w:pPr>
            <w:r w:rsidRPr="00B42808">
              <w:rPr>
                <w:sz w:val="20"/>
                <w:szCs w:val="20"/>
              </w:rPr>
              <w:t>P2-RW</w:t>
            </w:r>
          </w:p>
        </w:tc>
        <w:tc>
          <w:tcPr>
            <w:tcW w:w="14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B7F7032" w14:textId="77777777" w:rsidR="008161B3" w:rsidRPr="00B42808" w:rsidRDefault="008161B3" w:rsidP="00477B20">
            <w:pPr>
              <w:pStyle w:val="NormalWeb"/>
              <w:jc w:val="center"/>
              <w:rPr>
                <w:sz w:val="20"/>
                <w:szCs w:val="20"/>
              </w:rPr>
            </w:pPr>
            <w:r w:rsidRPr="00B42808">
              <w:rPr>
                <w:sz w:val="20"/>
                <w:szCs w:val="20"/>
              </w:rPr>
              <w:t>P2</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300035C" w14:textId="77777777" w:rsidR="008161B3" w:rsidRPr="00B42808" w:rsidRDefault="008161B3" w:rsidP="00477B20">
            <w:pPr>
              <w:pStyle w:val="NormalWeb"/>
              <w:jc w:val="center"/>
              <w:rPr>
                <w:sz w:val="20"/>
                <w:szCs w:val="20"/>
              </w:rPr>
            </w:pPr>
            <w:r w:rsidRPr="00B42808">
              <w:rPr>
                <w:sz w:val="20"/>
                <w:szCs w:val="20"/>
              </w:rPr>
              <w:t>RW</w:t>
            </w:r>
          </w:p>
        </w:tc>
        <w:tc>
          <w:tcPr>
            <w:tcW w:w="99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528DA80D" w14:textId="77777777" w:rsidR="008161B3" w:rsidRPr="00B42808" w:rsidRDefault="008161B3" w:rsidP="00477B20">
            <w:pPr>
              <w:pStyle w:val="NormalWeb"/>
              <w:jc w:val="center"/>
              <w:rPr>
                <w:sz w:val="20"/>
                <w:szCs w:val="20"/>
              </w:rPr>
            </w:pPr>
            <w:r w:rsidRPr="00B42808">
              <w:rPr>
                <w:sz w:val="20"/>
                <w:szCs w:val="20"/>
              </w:rPr>
              <w:t>0.963</w:t>
            </w:r>
          </w:p>
        </w:tc>
        <w:tc>
          <w:tcPr>
            <w:tcW w:w="15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F74ED71" w14:textId="77777777" w:rsidR="008161B3" w:rsidRPr="00B42808" w:rsidRDefault="008161B3" w:rsidP="00477B20">
            <w:pPr>
              <w:pStyle w:val="NormalWeb"/>
              <w:jc w:val="center"/>
              <w:rPr>
                <w:sz w:val="20"/>
                <w:szCs w:val="20"/>
              </w:rPr>
            </w:pPr>
            <w:r w:rsidRPr="00B42808">
              <w:rPr>
                <w:sz w:val="20"/>
                <w:szCs w:val="20"/>
              </w:rPr>
              <w:t>0.836 +/- 0.051</w:t>
            </w:r>
          </w:p>
        </w:tc>
        <w:tc>
          <w:tcPr>
            <w:tcW w:w="108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3C5BF0C" w14:textId="77777777" w:rsidR="008161B3" w:rsidRPr="00B42808" w:rsidRDefault="008161B3" w:rsidP="00477B20">
            <w:pPr>
              <w:pStyle w:val="NormalWeb"/>
              <w:jc w:val="center"/>
              <w:rPr>
                <w:sz w:val="20"/>
                <w:szCs w:val="20"/>
              </w:rPr>
            </w:pPr>
            <w:r w:rsidRPr="00B42808">
              <w:rPr>
                <w:sz w:val="20"/>
                <w:szCs w:val="20"/>
              </w:rPr>
              <w:t>26(11)</w:t>
            </w:r>
          </w:p>
        </w:tc>
        <w:tc>
          <w:tcPr>
            <w:tcW w:w="108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343F15A3" w14:textId="77777777" w:rsidR="008161B3" w:rsidRPr="00B42808" w:rsidRDefault="008161B3" w:rsidP="00477B20">
            <w:pPr>
              <w:pStyle w:val="NormalWeb"/>
              <w:jc w:val="center"/>
              <w:rPr>
                <w:sz w:val="20"/>
                <w:szCs w:val="20"/>
              </w:rPr>
            </w:pPr>
            <w:r w:rsidRPr="00B42808">
              <w:rPr>
                <w:sz w:val="20"/>
                <w:szCs w:val="20"/>
              </w:rPr>
              <w:t>0.455</w:t>
            </w:r>
          </w:p>
        </w:tc>
      </w:tr>
      <w:tr w:rsidR="008161B3" w14:paraId="03B4C1DC" w14:textId="77777777" w:rsidTr="00477B20">
        <w:tc>
          <w:tcPr>
            <w:tcW w:w="990"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42D316C4" w14:textId="77777777" w:rsidR="008161B3" w:rsidRPr="00B42808" w:rsidRDefault="008161B3" w:rsidP="00477B20">
            <w:pPr>
              <w:pStyle w:val="NormalWeb"/>
              <w:jc w:val="center"/>
              <w:rPr>
                <w:sz w:val="20"/>
                <w:szCs w:val="20"/>
              </w:rPr>
            </w:pPr>
            <w:r w:rsidRPr="00B42808">
              <w:rPr>
                <w:sz w:val="20"/>
                <w:szCs w:val="20"/>
              </w:rPr>
              <w:t>P2-P2</w:t>
            </w:r>
          </w:p>
        </w:tc>
        <w:tc>
          <w:tcPr>
            <w:tcW w:w="14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71D4355" w14:textId="77777777" w:rsidR="008161B3" w:rsidRPr="00B42808" w:rsidRDefault="008161B3" w:rsidP="00477B20">
            <w:pPr>
              <w:pStyle w:val="NormalWeb"/>
              <w:jc w:val="center"/>
              <w:rPr>
                <w:sz w:val="20"/>
                <w:szCs w:val="20"/>
              </w:rPr>
            </w:pPr>
            <w:r w:rsidRPr="00B42808">
              <w:rPr>
                <w:sz w:val="20"/>
                <w:szCs w:val="20"/>
              </w:rPr>
              <w:t>P2</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8ACDD75" w14:textId="77777777" w:rsidR="008161B3" w:rsidRPr="00B42808" w:rsidRDefault="008161B3" w:rsidP="00477B20">
            <w:pPr>
              <w:pStyle w:val="NormalWeb"/>
              <w:jc w:val="center"/>
              <w:rPr>
                <w:sz w:val="20"/>
                <w:szCs w:val="20"/>
              </w:rPr>
            </w:pPr>
            <w:r w:rsidRPr="00B42808">
              <w:rPr>
                <w:sz w:val="20"/>
                <w:szCs w:val="20"/>
              </w:rPr>
              <w:t>P2 Range</w:t>
            </w:r>
          </w:p>
        </w:tc>
        <w:tc>
          <w:tcPr>
            <w:tcW w:w="99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AB8B995" w14:textId="77777777" w:rsidR="008161B3" w:rsidRPr="00B42808" w:rsidRDefault="008161B3" w:rsidP="00477B20">
            <w:pPr>
              <w:pStyle w:val="NormalWeb"/>
              <w:jc w:val="center"/>
              <w:rPr>
                <w:sz w:val="20"/>
                <w:szCs w:val="20"/>
              </w:rPr>
            </w:pPr>
            <w:r w:rsidRPr="00B42808">
              <w:rPr>
                <w:sz w:val="20"/>
                <w:szCs w:val="20"/>
              </w:rPr>
              <w:t>0.963</w:t>
            </w:r>
          </w:p>
        </w:tc>
        <w:tc>
          <w:tcPr>
            <w:tcW w:w="15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BB44825" w14:textId="77777777" w:rsidR="008161B3" w:rsidRPr="00B42808" w:rsidRDefault="008161B3" w:rsidP="00477B20">
            <w:pPr>
              <w:pStyle w:val="NormalWeb"/>
              <w:jc w:val="center"/>
              <w:rPr>
                <w:sz w:val="20"/>
                <w:szCs w:val="20"/>
              </w:rPr>
            </w:pPr>
            <w:r w:rsidRPr="00B42808">
              <w:rPr>
                <w:sz w:val="20"/>
                <w:szCs w:val="20"/>
              </w:rPr>
              <w:t>0.853 +/- 0.051</w:t>
            </w:r>
          </w:p>
        </w:tc>
        <w:tc>
          <w:tcPr>
            <w:tcW w:w="108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E408411" w14:textId="77777777" w:rsidR="008161B3" w:rsidRPr="00B42808" w:rsidRDefault="008161B3" w:rsidP="00477B20">
            <w:pPr>
              <w:pStyle w:val="NormalWeb"/>
              <w:jc w:val="center"/>
              <w:rPr>
                <w:sz w:val="20"/>
                <w:szCs w:val="20"/>
              </w:rPr>
            </w:pPr>
            <w:r w:rsidRPr="00B42808">
              <w:rPr>
                <w:sz w:val="20"/>
                <w:szCs w:val="20"/>
              </w:rPr>
              <w:t>26(11)</w:t>
            </w:r>
          </w:p>
        </w:tc>
        <w:tc>
          <w:tcPr>
            <w:tcW w:w="108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5C1744BC" w14:textId="77777777" w:rsidR="008161B3" w:rsidRPr="00B42808" w:rsidRDefault="008161B3" w:rsidP="00477B20">
            <w:pPr>
              <w:pStyle w:val="NormalWeb"/>
              <w:jc w:val="center"/>
              <w:rPr>
                <w:sz w:val="20"/>
                <w:szCs w:val="20"/>
              </w:rPr>
            </w:pPr>
            <w:r w:rsidRPr="00B42808">
              <w:rPr>
                <w:sz w:val="20"/>
                <w:szCs w:val="20"/>
              </w:rPr>
              <w:t>0.364</w:t>
            </w:r>
          </w:p>
        </w:tc>
      </w:tr>
      <w:tr w:rsidR="008161B3" w14:paraId="06E57219" w14:textId="77777777" w:rsidTr="00477B20">
        <w:tc>
          <w:tcPr>
            <w:tcW w:w="990"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487DB511" w14:textId="77777777" w:rsidR="008161B3" w:rsidRPr="00B42808" w:rsidRDefault="008161B3" w:rsidP="00477B20">
            <w:pPr>
              <w:pStyle w:val="NormalWeb"/>
              <w:jc w:val="center"/>
              <w:rPr>
                <w:sz w:val="20"/>
                <w:szCs w:val="20"/>
              </w:rPr>
            </w:pPr>
            <w:r w:rsidRPr="00B42808">
              <w:rPr>
                <w:sz w:val="20"/>
                <w:szCs w:val="20"/>
              </w:rPr>
              <w:t>P3-RW</w:t>
            </w:r>
          </w:p>
        </w:tc>
        <w:tc>
          <w:tcPr>
            <w:tcW w:w="14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9982418" w14:textId="77777777" w:rsidR="008161B3" w:rsidRPr="00B42808" w:rsidRDefault="008161B3" w:rsidP="00477B20">
            <w:pPr>
              <w:pStyle w:val="NormalWeb"/>
              <w:jc w:val="center"/>
              <w:rPr>
                <w:sz w:val="20"/>
                <w:szCs w:val="20"/>
              </w:rPr>
            </w:pPr>
            <w:r w:rsidRPr="00B42808">
              <w:rPr>
                <w:sz w:val="20"/>
                <w:szCs w:val="20"/>
              </w:rPr>
              <w:t>P3</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CAD7B2A" w14:textId="77777777" w:rsidR="008161B3" w:rsidRPr="00B42808" w:rsidRDefault="008161B3" w:rsidP="00477B20">
            <w:pPr>
              <w:pStyle w:val="NormalWeb"/>
              <w:jc w:val="center"/>
              <w:rPr>
                <w:sz w:val="20"/>
                <w:szCs w:val="20"/>
              </w:rPr>
            </w:pPr>
            <w:r w:rsidRPr="00B42808">
              <w:rPr>
                <w:sz w:val="20"/>
                <w:szCs w:val="20"/>
              </w:rPr>
              <w:t>RW</w:t>
            </w:r>
          </w:p>
        </w:tc>
        <w:tc>
          <w:tcPr>
            <w:tcW w:w="99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65B0148" w14:textId="77777777" w:rsidR="008161B3" w:rsidRPr="00B42808" w:rsidRDefault="008161B3" w:rsidP="00477B20">
            <w:pPr>
              <w:pStyle w:val="NormalWeb"/>
              <w:jc w:val="center"/>
              <w:rPr>
                <w:sz w:val="20"/>
                <w:szCs w:val="20"/>
              </w:rPr>
            </w:pPr>
            <w:r w:rsidRPr="00B42808">
              <w:rPr>
                <w:sz w:val="20"/>
                <w:szCs w:val="20"/>
              </w:rPr>
              <w:t>0.973</w:t>
            </w:r>
          </w:p>
        </w:tc>
        <w:tc>
          <w:tcPr>
            <w:tcW w:w="15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C4CE6EC" w14:textId="77777777" w:rsidR="008161B3" w:rsidRPr="00B42808" w:rsidRDefault="008161B3" w:rsidP="00477B20">
            <w:pPr>
              <w:pStyle w:val="NormalWeb"/>
              <w:jc w:val="center"/>
              <w:rPr>
                <w:sz w:val="20"/>
                <w:szCs w:val="20"/>
              </w:rPr>
            </w:pPr>
            <w:r w:rsidRPr="00B42808">
              <w:rPr>
                <w:sz w:val="20"/>
                <w:szCs w:val="20"/>
              </w:rPr>
              <w:t>0.902 +/- 0.033</w:t>
            </w:r>
          </w:p>
        </w:tc>
        <w:tc>
          <w:tcPr>
            <w:tcW w:w="108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D43B54F" w14:textId="77777777" w:rsidR="008161B3" w:rsidRPr="00B42808" w:rsidRDefault="008161B3" w:rsidP="00477B20">
            <w:pPr>
              <w:pStyle w:val="NormalWeb"/>
              <w:jc w:val="center"/>
              <w:rPr>
                <w:sz w:val="20"/>
                <w:szCs w:val="20"/>
              </w:rPr>
            </w:pPr>
            <w:r w:rsidRPr="00B42808">
              <w:rPr>
                <w:sz w:val="20"/>
                <w:szCs w:val="20"/>
              </w:rPr>
              <w:t>40(17)</w:t>
            </w:r>
          </w:p>
        </w:tc>
        <w:tc>
          <w:tcPr>
            <w:tcW w:w="108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298FA624" w14:textId="77777777" w:rsidR="008161B3" w:rsidRPr="00B42808" w:rsidRDefault="008161B3" w:rsidP="00477B20">
            <w:pPr>
              <w:pStyle w:val="NormalWeb"/>
              <w:jc w:val="center"/>
              <w:rPr>
                <w:sz w:val="20"/>
                <w:szCs w:val="20"/>
              </w:rPr>
            </w:pPr>
            <w:r w:rsidRPr="00B42808">
              <w:rPr>
                <w:sz w:val="20"/>
                <w:szCs w:val="20"/>
              </w:rPr>
              <w:t>0.353</w:t>
            </w:r>
          </w:p>
        </w:tc>
      </w:tr>
      <w:tr w:rsidR="008161B3" w14:paraId="54185098" w14:textId="77777777" w:rsidTr="00477B20">
        <w:tc>
          <w:tcPr>
            <w:tcW w:w="990" w:type="dxa"/>
            <w:tcBorders>
              <w:top w:val="single" w:sz="4" w:space="0" w:color="F2F2F2" w:themeColor="background1" w:themeShade="F2"/>
              <w:left w:val="single" w:sz="4" w:space="0" w:color="FFFFFF" w:themeColor="background1"/>
              <w:right w:val="single" w:sz="4" w:space="0" w:color="F2F2F2" w:themeColor="background1" w:themeShade="F2"/>
            </w:tcBorders>
            <w:vAlign w:val="center"/>
          </w:tcPr>
          <w:p w14:paraId="2B56D358" w14:textId="77777777" w:rsidR="008161B3" w:rsidRPr="00B42808" w:rsidRDefault="008161B3" w:rsidP="00477B20">
            <w:pPr>
              <w:pStyle w:val="NormalWeb"/>
              <w:jc w:val="center"/>
              <w:rPr>
                <w:sz w:val="20"/>
                <w:szCs w:val="20"/>
              </w:rPr>
            </w:pPr>
            <w:r w:rsidRPr="00B42808">
              <w:rPr>
                <w:sz w:val="20"/>
                <w:szCs w:val="20"/>
              </w:rPr>
              <w:t>P3-P3</w:t>
            </w:r>
          </w:p>
        </w:tc>
        <w:tc>
          <w:tcPr>
            <w:tcW w:w="144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3CF69B87" w14:textId="77777777" w:rsidR="008161B3" w:rsidRPr="00B42808" w:rsidRDefault="008161B3" w:rsidP="00477B20">
            <w:pPr>
              <w:pStyle w:val="NormalWeb"/>
              <w:jc w:val="center"/>
              <w:rPr>
                <w:sz w:val="20"/>
                <w:szCs w:val="20"/>
              </w:rPr>
            </w:pPr>
            <w:r w:rsidRPr="00B42808">
              <w:rPr>
                <w:sz w:val="20"/>
                <w:szCs w:val="20"/>
              </w:rPr>
              <w:t>P3</w:t>
            </w:r>
          </w:p>
        </w:tc>
        <w:tc>
          <w:tcPr>
            <w:tcW w:w="126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5BB96B99" w14:textId="77777777" w:rsidR="008161B3" w:rsidRPr="00B42808" w:rsidRDefault="008161B3" w:rsidP="00477B20">
            <w:pPr>
              <w:pStyle w:val="NormalWeb"/>
              <w:jc w:val="center"/>
              <w:rPr>
                <w:sz w:val="20"/>
                <w:szCs w:val="20"/>
              </w:rPr>
            </w:pPr>
            <w:r w:rsidRPr="00B42808">
              <w:rPr>
                <w:sz w:val="20"/>
                <w:szCs w:val="20"/>
              </w:rPr>
              <w:t>P3 Range</w:t>
            </w:r>
          </w:p>
        </w:tc>
        <w:tc>
          <w:tcPr>
            <w:tcW w:w="99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7361B973" w14:textId="77777777" w:rsidR="008161B3" w:rsidRPr="00B42808" w:rsidRDefault="008161B3" w:rsidP="00477B20">
            <w:pPr>
              <w:pStyle w:val="NormalWeb"/>
              <w:jc w:val="center"/>
              <w:rPr>
                <w:sz w:val="20"/>
                <w:szCs w:val="20"/>
              </w:rPr>
            </w:pPr>
            <w:r w:rsidRPr="00B42808">
              <w:rPr>
                <w:sz w:val="20"/>
                <w:szCs w:val="20"/>
              </w:rPr>
              <w:t>0.976</w:t>
            </w:r>
          </w:p>
        </w:tc>
        <w:tc>
          <w:tcPr>
            <w:tcW w:w="153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07146E10" w14:textId="77777777" w:rsidR="008161B3" w:rsidRPr="00B42808" w:rsidRDefault="008161B3" w:rsidP="00477B20">
            <w:pPr>
              <w:pStyle w:val="NormalWeb"/>
              <w:jc w:val="center"/>
              <w:rPr>
                <w:sz w:val="20"/>
                <w:szCs w:val="20"/>
              </w:rPr>
            </w:pPr>
            <w:r w:rsidRPr="00B42808">
              <w:rPr>
                <w:sz w:val="20"/>
                <w:szCs w:val="20"/>
              </w:rPr>
              <w:t>0.9 +/- 0.036</w:t>
            </w:r>
          </w:p>
        </w:tc>
        <w:tc>
          <w:tcPr>
            <w:tcW w:w="108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35CF03E6" w14:textId="77777777" w:rsidR="008161B3" w:rsidRPr="00B42808" w:rsidRDefault="008161B3" w:rsidP="00477B20">
            <w:pPr>
              <w:pStyle w:val="NormalWeb"/>
              <w:jc w:val="center"/>
              <w:rPr>
                <w:sz w:val="20"/>
                <w:szCs w:val="20"/>
              </w:rPr>
            </w:pPr>
            <w:r w:rsidRPr="00B42808">
              <w:rPr>
                <w:sz w:val="20"/>
                <w:szCs w:val="20"/>
              </w:rPr>
              <w:t>40(17)</w:t>
            </w:r>
          </w:p>
        </w:tc>
        <w:tc>
          <w:tcPr>
            <w:tcW w:w="1080" w:type="dxa"/>
            <w:tcBorders>
              <w:top w:val="single" w:sz="4" w:space="0" w:color="F2F2F2" w:themeColor="background1" w:themeShade="F2"/>
              <w:left w:val="single" w:sz="4" w:space="0" w:color="F2F2F2" w:themeColor="background1" w:themeShade="F2"/>
              <w:right w:val="single" w:sz="4" w:space="0" w:color="FFFFFF" w:themeColor="background1"/>
            </w:tcBorders>
            <w:vAlign w:val="center"/>
          </w:tcPr>
          <w:p w14:paraId="61D56F36" w14:textId="77777777" w:rsidR="008161B3" w:rsidRPr="00B42808" w:rsidRDefault="008161B3" w:rsidP="00477B20">
            <w:pPr>
              <w:pStyle w:val="NormalWeb"/>
              <w:jc w:val="center"/>
              <w:rPr>
                <w:sz w:val="20"/>
                <w:szCs w:val="20"/>
              </w:rPr>
            </w:pPr>
            <w:r w:rsidRPr="00B42808">
              <w:rPr>
                <w:sz w:val="20"/>
                <w:szCs w:val="20"/>
              </w:rPr>
              <w:t>0.412</w:t>
            </w:r>
          </w:p>
        </w:tc>
      </w:tr>
    </w:tbl>
    <w:p w14:paraId="13E4A55C" w14:textId="3E183A5B" w:rsidR="007F0173" w:rsidRDefault="007F0173" w:rsidP="008161B3">
      <w:pPr>
        <w:pStyle w:val="Caption"/>
        <w:rPr>
          <w:sz w:val="22"/>
          <w:szCs w:val="22"/>
        </w:rPr>
      </w:pPr>
    </w:p>
    <w:p w14:paraId="2D66069B" w14:textId="13D3EC32" w:rsidR="008161B3" w:rsidRPr="003925DB" w:rsidRDefault="007F0173" w:rsidP="003925DB">
      <w:pPr>
        <w:rPr>
          <w:b/>
          <w:bCs/>
          <w:sz w:val="22"/>
          <w:szCs w:val="22"/>
        </w:rPr>
      </w:pPr>
      <w:r>
        <w:rPr>
          <w:sz w:val="22"/>
          <w:szCs w:val="22"/>
        </w:rPr>
        <w:br w:type="page"/>
      </w:r>
    </w:p>
    <w:p w14:paraId="377AA509" w14:textId="6A89EB66" w:rsidR="004815FD" w:rsidRDefault="008161B3" w:rsidP="003761F7">
      <w:pPr>
        <w:keepNext/>
        <w:jc w:val="both"/>
        <w:rPr>
          <w:sz w:val="22"/>
          <w:szCs w:val="22"/>
        </w:rPr>
      </w:pPr>
      <w:bookmarkStart w:id="49" w:name="_Toc88053990"/>
      <w:r w:rsidRPr="009011B9">
        <w:rPr>
          <w:b/>
          <w:bCs/>
          <w:sz w:val="22"/>
          <w:szCs w:val="22"/>
        </w:rPr>
        <w:lastRenderedPageBreak/>
        <w:t xml:space="preserve">Table </w:t>
      </w:r>
      <w:r w:rsidRPr="009011B9">
        <w:rPr>
          <w:b/>
          <w:bCs/>
          <w:sz w:val="22"/>
          <w:szCs w:val="22"/>
        </w:rPr>
        <w:fldChar w:fldCharType="begin"/>
      </w:r>
      <w:r w:rsidRPr="009011B9">
        <w:rPr>
          <w:b/>
          <w:bCs/>
          <w:sz w:val="22"/>
          <w:szCs w:val="22"/>
        </w:rPr>
        <w:instrText xml:space="preserve"> SEQ Table \* ARABIC </w:instrText>
      </w:r>
      <w:r w:rsidRPr="009011B9">
        <w:rPr>
          <w:b/>
          <w:bCs/>
          <w:sz w:val="22"/>
          <w:szCs w:val="22"/>
        </w:rPr>
        <w:fldChar w:fldCharType="separate"/>
      </w:r>
      <w:r w:rsidRPr="009011B9">
        <w:rPr>
          <w:b/>
          <w:bCs/>
          <w:noProof/>
          <w:sz w:val="22"/>
          <w:szCs w:val="22"/>
        </w:rPr>
        <w:t>4</w:t>
      </w:r>
      <w:r w:rsidRPr="009011B9">
        <w:rPr>
          <w:b/>
          <w:bCs/>
          <w:sz w:val="22"/>
          <w:szCs w:val="22"/>
        </w:rPr>
        <w:fldChar w:fldCharType="end"/>
      </w:r>
      <w:r w:rsidRPr="009011B9">
        <w:rPr>
          <w:b/>
          <w:bCs/>
          <w:sz w:val="22"/>
          <w:szCs w:val="22"/>
        </w:rPr>
        <w:t xml:space="preserve">: </w:t>
      </w:r>
      <w:r w:rsidR="004815FD" w:rsidRPr="009011B9">
        <w:rPr>
          <w:b/>
          <w:bCs/>
          <w:sz w:val="22"/>
          <w:szCs w:val="22"/>
        </w:rPr>
        <w:t xml:space="preserve">Percent (%) </w:t>
      </w:r>
      <w:r w:rsidR="009E6EB7">
        <w:rPr>
          <w:b/>
          <w:bCs/>
          <w:sz w:val="22"/>
          <w:szCs w:val="22"/>
        </w:rPr>
        <w:t>c</w:t>
      </w:r>
      <w:r w:rsidR="004815FD" w:rsidRPr="009011B9">
        <w:rPr>
          <w:b/>
          <w:bCs/>
          <w:sz w:val="22"/>
          <w:szCs w:val="22"/>
        </w:rPr>
        <w:t xml:space="preserve">ontribution of </w:t>
      </w:r>
      <w:r w:rsidR="009E6EB7">
        <w:rPr>
          <w:b/>
          <w:bCs/>
          <w:sz w:val="22"/>
          <w:szCs w:val="22"/>
        </w:rPr>
        <w:t>e</w:t>
      </w:r>
      <w:r w:rsidR="004815FD" w:rsidRPr="009011B9">
        <w:rPr>
          <w:b/>
          <w:bCs/>
          <w:sz w:val="22"/>
          <w:szCs w:val="22"/>
        </w:rPr>
        <w:t xml:space="preserve">nvironmental </w:t>
      </w:r>
      <w:r w:rsidR="009E6EB7">
        <w:rPr>
          <w:b/>
          <w:bCs/>
          <w:sz w:val="22"/>
          <w:szCs w:val="22"/>
        </w:rPr>
        <w:t>va</w:t>
      </w:r>
      <w:r w:rsidR="004815FD" w:rsidRPr="009011B9">
        <w:rPr>
          <w:b/>
          <w:bCs/>
          <w:sz w:val="22"/>
          <w:szCs w:val="22"/>
        </w:rPr>
        <w:t xml:space="preserve">riables to </w:t>
      </w:r>
      <w:r w:rsidR="00DE413C">
        <w:rPr>
          <w:b/>
          <w:bCs/>
          <w:sz w:val="22"/>
          <w:szCs w:val="22"/>
        </w:rPr>
        <w:t>SDM</w:t>
      </w:r>
      <w:r w:rsidR="009E6EB7">
        <w:rPr>
          <w:b/>
          <w:bCs/>
          <w:sz w:val="22"/>
          <w:szCs w:val="22"/>
        </w:rPr>
        <w:t>s</w:t>
      </w:r>
      <w:r w:rsidR="004815FD" w:rsidRPr="009011B9">
        <w:rPr>
          <w:b/>
          <w:bCs/>
          <w:sz w:val="22"/>
          <w:szCs w:val="22"/>
        </w:rPr>
        <w:t xml:space="preserve">. </w:t>
      </w:r>
      <w:r w:rsidR="004815FD" w:rsidRPr="009011B9">
        <w:rPr>
          <w:sz w:val="22"/>
          <w:szCs w:val="22"/>
        </w:rPr>
        <w:t>Blank cells</w:t>
      </w:r>
      <w:r w:rsidR="004815FD" w:rsidRPr="004815FD">
        <w:rPr>
          <w:sz w:val="22"/>
          <w:szCs w:val="22"/>
        </w:rPr>
        <w:t xml:space="preserve"> indicate that variable was not included in final models while zeros indicate that the variable was included but contributed nothing to final models. The top contributing variables for each model are bolded. Variable abbreviations represent: </w:t>
      </w:r>
      <w:proofErr w:type="spellStart"/>
      <w:r w:rsidR="004815FD" w:rsidRPr="004815FD">
        <w:rPr>
          <w:sz w:val="22"/>
          <w:szCs w:val="22"/>
        </w:rPr>
        <w:t>ahm</w:t>
      </w:r>
      <w:proofErr w:type="spellEnd"/>
      <w:r w:rsidR="004815FD" w:rsidRPr="004815FD">
        <w:rPr>
          <w:sz w:val="22"/>
          <w:szCs w:val="22"/>
        </w:rPr>
        <w:t xml:space="preserve"> (annual heat moisture index), </w:t>
      </w:r>
      <w:proofErr w:type="spellStart"/>
      <w:r w:rsidR="004815FD" w:rsidRPr="004815FD">
        <w:rPr>
          <w:sz w:val="22"/>
          <w:szCs w:val="22"/>
        </w:rPr>
        <w:t>cmd</w:t>
      </w:r>
      <w:proofErr w:type="spellEnd"/>
      <w:r w:rsidR="004815FD" w:rsidRPr="004815FD">
        <w:rPr>
          <w:sz w:val="22"/>
          <w:szCs w:val="22"/>
        </w:rPr>
        <w:t xml:space="preserve"> (</w:t>
      </w:r>
      <w:proofErr w:type="spellStart"/>
      <w:r w:rsidR="004815FD" w:rsidRPr="004815FD">
        <w:rPr>
          <w:sz w:val="22"/>
          <w:szCs w:val="22"/>
        </w:rPr>
        <w:t>Hargreave's</w:t>
      </w:r>
      <w:proofErr w:type="spellEnd"/>
      <w:r w:rsidR="004815FD" w:rsidRPr="004815FD">
        <w:rPr>
          <w:sz w:val="22"/>
          <w:szCs w:val="22"/>
        </w:rPr>
        <w:t xml:space="preserve"> climatic moisture index), dd_0 (degree-days below 0°C), mar (mean annual solar radiation (MJ m-2 d-1)), </w:t>
      </w:r>
      <w:proofErr w:type="spellStart"/>
      <w:r w:rsidR="004815FD" w:rsidRPr="004815FD">
        <w:rPr>
          <w:sz w:val="22"/>
          <w:szCs w:val="22"/>
        </w:rPr>
        <w:t>nffd</w:t>
      </w:r>
      <w:proofErr w:type="spellEnd"/>
      <w:r w:rsidR="004815FD" w:rsidRPr="004815FD">
        <w:rPr>
          <w:sz w:val="22"/>
          <w:szCs w:val="22"/>
        </w:rPr>
        <w:t xml:space="preserve"> (number of frost-free days), pas (precipitation as snow (mm)), </w:t>
      </w:r>
      <w:proofErr w:type="spellStart"/>
      <w:r w:rsidR="004815FD" w:rsidRPr="004815FD">
        <w:rPr>
          <w:sz w:val="22"/>
          <w:szCs w:val="22"/>
        </w:rPr>
        <w:t>ppt_sm</w:t>
      </w:r>
      <w:proofErr w:type="spellEnd"/>
      <w:r w:rsidR="004815FD" w:rsidRPr="004815FD">
        <w:rPr>
          <w:sz w:val="22"/>
          <w:szCs w:val="22"/>
        </w:rPr>
        <w:t xml:space="preserve"> (summer (Jun to Aug) precipitation (mm)), </w:t>
      </w:r>
      <w:proofErr w:type="spellStart"/>
      <w:r w:rsidR="004815FD" w:rsidRPr="004815FD">
        <w:rPr>
          <w:sz w:val="22"/>
          <w:szCs w:val="22"/>
        </w:rPr>
        <w:t>ppt_wt</w:t>
      </w:r>
      <w:proofErr w:type="spellEnd"/>
      <w:r w:rsidR="004815FD" w:rsidRPr="004815FD">
        <w:rPr>
          <w:sz w:val="22"/>
          <w:szCs w:val="22"/>
        </w:rPr>
        <w:t xml:space="preserve"> (winter (Dec to Feb) precipitation (mm)), rh (mean annual relative humidity (%)), td (difference between MCMT and MWMT, continentality (°C)); near (distance to nearest stream), </w:t>
      </w:r>
      <w:proofErr w:type="spellStart"/>
      <w:r w:rsidR="004815FD" w:rsidRPr="004815FD">
        <w:rPr>
          <w:sz w:val="22"/>
          <w:szCs w:val="22"/>
        </w:rPr>
        <w:t>q_ma</w:t>
      </w:r>
      <w:proofErr w:type="spellEnd"/>
      <w:r w:rsidR="004815FD" w:rsidRPr="004815FD">
        <w:rPr>
          <w:sz w:val="22"/>
          <w:szCs w:val="22"/>
        </w:rPr>
        <w:t xml:space="preserve"> (mean annual streamflow), </w:t>
      </w:r>
      <w:proofErr w:type="spellStart"/>
      <w:r w:rsidR="004815FD" w:rsidRPr="004815FD">
        <w:rPr>
          <w:sz w:val="22"/>
          <w:szCs w:val="22"/>
        </w:rPr>
        <w:t>strmord</w:t>
      </w:r>
      <w:proofErr w:type="spellEnd"/>
      <w:r w:rsidR="004815FD" w:rsidRPr="004815FD">
        <w:rPr>
          <w:sz w:val="22"/>
          <w:szCs w:val="22"/>
        </w:rPr>
        <w:t xml:space="preserve"> (Strahler stream order), and </w:t>
      </w:r>
      <w:proofErr w:type="spellStart"/>
      <w:r w:rsidR="004815FD" w:rsidRPr="004815FD">
        <w:rPr>
          <w:sz w:val="22"/>
          <w:szCs w:val="22"/>
        </w:rPr>
        <w:t>v_ma</w:t>
      </w:r>
      <w:proofErr w:type="spellEnd"/>
      <w:r w:rsidR="004815FD" w:rsidRPr="004815FD">
        <w:rPr>
          <w:sz w:val="22"/>
          <w:szCs w:val="22"/>
        </w:rPr>
        <w:t xml:space="preserve"> (mean annual stream velocity).</w:t>
      </w:r>
      <w:bookmarkEnd w:id="49"/>
    </w:p>
    <w:tbl>
      <w:tblPr>
        <w:tblStyle w:val="TableGrid"/>
        <w:tblW w:w="9090" w:type="dxa"/>
        <w:tblInd w:w="-5" w:type="dxa"/>
        <w:tblLayout w:type="fixed"/>
        <w:tblCellMar>
          <w:top w:w="14" w:type="dxa"/>
          <w:left w:w="72" w:type="dxa"/>
          <w:bottom w:w="14" w:type="dxa"/>
          <w:right w:w="72" w:type="dxa"/>
        </w:tblCellMar>
        <w:tblLook w:val="04A0" w:firstRow="1" w:lastRow="0" w:firstColumn="1" w:lastColumn="0" w:noHBand="0" w:noVBand="1"/>
      </w:tblPr>
      <w:tblGrid>
        <w:gridCol w:w="810"/>
        <w:gridCol w:w="540"/>
        <w:gridCol w:w="540"/>
        <w:gridCol w:w="630"/>
        <w:gridCol w:w="540"/>
        <w:gridCol w:w="630"/>
        <w:gridCol w:w="540"/>
        <w:gridCol w:w="540"/>
        <w:gridCol w:w="540"/>
        <w:gridCol w:w="540"/>
        <w:gridCol w:w="540"/>
        <w:gridCol w:w="630"/>
        <w:gridCol w:w="720"/>
        <w:gridCol w:w="720"/>
        <w:gridCol w:w="630"/>
      </w:tblGrid>
      <w:tr w:rsidR="004815FD" w14:paraId="24601954" w14:textId="77777777" w:rsidTr="00477B20">
        <w:trPr>
          <w:trHeight w:val="377"/>
        </w:trPr>
        <w:tc>
          <w:tcPr>
            <w:tcW w:w="810" w:type="dxa"/>
            <w:vMerge w:val="restart"/>
            <w:tcBorders>
              <w:left w:val="single" w:sz="4" w:space="0" w:color="FFFFFF" w:themeColor="background1"/>
              <w:right w:val="single" w:sz="4" w:space="0" w:color="F2F2F2" w:themeColor="background1" w:themeShade="F2"/>
            </w:tcBorders>
            <w:vAlign w:val="center"/>
          </w:tcPr>
          <w:p w14:paraId="29B68808" w14:textId="77777777" w:rsidR="004815FD" w:rsidRPr="00B42808" w:rsidRDefault="004815FD" w:rsidP="00477B20">
            <w:pPr>
              <w:pStyle w:val="NormalWeb"/>
              <w:jc w:val="center"/>
              <w:rPr>
                <w:b/>
                <w:bCs/>
                <w:sz w:val="20"/>
                <w:szCs w:val="20"/>
              </w:rPr>
            </w:pPr>
            <w:r w:rsidRPr="00B42808">
              <w:rPr>
                <w:b/>
                <w:bCs/>
                <w:sz w:val="20"/>
                <w:szCs w:val="20"/>
              </w:rPr>
              <w:t>Model Name</w:t>
            </w:r>
          </w:p>
        </w:tc>
        <w:tc>
          <w:tcPr>
            <w:tcW w:w="5580" w:type="dxa"/>
            <w:gridSpan w:val="10"/>
            <w:tcBorders>
              <w:left w:val="single" w:sz="4" w:space="0" w:color="F2F2F2" w:themeColor="background1" w:themeShade="F2"/>
              <w:right w:val="single" w:sz="4" w:space="0" w:color="000000" w:themeColor="text1"/>
            </w:tcBorders>
            <w:vAlign w:val="center"/>
          </w:tcPr>
          <w:p w14:paraId="5A8D5F2A" w14:textId="77777777" w:rsidR="004815FD" w:rsidRPr="00B42808" w:rsidRDefault="004815FD" w:rsidP="00477B20">
            <w:pPr>
              <w:pStyle w:val="NormalWeb"/>
              <w:jc w:val="center"/>
              <w:rPr>
                <w:b/>
                <w:bCs/>
                <w:sz w:val="20"/>
                <w:szCs w:val="20"/>
              </w:rPr>
            </w:pPr>
            <w:r>
              <w:rPr>
                <w:b/>
                <w:bCs/>
                <w:sz w:val="20"/>
                <w:szCs w:val="20"/>
              </w:rPr>
              <w:t>Climatic Variables (</w:t>
            </w:r>
            <w:proofErr w:type="spellStart"/>
            <w:r>
              <w:rPr>
                <w:b/>
                <w:bCs/>
                <w:sz w:val="20"/>
                <w:szCs w:val="20"/>
              </w:rPr>
              <w:t>AdaptWest</w:t>
            </w:r>
            <w:proofErr w:type="spellEnd"/>
            <w:r>
              <w:rPr>
                <w:b/>
                <w:bCs/>
                <w:sz w:val="20"/>
                <w:szCs w:val="20"/>
              </w:rPr>
              <w:t xml:space="preserve"> Project)</w:t>
            </w:r>
          </w:p>
        </w:tc>
        <w:tc>
          <w:tcPr>
            <w:tcW w:w="2700" w:type="dxa"/>
            <w:gridSpan w:val="4"/>
            <w:tcBorders>
              <w:left w:val="single" w:sz="4" w:space="0" w:color="000000" w:themeColor="text1"/>
              <w:right w:val="single" w:sz="4" w:space="0" w:color="FFFFFF" w:themeColor="background1"/>
            </w:tcBorders>
            <w:vAlign w:val="center"/>
          </w:tcPr>
          <w:p w14:paraId="7C88BA4D" w14:textId="77777777" w:rsidR="004815FD" w:rsidRPr="00B42808" w:rsidRDefault="004815FD" w:rsidP="00477B20">
            <w:pPr>
              <w:pStyle w:val="NormalWeb"/>
              <w:jc w:val="center"/>
              <w:rPr>
                <w:b/>
                <w:bCs/>
                <w:sz w:val="20"/>
                <w:szCs w:val="20"/>
              </w:rPr>
            </w:pPr>
            <w:r>
              <w:rPr>
                <w:b/>
                <w:bCs/>
                <w:sz w:val="20"/>
                <w:szCs w:val="20"/>
              </w:rPr>
              <w:t>Hydrologic Variables (NHDPlusV2)</w:t>
            </w:r>
          </w:p>
        </w:tc>
      </w:tr>
      <w:tr w:rsidR="004815FD" w14:paraId="032E3B31" w14:textId="77777777" w:rsidTr="00477B20">
        <w:tc>
          <w:tcPr>
            <w:tcW w:w="810" w:type="dxa"/>
            <w:vMerge/>
            <w:tcBorders>
              <w:left w:val="single" w:sz="4" w:space="0" w:color="FFFFFF" w:themeColor="background1"/>
              <w:right w:val="single" w:sz="4" w:space="0" w:color="F2F2F2" w:themeColor="background1" w:themeShade="F2"/>
            </w:tcBorders>
            <w:vAlign w:val="center"/>
          </w:tcPr>
          <w:p w14:paraId="15B88103" w14:textId="77777777" w:rsidR="004815FD" w:rsidRPr="00B42808" w:rsidRDefault="004815FD" w:rsidP="00477B20">
            <w:pPr>
              <w:pStyle w:val="NormalWeb"/>
              <w:jc w:val="center"/>
              <w:rPr>
                <w:b/>
                <w:bCs/>
                <w:sz w:val="20"/>
                <w:szCs w:val="20"/>
              </w:rPr>
            </w:pPr>
          </w:p>
        </w:tc>
        <w:tc>
          <w:tcPr>
            <w:tcW w:w="540" w:type="dxa"/>
            <w:tcBorders>
              <w:left w:val="single" w:sz="4" w:space="0" w:color="F2F2F2" w:themeColor="background1" w:themeShade="F2"/>
              <w:right w:val="single" w:sz="4" w:space="0" w:color="F2F2F2" w:themeColor="background1" w:themeShade="F2"/>
            </w:tcBorders>
            <w:vAlign w:val="center"/>
          </w:tcPr>
          <w:p w14:paraId="623A0D3B" w14:textId="77777777" w:rsidR="004815FD" w:rsidRPr="00B42808" w:rsidRDefault="004815FD" w:rsidP="00477B20">
            <w:pPr>
              <w:pStyle w:val="NormalWeb"/>
              <w:jc w:val="center"/>
              <w:rPr>
                <w:b/>
                <w:bCs/>
                <w:sz w:val="20"/>
                <w:szCs w:val="20"/>
              </w:rPr>
            </w:pPr>
            <w:proofErr w:type="spellStart"/>
            <w:r>
              <w:rPr>
                <w:b/>
                <w:bCs/>
                <w:sz w:val="20"/>
                <w:szCs w:val="20"/>
              </w:rPr>
              <w:t>ahm</w:t>
            </w:r>
            <w:proofErr w:type="spellEnd"/>
          </w:p>
        </w:tc>
        <w:tc>
          <w:tcPr>
            <w:tcW w:w="540" w:type="dxa"/>
            <w:tcBorders>
              <w:left w:val="single" w:sz="4" w:space="0" w:color="F2F2F2" w:themeColor="background1" w:themeShade="F2"/>
              <w:right w:val="single" w:sz="4" w:space="0" w:color="F2F2F2" w:themeColor="background1" w:themeShade="F2"/>
            </w:tcBorders>
            <w:vAlign w:val="center"/>
          </w:tcPr>
          <w:p w14:paraId="681A72AA" w14:textId="77777777" w:rsidR="004815FD" w:rsidRPr="00B42808" w:rsidRDefault="004815FD" w:rsidP="00477B20">
            <w:pPr>
              <w:pStyle w:val="NormalWeb"/>
              <w:jc w:val="center"/>
              <w:rPr>
                <w:b/>
                <w:bCs/>
                <w:sz w:val="20"/>
                <w:szCs w:val="20"/>
              </w:rPr>
            </w:pPr>
            <w:proofErr w:type="spellStart"/>
            <w:r>
              <w:rPr>
                <w:b/>
                <w:bCs/>
                <w:sz w:val="20"/>
                <w:szCs w:val="20"/>
              </w:rPr>
              <w:t>cmd</w:t>
            </w:r>
            <w:proofErr w:type="spellEnd"/>
          </w:p>
        </w:tc>
        <w:tc>
          <w:tcPr>
            <w:tcW w:w="630" w:type="dxa"/>
            <w:tcBorders>
              <w:left w:val="single" w:sz="4" w:space="0" w:color="F2F2F2" w:themeColor="background1" w:themeShade="F2"/>
              <w:right w:val="single" w:sz="4" w:space="0" w:color="F2F2F2" w:themeColor="background1" w:themeShade="F2"/>
            </w:tcBorders>
            <w:vAlign w:val="center"/>
          </w:tcPr>
          <w:p w14:paraId="59ADC29E" w14:textId="77777777" w:rsidR="004815FD" w:rsidRPr="00B42808" w:rsidRDefault="004815FD" w:rsidP="00477B20">
            <w:pPr>
              <w:pStyle w:val="NormalWeb"/>
              <w:jc w:val="center"/>
              <w:rPr>
                <w:b/>
                <w:bCs/>
                <w:sz w:val="20"/>
                <w:szCs w:val="20"/>
              </w:rPr>
            </w:pPr>
            <w:r>
              <w:rPr>
                <w:b/>
                <w:bCs/>
                <w:sz w:val="20"/>
                <w:szCs w:val="20"/>
              </w:rPr>
              <w:t>dd_0</w:t>
            </w:r>
          </w:p>
        </w:tc>
        <w:tc>
          <w:tcPr>
            <w:tcW w:w="540" w:type="dxa"/>
            <w:tcBorders>
              <w:left w:val="single" w:sz="4" w:space="0" w:color="F2F2F2" w:themeColor="background1" w:themeShade="F2"/>
              <w:right w:val="single" w:sz="4" w:space="0" w:color="F2F2F2" w:themeColor="background1" w:themeShade="F2"/>
            </w:tcBorders>
            <w:vAlign w:val="center"/>
          </w:tcPr>
          <w:p w14:paraId="7A0FFF96" w14:textId="77777777" w:rsidR="004815FD" w:rsidRPr="00B42808" w:rsidRDefault="004815FD" w:rsidP="00477B20">
            <w:pPr>
              <w:pStyle w:val="NormalWeb"/>
              <w:jc w:val="center"/>
              <w:rPr>
                <w:b/>
                <w:bCs/>
                <w:sz w:val="20"/>
                <w:szCs w:val="20"/>
              </w:rPr>
            </w:pPr>
            <w:r>
              <w:rPr>
                <w:b/>
                <w:bCs/>
                <w:sz w:val="20"/>
                <w:szCs w:val="20"/>
              </w:rPr>
              <w:t>mar</w:t>
            </w:r>
          </w:p>
        </w:tc>
        <w:tc>
          <w:tcPr>
            <w:tcW w:w="630" w:type="dxa"/>
            <w:tcBorders>
              <w:left w:val="single" w:sz="4" w:space="0" w:color="F2F2F2" w:themeColor="background1" w:themeShade="F2"/>
              <w:right w:val="single" w:sz="4" w:space="0" w:color="F2F2F2" w:themeColor="background1" w:themeShade="F2"/>
            </w:tcBorders>
            <w:vAlign w:val="center"/>
          </w:tcPr>
          <w:p w14:paraId="52CD15AD" w14:textId="77777777" w:rsidR="004815FD" w:rsidRPr="00B42808" w:rsidRDefault="004815FD" w:rsidP="00477B20">
            <w:pPr>
              <w:pStyle w:val="NormalWeb"/>
              <w:jc w:val="center"/>
              <w:rPr>
                <w:b/>
                <w:bCs/>
                <w:sz w:val="20"/>
                <w:szCs w:val="20"/>
              </w:rPr>
            </w:pPr>
            <w:proofErr w:type="spellStart"/>
            <w:r>
              <w:rPr>
                <w:b/>
                <w:bCs/>
                <w:sz w:val="20"/>
                <w:szCs w:val="20"/>
              </w:rPr>
              <w:t>nnfd</w:t>
            </w:r>
            <w:proofErr w:type="spellEnd"/>
          </w:p>
        </w:tc>
        <w:tc>
          <w:tcPr>
            <w:tcW w:w="540" w:type="dxa"/>
            <w:tcBorders>
              <w:left w:val="single" w:sz="4" w:space="0" w:color="F2F2F2" w:themeColor="background1" w:themeShade="F2"/>
              <w:right w:val="single" w:sz="4" w:space="0" w:color="FFFFFF" w:themeColor="background1"/>
            </w:tcBorders>
            <w:vAlign w:val="center"/>
          </w:tcPr>
          <w:p w14:paraId="20C5752D" w14:textId="77777777" w:rsidR="004815FD" w:rsidRPr="00B42808" w:rsidRDefault="004815FD" w:rsidP="00477B20">
            <w:pPr>
              <w:pStyle w:val="NormalWeb"/>
              <w:jc w:val="center"/>
              <w:rPr>
                <w:b/>
                <w:bCs/>
                <w:sz w:val="20"/>
                <w:szCs w:val="20"/>
              </w:rPr>
            </w:pPr>
            <w:r>
              <w:rPr>
                <w:b/>
                <w:bCs/>
                <w:sz w:val="20"/>
                <w:szCs w:val="20"/>
              </w:rPr>
              <w:t>pas</w:t>
            </w:r>
          </w:p>
        </w:tc>
        <w:tc>
          <w:tcPr>
            <w:tcW w:w="540" w:type="dxa"/>
            <w:tcBorders>
              <w:left w:val="single" w:sz="4" w:space="0" w:color="F2F2F2" w:themeColor="background1" w:themeShade="F2"/>
              <w:right w:val="single" w:sz="4" w:space="0" w:color="F2F2F2" w:themeColor="background1" w:themeShade="F2"/>
            </w:tcBorders>
            <w:vAlign w:val="center"/>
          </w:tcPr>
          <w:p w14:paraId="522D0554" w14:textId="77777777" w:rsidR="004815FD" w:rsidRDefault="004815FD" w:rsidP="00477B20">
            <w:pPr>
              <w:pStyle w:val="NormalWeb"/>
              <w:jc w:val="center"/>
              <w:rPr>
                <w:b/>
                <w:bCs/>
                <w:sz w:val="20"/>
                <w:szCs w:val="20"/>
              </w:rPr>
            </w:pPr>
            <w:proofErr w:type="spellStart"/>
            <w:r>
              <w:rPr>
                <w:b/>
                <w:bCs/>
                <w:sz w:val="20"/>
                <w:szCs w:val="20"/>
              </w:rPr>
              <w:t>ppt_sm</w:t>
            </w:r>
            <w:proofErr w:type="spellEnd"/>
          </w:p>
        </w:tc>
        <w:tc>
          <w:tcPr>
            <w:tcW w:w="540" w:type="dxa"/>
            <w:tcBorders>
              <w:left w:val="single" w:sz="4" w:space="0" w:color="F2F2F2" w:themeColor="background1" w:themeShade="F2"/>
              <w:right w:val="single" w:sz="4" w:space="0" w:color="F2F2F2" w:themeColor="background1" w:themeShade="F2"/>
            </w:tcBorders>
            <w:vAlign w:val="center"/>
          </w:tcPr>
          <w:p w14:paraId="24325A62" w14:textId="77777777" w:rsidR="004815FD" w:rsidRDefault="004815FD" w:rsidP="00477B20">
            <w:pPr>
              <w:pStyle w:val="NormalWeb"/>
              <w:jc w:val="center"/>
              <w:rPr>
                <w:b/>
                <w:bCs/>
                <w:sz w:val="20"/>
                <w:szCs w:val="20"/>
              </w:rPr>
            </w:pPr>
            <w:proofErr w:type="spellStart"/>
            <w:r>
              <w:rPr>
                <w:b/>
                <w:bCs/>
                <w:sz w:val="20"/>
                <w:szCs w:val="20"/>
              </w:rPr>
              <w:t>ppt_wt</w:t>
            </w:r>
            <w:proofErr w:type="spellEnd"/>
          </w:p>
        </w:tc>
        <w:tc>
          <w:tcPr>
            <w:tcW w:w="540" w:type="dxa"/>
            <w:tcBorders>
              <w:left w:val="single" w:sz="4" w:space="0" w:color="F2F2F2" w:themeColor="background1" w:themeShade="F2"/>
              <w:right w:val="single" w:sz="4" w:space="0" w:color="FFFFFF" w:themeColor="background1"/>
            </w:tcBorders>
            <w:vAlign w:val="center"/>
          </w:tcPr>
          <w:p w14:paraId="3AC22689" w14:textId="77777777" w:rsidR="004815FD" w:rsidRDefault="004815FD" w:rsidP="00477B20">
            <w:pPr>
              <w:pStyle w:val="NormalWeb"/>
              <w:jc w:val="center"/>
              <w:rPr>
                <w:b/>
                <w:bCs/>
                <w:sz w:val="20"/>
                <w:szCs w:val="20"/>
              </w:rPr>
            </w:pPr>
            <w:r>
              <w:rPr>
                <w:b/>
                <w:bCs/>
                <w:sz w:val="20"/>
                <w:szCs w:val="20"/>
              </w:rPr>
              <w:t>rh</w:t>
            </w:r>
          </w:p>
        </w:tc>
        <w:tc>
          <w:tcPr>
            <w:tcW w:w="540" w:type="dxa"/>
            <w:tcBorders>
              <w:left w:val="single" w:sz="4" w:space="0" w:color="F2F2F2" w:themeColor="background1" w:themeShade="F2"/>
              <w:right w:val="single" w:sz="4" w:space="0" w:color="000000" w:themeColor="text1"/>
            </w:tcBorders>
            <w:vAlign w:val="center"/>
          </w:tcPr>
          <w:p w14:paraId="454D33CE" w14:textId="77777777" w:rsidR="004815FD" w:rsidRDefault="004815FD" w:rsidP="00477B20">
            <w:pPr>
              <w:pStyle w:val="NormalWeb"/>
              <w:jc w:val="center"/>
              <w:rPr>
                <w:b/>
                <w:bCs/>
                <w:sz w:val="20"/>
                <w:szCs w:val="20"/>
              </w:rPr>
            </w:pPr>
            <w:r>
              <w:rPr>
                <w:b/>
                <w:bCs/>
                <w:sz w:val="20"/>
                <w:szCs w:val="20"/>
              </w:rPr>
              <w:t>td</w:t>
            </w:r>
          </w:p>
        </w:tc>
        <w:tc>
          <w:tcPr>
            <w:tcW w:w="630" w:type="dxa"/>
            <w:tcBorders>
              <w:left w:val="single" w:sz="4" w:space="0" w:color="000000" w:themeColor="text1"/>
              <w:right w:val="single" w:sz="4" w:space="0" w:color="FFFFFF" w:themeColor="background1"/>
            </w:tcBorders>
            <w:vAlign w:val="center"/>
          </w:tcPr>
          <w:p w14:paraId="3DC93E1A" w14:textId="77777777" w:rsidR="004815FD" w:rsidRDefault="004815FD" w:rsidP="00477B20">
            <w:pPr>
              <w:pStyle w:val="NormalWeb"/>
              <w:jc w:val="center"/>
              <w:rPr>
                <w:b/>
                <w:bCs/>
                <w:sz w:val="20"/>
                <w:szCs w:val="20"/>
              </w:rPr>
            </w:pPr>
            <w:r>
              <w:rPr>
                <w:b/>
                <w:bCs/>
                <w:sz w:val="20"/>
                <w:szCs w:val="20"/>
              </w:rPr>
              <w:t>near</w:t>
            </w:r>
          </w:p>
        </w:tc>
        <w:tc>
          <w:tcPr>
            <w:tcW w:w="720" w:type="dxa"/>
            <w:tcBorders>
              <w:left w:val="single" w:sz="4" w:space="0" w:color="F2F2F2" w:themeColor="background1" w:themeShade="F2"/>
              <w:right w:val="single" w:sz="4" w:space="0" w:color="FFFFFF" w:themeColor="background1"/>
            </w:tcBorders>
            <w:vAlign w:val="center"/>
          </w:tcPr>
          <w:p w14:paraId="6C60443C" w14:textId="77777777" w:rsidR="004815FD" w:rsidRDefault="004815FD" w:rsidP="00477B20">
            <w:pPr>
              <w:pStyle w:val="NormalWeb"/>
              <w:jc w:val="center"/>
              <w:rPr>
                <w:b/>
                <w:bCs/>
                <w:sz w:val="20"/>
                <w:szCs w:val="20"/>
              </w:rPr>
            </w:pPr>
            <w:proofErr w:type="spellStart"/>
            <w:r>
              <w:rPr>
                <w:b/>
                <w:bCs/>
                <w:sz w:val="20"/>
                <w:szCs w:val="20"/>
              </w:rPr>
              <w:t>Q_ma</w:t>
            </w:r>
            <w:proofErr w:type="spellEnd"/>
          </w:p>
        </w:tc>
        <w:tc>
          <w:tcPr>
            <w:tcW w:w="720" w:type="dxa"/>
            <w:tcBorders>
              <w:left w:val="single" w:sz="4" w:space="0" w:color="F2F2F2" w:themeColor="background1" w:themeShade="F2"/>
              <w:right w:val="single" w:sz="4" w:space="0" w:color="FFFFFF" w:themeColor="background1"/>
            </w:tcBorders>
            <w:vAlign w:val="center"/>
          </w:tcPr>
          <w:p w14:paraId="44269501" w14:textId="77777777" w:rsidR="004815FD" w:rsidRDefault="004815FD" w:rsidP="00477B20">
            <w:pPr>
              <w:pStyle w:val="NormalWeb"/>
              <w:jc w:val="center"/>
              <w:rPr>
                <w:b/>
                <w:bCs/>
                <w:sz w:val="20"/>
                <w:szCs w:val="20"/>
              </w:rPr>
            </w:pPr>
            <w:proofErr w:type="spellStart"/>
            <w:r>
              <w:rPr>
                <w:b/>
                <w:bCs/>
                <w:sz w:val="20"/>
                <w:szCs w:val="20"/>
              </w:rPr>
              <w:t>strm_ord</w:t>
            </w:r>
            <w:proofErr w:type="spellEnd"/>
          </w:p>
        </w:tc>
        <w:tc>
          <w:tcPr>
            <w:tcW w:w="630" w:type="dxa"/>
            <w:tcBorders>
              <w:left w:val="single" w:sz="4" w:space="0" w:color="F2F2F2" w:themeColor="background1" w:themeShade="F2"/>
              <w:right w:val="single" w:sz="4" w:space="0" w:color="FFFFFF" w:themeColor="background1"/>
            </w:tcBorders>
            <w:vAlign w:val="center"/>
          </w:tcPr>
          <w:p w14:paraId="172F0DB9" w14:textId="77777777" w:rsidR="004815FD" w:rsidRDefault="004815FD" w:rsidP="00477B20">
            <w:pPr>
              <w:pStyle w:val="NormalWeb"/>
              <w:jc w:val="center"/>
              <w:rPr>
                <w:b/>
                <w:bCs/>
                <w:sz w:val="20"/>
                <w:szCs w:val="20"/>
              </w:rPr>
            </w:pPr>
            <w:proofErr w:type="spellStart"/>
            <w:r>
              <w:rPr>
                <w:b/>
                <w:bCs/>
                <w:sz w:val="20"/>
                <w:szCs w:val="20"/>
              </w:rPr>
              <w:t>v_ma</w:t>
            </w:r>
            <w:proofErr w:type="spellEnd"/>
          </w:p>
        </w:tc>
      </w:tr>
      <w:tr w:rsidR="004815FD" w14:paraId="41AC2C58" w14:textId="77777777" w:rsidTr="00477B20">
        <w:tc>
          <w:tcPr>
            <w:tcW w:w="810" w:type="dxa"/>
            <w:tcBorders>
              <w:left w:val="single" w:sz="4" w:space="0" w:color="FFFFFF" w:themeColor="background1"/>
              <w:bottom w:val="single" w:sz="4" w:space="0" w:color="F2F2F2" w:themeColor="background1" w:themeShade="F2"/>
              <w:right w:val="single" w:sz="4" w:space="0" w:color="F2F2F2" w:themeColor="background1" w:themeShade="F2"/>
            </w:tcBorders>
            <w:vAlign w:val="center"/>
          </w:tcPr>
          <w:p w14:paraId="1FA17722" w14:textId="77777777" w:rsidR="004815FD" w:rsidRPr="00B42808" w:rsidRDefault="004815FD" w:rsidP="00477B20">
            <w:pPr>
              <w:pStyle w:val="NormalWeb"/>
              <w:jc w:val="center"/>
              <w:rPr>
                <w:sz w:val="20"/>
                <w:szCs w:val="20"/>
              </w:rPr>
            </w:pPr>
            <w:r w:rsidRPr="00B42808">
              <w:rPr>
                <w:sz w:val="20"/>
                <w:szCs w:val="20"/>
              </w:rPr>
              <w:t>SR</w:t>
            </w:r>
          </w:p>
        </w:tc>
        <w:tc>
          <w:tcPr>
            <w:tcW w:w="54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0640CE7" w14:textId="77777777" w:rsidR="004815FD" w:rsidRPr="00B42808" w:rsidRDefault="004815FD" w:rsidP="00477B20">
            <w:pPr>
              <w:pStyle w:val="NormalWeb"/>
              <w:jc w:val="center"/>
              <w:rPr>
                <w:sz w:val="20"/>
                <w:szCs w:val="20"/>
              </w:rPr>
            </w:pPr>
            <w:r>
              <w:rPr>
                <w:sz w:val="20"/>
                <w:szCs w:val="20"/>
              </w:rPr>
              <w:t>1.9</w:t>
            </w:r>
          </w:p>
        </w:tc>
        <w:tc>
          <w:tcPr>
            <w:tcW w:w="54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94FB136" w14:textId="77777777" w:rsidR="004815FD" w:rsidRPr="00B42808" w:rsidRDefault="004815FD" w:rsidP="00477B20">
            <w:pPr>
              <w:pStyle w:val="NormalWeb"/>
              <w:jc w:val="center"/>
              <w:rPr>
                <w:sz w:val="20"/>
                <w:szCs w:val="20"/>
              </w:rPr>
            </w:pPr>
            <w:r>
              <w:rPr>
                <w:sz w:val="20"/>
                <w:szCs w:val="20"/>
              </w:rPr>
              <w:t>14.8</w:t>
            </w:r>
          </w:p>
        </w:tc>
        <w:tc>
          <w:tcPr>
            <w:tcW w:w="63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14E66C5" w14:textId="77777777" w:rsidR="004815FD" w:rsidRPr="00B42808" w:rsidRDefault="004815FD" w:rsidP="00477B20">
            <w:pPr>
              <w:pStyle w:val="NormalWeb"/>
              <w:jc w:val="center"/>
              <w:rPr>
                <w:sz w:val="20"/>
                <w:szCs w:val="20"/>
              </w:rPr>
            </w:pPr>
          </w:p>
        </w:tc>
        <w:tc>
          <w:tcPr>
            <w:tcW w:w="54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7C95A9A" w14:textId="77777777" w:rsidR="004815FD" w:rsidRPr="00B42808" w:rsidRDefault="004815FD" w:rsidP="00477B20">
            <w:pPr>
              <w:pStyle w:val="NormalWeb"/>
              <w:jc w:val="center"/>
              <w:rPr>
                <w:sz w:val="20"/>
                <w:szCs w:val="20"/>
              </w:rPr>
            </w:pPr>
          </w:p>
        </w:tc>
        <w:tc>
          <w:tcPr>
            <w:tcW w:w="63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2A580E9" w14:textId="77777777" w:rsidR="004815FD" w:rsidRPr="00B42808" w:rsidRDefault="004815FD" w:rsidP="00477B20">
            <w:pPr>
              <w:pStyle w:val="NormalWeb"/>
              <w:jc w:val="center"/>
              <w:rPr>
                <w:sz w:val="20"/>
                <w:szCs w:val="20"/>
              </w:rPr>
            </w:pPr>
          </w:p>
        </w:tc>
        <w:tc>
          <w:tcPr>
            <w:tcW w:w="540" w:type="dxa"/>
            <w:tcBorders>
              <w:left w:val="single" w:sz="4" w:space="0" w:color="F2F2F2" w:themeColor="background1" w:themeShade="F2"/>
              <w:bottom w:val="single" w:sz="4" w:space="0" w:color="F2F2F2" w:themeColor="background1" w:themeShade="F2"/>
              <w:right w:val="single" w:sz="4" w:space="0" w:color="FFFFFF" w:themeColor="background1"/>
            </w:tcBorders>
            <w:vAlign w:val="center"/>
          </w:tcPr>
          <w:p w14:paraId="524F68F9" w14:textId="77777777" w:rsidR="004815FD" w:rsidRPr="00B42808" w:rsidRDefault="004815FD" w:rsidP="00477B20">
            <w:pPr>
              <w:pStyle w:val="NormalWeb"/>
              <w:jc w:val="center"/>
              <w:rPr>
                <w:sz w:val="20"/>
                <w:szCs w:val="20"/>
              </w:rPr>
            </w:pPr>
          </w:p>
        </w:tc>
        <w:tc>
          <w:tcPr>
            <w:tcW w:w="54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B7AFBE3" w14:textId="77777777" w:rsidR="004815FD" w:rsidRPr="00B42808" w:rsidRDefault="004815FD" w:rsidP="00477B20">
            <w:pPr>
              <w:pStyle w:val="NormalWeb"/>
              <w:jc w:val="center"/>
              <w:rPr>
                <w:sz w:val="20"/>
                <w:szCs w:val="20"/>
              </w:rPr>
            </w:pPr>
          </w:p>
        </w:tc>
        <w:tc>
          <w:tcPr>
            <w:tcW w:w="54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81E0EBA" w14:textId="77777777" w:rsidR="004815FD" w:rsidRPr="00B42808" w:rsidRDefault="004815FD" w:rsidP="00477B20">
            <w:pPr>
              <w:pStyle w:val="NormalWeb"/>
              <w:jc w:val="center"/>
              <w:rPr>
                <w:sz w:val="20"/>
                <w:szCs w:val="20"/>
              </w:rPr>
            </w:pPr>
          </w:p>
        </w:tc>
        <w:tc>
          <w:tcPr>
            <w:tcW w:w="540" w:type="dxa"/>
            <w:tcBorders>
              <w:left w:val="single" w:sz="4" w:space="0" w:color="F2F2F2" w:themeColor="background1" w:themeShade="F2"/>
              <w:bottom w:val="single" w:sz="4" w:space="0" w:color="F2F2F2" w:themeColor="background1" w:themeShade="F2"/>
              <w:right w:val="single" w:sz="4" w:space="0" w:color="FFFFFF" w:themeColor="background1"/>
            </w:tcBorders>
            <w:vAlign w:val="center"/>
          </w:tcPr>
          <w:p w14:paraId="4427D88D" w14:textId="77777777" w:rsidR="004815FD" w:rsidRPr="00B42808" w:rsidRDefault="004815FD" w:rsidP="00477B20">
            <w:pPr>
              <w:pStyle w:val="NormalWeb"/>
              <w:jc w:val="center"/>
              <w:rPr>
                <w:sz w:val="20"/>
                <w:szCs w:val="20"/>
              </w:rPr>
            </w:pPr>
          </w:p>
        </w:tc>
        <w:tc>
          <w:tcPr>
            <w:tcW w:w="540" w:type="dxa"/>
            <w:tcBorders>
              <w:left w:val="single" w:sz="4" w:space="0" w:color="F2F2F2" w:themeColor="background1" w:themeShade="F2"/>
              <w:bottom w:val="single" w:sz="4" w:space="0" w:color="F2F2F2" w:themeColor="background1" w:themeShade="F2"/>
              <w:right w:val="single" w:sz="4" w:space="0" w:color="000000" w:themeColor="text1"/>
            </w:tcBorders>
            <w:vAlign w:val="center"/>
          </w:tcPr>
          <w:p w14:paraId="47AB710A" w14:textId="77777777" w:rsidR="004815FD" w:rsidRPr="00B42808" w:rsidRDefault="004815FD" w:rsidP="00477B20">
            <w:pPr>
              <w:pStyle w:val="NormalWeb"/>
              <w:jc w:val="center"/>
              <w:rPr>
                <w:sz w:val="20"/>
                <w:szCs w:val="20"/>
              </w:rPr>
            </w:pPr>
            <w:r>
              <w:rPr>
                <w:sz w:val="20"/>
                <w:szCs w:val="20"/>
              </w:rPr>
              <w:t>12.4</w:t>
            </w:r>
          </w:p>
        </w:tc>
        <w:tc>
          <w:tcPr>
            <w:tcW w:w="630" w:type="dxa"/>
            <w:tcBorders>
              <w:left w:val="single" w:sz="4" w:space="0" w:color="000000" w:themeColor="text1"/>
              <w:bottom w:val="single" w:sz="4" w:space="0" w:color="F2F2F2" w:themeColor="background1" w:themeShade="F2"/>
              <w:right w:val="single" w:sz="4" w:space="0" w:color="FFFFFF" w:themeColor="background1"/>
            </w:tcBorders>
            <w:vAlign w:val="center"/>
          </w:tcPr>
          <w:p w14:paraId="171C61FB" w14:textId="77777777" w:rsidR="004815FD" w:rsidRDefault="004815FD" w:rsidP="00477B20">
            <w:pPr>
              <w:pStyle w:val="NormalWeb"/>
              <w:jc w:val="center"/>
              <w:rPr>
                <w:sz w:val="20"/>
                <w:szCs w:val="20"/>
              </w:rPr>
            </w:pPr>
            <w:r>
              <w:rPr>
                <w:sz w:val="20"/>
                <w:szCs w:val="20"/>
              </w:rPr>
              <w:t>14.1</w:t>
            </w:r>
          </w:p>
        </w:tc>
        <w:tc>
          <w:tcPr>
            <w:tcW w:w="720" w:type="dxa"/>
            <w:tcBorders>
              <w:left w:val="single" w:sz="4" w:space="0" w:color="F2F2F2" w:themeColor="background1" w:themeShade="F2"/>
              <w:bottom w:val="single" w:sz="4" w:space="0" w:color="F2F2F2" w:themeColor="background1" w:themeShade="F2"/>
              <w:right w:val="single" w:sz="4" w:space="0" w:color="FFFFFF" w:themeColor="background1"/>
            </w:tcBorders>
            <w:vAlign w:val="center"/>
          </w:tcPr>
          <w:p w14:paraId="36E78964" w14:textId="77777777" w:rsidR="004815FD" w:rsidRDefault="004815FD" w:rsidP="00477B20">
            <w:pPr>
              <w:pStyle w:val="NormalWeb"/>
              <w:jc w:val="center"/>
              <w:rPr>
                <w:sz w:val="20"/>
                <w:szCs w:val="20"/>
              </w:rPr>
            </w:pPr>
            <w:r>
              <w:rPr>
                <w:sz w:val="20"/>
                <w:szCs w:val="20"/>
              </w:rPr>
              <w:t>35.7</w:t>
            </w:r>
          </w:p>
        </w:tc>
        <w:tc>
          <w:tcPr>
            <w:tcW w:w="720" w:type="dxa"/>
            <w:tcBorders>
              <w:left w:val="single" w:sz="4" w:space="0" w:color="F2F2F2" w:themeColor="background1" w:themeShade="F2"/>
              <w:bottom w:val="single" w:sz="4" w:space="0" w:color="F2F2F2" w:themeColor="background1" w:themeShade="F2"/>
              <w:right w:val="single" w:sz="4" w:space="0" w:color="FFFFFF" w:themeColor="background1"/>
            </w:tcBorders>
            <w:vAlign w:val="center"/>
          </w:tcPr>
          <w:p w14:paraId="6B8E8570" w14:textId="77777777" w:rsidR="004815FD" w:rsidRDefault="004815FD" w:rsidP="00477B20">
            <w:pPr>
              <w:pStyle w:val="NormalWeb"/>
              <w:jc w:val="center"/>
              <w:rPr>
                <w:sz w:val="20"/>
                <w:szCs w:val="20"/>
              </w:rPr>
            </w:pPr>
            <w:r>
              <w:rPr>
                <w:sz w:val="20"/>
                <w:szCs w:val="20"/>
              </w:rPr>
              <w:t>19.6</w:t>
            </w:r>
          </w:p>
        </w:tc>
        <w:tc>
          <w:tcPr>
            <w:tcW w:w="630" w:type="dxa"/>
            <w:tcBorders>
              <w:left w:val="single" w:sz="4" w:space="0" w:color="F2F2F2" w:themeColor="background1" w:themeShade="F2"/>
              <w:bottom w:val="single" w:sz="4" w:space="0" w:color="F2F2F2" w:themeColor="background1" w:themeShade="F2"/>
              <w:right w:val="single" w:sz="4" w:space="0" w:color="FFFFFF" w:themeColor="background1"/>
            </w:tcBorders>
            <w:vAlign w:val="center"/>
          </w:tcPr>
          <w:p w14:paraId="55A1F7CC" w14:textId="77777777" w:rsidR="004815FD" w:rsidRDefault="004815FD" w:rsidP="00477B20">
            <w:pPr>
              <w:pStyle w:val="NormalWeb"/>
              <w:jc w:val="center"/>
              <w:rPr>
                <w:sz w:val="20"/>
                <w:szCs w:val="20"/>
              </w:rPr>
            </w:pPr>
            <w:r>
              <w:rPr>
                <w:sz w:val="20"/>
                <w:szCs w:val="20"/>
              </w:rPr>
              <w:t>1.6</w:t>
            </w:r>
          </w:p>
        </w:tc>
      </w:tr>
      <w:tr w:rsidR="004815FD" w14:paraId="3CE1F55B" w14:textId="77777777" w:rsidTr="00477B20">
        <w:tc>
          <w:tcPr>
            <w:tcW w:w="810"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052E00A4" w14:textId="77777777" w:rsidR="004815FD" w:rsidRPr="00B42808" w:rsidRDefault="004815FD" w:rsidP="00477B20">
            <w:pPr>
              <w:pStyle w:val="NormalWeb"/>
              <w:jc w:val="center"/>
              <w:rPr>
                <w:sz w:val="20"/>
                <w:szCs w:val="20"/>
              </w:rPr>
            </w:pPr>
            <w:r w:rsidRPr="00B42808">
              <w:rPr>
                <w:sz w:val="20"/>
                <w:szCs w:val="20"/>
              </w:rPr>
              <w:t>P1-RW</w:t>
            </w: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50DB50CB" w14:textId="77777777" w:rsidR="004815FD" w:rsidRPr="00B42808" w:rsidRDefault="004815FD" w:rsidP="00477B20">
            <w:pPr>
              <w:pStyle w:val="NormalWeb"/>
              <w:jc w:val="center"/>
              <w:rPr>
                <w:sz w:val="20"/>
                <w:szCs w:val="20"/>
              </w:rPr>
            </w:pPr>
            <w:r>
              <w:rPr>
                <w:sz w:val="20"/>
                <w:szCs w:val="20"/>
              </w:rPr>
              <w:t>41.6</w:t>
            </w: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8B764F3" w14:textId="77777777" w:rsidR="004815FD" w:rsidRPr="00B42808" w:rsidRDefault="004815FD" w:rsidP="00477B20">
            <w:pPr>
              <w:pStyle w:val="NormalWeb"/>
              <w:jc w:val="center"/>
              <w:rPr>
                <w:sz w:val="20"/>
                <w:szCs w:val="20"/>
              </w:rPr>
            </w:pPr>
            <w:r>
              <w:rPr>
                <w:sz w:val="20"/>
                <w:szCs w:val="20"/>
              </w:rPr>
              <w:t>1.4</w:t>
            </w: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EA872A6"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F43493C" w14:textId="77777777" w:rsidR="004815FD" w:rsidRPr="00B42808" w:rsidRDefault="004815FD" w:rsidP="00477B20">
            <w:pPr>
              <w:pStyle w:val="NormalWeb"/>
              <w:jc w:val="center"/>
              <w:rPr>
                <w:sz w:val="20"/>
                <w:szCs w:val="20"/>
              </w:rPr>
            </w:pP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35D513E"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5E02BE8B"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A54C0A0"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06E83B5"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7ABF7876"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000000" w:themeColor="text1"/>
            </w:tcBorders>
            <w:vAlign w:val="center"/>
          </w:tcPr>
          <w:p w14:paraId="1E7D5289" w14:textId="77777777" w:rsidR="004815FD" w:rsidRPr="00B42808" w:rsidRDefault="004815FD" w:rsidP="00477B20">
            <w:pPr>
              <w:pStyle w:val="NormalWeb"/>
              <w:jc w:val="center"/>
              <w:rPr>
                <w:sz w:val="20"/>
                <w:szCs w:val="20"/>
              </w:rPr>
            </w:pPr>
            <w:r>
              <w:rPr>
                <w:sz w:val="20"/>
                <w:szCs w:val="20"/>
              </w:rPr>
              <w:t>0.8</w:t>
            </w:r>
          </w:p>
        </w:tc>
        <w:tc>
          <w:tcPr>
            <w:tcW w:w="630" w:type="dxa"/>
            <w:tcBorders>
              <w:top w:val="single" w:sz="4" w:space="0" w:color="F2F2F2" w:themeColor="background1" w:themeShade="F2"/>
              <w:left w:val="single" w:sz="4" w:space="0" w:color="000000" w:themeColor="text1"/>
              <w:bottom w:val="single" w:sz="4" w:space="0" w:color="F2F2F2" w:themeColor="background1" w:themeShade="F2"/>
              <w:right w:val="single" w:sz="4" w:space="0" w:color="FFFFFF" w:themeColor="background1"/>
            </w:tcBorders>
            <w:vAlign w:val="center"/>
          </w:tcPr>
          <w:p w14:paraId="48D41B6D" w14:textId="77777777" w:rsidR="004815FD" w:rsidRDefault="004815FD" w:rsidP="00477B20">
            <w:pPr>
              <w:pStyle w:val="NormalWeb"/>
              <w:jc w:val="center"/>
              <w:rPr>
                <w:sz w:val="20"/>
                <w:szCs w:val="20"/>
              </w:rPr>
            </w:pPr>
            <w:r>
              <w:rPr>
                <w:sz w:val="20"/>
                <w:szCs w:val="20"/>
              </w:rPr>
              <w:t>4.2</w:t>
            </w:r>
          </w:p>
        </w:tc>
        <w:tc>
          <w:tcPr>
            <w:tcW w:w="72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0C2CED48" w14:textId="77777777" w:rsidR="004815FD" w:rsidRDefault="004815FD" w:rsidP="00477B20">
            <w:pPr>
              <w:pStyle w:val="NormalWeb"/>
              <w:jc w:val="center"/>
              <w:rPr>
                <w:sz w:val="20"/>
                <w:szCs w:val="20"/>
              </w:rPr>
            </w:pPr>
            <w:r>
              <w:rPr>
                <w:sz w:val="20"/>
                <w:szCs w:val="20"/>
              </w:rPr>
              <w:t>0</w:t>
            </w:r>
          </w:p>
        </w:tc>
        <w:tc>
          <w:tcPr>
            <w:tcW w:w="72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32979DFA" w14:textId="77777777" w:rsidR="004815FD" w:rsidRDefault="004815FD" w:rsidP="00477B20">
            <w:pPr>
              <w:pStyle w:val="NormalWeb"/>
              <w:jc w:val="center"/>
              <w:rPr>
                <w:sz w:val="20"/>
                <w:szCs w:val="20"/>
              </w:rPr>
            </w:pPr>
            <w:r>
              <w:rPr>
                <w:sz w:val="20"/>
                <w:szCs w:val="20"/>
              </w:rPr>
              <w:t>52</w:t>
            </w: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7D9449D9" w14:textId="77777777" w:rsidR="004815FD" w:rsidRDefault="004815FD" w:rsidP="00477B20">
            <w:pPr>
              <w:pStyle w:val="NormalWeb"/>
              <w:jc w:val="center"/>
              <w:rPr>
                <w:sz w:val="20"/>
                <w:szCs w:val="20"/>
              </w:rPr>
            </w:pPr>
            <w:r>
              <w:rPr>
                <w:sz w:val="20"/>
                <w:szCs w:val="20"/>
              </w:rPr>
              <w:t>0</w:t>
            </w:r>
          </w:p>
        </w:tc>
      </w:tr>
      <w:tr w:rsidR="004815FD" w14:paraId="735B7110" w14:textId="77777777" w:rsidTr="00477B20">
        <w:tc>
          <w:tcPr>
            <w:tcW w:w="810"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438E70B6" w14:textId="77777777" w:rsidR="004815FD" w:rsidRPr="00B42808" w:rsidRDefault="004815FD" w:rsidP="00477B20">
            <w:pPr>
              <w:pStyle w:val="NormalWeb"/>
              <w:jc w:val="center"/>
              <w:rPr>
                <w:sz w:val="20"/>
                <w:szCs w:val="20"/>
              </w:rPr>
            </w:pPr>
            <w:r w:rsidRPr="00B42808">
              <w:rPr>
                <w:sz w:val="20"/>
                <w:szCs w:val="20"/>
              </w:rPr>
              <w:t>P1-P1</w:t>
            </w: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A86C8FD" w14:textId="77777777" w:rsidR="004815FD" w:rsidRPr="00B42808" w:rsidRDefault="004815FD" w:rsidP="00477B20">
            <w:pPr>
              <w:pStyle w:val="NormalWeb"/>
              <w:jc w:val="center"/>
              <w:rPr>
                <w:sz w:val="20"/>
                <w:szCs w:val="20"/>
              </w:rPr>
            </w:pPr>
            <w:r>
              <w:rPr>
                <w:sz w:val="20"/>
                <w:szCs w:val="20"/>
              </w:rPr>
              <w:t>19.8</w:t>
            </w: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FD967B4" w14:textId="77777777" w:rsidR="004815FD" w:rsidRPr="00B42808" w:rsidRDefault="004815FD" w:rsidP="00477B20">
            <w:pPr>
              <w:pStyle w:val="NormalWeb"/>
              <w:jc w:val="center"/>
              <w:rPr>
                <w:sz w:val="20"/>
                <w:szCs w:val="20"/>
              </w:rPr>
            </w:pP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26C3D68"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D7C9087" w14:textId="77777777" w:rsidR="004815FD" w:rsidRPr="00B42808" w:rsidRDefault="004815FD" w:rsidP="00477B20">
            <w:pPr>
              <w:pStyle w:val="NormalWeb"/>
              <w:jc w:val="center"/>
              <w:rPr>
                <w:sz w:val="20"/>
                <w:szCs w:val="20"/>
              </w:rPr>
            </w:pP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EC16B67" w14:textId="77777777" w:rsidR="004815FD" w:rsidRPr="00B42808" w:rsidRDefault="004815FD" w:rsidP="00477B20">
            <w:pPr>
              <w:pStyle w:val="NormalWeb"/>
              <w:jc w:val="center"/>
              <w:rPr>
                <w:sz w:val="20"/>
                <w:szCs w:val="20"/>
              </w:rPr>
            </w:pPr>
            <w:r>
              <w:rPr>
                <w:sz w:val="20"/>
                <w:szCs w:val="20"/>
              </w:rPr>
              <w:t>26.5</w:t>
            </w: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1D421886"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BB398CF"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3FA05A9"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29B7CA4F" w14:textId="77777777" w:rsidR="004815FD" w:rsidRPr="00B42808" w:rsidRDefault="004815FD" w:rsidP="00477B20">
            <w:pPr>
              <w:pStyle w:val="NormalWeb"/>
              <w:jc w:val="center"/>
              <w:rPr>
                <w:sz w:val="20"/>
                <w:szCs w:val="20"/>
              </w:rPr>
            </w:pPr>
            <w:r>
              <w:rPr>
                <w:sz w:val="20"/>
                <w:szCs w:val="20"/>
              </w:rPr>
              <w:t>20.9</w:t>
            </w: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000000" w:themeColor="text1"/>
            </w:tcBorders>
            <w:vAlign w:val="center"/>
          </w:tcPr>
          <w:p w14:paraId="0AD90F18" w14:textId="77777777" w:rsidR="004815FD" w:rsidRPr="00B42808" w:rsidRDefault="004815FD" w:rsidP="00477B20">
            <w:pPr>
              <w:pStyle w:val="NormalWeb"/>
              <w:jc w:val="center"/>
              <w:rPr>
                <w:sz w:val="20"/>
                <w:szCs w:val="20"/>
              </w:rPr>
            </w:pPr>
          </w:p>
        </w:tc>
        <w:tc>
          <w:tcPr>
            <w:tcW w:w="630" w:type="dxa"/>
            <w:tcBorders>
              <w:top w:val="single" w:sz="4" w:space="0" w:color="F2F2F2" w:themeColor="background1" w:themeShade="F2"/>
              <w:left w:val="single" w:sz="4" w:space="0" w:color="000000" w:themeColor="text1"/>
              <w:bottom w:val="single" w:sz="4" w:space="0" w:color="F2F2F2" w:themeColor="background1" w:themeShade="F2"/>
              <w:right w:val="single" w:sz="4" w:space="0" w:color="FFFFFF" w:themeColor="background1"/>
            </w:tcBorders>
            <w:vAlign w:val="center"/>
          </w:tcPr>
          <w:p w14:paraId="4424CFC1" w14:textId="77777777" w:rsidR="004815FD" w:rsidRPr="00B42808" w:rsidRDefault="004815FD" w:rsidP="00477B20">
            <w:pPr>
              <w:pStyle w:val="NormalWeb"/>
              <w:jc w:val="center"/>
              <w:rPr>
                <w:sz w:val="20"/>
                <w:szCs w:val="20"/>
              </w:rPr>
            </w:pPr>
          </w:p>
        </w:tc>
        <w:tc>
          <w:tcPr>
            <w:tcW w:w="72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5342F641" w14:textId="77777777" w:rsidR="004815FD" w:rsidRPr="00B42808" w:rsidRDefault="004815FD" w:rsidP="00477B20">
            <w:pPr>
              <w:pStyle w:val="NormalWeb"/>
              <w:jc w:val="center"/>
              <w:rPr>
                <w:sz w:val="20"/>
                <w:szCs w:val="20"/>
              </w:rPr>
            </w:pPr>
          </w:p>
        </w:tc>
        <w:tc>
          <w:tcPr>
            <w:tcW w:w="72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4AEDFEF8" w14:textId="77777777" w:rsidR="004815FD" w:rsidRPr="00B42808" w:rsidRDefault="004815FD" w:rsidP="00477B20">
            <w:pPr>
              <w:pStyle w:val="NormalWeb"/>
              <w:jc w:val="center"/>
              <w:rPr>
                <w:sz w:val="20"/>
                <w:szCs w:val="20"/>
              </w:rPr>
            </w:pPr>
            <w:r>
              <w:rPr>
                <w:sz w:val="20"/>
                <w:szCs w:val="20"/>
              </w:rPr>
              <w:t>42.8</w:t>
            </w: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275B4464" w14:textId="77777777" w:rsidR="004815FD" w:rsidRPr="00B42808" w:rsidRDefault="004815FD" w:rsidP="00477B20">
            <w:pPr>
              <w:pStyle w:val="NormalWeb"/>
              <w:jc w:val="center"/>
              <w:rPr>
                <w:sz w:val="20"/>
                <w:szCs w:val="20"/>
              </w:rPr>
            </w:pPr>
          </w:p>
        </w:tc>
      </w:tr>
      <w:tr w:rsidR="004815FD" w14:paraId="0ECF06F6" w14:textId="77777777" w:rsidTr="00477B20">
        <w:tc>
          <w:tcPr>
            <w:tcW w:w="810"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160D709F" w14:textId="77777777" w:rsidR="004815FD" w:rsidRPr="00B42808" w:rsidRDefault="004815FD" w:rsidP="00477B20">
            <w:pPr>
              <w:pStyle w:val="NormalWeb"/>
              <w:jc w:val="center"/>
              <w:rPr>
                <w:sz w:val="20"/>
                <w:szCs w:val="20"/>
              </w:rPr>
            </w:pPr>
            <w:r w:rsidRPr="00B42808">
              <w:rPr>
                <w:sz w:val="20"/>
                <w:szCs w:val="20"/>
              </w:rPr>
              <w:t>P2-RW</w:t>
            </w: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CA63657" w14:textId="77777777" w:rsidR="004815FD" w:rsidRPr="00B42808" w:rsidRDefault="004815FD" w:rsidP="00477B20">
            <w:pPr>
              <w:pStyle w:val="NormalWeb"/>
              <w:jc w:val="center"/>
              <w:rPr>
                <w:sz w:val="20"/>
                <w:szCs w:val="20"/>
              </w:rPr>
            </w:pPr>
            <w:r>
              <w:rPr>
                <w:sz w:val="20"/>
                <w:szCs w:val="20"/>
              </w:rPr>
              <w:t>0.9</w:t>
            </w: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F7F7263" w14:textId="77777777" w:rsidR="004815FD" w:rsidRPr="00B42808" w:rsidRDefault="004815FD" w:rsidP="00477B20">
            <w:pPr>
              <w:pStyle w:val="NormalWeb"/>
              <w:jc w:val="center"/>
              <w:rPr>
                <w:sz w:val="20"/>
                <w:szCs w:val="20"/>
              </w:rPr>
            </w:pPr>
            <w:r>
              <w:rPr>
                <w:sz w:val="20"/>
                <w:szCs w:val="20"/>
              </w:rPr>
              <w:t>22.4</w:t>
            </w: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753FE15"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C47355B" w14:textId="77777777" w:rsidR="004815FD" w:rsidRPr="00B42808" w:rsidRDefault="004815FD" w:rsidP="00477B20">
            <w:pPr>
              <w:pStyle w:val="NormalWeb"/>
              <w:jc w:val="center"/>
              <w:rPr>
                <w:sz w:val="20"/>
                <w:szCs w:val="20"/>
              </w:rPr>
            </w:pP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52D6DA12"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1778C1AD"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EAADB39"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BA8D739"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2755846B"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000000" w:themeColor="text1"/>
            </w:tcBorders>
            <w:vAlign w:val="center"/>
          </w:tcPr>
          <w:p w14:paraId="16C5C721" w14:textId="77777777" w:rsidR="004815FD" w:rsidRPr="00B42808" w:rsidRDefault="004815FD" w:rsidP="00477B20">
            <w:pPr>
              <w:pStyle w:val="NormalWeb"/>
              <w:jc w:val="center"/>
              <w:rPr>
                <w:sz w:val="20"/>
                <w:szCs w:val="20"/>
              </w:rPr>
            </w:pPr>
            <w:r>
              <w:rPr>
                <w:sz w:val="20"/>
                <w:szCs w:val="20"/>
              </w:rPr>
              <w:t>2.6</w:t>
            </w:r>
          </w:p>
        </w:tc>
        <w:tc>
          <w:tcPr>
            <w:tcW w:w="630" w:type="dxa"/>
            <w:tcBorders>
              <w:top w:val="single" w:sz="4" w:space="0" w:color="F2F2F2" w:themeColor="background1" w:themeShade="F2"/>
              <w:left w:val="single" w:sz="4" w:space="0" w:color="000000" w:themeColor="text1"/>
              <w:bottom w:val="single" w:sz="4" w:space="0" w:color="F2F2F2" w:themeColor="background1" w:themeShade="F2"/>
              <w:right w:val="single" w:sz="4" w:space="0" w:color="FFFFFF" w:themeColor="background1"/>
            </w:tcBorders>
            <w:vAlign w:val="center"/>
          </w:tcPr>
          <w:p w14:paraId="3C74F0B0" w14:textId="77777777" w:rsidR="004815FD" w:rsidRDefault="004815FD" w:rsidP="00477B20">
            <w:pPr>
              <w:pStyle w:val="NormalWeb"/>
              <w:jc w:val="center"/>
              <w:rPr>
                <w:sz w:val="20"/>
                <w:szCs w:val="20"/>
              </w:rPr>
            </w:pPr>
            <w:r>
              <w:rPr>
                <w:sz w:val="20"/>
                <w:szCs w:val="20"/>
              </w:rPr>
              <w:t>22.2</w:t>
            </w:r>
          </w:p>
        </w:tc>
        <w:tc>
          <w:tcPr>
            <w:tcW w:w="72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6D427683" w14:textId="77777777" w:rsidR="004815FD" w:rsidRDefault="004815FD" w:rsidP="00477B20">
            <w:pPr>
              <w:pStyle w:val="NormalWeb"/>
              <w:jc w:val="center"/>
              <w:rPr>
                <w:sz w:val="20"/>
                <w:szCs w:val="20"/>
              </w:rPr>
            </w:pPr>
            <w:r>
              <w:rPr>
                <w:sz w:val="20"/>
                <w:szCs w:val="20"/>
              </w:rPr>
              <w:t>47</w:t>
            </w:r>
          </w:p>
        </w:tc>
        <w:tc>
          <w:tcPr>
            <w:tcW w:w="72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29C972FB" w14:textId="77777777" w:rsidR="004815FD" w:rsidRDefault="004815FD" w:rsidP="00477B20">
            <w:pPr>
              <w:pStyle w:val="NormalWeb"/>
              <w:jc w:val="center"/>
              <w:rPr>
                <w:sz w:val="20"/>
                <w:szCs w:val="20"/>
              </w:rPr>
            </w:pPr>
            <w:r>
              <w:rPr>
                <w:sz w:val="20"/>
                <w:szCs w:val="20"/>
              </w:rPr>
              <w:t>4.9</w:t>
            </w: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304CD689" w14:textId="77777777" w:rsidR="004815FD" w:rsidRDefault="004815FD" w:rsidP="00477B20">
            <w:pPr>
              <w:pStyle w:val="NormalWeb"/>
              <w:jc w:val="center"/>
              <w:rPr>
                <w:sz w:val="20"/>
                <w:szCs w:val="20"/>
              </w:rPr>
            </w:pPr>
            <w:r>
              <w:rPr>
                <w:sz w:val="20"/>
                <w:szCs w:val="20"/>
              </w:rPr>
              <w:t>0</w:t>
            </w:r>
          </w:p>
        </w:tc>
      </w:tr>
      <w:tr w:rsidR="004815FD" w14:paraId="0BB2F6DB" w14:textId="77777777" w:rsidTr="00477B20">
        <w:tc>
          <w:tcPr>
            <w:tcW w:w="810"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374ABFE5" w14:textId="77777777" w:rsidR="004815FD" w:rsidRPr="00B42808" w:rsidRDefault="004815FD" w:rsidP="00477B20">
            <w:pPr>
              <w:pStyle w:val="NormalWeb"/>
              <w:jc w:val="center"/>
              <w:rPr>
                <w:sz w:val="20"/>
                <w:szCs w:val="20"/>
              </w:rPr>
            </w:pPr>
            <w:r w:rsidRPr="00B42808">
              <w:rPr>
                <w:sz w:val="20"/>
                <w:szCs w:val="20"/>
              </w:rPr>
              <w:t>P2-P2</w:t>
            </w: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9B07454"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16BA6F1" w14:textId="77777777" w:rsidR="004815FD" w:rsidRPr="00B42808" w:rsidRDefault="004815FD" w:rsidP="00477B20">
            <w:pPr>
              <w:pStyle w:val="NormalWeb"/>
              <w:jc w:val="center"/>
              <w:rPr>
                <w:sz w:val="20"/>
                <w:szCs w:val="20"/>
              </w:rPr>
            </w:pP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9F018A8" w14:textId="77777777" w:rsidR="004815FD" w:rsidRPr="00B42808" w:rsidRDefault="004815FD" w:rsidP="00477B20">
            <w:pPr>
              <w:pStyle w:val="NormalWeb"/>
              <w:jc w:val="center"/>
              <w:rPr>
                <w:sz w:val="20"/>
                <w:szCs w:val="20"/>
              </w:rPr>
            </w:pPr>
            <w:r>
              <w:rPr>
                <w:sz w:val="20"/>
                <w:szCs w:val="20"/>
              </w:rPr>
              <w:t>4.5</w:t>
            </w: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AEECC35" w14:textId="77777777" w:rsidR="004815FD" w:rsidRPr="00B42808" w:rsidRDefault="004815FD" w:rsidP="00477B20">
            <w:pPr>
              <w:pStyle w:val="NormalWeb"/>
              <w:jc w:val="center"/>
              <w:rPr>
                <w:sz w:val="20"/>
                <w:szCs w:val="20"/>
              </w:rPr>
            </w:pP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61CEBA9"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4E89AD80" w14:textId="77777777" w:rsidR="004815FD" w:rsidRPr="00B42808" w:rsidRDefault="004815FD" w:rsidP="00477B20">
            <w:pPr>
              <w:pStyle w:val="NormalWeb"/>
              <w:jc w:val="center"/>
              <w:rPr>
                <w:sz w:val="20"/>
                <w:szCs w:val="20"/>
              </w:rPr>
            </w:pPr>
            <w:r>
              <w:rPr>
                <w:sz w:val="20"/>
                <w:szCs w:val="20"/>
              </w:rPr>
              <w:t>18.5</w:t>
            </w: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2D1F220" w14:textId="77777777" w:rsidR="004815FD" w:rsidRPr="00B42808" w:rsidRDefault="004815FD" w:rsidP="00477B20">
            <w:pPr>
              <w:pStyle w:val="NormalWeb"/>
              <w:jc w:val="center"/>
              <w:rPr>
                <w:sz w:val="20"/>
                <w:szCs w:val="20"/>
              </w:rPr>
            </w:pPr>
            <w:r>
              <w:rPr>
                <w:sz w:val="20"/>
                <w:szCs w:val="20"/>
              </w:rPr>
              <w:t>2.6</w:t>
            </w: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B427B50"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60815CB0"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000000" w:themeColor="text1"/>
            </w:tcBorders>
            <w:vAlign w:val="center"/>
          </w:tcPr>
          <w:p w14:paraId="5DCDC7B8" w14:textId="77777777" w:rsidR="004815FD" w:rsidRPr="00B42808" w:rsidRDefault="004815FD" w:rsidP="00477B20">
            <w:pPr>
              <w:pStyle w:val="NormalWeb"/>
              <w:jc w:val="center"/>
              <w:rPr>
                <w:sz w:val="20"/>
                <w:szCs w:val="20"/>
              </w:rPr>
            </w:pPr>
          </w:p>
        </w:tc>
        <w:tc>
          <w:tcPr>
            <w:tcW w:w="630" w:type="dxa"/>
            <w:tcBorders>
              <w:top w:val="single" w:sz="4" w:space="0" w:color="F2F2F2" w:themeColor="background1" w:themeShade="F2"/>
              <w:left w:val="single" w:sz="4" w:space="0" w:color="000000" w:themeColor="text1"/>
              <w:bottom w:val="single" w:sz="4" w:space="0" w:color="F2F2F2" w:themeColor="background1" w:themeShade="F2"/>
              <w:right w:val="single" w:sz="4" w:space="0" w:color="FFFFFF" w:themeColor="background1"/>
            </w:tcBorders>
            <w:vAlign w:val="center"/>
          </w:tcPr>
          <w:p w14:paraId="3A73BA61" w14:textId="77777777" w:rsidR="004815FD" w:rsidRPr="00B42808" w:rsidRDefault="004815FD" w:rsidP="00477B20">
            <w:pPr>
              <w:pStyle w:val="NormalWeb"/>
              <w:jc w:val="center"/>
              <w:rPr>
                <w:sz w:val="20"/>
                <w:szCs w:val="20"/>
              </w:rPr>
            </w:pPr>
            <w:r>
              <w:rPr>
                <w:sz w:val="20"/>
                <w:szCs w:val="20"/>
              </w:rPr>
              <w:t>22.2</w:t>
            </w:r>
          </w:p>
        </w:tc>
        <w:tc>
          <w:tcPr>
            <w:tcW w:w="72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04C20198" w14:textId="77777777" w:rsidR="004815FD" w:rsidRPr="00B42808" w:rsidRDefault="004815FD" w:rsidP="00477B20">
            <w:pPr>
              <w:pStyle w:val="NormalWeb"/>
              <w:jc w:val="center"/>
              <w:rPr>
                <w:sz w:val="20"/>
                <w:szCs w:val="20"/>
              </w:rPr>
            </w:pPr>
            <w:r>
              <w:rPr>
                <w:sz w:val="20"/>
                <w:szCs w:val="20"/>
              </w:rPr>
              <w:t>47.3</w:t>
            </w:r>
          </w:p>
        </w:tc>
        <w:tc>
          <w:tcPr>
            <w:tcW w:w="72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21C3DC58" w14:textId="77777777" w:rsidR="004815FD" w:rsidRPr="00B42808" w:rsidRDefault="004815FD" w:rsidP="00477B20">
            <w:pPr>
              <w:pStyle w:val="NormalWeb"/>
              <w:jc w:val="center"/>
              <w:rPr>
                <w:sz w:val="20"/>
                <w:szCs w:val="20"/>
              </w:rPr>
            </w:pPr>
            <w:r>
              <w:rPr>
                <w:sz w:val="20"/>
                <w:szCs w:val="20"/>
              </w:rPr>
              <w:t>5</w:t>
            </w: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71E8D151" w14:textId="77777777" w:rsidR="004815FD" w:rsidRPr="00B42808" w:rsidRDefault="004815FD" w:rsidP="00477B20">
            <w:pPr>
              <w:pStyle w:val="NormalWeb"/>
              <w:jc w:val="center"/>
              <w:rPr>
                <w:sz w:val="20"/>
                <w:szCs w:val="20"/>
              </w:rPr>
            </w:pPr>
          </w:p>
        </w:tc>
      </w:tr>
      <w:tr w:rsidR="004815FD" w14:paraId="44A26C3B" w14:textId="77777777" w:rsidTr="00477B20">
        <w:tc>
          <w:tcPr>
            <w:tcW w:w="810"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6BB4EEB9" w14:textId="77777777" w:rsidR="004815FD" w:rsidRPr="00B42808" w:rsidRDefault="004815FD" w:rsidP="00477B20">
            <w:pPr>
              <w:pStyle w:val="NormalWeb"/>
              <w:jc w:val="center"/>
              <w:rPr>
                <w:sz w:val="20"/>
                <w:szCs w:val="20"/>
              </w:rPr>
            </w:pPr>
            <w:r w:rsidRPr="00B42808">
              <w:rPr>
                <w:sz w:val="20"/>
                <w:szCs w:val="20"/>
              </w:rPr>
              <w:t>P3-RW</w:t>
            </w: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7370DC5" w14:textId="77777777" w:rsidR="004815FD" w:rsidRPr="00B42808" w:rsidRDefault="004815FD" w:rsidP="00477B20">
            <w:pPr>
              <w:pStyle w:val="NormalWeb"/>
              <w:jc w:val="center"/>
              <w:rPr>
                <w:sz w:val="20"/>
                <w:szCs w:val="20"/>
              </w:rPr>
            </w:pPr>
            <w:r>
              <w:rPr>
                <w:sz w:val="20"/>
                <w:szCs w:val="20"/>
              </w:rPr>
              <w:t>4.8</w:t>
            </w: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617FB09" w14:textId="77777777" w:rsidR="004815FD" w:rsidRPr="00B42808" w:rsidRDefault="004815FD" w:rsidP="00477B20">
            <w:pPr>
              <w:pStyle w:val="NormalWeb"/>
              <w:jc w:val="center"/>
              <w:rPr>
                <w:sz w:val="20"/>
                <w:szCs w:val="20"/>
              </w:rPr>
            </w:pPr>
            <w:r>
              <w:rPr>
                <w:sz w:val="20"/>
                <w:szCs w:val="20"/>
              </w:rPr>
              <w:t>13.8</w:t>
            </w: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51065226"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A8A5963" w14:textId="77777777" w:rsidR="004815FD" w:rsidRPr="00B42808" w:rsidRDefault="004815FD" w:rsidP="00477B20">
            <w:pPr>
              <w:pStyle w:val="NormalWeb"/>
              <w:jc w:val="center"/>
              <w:rPr>
                <w:sz w:val="20"/>
                <w:szCs w:val="20"/>
              </w:rPr>
            </w:pP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8942626"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56884AF5"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5B079F6"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E43ADDB"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25717C15"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000000" w:themeColor="text1"/>
            </w:tcBorders>
            <w:vAlign w:val="center"/>
          </w:tcPr>
          <w:p w14:paraId="0DB1FD16" w14:textId="77777777" w:rsidR="004815FD" w:rsidRPr="00B42808" w:rsidRDefault="004815FD" w:rsidP="00477B20">
            <w:pPr>
              <w:pStyle w:val="NormalWeb"/>
              <w:jc w:val="center"/>
              <w:rPr>
                <w:sz w:val="20"/>
                <w:szCs w:val="20"/>
              </w:rPr>
            </w:pPr>
            <w:r>
              <w:rPr>
                <w:sz w:val="20"/>
                <w:szCs w:val="20"/>
              </w:rPr>
              <w:t>13.8</w:t>
            </w:r>
          </w:p>
        </w:tc>
        <w:tc>
          <w:tcPr>
            <w:tcW w:w="630" w:type="dxa"/>
            <w:tcBorders>
              <w:top w:val="single" w:sz="4" w:space="0" w:color="F2F2F2" w:themeColor="background1" w:themeShade="F2"/>
              <w:left w:val="single" w:sz="4" w:space="0" w:color="000000" w:themeColor="text1"/>
              <w:bottom w:val="single" w:sz="4" w:space="0" w:color="F2F2F2" w:themeColor="background1" w:themeShade="F2"/>
              <w:right w:val="single" w:sz="4" w:space="0" w:color="FFFFFF" w:themeColor="background1"/>
            </w:tcBorders>
            <w:vAlign w:val="center"/>
          </w:tcPr>
          <w:p w14:paraId="0046E51A" w14:textId="77777777" w:rsidR="004815FD" w:rsidRDefault="004815FD" w:rsidP="00477B20">
            <w:pPr>
              <w:pStyle w:val="NormalWeb"/>
              <w:jc w:val="center"/>
              <w:rPr>
                <w:sz w:val="20"/>
                <w:szCs w:val="20"/>
              </w:rPr>
            </w:pPr>
            <w:r>
              <w:rPr>
                <w:sz w:val="20"/>
                <w:szCs w:val="20"/>
              </w:rPr>
              <w:t>10.2</w:t>
            </w:r>
          </w:p>
        </w:tc>
        <w:tc>
          <w:tcPr>
            <w:tcW w:w="72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3ACFBB16" w14:textId="77777777" w:rsidR="004815FD" w:rsidRDefault="004815FD" w:rsidP="00477B20">
            <w:pPr>
              <w:pStyle w:val="NormalWeb"/>
              <w:jc w:val="center"/>
              <w:rPr>
                <w:sz w:val="20"/>
                <w:szCs w:val="20"/>
              </w:rPr>
            </w:pPr>
            <w:r>
              <w:rPr>
                <w:sz w:val="20"/>
                <w:szCs w:val="20"/>
              </w:rPr>
              <w:t>46.4</w:t>
            </w:r>
          </w:p>
        </w:tc>
        <w:tc>
          <w:tcPr>
            <w:tcW w:w="72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4E490E03" w14:textId="77777777" w:rsidR="004815FD" w:rsidRDefault="004815FD" w:rsidP="00477B20">
            <w:pPr>
              <w:pStyle w:val="NormalWeb"/>
              <w:jc w:val="center"/>
              <w:rPr>
                <w:sz w:val="20"/>
                <w:szCs w:val="20"/>
              </w:rPr>
            </w:pPr>
            <w:r>
              <w:rPr>
                <w:sz w:val="20"/>
                <w:szCs w:val="20"/>
              </w:rPr>
              <w:t>10.7</w:t>
            </w: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63AB7B34" w14:textId="77777777" w:rsidR="004815FD" w:rsidRDefault="004815FD" w:rsidP="00477B20">
            <w:pPr>
              <w:pStyle w:val="NormalWeb"/>
              <w:jc w:val="center"/>
              <w:rPr>
                <w:sz w:val="20"/>
                <w:szCs w:val="20"/>
              </w:rPr>
            </w:pPr>
            <w:r>
              <w:rPr>
                <w:sz w:val="20"/>
                <w:szCs w:val="20"/>
              </w:rPr>
              <w:t>0.3</w:t>
            </w:r>
          </w:p>
        </w:tc>
      </w:tr>
      <w:tr w:rsidR="004815FD" w14:paraId="24ABDAB7" w14:textId="77777777" w:rsidTr="00477B20">
        <w:tc>
          <w:tcPr>
            <w:tcW w:w="810" w:type="dxa"/>
            <w:tcBorders>
              <w:top w:val="single" w:sz="4" w:space="0" w:color="F2F2F2" w:themeColor="background1" w:themeShade="F2"/>
              <w:left w:val="single" w:sz="4" w:space="0" w:color="FFFFFF" w:themeColor="background1"/>
              <w:right w:val="single" w:sz="4" w:space="0" w:color="F2F2F2" w:themeColor="background1" w:themeShade="F2"/>
            </w:tcBorders>
            <w:vAlign w:val="center"/>
          </w:tcPr>
          <w:p w14:paraId="261EF451" w14:textId="77777777" w:rsidR="004815FD" w:rsidRPr="00B42808" w:rsidRDefault="004815FD" w:rsidP="00477B20">
            <w:pPr>
              <w:pStyle w:val="NormalWeb"/>
              <w:jc w:val="center"/>
              <w:rPr>
                <w:sz w:val="20"/>
                <w:szCs w:val="20"/>
              </w:rPr>
            </w:pPr>
            <w:r w:rsidRPr="00B42808">
              <w:rPr>
                <w:sz w:val="20"/>
                <w:szCs w:val="20"/>
              </w:rPr>
              <w:t>P3-P3</w:t>
            </w:r>
          </w:p>
        </w:tc>
        <w:tc>
          <w:tcPr>
            <w:tcW w:w="54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0C8F9BF3"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7C5E688E" w14:textId="77777777" w:rsidR="004815FD" w:rsidRPr="00B42808" w:rsidRDefault="004815FD" w:rsidP="00477B20">
            <w:pPr>
              <w:pStyle w:val="NormalWeb"/>
              <w:jc w:val="center"/>
              <w:rPr>
                <w:sz w:val="20"/>
                <w:szCs w:val="20"/>
              </w:rPr>
            </w:pPr>
            <w:r>
              <w:rPr>
                <w:sz w:val="20"/>
                <w:szCs w:val="20"/>
              </w:rPr>
              <w:t>13.2</w:t>
            </w:r>
          </w:p>
        </w:tc>
        <w:tc>
          <w:tcPr>
            <w:tcW w:w="63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4CDE0107"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7BDA43AE" w14:textId="77777777" w:rsidR="004815FD" w:rsidRPr="00B42808" w:rsidRDefault="004815FD" w:rsidP="00477B20">
            <w:pPr>
              <w:pStyle w:val="NormalWeb"/>
              <w:jc w:val="center"/>
              <w:rPr>
                <w:sz w:val="20"/>
                <w:szCs w:val="20"/>
              </w:rPr>
            </w:pPr>
            <w:r>
              <w:rPr>
                <w:sz w:val="20"/>
                <w:szCs w:val="20"/>
              </w:rPr>
              <w:t>4.6</w:t>
            </w:r>
          </w:p>
        </w:tc>
        <w:tc>
          <w:tcPr>
            <w:tcW w:w="63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7F6357C1"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right w:val="single" w:sz="4" w:space="0" w:color="FFFFFF" w:themeColor="background1"/>
            </w:tcBorders>
            <w:vAlign w:val="center"/>
          </w:tcPr>
          <w:p w14:paraId="212A7689"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75121D23"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52F4D0D5" w14:textId="77777777" w:rsidR="004815FD" w:rsidRPr="00B42808" w:rsidRDefault="004815FD" w:rsidP="00477B20">
            <w:pPr>
              <w:pStyle w:val="NormalWeb"/>
              <w:jc w:val="center"/>
              <w:rPr>
                <w:sz w:val="20"/>
                <w:szCs w:val="20"/>
              </w:rPr>
            </w:pPr>
            <w:r>
              <w:rPr>
                <w:sz w:val="20"/>
                <w:szCs w:val="20"/>
              </w:rPr>
              <w:t>10.6</w:t>
            </w:r>
          </w:p>
        </w:tc>
        <w:tc>
          <w:tcPr>
            <w:tcW w:w="540" w:type="dxa"/>
            <w:tcBorders>
              <w:top w:val="single" w:sz="4" w:space="0" w:color="F2F2F2" w:themeColor="background1" w:themeShade="F2"/>
              <w:left w:val="single" w:sz="4" w:space="0" w:color="F2F2F2" w:themeColor="background1" w:themeShade="F2"/>
              <w:right w:val="single" w:sz="4" w:space="0" w:color="FFFFFF" w:themeColor="background1"/>
            </w:tcBorders>
            <w:vAlign w:val="center"/>
          </w:tcPr>
          <w:p w14:paraId="14FC64CE" w14:textId="77777777" w:rsidR="004815FD" w:rsidRPr="00B42808" w:rsidRDefault="004815FD" w:rsidP="00477B20">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right w:val="single" w:sz="4" w:space="0" w:color="000000" w:themeColor="text1"/>
            </w:tcBorders>
            <w:vAlign w:val="center"/>
          </w:tcPr>
          <w:p w14:paraId="31B3FC1E" w14:textId="77777777" w:rsidR="004815FD" w:rsidRPr="00B42808" w:rsidRDefault="004815FD" w:rsidP="00477B20">
            <w:pPr>
              <w:pStyle w:val="NormalWeb"/>
              <w:jc w:val="center"/>
              <w:rPr>
                <w:sz w:val="20"/>
                <w:szCs w:val="20"/>
              </w:rPr>
            </w:pPr>
            <w:r>
              <w:rPr>
                <w:sz w:val="20"/>
                <w:szCs w:val="20"/>
              </w:rPr>
              <w:t>9.6</w:t>
            </w:r>
          </w:p>
        </w:tc>
        <w:tc>
          <w:tcPr>
            <w:tcW w:w="630" w:type="dxa"/>
            <w:tcBorders>
              <w:top w:val="single" w:sz="4" w:space="0" w:color="F2F2F2" w:themeColor="background1" w:themeShade="F2"/>
              <w:left w:val="single" w:sz="4" w:space="0" w:color="000000" w:themeColor="text1"/>
              <w:right w:val="single" w:sz="4" w:space="0" w:color="FFFFFF" w:themeColor="background1"/>
            </w:tcBorders>
            <w:vAlign w:val="center"/>
          </w:tcPr>
          <w:p w14:paraId="60DBD719" w14:textId="77777777" w:rsidR="004815FD" w:rsidRDefault="004815FD" w:rsidP="00477B20">
            <w:pPr>
              <w:pStyle w:val="NormalWeb"/>
              <w:jc w:val="center"/>
              <w:rPr>
                <w:sz w:val="20"/>
                <w:szCs w:val="20"/>
              </w:rPr>
            </w:pPr>
            <w:r>
              <w:rPr>
                <w:sz w:val="20"/>
                <w:szCs w:val="20"/>
              </w:rPr>
              <w:t>10.1</w:t>
            </w:r>
          </w:p>
        </w:tc>
        <w:tc>
          <w:tcPr>
            <w:tcW w:w="720" w:type="dxa"/>
            <w:tcBorders>
              <w:top w:val="single" w:sz="4" w:space="0" w:color="F2F2F2" w:themeColor="background1" w:themeShade="F2"/>
              <w:left w:val="single" w:sz="4" w:space="0" w:color="F2F2F2" w:themeColor="background1" w:themeShade="F2"/>
              <w:right w:val="single" w:sz="4" w:space="0" w:color="FFFFFF" w:themeColor="background1"/>
            </w:tcBorders>
            <w:vAlign w:val="center"/>
          </w:tcPr>
          <w:p w14:paraId="6CD7CFDE" w14:textId="77777777" w:rsidR="004815FD" w:rsidRDefault="004815FD" w:rsidP="00477B20">
            <w:pPr>
              <w:pStyle w:val="NormalWeb"/>
              <w:jc w:val="center"/>
              <w:rPr>
                <w:sz w:val="20"/>
                <w:szCs w:val="20"/>
              </w:rPr>
            </w:pPr>
            <w:r>
              <w:rPr>
                <w:sz w:val="20"/>
                <w:szCs w:val="20"/>
              </w:rPr>
              <w:t>41.5</w:t>
            </w:r>
          </w:p>
        </w:tc>
        <w:tc>
          <w:tcPr>
            <w:tcW w:w="720" w:type="dxa"/>
            <w:tcBorders>
              <w:top w:val="single" w:sz="4" w:space="0" w:color="F2F2F2" w:themeColor="background1" w:themeShade="F2"/>
              <w:left w:val="single" w:sz="4" w:space="0" w:color="F2F2F2" w:themeColor="background1" w:themeShade="F2"/>
              <w:right w:val="single" w:sz="4" w:space="0" w:color="FFFFFF" w:themeColor="background1"/>
            </w:tcBorders>
            <w:vAlign w:val="center"/>
          </w:tcPr>
          <w:p w14:paraId="2E4E662B" w14:textId="77777777" w:rsidR="004815FD" w:rsidRDefault="004815FD" w:rsidP="00477B20">
            <w:pPr>
              <w:pStyle w:val="NormalWeb"/>
              <w:jc w:val="center"/>
              <w:rPr>
                <w:sz w:val="20"/>
                <w:szCs w:val="20"/>
              </w:rPr>
            </w:pPr>
            <w:r>
              <w:rPr>
                <w:sz w:val="20"/>
                <w:szCs w:val="20"/>
              </w:rPr>
              <w:t>10.3</w:t>
            </w:r>
          </w:p>
        </w:tc>
        <w:tc>
          <w:tcPr>
            <w:tcW w:w="630" w:type="dxa"/>
            <w:tcBorders>
              <w:top w:val="single" w:sz="4" w:space="0" w:color="F2F2F2" w:themeColor="background1" w:themeShade="F2"/>
              <w:left w:val="single" w:sz="4" w:space="0" w:color="F2F2F2" w:themeColor="background1" w:themeShade="F2"/>
              <w:right w:val="single" w:sz="4" w:space="0" w:color="FFFFFF" w:themeColor="background1"/>
            </w:tcBorders>
            <w:vAlign w:val="center"/>
          </w:tcPr>
          <w:p w14:paraId="10B25677" w14:textId="77777777" w:rsidR="004815FD" w:rsidRDefault="004815FD" w:rsidP="00477B20">
            <w:pPr>
              <w:pStyle w:val="NormalWeb"/>
              <w:jc w:val="center"/>
              <w:rPr>
                <w:sz w:val="20"/>
                <w:szCs w:val="20"/>
              </w:rPr>
            </w:pPr>
          </w:p>
        </w:tc>
      </w:tr>
    </w:tbl>
    <w:p w14:paraId="3D4A817D" w14:textId="17432DC4" w:rsidR="007F0173" w:rsidRDefault="007F0173" w:rsidP="004815FD">
      <w:pPr>
        <w:keepNext/>
        <w:rPr>
          <w:sz w:val="22"/>
          <w:szCs w:val="22"/>
        </w:rPr>
      </w:pPr>
    </w:p>
    <w:p w14:paraId="02FCEEDC" w14:textId="5CB7A5E4" w:rsidR="004815FD" w:rsidRDefault="007F0173" w:rsidP="003925DB">
      <w:pPr>
        <w:rPr>
          <w:sz w:val="22"/>
          <w:szCs w:val="22"/>
        </w:rPr>
      </w:pPr>
      <w:r>
        <w:rPr>
          <w:sz w:val="22"/>
          <w:szCs w:val="22"/>
        </w:rPr>
        <w:br w:type="page"/>
      </w:r>
    </w:p>
    <w:p w14:paraId="0239CD51" w14:textId="11FA0A7A" w:rsidR="004815FD" w:rsidRDefault="004815FD" w:rsidP="00C90343">
      <w:pPr>
        <w:pStyle w:val="Caption"/>
        <w:jc w:val="both"/>
        <w:rPr>
          <w:sz w:val="22"/>
          <w:szCs w:val="22"/>
        </w:rPr>
      </w:pPr>
      <w:bookmarkStart w:id="50" w:name="_Toc88053991"/>
      <w:r w:rsidRPr="002977BC">
        <w:rPr>
          <w:sz w:val="22"/>
          <w:szCs w:val="22"/>
        </w:rPr>
        <w:lastRenderedPageBreak/>
        <w:t xml:space="preserve">Table </w:t>
      </w:r>
      <w:r w:rsidRPr="002977BC">
        <w:rPr>
          <w:sz w:val="22"/>
          <w:szCs w:val="22"/>
        </w:rPr>
        <w:fldChar w:fldCharType="begin"/>
      </w:r>
      <w:r w:rsidRPr="002977BC">
        <w:rPr>
          <w:sz w:val="22"/>
          <w:szCs w:val="22"/>
        </w:rPr>
        <w:instrText xml:space="preserve"> SEQ Table \* ARABIC </w:instrText>
      </w:r>
      <w:r w:rsidRPr="002977BC">
        <w:rPr>
          <w:sz w:val="22"/>
          <w:szCs w:val="22"/>
        </w:rPr>
        <w:fldChar w:fldCharType="separate"/>
      </w:r>
      <w:r w:rsidRPr="002977BC">
        <w:rPr>
          <w:noProof/>
          <w:sz w:val="22"/>
          <w:szCs w:val="22"/>
        </w:rPr>
        <w:t>5</w:t>
      </w:r>
      <w:r w:rsidRPr="002977BC">
        <w:rPr>
          <w:sz w:val="22"/>
          <w:szCs w:val="22"/>
        </w:rPr>
        <w:fldChar w:fldCharType="end"/>
      </w:r>
      <w:r w:rsidRPr="002977BC">
        <w:rPr>
          <w:sz w:val="22"/>
          <w:szCs w:val="22"/>
        </w:rPr>
        <w:t xml:space="preserve">: Niche overlap measured using </w:t>
      </w:r>
      <w:proofErr w:type="spellStart"/>
      <w:r w:rsidRPr="002977BC">
        <w:rPr>
          <w:sz w:val="22"/>
          <w:szCs w:val="22"/>
        </w:rPr>
        <w:t>Schoener’s</w:t>
      </w:r>
      <w:proofErr w:type="spellEnd"/>
      <w:r w:rsidRPr="002977BC">
        <w:rPr>
          <w:sz w:val="22"/>
          <w:szCs w:val="22"/>
        </w:rPr>
        <w:t xml:space="preserve"> D. </w:t>
      </w:r>
      <w:r w:rsidRPr="002977BC">
        <w:rPr>
          <w:b w:val="0"/>
          <w:bCs w:val="0"/>
          <w:sz w:val="22"/>
          <w:szCs w:val="22"/>
        </w:rPr>
        <w:t>Values fall between 0 and 1, with values closer to zero representing no overlap between models while a value of 1 indicates full overlap of models.</w:t>
      </w:r>
      <w:bookmarkEnd w:id="50"/>
      <w:r w:rsidRPr="002977BC">
        <w:rPr>
          <w:b w:val="0"/>
          <w:bCs w:val="0"/>
          <w:sz w:val="22"/>
          <w:szCs w:val="22"/>
        </w:rPr>
        <w:t xml:space="preserve"> </w:t>
      </w:r>
    </w:p>
    <w:tbl>
      <w:tblPr>
        <w:tblStyle w:val="TableGrid"/>
        <w:tblW w:w="0" w:type="auto"/>
        <w:tblCellMar>
          <w:top w:w="43" w:type="dxa"/>
          <w:bottom w:w="43" w:type="dxa"/>
        </w:tblCellMar>
        <w:tblLook w:val="04A0" w:firstRow="1" w:lastRow="0" w:firstColumn="1" w:lastColumn="0" w:noHBand="0" w:noVBand="1"/>
      </w:tblPr>
      <w:tblGrid>
        <w:gridCol w:w="1726"/>
        <w:gridCol w:w="1726"/>
        <w:gridCol w:w="1726"/>
        <w:gridCol w:w="1726"/>
        <w:gridCol w:w="1726"/>
      </w:tblGrid>
      <w:tr w:rsidR="004815FD" w14:paraId="5AD5B9A9" w14:textId="77777777" w:rsidTr="00477B20">
        <w:tc>
          <w:tcPr>
            <w:tcW w:w="8630" w:type="dxa"/>
            <w:gridSpan w:val="5"/>
            <w:tcBorders>
              <w:left w:val="single" w:sz="4" w:space="0" w:color="FFFFFF" w:themeColor="background1"/>
              <w:right w:val="single" w:sz="4" w:space="0" w:color="FFFFFF" w:themeColor="background1"/>
            </w:tcBorders>
          </w:tcPr>
          <w:p w14:paraId="44A72225" w14:textId="77777777" w:rsidR="004815FD" w:rsidRPr="003A616D" w:rsidRDefault="004815FD" w:rsidP="00477B20">
            <w:pPr>
              <w:pStyle w:val="NormalWeb"/>
              <w:rPr>
                <w:i/>
                <w:iCs/>
                <w:sz w:val="20"/>
                <w:szCs w:val="20"/>
              </w:rPr>
            </w:pPr>
            <w:r w:rsidRPr="003A616D">
              <w:rPr>
                <w:i/>
                <w:iCs/>
                <w:sz w:val="20"/>
                <w:szCs w:val="20"/>
              </w:rPr>
              <w:t>Each provenance model run with range-wide environmental variables (RW)</w:t>
            </w:r>
          </w:p>
        </w:tc>
      </w:tr>
      <w:tr w:rsidR="004815FD" w14:paraId="3A1326F8" w14:textId="77777777" w:rsidTr="00477B20">
        <w:tc>
          <w:tcPr>
            <w:tcW w:w="1726" w:type="dxa"/>
            <w:tcBorders>
              <w:left w:val="single" w:sz="4" w:space="0" w:color="FFFFFF" w:themeColor="background1"/>
              <w:bottom w:val="single" w:sz="4" w:space="0" w:color="F2F2F2" w:themeColor="background1" w:themeShade="F2"/>
            </w:tcBorders>
          </w:tcPr>
          <w:p w14:paraId="54407F88" w14:textId="77777777" w:rsidR="004815FD" w:rsidRPr="003A616D" w:rsidRDefault="004815FD" w:rsidP="00477B20">
            <w:pPr>
              <w:pStyle w:val="NormalWeb"/>
              <w:jc w:val="center"/>
              <w:rPr>
                <w:b/>
                <w:bCs/>
                <w:sz w:val="20"/>
                <w:szCs w:val="20"/>
              </w:rPr>
            </w:pPr>
            <w:r w:rsidRPr="003A616D">
              <w:rPr>
                <w:b/>
                <w:bCs/>
                <w:sz w:val="20"/>
                <w:szCs w:val="20"/>
              </w:rPr>
              <w:t>Model</w:t>
            </w:r>
          </w:p>
        </w:tc>
        <w:tc>
          <w:tcPr>
            <w:tcW w:w="1726" w:type="dxa"/>
            <w:tcBorders>
              <w:bottom w:val="single" w:sz="4" w:space="0" w:color="F2F2F2" w:themeColor="background1" w:themeShade="F2"/>
              <w:right w:val="single" w:sz="4" w:space="0" w:color="F2F2F2" w:themeColor="background1" w:themeShade="F2"/>
            </w:tcBorders>
          </w:tcPr>
          <w:p w14:paraId="496956E7" w14:textId="77777777" w:rsidR="004815FD" w:rsidRPr="003A616D" w:rsidRDefault="004815FD" w:rsidP="00477B20">
            <w:pPr>
              <w:pStyle w:val="NormalWeb"/>
              <w:jc w:val="center"/>
              <w:rPr>
                <w:b/>
                <w:bCs/>
                <w:sz w:val="20"/>
                <w:szCs w:val="20"/>
              </w:rPr>
            </w:pPr>
            <w:r w:rsidRPr="003A616D">
              <w:rPr>
                <w:b/>
                <w:bCs/>
                <w:sz w:val="20"/>
                <w:szCs w:val="20"/>
              </w:rPr>
              <w:t>Species</w:t>
            </w:r>
          </w:p>
        </w:tc>
        <w:tc>
          <w:tcPr>
            <w:tcW w:w="1726" w:type="dxa"/>
            <w:tcBorders>
              <w:left w:val="single" w:sz="4" w:space="0" w:color="F2F2F2" w:themeColor="background1" w:themeShade="F2"/>
              <w:bottom w:val="single" w:sz="4" w:space="0" w:color="F2F2F2" w:themeColor="background1" w:themeShade="F2"/>
              <w:right w:val="single" w:sz="4" w:space="0" w:color="F2F2F2" w:themeColor="background1" w:themeShade="F2"/>
            </w:tcBorders>
          </w:tcPr>
          <w:p w14:paraId="6937B53B" w14:textId="77777777" w:rsidR="004815FD" w:rsidRPr="003A616D" w:rsidRDefault="004815FD" w:rsidP="00477B20">
            <w:pPr>
              <w:pStyle w:val="NormalWeb"/>
              <w:jc w:val="center"/>
              <w:rPr>
                <w:b/>
                <w:bCs/>
                <w:sz w:val="20"/>
                <w:szCs w:val="20"/>
              </w:rPr>
            </w:pPr>
            <w:r w:rsidRPr="003A616D">
              <w:rPr>
                <w:b/>
                <w:bCs/>
                <w:sz w:val="20"/>
                <w:szCs w:val="20"/>
              </w:rPr>
              <w:t>Provenance 1</w:t>
            </w:r>
          </w:p>
        </w:tc>
        <w:tc>
          <w:tcPr>
            <w:tcW w:w="1726" w:type="dxa"/>
            <w:tcBorders>
              <w:left w:val="single" w:sz="4" w:space="0" w:color="F2F2F2" w:themeColor="background1" w:themeShade="F2"/>
              <w:bottom w:val="single" w:sz="4" w:space="0" w:color="F2F2F2" w:themeColor="background1" w:themeShade="F2"/>
              <w:right w:val="single" w:sz="4" w:space="0" w:color="F2F2F2" w:themeColor="background1" w:themeShade="F2"/>
            </w:tcBorders>
          </w:tcPr>
          <w:p w14:paraId="1930860E" w14:textId="77777777" w:rsidR="004815FD" w:rsidRPr="003A616D" w:rsidRDefault="004815FD" w:rsidP="00477B20">
            <w:pPr>
              <w:pStyle w:val="NormalWeb"/>
              <w:jc w:val="center"/>
              <w:rPr>
                <w:b/>
                <w:bCs/>
                <w:sz w:val="20"/>
                <w:szCs w:val="20"/>
              </w:rPr>
            </w:pPr>
            <w:r w:rsidRPr="003A616D">
              <w:rPr>
                <w:b/>
                <w:bCs/>
                <w:sz w:val="20"/>
                <w:szCs w:val="20"/>
              </w:rPr>
              <w:t>Provenance 2</w:t>
            </w:r>
          </w:p>
        </w:tc>
        <w:tc>
          <w:tcPr>
            <w:tcW w:w="1726" w:type="dxa"/>
            <w:tcBorders>
              <w:left w:val="single" w:sz="4" w:space="0" w:color="F2F2F2" w:themeColor="background1" w:themeShade="F2"/>
              <w:bottom w:val="single" w:sz="4" w:space="0" w:color="F2F2F2" w:themeColor="background1" w:themeShade="F2"/>
              <w:right w:val="single" w:sz="4" w:space="0" w:color="FFFFFF" w:themeColor="background1"/>
            </w:tcBorders>
          </w:tcPr>
          <w:p w14:paraId="759396F5" w14:textId="77777777" w:rsidR="004815FD" w:rsidRPr="003A616D" w:rsidRDefault="004815FD" w:rsidP="00477B20">
            <w:pPr>
              <w:pStyle w:val="NormalWeb"/>
              <w:jc w:val="center"/>
              <w:rPr>
                <w:b/>
                <w:bCs/>
                <w:sz w:val="20"/>
                <w:szCs w:val="20"/>
              </w:rPr>
            </w:pPr>
            <w:r w:rsidRPr="003A616D">
              <w:rPr>
                <w:b/>
                <w:bCs/>
                <w:sz w:val="20"/>
                <w:szCs w:val="20"/>
              </w:rPr>
              <w:t>Provenance 3</w:t>
            </w:r>
          </w:p>
        </w:tc>
      </w:tr>
      <w:tr w:rsidR="004815FD" w14:paraId="442EBC32" w14:textId="77777777" w:rsidTr="00477B20">
        <w:tc>
          <w:tcPr>
            <w:tcW w:w="1726" w:type="dxa"/>
            <w:tcBorders>
              <w:top w:val="single" w:sz="4" w:space="0" w:color="F2F2F2" w:themeColor="background1" w:themeShade="F2"/>
              <w:left w:val="single" w:sz="4" w:space="0" w:color="FFFFFF" w:themeColor="background1"/>
              <w:bottom w:val="single" w:sz="4" w:space="0" w:color="F2F2F2" w:themeColor="background1" w:themeShade="F2"/>
            </w:tcBorders>
          </w:tcPr>
          <w:p w14:paraId="0BCADC93" w14:textId="77777777" w:rsidR="004815FD" w:rsidRPr="00D06CAF" w:rsidRDefault="004815FD" w:rsidP="00477B20">
            <w:pPr>
              <w:pStyle w:val="NormalWeb"/>
              <w:jc w:val="center"/>
              <w:rPr>
                <w:sz w:val="20"/>
                <w:szCs w:val="20"/>
              </w:rPr>
            </w:pPr>
            <w:r>
              <w:rPr>
                <w:sz w:val="20"/>
                <w:szCs w:val="20"/>
              </w:rPr>
              <w:t>SR</w:t>
            </w:r>
          </w:p>
        </w:tc>
        <w:tc>
          <w:tcPr>
            <w:tcW w:w="1726" w:type="dxa"/>
            <w:tcBorders>
              <w:top w:val="single" w:sz="4" w:space="0" w:color="F2F2F2" w:themeColor="background1" w:themeShade="F2"/>
              <w:bottom w:val="single" w:sz="4" w:space="0" w:color="F2F2F2" w:themeColor="background1" w:themeShade="F2"/>
              <w:right w:val="single" w:sz="4" w:space="0" w:color="F2F2F2" w:themeColor="background1" w:themeShade="F2"/>
            </w:tcBorders>
          </w:tcPr>
          <w:p w14:paraId="007CBD23" w14:textId="77777777" w:rsidR="004815FD" w:rsidRPr="00D06CAF" w:rsidRDefault="004815FD" w:rsidP="00477B20">
            <w:pPr>
              <w:pStyle w:val="NormalWeb"/>
              <w:jc w:val="center"/>
              <w:rPr>
                <w:sz w:val="20"/>
                <w:szCs w:val="20"/>
              </w:rPr>
            </w:pPr>
            <w:r>
              <w:rPr>
                <w:sz w:val="20"/>
                <w:szCs w:val="20"/>
              </w:rPr>
              <w:t>1</w:t>
            </w:r>
          </w:p>
        </w:tc>
        <w:tc>
          <w:tcPr>
            <w:tcW w:w="17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14:paraId="4C709100" w14:textId="77777777" w:rsidR="004815FD" w:rsidRPr="00D06CAF" w:rsidRDefault="004815FD" w:rsidP="00477B20">
            <w:pPr>
              <w:pStyle w:val="NormalWeb"/>
              <w:jc w:val="center"/>
              <w:rPr>
                <w:sz w:val="20"/>
                <w:szCs w:val="20"/>
              </w:rPr>
            </w:pPr>
            <w:r>
              <w:rPr>
                <w:sz w:val="20"/>
                <w:szCs w:val="20"/>
              </w:rPr>
              <w:t>0.241</w:t>
            </w:r>
          </w:p>
        </w:tc>
        <w:tc>
          <w:tcPr>
            <w:tcW w:w="17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14:paraId="15778A11" w14:textId="77777777" w:rsidR="004815FD" w:rsidRPr="00D06CAF" w:rsidRDefault="004815FD" w:rsidP="00477B20">
            <w:pPr>
              <w:pStyle w:val="NormalWeb"/>
              <w:jc w:val="center"/>
              <w:rPr>
                <w:sz w:val="20"/>
                <w:szCs w:val="20"/>
              </w:rPr>
            </w:pPr>
            <w:r>
              <w:rPr>
                <w:sz w:val="20"/>
                <w:szCs w:val="20"/>
              </w:rPr>
              <w:t>0.241</w:t>
            </w:r>
          </w:p>
        </w:tc>
        <w:tc>
          <w:tcPr>
            <w:tcW w:w="17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tcPr>
          <w:p w14:paraId="25F85DAF" w14:textId="77777777" w:rsidR="004815FD" w:rsidRPr="00D06CAF" w:rsidRDefault="004815FD" w:rsidP="00477B20">
            <w:pPr>
              <w:pStyle w:val="NormalWeb"/>
              <w:jc w:val="center"/>
              <w:rPr>
                <w:sz w:val="20"/>
                <w:szCs w:val="20"/>
              </w:rPr>
            </w:pPr>
            <w:r>
              <w:rPr>
                <w:sz w:val="20"/>
                <w:szCs w:val="20"/>
              </w:rPr>
              <w:t>0.118</w:t>
            </w:r>
          </w:p>
        </w:tc>
      </w:tr>
      <w:tr w:rsidR="004815FD" w14:paraId="25B3EC2F" w14:textId="77777777" w:rsidTr="00477B20">
        <w:tc>
          <w:tcPr>
            <w:tcW w:w="1726" w:type="dxa"/>
            <w:tcBorders>
              <w:top w:val="single" w:sz="4" w:space="0" w:color="F2F2F2" w:themeColor="background1" w:themeShade="F2"/>
              <w:left w:val="single" w:sz="4" w:space="0" w:color="FFFFFF" w:themeColor="background1"/>
              <w:bottom w:val="single" w:sz="4" w:space="0" w:color="F2F2F2" w:themeColor="background1" w:themeShade="F2"/>
            </w:tcBorders>
          </w:tcPr>
          <w:p w14:paraId="4FF697CA" w14:textId="77777777" w:rsidR="004815FD" w:rsidRPr="00D06CAF" w:rsidRDefault="004815FD" w:rsidP="00477B20">
            <w:pPr>
              <w:pStyle w:val="NormalWeb"/>
              <w:jc w:val="center"/>
              <w:rPr>
                <w:sz w:val="20"/>
                <w:szCs w:val="20"/>
              </w:rPr>
            </w:pPr>
            <w:r>
              <w:rPr>
                <w:sz w:val="20"/>
                <w:szCs w:val="20"/>
              </w:rPr>
              <w:t>P1-RW</w:t>
            </w:r>
          </w:p>
        </w:tc>
        <w:tc>
          <w:tcPr>
            <w:tcW w:w="1726" w:type="dxa"/>
            <w:tcBorders>
              <w:top w:val="single" w:sz="4" w:space="0" w:color="F2F2F2" w:themeColor="background1" w:themeShade="F2"/>
              <w:bottom w:val="single" w:sz="4" w:space="0" w:color="F2F2F2" w:themeColor="background1" w:themeShade="F2"/>
              <w:right w:val="single" w:sz="4" w:space="0" w:color="F2F2F2" w:themeColor="background1" w:themeShade="F2"/>
            </w:tcBorders>
          </w:tcPr>
          <w:p w14:paraId="422A011E" w14:textId="77777777" w:rsidR="004815FD" w:rsidRPr="00D06CAF" w:rsidRDefault="004815FD" w:rsidP="00477B20">
            <w:pPr>
              <w:pStyle w:val="NormalWeb"/>
              <w:jc w:val="center"/>
              <w:rPr>
                <w:sz w:val="20"/>
                <w:szCs w:val="20"/>
              </w:rPr>
            </w:pPr>
            <w:r>
              <w:rPr>
                <w:sz w:val="20"/>
                <w:szCs w:val="20"/>
              </w:rPr>
              <w:t>-</w:t>
            </w:r>
          </w:p>
        </w:tc>
        <w:tc>
          <w:tcPr>
            <w:tcW w:w="17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14:paraId="6079A27B" w14:textId="77777777" w:rsidR="004815FD" w:rsidRPr="00D06CAF" w:rsidRDefault="004815FD" w:rsidP="00477B20">
            <w:pPr>
              <w:pStyle w:val="NormalWeb"/>
              <w:jc w:val="center"/>
              <w:rPr>
                <w:sz w:val="20"/>
                <w:szCs w:val="20"/>
              </w:rPr>
            </w:pPr>
            <w:r>
              <w:rPr>
                <w:sz w:val="20"/>
                <w:szCs w:val="20"/>
              </w:rPr>
              <w:t>1</w:t>
            </w:r>
          </w:p>
        </w:tc>
        <w:tc>
          <w:tcPr>
            <w:tcW w:w="17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14:paraId="355B2692" w14:textId="77777777" w:rsidR="004815FD" w:rsidRPr="00D06CAF" w:rsidRDefault="004815FD" w:rsidP="00477B20">
            <w:pPr>
              <w:pStyle w:val="NormalWeb"/>
              <w:jc w:val="center"/>
              <w:rPr>
                <w:sz w:val="20"/>
                <w:szCs w:val="20"/>
              </w:rPr>
            </w:pPr>
            <w:r>
              <w:rPr>
                <w:sz w:val="20"/>
                <w:szCs w:val="20"/>
              </w:rPr>
              <w:t>1</w:t>
            </w:r>
          </w:p>
        </w:tc>
        <w:tc>
          <w:tcPr>
            <w:tcW w:w="17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tcPr>
          <w:p w14:paraId="04E3795F" w14:textId="77777777" w:rsidR="004815FD" w:rsidRPr="00D06CAF" w:rsidRDefault="004815FD" w:rsidP="00477B20">
            <w:pPr>
              <w:pStyle w:val="NormalWeb"/>
              <w:jc w:val="center"/>
              <w:rPr>
                <w:sz w:val="20"/>
                <w:szCs w:val="20"/>
              </w:rPr>
            </w:pPr>
            <w:r>
              <w:rPr>
                <w:sz w:val="20"/>
                <w:szCs w:val="20"/>
              </w:rPr>
              <w:t>0.266</w:t>
            </w:r>
          </w:p>
        </w:tc>
      </w:tr>
      <w:tr w:rsidR="004815FD" w14:paraId="7E21BFF4" w14:textId="77777777" w:rsidTr="00477B20">
        <w:tc>
          <w:tcPr>
            <w:tcW w:w="1726" w:type="dxa"/>
            <w:tcBorders>
              <w:top w:val="single" w:sz="4" w:space="0" w:color="F2F2F2" w:themeColor="background1" w:themeShade="F2"/>
              <w:left w:val="single" w:sz="4" w:space="0" w:color="FFFFFF" w:themeColor="background1"/>
              <w:bottom w:val="single" w:sz="4" w:space="0" w:color="F2F2F2"/>
            </w:tcBorders>
          </w:tcPr>
          <w:p w14:paraId="0278832C" w14:textId="77777777" w:rsidR="004815FD" w:rsidRPr="00D06CAF" w:rsidRDefault="004815FD" w:rsidP="00477B20">
            <w:pPr>
              <w:pStyle w:val="NormalWeb"/>
              <w:jc w:val="center"/>
              <w:rPr>
                <w:sz w:val="20"/>
                <w:szCs w:val="20"/>
              </w:rPr>
            </w:pPr>
            <w:r>
              <w:rPr>
                <w:sz w:val="20"/>
                <w:szCs w:val="20"/>
              </w:rPr>
              <w:t>P2-RW</w:t>
            </w:r>
          </w:p>
        </w:tc>
        <w:tc>
          <w:tcPr>
            <w:tcW w:w="1726" w:type="dxa"/>
            <w:tcBorders>
              <w:top w:val="single" w:sz="4" w:space="0" w:color="F2F2F2" w:themeColor="background1" w:themeShade="F2"/>
              <w:bottom w:val="single" w:sz="4" w:space="0" w:color="F2F2F2"/>
              <w:right w:val="single" w:sz="4" w:space="0" w:color="F2F2F2" w:themeColor="background1" w:themeShade="F2"/>
            </w:tcBorders>
          </w:tcPr>
          <w:p w14:paraId="644CD605" w14:textId="77777777" w:rsidR="004815FD" w:rsidRPr="00D06CAF" w:rsidRDefault="004815FD" w:rsidP="00477B20">
            <w:pPr>
              <w:pStyle w:val="NormalWeb"/>
              <w:jc w:val="center"/>
              <w:rPr>
                <w:sz w:val="20"/>
                <w:szCs w:val="20"/>
              </w:rPr>
            </w:pPr>
            <w:r>
              <w:rPr>
                <w:sz w:val="20"/>
                <w:szCs w:val="20"/>
              </w:rPr>
              <w:t>-</w:t>
            </w:r>
          </w:p>
        </w:tc>
        <w:tc>
          <w:tcPr>
            <w:tcW w:w="1726" w:type="dxa"/>
            <w:tcBorders>
              <w:top w:val="single" w:sz="4" w:space="0" w:color="F2F2F2" w:themeColor="background1" w:themeShade="F2"/>
              <w:left w:val="single" w:sz="4" w:space="0" w:color="F2F2F2" w:themeColor="background1" w:themeShade="F2"/>
              <w:bottom w:val="single" w:sz="4" w:space="0" w:color="F2F2F2"/>
              <w:right w:val="single" w:sz="4" w:space="0" w:color="F2F2F2" w:themeColor="background1" w:themeShade="F2"/>
            </w:tcBorders>
          </w:tcPr>
          <w:p w14:paraId="72BB7002" w14:textId="77777777" w:rsidR="004815FD" w:rsidRPr="00D06CAF" w:rsidRDefault="004815FD" w:rsidP="00477B20">
            <w:pPr>
              <w:pStyle w:val="NormalWeb"/>
              <w:jc w:val="center"/>
              <w:rPr>
                <w:sz w:val="20"/>
                <w:szCs w:val="20"/>
              </w:rPr>
            </w:pPr>
            <w:r>
              <w:rPr>
                <w:sz w:val="20"/>
                <w:szCs w:val="20"/>
              </w:rPr>
              <w:t>-</w:t>
            </w:r>
          </w:p>
        </w:tc>
        <w:tc>
          <w:tcPr>
            <w:tcW w:w="1726" w:type="dxa"/>
            <w:tcBorders>
              <w:top w:val="single" w:sz="4" w:space="0" w:color="F2F2F2" w:themeColor="background1" w:themeShade="F2"/>
              <w:left w:val="single" w:sz="4" w:space="0" w:color="F2F2F2" w:themeColor="background1" w:themeShade="F2"/>
              <w:bottom w:val="single" w:sz="4" w:space="0" w:color="F2F2F2"/>
              <w:right w:val="single" w:sz="4" w:space="0" w:color="F2F2F2" w:themeColor="background1" w:themeShade="F2"/>
            </w:tcBorders>
          </w:tcPr>
          <w:p w14:paraId="1BC4E6AD" w14:textId="77777777" w:rsidR="004815FD" w:rsidRPr="00D06CAF" w:rsidRDefault="004815FD" w:rsidP="00477B20">
            <w:pPr>
              <w:pStyle w:val="NormalWeb"/>
              <w:jc w:val="center"/>
              <w:rPr>
                <w:sz w:val="20"/>
                <w:szCs w:val="20"/>
              </w:rPr>
            </w:pPr>
            <w:r>
              <w:rPr>
                <w:sz w:val="20"/>
                <w:szCs w:val="20"/>
              </w:rPr>
              <w:t>1</w:t>
            </w:r>
          </w:p>
        </w:tc>
        <w:tc>
          <w:tcPr>
            <w:tcW w:w="1726" w:type="dxa"/>
            <w:tcBorders>
              <w:top w:val="single" w:sz="4" w:space="0" w:color="F2F2F2" w:themeColor="background1" w:themeShade="F2"/>
              <w:left w:val="single" w:sz="4" w:space="0" w:color="F2F2F2" w:themeColor="background1" w:themeShade="F2"/>
              <w:bottom w:val="single" w:sz="4" w:space="0" w:color="F2F2F2"/>
              <w:right w:val="single" w:sz="4" w:space="0" w:color="FFFFFF" w:themeColor="background1"/>
            </w:tcBorders>
          </w:tcPr>
          <w:p w14:paraId="6BD24EB1" w14:textId="77777777" w:rsidR="004815FD" w:rsidRPr="00D06CAF" w:rsidRDefault="004815FD" w:rsidP="00477B20">
            <w:pPr>
              <w:pStyle w:val="NormalWeb"/>
              <w:jc w:val="center"/>
              <w:rPr>
                <w:sz w:val="20"/>
                <w:szCs w:val="20"/>
              </w:rPr>
            </w:pPr>
            <w:r>
              <w:rPr>
                <w:sz w:val="20"/>
                <w:szCs w:val="20"/>
              </w:rPr>
              <w:t>0.417</w:t>
            </w:r>
          </w:p>
        </w:tc>
      </w:tr>
      <w:tr w:rsidR="004815FD" w14:paraId="482CD31F" w14:textId="77777777" w:rsidTr="00477B20">
        <w:tc>
          <w:tcPr>
            <w:tcW w:w="1726" w:type="dxa"/>
            <w:tcBorders>
              <w:top w:val="single" w:sz="4" w:space="0" w:color="F2F2F2"/>
              <w:left w:val="single" w:sz="4" w:space="0" w:color="FFFFFF" w:themeColor="background1"/>
            </w:tcBorders>
          </w:tcPr>
          <w:p w14:paraId="6FCDE3F5" w14:textId="77777777" w:rsidR="004815FD" w:rsidRPr="00D06CAF" w:rsidRDefault="004815FD" w:rsidP="00477B20">
            <w:pPr>
              <w:pStyle w:val="NormalWeb"/>
              <w:jc w:val="center"/>
              <w:rPr>
                <w:sz w:val="20"/>
                <w:szCs w:val="20"/>
              </w:rPr>
            </w:pPr>
            <w:r>
              <w:rPr>
                <w:sz w:val="20"/>
                <w:szCs w:val="20"/>
              </w:rPr>
              <w:t>P3-RW</w:t>
            </w:r>
          </w:p>
        </w:tc>
        <w:tc>
          <w:tcPr>
            <w:tcW w:w="1726" w:type="dxa"/>
            <w:tcBorders>
              <w:top w:val="single" w:sz="4" w:space="0" w:color="F2F2F2"/>
              <w:right w:val="single" w:sz="4" w:space="0" w:color="F2F2F2" w:themeColor="background1" w:themeShade="F2"/>
            </w:tcBorders>
          </w:tcPr>
          <w:p w14:paraId="48AF12A2" w14:textId="77777777" w:rsidR="004815FD" w:rsidRPr="00D06CAF" w:rsidRDefault="004815FD" w:rsidP="00477B20">
            <w:pPr>
              <w:pStyle w:val="NormalWeb"/>
              <w:jc w:val="center"/>
              <w:rPr>
                <w:sz w:val="20"/>
                <w:szCs w:val="20"/>
              </w:rPr>
            </w:pPr>
            <w:r>
              <w:rPr>
                <w:sz w:val="20"/>
                <w:szCs w:val="20"/>
              </w:rPr>
              <w:t>-</w:t>
            </w:r>
          </w:p>
        </w:tc>
        <w:tc>
          <w:tcPr>
            <w:tcW w:w="1726" w:type="dxa"/>
            <w:tcBorders>
              <w:top w:val="single" w:sz="4" w:space="0" w:color="F2F2F2"/>
              <w:left w:val="single" w:sz="4" w:space="0" w:color="F2F2F2" w:themeColor="background1" w:themeShade="F2"/>
              <w:right w:val="single" w:sz="4" w:space="0" w:color="F2F2F2" w:themeColor="background1" w:themeShade="F2"/>
            </w:tcBorders>
          </w:tcPr>
          <w:p w14:paraId="7F6AA897" w14:textId="77777777" w:rsidR="004815FD" w:rsidRPr="00D06CAF" w:rsidRDefault="004815FD" w:rsidP="00477B20">
            <w:pPr>
              <w:pStyle w:val="NormalWeb"/>
              <w:jc w:val="center"/>
              <w:rPr>
                <w:sz w:val="20"/>
                <w:szCs w:val="20"/>
              </w:rPr>
            </w:pPr>
            <w:r>
              <w:rPr>
                <w:sz w:val="20"/>
                <w:szCs w:val="20"/>
              </w:rPr>
              <w:t>-</w:t>
            </w:r>
          </w:p>
        </w:tc>
        <w:tc>
          <w:tcPr>
            <w:tcW w:w="1726" w:type="dxa"/>
            <w:tcBorders>
              <w:top w:val="single" w:sz="4" w:space="0" w:color="F2F2F2"/>
              <w:left w:val="single" w:sz="4" w:space="0" w:color="F2F2F2" w:themeColor="background1" w:themeShade="F2"/>
              <w:right w:val="single" w:sz="4" w:space="0" w:color="F2F2F2" w:themeColor="background1" w:themeShade="F2"/>
            </w:tcBorders>
          </w:tcPr>
          <w:p w14:paraId="39D29D98" w14:textId="77777777" w:rsidR="004815FD" w:rsidRPr="00D06CAF" w:rsidRDefault="004815FD" w:rsidP="00477B20">
            <w:pPr>
              <w:pStyle w:val="NormalWeb"/>
              <w:jc w:val="center"/>
              <w:rPr>
                <w:sz w:val="20"/>
                <w:szCs w:val="20"/>
              </w:rPr>
            </w:pPr>
            <w:r>
              <w:rPr>
                <w:sz w:val="20"/>
                <w:szCs w:val="20"/>
              </w:rPr>
              <w:t>-</w:t>
            </w:r>
          </w:p>
        </w:tc>
        <w:tc>
          <w:tcPr>
            <w:tcW w:w="1726" w:type="dxa"/>
            <w:tcBorders>
              <w:top w:val="single" w:sz="4" w:space="0" w:color="F2F2F2"/>
              <w:left w:val="single" w:sz="4" w:space="0" w:color="F2F2F2" w:themeColor="background1" w:themeShade="F2"/>
              <w:right w:val="single" w:sz="4" w:space="0" w:color="FFFFFF" w:themeColor="background1"/>
            </w:tcBorders>
          </w:tcPr>
          <w:p w14:paraId="5FF4AA0E" w14:textId="77777777" w:rsidR="004815FD" w:rsidRPr="00D06CAF" w:rsidRDefault="004815FD" w:rsidP="00477B20">
            <w:pPr>
              <w:pStyle w:val="NormalWeb"/>
              <w:jc w:val="center"/>
              <w:rPr>
                <w:sz w:val="20"/>
                <w:szCs w:val="20"/>
              </w:rPr>
            </w:pPr>
            <w:r>
              <w:rPr>
                <w:sz w:val="20"/>
                <w:szCs w:val="20"/>
              </w:rPr>
              <w:t>1</w:t>
            </w:r>
          </w:p>
        </w:tc>
      </w:tr>
      <w:tr w:rsidR="004815FD" w14:paraId="392D45E5" w14:textId="77777777" w:rsidTr="00477B20">
        <w:tc>
          <w:tcPr>
            <w:tcW w:w="8630" w:type="dxa"/>
            <w:gridSpan w:val="5"/>
            <w:tcBorders>
              <w:left w:val="single" w:sz="4" w:space="0" w:color="FFFFFF" w:themeColor="background1"/>
              <w:right w:val="single" w:sz="4" w:space="0" w:color="FFFFFF" w:themeColor="background1"/>
            </w:tcBorders>
          </w:tcPr>
          <w:p w14:paraId="7AAC25A6" w14:textId="77777777" w:rsidR="004815FD" w:rsidRPr="003A616D" w:rsidRDefault="004815FD" w:rsidP="00477B20">
            <w:pPr>
              <w:pStyle w:val="NormalWeb"/>
              <w:rPr>
                <w:i/>
                <w:iCs/>
                <w:sz w:val="20"/>
                <w:szCs w:val="20"/>
              </w:rPr>
            </w:pPr>
            <w:r w:rsidRPr="003A616D">
              <w:rPr>
                <w:i/>
                <w:iCs/>
                <w:sz w:val="20"/>
                <w:szCs w:val="20"/>
              </w:rPr>
              <w:t>Each provenance model run with provenance-specific environmental variables (P1, P2, P3)</w:t>
            </w:r>
          </w:p>
        </w:tc>
      </w:tr>
      <w:tr w:rsidR="004815FD" w14:paraId="7E7345FF" w14:textId="77777777" w:rsidTr="00477B20">
        <w:tc>
          <w:tcPr>
            <w:tcW w:w="1726" w:type="dxa"/>
            <w:tcBorders>
              <w:left w:val="single" w:sz="4" w:space="0" w:color="FFFFFF" w:themeColor="background1"/>
              <w:bottom w:val="single" w:sz="4" w:space="0" w:color="F2F2F2" w:themeColor="background1" w:themeShade="F2"/>
            </w:tcBorders>
          </w:tcPr>
          <w:p w14:paraId="18DF2DF2" w14:textId="77777777" w:rsidR="004815FD" w:rsidRPr="003A616D" w:rsidRDefault="004815FD" w:rsidP="00477B20">
            <w:pPr>
              <w:pStyle w:val="NormalWeb"/>
              <w:jc w:val="center"/>
              <w:rPr>
                <w:b/>
                <w:bCs/>
                <w:sz w:val="20"/>
                <w:szCs w:val="20"/>
              </w:rPr>
            </w:pPr>
            <w:r w:rsidRPr="003A616D">
              <w:rPr>
                <w:b/>
                <w:bCs/>
                <w:sz w:val="20"/>
                <w:szCs w:val="20"/>
              </w:rPr>
              <w:t>Model</w:t>
            </w:r>
          </w:p>
        </w:tc>
        <w:tc>
          <w:tcPr>
            <w:tcW w:w="1726" w:type="dxa"/>
            <w:tcBorders>
              <w:bottom w:val="single" w:sz="4" w:space="0" w:color="F2F2F2" w:themeColor="background1" w:themeShade="F2"/>
              <w:right w:val="single" w:sz="4" w:space="0" w:color="F2F2F2" w:themeColor="background1" w:themeShade="F2"/>
            </w:tcBorders>
          </w:tcPr>
          <w:p w14:paraId="44F268E4" w14:textId="77777777" w:rsidR="004815FD" w:rsidRPr="003A616D" w:rsidRDefault="004815FD" w:rsidP="00477B20">
            <w:pPr>
              <w:pStyle w:val="NormalWeb"/>
              <w:jc w:val="center"/>
              <w:rPr>
                <w:b/>
                <w:bCs/>
                <w:sz w:val="20"/>
                <w:szCs w:val="20"/>
              </w:rPr>
            </w:pPr>
            <w:r w:rsidRPr="003A616D">
              <w:rPr>
                <w:b/>
                <w:bCs/>
                <w:sz w:val="20"/>
                <w:szCs w:val="20"/>
              </w:rPr>
              <w:t>Species</w:t>
            </w:r>
          </w:p>
        </w:tc>
        <w:tc>
          <w:tcPr>
            <w:tcW w:w="1726" w:type="dxa"/>
            <w:tcBorders>
              <w:left w:val="single" w:sz="4" w:space="0" w:color="F2F2F2" w:themeColor="background1" w:themeShade="F2"/>
              <w:bottom w:val="single" w:sz="4" w:space="0" w:color="F2F2F2" w:themeColor="background1" w:themeShade="F2"/>
              <w:right w:val="single" w:sz="4" w:space="0" w:color="F2F2F2" w:themeColor="background1" w:themeShade="F2"/>
            </w:tcBorders>
          </w:tcPr>
          <w:p w14:paraId="22AED3B6" w14:textId="77777777" w:rsidR="004815FD" w:rsidRPr="003A616D" w:rsidRDefault="004815FD" w:rsidP="00477B20">
            <w:pPr>
              <w:pStyle w:val="NormalWeb"/>
              <w:jc w:val="center"/>
              <w:rPr>
                <w:b/>
                <w:bCs/>
                <w:sz w:val="20"/>
                <w:szCs w:val="20"/>
              </w:rPr>
            </w:pPr>
            <w:r w:rsidRPr="003A616D">
              <w:rPr>
                <w:b/>
                <w:bCs/>
                <w:sz w:val="20"/>
                <w:szCs w:val="20"/>
              </w:rPr>
              <w:t>Provenance 1</w:t>
            </w:r>
          </w:p>
        </w:tc>
        <w:tc>
          <w:tcPr>
            <w:tcW w:w="1726" w:type="dxa"/>
            <w:tcBorders>
              <w:left w:val="single" w:sz="4" w:space="0" w:color="F2F2F2" w:themeColor="background1" w:themeShade="F2"/>
              <w:bottom w:val="single" w:sz="4" w:space="0" w:color="F2F2F2" w:themeColor="background1" w:themeShade="F2"/>
              <w:right w:val="single" w:sz="4" w:space="0" w:color="F2F2F2" w:themeColor="background1" w:themeShade="F2"/>
            </w:tcBorders>
          </w:tcPr>
          <w:p w14:paraId="27FCC1A3" w14:textId="77777777" w:rsidR="004815FD" w:rsidRPr="003A616D" w:rsidRDefault="004815FD" w:rsidP="00477B20">
            <w:pPr>
              <w:pStyle w:val="NormalWeb"/>
              <w:jc w:val="center"/>
              <w:rPr>
                <w:b/>
                <w:bCs/>
                <w:sz w:val="20"/>
                <w:szCs w:val="20"/>
              </w:rPr>
            </w:pPr>
            <w:r w:rsidRPr="003A616D">
              <w:rPr>
                <w:b/>
                <w:bCs/>
                <w:sz w:val="20"/>
                <w:szCs w:val="20"/>
              </w:rPr>
              <w:t>Provenance 2</w:t>
            </w:r>
          </w:p>
        </w:tc>
        <w:tc>
          <w:tcPr>
            <w:tcW w:w="1726" w:type="dxa"/>
            <w:tcBorders>
              <w:left w:val="single" w:sz="4" w:space="0" w:color="F2F2F2" w:themeColor="background1" w:themeShade="F2"/>
              <w:bottom w:val="single" w:sz="4" w:space="0" w:color="F2F2F2" w:themeColor="background1" w:themeShade="F2"/>
              <w:right w:val="single" w:sz="4" w:space="0" w:color="FFFFFF" w:themeColor="background1"/>
            </w:tcBorders>
          </w:tcPr>
          <w:p w14:paraId="269D5FDC" w14:textId="77777777" w:rsidR="004815FD" w:rsidRPr="003A616D" w:rsidRDefault="004815FD" w:rsidP="00477B20">
            <w:pPr>
              <w:pStyle w:val="NormalWeb"/>
              <w:jc w:val="center"/>
              <w:rPr>
                <w:b/>
                <w:bCs/>
                <w:sz w:val="20"/>
                <w:szCs w:val="20"/>
              </w:rPr>
            </w:pPr>
            <w:r w:rsidRPr="003A616D">
              <w:rPr>
                <w:b/>
                <w:bCs/>
                <w:sz w:val="20"/>
                <w:szCs w:val="20"/>
              </w:rPr>
              <w:t>Provenance 3</w:t>
            </w:r>
          </w:p>
        </w:tc>
      </w:tr>
      <w:tr w:rsidR="004815FD" w14:paraId="76ECB83A" w14:textId="77777777" w:rsidTr="00477B20">
        <w:tc>
          <w:tcPr>
            <w:tcW w:w="1726" w:type="dxa"/>
            <w:tcBorders>
              <w:top w:val="single" w:sz="4" w:space="0" w:color="F2F2F2" w:themeColor="background1" w:themeShade="F2"/>
              <w:left w:val="single" w:sz="4" w:space="0" w:color="FFFFFF" w:themeColor="background1"/>
              <w:bottom w:val="single" w:sz="4" w:space="0" w:color="F2F2F2" w:themeColor="background1" w:themeShade="F2"/>
            </w:tcBorders>
          </w:tcPr>
          <w:p w14:paraId="275147FE" w14:textId="77777777" w:rsidR="004815FD" w:rsidRPr="00D06CAF" w:rsidRDefault="004815FD" w:rsidP="00477B20">
            <w:pPr>
              <w:pStyle w:val="NormalWeb"/>
              <w:jc w:val="center"/>
              <w:rPr>
                <w:sz w:val="20"/>
                <w:szCs w:val="20"/>
              </w:rPr>
            </w:pPr>
            <w:r>
              <w:rPr>
                <w:sz w:val="20"/>
                <w:szCs w:val="20"/>
              </w:rPr>
              <w:t>SR</w:t>
            </w:r>
          </w:p>
        </w:tc>
        <w:tc>
          <w:tcPr>
            <w:tcW w:w="1726" w:type="dxa"/>
            <w:tcBorders>
              <w:top w:val="single" w:sz="4" w:space="0" w:color="F2F2F2" w:themeColor="background1" w:themeShade="F2"/>
              <w:bottom w:val="single" w:sz="4" w:space="0" w:color="F2F2F2" w:themeColor="background1" w:themeShade="F2"/>
              <w:right w:val="single" w:sz="4" w:space="0" w:color="F2F2F2" w:themeColor="background1" w:themeShade="F2"/>
            </w:tcBorders>
          </w:tcPr>
          <w:p w14:paraId="74439497" w14:textId="77777777" w:rsidR="004815FD" w:rsidRPr="00D06CAF" w:rsidRDefault="004815FD" w:rsidP="00477B20">
            <w:pPr>
              <w:pStyle w:val="NormalWeb"/>
              <w:jc w:val="center"/>
              <w:rPr>
                <w:sz w:val="20"/>
                <w:szCs w:val="20"/>
              </w:rPr>
            </w:pPr>
            <w:r>
              <w:rPr>
                <w:sz w:val="20"/>
                <w:szCs w:val="20"/>
              </w:rPr>
              <w:t>1</w:t>
            </w:r>
          </w:p>
        </w:tc>
        <w:tc>
          <w:tcPr>
            <w:tcW w:w="17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14:paraId="5FA86355" w14:textId="77777777" w:rsidR="004815FD" w:rsidRPr="00D06CAF" w:rsidRDefault="004815FD" w:rsidP="00477B20">
            <w:pPr>
              <w:pStyle w:val="NormalWeb"/>
              <w:jc w:val="center"/>
              <w:rPr>
                <w:sz w:val="20"/>
                <w:szCs w:val="20"/>
              </w:rPr>
            </w:pPr>
            <w:r>
              <w:rPr>
                <w:sz w:val="20"/>
                <w:szCs w:val="20"/>
              </w:rPr>
              <w:t>0.232</w:t>
            </w:r>
          </w:p>
        </w:tc>
        <w:tc>
          <w:tcPr>
            <w:tcW w:w="17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14:paraId="59F7A518" w14:textId="77777777" w:rsidR="004815FD" w:rsidRPr="00D06CAF" w:rsidRDefault="004815FD" w:rsidP="00477B20">
            <w:pPr>
              <w:pStyle w:val="NormalWeb"/>
              <w:jc w:val="center"/>
              <w:rPr>
                <w:sz w:val="20"/>
                <w:szCs w:val="20"/>
              </w:rPr>
            </w:pPr>
            <w:r>
              <w:rPr>
                <w:sz w:val="20"/>
                <w:szCs w:val="20"/>
              </w:rPr>
              <w:t>0.207</w:t>
            </w:r>
          </w:p>
        </w:tc>
        <w:tc>
          <w:tcPr>
            <w:tcW w:w="17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tcPr>
          <w:p w14:paraId="0C85752B" w14:textId="77777777" w:rsidR="004815FD" w:rsidRPr="00D06CAF" w:rsidRDefault="004815FD" w:rsidP="00477B20">
            <w:pPr>
              <w:pStyle w:val="NormalWeb"/>
              <w:jc w:val="center"/>
              <w:rPr>
                <w:sz w:val="20"/>
                <w:szCs w:val="20"/>
              </w:rPr>
            </w:pPr>
            <w:r>
              <w:rPr>
                <w:sz w:val="20"/>
                <w:szCs w:val="20"/>
              </w:rPr>
              <w:t>0.169</w:t>
            </w:r>
          </w:p>
        </w:tc>
      </w:tr>
      <w:tr w:rsidR="004815FD" w14:paraId="23CA8645" w14:textId="77777777" w:rsidTr="00477B20">
        <w:tc>
          <w:tcPr>
            <w:tcW w:w="1726" w:type="dxa"/>
            <w:tcBorders>
              <w:top w:val="single" w:sz="4" w:space="0" w:color="F2F2F2" w:themeColor="background1" w:themeShade="F2"/>
              <w:left w:val="single" w:sz="4" w:space="0" w:color="FFFFFF" w:themeColor="background1"/>
              <w:bottom w:val="single" w:sz="4" w:space="0" w:color="F2F2F2" w:themeColor="background1" w:themeShade="F2"/>
            </w:tcBorders>
          </w:tcPr>
          <w:p w14:paraId="72647F74" w14:textId="77777777" w:rsidR="004815FD" w:rsidRPr="00D06CAF" w:rsidRDefault="004815FD" w:rsidP="00477B20">
            <w:pPr>
              <w:pStyle w:val="NormalWeb"/>
              <w:jc w:val="center"/>
              <w:rPr>
                <w:sz w:val="20"/>
                <w:szCs w:val="20"/>
              </w:rPr>
            </w:pPr>
            <w:r>
              <w:rPr>
                <w:sz w:val="20"/>
                <w:szCs w:val="20"/>
              </w:rPr>
              <w:t>P1-P1</w:t>
            </w:r>
          </w:p>
        </w:tc>
        <w:tc>
          <w:tcPr>
            <w:tcW w:w="1726" w:type="dxa"/>
            <w:tcBorders>
              <w:top w:val="single" w:sz="4" w:space="0" w:color="F2F2F2" w:themeColor="background1" w:themeShade="F2"/>
              <w:bottom w:val="single" w:sz="4" w:space="0" w:color="F2F2F2" w:themeColor="background1" w:themeShade="F2"/>
              <w:right w:val="single" w:sz="4" w:space="0" w:color="F2F2F2" w:themeColor="background1" w:themeShade="F2"/>
            </w:tcBorders>
          </w:tcPr>
          <w:p w14:paraId="147A850C" w14:textId="77777777" w:rsidR="004815FD" w:rsidRPr="00D06CAF" w:rsidRDefault="004815FD" w:rsidP="00477B20">
            <w:pPr>
              <w:pStyle w:val="NormalWeb"/>
              <w:jc w:val="center"/>
              <w:rPr>
                <w:sz w:val="20"/>
                <w:szCs w:val="20"/>
              </w:rPr>
            </w:pPr>
            <w:r>
              <w:rPr>
                <w:sz w:val="20"/>
                <w:szCs w:val="20"/>
              </w:rPr>
              <w:t>-</w:t>
            </w:r>
          </w:p>
        </w:tc>
        <w:tc>
          <w:tcPr>
            <w:tcW w:w="17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14:paraId="3B4ED33C" w14:textId="77777777" w:rsidR="004815FD" w:rsidRPr="00D06CAF" w:rsidRDefault="004815FD" w:rsidP="00477B20">
            <w:pPr>
              <w:pStyle w:val="NormalWeb"/>
              <w:jc w:val="center"/>
              <w:rPr>
                <w:sz w:val="20"/>
                <w:szCs w:val="20"/>
              </w:rPr>
            </w:pPr>
            <w:r>
              <w:rPr>
                <w:sz w:val="20"/>
                <w:szCs w:val="20"/>
              </w:rPr>
              <w:t>1</w:t>
            </w:r>
          </w:p>
        </w:tc>
        <w:tc>
          <w:tcPr>
            <w:tcW w:w="17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14:paraId="5A0A6F46" w14:textId="77777777" w:rsidR="004815FD" w:rsidRPr="00D06CAF" w:rsidRDefault="004815FD" w:rsidP="00477B20">
            <w:pPr>
              <w:pStyle w:val="NormalWeb"/>
              <w:jc w:val="center"/>
              <w:rPr>
                <w:sz w:val="20"/>
                <w:szCs w:val="20"/>
              </w:rPr>
            </w:pPr>
            <w:r>
              <w:rPr>
                <w:sz w:val="20"/>
                <w:szCs w:val="20"/>
              </w:rPr>
              <w:t>0.093</w:t>
            </w:r>
          </w:p>
        </w:tc>
        <w:tc>
          <w:tcPr>
            <w:tcW w:w="17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tcPr>
          <w:p w14:paraId="5D5BBF66" w14:textId="77777777" w:rsidR="004815FD" w:rsidRPr="00D06CAF" w:rsidRDefault="004815FD" w:rsidP="00477B20">
            <w:pPr>
              <w:pStyle w:val="NormalWeb"/>
              <w:jc w:val="center"/>
              <w:rPr>
                <w:sz w:val="20"/>
                <w:szCs w:val="20"/>
              </w:rPr>
            </w:pPr>
            <w:r>
              <w:rPr>
                <w:sz w:val="20"/>
                <w:szCs w:val="20"/>
              </w:rPr>
              <w:t>0.436</w:t>
            </w:r>
          </w:p>
        </w:tc>
      </w:tr>
      <w:tr w:rsidR="004815FD" w14:paraId="190B5646" w14:textId="77777777" w:rsidTr="00477B20">
        <w:tc>
          <w:tcPr>
            <w:tcW w:w="1726" w:type="dxa"/>
            <w:tcBorders>
              <w:top w:val="single" w:sz="4" w:space="0" w:color="F2F2F2" w:themeColor="background1" w:themeShade="F2"/>
              <w:left w:val="single" w:sz="4" w:space="0" w:color="FFFFFF" w:themeColor="background1"/>
              <w:bottom w:val="single" w:sz="4" w:space="0" w:color="F2F2F2" w:themeColor="background1" w:themeShade="F2"/>
            </w:tcBorders>
          </w:tcPr>
          <w:p w14:paraId="2B8DD338" w14:textId="77777777" w:rsidR="004815FD" w:rsidRPr="00D06CAF" w:rsidRDefault="004815FD" w:rsidP="00477B20">
            <w:pPr>
              <w:pStyle w:val="NormalWeb"/>
              <w:jc w:val="center"/>
              <w:rPr>
                <w:sz w:val="20"/>
                <w:szCs w:val="20"/>
              </w:rPr>
            </w:pPr>
            <w:r>
              <w:rPr>
                <w:sz w:val="20"/>
                <w:szCs w:val="20"/>
              </w:rPr>
              <w:t>P2-P2</w:t>
            </w:r>
          </w:p>
        </w:tc>
        <w:tc>
          <w:tcPr>
            <w:tcW w:w="1726" w:type="dxa"/>
            <w:tcBorders>
              <w:top w:val="single" w:sz="4" w:space="0" w:color="F2F2F2" w:themeColor="background1" w:themeShade="F2"/>
              <w:bottom w:val="single" w:sz="4" w:space="0" w:color="F2F2F2" w:themeColor="background1" w:themeShade="F2"/>
              <w:right w:val="single" w:sz="4" w:space="0" w:color="F2F2F2" w:themeColor="background1" w:themeShade="F2"/>
            </w:tcBorders>
          </w:tcPr>
          <w:p w14:paraId="7AECD020" w14:textId="77777777" w:rsidR="004815FD" w:rsidRPr="00D06CAF" w:rsidRDefault="004815FD" w:rsidP="00477B20">
            <w:pPr>
              <w:pStyle w:val="NormalWeb"/>
              <w:jc w:val="center"/>
              <w:rPr>
                <w:sz w:val="20"/>
                <w:szCs w:val="20"/>
              </w:rPr>
            </w:pPr>
            <w:r>
              <w:rPr>
                <w:sz w:val="20"/>
                <w:szCs w:val="20"/>
              </w:rPr>
              <w:t>-</w:t>
            </w:r>
          </w:p>
        </w:tc>
        <w:tc>
          <w:tcPr>
            <w:tcW w:w="17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14:paraId="69F95216" w14:textId="77777777" w:rsidR="004815FD" w:rsidRPr="00D06CAF" w:rsidRDefault="004815FD" w:rsidP="00477B20">
            <w:pPr>
              <w:pStyle w:val="NormalWeb"/>
              <w:jc w:val="center"/>
              <w:rPr>
                <w:sz w:val="20"/>
                <w:szCs w:val="20"/>
              </w:rPr>
            </w:pPr>
            <w:r>
              <w:rPr>
                <w:sz w:val="20"/>
                <w:szCs w:val="20"/>
              </w:rPr>
              <w:t>-</w:t>
            </w:r>
          </w:p>
        </w:tc>
        <w:tc>
          <w:tcPr>
            <w:tcW w:w="17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14:paraId="1CCEF694" w14:textId="77777777" w:rsidR="004815FD" w:rsidRPr="00D06CAF" w:rsidRDefault="004815FD" w:rsidP="00477B20">
            <w:pPr>
              <w:pStyle w:val="NormalWeb"/>
              <w:jc w:val="center"/>
              <w:rPr>
                <w:sz w:val="20"/>
                <w:szCs w:val="20"/>
              </w:rPr>
            </w:pPr>
            <w:r>
              <w:rPr>
                <w:sz w:val="20"/>
                <w:szCs w:val="20"/>
              </w:rPr>
              <w:t>1</w:t>
            </w:r>
          </w:p>
        </w:tc>
        <w:tc>
          <w:tcPr>
            <w:tcW w:w="1726"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tcPr>
          <w:p w14:paraId="4AD64469" w14:textId="77777777" w:rsidR="004815FD" w:rsidRPr="00D06CAF" w:rsidRDefault="004815FD" w:rsidP="00477B20">
            <w:pPr>
              <w:pStyle w:val="NormalWeb"/>
              <w:jc w:val="center"/>
              <w:rPr>
                <w:sz w:val="20"/>
                <w:szCs w:val="20"/>
              </w:rPr>
            </w:pPr>
            <w:r>
              <w:rPr>
                <w:sz w:val="20"/>
                <w:szCs w:val="20"/>
              </w:rPr>
              <w:t>0.319</w:t>
            </w:r>
          </w:p>
        </w:tc>
      </w:tr>
      <w:tr w:rsidR="004815FD" w14:paraId="63411B2F" w14:textId="77777777" w:rsidTr="00477B20">
        <w:tc>
          <w:tcPr>
            <w:tcW w:w="1726" w:type="dxa"/>
            <w:tcBorders>
              <w:top w:val="single" w:sz="4" w:space="0" w:color="F2F2F2" w:themeColor="background1" w:themeShade="F2"/>
              <w:left w:val="single" w:sz="4" w:space="0" w:color="FFFFFF" w:themeColor="background1"/>
            </w:tcBorders>
          </w:tcPr>
          <w:p w14:paraId="62F98502" w14:textId="77777777" w:rsidR="004815FD" w:rsidRPr="00D06CAF" w:rsidRDefault="004815FD" w:rsidP="00477B20">
            <w:pPr>
              <w:pStyle w:val="NormalWeb"/>
              <w:jc w:val="center"/>
              <w:rPr>
                <w:sz w:val="20"/>
                <w:szCs w:val="20"/>
              </w:rPr>
            </w:pPr>
            <w:r>
              <w:rPr>
                <w:sz w:val="20"/>
                <w:szCs w:val="20"/>
              </w:rPr>
              <w:t>P3-P3</w:t>
            </w:r>
          </w:p>
        </w:tc>
        <w:tc>
          <w:tcPr>
            <w:tcW w:w="1726" w:type="dxa"/>
            <w:tcBorders>
              <w:top w:val="single" w:sz="4" w:space="0" w:color="F2F2F2" w:themeColor="background1" w:themeShade="F2"/>
              <w:right w:val="single" w:sz="4" w:space="0" w:color="F2F2F2" w:themeColor="background1" w:themeShade="F2"/>
            </w:tcBorders>
          </w:tcPr>
          <w:p w14:paraId="197085CE" w14:textId="77777777" w:rsidR="004815FD" w:rsidRPr="00D06CAF" w:rsidRDefault="004815FD" w:rsidP="00477B20">
            <w:pPr>
              <w:pStyle w:val="NormalWeb"/>
              <w:jc w:val="center"/>
              <w:rPr>
                <w:sz w:val="20"/>
                <w:szCs w:val="20"/>
              </w:rPr>
            </w:pPr>
            <w:r>
              <w:rPr>
                <w:sz w:val="20"/>
                <w:szCs w:val="20"/>
              </w:rPr>
              <w:t>-</w:t>
            </w:r>
          </w:p>
        </w:tc>
        <w:tc>
          <w:tcPr>
            <w:tcW w:w="1726" w:type="dxa"/>
            <w:tcBorders>
              <w:top w:val="single" w:sz="4" w:space="0" w:color="F2F2F2" w:themeColor="background1" w:themeShade="F2"/>
              <w:left w:val="single" w:sz="4" w:space="0" w:color="F2F2F2" w:themeColor="background1" w:themeShade="F2"/>
              <w:right w:val="single" w:sz="4" w:space="0" w:color="F2F2F2" w:themeColor="background1" w:themeShade="F2"/>
            </w:tcBorders>
          </w:tcPr>
          <w:p w14:paraId="0CC9EEC7" w14:textId="77777777" w:rsidR="004815FD" w:rsidRPr="00D06CAF" w:rsidRDefault="004815FD" w:rsidP="00477B20">
            <w:pPr>
              <w:pStyle w:val="NormalWeb"/>
              <w:jc w:val="center"/>
              <w:rPr>
                <w:sz w:val="20"/>
                <w:szCs w:val="20"/>
              </w:rPr>
            </w:pPr>
            <w:r>
              <w:rPr>
                <w:sz w:val="20"/>
                <w:szCs w:val="20"/>
              </w:rPr>
              <w:t>-</w:t>
            </w:r>
          </w:p>
        </w:tc>
        <w:tc>
          <w:tcPr>
            <w:tcW w:w="1726" w:type="dxa"/>
            <w:tcBorders>
              <w:top w:val="single" w:sz="4" w:space="0" w:color="F2F2F2" w:themeColor="background1" w:themeShade="F2"/>
              <w:left w:val="single" w:sz="4" w:space="0" w:color="F2F2F2" w:themeColor="background1" w:themeShade="F2"/>
              <w:right w:val="single" w:sz="4" w:space="0" w:color="F2F2F2" w:themeColor="background1" w:themeShade="F2"/>
            </w:tcBorders>
          </w:tcPr>
          <w:p w14:paraId="39DA11F3" w14:textId="77777777" w:rsidR="004815FD" w:rsidRPr="00D06CAF" w:rsidRDefault="004815FD" w:rsidP="00477B20">
            <w:pPr>
              <w:pStyle w:val="NormalWeb"/>
              <w:jc w:val="center"/>
              <w:rPr>
                <w:sz w:val="20"/>
                <w:szCs w:val="20"/>
              </w:rPr>
            </w:pPr>
            <w:r>
              <w:rPr>
                <w:sz w:val="20"/>
                <w:szCs w:val="20"/>
              </w:rPr>
              <w:t>-</w:t>
            </w:r>
          </w:p>
        </w:tc>
        <w:tc>
          <w:tcPr>
            <w:tcW w:w="1726" w:type="dxa"/>
            <w:tcBorders>
              <w:top w:val="single" w:sz="4" w:space="0" w:color="F2F2F2" w:themeColor="background1" w:themeShade="F2"/>
              <w:left w:val="single" w:sz="4" w:space="0" w:color="F2F2F2" w:themeColor="background1" w:themeShade="F2"/>
              <w:right w:val="single" w:sz="4" w:space="0" w:color="FFFFFF" w:themeColor="background1"/>
            </w:tcBorders>
          </w:tcPr>
          <w:p w14:paraId="7DEF5FF4" w14:textId="77777777" w:rsidR="004815FD" w:rsidRPr="00D06CAF" w:rsidRDefault="004815FD" w:rsidP="00477B20">
            <w:pPr>
              <w:pStyle w:val="NormalWeb"/>
              <w:jc w:val="center"/>
              <w:rPr>
                <w:sz w:val="20"/>
                <w:szCs w:val="20"/>
              </w:rPr>
            </w:pPr>
            <w:r>
              <w:rPr>
                <w:sz w:val="20"/>
                <w:szCs w:val="20"/>
              </w:rPr>
              <w:t>1</w:t>
            </w:r>
          </w:p>
        </w:tc>
      </w:tr>
    </w:tbl>
    <w:p w14:paraId="03328864" w14:textId="35EA693F" w:rsidR="004815FD" w:rsidRDefault="004815FD" w:rsidP="004815FD">
      <w:pPr>
        <w:jc w:val="both"/>
        <w:rPr>
          <w:sz w:val="22"/>
          <w:szCs w:val="22"/>
        </w:rPr>
      </w:pPr>
    </w:p>
    <w:p w14:paraId="670EA08C" w14:textId="0A1EDAAC" w:rsidR="004815FD" w:rsidRDefault="004815FD" w:rsidP="004815FD">
      <w:pPr>
        <w:rPr>
          <w:b/>
          <w:bCs/>
          <w:sz w:val="22"/>
          <w:szCs w:val="22"/>
        </w:rPr>
      </w:pPr>
      <w:r>
        <w:rPr>
          <w:b/>
          <w:bCs/>
          <w:sz w:val="22"/>
          <w:szCs w:val="22"/>
        </w:rPr>
        <w:br w:type="page"/>
      </w:r>
    </w:p>
    <w:p w14:paraId="045D4EDF" w14:textId="3CE2C3D2" w:rsidR="004815FD" w:rsidRDefault="004815FD" w:rsidP="004815FD">
      <w:pPr>
        <w:rPr>
          <w:b/>
          <w:bCs/>
          <w:sz w:val="22"/>
          <w:szCs w:val="22"/>
        </w:rPr>
      </w:pPr>
      <w:r>
        <w:rPr>
          <w:b/>
          <w:bCs/>
          <w:noProof/>
          <w:sz w:val="20"/>
          <w:szCs w:val="20"/>
        </w:rPr>
        <w:lastRenderedPageBreak/>
        <w:drawing>
          <wp:inline distT="0" distB="0" distL="0" distR="0" wp14:anchorId="46BB2DE3" wp14:editId="10E42F75">
            <wp:extent cx="5486400" cy="4114644"/>
            <wp:effectExtent l="0" t="0" r="0" b="635"/>
            <wp:docPr id="3" name="Picture 3"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catter chart&#10;&#10;Description automatically generated"/>
                    <pic:cNvPicPr/>
                  </pic:nvPicPr>
                  <pic:blipFill rotWithShape="1">
                    <a:blip r:embed="rId13" cstate="print">
                      <a:extLst>
                        <a:ext uri="{28A0092B-C50C-407E-A947-70E740481C1C}">
                          <a14:useLocalDpi xmlns:a14="http://schemas.microsoft.com/office/drawing/2010/main" val="0"/>
                        </a:ext>
                      </a:extLst>
                    </a:blip>
                    <a:srcRect l="9690" r="15310"/>
                    <a:stretch/>
                  </pic:blipFill>
                  <pic:spPr bwMode="auto">
                    <a:xfrm>
                      <a:off x="0" y="0"/>
                      <a:ext cx="5486400" cy="4114644"/>
                    </a:xfrm>
                    <a:prstGeom prst="rect">
                      <a:avLst/>
                    </a:prstGeom>
                    <a:ln>
                      <a:noFill/>
                    </a:ln>
                    <a:extLst>
                      <a:ext uri="{53640926-AAD7-44D8-BBD7-CCE9431645EC}">
                        <a14:shadowObscured xmlns:a14="http://schemas.microsoft.com/office/drawing/2010/main"/>
                      </a:ext>
                    </a:extLst>
                  </pic:spPr>
                </pic:pic>
              </a:graphicData>
            </a:graphic>
          </wp:inline>
        </w:drawing>
      </w:r>
    </w:p>
    <w:p w14:paraId="4C9077F6" w14:textId="16DC3A78" w:rsidR="004815FD" w:rsidRPr="002977BC" w:rsidRDefault="004815FD" w:rsidP="00C90343">
      <w:pPr>
        <w:pStyle w:val="Caption"/>
        <w:jc w:val="both"/>
        <w:rPr>
          <w:sz w:val="22"/>
          <w:szCs w:val="22"/>
        </w:rPr>
      </w:pPr>
      <w:bookmarkStart w:id="51" w:name="_Toc88054001"/>
      <w:r w:rsidRPr="002977BC">
        <w:rPr>
          <w:sz w:val="22"/>
          <w:szCs w:val="22"/>
        </w:rPr>
        <w:t xml:space="preserve">Figure </w:t>
      </w:r>
      <w:r w:rsidRPr="002977BC">
        <w:rPr>
          <w:sz w:val="22"/>
          <w:szCs w:val="22"/>
        </w:rPr>
        <w:fldChar w:fldCharType="begin"/>
      </w:r>
      <w:r w:rsidRPr="002977BC">
        <w:rPr>
          <w:sz w:val="22"/>
          <w:szCs w:val="22"/>
        </w:rPr>
        <w:instrText xml:space="preserve"> SEQ Figure \* ARABIC </w:instrText>
      </w:r>
      <w:r w:rsidRPr="002977BC">
        <w:rPr>
          <w:sz w:val="22"/>
          <w:szCs w:val="22"/>
        </w:rPr>
        <w:fldChar w:fldCharType="separate"/>
      </w:r>
      <w:r w:rsidRPr="002977BC">
        <w:rPr>
          <w:noProof/>
          <w:sz w:val="22"/>
          <w:szCs w:val="22"/>
        </w:rPr>
        <w:t>6</w:t>
      </w:r>
      <w:r w:rsidRPr="002977BC">
        <w:rPr>
          <w:sz w:val="22"/>
          <w:szCs w:val="22"/>
        </w:rPr>
        <w:fldChar w:fldCharType="end"/>
      </w:r>
      <w:r w:rsidRPr="002977BC">
        <w:rPr>
          <w:sz w:val="22"/>
          <w:szCs w:val="22"/>
        </w:rPr>
        <w:t>. Geographic training extents</w:t>
      </w:r>
      <w:r w:rsidR="007E5AD3">
        <w:rPr>
          <w:sz w:val="22"/>
          <w:szCs w:val="22"/>
        </w:rPr>
        <w:t xml:space="preserve">, </w:t>
      </w:r>
      <w:r w:rsidRPr="002977BC">
        <w:rPr>
          <w:sz w:val="22"/>
          <w:szCs w:val="22"/>
        </w:rPr>
        <w:t>occurrence points</w:t>
      </w:r>
      <w:r w:rsidR="007E5AD3">
        <w:rPr>
          <w:sz w:val="22"/>
          <w:szCs w:val="22"/>
        </w:rPr>
        <w:t>, environmental variables, and model performance.</w:t>
      </w:r>
      <w:r w:rsidRPr="002977BC">
        <w:rPr>
          <w:sz w:val="22"/>
          <w:szCs w:val="22"/>
        </w:rPr>
        <w:t xml:space="preserve"> </w:t>
      </w:r>
      <w:r w:rsidR="007E5AD3">
        <w:rPr>
          <w:b w:val="0"/>
          <w:bCs w:val="0"/>
          <w:sz w:val="22"/>
          <w:szCs w:val="22"/>
        </w:rPr>
        <w:t>Shown f</w:t>
      </w:r>
      <w:r w:rsidRPr="007E5AD3">
        <w:rPr>
          <w:b w:val="0"/>
          <w:bCs w:val="0"/>
          <w:sz w:val="22"/>
          <w:szCs w:val="22"/>
        </w:rPr>
        <w:t>or range-wide experiment (“SR”, black) and for genetic provenance (P) experiments 1-3 (colored outset: bottom to top)</w:t>
      </w:r>
      <w:r w:rsidR="00B051C3" w:rsidRPr="007E5AD3">
        <w:rPr>
          <w:b w:val="0"/>
          <w:bCs w:val="0"/>
          <w:sz w:val="22"/>
          <w:szCs w:val="22"/>
        </w:rPr>
        <w:t xml:space="preserve"> (a); and </w:t>
      </w:r>
      <w:r w:rsidRPr="007E5AD3">
        <w:rPr>
          <w:b w:val="0"/>
          <w:bCs w:val="0"/>
          <w:sz w:val="22"/>
          <w:szCs w:val="22"/>
        </w:rPr>
        <w:t>RDA (Redundancy Analysis) plot of environmental variables included in final model experiments</w:t>
      </w:r>
      <w:r w:rsidR="00B051C3" w:rsidRPr="007E5AD3">
        <w:rPr>
          <w:b w:val="0"/>
          <w:bCs w:val="0"/>
          <w:sz w:val="22"/>
          <w:szCs w:val="22"/>
        </w:rPr>
        <w:t xml:space="preserve"> (b); and t</w:t>
      </w:r>
      <w:r w:rsidRPr="007E5AD3">
        <w:rPr>
          <w:b w:val="0"/>
          <w:bCs w:val="0"/>
          <w:sz w:val="22"/>
          <w:szCs w:val="22"/>
        </w:rPr>
        <w:t>est area under the curve of the receiver-operating characteristic values (AUC) +/- standard error for models</w:t>
      </w:r>
      <w:r w:rsidR="00B051C3" w:rsidRPr="007E5AD3">
        <w:rPr>
          <w:b w:val="0"/>
          <w:bCs w:val="0"/>
          <w:sz w:val="22"/>
          <w:szCs w:val="22"/>
        </w:rPr>
        <w:t xml:space="preserve"> (c)</w:t>
      </w:r>
      <w:r w:rsidRPr="007E5AD3">
        <w:rPr>
          <w:b w:val="0"/>
          <w:bCs w:val="0"/>
          <w:sz w:val="22"/>
          <w:szCs w:val="22"/>
        </w:rPr>
        <w:t>.</w:t>
      </w:r>
      <w:r w:rsidRPr="002977BC">
        <w:rPr>
          <w:sz w:val="22"/>
          <w:szCs w:val="22"/>
        </w:rPr>
        <w:t xml:space="preserve"> </w:t>
      </w:r>
      <w:r w:rsidRPr="002977BC">
        <w:rPr>
          <w:b w:val="0"/>
          <w:bCs w:val="0"/>
          <w:sz w:val="22"/>
          <w:szCs w:val="22"/>
        </w:rPr>
        <w:t>Color represents geographic training extent of model. Symbol fill (open/closed) represents the variable selection method with closed symbols = range-wide variable selection (RW) and open symbols = genetic provenance variable selection.</w:t>
      </w:r>
      <w:bookmarkEnd w:id="51"/>
    </w:p>
    <w:p w14:paraId="66AA7EA0" w14:textId="77777777" w:rsidR="004815FD" w:rsidRDefault="004815FD">
      <w:pPr>
        <w:rPr>
          <w:color w:val="000000"/>
          <w:sz w:val="22"/>
          <w:szCs w:val="22"/>
        </w:rPr>
      </w:pPr>
      <w:r>
        <w:rPr>
          <w:color w:val="000000"/>
          <w:sz w:val="22"/>
          <w:szCs w:val="22"/>
        </w:rPr>
        <w:br w:type="page"/>
      </w:r>
    </w:p>
    <w:p w14:paraId="44176020" w14:textId="2B9B8050" w:rsidR="004815FD" w:rsidRDefault="004815FD" w:rsidP="004815FD">
      <w:pPr>
        <w:rPr>
          <w:color w:val="000000"/>
          <w:sz w:val="22"/>
          <w:szCs w:val="22"/>
        </w:rPr>
      </w:pPr>
      <w:r>
        <w:rPr>
          <w:noProof/>
          <w:color w:val="000000"/>
          <w:sz w:val="20"/>
          <w:szCs w:val="20"/>
        </w:rPr>
        <w:lastRenderedPageBreak/>
        <w:drawing>
          <wp:inline distT="0" distB="0" distL="0" distR="0" wp14:anchorId="69BD2E85" wp14:editId="7241ADE0">
            <wp:extent cx="5411470" cy="2580518"/>
            <wp:effectExtent l="0" t="0" r="0" b="0"/>
            <wp:docPr id="2" name="Picture 2"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 histogram&#10;&#10;Description automatically generated"/>
                    <pic:cNvPicPr/>
                  </pic:nvPicPr>
                  <pic:blipFill rotWithShape="1">
                    <a:blip r:embed="rId14" cstate="print">
                      <a:extLst>
                        <a:ext uri="{28A0092B-C50C-407E-A947-70E740481C1C}">
                          <a14:useLocalDpi xmlns:a14="http://schemas.microsoft.com/office/drawing/2010/main" val="0"/>
                        </a:ext>
                      </a:extLst>
                    </a:blip>
                    <a:srcRect l="5814" t="7472" r="4650" b="16624"/>
                    <a:stretch/>
                  </pic:blipFill>
                  <pic:spPr bwMode="auto">
                    <a:xfrm>
                      <a:off x="0" y="0"/>
                      <a:ext cx="5423239" cy="2586130"/>
                    </a:xfrm>
                    <a:prstGeom prst="rect">
                      <a:avLst/>
                    </a:prstGeom>
                    <a:ln>
                      <a:noFill/>
                    </a:ln>
                    <a:extLst>
                      <a:ext uri="{53640926-AAD7-44D8-BBD7-CCE9431645EC}">
                        <a14:shadowObscured xmlns:a14="http://schemas.microsoft.com/office/drawing/2010/main"/>
                      </a:ext>
                    </a:extLst>
                  </pic:spPr>
                </pic:pic>
              </a:graphicData>
            </a:graphic>
          </wp:inline>
        </w:drawing>
      </w:r>
    </w:p>
    <w:p w14:paraId="4B463083" w14:textId="1A4ABD78" w:rsidR="004815FD" w:rsidRPr="002977BC" w:rsidRDefault="004815FD" w:rsidP="00C90343">
      <w:pPr>
        <w:pStyle w:val="Caption"/>
        <w:jc w:val="both"/>
        <w:rPr>
          <w:b w:val="0"/>
          <w:bCs w:val="0"/>
          <w:sz w:val="22"/>
          <w:szCs w:val="22"/>
        </w:rPr>
      </w:pPr>
      <w:bookmarkStart w:id="52" w:name="_Toc88054002"/>
      <w:r w:rsidRPr="002977BC">
        <w:rPr>
          <w:sz w:val="22"/>
          <w:szCs w:val="22"/>
        </w:rPr>
        <w:t xml:space="preserve">Figure </w:t>
      </w:r>
      <w:r w:rsidRPr="002977BC">
        <w:rPr>
          <w:sz w:val="22"/>
          <w:szCs w:val="22"/>
        </w:rPr>
        <w:fldChar w:fldCharType="begin"/>
      </w:r>
      <w:r w:rsidRPr="002977BC">
        <w:rPr>
          <w:sz w:val="22"/>
          <w:szCs w:val="22"/>
        </w:rPr>
        <w:instrText xml:space="preserve"> SEQ Figure \* ARABIC </w:instrText>
      </w:r>
      <w:r w:rsidRPr="002977BC">
        <w:rPr>
          <w:sz w:val="22"/>
          <w:szCs w:val="22"/>
        </w:rPr>
        <w:fldChar w:fldCharType="separate"/>
      </w:r>
      <w:r w:rsidRPr="002977BC">
        <w:rPr>
          <w:noProof/>
          <w:sz w:val="22"/>
          <w:szCs w:val="22"/>
        </w:rPr>
        <w:t>7</w:t>
      </w:r>
      <w:r w:rsidRPr="002977BC">
        <w:rPr>
          <w:sz w:val="22"/>
          <w:szCs w:val="22"/>
        </w:rPr>
        <w:fldChar w:fldCharType="end"/>
      </w:r>
      <w:r w:rsidRPr="002977BC">
        <w:rPr>
          <w:sz w:val="22"/>
          <w:szCs w:val="22"/>
        </w:rPr>
        <w:t xml:space="preserve">. Comparison of species range-wide model to provenance models (P1, P2, P3) across two methods of variable selection (range-wide and within-provenance selection; closed and open symbols, respectively). </w:t>
      </w:r>
      <w:r w:rsidRPr="002977BC">
        <w:rPr>
          <w:b w:val="0"/>
          <w:bCs w:val="0"/>
          <w:sz w:val="22"/>
          <w:szCs w:val="22"/>
        </w:rPr>
        <w:t xml:space="preserve">Panel (a) represents the percent difference (geographic spatial disagreement) between predictions of suitable distribution made by the range-wide species model and respective provenance models. Positive values indicate that the range-wide model predicts broader suitable distribution than the provenance model. Panel (b) represents geographic spatial agreement between model predictions of suitable distribution. This value does not consider model agreement on “unsuitable” distribution. Panel (c) represents niche overlap measured using </w:t>
      </w:r>
      <w:proofErr w:type="spellStart"/>
      <w:r w:rsidRPr="002977BC">
        <w:rPr>
          <w:b w:val="0"/>
          <w:bCs w:val="0"/>
          <w:sz w:val="22"/>
          <w:szCs w:val="22"/>
        </w:rPr>
        <w:t>Schoener’s</w:t>
      </w:r>
      <w:proofErr w:type="spellEnd"/>
      <w:r w:rsidRPr="002977BC">
        <w:rPr>
          <w:b w:val="0"/>
          <w:bCs w:val="0"/>
          <w:sz w:val="22"/>
          <w:szCs w:val="22"/>
        </w:rPr>
        <w:t xml:space="preserve"> D. Values fall between 0 and 1, with values closer to zero representing no overlap between models while a value of 1 indicates full overlap of models.</w:t>
      </w:r>
      <w:bookmarkEnd w:id="52"/>
    </w:p>
    <w:p w14:paraId="4053669B" w14:textId="77777777" w:rsidR="004815FD" w:rsidRDefault="004815FD">
      <w:pPr>
        <w:rPr>
          <w:iCs/>
          <w:sz w:val="22"/>
          <w:szCs w:val="22"/>
        </w:rPr>
      </w:pPr>
      <w:r>
        <w:rPr>
          <w:iCs/>
          <w:sz w:val="22"/>
          <w:szCs w:val="22"/>
        </w:rPr>
        <w:br w:type="page"/>
      </w:r>
    </w:p>
    <w:p w14:paraId="420022FB" w14:textId="6DF1A8FA" w:rsidR="004815FD" w:rsidRPr="004815FD" w:rsidRDefault="004815FD" w:rsidP="004815FD">
      <w:pPr>
        <w:rPr>
          <w:iCs/>
          <w:sz w:val="22"/>
          <w:szCs w:val="22"/>
        </w:rPr>
      </w:pPr>
      <w:r>
        <w:rPr>
          <w:iCs/>
          <w:noProof/>
          <w:sz w:val="20"/>
          <w:szCs w:val="20"/>
        </w:rPr>
        <w:lastRenderedPageBreak/>
        <w:drawing>
          <wp:inline distT="0" distB="0" distL="0" distR="0" wp14:anchorId="6AEC7727" wp14:editId="1A679BE2">
            <wp:extent cx="5415915" cy="3123854"/>
            <wp:effectExtent l="0" t="0" r="0" b="635"/>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rotWithShape="1">
                    <a:blip r:embed="rId15" cstate="print">
                      <a:extLst>
                        <a:ext uri="{28A0092B-C50C-407E-A947-70E740481C1C}">
                          <a14:useLocalDpi xmlns:a14="http://schemas.microsoft.com/office/drawing/2010/main" val="0"/>
                        </a:ext>
                      </a:extLst>
                    </a:blip>
                    <a:srcRect l="8244" t="3617" r="5008" b="7431"/>
                    <a:stretch/>
                  </pic:blipFill>
                  <pic:spPr bwMode="auto">
                    <a:xfrm>
                      <a:off x="0" y="0"/>
                      <a:ext cx="5428816" cy="3131295"/>
                    </a:xfrm>
                    <a:prstGeom prst="rect">
                      <a:avLst/>
                    </a:prstGeom>
                    <a:ln>
                      <a:noFill/>
                    </a:ln>
                    <a:extLst>
                      <a:ext uri="{53640926-AAD7-44D8-BBD7-CCE9431645EC}">
                        <a14:shadowObscured xmlns:a14="http://schemas.microsoft.com/office/drawing/2010/main"/>
                      </a:ext>
                    </a:extLst>
                  </pic:spPr>
                </pic:pic>
              </a:graphicData>
            </a:graphic>
          </wp:inline>
        </w:drawing>
      </w:r>
    </w:p>
    <w:p w14:paraId="2DFD7E06" w14:textId="74B3E0E1" w:rsidR="0080059B" w:rsidRPr="002977BC" w:rsidRDefault="004815FD" w:rsidP="00C90343">
      <w:pPr>
        <w:pStyle w:val="Caption"/>
        <w:jc w:val="both"/>
        <w:rPr>
          <w:b w:val="0"/>
          <w:bCs w:val="0"/>
          <w:sz w:val="22"/>
          <w:szCs w:val="22"/>
        </w:rPr>
      </w:pPr>
      <w:bookmarkStart w:id="53" w:name="_Toc88054003"/>
      <w:r w:rsidRPr="002977BC">
        <w:rPr>
          <w:sz w:val="22"/>
          <w:szCs w:val="22"/>
        </w:rPr>
        <w:t xml:space="preserve">Figure </w:t>
      </w:r>
      <w:r w:rsidRPr="002977BC">
        <w:rPr>
          <w:sz w:val="22"/>
          <w:szCs w:val="22"/>
        </w:rPr>
        <w:fldChar w:fldCharType="begin"/>
      </w:r>
      <w:r w:rsidRPr="002977BC">
        <w:rPr>
          <w:sz w:val="22"/>
          <w:szCs w:val="22"/>
        </w:rPr>
        <w:instrText xml:space="preserve"> SEQ Figure \* ARABIC </w:instrText>
      </w:r>
      <w:r w:rsidRPr="002977BC">
        <w:rPr>
          <w:sz w:val="22"/>
          <w:szCs w:val="22"/>
        </w:rPr>
        <w:fldChar w:fldCharType="separate"/>
      </w:r>
      <w:r w:rsidRPr="002977BC">
        <w:rPr>
          <w:noProof/>
          <w:sz w:val="22"/>
          <w:szCs w:val="22"/>
        </w:rPr>
        <w:t>8</w:t>
      </w:r>
      <w:r w:rsidRPr="002977BC">
        <w:rPr>
          <w:sz w:val="22"/>
          <w:szCs w:val="22"/>
        </w:rPr>
        <w:fldChar w:fldCharType="end"/>
      </w:r>
      <w:r w:rsidRPr="002977BC">
        <w:rPr>
          <w:sz w:val="22"/>
          <w:szCs w:val="22"/>
        </w:rPr>
        <w:t xml:space="preserve">. Provenance </w:t>
      </w:r>
      <w:r w:rsidR="00DE413C">
        <w:rPr>
          <w:sz w:val="22"/>
          <w:szCs w:val="22"/>
        </w:rPr>
        <w:t>SDM</w:t>
      </w:r>
      <w:r w:rsidRPr="002977BC">
        <w:rPr>
          <w:sz w:val="22"/>
          <w:szCs w:val="22"/>
        </w:rPr>
        <w:t xml:space="preserve">s generate different predictions of suitable distribution across species’ range. </w:t>
      </w:r>
      <w:r w:rsidRPr="002977BC">
        <w:rPr>
          <w:b w:val="0"/>
          <w:bCs w:val="0"/>
          <w:sz w:val="22"/>
          <w:szCs w:val="22"/>
        </w:rPr>
        <w:t xml:space="preserve">Bars in black use provenance models trained with the “range-wide” (RW) suite of variables selected for the species model. Bars in light grey represent provenance models trained with uniquely selected variables (P1-P1, P2-P2, and P3-P3 models). “Single” on the x-axis represents percentages of the landscape where only one provenance model predicted suitable distribution, “double” means any two models overlapped (agreement between two model predictions), and “triple” represents the percentage of suitable distribution that is agreed upon by all three provenance models (geographic spatial agreement). The two bars representing predictions made by a single model are split by color into the percentage of distribution predicted by each provenance model (by color, as in previous figures and Table </w:t>
      </w:r>
      <w:r w:rsidR="002977BC">
        <w:rPr>
          <w:b w:val="0"/>
          <w:bCs w:val="0"/>
          <w:sz w:val="22"/>
          <w:szCs w:val="22"/>
        </w:rPr>
        <w:t>3</w:t>
      </w:r>
      <w:r w:rsidRPr="002977BC">
        <w:rPr>
          <w:b w:val="0"/>
          <w:bCs w:val="0"/>
          <w:sz w:val="22"/>
          <w:szCs w:val="22"/>
        </w:rPr>
        <w:t xml:space="preserve">). Dashed lines represent the total percentage of the landscape predicted suitable by at least one model (i.e., “single” + “double” + “triple”). Lines are colored as the bars: black range-wide models and grey unique provenance models. Dotted lines represent the total percentage of landscape predicted suitable by bioclimatic models (see </w:t>
      </w:r>
      <w:r w:rsidR="002977BC">
        <w:rPr>
          <w:b w:val="0"/>
          <w:bCs w:val="0"/>
          <w:sz w:val="22"/>
          <w:szCs w:val="22"/>
        </w:rPr>
        <w:t>Appendix 4</w:t>
      </w:r>
      <w:r w:rsidRPr="002977BC">
        <w:rPr>
          <w:b w:val="0"/>
          <w:bCs w:val="0"/>
          <w:sz w:val="22"/>
          <w:szCs w:val="22"/>
        </w:rPr>
        <w:t>). Note that the range-wide species model predictions are not represented in this figure, but the full geographic extent of species’ range was considered for calculations.</w:t>
      </w:r>
      <w:bookmarkEnd w:id="53"/>
    </w:p>
    <w:p w14:paraId="0876F0B9" w14:textId="77777777" w:rsidR="0080059B" w:rsidRDefault="0080059B">
      <w:pPr>
        <w:rPr>
          <w:sz w:val="22"/>
          <w:szCs w:val="22"/>
        </w:rPr>
      </w:pPr>
      <w:r>
        <w:rPr>
          <w:sz w:val="22"/>
          <w:szCs w:val="22"/>
        </w:rPr>
        <w:br w:type="page"/>
      </w:r>
    </w:p>
    <w:p w14:paraId="3448DC94" w14:textId="09559C7C" w:rsidR="00E865F7" w:rsidRPr="00DF7C87" w:rsidRDefault="00E865F7" w:rsidP="00E865F7">
      <w:pPr>
        <w:pStyle w:val="Heading1"/>
        <w:rPr>
          <w:szCs w:val="28"/>
        </w:rPr>
      </w:pPr>
      <w:bookmarkStart w:id="54" w:name="_Toc88056488"/>
      <w:r w:rsidRPr="00DF7C87">
        <w:rPr>
          <w:szCs w:val="28"/>
        </w:rPr>
        <w:lastRenderedPageBreak/>
        <w:t xml:space="preserve">CHAPTER </w:t>
      </w:r>
      <w:r>
        <w:rPr>
          <w:szCs w:val="28"/>
        </w:rPr>
        <w:t>III</w:t>
      </w:r>
      <w:r w:rsidRPr="00DF7C87">
        <w:rPr>
          <w:szCs w:val="28"/>
        </w:rPr>
        <w:br/>
      </w:r>
      <w:r>
        <w:rPr>
          <w:szCs w:val="28"/>
        </w:rPr>
        <w:t>Climate</w:t>
      </w:r>
      <w:r w:rsidR="00AE7BF3">
        <w:rPr>
          <w:szCs w:val="28"/>
        </w:rPr>
        <w:t>-</w:t>
      </w:r>
      <w:r w:rsidR="00585C7F">
        <w:rPr>
          <w:szCs w:val="28"/>
        </w:rPr>
        <w:t>d</w:t>
      </w:r>
      <w:r>
        <w:rPr>
          <w:szCs w:val="28"/>
        </w:rPr>
        <w:t xml:space="preserve">riven loss of genetic variation in bud break </w:t>
      </w:r>
      <w:r w:rsidR="00585C7F">
        <w:rPr>
          <w:szCs w:val="28"/>
        </w:rPr>
        <w:t>on</w:t>
      </w:r>
      <w:r>
        <w:rPr>
          <w:szCs w:val="28"/>
        </w:rPr>
        <w:t xml:space="preserve"> the landscape</w:t>
      </w:r>
      <w:bookmarkEnd w:id="54"/>
      <w:r>
        <w:rPr>
          <w:szCs w:val="28"/>
        </w:rPr>
        <w:t xml:space="preserve"> </w:t>
      </w:r>
    </w:p>
    <w:p w14:paraId="78F810CB" w14:textId="77777777" w:rsidR="0080059B" w:rsidRDefault="0080059B">
      <w:pPr>
        <w:rPr>
          <w:b/>
          <w:bCs/>
          <w:caps/>
          <w:sz w:val="28"/>
        </w:rPr>
      </w:pPr>
      <w:r>
        <w:br w:type="page"/>
      </w:r>
    </w:p>
    <w:p w14:paraId="6017092B" w14:textId="42ADA447" w:rsidR="004815FD" w:rsidRPr="00C90343" w:rsidRDefault="0080059B" w:rsidP="00C90343">
      <w:pPr>
        <w:pStyle w:val="Heading2"/>
        <w:spacing w:line="360" w:lineRule="auto"/>
        <w:rPr>
          <w:sz w:val="24"/>
          <w:szCs w:val="24"/>
        </w:rPr>
      </w:pPr>
      <w:bookmarkStart w:id="55" w:name="_Toc88056489"/>
      <w:r w:rsidRPr="00C90343">
        <w:rPr>
          <w:sz w:val="24"/>
          <w:szCs w:val="24"/>
        </w:rPr>
        <w:lastRenderedPageBreak/>
        <w:t>Abstract</w:t>
      </w:r>
      <w:bookmarkEnd w:id="55"/>
    </w:p>
    <w:p w14:paraId="1A84196D" w14:textId="3E8AA970" w:rsidR="00412B02" w:rsidRPr="00C90343" w:rsidRDefault="00412B02" w:rsidP="00C90343">
      <w:pPr>
        <w:pStyle w:val="NormalWeb"/>
        <w:spacing w:line="360" w:lineRule="auto"/>
        <w:jc w:val="both"/>
      </w:pPr>
      <w:r w:rsidRPr="00C90343">
        <w:rPr>
          <w:color w:val="111111"/>
        </w:rPr>
        <w:t>Climate change is having profound effects on species distributions. However, less is understood about how climate change may alter the distribution of genetic variation across landscapes. Maintaining population genetic diversity is essential for the survival of species in the face of rapid climatic changes, and loss of variation will have significant consequences for both ecological and evolutionary processes. The objective of this work was to i</w:t>
      </w:r>
      <w:r w:rsidRPr="00C90343">
        <w:t xml:space="preserve">ntegrate </w:t>
      </w:r>
      <w:proofErr w:type="gramStart"/>
      <w:r w:rsidRPr="00C90343">
        <w:t>genetically</w:t>
      </w:r>
      <w:r w:rsidR="00A1793F">
        <w:t>-</w:t>
      </w:r>
      <w:r w:rsidRPr="00C90343">
        <w:t>based</w:t>
      </w:r>
      <w:proofErr w:type="gramEnd"/>
      <w:r w:rsidRPr="00C90343">
        <w:t xml:space="preserve"> trait variation with distribution models to understand how variation is predicted to change across a species’ range on the landscape with climate change. We use greenhouse trait values of spring leaf-out phenology of 400 genotypes from three geographically isolated populations (hereafter </w:t>
      </w:r>
      <w:r w:rsidRPr="00C90343">
        <w:rPr>
          <w:i/>
        </w:rPr>
        <w:t>provenances</w:t>
      </w:r>
      <w:r w:rsidRPr="00C90343">
        <w:t xml:space="preserve">) of </w:t>
      </w:r>
      <w:r w:rsidRPr="00C90343">
        <w:rPr>
          <w:i/>
          <w:iCs/>
        </w:rPr>
        <w:t>Populus angustifolia</w:t>
      </w:r>
      <w:r w:rsidRPr="00C90343">
        <w:t xml:space="preserve"> in concert with stacked species distribution modeling to ask the following questions: (a) How will climate change predictions alter phenological variation across the species-range and within provenances; and (b) </w:t>
      </w:r>
      <w:r w:rsidR="008C10BF">
        <w:t>W</w:t>
      </w:r>
      <w:r w:rsidRPr="00C90343">
        <w:t xml:space="preserve">hether changes to the distribution of phenological variation across genetic provenances will converge (become more similar) over time with future climatic conditions. We hypothesize (a) that strong climate gradients will decrease phenological variation on the landscape within all provenances, but that the trailing-edge (lowest latitude) provenance will lose the most variation; </w:t>
      </w:r>
      <w:r w:rsidR="008C10BF">
        <w:t>a</w:t>
      </w:r>
      <w:r w:rsidRPr="00C90343">
        <w:t>nd (b) that phenological trait distributions will change within genetic provenances over time while becoming more similar among them.</w:t>
      </w:r>
      <w:r w:rsidRPr="00C90343">
        <w:rPr>
          <w:color w:val="111111"/>
        </w:rPr>
        <w:t xml:space="preserve"> Our models predict a net loss of phenological variation in future climates on 20-25% of the landscape across the species’ range, regardless of climate scenario, with the trailing edge provenance losing trait variation on as much as 47% of the landscape. Our models also predict that phenological trait distributions will become more similar across genetic provenances in response to future climate. This approach allows for the identification of areas expected to experience the greatest losses of </w:t>
      </w:r>
      <w:proofErr w:type="gramStart"/>
      <w:r w:rsidRPr="00C90343">
        <w:rPr>
          <w:color w:val="111111"/>
        </w:rPr>
        <w:t>genetically</w:t>
      </w:r>
      <w:r w:rsidR="008C10BF">
        <w:rPr>
          <w:color w:val="111111"/>
        </w:rPr>
        <w:t>-</w:t>
      </w:r>
      <w:r w:rsidRPr="00C90343">
        <w:rPr>
          <w:color w:val="111111"/>
        </w:rPr>
        <w:t>based</w:t>
      </w:r>
      <w:proofErr w:type="gramEnd"/>
      <w:r w:rsidRPr="00C90343">
        <w:rPr>
          <w:color w:val="111111"/>
        </w:rPr>
        <w:t xml:space="preserve"> functional trait variation and areas that may be important to conserve as future genetic climate refugia. </w:t>
      </w:r>
    </w:p>
    <w:p w14:paraId="5FF82900" w14:textId="705BA103" w:rsidR="00B66B6E" w:rsidRPr="00C90343" w:rsidRDefault="00B66B6E" w:rsidP="00C90343">
      <w:pPr>
        <w:pStyle w:val="Heading2"/>
        <w:spacing w:line="360" w:lineRule="auto"/>
        <w:rPr>
          <w:sz w:val="24"/>
          <w:szCs w:val="24"/>
        </w:rPr>
      </w:pPr>
      <w:bookmarkStart w:id="56" w:name="_Toc88056490"/>
      <w:r w:rsidRPr="00C90343">
        <w:rPr>
          <w:sz w:val="24"/>
          <w:szCs w:val="24"/>
        </w:rPr>
        <w:lastRenderedPageBreak/>
        <w:t>Introduction</w:t>
      </w:r>
      <w:bookmarkEnd w:id="56"/>
    </w:p>
    <w:p w14:paraId="68C1B71A" w14:textId="77777777" w:rsidR="00412B02" w:rsidRPr="00C90343" w:rsidRDefault="00412B02" w:rsidP="00C90343">
      <w:pPr>
        <w:spacing w:line="360" w:lineRule="auto"/>
        <w:jc w:val="both"/>
        <w:rPr>
          <w:color w:val="111111"/>
        </w:rPr>
      </w:pPr>
      <w:r w:rsidRPr="00C90343">
        <w:rPr>
          <w:color w:val="111111"/>
        </w:rPr>
        <w:t>Climate change and other human-induced environmental perturbations are expected to continue to limit population connectivity and gene flow, thus decreasing effective population sizes</w:t>
      </w:r>
      <w:r w:rsidRPr="00C90343">
        <w:rPr>
          <w:color w:val="111111"/>
        </w:rPr>
        <w:fldChar w:fldCharType="begin"/>
      </w:r>
      <w:r w:rsidRPr="00C90343">
        <w:rPr>
          <w:color w:val="111111"/>
        </w:rPr>
        <w:instrText xml:space="preserve"> ADDIN ZOTERO_ITEM CSL_CITATION {"citationID":"gjElaBTb","properties":{"formattedCitation":"\\super 1\\nosupersub{}","plainCitation":"1","noteIndex":0},"citationItems":[{"id":1,"uris":["http://zotero.org/users/8506331/items/DG4REZL4"],"uri":["http://zotero.org/users/8506331/items/DG4REZL4"],"itemData":{"id":1,"type":"article-journal","container-title":"Genetics","ISSN":"0016-6731","issue":"2","journalAbbreviation":"Genetics","note":"PMID: 17246615\nPMCID: PMC1201091","page":"97-159","source":"PubMed Central","title":"Evolution in Mendelian Populations","volume":"16","author":[{"family":"Wright","given":"Sewall"}],"issued":{"date-parts":[["1931",3]]}}}],"schema":"https://github.com/citation-style-language/schema/raw/master/csl-citation.json"} </w:instrText>
      </w:r>
      <w:r w:rsidRPr="00C90343">
        <w:rPr>
          <w:color w:val="111111"/>
        </w:rPr>
        <w:fldChar w:fldCharType="separate"/>
      </w:r>
      <w:r w:rsidRPr="00C90343">
        <w:rPr>
          <w:color w:val="000000"/>
          <w:vertAlign w:val="superscript"/>
        </w:rPr>
        <w:t>1</w:t>
      </w:r>
      <w:r w:rsidRPr="00C90343">
        <w:rPr>
          <w:color w:val="111111"/>
        </w:rPr>
        <w:fldChar w:fldCharType="end"/>
      </w:r>
      <w:r w:rsidRPr="00C90343">
        <w:rPr>
          <w:color w:val="111111"/>
        </w:rPr>
        <w:t xml:space="preserve"> and ultimately reducing levels of genetic variation within species</w:t>
      </w:r>
      <w:r w:rsidRPr="00C90343">
        <w:rPr>
          <w:color w:val="111111"/>
        </w:rPr>
        <w:fldChar w:fldCharType="begin"/>
      </w:r>
      <w:r w:rsidRPr="00C90343">
        <w:rPr>
          <w:color w:val="111111"/>
        </w:rPr>
        <w:instrText xml:space="preserve"> ADDIN ZOTERO_ITEM CSL_CITATION {"citationID":"djokTm3G","properties":{"formattedCitation":"\\super 2,3\\nosupersub{}","plainCitation":"2,3","noteIndex":0},"citationItems":[{"id":5,"uris":["http://zotero.org/users/8506331/items/8C6TY9VW"],"uri":["http://zotero.org/users/8506331/items/8C6TY9VW"],"itemData":{"id":5,"type":"article-journal","container-title":"Conservation Genetics","DOI":"10.1007/s10592-007-9317-z","ISSN":"1566-0621, 1572-9737","issue":"1","journalAbbreviation":"Conserv Genet","language":"en","page":"141-156","source":"DOI.org (Crossref)","title":"Patterns of genetic variation in anthropogenically impacted populations","volume":"9","author":[{"family":"DiBattista","given":"Joseph D."}],"issued":{"date-parts":[["2008",2]]}}},{"id":6,"uris":["http://zotero.org/users/8506331/items/7JTQI43S"],"uri":["http://zotero.org/users/8506331/items/7JTQI43S"],"itemData":{"id":6,"type":"article-journal","abstract":"Lewontin's paradox — the much larger variation in species abundance than in genetic diversity — is closer to being explained.The reproductive strategy of species has an impact on genome-wide diversity, providing a connection between population dynamic processes and the long-term effective population size (Ne).Selection at linked sites also affects genome-wide diversity, but not to an extent that it is sufficient alone to explain Lewontin's paradox.Selection and demography, among other factors, contribute to variation in Ne within genomes and leads to variation in diversity in different genomic regions of the same species.","container-title":"Nature Reviews Genetics","DOI":"10.1038/nrg.2016.58","ISSN":"1471-0064","issue":"7","journalAbbreviation":"Nat Rev Genet","language":"en","note":"Bandiera_abtest: a\nCg_type: Nature Research Journals\nnumber: 7\nPrimary_atype: Reviews\npublisher: Nature Publishing Group\nSubject_term: Evolutionary biology;Evolutionary genetics;Genetic variation;Molecular evolution;Next-generation sequencing\nSubject_term_id: evolutionary-biology;evolutionary-genetics;genetic-variation;molecular-evolution;next-generation-sequencing","page":"422-433","source":"www.nature.com","title":"Determinants of genetic diversity","volume":"17","author":[{"family":"Ellegren","given":"Hans"},{"family":"Galtier","given":"Nicolas"}],"issued":{"date-parts":[["2016",7]]}}}],"schema":"https://github.com/citation-style-language/schema/raw/master/csl-citation.json"} </w:instrText>
      </w:r>
      <w:r w:rsidRPr="00C90343">
        <w:rPr>
          <w:color w:val="111111"/>
        </w:rPr>
        <w:fldChar w:fldCharType="separate"/>
      </w:r>
      <w:r w:rsidRPr="00C90343">
        <w:rPr>
          <w:color w:val="000000"/>
          <w:vertAlign w:val="superscript"/>
        </w:rPr>
        <w:t>2,3</w:t>
      </w:r>
      <w:r w:rsidRPr="00C90343">
        <w:rPr>
          <w:color w:val="111111"/>
        </w:rPr>
        <w:fldChar w:fldCharType="end"/>
      </w:r>
      <w:r w:rsidRPr="00C90343">
        <w:rPr>
          <w:color w:val="111111"/>
        </w:rPr>
        <w:t>. Maintaining genetic diversity within populations is essential for both short- and long-term survival of species facing rapid environmental change. Changes to the amount of variation within populations can have significant implications for interacting ecological and evolutionary processes. Low levels of genetic variation reduce the ability of populations to adapt to novel conditions or to colonize new areas while simultaneously increasing the risk of bottleneck effects and inbreeding depression</w:t>
      </w:r>
      <w:r w:rsidRPr="00C90343">
        <w:rPr>
          <w:color w:val="111111"/>
        </w:rPr>
        <w:fldChar w:fldCharType="begin"/>
      </w:r>
      <w:r w:rsidRPr="00C90343">
        <w:rPr>
          <w:color w:val="111111"/>
        </w:rPr>
        <w:instrText xml:space="preserve"> ADDIN ZOTERO_ITEM CSL_CITATION {"citationID":"JNKtDC8y","properties":{"formattedCitation":"\\super 4\\uc0\\u8211{}6\\nosupersub{}","plainCitation":"4–6","noteIndex":0},"citationItems":[{"id":9,"uris":["http://zotero.org/users/8506331/items/X8LRBACX"],"uri":["http://zotero.org/users/8506331/items/X8LRBACX"],"itemData":{"id":9,"type":"article-journal","abstract":"When a population goes through a small bottleneck, the genetic variability of the population is expected to decline rapidly but, as soon as population size becomes large, it starts to increase owing to new mutations. This problem is studied mathematically, and the results obtained indicate that the amount of reduction in average heterozygosity per locus depends not only on the 'size of bottleneck' but also on the rate of population growth. If population size increases rapidly after going through a bottleneck, the reduction in average heterozygosity is rather small even if bottleneck size is extremely small. On the other hand, the loss in the average number of alleles per locus is profoundly affected by bottleneck size but not so much by the rate of population growth. This difference occurs mainly because random genetic drift eliminates many low frequency alleles. However, the average number of alleles per locus increases faster than the average heterozygosity when population size is restored. Application of the theory developed to the Bogota population of Drosophila pseudoobscura supports Prakash's postulate that this population has grown very rapidly, starting from a few migrants from a Central or North American population.","container-title":"Evolution","DOI":"10.2307/2407137","ISSN":"0014-3820","issue":"1","note":"publisher: [Society for the Study of Evolution, Wiley]","page":"1-10","source":"JSTOR","title":"The Bottleneck Effect and Genetic Variability in Populations","volume":"29","author":[{"family":"Nei","given":"Masatoshi"},{"family":"Maruyama","given":"Takeo"},{"family":"Chakraborty","given":"Ranajit"}],"issued":{"date-parts":[["1975"]]}}},{"id":10,"uris":["http://zotero.org/users/8506331/items/X22NTCB8"],"uri":["http://zotero.org/users/8506331/items/X22NTCB8"],"itemData":{"id":10,"type":"article-journal","abstract":"Stress, adaptation and evolution are major concerns in conservation biology. Stresses from pollution, climatic changes, disease etc. may affect population persistence. Further, stress typically occurs when species are placed in captivity. Threatened species are usually managed to conserve their ability to adapt to environmental changes, whilst species in captivity undergo adaptations that are deleterious upon reintroduction into the wild. In model studies using Drosophila melanogaster, we have found that; (a) inbreeding and loss of genetic variation reduced resistance to the stress of disease, (b) extinction rates under inbreeding are elevated by stress, (c) adaptive evolutionary potential in an increasingly stressful environment is reduced in small population, (d) rates of inbreeding are elevated under stressful conditions, (e) genetic adaptation to captivity reduces fitness when populations are reintroduced into the ‘wild’, and (f) the deleterious effects of adaptation on reintroduction success can be reduced by population fragmentation.","container-title":"Journal of Evolutionary Biology","DOI":"10.1111/j.1420-9101.2005.00885.x","ISSN":"1420-9101","issue":"4","language":"en","note":"_eprint: https://onlinelibrary.wiley.com/doi/pdf/10.1111/j.1420-9101.2005.00885.x","page":"750-755","source":"Wiley Online Library","title":"Stress and adaptation in conservation genetics","volume":"18","author":[{"family":"Frankham","given":"R."}],"issued":{"date-parts":[["2005"]]}}},{"id":15,"uris":["http://zotero.org/users/8506331/items/4UM7QQJE"],"uri":["http://zotero.org/users/8506331/items/4UM7QQJE"],"itemData":{"id":15,"type":"article-journal","abstract":"Intraspecific variation is a major component of biodiversity, yet it has received relatively little attention from governmental and nongovernmental organizations, especially with regard to conservation plans and the management of wild species. This omission is ill-advised because phenotypic and genetic variations within and among populations can have dramatic effects on ecological and evolutionary processes, including responses to environmental change, the maintenance of species diversity, and ecological stability and resilience. At the same time, environmental changes associated with many human activities, such as land use and climate change, have dramatic and often negative impacts on intraspecific variation. We argue for the need for local, regional, and global programs to monitor intraspecific genetic variation. We suggest that such monitoring should include two main strategies: (i) intensive monitoring of multiple types of genetic variation in selected species and (ii) broad-brush modeling for representative species for predicting changes in variation as a function of changes in population size and range extent. Overall, we call for collaborative efforts to initiate the urgently needed monitoring of intraspecific variation.","container-title":"Evolutionary Applications","DOI":"10.1111/eva.12436","ISSN":"1752-4571","issue":"2","language":"en","note":"_eprint: https://onlinelibrary.wiley.com/doi/pdf/10.1111/eva.12436","page":"121-139","source":"Wiley Online Library","title":"Understanding and monitoring the consequences of human impacts on intraspecific variation","volume":"10","author":[{"family":"Mimura","given":"Makiko"},{"family":"Yahara","given":"Tetsukazu"},{"family":"Faith","given":"Daniel P."},{"family":"Vázquez-Domínguez","given":"Ella"},{"family":"Colautti","given":"Robert I."},{"family":"Araki","given":"Hitoshi"},{"family":"Javadi","given":"Firouzeh"},{"family":"Núñez-Farfán","given":"Juan"},{"family":"Mori","given":"Akira S."},{"family":"Zhou","given":"Shiliang"},{"family":"Hollingsworth","given":"Peter M."},{"family":"Neaves","given":"Linda E."},{"family":"Fukano","given":"Yuya"},{"family":"Smith","given":"Gideon F."},{"family":"Sato","given":"Yo-Ichiro"},{"family":"Tachida","given":"Hidenori"},{"family":"Hendry","given":"Andrew P."}],"issued":{"date-parts":[["2017"]]}}}],"schema":"https://github.com/citation-style-language/schema/raw/master/csl-citation.json"} </w:instrText>
      </w:r>
      <w:r w:rsidRPr="00C90343">
        <w:rPr>
          <w:color w:val="111111"/>
        </w:rPr>
        <w:fldChar w:fldCharType="separate"/>
      </w:r>
      <w:r w:rsidRPr="00C90343">
        <w:rPr>
          <w:color w:val="000000"/>
          <w:vertAlign w:val="superscript"/>
        </w:rPr>
        <w:t>4–6</w:t>
      </w:r>
      <w:r w:rsidRPr="00C90343">
        <w:rPr>
          <w:color w:val="111111"/>
        </w:rPr>
        <w:fldChar w:fldCharType="end"/>
      </w:r>
      <w:r w:rsidRPr="00C90343">
        <w:rPr>
          <w:color w:val="111111"/>
        </w:rPr>
        <w:t>. In addition to evolutionary consequences, genetic variation loss will also have ecological consequences. Population genetic diversity, including variation in morphological, behavioral, or resource-use traits can have strong effects on ecosystem functions</w:t>
      </w:r>
      <w:r w:rsidRPr="00C90343">
        <w:rPr>
          <w:color w:val="111111"/>
        </w:rPr>
        <w:fldChar w:fldCharType="begin"/>
      </w:r>
      <w:r w:rsidRPr="00C90343">
        <w:rPr>
          <w:color w:val="111111"/>
        </w:rPr>
        <w:instrText xml:space="preserve"> ADDIN ZOTERO_ITEM CSL_CITATION {"citationID":"TiEZyNs6","properties":{"formattedCitation":"\\super 7,8\\nosupersub{}","plainCitation":"7,8","noteIndex":0},"citationItems":[{"id":19,"uris":["http://zotero.org/users/8506331/items/WD6B24H3"],"uri":["http://zotero.org/users/8506331/items/WD6B24H3"],"itemData":{"id":19,"type":"article-journal","abstract":"Can heritable traits in a single species affect an entire ecosystem? Recent studies show that such traits in a common tree have predictable effects on community structure and ecosystem processes. Because these ‘community and ecosystem phenotypes’ have a genetic basis and are heritable, we can begin to apply the principles of population and quantitative genetics to place the study of complex communities and ecosystems within an evolutionary framework. This framework could allow us to understand, for the first time, the genetic basis of ecosystem processes, and the effect of such phenomena as climate change and introduced transgenic organisms on entire communities.","container-title":"Nature Reviews Genetics","DOI":"10.1038/nrg1877","ISSN":"1471-0056, 1471-0064","issue":"7","journalAbbreviation":"Nat Rev Genet","language":"en","page":"510-523","source":"DOI.org (Crossref)","title":"A framework for community and ecosystem genetics: from genes to ecosystems","title-short":"A framework for community and ecosystem genetics","volume":"7","author":[{"family":"Whitham","given":"Thomas G."},{"family":"Bailey","given":"Joseph K."},{"family":"Schweitzer","given":"Jennifer A."},{"family":"Shuster","given":"Stephen M."},{"family":"Bangert","given":"Randy K."},{"family":"LeRoy","given":"Carri J."},{"family":"Lonsdorf","given":"Eric V."},{"family":"Allan","given":"Gery J."},{"family":"DiFazio","given":"Stephen P."},{"family":"Potts","given":"Brad M."},{"family":"Fischer","given":"Dylan G."},{"family":"Gehring","given":"Catherine A."},{"family":"Lindroth","given":"Richard L."},{"family":"Marks","given":"Jane C."},{"family":"Hart","given":"Stephen C."},{"family":"Wimp","given":"Gina M."},{"family":"Wooley","given":"Stuart C."}],"issued":{"date-parts":[["2006",7]]}}},{"id":24,"uris":["http://zotero.org/users/8506331/items/TKM9TU8I"],"uri":["http://zotero.org/users/8506331/items/TKM9TU8I"],"itemData":{"id":24,"type":"article-journal","abstract":"Understanding the ecological consequences of biodiversity is a fundamental challenge. Research on a key component of biodiversity, genetic diversity, has traditionally focused on its importance in evolutionary processes, but classical studies in evolutionary biology, agronomy and conservation biology indicate that genetic diversity might also have important ecological effects. Our review of the literature reveals significant effects of genetic diversity on ecological processes such as primary productivity, population recovery from disturbance, interspecific competition, community structure, and fluxes of energy and nutrients. Thus, genetic diversity can have important ecological consequences at the population, community and ecosystem levels, and in some cases the effects are comparable in magnitude to the effects of species diversity. However, it is not clear how widely these results apply in nature, as studies to date have been biased towards manipulations of plant clonal diversity, and little is known about the relative importance of genetic diversity vs. other factors that influence ecological processes of interest. Future studies should focus not only on documenting the presence of genetic diversity effects but also on identifying underlying mechanisms and predicting when such effects are likely to occur in nature.","container-title":"Ecology letters","DOI":"10.1111/j.1461-0248.2008.01179.x","journalAbbreviation":"Ecology letters","page":"609-23","source":"ResearchGate","title":"Ecological consequences of genetic diversity","volume":"11","author":[{"family":"Hughes","given":"Anne"},{"family":"Inouye","given":"Brian"},{"family":"Johnson","given":"Marc"},{"family":"Underwood","given":"Nora"},{"family":"Vellend","given":"Mark"}],"issued":{"date-parts":[["2008",7,1]]}}}],"schema":"https://github.com/citation-style-language/schema/raw/master/csl-citation.json"} </w:instrText>
      </w:r>
      <w:r w:rsidRPr="00C90343">
        <w:rPr>
          <w:color w:val="111111"/>
        </w:rPr>
        <w:fldChar w:fldCharType="separate"/>
      </w:r>
      <w:r w:rsidRPr="00C90343">
        <w:rPr>
          <w:color w:val="000000"/>
          <w:vertAlign w:val="superscript"/>
        </w:rPr>
        <w:t>7,8</w:t>
      </w:r>
      <w:r w:rsidRPr="00C90343">
        <w:rPr>
          <w:color w:val="111111"/>
        </w:rPr>
        <w:fldChar w:fldCharType="end"/>
      </w:r>
      <w:r w:rsidRPr="00C90343">
        <w:rPr>
          <w:color w:val="111111"/>
        </w:rPr>
        <w:t xml:space="preserve"> such as </w:t>
      </w:r>
      <w:r w:rsidRPr="00C90343">
        <w:t>biomass production and carbon cycling</w:t>
      </w:r>
      <w:r w:rsidRPr="00C90343">
        <w:fldChar w:fldCharType="begin"/>
      </w:r>
      <w:r w:rsidRPr="00C90343">
        <w:instrText xml:space="preserve"> ADDIN ZOTERO_ITEM CSL_CITATION {"citationID":"e2wxWioS","properties":{"formattedCitation":"\\super 9\\nosupersub{}","plainCitation":"9","noteIndex":0},"citationItems":[{"id":27,"uris":["http://zotero.org/users/8506331/items/4XP4NI8T"],"uri":["http://zotero.org/users/8506331/items/4XP4NI8T"],"itemData":{"id":27,"type":"article-journal","abstract":"Intraspecific variation in habitat-forming species can have important ecological consequences at the population, community, and ecosystem level. However, the contribution of genetic variation among individuals to these effects is seldom documented. We quantified morphological and physiological variation among genotypes of a marine foundation species, the seagrass Zostera marina. We grew replicate shoots of eight genetically distinct Zostera individuals collected from Bodega Bay, California, in a common garden environment and then quantified shoot production and morphology, nutrient uptake, and key photosynthetic parameters. We found that genotypes differed in shoot production, biomass, and both root and shoot nutrient uptake rates, even when corrected for genotype-specific biomass differences. In addition, the rank order of uptake ability differed for ammonium and nitrate, indicating that genotypes may exhibit resource partitioning of different forms of nutrients. Our results suggest that both niche complementarity among genotypes and the sampling/selection effect could contribute to previously observed positive effects of seagrass clonal diversity on resource utilization and biomass production. Further, they highlight that genotypic variation in key traits of habitat-forming species could have measurable effects on community structure and function.","container-title":"Oecologia","DOI":"10.1007/s00442-008-1251-3","ISSN":"1432-1939","issue":"4","journalAbbreviation":"Oecologia","language":"en","page":"725-733","source":"Springer Link","title":"Morphological and physiological variation among seagrass (Zostera marina) genotypes","volume":"159","author":[{"family":"Hughes","given":"A. Randall"},{"family":"Stachowicz","given":"John J."},{"family":"Williams","given":"Susan L."}],"issued":{"date-parts":[["2009",4,1]]}}}],"schema":"https://github.com/citation-style-language/schema/raw/master/csl-citation.json"} </w:instrText>
      </w:r>
      <w:r w:rsidRPr="00C90343">
        <w:fldChar w:fldCharType="separate"/>
      </w:r>
      <w:r w:rsidRPr="00C90343">
        <w:rPr>
          <w:vertAlign w:val="superscript"/>
        </w:rPr>
        <w:t>9</w:t>
      </w:r>
      <w:r w:rsidRPr="00C90343">
        <w:fldChar w:fldCharType="end"/>
      </w:r>
      <w:r w:rsidRPr="00C90343">
        <w:t xml:space="preserve"> or </w:t>
      </w:r>
      <w:r w:rsidRPr="00C90343">
        <w:rPr>
          <w:color w:val="111111"/>
        </w:rPr>
        <w:t>nitrogen mineralization</w:t>
      </w:r>
      <w:r w:rsidRPr="00C90343">
        <w:rPr>
          <w:color w:val="111111"/>
        </w:rPr>
        <w:fldChar w:fldCharType="begin"/>
      </w:r>
      <w:r w:rsidRPr="00C90343">
        <w:rPr>
          <w:color w:val="111111"/>
        </w:rPr>
        <w:instrText xml:space="preserve"> ADDIN ZOTERO_ITEM CSL_CITATION {"citationID":"0rmbRlvG","properties":{"formattedCitation":"\\super 10\\nosupersub{}","plainCitation":"10","noteIndex":0},"citationItems":[{"id":36,"uris":["http://zotero.org/users/8506331/items/SNR58XKH"],"uri":["http://zotero.org/users/8506331/items/SNR58XKH"],"itemData":{"id":36,"type":"article-journal","abstract":"Fundamental links between genes and ecosystem processes have remained elusive, although they have the potential to place ecosystem sciences within a genetic and evolutionary framework. Utilizing common gardens with cottonwood trees of known genotype, we found that the concentration of condensed tannins is genetically based and is the best predictor of ecosystem-level processes. Condensed tannin inputs from foliage explained 55–65% of the variation in soil net nitrogen (N) mineralization under both ﬁeld and laboratory conditions. Alternative associations with litter lignin, soil moisture or soil temperature were relatively poor predictors of litter decomposition and net N mineralization. In contrast to the paradigm that the effects of genes are too diffuse to be important at the ecosystem-level, here we show that plant genes had strong, immediate effects on ecosystem function via a tight coupling of plant polyphenols to rates of nitrogen cycling.","container-title":"Ecology Letters","DOI":"10.1111/j.1461-0248.2003.00562.x","ISSN":"1461023X, 14610248","issue":"2","language":"en","page":"127-134","source":"DOI.org (Crossref)","title":"Genetically based trait in a dominant tree affects ecosystem processes: Plant genetics impact ecosystems","title-short":"Genetically based trait in a dominant tree affects ecosystem processes","volume":"7","author":[{"family":"Schweitzer","given":"Jennifer A."},{"family":"Bailey","given":"Joseph K."},{"family":"Rehill","given":"Brian J."},{"family":"Martinsen","given":"Gregory D."},{"family":"Hart","given":"Stephen C."},{"family":"Lindroth","given":"Richard L."},{"family":"Keim","given":"Paul"},{"family":"Whitham","given":"Thomas G."}],"issued":{"date-parts":[["2004",2,4]]}}}],"schema":"https://github.com/citation-style-language/schema/raw/master/csl-citation.json"} </w:instrText>
      </w:r>
      <w:r w:rsidRPr="00C90343">
        <w:rPr>
          <w:color w:val="111111"/>
        </w:rPr>
        <w:fldChar w:fldCharType="separate"/>
      </w:r>
      <w:r w:rsidRPr="00C90343">
        <w:rPr>
          <w:color w:val="000000"/>
          <w:vertAlign w:val="superscript"/>
        </w:rPr>
        <w:t>10</w:t>
      </w:r>
      <w:r w:rsidRPr="00C90343">
        <w:rPr>
          <w:color w:val="111111"/>
        </w:rPr>
        <w:fldChar w:fldCharType="end"/>
      </w:r>
      <w:r w:rsidRPr="00C90343">
        <w:t>.</w:t>
      </w:r>
      <w:r w:rsidRPr="00C90343">
        <w:rPr>
          <w:color w:val="111111"/>
        </w:rPr>
        <w:t xml:space="preserve"> </w:t>
      </w:r>
      <w:r w:rsidRPr="00C90343">
        <w:t>Further, experimental studies indicate that the positive effects of genetic diversity may be most important in disturbed or stressful conditions</w:t>
      </w:r>
      <w:r w:rsidRPr="00C90343">
        <w:fldChar w:fldCharType="begin"/>
      </w:r>
      <w:r w:rsidRPr="00C90343">
        <w:instrText xml:space="preserve"> ADDIN ZOTERO_ITEM CSL_CITATION {"citationID":"lgOfxfiq","properties":{"formattedCitation":"\\super 5,11\\uc0\\u8211{}15\\nosupersub{}","plainCitation":"5,11–15","noteIndex":0},"citationItems":[{"id":10,"uris":["http://zotero.org/users/8506331/items/X22NTCB8"],"uri":["http://zotero.org/users/8506331/items/X22NTCB8"],"itemData":{"id":10,"type":"article-journal","abstract":"Stress, adaptation and evolution are major concerns in conservation biology. Stresses from pollution, climatic changes, disease etc. may affect population persistence. Further, stress typically occurs when species are placed in captivity. Threatened species are usually managed to conserve their ability to adapt to environmental changes, whilst species in captivity undergo adaptations that are deleterious upon reintroduction into the wild. In model studies using Drosophila melanogaster, we have found that; (a) inbreeding and loss of genetic variation reduced resistance to the stress of disease, (b) extinction rates under inbreeding are elevated by stress, (c) adaptive evolutionary potential in an increasingly stressful environment is reduced in small population, (d) rates of inbreeding are elevated under stressful conditions, (e) genetic adaptation to captivity reduces fitness when populations are reintroduced into the ‘wild’, and (f) the deleterious effects of adaptation on reintroduction success can be reduced by population fragmentation.","container-title":"Journal of Evolutionary Biology","DOI":"10.1111/j.1420-9101.2005.00885.x","ISSN":"1420-9101","issue":"4","language":"en","note":"_eprint: https://onlinelibrary.wiley.com/doi/pdf/10.1111/j.1420-9101.2005.00885.x","page":"750-755","source":"Wiley Online Library","title":"Stress and adaptation in conservation genetics","volume":"18","author":[{"family":"Frankham","given":"R."}],"issued":{"date-parts":[["2005"]]}}},{"id":29,"uris":["http://zotero.org/users/8506331/items/UMBT4UDH"],"uri":["http://zotero.org/users/8506331/items/UMBT4UDH"],"itemData":{"id":29,"type":"article-journal","abstract":"Motivated by recent global reductions in biodiversity, empirical and theoretical research suggests that more species-rich systems exhibit enhanced productivity, nutrient cycling, or resistance to disturbance or invasion relative to systems with fewer species. In contrast, few data are available to assess the potential ecosystem-level importance of genetic diversity within species known to play a major functional role. Using a manipulative field experiment, we show that increasing genotypic diversity in a habitat-forming species (the seagrass Zostera marina) enhances community resistance to disturbance by grazing geese. The time required for recovery to near predisturbance densities also decreases with increasing eelgrass genotypic diversity. However, there is no effect of diversity on resilience, measured as the rate of shoot recovery after the disturbance, suggesting that more rapid recovery in diverse plots is due solely to differences in disturbance resistance. Genotypic diversity did not affect ecosystem processes in the absence of disturbance. Thus, our results suggest that genetic diversity, like species diversity, may be most important for enhancing the consistency and reliability of ecosystems by providing biological insurance against environmental change.","container-title":"Proceedings of the National Academy of Sciences of the United States of America","DOI":"10.1073/pnas.0402642101","ISSN":"0027-8424","issue":"24","journalAbbreviation":"Proc Natl Acad Sci U S A","language":"eng","note":"PMID: 15184681\nPMCID: PMC428461","page":"8998-9002","source":"PubMed","title":"Genetic diversity enhances the resistance of a seagrass ecosystem to disturbance","volume":"101","author":[{"family":"Hughes","given":"A. Randall"},{"family":"Stachowicz","given":"John J."}],"issued":{"date-parts":[["2004",6,15]]}}},{"id":37,"uris":["http://zotero.org/users/8506331/items/IQFHA9QJ"],"uri":["http://zotero.org/users/8506331/items/IQFHA9QJ"],"itemData":{"id":37,"type":"article-journal","abstract":"While population genetic diversity has broad application in species conservation, no studies have examined the community-level consequences of this diversity. We show that population genetic diversity (generated by interspecific hybridization) in a dominant riparian tree affects an arthropod community composed of 207 species. In an experimental garden, plant cross type structured the arthropod community of individual trees, and among stands in the wild, plant genetic diversity accounted for nearly 60% of the variation in arthropod diversity. While previous experimental garden studies have demonstrated the effects of plant genotype on arthropod communities, our study extends these findings from individual trees in an experimental garden to natural stands of cottonwoods where plant population genetic diversity was a significant factor structuring arthropod diversity. These findings argue that the preservation of genetic diversity in a dominant species is far more important than previously realized, and may be particularly important in hybridizing systems.","container-title":"Ecology Letters","DOI":"10.1111/j.1461-0248.2004.00635.x","ISSN":"1461-0248","issue":"9","language":"en","note":"_eprint: https://onlinelibrary.wiley.com/doi/pdf/10.1111/j.1461-0248.2004.00635.x","page":"776-780","source":"Wiley Online Library","title":"Conserving plant genetic diversity for dependent animal communities","volume":"7","author":[{"family":"Wimp","given":"Gina Marie"},{"family":"Young","given":"William P."},{"family":"Woolbright","given":"Scott A."},{"family":"Martinsen","given":"Gregory D."},{"family":"Keim","given":"Paul"},{"family":"Whitham","given":"Thomas G."}],"issued":{"date-parts":[["2004"]]}}},{"id":39,"uris":["http://zotero.org/users/8506331/items/8U8I3WKG"],"uri":["http://zotero.org/users/8506331/items/8U8I3WKG"],"itemData":{"id":39,"type":"article-journal","abstract":"Contemporary climate change is characterized both by increasing mean temperature and increasing climate variability such as heat waves, storms, and floods. How populations and communities cope with such climatic extremes is a question central to contemporary ecology and biodiversity conservation. Previous work has shown that species diversity can affect ecosystem functioning and resilience. Here, we show that genotypic diversity can replace the role of species diversity in a species-poor coastal ecosystem, and it may buffer against extreme climatic events. In a manipulative field experiment, increasing the genotypic diversity of the cosmopolitan seagrass Zostera marina enhanced biomass production, plant density, and faunal abundance, despite near-lethal water temperatures due to extreme warming across Europe. Net biodiversity effects were explained by genotypic complementarity rather than by selection of particularly robust genotypes. Positive effects on invertebrate fauna suggest that genetic diversity has second-order effects reaching higher trophic levels. Our results highlight the importance of maintaining genetic as well as species diversity to enhance ecosystem resilience in a world of increasing uncertainty.","container-title":"Proceedings of the National Academy of Sciences","DOI":"10.1073/pnas.0500008102","ISSN":"0027-8424, 1091-6490","issue":"8","journalAbbreviation":"PNAS","language":"en","note":"publisher: National Academy of Sciences\nsection: Biological Sciences\nPMID: 15710890","page":"2826-2831","source":"www.pnas.org","title":"Ecosystem recovery after climatic extremes enhanced by genotypic diversity","volume":"102","author":[{"family":"Reusch","given":"Thorsten B. H."},{"family":"Ehlers","given":"Anneli"},{"family":"Hämmerli","given":"August"},{"family":"Worm","given":"Boris"}],"issued":{"date-parts":[["2005",2,22]]}}},{"id":43,"uris":["http://zotero.org/users/8506331/items/E7HZEQMK"],"uri":["http://zotero.org/users/8506331/items/E7HZEQMK"],"itemData":{"id":43,"type":"article-journal","abstract":"Two decades ago the first Earth Summit raised the question of how biological diversity loss alters ecosystem functioning and affects humanity; this Review looks at the progress made towards answering this question.","container-title":"Nature","DOI":"10.1038/nature11148","ISSN":"1476-4687","issue":"7401","language":"en","note":"Bandiera_abtest: a\nCg_type: Nature Research Journals\nnumber: 7401\nPrimary_atype: Reviews\npublisher: Nature Publishing Group\nSubject_term: Biodiversity;Ecosystem services\nSubject_term_id: biodiversity;ecosystem-services","page":"59-67","source":"www.nature.com","title":"Biodiversity loss and its impact on humanity","volume":"486","author":[{"family":"Cardinale","given":"Bradley J."},{"family":"Duffy","given":"J. Emmett"},{"family":"Gonzalez","given":"Andrew"},{"family":"Hooper","given":"David U."},{"family":"Perrings","given":"Charles"},{"family":"Venail","given":"Patrick"},{"family":"Narwani","given":"Anita"},{"family":"Mace","given":"Georgina M."},{"family":"Tilman","given":"David"},{"family":"Wardle","given":"David A."},{"family":"Kinzig","given":"Ann P."},{"family":"Daily","given":"Gretchen C."},{"family":"Loreau","given":"Michel"},{"family":"Grace","given":"James B."},{"family":"Larigauderie","given":"Anne"},{"family":"Srivastava","given":"Diane S."},{"family":"Naeem","given":"Shahid"}],"issued":{"date-parts":[["2012",6]]}}},{"id":174,"uris":["http://zotero.org/users/8506331/items/BMR2CGCL"],"uri":["http://zotero.org/users/8506331/items/BMR2CGCL"],"itemData":{"id":174,"type":"article-journal","abstract":"In species-poor communities, genetic diversity potentially plays an important role for ecosystem functioning, though this is still largely unexplored in marine and estuarine ecosystems. We studied how genetic diversity (sensu genotypic diversity and/or allelic richness) affects ecosystem functioning in marine habitat-forming plant communities. First, we conducted a 15-month field experiment in the highly seasonal Baltic Sea and established mono- and polycultures of different genotypes and genotype combinations of Zostera marina. Second, we reviewed existing literature and performed a meta-analysis of 12 studies including this study. We found no evidence of positive genetic diversity effects on shoot production in the field experiment, but diversity enhanced community stability over time. The literature review revealed that a majority of the included studies observed positive effects of genetic diversity on ecosystem functions such as primary production and nutrient uptake. The results from the meta-analysis support the hypothesis that genetic diversity effects on productivity are stronger during or after periods of stress. These diversity effects were also more positive in the field compared to mesocosm studies. Our results indicate that genetic diversity has positive effects on ecosystem functioning, particularly during increased environmental stress. Thus, local genetic diversity should be preserved especially in species-poor ecosystems, where it potentially provides insurance against environmental change.","container-title":"Ecosystems","DOI":"10.1007/s10021-016-0014-y","ISSN":"1435-0629","issue":"8","journalAbbreviation":"Ecosystems","language":"en","page":"1429-1444","source":"Springer Link","title":"The Effect of Genetic Diversity on Ecosystem Functioning in Vegetated Coastal Ecosystems","volume":"19","author":[{"family":"Salo","given":"Tiina"},{"family":"Gustafsson","given":"Camilla"}],"issued":{"date-parts":[["2016",12,1]]}}}],"schema":"https://github.com/citation-style-language/schema/raw/master/csl-citation.json"} </w:instrText>
      </w:r>
      <w:r w:rsidRPr="00C90343">
        <w:fldChar w:fldCharType="separate"/>
      </w:r>
      <w:r w:rsidRPr="00C90343">
        <w:rPr>
          <w:vertAlign w:val="superscript"/>
        </w:rPr>
        <w:t>5,11–15</w:t>
      </w:r>
      <w:r w:rsidRPr="00C90343">
        <w:fldChar w:fldCharType="end"/>
      </w:r>
      <w:r w:rsidRPr="00C90343">
        <w:rPr>
          <w:color w:val="111111"/>
        </w:rPr>
        <w:t xml:space="preserve">, like those expected with a changing climate. </w:t>
      </w:r>
    </w:p>
    <w:p w14:paraId="6A9A3D34" w14:textId="77777777" w:rsidR="00412B02" w:rsidRPr="00C90343" w:rsidRDefault="00412B02" w:rsidP="00C90343">
      <w:pPr>
        <w:spacing w:line="360" w:lineRule="auto"/>
        <w:ind w:firstLine="720"/>
        <w:jc w:val="both"/>
        <w:rPr>
          <w:color w:val="111111"/>
        </w:rPr>
      </w:pPr>
      <w:r w:rsidRPr="00C90343">
        <w:t>As species’ ranges contract, expand, or shift in response to climate change</w:t>
      </w:r>
      <w:r w:rsidRPr="00C90343">
        <w:fldChar w:fldCharType="begin"/>
      </w:r>
      <w:r w:rsidRPr="00C90343">
        <w:instrText xml:space="preserve"> ADDIN ZOTERO_ITEM CSL_CITATION {"citationID":"TXi8yW0R","properties":{"formattedCitation":"\\super 16,17\\nosupersub{}","plainCitation":"16,17","noteIndex":0},"citationItems":[{"id":46,"uris":["http://zotero.org/users/8506331/items/LGQBFIXY"],"uri":["http://zotero.org/users/8506331/items/LGQBFIXY"],"itemData":{"id":46,"type":"article-journal","abstract":"The distributions of many terrestrial organisms are currently shifting in latitude or elevation in response to changing climate.\nUsing a meta-analysis, we estimated that the distributions of species have recently shifted to higher elevations at a median\nrate of 11.0 meters per decade, and to higher latitudes at a median rate of 16.9 kilometers per decade. These rates are approximately\ntwo and three times faster than previously reported. The distances moved by species are greatest in studies showing the highest\nlevels of warming, with average latitudinal shifts being generally sufficient to track temperature changes. However, individual\nspecies vary greatly in their rates of change, suggesting that the range shift of each species depends on multiple internal\nspecies traits and external drivers of change. Rapid average shifts derive from a wide diversity of responses by individual\nspecies.","container-title":"Science (New York, N.Y.)","DOI":"10.1126/science.1206432","journalAbbreviation":"Science (New York, N.Y.)","page":"1024-6","source":"ResearchGate","title":"Rapid Range Shifts of Species Associated with High Levels of Climate Warming","volume":"333","author":[{"family":"Chen","given":"I-Ching"},{"family":"Hill","given":"Jane"},{"family":"Ohlemüller","given":"Ralf"},{"family":"Roy","given":"D.B."},{"family":"Thomas","given":"Chris"}],"issued":{"date-parts":[["2011",8,19]]}}},{"id":52,"uris":["http://zotero.org/users/8506331/items/DBD6EEI9"],"uri":["http://zotero.org/users/8506331/items/DBD6EEI9"],"itemData":{"id":52,"type":"article-journal","container-title":"Science Advances","DOI":"10.1126/sciadv.1603055","ISSN":"2375-2548","issue":"5","journalAbbreviation":"Sci. Adv.","language":"en","page":"e1603055","source":"DOI.org (Crossref)","title":"Divergence of species responses to climate change","volume":"3","author":[{"family":"Fei","given":"Songlin"},{"family":"Desprez","given":"Johanna M."},{"family":"Potter","given":"Kevin M."},{"family":"Jo","given":"Insu"},{"family":"Knott","given":"Jonathan A."},{"family":"Oswalt","given":"Christopher M."}],"issued":{"date-parts":[["2017",5]]}}}],"schema":"https://github.com/citation-style-language/schema/raw/master/csl-citation.json"} </w:instrText>
      </w:r>
      <w:r w:rsidRPr="00C90343">
        <w:fldChar w:fldCharType="separate"/>
      </w:r>
      <w:r w:rsidRPr="00C90343">
        <w:rPr>
          <w:vertAlign w:val="superscript"/>
        </w:rPr>
        <w:t>16,17</w:t>
      </w:r>
      <w:r w:rsidRPr="00C90343">
        <w:fldChar w:fldCharType="end"/>
      </w:r>
      <w:r w:rsidRPr="00C90343">
        <w:t xml:space="preserve"> genetic variation is expected to be altered and/or reduced</w:t>
      </w:r>
      <w:r w:rsidRPr="00C90343">
        <w:fldChar w:fldCharType="begin"/>
      </w:r>
      <w:r w:rsidRPr="00C90343">
        <w:instrText xml:space="preserve"> ADDIN ZOTERO_ITEM CSL_CITATION {"citationID":"PBbnZG3o","properties":{"formattedCitation":"\\super 18\\uc0\\u8211{}20\\nosupersub{}","plainCitation":"18–20","noteIndex":0},"citationItems":[{"id":53,"uris":["http://zotero.org/users/8506331/items/Q3HP22LQ"],"uri":["http://zotero.org/users/8506331/items/Q3HP22LQ"],"itemData":{"id":53,"type":"article-journal","abstract":"Although range expansions have occurred recurrently in the history of most species, their genetic consequences have been little investigated. Theoretical studies show that range expansions are quite different from pure demographic expansions and that the extent of recent gene flow conditions expected patterns of molecular diversity within and between populations. Spatially explicit simulation studies have led to unexpected and fascinating results about genetic patterns emerging after a range expansion. For instance, spatial expansions can generate allele frequency gradients, promote the surfing of rare variants into newly occupied territories, induce the structuring of newly colonized areas into distinct sectors of low genetic diversity, or lead to massive introgression of local genes into the genome of an invading species. Interestingly, most of these patterns had been previously attributed to distinct selective processes, showing that taking into account the dynamic nature of a species range can lead to a paradigm shift in our perception of evolutionary processes.","container-title":"Annual Review of Ecology, Evolution, and Systematics","DOI":"10.1146/annurev.ecolsys.39.110707.173414","issue":"1","note":"_eprint: https://doi.org/10.1146/annurev.ecolsys.39.110707.173414","page":"481-501","source":"Annual Reviews","title":"Genetic Consequences of Range Expansions","volume":"40","author":[{"family":"Excoffier","given":"Laurent"},{"family":"Foll","given":"Matthieu"},{"family":"Petit","given":"Rémy J."}],"issued":{"date-parts":[["2009"]]}}},{"id":55,"uris":["http://zotero.org/users/8506331/items/L93Y4PU8"],"uri":["http://zotero.org/users/8506331/items/L93Y4PU8"],"itemData":{"id":55,"type":"article-journal","abstract":"Climate change will lead to loss of range for many species, and thus to loss of genetic diversity crucial for their long-term persistence. We analysed range-wide genetic diversity (amplified fragment length polymorphisms) in 9581 samples from 1200 populations of 27 northern plant species, to assess genetic consequences of range reduction and potential association with species traits. We used species distribution modelling (SDM, eight techniques, two global circulation models and two emission scenarios) to predict loss of range and genetic diversity by 2080. Loss of genetic diversity varied considerably among species, and this variation could be explained by dispersal adaptation (up to 57%) and by genetic differentiation among populations (\n              F\n              ST\n              ; up to 61%). Herbs lacking adaptations for long-distance dispersal were estimated to lose genetic diversity at higher rate than dwarf shrubs adapted to long-distance dispersal. The expected range reduction in these 27 northern species was larger than reported for temperate plants, and all were predicted to lose genetic diversity according to at least one scenario. SDM combined with\n              F\n              ST\n              estimates and/or with species trait information thus allows the prediction of species' vulnerability to climate change, aiding rational prioritization of conservation efforts.","container-title":"Proceedings of the Royal Society B: Biological Sciences","DOI":"10.1098/rspb.2011.2363","ISSN":"0962-8452, 1471-2954","issue":"1735","journalAbbreviation":"Proc. R. Soc. B.","language":"en","page":"2042-2051","source":"DOI.org (Crossref)","title":"Genetic consequences of climate change for northern plants","volume":"279","author":[{"family":"Alsos","given":"Inger Greve"},{"family":"Ehrich","given":"Dorothee"},{"family":"Thuiller","given":"Wilfried"},{"family":"Eidesen","given":"Pernille Bronken"},{"family":"Tribsch","given":"Andreas"},{"family":"Schönswetter","given":"Peter"},{"family":"Lagaye","given":"Claire"},{"family":"Taberlet","given":"Pierre"},{"family":"Brochmann","given":"Christian"}],"issued":{"date-parts":[["2012",5,22]]}}},{"id":56,"uris":["http://zotero.org/users/8506331/items/65DEVNHJ"],"uri":["http://zotero.org/users/8506331/items/65DEVNHJ"],"itemData":{"id":56,"type":"article-journal","abstract":"Genetic diversity provides the basic substrate for evolution, yet few studies assess the impacts of global climate change (GCC) on intraspecific genetic variation. In this review, we highlight the importance of incorporating neutral and non-neutral genetic diversity when assessing the impacts of GCC, for example, in studies that aim to predict the future distribution and fate of a species or ecological community. Specifically, we address the following questions: Why study the effects of GCC on intraspecific genetic diversity? How does GCC affect genetic diversity? How is the effect of GCC on genetic diversity currently studied? Where is potential for future research? For each of these questions, we provide a general background and highlight case studies across the animal, plant and microbial kingdoms. We further discuss how cryptic diversity can affect GCC assessments, how genetic diversity can be integrated into studies that aim to predict species' responses on GCC and how conservation efforts related to GCC can incorporate and profit from inclusion of genetic diversity assessments. We argue that studying the fate of intraspecifc genetic diversity is an indispensable and logical venture if we are to fully understand the consequences of GCC on biodiversity on all levels.","container-title":"Molecular Ecology","DOI":"10.1111/mec.12152","ISSN":"1365-294X","issue":"4","language":"en","note":"_eprint: https://onlinelibrary.wiley.com/doi/pdf/10.1111/mec.12152","page":"925-946","source":"Wiley Online Library","title":"The impact of global climate change on genetic diversity within populations and species","volume":"22","author":[{"family":"Pauls","given":"Steffen U."},{"family":"Nowak","given":"Carsten"},{"family":"Bálint","given":"Miklós"},{"family":"Pfenninger","given":"Markus"}],"issued":{"date-parts":[["2013"]]}}}],"schema":"https://github.com/citation-style-language/schema/raw/master/csl-citation.json"} </w:instrText>
      </w:r>
      <w:r w:rsidRPr="00C90343">
        <w:fldChar w:fldCharType="separate"/>
      </w:r>
      <w:r w:rsidRPr="00C90343">
        <w:rPr>
          <w:vertAlign w:val="superscript"/>
        </w:rPr>
        <w:t>18–20</w:t>
      </w:r>
      <w:r w:rsidRPr="00C90343">
        <w:fldChar w:fldCharType="end"/>
      </w:r>
      <w:r w:rsidRPr="00C90343">
        <w:rPr>
          <w:color w:val="111111"/>
        </w:rPr>
        <w:t xml:space="preserve">. </w:t>
      </w:r>
      <w:r w:rsidRPr="00C90343">
        <w:t>Regardless of phylum, plant population genetic diversity is related to biogeography such that core and insular populations tend to have the highest diversity</w:t>
      </w:r>
      <w:r w:rsidRPr="00C90343">
        <w:fldChar w:fldCharType="begin"/>
      </w:r>
      <w:r w:rsidRPr="00C90343">
        <w:instrText xml:space="preserve"> ADDIN ZOTERO_ITEM CSL_CITATION {"citationID":"jo3oK4DH","properties":{"formattedCitation":"\\super 21\\nosupersub{}","plainCitation":"21","noteIndex":0},"citationItems":[{"id":59,"uris":["http://zotero.org/users/8506331/items/3SMGLBRR"],"uri":["http://zotero.org/users/8506331/items/3SMGLBRR"],"itemData":{"id":59,"type":"article-journal","abstract":"Understanding how biological and environmental factors interactively shape the global distribution of plant and animal genetic diversity is fundamental to biodiversity conservation. Genetic diversity measured in local populations (GDP) is correspondingly assumed representative for population fitness and eco-evolutionary dynamics. For 8356 populations across the globe, we report that plants systematically display much lower GDP than animals, and that life history traits shape GDP patterns both directly (animal longevity and size), and indirectly by mediating core-periphery patterns (animal fecundity and plant dispersal). Particularly in some plant groups, peripheral populations can sustain similar GDP as core populations, emphasizing their potential conservation value. We further find surprisingly weak support for general latitudinal GDP trends. Finally, contemporary rather than past climate contributes to the spatial distribution of GDP, suggesting that contemporary environmental changes affect global patterns of GDP. Our findings generate new perspectives for the conservation of genetic resources at worldwide and taxonomic-wide scales.","container-title":"Nature Communications","DOI":"10.1038/s41467-021-20958-2","ISSN":"2041-1723","issue":"1","journalAbbreviation":"Nat Commun","language":"en","note":"Bandiera_abtest: a\nCc_license_type: cc_by\nCg_type: Nature Research Journals\nnumber: 1\nPrimary_atype: Research\npublisher: Nature Publishing Group\nSubject_term: Conservation biology;Evolutionary genetics;Genetics;Plant sciences;Zoology\nSubject_term_id: conservation;evolutionary-genetics;genetics;plant-sciences;zoology","page":"516","source":"www.nature.com","title":"Life history, climate and biogeography interactively affect worldwide genetic diversity of plant and animal populations","volume":"12","author":[{"family":"De Kort","given":"H."},{"family":"Prunier","given":"J. G."},{"family":"Ducatez","given":"S."},{"family":"Honnay","given":"O."},{"family":"Baguette","given":"M."},{"family":"Stevens","given":"V. M."},{"family":"Blanchet","given":"S."}],"issued":{"date-parts":[["2021",1,22]]}}}],"schema":"https://github.com/citation-style-language/schema/raw/master/csl-citation.json"} </w:instrText>
      </w:r>
      <w:r w:rsidRPr="00C90343">
        <w:fldChar w:fldCharType="separate"/>
      </w:r>
      <w:r w:rsidRPr="00C90343">
        <w:rPr>
          <w:vertAlign w:val="superscript"/>
        </w:rPr>
        <w:t>21</w:t>
      </w:r>
      <w:r w:rsidRPr="00C90343">
        <w:fldChar w:fldCharType="end"/>
      </w:r>
      <w:r w:rsidRPr="00C90343">
        <w:rPr>
          <w:color w:val="111111"/>
        </w:rPr>
        <w:t>.</w:t>
      </w:r>
      <w:r w:rsidRPr="00C90343">
        <w:t xml:space="preserve"> Further, trailing edge (or “rear edge”) populations tend to have low population diversity while harboring unique diversity (i.e., regionally diverse) due typically to isolation and local adaptation</w:t>
      </w:r>
      <w:r w:rsidRPr="00C90343">
        <w:fldChar w:fldCharType="begin"/>
      </w:r>
      <w:r w:rsidRPr="00C90343">
        <w:instrText xml:space="preserve"> ADDIN ZOTERO_ITEM CSL_CITATION {"citationID":"pNxx3oSE","properties":{"formattedCitation":"\\super 22\\nosupersub{}","plainCitation":"22","noteIndex":0},"citationItems":[{"id":62,"uris":["http://zotero.org/users/8506331/items/QSAH6DHQ"],"uri":["http://zotero.org/users/8506331/items/QSAH6DHQ"],"itemData":{"id":62,"type":"article-journal","abstract":"Modern climate change is producing poleward range shifts of numerous taxa, communities and ecosystems worldwide. The response of species to changing environments is likely to be determined largely by population responses at range margins. In contrast to the expanding edge, the low-latitude limit (rear edge) of species ranges remains understudied, and the critical importance of rear edge populations as long-term stores of species’ genetic diversity and foci of speciation has been little acknowledged. We review recent findings from the fossil record, phylogeography and ecology to illustrate that rear edge populations are often disproportionately important for the survival and evolution of biota. Their ecological features, dynamics and conservation requirements differ from those of populations in other parts of the range, and some commonly recommended conservation practices might therefore be of little use or even counterproductive for rear edge populations.","container-title":"Ecology Letters","DOI":"10.1111/j.1461-0248.2005.00739.x","ISSN":"1461-0248","issue":"5","language":"en","note":"_eprint: https://onlinelibrary.wiley.com/doi/pdf/10.1111/j.1461-0248.2005.00739.x","page":"461-467","source":"Wiley Online Library","title":"Conserving biodiversity under climate change: the rear edge matters","title-short":"Conserving biodiversity under climate change","volume":"8","author":[{"family":"Hampe","given":"Arndt"},{"family":"Petit","given":"Rémy J."}],"issued":{"date-parts":[["2005"]]}}}],"schema":"https://github.com/citation-style-language/schema/raw/master/csl-citation.json"} </w:instrText>
      </w:r>
      <w:r w:rsidRPr="00C90343">
        <w:fldChar w:fldCharType="separate"/>
      </w:r>
      <w:r w:rsidRPr="00C90343">
        <w:rPr>
          <w:vertAlign w:val="superscript"/>
        </w:rPr>
        <w:t>22</w:t>
      </w:r>
      <w:r w:rsidRPr="00C90343">
        <w:fldChar w:fldCharType="end"/>
      </w:r>
      <w:r w:rsidRPr="00C90343">
        <w:t>. Because plant population genetic diversity differs across space so should our expectations of the ecological consequences of genetic diversity loss.</w:t>
      </w:r>
    </w:p>
    <w:p w14:paraId="3A2AEF26" w14:textId="77777777" w:rsidR="00412B02" w:rsidRPr="00C90343" w:rsidRDefault="00412B02" w:rsidP="00C90343">
      <w:pPr>
        <w:spacing w:line="360" w:lineRule="auto"/>
        <w:ind w:firstLine="720"/>
        <w:jc w:val="both"/>
        <w:rPr>
          <w:color w:val="111111"/>
        </w:rPr>
      </w:pPr>
      <w:r w:rsidRPr="00C90343">
        <w:rPr>
          <w:color w:val="111111"/>
        </w:rPr>
        <w:t>Genetic diversity can refer to many forms of intraspecific variation but understanding f</w:t>
      </w:r>
      <w:r w:rsidRPr="00C90343">
        <w:t>unctional trait diversity is critical for predicting the ecological consequences of diversity</w:t>
      </w:r>
      <w:r w:rsidRPr="00C90343">
        <w:fldChar w:fldCharType="begin"/>
      </w:r>
      <w:r w:rsidRPr="00C90343">
        <w:instrText xml:space="preserve"> ADDIN ZOTERO_ITEM CSL_CITATION {"citationID":"27oGwlZA","properties":{"formattedCitation":"\\super 14,23\\nosupersub{}","plainCitation":"14,23","noteIndex":0},"citationItems":[{"id":43,"uris":["http://zotero.org/users/8506331/items/E7HZEQMK"],"uri":["http://zotero.org/users/8506331/items/E7HZEQMK"],"itemData":{"id":43,"type":"article-journal","abstract":"Two decades ago the first Earth Summit raised the question of how biological diversity loss alters ecosystem functioning and affects humanity; this Review looks at the progress made towards answering this question.","container-title":"Nature","DOI":"10.1038/nature11148","ISSN":"1476-4687","issue":"7401","language":"en","note":"Bandiera_abtest: a\nCg_type: Nature Research Journals\nnumber: 7401\nPrimary_atype: Reviews\npublisher: Nature Publishing Group\nSubject_term: Biodiversity;Ecosystem services\nSubject_term_id: biodiversity;ecosystem-services","page":"59-67","source":"www.nature.com","title":"Biodiversity loss and its impact on humanity","volume":"486","author":[{"family":"Cardinale","given":"Bradley J."},{"family":"Duffy","given":"J. Emmett"},{"family":"Gonzalez","given":"Andrew"},{"family":"Hooper","given":"David U."},{"family":"Perrings","given":"Charles"},{"family":"Venail","given":"Patrick"},{"family":"Narwani","given":"Anita"},{"family":"Mace","given":"Georgina M."},{"family":"Tilman","given":"David"},{"family":"Wardle","given":"David A."},{"family":"Kinzig","given":"Ann P."},{"family":"Daily","given":"Gretchen C."},{"family":"Loreau","given":"Michel"},{"family":"Grace","given":"James B."},{"family":"Larigauderie","given":"Anne"},{"family":"Srivastava","given":"Diane S."},{"family":"Naeem","given":"Shahid"}],"issued":{"date-parts":[["2012",6]]}}},{"id":64,"uris":["http://zotero.org/users/8506331/items/XVTXFZ7W"],"uri":["http://zotero.org/users/8506331/items/XVTXFZ7W"],"itemData":{"id":64,"type":"article-journal","abstract":"Climate warming is predicted to shift species’ ranges as previously uninhabitable environments just beyond the leading range edges become suitable habitat and trailing range edges become increasingly unsuitable. Understanding which aspects of the environment and species traits mediate these range shifts is critical for understanding species’ possible redistributions under global change, yet we have a limited understanding of the ecological and evolutionary responses underlying population spread or extinction at species’ range edges. Within plant populations, shifts in flowering phenology have been one of the strongest and most consistent responses to climate change, and are likely to play an important role in mediating population dynamics within and beyond species’ ranges. However, the role of phenological shifts, and particularly phenological plasticity, in species’ range shifts remains relatively unstudied. Here, we synthesize literature on phenology, plasticity, and adaptation to suggest ways in which phenological responses to climate may vary across species’ ranges and review the empirical evidence for and against these hypotheses. We then outline how phenological plasticity could facilitate or hinder persistence and potential consequences of phenological plasticity in range expansions, including phenological cues, shifts in correlated traits, altered species interactions, and effects on gene flow. Finally, we suggest future avenues for research, such as characterizing reaction norms for phenology across a species’ range and in beyond-the-range transplant experiments. Given the prevalence and magnitude of phenological shifts, future work should carefully dissect its costs and benefits for population persistence, and incorporate phenological plasticity into models predicting species’ persistence and geographic range shifts under climate change.","container-title":"Frontiers in Ecology and Evolution","DOI":"10.3389/fevo.2021.689192","ISSN":"2296-701X","page":"392","source":"Frontiers","title":"Does Phenological Plasticity Help or Hinder Range Shifts Under Climate Change?","volume":"9","author":[{"family":"Zettlemoyer","given":"Meredith A."},{"family":"Peterson","given":"Megan L."}],"issued":{"date-parts":[["2021"]]}}}],"schema":"https://github.com/citation-style-language/schema/raw/master/csl-citation.json"} </w:instrText>
      </w:r>
      <w:r w:rsidRPr="00C90343">
        <w:fldChar w:fldCharType="separate"/>
      </w:r>
      <w:r w:rsidRPr="00C90343">
        <w:rPr>
          <w:vertAlign w:val="superscript"/>
        </w:rPr>
        <w:t>14,23</w:t>
      </w:r>
      <w:r w:rsidRPr="00C90343">
        <w:fldChar w:fldCharType="end"/>
      </w:r>
      <w:r w:rsidRPr="00C90343">
        <w:t>. This is problematic because functional trait distribution has received little attention at broad spatial scales</w:t>
      </w:r>
      <w:r w:rsidRPr="00C90343">
        <w:fldChar w:fldCharType="begin"/>
      </w:r>
      <w:r w:rsidRPr="00C90343">
        <w:instrText xml:space="preserve"> ADDIN ZOTERO_ITEM CSL_CITATION {"citationID":"6Zg4DF5o","properties":{"formattedCitation":"\\super 17,24\\nosupersub{}","plainCitation":"17,24","noteIndex":0},"citationItems":[{"id":52,"uris":["http://zotero.org/users/8506331/items/DBD6EEI9"],"uri":["http://zotero.org/users/8506331/items/DBD6EEI9"],"itemData":{"id":52,"type":"article-journal","container-title":"Science Advances","DOI":"10.1126/sciadv.1603055","ISSN":"2375-2548","issue":"5","journalAbbreviation":"Sci. Adv.","language":"en","page":"e1603055","source":"DOI.org (Crossref)","title":"Divergence of species responses to climate change","volume":"3","author":[{"family":"Fei","given":"Songlin"},{"family":"Desprez","given":"Johanna M."},{"family":"Potter","given":"Kevin M."},{"family":"Jo","given":"Insu"},{"family":"Knott","given":"Jonathan A."},{"family":"Oswalt","given":"Christopher M."}],"issued":{"date-parts":[["2017",5]]}}},{"id":66,"uris":["http://zotero.org/users/8506331/items/Z5QCE4BF"],"uri":["http://zotero.org/users/8506331/items/Z5QCE4BF"],"itemData":{"id":66,"type":"article-journal","abstract":"Identifying where high genetic diversity is located across our planet and what factors affect the geographical patterns of genetic variation not only provides important insights into distributions of biodiversity but is also crucial for human health, animal and plant breeding and biodiversity conservation. Recent studies show that genetic diversity at nearly neutral genes decreases from the tropics to the poles in different taxa, mirroring the oldest recognized latitudinal gradient of species richness, yet functional genetic diversity has received little attention at such broad spatial or taxonomic scales. Here, we investigated latitudinal gradients in genetic diversity at a polymorphic exon 2 (MHC II DRB gene, 1515 sequences) of the major histocompatibility complex that confers resistance to parasites in 93 terrestrial mammal species at the global scale. We also estimated the effects of species traits, positive selection and anthropogenic biomes on genetic diversity. We found clear latitudinal gradients in genetic diversity and the presence of positive selection at exon 2. Absolute latitude, the presence of positive selection and body mass are important predictors of within-species genetic diversity. A higher occurrence of positive selection, faster evolutionary speed or slower drift at low latitudes may shape the latitudinal gradient in the within-species genetic diversity of the gene. Our results contribute to a greater understanding of how species traits, selection and drift geographically shape functional genetic diversity, broadening the generality of latitudinal biodiversity gradient. The results highlight the importance of conservation at low latitudes.","container-title":"Ecography","DOI":"10.1111/ecog.05082","ISSN":"1600-0587","issue":"2","language":"en","note":"_eprint: https://onlinelibrary.wiley.com/doi/pdf/10.1111/ecog.05082","page":"206-218","source":"Wiley Online Library","title":"Latitudinal gradients in genetic diversity and natural selection at a highly adaptive gene in terrestrial mammals","volume":"44","author":[{"family":"Yiming","given":"Li"},{"family":"Siqi","given":"Wang"},{"family":"Chaoyuan","given":"Cheng"},{"family":"Jiaqi","given":"Zhang"},{"family":"Supen","given":"Wang"},{"family":"Xianglei","given":"Hou"},{"family":"Xuan","given":"Liu"},{"family":"Xuejiao","given":"Yang"},{"family":"Xianping","given":"Li"}],"issued":{"date-parts":[["2021"]]}}}],"schema":"https://github.com/citation-style-language/schema/raw/master/csl-citation.json"} </w:instrText>
      </w:r>
      <w:r w:rsidRPr="00C90343">
        <w:fldChar w:fldCharType="separate"/>
      </w:r>
      <w:r w:rsidRPr="00C90343">
        <w:rPr>
          <w:vertAlign w:val="superscript"/>
        </w:rPr>
        <w:t>17,24</w:t>
      </w:r>
      <w:r w:rsidRPr="00C90343">
        <w:fldChar w:fldCharType="end"/>
      </w:r>
      <w:r w:rsidRPr="00C90343">
        <w:t>. T</w:t>
      </w:r>
      <w:r w:rsidRPr="00C90343">
        <w:rPr>
          <w:color w:val="111111"/>
        </w:rPr>
        <w:t>hough there has been an increase in research examining spatial genetic variation</w:t>
      </w:r>
      <w:r w:rsidRPr="00C90343">
        <w:rPr>
          <w:color w:val="111111"/>
        </w:rPr>
        <w:fldChar w:fldCharType="begin"/>
      </w:r>
      <w:r w:rsidRPr="00C90343">
        <w:rPr>
          <w:color w:val="111111"/>
        </w:rPr>
        <w:instrText xml:space="preserve"> ADDIN ZOTERO_ITEM CSL_CITATION {"citationID":"Zl0VNnTx","properties":{"formattedCitation":"\\super 18\\nosupersub{}","plainCitation":"18","noteIndex":0},"citationItems":[{"id":53,"uris":["http://zotero.org/users/8506331/items/Q3HP22LQ"],"uri":["http://zotero.org/users/8506331/items/Q3HP22LQ"],"itemData":{"id":53,"type":"article-journal","abstract":"Although range expansions have occurred recurrently in the history of most species, their genetic consequences have been little investigated. Theoretical studies show that range expansions are quite different from pure demographic expansions and that the extent of recent gene flow conditions expected patterns of molecular diversity within and between populations. Spatially explicit simulation studies have led to unexpected and fascinating results about genetic patterns emerging after a range expansion. For instance, spatial expansions can generate allele frequency gradients, promote the surfing of rare variants into newly occupied territories, induce the structuring of newly colonized areas into distinct sectors of low genetic diversity, or lead to massive introgression of local genes into the genome of an invading species. Interestingly, most of these patterns had been previously attributed to distinct selective processes, showing that taking into account the dynamic nature of a species range can lead to a paradigm shift in our perception of evolutionary processes.","container-title":"Annual Review of Ecology, Evolution, and Systematics","DOI":"10.1146/annurev.ecolsys.39.110707.173414","issue":"1","note":"_eprint: https://doi.org/10.1146/annurev.ecolsys.39.110707.173414","page":"481-501","source":"Annual Reviews","title":"Genetic Consequences of Range Expansions","volume":"40","author":[{"family":"Excoffier","given":"Laurent"},{"family":"Foll","given":"Matthieu"},{"family":"Petit","given":"Rémy J."}],"issued":{"date-parts":[["2009"]]}}}],"schema":"https://github.com/citation-style-language/schema/raw/master/csl-citation.json"} </w:instrText>
      </w:r>
      <w:r w:rsidRPr="00C90343">
        <w:rPr>
          <w:color w:val="111111"/>
        </w:rPr>
        <w:fldChar w:fldCharType="separate"/>
      </w:r>
      <w:r w:rsidRPr="00C90343">
        <w:rPr>
          <w:color w:val="000000"/>
          <w:vertAlign w:val="superscript"/>
        </w:rPr>
        <w:t>18</w:t>
      </w:r>
      <w:r w:rsidRPr="00C90343">
        <w:rPr>
          <w:color w:val="111111"/>
        </w:rPr>
        <w:fldChar w:fldCharType="end"/>
      </w:r>
      <w:r w:rsidRPr="00C90343">
        <w:rPr>
          <w:color w:val="111111"/>
        </w:rPr>
        <w:t xml:space="preserve">, </w:t>
      </w:r>
      <w:r w:rsidRPr="00C90343">
        <w:t xml:space="preserve">less is known about the ecological and evolutionary responses of functional traits to environmental change across species’ ranges </w:t>
      </w:r>
      <w:r w:rsidRPr="00C90343">
        <w:lastRenderedPageBreak/>
        <w:t>or how traits may mediate or constrict population responses to climate change</w:t>
      </w:r>
      <w:r w:rsidRPr="00C90343">
        <w:fldChar w:fldCharType="begin"/>
      </w:r>
      <w:r w:rsidRPr="00C90343">
        <w:instrText xml:space="preserve"> ADDIN ZOTERO_ITEM CSL_CITATION {"citationID":"SxksPCjq","properties":{"formattedCitation":"\\super 19,23,25,26\\nosupersub{}","plainCitation":"19,23,25,26","noteIndex":0},"citationItems":[{"id":55,"uris":["http://zotero.org/users/8506331/items/L93Y4PU8"],"uri":["http://zotero.org/users/8506331/items/L93Y4PU8"],"itemData":{"id":55,"type":"article-journal","abstract":"Climate change will lead to loss of range for many species, and thus to loss of genetic diversity crucial for their long-term persistence. We analysed range-wide genetic diversity (amplified fragment length polymorphisms) in 9581 samples from 1200 populations of 27 northern plant species, to assess genetic consequences of range reduction and potential association with species traits. We used species distribution modelling (SDM, eight techniques, two global circulation models and two emission scenarios) to predict loss of range and genetic diversity by 2080. Loss of genetic diversity varied considerably among species, and this variation could be explained by dispersal adaptation (up to 57%) and by genetic differentiation among populations (\n              F\n              ST\n              ; up to 61%). Herbs lacking adaptations for long-distance dispersal were estimated to lose genetic diversity at higher rate than dwarf shrubs adapted to long-distance dispersal. The expected range reduction in these 27 northern species was larger than reported for temperate plants, and all were predicted to lose genetic diversity according to at least one scenario. SDM combined with\n              F\n              ST\n              estimates and/or with species trait information thus allows the prediction of species' vulnerability to climate change, aiding rational prioritization of conservation efforts.","container-title":"Proceedings of the Royal Society B: Biological Sciences","DOI":"10.1098/rspb.2011.2363","ISSN":"0962-8452, 1471-2954","issue":"1735","journalAbbreviation":"Proc. R. Soc. B.","language":"en","page":"2042-2051","source":"DOI.org (Crossref)","title":"Genetic consequences of climate change for northern plants","volume":"279","author":[{"family":"Alsos","given":"Inger Greve"},{"family":"Ehrich","given":"Dorothee"},{"family":"Thuiller","given":"Wilfried"},{"family":"Eidesen","given":"Pernille Bronken"},{"family":"Tribsch","given":"Andreas"},{"family":"Schönswetter","given":"Peter"},{"family":"Lagaye","given":"Claire"},{"family":"Taberlet","given":"Pierre"},{"family":"Brochmann","given":"Christian"}],"issued":{"date-parts":[["2012",5,22]]}}},{"id":64,"uris":["http://zotero.org/users/8506331/items/XVTXFZ7W"],"uri":["http://zotero.org/users/8506331/items/XVTXFZ7W"],"itemData":{"id":64,"type":"article-journal","abstract":"Climate warming is predicted to shift species’ ranges as previously uninhabitable environments just beyond the leading range edges become suitable habitat and trailing range edges become increasingly unsuitable. Understanding which aspects of the environment and species traits mediate these range shifts is critical for understanding species’ possible redistributions under global change, yet we have a limited understanding of the ecological and evolutionary responses underlying population spread or extinction at species’ range edges. Within plant populations, shifts in flowering phenology have been one of the strongest and most consistent responses to climate change, and are likely to play an important role in mediating population dynamics within and beyond species’ ranges. However, the role of phenological shifts, and particularly phenological plasticity, in species’ range shifts remains relatively unstudied. Here, we synthesize literature on phenology, plasticity, and adaptation to suggest ways in which phenological responses to climate may vary across species’ ranges and review the empirical evidence for and against these hypotheses. We then outline how phenological plasticity could facilitate or hinder persistence and potential consequences of phenological plasticity in range expansions, including phenological cues, shifts in correlated traits, altered species interactions, and effects on gene flow. Finally, we suggest future avenues for research, such as characterizing reaction norms for phenology across a species’ range and in beyond-the-range transplant experiments. Given the prevalence and magnitude of phenological shifts, future work should carefully dissect its costs and benefits for population persistence, and incorporate phenological plasticity into models predicting species’ persistence and geographic range shifts under climate change.","container-title":"Frontiers in Ecology and Evolution","DOI":"10.3389/fevo.2021.689192","ISSN":"2296-701X","page":"392","source":"Frontiers","title":"Does Phenological Plasticity Help or Hinder Range Shifts Under Climate Change?","volume":"9","author":[{"family":"Zettlemoyer","given":"Meredith A."},{"family":"Peterson","given":"Megan L."}],"issued":{"date-parts":[["2021"]]}}},{"id":72,"uris":["http://zotero.org/users/8506331/items/XDXWP3UC"],"uri":["http://zotero.org/users/8506331/items/XDXWP3UC"],"itemData":{"id":72,"type":"article-journal","container-title":"Proceedings of the National Academy of Sciences","DOI":"10.1073/pnas.1300673111","ISSN":"0027-8424, 1091-6490","issue":"38","journalAbbreviation":"Proceedings of the National Academy of Sciences","language":"en","page":"13739-13744","source":"DOI.org (Crossref)","title":"Predicting species' range limits from functional traits for the tree flora of North America","volume":"111","author":[{"family":"Stahl","given":"U."},{"family":"Reu","given":"B."},{"family":"Wirth","given":"C."}],"issued":{"date-parts":[["2014",9,23]]}}},{"id":73,"uris":["http://zotero.org/users/8506331/items/TY5TAJXH"],"uri":["http://zotero.org/users/8506331/items/TY5TAJXH"],"itemData":{"id":73,"type":"article-journal","abstract":"Global change is widely altering environmental conditions which makes accurately predicting species range limits across natural landscapes critical for conservation and management decisions. If climate pressures along elevation gradients influence the distribution of phenotypic and genetic variation of plant functional traits, then such trait variation may be informative of the selective mechanisms and adaptations that help define climatic niche limits. Using extensive field surveys along 16 elevation transects and a large common garden experiment, we tested whether functional trait variation could predict the climatic niche of a widespread tree species (Populus angustifolia) with a double quantile regression approach. We show that intraspecific variation in plant size, growth, and leaf morphology corresponds with the species' total climate range and certain climatic limits related to temperature and moisture extremes. Moreover, we find evidence of genetic clines and phenotypic plasticity at environmental boundaries, which we use to create geographic predictions of trait variation and maximum values due to climatic constraints across the western US. Overall, our findings show the utility of double quantile regressions for connecting species distributions and climate gradients through trait-based mechanisms. We highlight how new approaches like ours that incorporate genetic variation in functional traits and their response to climate gradients will lead to a better understanding of plant distributions as well as identifying populations anticipated to be maladapted to future environments.","container-title":"Ecology and Evolution","DOI":"10.1002/ece3.5969","ISSN":"2045-7758","issue":"9","language":"en","note":"_eprint: https://onlinelibrary.wiley.com/doi/pdf/10.1002/ece3.5969","page":"3856-3867","source":"Wiley Online Library","title":"Intraspecific trait variation across elevation predicts a widespread tree species' climate niche and range limits","volume":"10","author":[{"family":"Van Nuland","given":"Michael E."},{"family":"Vincent","given":"John B."},{"family":"Ware","given":"Ian M."},{"family":"Mueller","given":"Liam O."},{"family":"Bayliss","given":"Shannon L. J."},{"family":"Beals","given":"Kendall K."},{"family":"Schweitzer","given":"Jennifer A."},{"family":"Bailey","given":"Joseph K."}],"issued":{"date-parts":[["2020"]]}}}],"schema":"https://github.com/citation-style-language/schema/raw/master/csl-citation.json"} </w:instrText>
      </w:r>
      <w:r w:rsidRPr="00C90343">
        <w:fldChar w:fldCharType="separate"/>
      </w:r>
      <w:r w:rsidRPr="00C90343">
        <w:rPr>
          <w:vertAlign w:val="superscript"/>
        </w:rPr>
        <w:t>19,23,25,26</w:t>
      </w:r>
      <w:r w:rsidRPr="00C90343">
        <w:fldChar w:fldCharType="end"/>
      </w:r>
      <w:r w:rsidRPr="00C90343">
        <w:t>. Some of the strongest responses to environmental change have occurred in life history traits like survival, fecundity, or phenology</w:t>
      </w:r>
      <w:r w:rsidRPr="00C90343">
        <w:fldChar w:fldCharType="begin"/>
      </w:r>
      <w:r w:rsidRPr="00C90343">
        <w:instrText xml:space="preserve"> ADDIN ZOTERO_ITEM CSL_CITATION {"citationID":"4iDyyIJv","properties":{"formattedCitation":"\\super 27\\nosupersub{}","plainCitation":"27","noteIndex":0},"citationItems":[{"id":76,"uris":["http://zotero.org/users/8506331/items/UGRFSJTY"],"uri":["http://zotero.org/users/8506331/items/UGRFSJTY"],"itemData":{"id":76,"type":"article-journal","abstract":"One of the strongest biological impacts of climate change has been the movement of species poleward and upward in elevation. Yet, what is not clear is the extent to which the spatial distribution of locally adapted lineages and ecologically important traits may also shift with continued climate change. Here, we take advantage of a transplant experiment mimicking up‐slope seed dispersal for a suite of ecologically diverse populations of yellow monkeyflower (Mimulus guttatus sensu lato) into a high‐elevation common garden during an extreme drought period in the Sierra Nevada mountains, California, USA. We use a demographic approach to quantify fitness and test for selection on life history traits in local versus lower‐elevation populations and in normal versus drought years to test the potential for up‐slope migration and phenotypic selection to alter the distribution of key life history traits in montane environments. We find that lower‐elevation populations tend to outperform local populations, confirming the potential for up‐slope migration. Although selection generally favored some local montane traits, including larger flowers and larger stem size at flowering, drought conditions tended to select for earlier flowering typical of lower‐elevation genotypes. Taken together, this suggests that monkeyflower lineages moving upward in elevation could experience selection for novel trait combinations, particularly under warmer and drier conditions that are predicted to occur with continued climate change., We use a high‐elevation common garden experiment to test the potential for up‐slope migration and corresponding patterns of phenotypic selection in yellow monkeyflowers. We find that lower‐elevation populations have higher fitness than local populations, but experience strong selection on life history traits in a high‐elevation environment. Lineages moving upward in elevation with continued climate change could experience selection for novel trait combinations.","container-title":"Ecology and Evolution","DOI":"10.1002/ece3.5710","ISSN":"2045-7758","issue":"2","journalAbbreviation":"Ecol Evol","note":"PMID: 32015830\nPMCID: PMC6988539","page":"612-625","source":"PubMed Central","title":"Experimental migration upward in elevation is associated with strong selection on life history traits","volume":"10","author":[{"family":"Peterson","given":"Megan L."},{"family":"Angert","given":"Amy L."},{"family":"Kay","given":"Kathleen M."}],"issued":{"date-parts":[["2019",10,2]]}}}],"schema":"https://github.com/citation-style-language/schema/raw/master/csl-citation.json"} </w:instrText>
      </w:r>
      <w:r w:rsidRPr="00C90343">
        <w:fldChar w:fldCharType="separate"/>
      </w:r>
      <w:r w:rsidRPr="00C90343">
        <w:rPr>
          <w:vertAlign w:val="superscript"/>
        </w:rPr>
        <w:t>27</w:t>
      </w:r>
      <w:r w:rsidRPr="00C90343">
        <w:fldChar w:fldCharType="end"/>
      </w:r>
      <w:r w:rsidRPr="00C90343">
        <w:t xml:space="preserve"> that </w:t>
      </w:r>
      <w:r w:rsidRPr="00C90343">
        <w:rPr>
          <w:color w:val="111111"/>
        </w:rPr>
        <w:t>influence many abiotic and biotic components of ecosystems</w:t>
      </w:r>
      <w:r w:rsidRPr="00C90343">
        <w:rPr>
          <w:color w:val="111111"/>
        </w:rPr>
        <w:fldChar w:fldCharType="begin"/>
      </w:r>
      <w:r w:rsidRPr="00C90343">
        <w:rPr>
          <w:color w:val="111111"/>
        </w:rPr>
        <w:instrText xml:space="preserve"> ADDIN ZOTERO_ITEM CSL_CITATION {"citationID":"EKrS5pgM","properties":{"formattedCitation":"\\super 28,29\\nosupersub{}","plainCitation":"28,29","noteIndex":0},"citationItems":[{"id":80,"uris":["http://zotero.org/users/8506331/items/ECIG8CKI"],"uri":["http://zotero.org/users/8506331/items/ECIG8CKI"],"itemData":{"id":80,"type":"article-journal","abstract":"One hundred years ago, Andrew D. Hopkins estimated the progressive delay in tree leaf-out with increasing latitude, longitude, and elevation, referred to as “Hopkins’ bioclimatic law.” What if global warming is altering this well-known law? Here, based on </w:instrText>
      </w:r>
      <w:r w:rsidRPr="00C90343">
        <w:rPr>
          <w:rFonts w:ascii="Cambria Math" w:hAnsi="Cambria Math" w:cs="Cambria Math"/>
          <w:color w:val="111111"/>
        </w:rPr>
        <w:instrText>∼</w:instrText>
      </w:r>
      <w:r w:rsidRPr="00C90343">
        <w:rPr>
          <w:color w:val="111111"/>
        </w:rPr>
        <w:instrText>20,000 observations of the leaf-out date of four common temperate tree species located in 128 sites at various elevations in the European Alps, we found that the elevation-induced phenological shift (EPS) has significantly declined from 34 d</w:instrText>
      </w:r>
      <w:r w:rsidRPr="00C90343">
        <w:rPr>
          <w:rFonts w:ascii="Cambria Math" w:hAnsi="Cambria Math" w:cs="Cambria Math"/>
          <w:color w:val="111111"/>
        </w:rPr>
        <w:instrText>⋅</w:instrText>
      </w:r>
      <w:r w:rsidRPr="00C90343">
        <w:rPr>
          <w:color w:val="111111"/>
        </w:rPr>
        <w:instrText>1,000 m\n              −1\n              conforming to Hopkins’ bioclimatic law in 1960, to 22 d</w:instrText>
      </w:r>
      <w:r w:rsidRPr="00C90343">
        <w:rPr>
          <w:rFonts w:ascii="Cambria Math" w:hAnsi="Cambria Math" w:cs="Cambria Math"/>
          <w:color w:val="111111"/>
        </w:rPr>
        <w:instrText>⋅</w:instrText>
      </w:r>
      <w:r w:rsidRPr="00C90343">
        <w:rPr>
          <w:color w:val="111111"/>
        </w:rPr>
        <w:instrText xml:space="preserve">1,000 m\n              −1\n              in 2016, i.e., −35%. The stronger phenological advance at higher elevations, responsible for the reduction in EPS, is most likely to be connected to stronger warming during late spring as well as to warmer winter temperatures. Indeed, under similar spring temperatures, we found that the EPS was substantially reduced in years when the previous winter was warmer. Our results provide empirical evidence for a declining EPS over the last six decades. Future climate warming may further reduce the EPS with consequences for the structure and function of mountain forest ecosystems, in particular through changes in plant–animal interactions, but the actual impact of such ongoing change is today largely unknown.","container-title":"Proceedings of the National Academy of Sciences","DOI":"10.1073/pnas.1717342115","ISSN":"0027-8424, 1091-6490","issue":"5","journalAbbreviation":"Proc Natl Acad Sci USA","language":"en","page":"1004-1008","source":"DOI.org (Crossref)","title":"Global warming leads to more uniform spring phenology across elevations","volume":"115","author":[{"family":"Vitasse","given":"Yann"},{"family":"Signarbieux","given":"Constant"},{"family":"Fu","given":"Yongshuo H."}],"issued":{"date-parts":[["2018",1,30]]}}},{"id":81,"uris":["http://zotero.org/users/8506331/items/L57PHY8D"],"uri":["http://zotero.org/users/8506331/items/L57PHY8D"],"itemData":{"id":81,"type":"article-journal","abstract":"Plant phenology, the annually recurring sequence of plant developmental stages, is important for plant functioning and ecosystem services and their biophysical and biogeochemical feedbacks to the climate system. Plant phenology depends on temperature, and the current rapid climate change has revived interest in understanding and modeling the responses of plant phenology to the warming trend and the consequences thereof for ecosystems. Here, we review recent progresses in plant phenology and its interactions with climate change. Focusing on the start (leaf unfolding) and end (leaf coloring) of plant growing seasons, we show that the recent rapid expansion in ground- and remote sensing- based phenology data acquisition has been highly beneficial and has supported major advances in plant phenology research. Studies using multiple data sources and methods generally agree on the trends of advanced leaf unfolding and delayed leaf coloring due to climate change, yet these trends appear to have decelerated or even reversed in recent years. Our understanding of the mechanisms underlying the plant phenology responses to climate warming is still limited. The interactions between multiple drivers complicate the modeling and prediction of plant phenology changes. Furthermore, changes in plant phenology have important implications for ecosystem carbon cycles and ecosystem feedbacks to climate, yet the quantification of such impacts remains challenging. We suggest that future studies should primarily focus on using new observation tools to improve the understanding of tropical plant phenology, on improving process-based phenology modeling, and on the scaling of phenology from species to landscape-level.","container-title":"Global Change Biology","DOI":"10.1111/gcb.14619","ISSN":"1365-2486","issue":"6","language":"en","note":"_eprint: https://onlinelibrary.wiley.com/doi/pdf/10.1111/gcb.14619","page":"1922-1940","source":"Wiley Online Library","title":"Plant phenology and global climate change: Current progresses and challenges","title-short":"Plant phenology and global climate change","volume":"25","author":[{"family":"Piao","given":"Shilong"},{"family":"Liu","given":"Qiang"},{"family":"Chen","given":"Anping"},{"family":"Janssens","given":"Ivan A."},{"family":"Fu","given":"Yongshuo"},{"family":"Dai","given":"Junhu"},{"family":"Liu","given":"Lingli"},{"family":"Lian","given":"Xu"},{"family":"Shen","given":"Miaogen"},{"family":"Zhu","given":"Xiaolin"}],"issued":{"date-parts":[["2019"]]}}}],"schema":"https://github.com/citation-style-language/schema/raw/master/csl-citation.json"} </w:instrText>
      </w:r>
      <w:r w:rsidRPr="00C90343">
        <w:rPr>
          <w:color w:val="111111"/>
        </w:rPr>
        <w:fldChar w:fldCharType="separate"/>
      </w:r>
      <w:r w:rsidRPr="00C90343">
        <w:rPr>
          <w:color w:val="000000"/>
          <w:vertAlign w:val="superscript"/>
        </w:rPr>
        <w:t>28,29</w:t>
      </w:r>
      <w:r w:rsidRPr="00C90343">
        <w:rPr>
          <w:color w:val="111111"/>
        </w:rPr>
        <w:fldChar w:fldCharType="end"/>
      </w:r>
      <w:r w:rsidRPr="00C90343">
        <w:rPr>
          <w:color w:val="111111"/>
        </w:rPr>
        <w:t xml:space="preserve">. </w:t>
      </w:r>
    </w:p>
    <w:p w14:paraId="063CE249" w14:textId="17FCE7F1" w:rsidR="00412B02" w:rsidRPr="00C90343" w:rsidRDefault="00412B02" w:rsidP="00C90343">
      <w:pPr>
        <w:spacing w:line="360" w:lineRule="auto"/>
        <w:ind w:firstLine="720"/>
        <w:jc w:val="both"/>
        <w:rPr>
          <w:color w:val="111111"/>
        </w:rPr>
      </w:pPr>
      <w:r w:rsidRPr="00C90343">
        <w:t xml:space="preserve">To </w:t>
      </w:r>
      <w:r w:rsidRPr="00C90343">
        <w:rPr>
          <w:color w:val="111111"/>
        </w:rPr>
        <w:t xml:space="preserve">address the challenge of predicting how </w:t>
      </w:r>
      <w:r w:rsidRPr="00C90343">
        <w:t xml:space="preserve">genetically based trait variation may change on the landscape with climate change, we used three general circulation model </w:t>
      </w:r>
      <w:r w:rsidR="008C10BF">
        <w:t>projections</w:t>
      </w:r>
      <w:r w:rsidRPr="00C90343">
        <w:t xml:space="preserve"> of future climatic conditions, genetically based trait measurements of bud break phenology of a dominant riparian species, </w:t>
      </w:r>
      <w:r w:rsidRPr="00C90343">
        <w:rPr>
          <w:i/>
          <w:iCs/>
        </w:rPr>
        <w:t>Populus angustifolia</w:t>
      </w:r>
      <w:r w:rsidRPr="00C90343">
        <w:t>, and the technique of stacked species distribution modeling</w:t>
      </w:r>
      <w:r w:rsidRPr="00C90343">
        <w:fldChar w:fldCharType="begin"/>
      </w:r>
      <w:r w:rsidRPr="00C90343">
        <w:instrText xml:space="preserve"> ADDIN ZOTERO_ITEM CSL_CITATION {"citationID":"VYKbBVQq","properties":{"formattedCitation":"\\super 30\\nosupersub{}","plainCitation":"30","noteIndex":0},"citationItems":[{"id":86,"uris":["http://zotero.org/users/8506331/items/Q7UXY7IX"],"uri":["http://zotero.org/users/8506331/items/Q7UXY7IX"],"itemData":{"id":86,"type":"article-journal","abstract":"1 Statistical modelling is often used to relate sparse biological survey data to remotely derived environmental predictors, thereby providing a basis for predictively mapping biodiversity across an entire region of interest. The most popular strategy for such modelling has been to model distributions of individual species one at a time. Spatial modelling of biodiversity at the community level may, however, confer significant benefits for applications involving very large numbers of species, particularly if many of these species are recorded infrequently. 2 Community-level modelling combines data from multiple species and produces information on spatial pattern in the distribution of biodiversity at a collective community level instead of, or in addition to, the level of individual species. Spatial outputs from community-level modelling include predictive mapping of community types (groups of locations with similar species composition), species groups (groups of species with similar distributions), axes or gradients of compositional variation, levels of compositional dissimilarity between pairs of locations, and various macro-ecological properties (e.g. species richness). 3 Three broad modelling strategies can be used to generate these outputs: (i) ‘assemble first, predict later’, in which biological survey data are first classified, ordinated or aggregated to produce community-level entities or attributes that are then modelled in relation to environmental predictors; (ii) ‘predict first, assemble later’, in which individual species are modelled one at a time as a function of environmental variables, to produce a stack of species distribution maps that is then subjected to classification, ordination or aggregation; and (iii) ‘assemble and predict together’, in which all species are modelled simultaneously, within a single integrated modelling process. These strategies each have particular strengths and weaknesses, depending on the intended purpose of modelling and the type, quality and quantity of data involved. 4 Synthesis and applications. The potential benefits of modelling large multispecies data sets using community-level, as opposed to species-level, approaches include faster processing, increased power to detect shared patterns of environmental response across rarely recorded species, and enhanced capacity to synthesize complex data into a form more readily interpretable by scientists and decision-makers. Community-level modelling therefore deserves to be considered more often, and more widely, as a potential alternative or supplement to modelling individual species.","container-title":"Journal of Applied Ecology","DOI":"10.1111/j.1365-2664.2006.01149.x","ISSN":"1365-2664","issue":"3","language":"en","note":"_eprint: https://onlinelibrary.wiley.com/doi/pdf/10.1111/j.1365-2664.2006.01149.x","page":"393-404","source":"Wiley Online Library","title":"Spatial modelling of biodiversity at the community level","volume":"43","author":[{"family":"Ferrier","given":"Simon"},{"family":"Guisan","given":"Antoine"}],"issued":{"date-parts":[["2006"]]}}}],"schema":"https://github.com/citation-style-language/schema/raw/master/csl-citation.json"} </w:instrText>
      </w:r>
      <w:r w:rsidRPr="00C90343">
        <w:fldChar w:fldCharType="separate"/>
      </w:r>
      <w:r w:rsidRPr="00C90343">
        <w:rPr>
          <w:vertAlign w:val="superscript"/>
        </w:rPr>
        <w:t>30</w:t>
      </w:r>
      <w:r w:rsidRPr="00C90343">
        <w:fldChar w:fldCharType="end"/>
      </w:r>
      <w:r w:rsidRPr="00C90343">
        <w:t xml:space="preserve">. </w:t>
      </w:r>
      <w:r w:rsidRPr="00C90343">
        <w:rPr>
          <w:color w:val="111111"/>
        </w:rPr>
        <w:t>Using these tools, we identify shifts in suitable climatic conditions for a range of phenological traits and ask the following questions:</w:t>
      </w:r>
      <w:r w:rsidRPr="00C90343">
        <w:rPr>
          <w:color w:val="000000"/>
        </w:rPr>
        <w:t xml:space="preserve"> (1) how climate change will alter phenological variation across the species-range and within populations; and (B) whether climate change will cause phenological trait variation to converge (become more similar) between populations. We hypothesized that strong environmental gradients associated with climate change will reduce phenological variation over the species-range, with the trailing edge (lowest latitude) population losing the most variation; We also hypothesized that trait distributions would become more similar among populations.</w:t>
      </w:r>
      <w:r w:rsidRPr="00C90343">
        <w:rPr>
          <w:color w:val="111111"/>
        </w:rPr>
        <w:t xml:space="preserve"> </w:t>
      </w:r>
    </w:p>
    <w:p w14:paraId="26986272" w14:textId="574DAAEB" w:rsidR="00B66B6E" w:rsidRPr="00C90343" w:rsidRDefault="00B66B6E" w:rsidP="00C90343">
      <w:pPr>
        <w:pStyle w:val="Heading2"/>
        <w:spacing w:line="360" w:lineRule="auto"/>
        <w:rPr>
          <w:sz w:val="24"/>
          <w:szCs w:val="24"/>
        </w:rPr>
      </w:pPr>
      <w:bookmarkStart w:id="57" w:name="_Toc88056491"/>
      <w:r w:rsidRPr="00C90343">
        <w:rPr>
          <w:sz w:val="24"/>
          <w:szCs w:val="24"/>
        </w:rPr>
        <w:t>Materials &amp; Methods</w:t>
      </w:r>
      <w:bookmarkEnd w:id="57"/>
    </w:p>
    <w:p w14:paraId="5A64A40F" w14:textId="77777777" w:rsidR="00412B02" w:rsidRPr="00C90343" w:rsidRDefault="00412B02" w:rsidP="00C90343">
      <w:pPr>
        <w:pStyle w:val="Heading3"/>
        <w:spacing w:line="360" w:lineRule="auto"/>
        <w:jc w:val="both"/>
        <w:rPr>
          <w:szCs w:val="24"/>
        </w:rPr>
      </w:pPr>
      <w:r w:rsidRPr="00C90343">
        <w:rPr>
          <w:szCs w:val="24"/>
        </w:rPr>
        <w:t>Study species, occurrence data, and geographic extent</w:t>
      </w:r>
    </w:p>
    <w:p w14:paraId="61F6B6E1" w14:textId="7AC56F06" w:rsidR="00412B02" w:rsidRPr="00C90343" w:rsidRDefault="00412B02" w:rsidP="00C90343">
      <w:pPr>
        <w:spacing w:line="360" w:lineRule="auto"/>
        <w:jc w:val="both"/>
      </w:pPr>
      <w:r w:rsidRPr="00C90343">
        <w:t xml:space="preserve">Occurrence data were collected for </w:t>
      </w:r>
      <w:r w:rsidRPr="00C90343">
        <w:rPr>
          <w:i/>
        </w:rPr>
        <w:t xml:space="preserve">Populus angustifolia </w:t>
      </w:r>
      <w:r w:rsidRPr="00C90343">
        <w:rPr>
          <w:iCs/>
        </w:rPr>
        <w:t>James</w:t>
      </w:r>
      <w:r w:rsidRPr="00C90343">
        <w:t xml:space="preserve"> in May-June 2012. </w:t>
      </w:r>
      <w:r w:rsidRPr="00C90343">
        <w:rPr>
          <w:i/>
          <w:iCs/>
        </w:rPr>
        <w:t>P. angustifolia</w:t>
      </w:r>
      <w:r w:rsidRPr="00C90343">
        <w:t xml:space="preserve"> is a dominant riparian tree species distributed from the south of Alberta, Canada along the U.S. Rocky Mountains and into the north of Mexico</w:t>
      </w:r>
      <w:r w:rsidRPr="00C90343">
        <w:fldChar w:fldCharType="begin"/>
      </w:r>
      <w:r w:rsidRPr="00C90343">
        <w:instrText xml:space="preserve"> ADDIN ZOTERO_ITEM CSL_CITATION {"citationID":"S9Xu3wzM","properties":{"formattedCitation":"\\super 31\\nosupersub{}","plainCitation":"31","noteIndex":0},"citationItems":[{"id":90,"uris":["http://zotero.org/users/8506331/items/WSX7PXTG"],"uri":["http://zotero.org/users/8506331/items/WSX7PXTG"],"itemData":{"id":90,"type":"article-journal","abstract":"Poplars are trees of the angiosperm genus Populus, a group of generally diploid, dioecious, and deciduous pioneers that are widespread in forests around the Northern Hemisphere. Canada is a centre of poplar abundance and diversity, with 7 of the 29 global Populus species occurring naturally, and other species being introduced. Numerous interspecific hybrids also occur, including native hybrids that create centres of biodiversity, and artificial hybrid poplars that are planted for wood and fiber production, as well as for environmental and landscape applications. This paper introduces poplars and their distribution across Canada and explores Canadian and international contributions to poplar research. It also discusses papers of the special issue Poplar Research in Canada in the November 2007 and December 2007 issues of the Canadian Journal of Botany, which contains a collection of 19 contributions from Canadian institutions that report on a diverse range of topics including genomics and molecular biology, physiology, ecology, population genetics, and systematics. Many of these contributions address issues pertinent to silviculture and other applications, and one article chronicles poplar research and poplar utilization in Canada. These studies that appear in this special issue reflect the growing international emphasis on poplar, not only as an important and widespread group of trees, but also as a model that provides broader insights relevant to fundamental and applied sciences involving trees and forest systems.","container-title":"Canadian Journal of Botany","DOI":"10.1139/B07-125","ISSN":"0008-4026","issue":"12","journalAbbreviation":"Can. J. Bot.","language":"en","page":"1103-1110","source":"DOI.org (Crossref)","title":"Trees of the people: the growing science of poplars in Canada and worldwideThis commentary is one of a selection of papers published in the Special Issue on Poplar Research in Canada.","title-short":"Trees of the people","volume":"85","author":[{"family":"Cooke","given":"Janice E.K."},{"family":"Rood","given":"Stewart B."}],"issued":{"date-parts":[["2007",12]]}}}],"schema":"https://github.com/citation-style-language/schema/raw/master/csl-citation.json"} </w:instrText>
      </w:r>
      <w:r w:rsidRPr="00C90343">
        <w:fldChar w:fldCharType="separate"/>
      </w:r>
      <w:r w:rsidRPr="00C90343">
        <w:rPr>
          <w:vertAlign w:val="superscript"/>
        </w:rPr>
        <w:t>31</w:t>
      </w:r>
      <w:r w:rsidRPr="00C90343">
        <w:fldChar w:fldCharType="end"/>
      </w:r>
      <w:r w:rsidRPr="00C90343">
        <w:t xml:space="preserve"> – spanning approximately 1700km of latitude. The species exhibits a wide range of trait variation across this large geographic range and these large climatic gradients</w:t>
      </w:r>
      <w:r w:rsidRPr="00C90343">
        <w:fldChar w:fldCharType="begin"/>
      </w:r>
      <w:r w:rsidRPr="00C90343">
        <w:instrText xml:space="preserve"> ADDIN ZOTERO_ITEM CSL_CITATION {"citationID":"dJSpB25y","properties":{"formattedCitation":"\\super 32\\nosupersub{}","plainCitation":"32","noteIndex":0},"citationItems":[{"id":91,"uris":["http://zotero.org/users/8506331/items/F54B98KE"],"uri":["http://zotero.org/users/8506331/items/F54B98KE"],"itemData":{"id":91,"type":"article-journal","abstract":"We examined the hypothesis that climate-driven evolution of plant traits will influence associated soil microbiomes and ecosystem function across the landscape. Using a foundation tree species, Populus angustifolia, observational and common garden approaches, and a base population genetic collection that spans 17 river systems in the western United States, from AZ to MT, we show that (a) as mean annual temperature (MAT) increases, genetic and phenotypic variation for bud break phenology decline; (b) soil microbiomes, soil nitrogen (N), and soil carbon (C) vary in response to MAT and conditioning by trees; and (c) with losses of genetic variation due to warming, population-level regulation of community and ecosystem functions strengthen. These results demonstrate a relationship between the potential evolutionary response of populations and subsequent shifts in ecosystem function along a large temperature gradient.","container-title":"Global Change Biology","DOI":"10.1111/gcb.14553","ISSN":"1365-2486","issue":"4","language":"en","note":"_eprint: https://onlinelibrary.wiley.com/doi/pdf/10.1111/gcb.14553","page":"1514-1528","source":"Wiley Online Library","title":"Climate-driven reduction of genetic variation in plant phenology alters soil communities and nutrient pools","volume":"25","author":[{"family":"Ware","given":"Ian M."},{"family":"Van Nuland","given":"Michael E."},{"family":"Schweitzer","given":"Jennifer A."},{"family":"Yang","given":"Zamin"},{"family":"Schadt","given":"Christopher W."},{"family":"Sidak-Loftis","given":"Lindsay C."},{"family":"Stone","given":"Nathan E."},{"family":"Busch","given":"Joseph D."},{"family":"Wagner","given":"David M."},{"family":"Bailey","given":"Joseph K."}],"issued":{"date-parts":[["2019"]]}}}],"schema":"https://github.com/citation-style-language/schema/raw/master/csl-citation.json"} </w:instrText>
      </w:r>
      <w:r w:rsidRPr="00C90343">
        <w:fldChar w:fldCharType="separate"/>
      </w:r>
      <w:r w:rsidRPr="00C90343">
        <w:rPr>
          <w:vertAlign w:val="superscript"/>
        </w:rPr>
        <w:t>32</w:t>
      </w:r>
      <w:r w:rsidRPr="00C90343">
        <w:fldChar w:fldCharType="end"/>
      </w:r>
      <w:r w:rsidRPr="00C90343">
        <w:t xml:space="preserve"> and is thus ideal for examining how genetic trait variation is distributed on the landscape and may shift in response to climatic changes. Latitude and longitude coordinates were collected as decimal values from the WGS 84 </w:t>
      </w:r>
      <w:r w:rsidR="008C10BF">
        <w:t>W</w:t>
      </w:r>
      <w:r w:rsidRPr="00C90343">
        <w:t xml:space="preserve">orld </w:t>
      </w:r>
      <w:r w:rsidR="008C10BF">
        <w:t>G</w:t>
      </w:r>
      <w:r w:rsidRPr="00C90343">
        <w:t>rid system from Oregon 500 Garmin GPS units for each sampled tree. Occurrence data span the range of three genetic provenances (Arizona, Eastern, Northern/Wasatch Clusters)</w:t>
      </w:r>
      <w:r w:rsidRPr="00C90343">
        <w:fldChar w:fldCharType="begin"/>
      </w:r>
      <w:r w:rsidRPr="00C90343">
        <w:instrText xml:space="preserve"> ADDIN ZOTERO_ITEM CSL_CITATION {"citationID":"DBZKt4pp","properties":{"formattedCitation":"\\super 33,34\\nosupersub{}","plainCitation":"33,34","noteIndex":0},"citationItems":[{"id":95,"uris":["http://zotero.org/users/8506331/items/GLT877NN"],"uri":["http://zotero.org/users/8506331/items/GLT877NN"],"itemData":{"id":95,"type":"article-journal","abstract":"Herbivore adaptation to plant genetic variation can lead to reproductive isolation and the formation of host-associated lineages (host-associated differentiation, or HAD). Plant genetic variation exists along a scale, ranging from variation among individual plant genotypes to variation among plant species. Along this scale, herbivores may adapt and diverge at any level, yet few studies have examined whether herbivore differentiation exhibits scaling with respect to host variation (e.g., from genotypes to species). Determining at which level(s) herbivore differentiation occurs can provide insight into the importance of plant genetic variation on herbivore evolution. Previous studies have found strong genetic differentiation in the eriophyid mite, Aceria parapopuli, between hybrid Populus hosts and parental Populus species, but minimal neutral-locus differentiation among individual trees of the same species. We tested whether genetic differentiation in A. parapopuli scales with genetic variation in its Populus hosts. Using mite ITS1 sequence data collected among host species and among host populations, two key patterns emerged. (1) We found strong differentiation of A. parapopuli among Populus species, supporting the hypothesis that plant species differences drive reproductive isolation and HAD. (2) We did not ﬁnd evidence of host-driven genetic differentiation in mites at the level of plant populations, suggesting that this level of plant variation is insufﬁciently strong to drive differentiation at a neutral locus. In combination with previous studies, we found that HAD occurs at the higher levels of plant genetic variation, but not at lower levels, and conclude that HAD depends on the scale of plant genetic variation examined.","container-title":"Evolutionary Ecology","DOI":"10.1007/s10682-012-9582-2","ISSN":"0269-7653, 1573-8477","issue":"1","journalAbbreviation":"Evol Ecol","language":"en","page":"65-81","source":"DOI.org (Crossref)","title":"Herbivore host-associated genetic differentiation depends on the scale of plant genetic variation examined","volume":"27","author":[{"family":"Evans","given":"Luke M."},{"family":"Allan","given":"Gerard J."},{"family":"Meneses","given":"Nashelly"},{"family":"Max","given":"Tamara L."},{"family":"Whitham","given":"Thomas G."}],"issued":{"date-parts":[["2013",1]]}}},{"id":184,"uris":["http://zotero.org/users/8506331/items/V3YXWWM6"],"uri":["http://zotero.org/users/8506331/items/V3YXWWM6"],"itemData":{"id":184,"type":"article-journal","abstract":"Studies of genetic variation can clarify the role of geography and spatio-temporal variation of climate in shaping demography, particularly in temperate zone tree species with large latitudinal ranges. Here, we examined genetic variation in narrowleaf cottonwood, Populus angustifolia, a dominant riparian tree. Using multi-locus surveys of polymorphism in 363 individuals across the species’ 1800 km latitudinal range, we found that, first, P. angustifolia has stronger neutral genetic structure than many forest trees (simple sequence repeat (SSR) FST=0.21), with major genetic groups corresponding to large apparent geographical barriers to gene flow. Second, using SSRs and putatively neutral sequenced loci, coalescent simulations indicated that populations diverged before the last glacial maximum (LGM), suggesting the presence of population structure before the LGM. Third, the LGM and subsequent warming appear to have had different influences on each of these distinct populations, with effective population size reduction in the southern extent of the range but major expansion in the north. These results are consistent with the hypothesis that climate and geographic barriers have jointly affected the demographic history of P. angustifolia, and point the importance of both factors as being instrumental in shaping genetic variation and structure in widespread forest trees.","container-title":"Heredity","DOI":"10.1038/hdy.2014.115","ISSN":"1365-2540","issue":"4","language":"en","note":"Bandiera_abtest: a\nCg_type: Nature Research Journals\nnumber: 4\nPrimary_atype: Research\npublisher: Nature Publishing Group\nSubject_term: Population genetics\nSubject_term_id: population-genetics","page":"387-396","source":"www-nature-com.utk.idm.oclc.org","title":"Geographical barriers and climate influence demographic history in narrowleaf cottonwoods","volume":"114","author":[{"family":"Evans","given":"L. M."},{"family":"Allan","given":"G. J."},{"family":"DiFazio","given":"S. P."},{"family":"Slavov","given":"G. T."},{"family":"Wilder","given":"J. A."},{"family":"Floate","given":"K. D."},{"family":"Rood","given":"S. B."},{"family":"Whitham","given":"T. G."}],"issued":{"date-parts":[["2015",4]]}}}],"schema":"https://github.com/citation-style-language/schema/raw/master/csl-citation.json"} </w:instrText>
      </w:r>
      <w:r w:rsidRPr="00C90343">
        <w:fldChar w:fldCharType="separate"/>
      </w:r>
      <w:r w:rsidRPr="00C90343">
        <w:rPr>
          <w:vertAlign w:val="superscript"/>
        </w:rPr>
        <w:t>33,34</w:t>
      </w:r>
      <w:r w:rsidRPr="00C90343">
        <w:fldChar w:fldCharType="end"/>
      </w:r>
      <w:r w:rsidRPr="00C90343">
        <w:t xml:space="preserve">. Sampling methods were designed to cover </w:t>
      </w:r>
      <w:r w:rsidRPr="00C90343">
        <w:lastRenderedPageBreak/>
        <w:t>extreme environments as well as locations near the edges of the species’ geographical range. In contrast to random sampling, these methods should provide more resolved predictions of range dynamics expected with climate change</w:t>
      </w:r>
      <w:r w:rsidRPr="00C90343">
        <w:fldChar w:fldCharType="begin"/>
      </w:r>
      <w:r w:rsidRPr="00C90343">
        <w:instrText xml:space="preserve"> ADDIN ZOTERO_ITEM CSL_CITATION {"citationID":"GUn3o8Id","properties":{"formattedCitation":"\\super 22,35\\uc0\\u8211{}37\\nosupersub{}","plainCitation":"22,35–37","noteIndex":0},"citationItems":[{"id":62,"uris":["http://zotero.org/users/8506331/items/QSAH6DHQ"],"uri":["http://zotero.org/users/8506331/items/QSAH6DHQ"],"itemData":{"id":62,"type":"article-journal","abstract":"Modern climate change is producing poleward range shifts of numerous taxa, communities and ecosystems worldwide. The response of species to changing environments is likely to be determined largely by population responses at range margins. In contrast to the expanding edge, the low-latitude limit (rear edge) of species ranges remains understudied, and the critical importance of rear edge populations as long-term stores of species’ genetic diversity and foci of speciation has been little acknowledged. We review recent findings from the fossil record, phylogeography and ecology to illustrate that rear edge populations are often disproportionately important for the survival and evolution of biota. Their ecological features, dynamics and conservation requirements differ from those of populations in other parts of the range, and some commonly recommended conservation practices might therefore be of little use or even counterproductive for rear edge populations.","container-title":"Ecology Letters","DOI":"10.1111/j.1461-0248.2005.00739.x","ISSN":"1461-0248","issue":"5","language":"en","note":"_eprint: https://onlinelibrary.wiley.com/doi/pdf/10.1111/j.1461-0248.2005.00739.x","page":"461-467","source":"Wiley Online Library","title":"Conserving biodiversity under climate change: the rear edge matters","title-short":"Conserving biodiversity under climate change","volume":"8","author":[{"family":"Hampe","given":"Arndt"},{"family":"Petit","given":"Rémy J."}],"issued":{"date-parts":[["2005"]]}}},{"id":167,"uris":["http://zotero.org/users/8506331/items/RVV3TDCI"],"uri":["http://zotero.org/users/8506331/items/RVV3TDCI"],"itemData":{"id":167,"type":"article-journal","abstract":"AbstractMany species’ range limits (RL) occur across continuous environmental gradients without obvious barriers imposing them. Such RL are expected to reflect niche limits (NL) and thus to occur where populations cease to be self-sustaining. Transplant experiments comparing fitness within and beyond species’ ranges can test this hypothesis, but interpretive power depends strongly on experimental design. We first identify often overlooked aspects of transplant design that are critical to establishing the causes of RL, especially incorporating transplant sites at, and source populations from, the range edge. We then conduct a meta-analysis of published beyond-range transplant experiments ( tests). Most tests (75%) found that performance declined beyond the range, with the strongest declines detected when the measure of performance was lifetime fitness (83%), suggesting that RL commonly involve niche constraints (declining habitat quality). However, only 46% supported range limits occurring at NL; 26% (mostly geographic RL) fell short of NL with self-sustaining transplants beyond the range, and 23% (all elevational RL) exceeded NL with range-edge populations acting as demographic sinks. These data suggest an important but divergent role for dispersal, which may commonly constrain geographic distributions while extending elevational limits. Meta-analysis results also supported the importance of biotic interactions at RL, particularly the long-held assertion of their role in causing low-elevation and equatorial limits.","container-title":"The American Naturalist","DOI":"10.1086/674525","ISSN":"0003-0147","issue":"2","note":"publisher: [The University of Chicago Press, The American Society of Naturalists]","page":"157-173","source":"JSTOR","title":"Are Species’ Range Limits Simply Niche Limits Writ Large? A Review of Transplant Experiments beyond the Range","title-short":"Are Species’ Range Limits Simply Niche Limits Writ Large?","volume":"183","author":[{"family":"Hargreaves","given":"Anna L."},{"family":"Samis","given":"Karen E."},{"family":"Eckert","given":"Christopher G."},{"family":"Schmitz","given":"Associate Editor: Oswald J."},{"family":"Bronstein","given":"Editor: Judith L."}],"issued":{"date-parts":[["2014"]]}}},{"id":97,"uris":["http://zotero.org/users/8506331/items/BGLKC4JK"],"uri":["http://zotero.org/users/8506331/items/BGLKC4JK"],"itemData":{"id":97,"type":"article-journal","container-title":"Trends in Ecology &amp; Evolution","DOI":"10.1016/j.tree.2014.05.003","ISSN":"01695347","issue":"7","journalAbbreviation":"Trends in Ecology &amp; Evolution","language":"en","page":"406-416","source":"DOI.org (Crossref)","title":"Climate relicts and their associated communities as natural ecology and evolution laboratories","volume":"29","author":[{"family":"Woolbright","given":"Scott A."},{"family":"Whitham","given":"Thomas G."},{"family":"Gehring","given":"Catherine A."},{"family":"Allan","given":"Gerard J."},{"family":"Bailey","given":"Joseph K."}],"issued":{"date-parts":[["2014",7]]}}},{"id":166,"uris":["http://zotero.org/users/8506331/items/8CJGCFK7"],"uri":["http://zotero.org/users/8506331/items/8CJGCFK7"],"itemData":{"id":166,"type":"article-journal","abstract":"Ecologists and biogeographers are currently expending great effort forecasting shifts in species geographical ranges that may result from climate change. However, these efforts are problematic because they have mostly relied on presenceonly data that ignore within-species genetic diversity. Technological advances in high-throughput sequencing have now made it cost-effective to survey the genetic structure of populations sampled throughout the range of a species. These data can be used to delineate two or more genetic clusters within the species range, and to identify admixtures of individuals within genetic clusters that reﬂect different patterns of ancestry. Species distribution models (SDMs) applied to the presence and absence of genetic clusters should provide more realistic forecasts of geographical range shifts that take account of genetic variability. High-throughput sequencing and spatially explicit models may be used to further reﬁne these projections.","container-title":"Journal of Biogeography","DOI":"10.1111/jbi.12562","ISSN":"03050270","issue":"9","journalAbbreviation":"J. Biogeogr.","language":"en","page":"1577-1585","source":"DOI.org (Crossref)","title":"Climate change, genetic markers and species distribution modelling","volume":"42","author":[{"family":"Gotelli","given":"Nicholas J."},{"family":"Stanton-Geddes","given":"John"}],"issued":{"date-parts":[["2015",9]]}}}],"schema":"https://github.com/citation-style-language/schema/raw/master/csl-citation.json"} </w:instrText>
      </w:r>
      <w:r w:rsidRPr="00C90343">
        <w:fldChar w:fldCharType="separate"/>
      </w:r>
      <w:r w:rsidRPr="00C90343">
        <w:rPr>
          <w:vertAlign w:val="superscript"/>
        </w:rPr>
        <w:t>22,35–37</w:t>
      </w:r>
      <w:r w:rsidRPr="00C90343">
        <w:fldChar w:fldCharType="end"/>
      </w:r>
      <w:r w:rsidRPr="00C90343">
        <w:t xml:space="preserve">. </w:t>
      </w:r>
    </w:p>
    <w:p w14:paraId="3DDD2FFB" w14:textId="6539BCE9" w:rsidR="00412B02" w:rsidRPr="00C90343" w:rsidRDefault="00412B02" w:rsidP="00C90343">
      <w:pPr>
        <w:spacing w:line="360" w:lineRule="auto"/>
        <w:ind w:firstLine="720"/>
        <w:jc w:val="both"/>
        <w:rPr>
          <w:color w:val="000000"/>
        </w:rPr>
      </w:pPr>
      <w:r w:rsidRPr="00C90343">
        <w:t>Geographic extent for distribution model training should be based on assumptions about species’ dispersal. In this system, genetic connectivity of populations is related to riparian network connectivity</w:t>
      </w:r>
      <w:r w:rsidRPr="00C90343">
        <w:fldChar w:fldCharType="begin"/>
      </w:r>
      <w:r w:rsidRPr="00C90343">
        <w:instrText xml:space="preserve"> ADDIN ZOTERO_ITEM CSL_CITATION {"citationID":"1jGNt08K","properties":{"formattedCitation":"\\super 38,39\\nosupersub{}","plainCitation":"38,39","noteIndex":0},"citationItems":[{"id":162,"uris":["http://zotero.org/users/8506331/items/PUNIQBAS"],"uri":["http://zotero.org/users/8506331/items/PUNIQBAS"],"itemData":{"id":162,"type":"article-journal","abstract":"Fremont cottonwood (Populus fremonti) is a foundation riparian tree species that drives community structure and ecosystem processes in southwestern U.S. ecosystems. Despite its ecological importance, little is known about the ecological and environmental processes that shape its genetic diversity, structure, and landscape connectivity. Here, we combined molecular analyses of 82 populations including 1312 individual trees dispersed over the species' geographical distribution. We reduced the data set to 40 populations and 743 individuals to eliminate admixture with a sibling species, and used multivariate restricted optimization and reciprocal causal modeling to evaluate the effects of river network connectivity and climatic gradients on gene flow. Our results confirmed the following: First, gene flow of Fremont cottonwood is jointly controlled by the connectivity of the river network and gradients of seasonal precipitation. Second, gene flow is facilitated by mid-sized to large rivers, and is resisted by small streams and terrestrial uplands, with resistance to gene flow decreasing with river size. Third, genetic differentiation increases with cumulative differences in winter and spring precipitation. Our results suggest that ongoing fragmentation of riparian habitats will lead to a loss of landscape-level genetic connectivity, leading to increased inbreeding and the concomitant loss of genetic diversity in a foundation species. These genetic effects will cascade to a much larger community of organisms, some of which are threatened and endangered.","container-title":"Ecological Applications","DOI":"10.1890/13-1612.1","ISSN":"1939-5582","issue":"5","language":"en","note":"_eprint: https://esajournals.onlinelibrary.wiley.com/doi/pdf/10.1890/13-1612.1","page":"1000-1014","source":"Wiley Online Library","title":"Landscape genetic connectivity in a riparian foundation tree is jointly driven by climatic gradients and river networks","volume":"24","author":[{"family":"Cushman","given":"Samuel A."},{"family":"Max","given":"Tamara"},{"family":"Meneses","given":"Nashelly"},{"family":"Evans","given":"Luke M."},{"family":"Ferrier","given":"Sharon"},{"family":"Honchak","given":"Barbara"},{"family":"Whitham","given":"Thomas G."},{"family":"Allan","given":"Gerard J."}],"issued":{"date-parts":[["2014"]]}}},{"id":98,"uris":["http://zotero.org/users/8506331/items/H4P5NNTR"],"uri":["http://zotero.org/users/8506331/items/H4P5NNTR"],"itemData":{"id":98,"type":"article-journal","abstract":"Gene flow is an evolutionary process that supports genetic connectivity and contributes to the capacity of species to adapt to environmental change. Yet, for most species, little is known about the specific environmental factors that influence genetic connectivity, or their effects on genetic diversity and differentiation. We used a landscape genetic approach to understand how geography and climate influence genetic connectivity in a foundation riparian tree (Populus angustifolia), and their relationships with specieswide patterns of genetic diversity and differentiation. Using multivariate restricted optimization in a reciprocal causal modelling framework, we quantified the relative contributions of riparian network connectivity, terrestrial upland resistance and climate gradients on genetic connectivity. We found that (i) all riparian corridors, regardless of river order, equally facilitated connectivity, while terrestrial uplands provided 2.5× more resistance to gene flow than riparian corridors. (ii) Cumulative differences in precipitation seasonality and precipitation of the warmest quarter were the primary climatic factors driving genetic differentiation; furthermore, maximum climate resistance was 45× greater than riparian resistance. (iii) Genetic diversity was positively correlated with connectivity (R2 = 0.3744, p = .0019), illustrating the utility of resistance models for identifying landscape conditions that can support a species' ability to adapt to environmental change. From these results, we present a map highlighting key genetic connectivity corridors across P. angustifolia's range that if disrupted could have long-term ecological and evolutionary consequences. Our findings provide recommendations for conservation and restoration management of threatened riparian ecosystems throughout the western USA and the high biodiversity they support.","container-title":"Molecular Ecology","DOI":"10.1111/mec.14281","ISSN":"1365-294X","issue":"19","language":"en","note":"_eprint: https://onlinelibrary.wiley.com/doi/pdf/10.1111/mec.14281","page":"5114-5132","source":"Wiley Online Library","title":"Conserving threatened riparian ecosystems in the American West: Precipitation gradients and river networks drive genetic connectivity and diversity in a foundation riparian tree (Populus angustifolia)","title-short":"Conserving threatened riparian ecosystems in the American West","volume":"26","author":[{"family":"Bothwell","given":"Helen M."},{"family":"Cushman","given":"Samuel A."},{"family":"Woolbright","given":"Scott A."},{"family":"Hersch-Green","given":"Erika I."},{"family":"Evans","given":"Luke M."},{"family":"Whitham","given":"Thomas G."},{"family":"Allan","given":"Gerard J."}],"issued":{"date-parts":[["2017"]]}}}],"schema":"https://github.com/citation-style-language/schema/raw/master/csl-citation.json"} </w:instrText>
      </w:r>
      <w:r w:rsidRPr="00C90343">
        <w:fldChar w:fldCharType="separate"/>
      </w:r>
      <w:r w:rsidRPr="00C90343">
        <w:rPr>
          <w:vertAlign w:val="superscript"/>
        </w:rPr>
        <w:t>38,39</w:t>
      </w:r>
      <w:r w:rsidRPr="00C90343">
        <w:fldChar w:fldCharType="end"/>
      </w:r>
      <w:r w:rsidRPr="00C90343">
        <w:rPr>
          <w:color w:val="000000"/>
        </w:rPr>
        <w:t xml:space="preserve">, and thus we chose to create geographic bounds for training our models with water basin information. </w:t>
      </w:r>
      <w:r w:rsidRPr="00C90343">
        <w:t xml:space="preserve">Based on our occurrence data, we chose </w:t>
      </w:r>
      <w:r w:rsidR="008C10BF">
        <w:t xml:space="preserve">watersheds with </w:t>
      </w:r>
      <w:r w:rsidRPr="00C90343">
        <w:t xml:space="preserve">the lowest level (level 6) of HUC (hydrologic unit code) from the USGS Watershed Boundary Dataset that captured all our occurrence points across the range (https://water.usgs.gov/GIS/huc.html). </w:t>
      </w:r>
    </w:p>
    <w:p w14:paraId="698687FF" w14:textId="77777777" w:rsidR="00412B02" w:rsidRPr="00C90343" w:rsidRDefault="00412B02" w:rsidP="00C90343">
      <w:pPr>
        <w:pStyle w:val="Heading3"/>
        <w:spacing w:line="360" w:lineRule="auto"/>
        <w:jc w:val="both"/>
        <w:rPr>
          <w:szCs w:val="24"/>
        </w:rPr>
      </w:pPr>
      <w:r w:rsidRPr="00C90343">
        <w:rPr>
          <w:szCs w:val="24"/>
        </w:rPr>
        <w:t>Phenology data</w:t>
      </w:r>
    </w:p>
    <w:p w14:paraId="691C3D57" w14:textId="77777777" w:rsidR="00412B02" w:rsidRPr="00C90343" w:rsidRDefault="00412B02" w:rsidP="00C90343">
      <w:pPr>
        <w:spacing w:line="360" w:lineRule="auto"/>
        <w:jc w:val="both"/>
      </w:pPr>
      <w:r w:rsidRPr="00C90343">
        <w:t>Leaf phenological data was collected in a greenhouse at the University of Tennessee in 2016 from trees collected in 2012 at the time that occurrence data were collected. Phenology was measured as the day of first unfurling of the first leaf of each plant in the spring, and measurements were made on 400 genotypes from across the species’ range. The earliest observed leaf out was recorded on Julian day 71 (March 11th) and the latest observed leaf out was recorded on Julian Day 125 (May 4th). Note that 2016 was a leap year. This results in a 54-day range across which leaf out occurred. We divided this dataset – paired phenology measurements with georeferenced field location of the parent tree – into ten smaller datasets based on deciles of the trait distribution, each part representing one-tenth of the sample. These deciles and associated coordinates were used to build separate species distribution models (see section “</w:t>
      </w:r>
      <w:r w:rsidRPr="00C90343">
        <w:rPr>
          <w:i/>
          <w:iCs/>
        </w:rPr>
        <w:t>Species distribution model calibration and evaluation”)</w:t>
      </w:r>
      <w:r w:rsidRPr="00C90343">
        <w:t>. The first decile spanned a period of 14 days, while deciles 2-9 cumulatively spanned 28 days, and the tenth decile spanned a period of 12 days. See Ware et al. 2019</w:t>
      </w:r>
      <w:r w:rsidRPr="00C90343">
        <w:fldChar w:fldCharType="begin"/>
      </w:r>
      <w:r w:rsidRPr="00C90343">
        <w:instrText xml:space="preserve"> ADDIN ZOTERO_ITEM CSL_CITATION {"citationID":"f0YjnNBM","properties":{"formattedCitation":"\\super 32\\nosupersub{}","plainCitation":"32","noteIndex":0},"citationItems":[{"id":91,"uris":["http://zotero.org/users/8506331/items/F54B98KE"],"uri":["http://zotero.org/users/8506331/items/F54B98KE"],"itemData":{"id":91,"type":"article-journal","abstract":"We examined the hypothesis that climate-driven evolution of plant traits will influence associated soil microbiomes and ecosystem function across the landscape. Using a foundation tree species, Populus angustifolia, observational and common garden approaches, and a base population genetic collection that spans 17 river systems in the western United States, from AZ to MT, we show that (a) as mean annual temperature (MAT) increases, genetic and phenotypic variation for bud break phenology decline; (b) soil microbiomes, soil nitrogen (N), and soil carbon (C) vary in response to MAT and conditioning by trees; and (c) with losses of genetic variation due to warming, population-level regulation of community and ecosystem functions strengthen. These results demonstrate a relationship between the potential evolutionary response of populations and subsequent shifts in ecosystem function along a large temperature gradient.","container-title":"Global Change Biology","DOI":"10.1111/gcb.14553","ISSN":"1365-2486","issue":"4","language":"en","note":"_eprint: https://onlinelibrary.wiley.com/doi/pdf/10.1111/gcb.14553","page":"1514-1528","source":"Wiley Online Library","title":"Climate-driven reduction of genetic variation in plant phenology alters soil communities and nutrient pools","volume":"25","author":[{"family":"Ware","given":"Ian M."},{"family":"Van Nuland","given":"Michael E."},{"family":"Schweitzer","given":"Jennifer A."},{"family":"Yang","given":"Zamin"},{"family":"Schadt","given":"Christopher W."},{"family":"Sidak-Loftis","given":"Lindsay C."},{"family":"Stone","given":"Nathan E."},{"family":"Busch","given":"Joseph D."},{"family":"Wagner","given":"David M."},{"family":"Bailey","given":"Joseph K."}],"issued":{"date-parts":[["2019"]]}}}],"schema":"https://github.com/citation-style-language/schema/raw/master/csl-citation.json"} </w:instrText>
      </w:r>
      <w:r w:rsidRPr="00C90343">
        <w:fldChar w:fldCharType="separate"/>
      </w:r>
      <w:r w:rsidRPr="00C90343">
        <w:rPr>
          <w:vertAlign w:val="superscript"/>
        </w:rPr>
        <w:t>32</w:t>
      </w:r>
      <w:r w:rsidRPr="00C90343">
        <w:fldChar w:fldCharType="end"/>
      </w:r>
      <w:r w:rsidRPr="00C90343">
        <w:t xml:space="preserve"> for more details regarding the establishment of greenhouse plants. </w:t>
      </w:r>
    </w:p>
    <w:p w14:paraId="7B6A2E89" w14:textId="77777777" w:rsidR="00412B02" w:rsidRPr="00C90343" w:rsidRDefault="00412B02" w:rsidP="00C90343">
      <w:pPr>
        <w:spacing w:line="360" w:lineRule="auto"/>
        <w:jc w:val="both"/>
      </w:pPr>
    </w:p>
    <w:p w14:paraId="3388283E" w14:textId="77777777" w:rsidR="00412B02" w:rsidRPr="00C90343" w:rsidRDefault="00412B02" w:rsidP="00C90343">
      <w:pPr>
        <w:pStyle w:val="Heading3"/>
        <w:spacing w:line="360" w:lineRule="auto"/>
        <w:jc w:val="both"/>
        <w:rPr>
          <w:szCs w:val="24"/>
        </w:rPr>
      </w:pPr>
      <w:r w:rsidRPr="00C90343">
        <w:rPr>
          <w:szCs w:val="24"/>
        </w:rPr>
        <w:lastRenderedPageBreak/>
        <w:t>Environmental variable selection</w:t>
      </w:r>
    </w:p>
    <w:p w14:paraId="097CB0B6" w14:textId="77777777" w:rsidR="00412B02" w:rsidRPr="00C90343" w:rsidRDefault="00412B02" w:rsidP="00C90343">
      <w:pPr>
        <w:pStyle w:val="Default"/>
        <w:spacing w:line="360" w:lineRule="auto"/>
        <w:jc w:val="both"/>
        <w:rPr>
          <w:rFonts w:ascii="Times New Roman" w:hAnsi="Times New Roman" w:cs="Times New Roman"/>
        </w:rPr>
      </w:pPr>
      <w:r w:rsidRPr="00C90343">
        <w:rPr>
          <w:rFonts w:ascii="Times New Roman" w:hAnsi="Times New Roman" w:cs="Times New Roman"/>
        </w:rPr>
        <w:t xml:space="preserve">Bioclimatic variables were obtained from the </w:t>
      </w:r>
      <w:proofErr w:type="spellStart"/>
      <w:r w:rsidRPr="00C90343">
        <w:rPr>
          <w:rFonts w:ascii="Times New Roman" w:hAnsi="Times New Roman" w:cs="Times New Roman"/>
        </w:rPr>
        <w:t>AdaptWest</w:t>
      </w:r>
      <w:proofErr w:type="spellEnd"/>
      <w:r w:rsidRPr="00C90343">
        <w:rPr>
          <w:rFonts w:ascii="Times New Roman" w:hAnsi="Times New Roman" w:cs="Times New Roman"/>
        </w:rPr>
        <w:t xml:space="preserve"> Project</w:t>
      </w:r>
      <w:r w:rsidRPr="00C90343">
        <w:rPr>
          <w:rFonts w:ascii="Times New Roman" w:hAnsi="Times New Roman" w:cs="Times New Roman"/>
        </w:rPr>
        <w:fldChar w:fldCharType="begin"/>
      </w:r>
      <w:r w:rsidRPr="00C90343">
        <w:rPr>
          <w:rFonts w:ascii="Times New Roman" w:hAnsi="Times New Roman" w:cs="Times New Roman"/>
        </w:rPr>
        <w:instrText xml:space="preserve"> ADDIN ZOTERO_ITEM CSL_CITATION {"citationID":"dbDacOmo","properties":{"formattedCitation":"\\super 40\\nosupersub{}","plainCitation":"40","noteIndex":0},"citationItems":[{"id":103,"uris":["http://zotero.org/users/8506331/items/E54S9RVD"],"uri":["http://zotero.org/users/8506331/items/E54S9RVD"],"itemData":{"id":103,"type":"article-journal","abstract":"&lt;section class=\"abstract\"&gt;&lt;p&gt;We present a comprehensive set of interpolated climate data for western North America, including monthly data for the last century (1901–2009), future projections from atmosphere–ocean general circulation models (A2, A1B, and B1 scenarios of the WCRP CMIP3 multimodel dataset), as well as decadal averages and multiple climate normals for the last century. For each of these time periods, we provide a large set of basic and derived biologically relevant climate variables, such as growing and chilling degree days, growing season length descriptors, frost-free days, extreme minimum temperatures, etc. To balance file size versus accuracy for these approximately 20,000 climate surfaces, we provide a stand-alone software solution that adds or subtracts historical data and future projections as medium-resolution anomalies (deviations) from the high resolution 1961–90 baseline normal dataset. The program further downscales the baseline data through a combination of bilinear interpolation and elevation adjustment using partial derivative functions. Observations from 3,353 weather stations were used to evaluate the climate estimates of our downscaling algorithms. We found that the algorithms substantially improved prediction accuracy of the monthly climate variables, especially for temperature variables. They eliminated up to 65% of the unexplained variance in observed monthly temperatures and reduced standard errors of climate estimates by up to 40%.&lt;/p&gt;&lt;/section&gt;","container-title":"Bulletin of the American Meteorological Society","DOI":"10.1175/BAMS-D-12-00145.1","issue":"9","language":"EN","note":"publisher: American Meteorological Society\nsection: Bulletin of the American Meteorological Society","page":"1307-1309","source":"journals.ametsoc.org","title":"A Comprehensive, High-Resolution Database of Historical and Projected Climate Surfaces for Western North America","volume":"94","author":[{"family":"Hamann","given":"Andreas"},{"family":"Wang","given":"Tongli"},{"family":"Spittlehouse","given":"David L."},{"family":"Murdock","given":"Trevor Q."}],"issued":{"date-parts":[["2013",9,1]]}}}],"schema":"https://github.com/citation-style-language/schema/raw/master/csl-citation.json"} </w:instrText>
      </w:r>
      <w:r w:rsidRPr="00C90343">
        <w:rPr>
          <w:rFonts w:ascii="Times New Roman" w:hAnsi="Times New Roman" w:cs="Times New Roman"/>
        </w:rPr>
        <w:fldChar w:fldCharType="separate"/>
      </w:r>
      <w:r w:rsidRPr="00C90343">
        <w:rPr>
          <w:rFonts w:ascii="Times New Roman" w:hAnsi="Times New Roman" w:cs="Times New Roman"/>
          <w:vertAlign w:val="superscript"/>
        </w:rPr>
        <w:t>40</w:t>
      </w:r>
      <w:r w:rsidRPr="00C90343">
        <w:rPr>
          <w:rFonts w:ascii="Times New Roman" w:hAnsi="Times New Roman" w:cs="Times New Roman"/>
        </w:rPr>
        <w:fldChar w:fldCharType="end"/>
      </w:r>
      <w:r w:rsidRPr="00C90343">
        <w:rPr>
          <w:rFonts w:ascii="Times New Roman" w:hAnsi="Times New Roman" w:cs="Times New Roman"/>
        </w:rPr>
        <w:t xml:space="preserve">, and stream order (Strahler) was obtained from </w:t>
      </w:r>
      <w:r w:rsidRPr="00C90343">
        <w:rPr>
          <w:rFonts w:ascii="Times New Roman" w:eastAsia="Times New Roman" w:hAnsi="Times New Roman" w:cs="Times New Roman"/>
        </w:rPr>
        <w:t xml:space="preserve">the </w:t>
      </w:r>
      <w:r w:rsidRPr="00C90343">
        <w:rPr>
          <w:rFonts w:ascii="Times New Roman" w:hAnsi="Times New Roman" w:cs="Times New Roman"/>
        </w:rPr>
        <w:t xml:space="preserve">National Hydrology Dataset to constrain the riparian habitat of </w:t>
      </w:r>
      <w:r w:rsidRPr="00C90343">
        <w:rPr>
          <w:rFonts w:ascii="Times New Roman" w:hAnsi="Times New Roman" w:cs="Times New Roman"/>
          <w:i/>
          <w:iCs/>
        </w:rPr>
        <w:t>P. angustifolia</w:t>
      </w:r>
      <w:r w:rsidRPr="00C90343">
        <w:rPr>
          <w:rFonts w:ascii="Times New Roman" w:hAnsi="Times New Roman" w:cs="Times New Roman"/>
        </w:rPr>
        <w:t xml:space="preserve"> (NHDPlusV2)</w:t>
      </w:r>
      <w:r w:rsidRPr="00C90343">
        <w:rPr>
          <w:rFonts w:ascii="Times New Roman" w:hAnsi="Times New Roman" w:cs="Times New Roman"/>
        </w:rPr>
        <w:fldChar w:fldCharType="begin"/>
      </w:r>
      <w:r w:rsidRPr="00C90343">
        <w:rPr>
          <w:rFonts w:ascii="Times New Roman" w:hAnsi="Times New Roman" w:cs="Times New Roman"/>
        </w:rPr>
        <w:instrText xml:space="preserve"> ADDIN ZOTERO_ITEM CSL_CITATION {"citationID":"g50cv4jF","properties":{"formattedCitation":"\\super 41\\nosupersub{}","plainCitation":"41","noteIndex":0},"citationItems":[{"id":170,"uris":["http://zotero.org/users/8506331/items/7M3YENIM"],"uri":["http://zotero.org/users/8506331/items/7M3YENIM"],"itemData":{"id":170,"type":"article-journal","title":"NHDPlus Version 2: User Guide","author":[{"literal":"Lucinda McKay"},{"literal":"Timothy Bondelie"},{"literal":"Tommy Dewald"},{"literal":"Craig Johnston"},{"literal":"Richard Moore"},{"family":"Rea","given":"Alan"}],"issued":{"date-parts":[["2012"]]}}}],"schema":"https://github.com/citation-style-language/schema/raw/master/csl-citation.json"} </w:instrText>
      </w:r>
      <w:r w:rsidRPr="00C90343">
        <w:rPr>
          <w:rFonts w:ascii="Times New Roman" w:hAnsi="Times New Roman" w:cs="Times New Roman"/>
        </w:rPr>
        <w:fldChar w:fldCharType="separate"/>
      </w:r>
      <w:r w:rsidRPr="00C90343">
        <w:rPr>
          <w:rFonts w:ascii="Times New Roman" w:hAnsi="Times New Roman" w:cs="Times New Roman"/>
          <w:vertAlign w:val="superscript"/>
        </w:rPr>
        <w:t>41</w:t>
      </w:r>
      <w:r w:rsidRPr="00C90343">
        <w:rPr>
          <w:rFonts w:ascii="Times New Roman" w:hAnsi="Times New Roman" w:cs="Times New Roman"/>
        </w:rPr>
        <w:fldChar w:fldCharType="end"/>
      </w:r>
      <w:r w:rsidRPr="00C90343">
        <w:rPr>
          <w:rFonts w:ascii="Times New Roman" w:hAnsi="Times New Roman" w:cs="Times New Roman"/>
        </w:rPr>
        <w:t>. NHDPlusV2 is a companion dataset to the USGS Watershed Boundary Dataset from which we derived our watershed regions. All variables were the same spatial resolution (30 arc second; ~1 km at the Equator) and were projected into the same coordinate system (WGS1984) in ArcMap</w:t>
      </w:r>
      <w:r w:rsidRPr="00C90343">
        <w:rPr>
          <w:rFonts w:ascii="Times New Roman" w:hAnsi="Times New Roman" w:cs="Times New Roman"/>
        </w:rPr>
        <w:fldChar w:fldCharType="begin"/>
      </w:r>
      <w:r w:rsidRPr="00C90343">
        <w:rPr>
          <w:rFonts w:ascii="Times New Roman" w:hAnsi="Times New Roman" w:cs="Times New Roman"/>
        </w:rPr>
        <w:instrText xml:space="preserve"> ADDIN ZOTERO_ITEM CSL_CITATION {"citationID":"oPQHTNcc","properties":{"formattedCitation":"\\super 42\\nosupersub{}","plainCitation":"42","noteIndex":0},"citationItems":[{"id":187,"uris":["http://zotero.org/users/8506331/items/XGUKZSQ6"],"uri":["http://zotero.org/users/8506331/items/XGUKZSQ6"],"itemData":{"id":187,"type":"book","title":"ArcMap","version":"10.6.1","author":[{"literal":"ESRI"}],"issued":{"date-parts":[["2018"]]}}}],"schema":"https://github.com/citation-style-language/schema/raw/master/csl-citation.json"} </w:instrText>
      </w:r>
      <w:r w:rsidRPr="00C90343">
        <w:rPr>
          <w:rFonts w:ascii="Times New Roman" w:hAnsi="Times New Roman" w:cs="Times New Roman"/>
        </w:rPr>
        <w:fldChar w:fldCharType="separate"/>
      </w:r>
      <w:r w:rsidRPr="00C90343">
        <w:rPr>
          <w:rFonts w:ascii="Times New Roman" w:hAnsi="Times New Roman" w:cs="Times New Roman"/>
          <w:vertAlign w:val="superscript"/>
        </w:rPr>
        <w:t>42</w:t>
      </w:r>
      <w:r w:rsidRPr="00C90343">
        <w:rPr>
          <w:rFonts w:ascii="Times New Roman" w:hAnsi="Times New Roman" w:cs="Times New Roman"/>
        </w:rPr>
        <w:fldChar w:fldCharType="end"/>
      </w:r>
      <w:r w:rsidRPr="00C90343">
        <w:rPr>
          <w:rFonts w:ascii="Times New Roman" w:hAnsi="Times New Roman" w:cs="Times New Roman"/>
        </w:rPr>
        <w:t xml:space="preserve">. </w:t>
      </w:r>
    </w:p>
    <w:p w14:paraId="0F93F5F6" w14:textId="77777777" w:rsidR="00412B02" w:rsidRPr="00C90343" w:rsidRDefault="00412B02" w:rsidP="00C90343">
      <w:pPr>
        <w:pStyle w:val="Default"/>
        <w:spacing w:line="360" w:lineRule="auto"/>
        <w:ind w:firstLine="720"/>
        <w:jc w:val="both"/>
        <w:rPr>
          <w:rFonts w:ascii="Times New Roman" w:hAnsi="Times New Roman" w:cs="Times New Roman"/>
          <w:color w:val="000000" w:themeColor="text1"/>
        </w:rPr>
      </w:pPr>
      <w:r w:rsidRPr="00C90343">
        <w:rPr>
          <w:rFonts w:ascii="Times New Roman" w:hAnsi="Times New Roman" w:cs="Times New Roman"/>
        </w:rPr>
        <w:t>Based on a previous set of species distribution models built to describe the species’ range (publication in submission), we selected a subset of the 27 available variables. This is based on common practice of using expert judgement on the ecology of the taxa</w:t>
      </w:r>
      <w:r w:rsidRPr="00C90343">
        <w:rPr>
          <w:rFonts w:ascii="Times New Roman" w:hAnsi="Times New Roman" w:cs="Times New Roman"/>
        </w:rPr>
        <w:fldChar w:fldCharType="begin"/>
      </w:r>
      <w:r w:rsidRPr="00C90343">
        <w:rPr>
          <w:rFonts w:ascii="Times New Roman" w:hAnsi="Times New Roman" w:cs="Times New Roman"/>
        </w:rPr>
        <w:instrText xml:space="preserve"> ADDIN ZOTERO_ITEM CSL_CITATION {"citationID":"4G7gOfH9","properties":{"formattedCitation":"\\super 43\\nosupersub{}","plainCitation":"43","noteIndex":0},"citationItems":[{"id":188,"uris":["http://zotero.org/users/8506331/items/YBDDB2IN"],"uri":["http://zotero.org/users/8506331/items/YBDDB2IN"],"itemData":{"id":188,"type":"article-journal","abstract":"Species distribution models (SDMs) are numerical tools that combine observations of species occurrence or abundance with environmental estimates. They are used to gain ecological and evolutionary insights and to predict distributions across landscapes, sometimes requiring extrapolation in space and time. SDMs are now widely used across terrestrial, freshwater, and marine realms. Differences in methods between disciplines reflect both differences in species mobility and in “established use.” Model realism and robustness is influenced by selection of relevant predictors and modeling method, consideration of scale, how the interplay between environmental and geographic factors is handled, and the extent of extrapolation. Current linkages between SDM practice and ecological theory are often weak, hindering progress. Remaining challenges include: improvement of methods for modeling presence-only data and for model selection and evaluation; accounting for biotic interactions; and assessing model uncertainty.","container-title":"Annual Review of Ecology, Evolution, and Systematics","DOI":"10.1146/annurev.ecolsys.110308.120159","issue":"1","note":"_eprint: https://doi.org/10.1146/annurev.ecolsys.110308.120159","page":"677-697","source":"Annual Reviews","title":"Species Distribution Models: Ecological Explanation and Prediction Across Space and Time","title-short":"Species Distribution Models","volume":"40","author":[{"family":"Elith","given":"Jane"},{"family":"Leathwick","given":"John R."}],"issued":{"date-parts":[["2009"]]}}}],"schema":"https://github.com/citation-style-language/schema/raw/master/csl-citation.json"} </w:instrText>
      </w:r>
      <w:r w:rsidRPr="00C90343">
        <w:rPr>
          <w:rFonts w:ascii="Times New Roman" w:hAnsi="Times New Roman" w:cs="Times New Roman"/>
        </w:rPr>
        <w:fldChar w:fldCharType="separate"/>
      </w:r>
      <w:r w:rsidRPr="00C90343">
        <w:rPr>
          <w:rFonts w:ascii="Times New Roman" w:hAnsi="Times New Roman" w:cs="Times New Roman"/>
          <w:vertAlign w:val="superscript"/>
        </w:rPr>
        <w:t>43</w:t>
      </w:r>
      <w:r w:rsidRPr="00C90343">
        <w:rPr>
          <w:rFonts w:ascii="Times New Roman" w:hAnsi="Times New Roman" w:cs="Times New Roman"/>
        </w:rPr>
        <w:fldChar w:fldCharType="end"/>
      </w:r>
      <w:r w:rsidRPr="00C90343">
        <w:rPr>
          <w:rFonts w:ascii="Times New Roman" w:hAnsi="Times New Roman" w:cs="Times New Roman"/>
        </w:rPr>
        <w:t xml:space="preserve"> to reduce multi-collinearity and over-fitting of models</w:t>
      </w:r>
      <w:r w:rsidRPr="00C90343">
        <w:rPr>
          <w:rFonts w:ascii="Times New Roman" w:hAnsi="Times New Roman" w:cs="Times New Roman"/>
        </w:rPr>
        <w:fldChar w:fldCharType="begin"/>
      </w:r>
      <w:r w:rsidRPr="00C90343">
        <w:rPr>
          <w:rFonts w:ascii="Times New Roman" w:hAnsi="Times New Roman" w:cs="Times New Roman"/>
        </w:rPr>
        <w:instrText xml:space="preserve"> ADDIN ZOTERO_ITEM CSL_CITATION {"citationID":"wKQCEAKb","properties":{"formattedCitation":"\\super 44\\nosupersub{}","plainCitation":"44","noteIndex":0},"citationItems":[{"id":106,"uris":["http://zotero.org/users/8506331/items/SNZAQQRE"],"uri":["http://zotero.org/users/8506331/items/SNZAQQRE"],"itemData":{"id":106,"type":"book","event-place":"Cambridge, UK","ISBN":"978-0-521-87635-3","language":"English","publisher":"Cambridge University Press","publisher-place":"Cambridge, UK","title":"Mapping Species Distributions: Spatial Inference and Prediction","author":[{"family":"Franklin","given":"Janet"}],"issued":{"date-parts":[["2009"]]}}}],"schema":"https://github.com/citation-style-language/schema/raw/master/csl-citation.json"} </w:instrText>
      </w:r>
      <w:r w:rsidRPr="00C90343">
        <w:rPr>
          <w:rFonts w:ascii="Times New Roman" w:hAnsi="Times New Roman" w:cs="Times New Roman"/>
        </w:rPr>
        <w:fldChar w:fldCharType="separate"/>
      </w:r>
      <w:r w:rsidRPr="00C90343">
        <w:rPr>
          <w:rFonts w:ascii="Times New Roman" w:hAnsi="Times New Roman" w:cs="Times New Roman"/>
          <w:vertAlign w:val="superscript"/>
        </w:rPr>
        <w:t>44</w:t>
      </w:r>
      <w:r w:rsidRPr="00C90343">
        <w:rPr>
          <w:rFonts w:ascii="Times New Roman" w:hAnsi="Times New Roman" w:cs="Times New Roman"/>
        </w:rPr>
        <w:fldChar w:fldCharType="end"/>
      </w:r>
      <w:r w:rsidRPr="00C90343">
        <w:rPr>
          <w:rFonts w:ascii="Times New Roman" w:hAnsi="Times New Roman" w:cs="Times New Roman"/>
        </w:rPr>
        <w:t xml:space="preserve">. From our previous models, we selected only those variables that had contributed at least 10% to model predictions. This selection criterion resulted in a subset of ten variables: AHM: annual heat moisture index; CMD: </w:t>
      </w:r>
      <w:proofErr w:type="spellStart"/>
      <w:r w:rsidRPr="00C90343">
        <w:rPr>
          <w:rFonts w:ascii="Times New Roman" w:hAnsi="Times New Roman" w:cs="Times New Roman"/>
        </w:rPr>
        <w:t>Hargreave’s</w:t>
      </w:r>
      <w:proofErr w:type="spellEnd"/>
      <w:r w:rsidRPr="00C90343">
        <w:rPr>
          <w:rFonts w:ascii="Times New Roman" w:hAnsi="Times New Roman" w:cs="Times New Roman"/>
        </w:rPr>
        <w:t xml:space="preserve"> climatic moisture index; DD_0: chilling degree days / degree-days below zero °C; </w:t>
      </w:r>
      <w:proofErr w:type="spellStart"/>
      <w:r w:rsidRPr="00C90343">
        <w:rPr>
          <w:rFonts w:ascii="Times New Roman" w:hAnsi="Times New Roman" w:cs="Times New Roman"/>
        </w:rPr>
        <w:t>Eref</w:t>
      </w:r>
      <w:proofErr w:type="spellEnd"/>
      <w:r w:rsidRPr="00C90343">
        <w:rPr>
          <w:rFonts w:ascii="Times New Roman" w:hAnsi="Times New Roman" w:cs="Times New Roman"/>
        </w:rPr>
        <w:t xml:space="preserve">: </w:t>
      </w:r>
      <w:proofErr w:type="spellStart"/>
      <w:r w:rsidRPr="00C90343">
        <w:rPr>
          <w:rFonts w:ascii="Times New Roman" w:hAnsi="Times New Roman" w:cs="Times New Roman"/>
        </w:rPr>
        <w:t>Hargreave’s</w:t>
      </w:r>
      <w:proofErr w:type="spellEnd"/>
      <w:r w:rsidRPr="00C90343">
        <w:rPr>
          <w:rFonts w:ascii="Times New Roman" w:hAnsi="Times New Roman" w:cs="Times New Roman"/>
        </w:rPr>
        <w:t xml:space="preserve"> reference evaporation; MAP: mean annual precipitation; NFFD: number of frost-free days; PAS: precipitation as snow; </w:t>
      </w:r>
      <w:proofErr w:type="spellStart"/>
      <w:r w:rsidRPr="00C90343">
        <w:rPr>
          <w:rFonts w:ascii="Times New Roman" w:hAnsi="Times New Roman" w:cs="Times New Roman"/>
        </w:rPr>
        <w:t>PPT_wt</w:t>
      </w:r>
      <w:proofErr w:type="spellEnd"/>
      <w:r w:rsidRPr="00C90343">
        <w:rPr>
          <w:rFonts w:ascii="Times New Roman" w:hAnsi="Times New Roman" w:cs="Times New Roman"/>
        </w:rPr>
        <w:t>: winter (dec-</w:t>
      </w:r>
      <w:proofErr w:type="spellStart"/>
      <w:r w:rsidRPr="00C90343">
        <w:rPr>
          <w:rFonts w:ascii="Times New Roman" w:hAnsi="Times New Roman" w:cs="Times New Roman"/>
        </w:rPr>
        <w:t>feb</w:t>
      </w:r>
      <w:proofErr w:type="spellEnd"/>
      <w:r w:rsidRPr="00C90343">
        <w:rPr>
          <w:rFonts w:ascii="Times New Roman" w:hAnsi="Times New Roman" w:cs="Times New Roman"/>
        </w:rPr>
        <w:t>) precipitation; RH: relative humidity; and TD: difference between mean temperature of the coldest and warmest months as a measure of continentality</w:t>
      </w:r>
      <w:r w:rsidRPr="00C90343">
        <w:rPr>
          <w:rFonts w:ascii="Times New Roman" w:hAnsi="Times New Roman" w:cs="Times New Roman"/>
          <w:color w:val="000000" w:themeColor="text1"/>
        </w:rPr>
        <w:t xml:space="preserve">. </w:t>
      </w:r>
    </w:p>
    <w:p w14:paraId="3A4F888D" w14:textId="77777777" w:rsidR="00412B02" w:rsidRPr="00C90343" w:rsidRDefault="00412B02" w:rsidP="00C90343">
      <w:pPr>
        <w:pStyle w:val="Default"/>
        <w:spacing w:line="360" w:lineRule="auto"/>
        <w:ind w:firstLine="720"/>
        <w:jc w:val="both"/>
        <w:rPr>
          <w:rFonts w:ascii="Times New Roman" w:hAnsi="Times New Roman" w:cs="Times New Roman"/>
          <w:color w:val="000000" w:themeColor="text1"/>
        </w:rPr>
      </w:pPr>
      <w:r w:rsidRPr="00C90343">
        <w:rPr>
          <w:rFonts w:ascii="Times New Roman" w:hAnsi="Times New Roman" w:cs="Times New Roman"/>
          <w:color w:val="000000" w:themeColor="text1"/>
        </w:rPr>
        <w:t xml:space="preserve">Final selection of variables was made </w:t>
      </w:r>
      <w:r w:rsidRPr="00C90343">
        <w:rPr>
          <w:rFonts w:ascii="Times New Roman" w:hAnsi="Times New Roman" w:cs="Times New Roman"/>
        </w:rPr>
        <w:t xml:space="preserve">from an initial SDM run for the ten phenology deciles using the subset of variables. We summed the contributions of variables across the ten deciles and eliminated those that did not significantly contribute to models. Variables maintained for final models included: </w:t>
      </w:r>
      <w:proofErr w:type="spellStart"/>
      <w:r w:rsidRPr="00C90343">
        <w:rPr>
          <w:rFonts w:ascii="Times New Roman" w:hAnsi="Times New Roman" w:cs="Times New Roman"/>
        </w:rPr>
        <w:t>Hargreave’s</w:t>
      </w:r>
      <w:proofErr w:type="spellEnd"/>
      <w:r w:rsidRPr="00C90343">
        <w:rPr>
          <w:rFonts w:ascii="Times New Roman" w:hAnsi="Times New Roman" w:cs="Times New Roman"/>
        </w:rPr>
        <w:t xml:space="preserve"> climatic moisture index, winter (dec-</w:t>
      </w:r>
      <w:proofErr w:type="spellStart"/>
      <w:r w:rsidRPr="00C90343">
        <w:rPr>
          <w:rFonts w:ascii="Times New Roman" w:hAnsi="Times New Roman" w:cs="Times New Roman"/>
        </w:rPr>
        <w:t>feb</w:t>
      </w:r>
      <w:proofErr w:type="spellEnd"/>
      <w:r w:rsidRPr="00C90343">
        <w:rPr>
          <w:rFonts w:ascii="Times New Roman" w:hAnsi="Times New Roman" w:cs="Times New Roman"/>
        </w:rPr>
        <w:t xml:space="preserve">) precipitation, relative humidity, and continentality. Finally, stream order was included with all models and model projections to constrict the predictions to riparian zones. </w:t>
      </w:r>
      <w:r w:rsidRPr="00C90343">
        <w:rPr>
          <w:rFonts w:ascii="Times New Roman" w:hAnsi="Times New Roman" w:cs="Times New Roman"/>
          <w:color w:val="000000" w:themeColor="text1"/>
        </w:rPr>
        <w:t>To reveal the relationship between environmental variables and phenology, we ran linear regressions using continuous bud break data (days, not split into deciles) with extracted values of the five environmental variables used in models.</w:t>
      </w:r>
    </w:p>
    <w:p w14:paraId="18366D2E" w14:textId="77777777" w:rsidR="00412B02" w:rsidRPr="00C90343" w:rsidRDefault="00412B02" w:rsidP="00C90343">
      <w:pPr>
        <w:spacing w:line="360" w:lineRule="auto"/>
        <w:jc w:val="both"/>
      </w:pPr>
    </w:p>
    <w:p w14:paraId="7B073D06" w14:textId="77777777" w:rsidR="00412B02" w:rsidRPr="00C90343" w:rsidRDefault="00412B02" w:rsidP="00C90343">
      <w:pPr>
        <w:pStyle w:val="Heading3"/>
        <w:spacing w:line="360" w:lineRule="auto"/>
        <w:jc w:val="both"/>
        <w:rPr>
          <w:szCs w:val="24"/>
        </w:rPr>
      </w:pPr>
      <w:r w:rsidRPr="00C90343">
        <w:rPr>
          <w:szCs w:val="24"/>
        </w:rPr>
        <w:lastRenderedPageBreak/>
        <w:t>Species distribution model calibration and evaluation</w:t>
      </w:r>
    </w:p>
    <w:p w14:paraId="5FBCFBAD" w14:textId="77777777" w:rsidR="00412B02" w:rsidRPr="00C90343" w:rsidRDefault="00412B02" w:rsidP="00C90343">
      <w:pPr>
        <w:pStyle w:val="Default"/>
        <w:spacing w:line="360" w:lineRule="auto"/>
        <w:jc w:val="both"/>
        <w:rPr>
          <w:rFonts w:ascii="Times New Roman" w:hAnsi="Times New Roman" w:cs="Times New Roman"/>
        </w:rPr>
      </w:pPr>
      <w:r w:rsidRPr="00C90343">
        <w:rPr>
          <w:rFonts w:ascii="Times New Roman" w:hAnsi="Times New Roman" w:cs="Times New Roman"/>
        </w:rPr>
        <w:t xml:space="preserve">We used </w:t>
      </w:r>
      <w:proofErr w:type="spellStart"/>
      <w:r w:rsidRPr="00C90343">
        <w:rPr>
          <w:rFonts w:ascii="Times New Roman" w:hAnsi="Times New Roman" w:cs="Times New Roman"/>
        </w:rPr>
        <w:t>MaxEnt</w:t>
      </w:r>
      <w:proofErr w:type="spellEnd"/>
      <w:r w:rsidRPr="00C90343">
        <w:rPr>
          <w:rFonts w:ascii="Times New Roman" w:hAnsi="Times New Roman" w:cs="Times New Roman"/>
        </w:rPr>
        <w:t xml:space="preserve"> software to build ten species distribution models (Version 3.3.3k)</w:t>
      </w:r>
      <w:r w:rsidRPr="00C90343">
        <w:rPr>
          <w:rFonts w:ascii="Times New Roman" w:hAnsi="Times New Roman" w:cs="Times New Roman"/>
        </w:rPr>
        <w:fldChar w:fldCharType="begin"/>
      </w:r>
      <w:r w:rsidRPr="00C90343">
        <w:rPr>
          <w:rFonts w:ascii="Times New Roman" w:hAnsi="Times New Roman" w:cs="Times New Roman"/>
        </w:rPr>
        <w:instrText xml:space="preserve"> ADDIN ZOTERO_ITEM CSL_CITATION {"citationID":"oAjx4glo","properties":{"formattedCitation":"\\super 45\\nosupersub{}","plainCitation":"45","noteIndex":0},"citationItems":[{"id":109,"uris":["http://zotero.org/users/8506331/items/57W75ND7"],"uri":["http://zotero.org/users/8506331/items/57W75ND7"],"itemData":{"id":109,"type":"article-journal","abstract":"MaxEnt is a program for modelling species distributions from presence-only species records. This paper is written for ecologists and describes the MaxEnt model from a statistical perspective, making explicit links between the structure of the model, decisions required in producing a modelled distribution, and knowledge about the species and the data that might affect those decisions. To begin we discuss the characteristics of presence-only data, highlighting implications for modelling distributions. We particularly focus on the problems of sample bias and lack of information on species prevalence. The keystone of the paper is a new statistical explanation of MaxEnt which shows that the model minimizes the relative entropy between two probability densities (one estimated from the presence data and one, from the landscape) defined in covariate space. For many users, this viewpoint is likely to be a more accessible way to understand the model than previous ones that rely on machine learning concepts. We then step through a detailed explanation of MaxEnt describing key components (e.g. covariates and features, and definition of the landscape extent), the mechanics of model fitting (e.g. feature selection, constraints and regularization) and outputs. Using case studies for a Banksia species native to south-west Australia and a riverine fish, we fit models and interpret them, exploring why certain choices affect the result and what this means. The fish example illustrates use of the model with vector data for linear river segments rather than raster (gridded) data. Appropriate treatments for survey bias, unprojected data, locally restricted species, and predicting to environments outside the range of the training data are demonstrated, and new capabilities discussed. Online appendices include additional details of the model and the mathematical links between previous explanations and this one, example code and data, and further information on the case studies.","container-title":"Diversity and Distributions","DOI":"10.1111/j.1472-4642.2010.00725.x","ISSN":"1472-4642","issue":"1","language":"en","note":"_eprint: https://onlinelibrary.wiley.com/doi/pdf/10.1111/j.1472-4642.2010.00725.x","page":"43-57","source":"Wiley Online Library","title":"A statistical explanation of MaxEnt for ecologists","volume":"17","author":[{"family":"Elith","given":"Jane"},{"family":"Phillips","given":"Steven J."},{"family":"Hastie","given":"Trevor"},{"family":"Dudík","given":"Miroslav"},{"family":"Chee","given":"Yung En"},{"family":"Yates","given":"Colin J."}],"issued":{"date-parts":[["2011"]]}}}],"schema":"https://github.com/citation-style-language/schema/raw/master/csl-citation.json"} </w:instrText>
      </w:r>
      <w:r w:rsidRPr="00C90343">
        <w:rPr>
          <w:rFonts w:ascii="Times New Roman" w:hAnsi="Times New Roman" w:cs="Times New Roman"/>
        </w:rPr>
        <w:fldChar w:fldCharType="separate"/>
      </w:r>
      <w:r w:rsidRPr="00C90343">
        <w:rPr>
          <w:rFonts w:ascii="Times New Roman" w:hAnsi="Times New Roman" w:cs="Times New Roman"/>
          <w:vertAlign w:val="superscript"/>
        </w:rPr>
        <w:t>45</w:t>
      </w:r>
      <w:r w:rsidRPr="00C90343">
        <w:rPr>
          <w:rFonts w:ascii="Times New Roman" w:hAnsi="Times New Roman" w:cs="Times New Roman"/>
        </w:rPr>
        <w:fldChar w:fldCharType="end"/>
      </w:r>
      <w:r w:rsidRPr="00C90343">
        <w:rPr>
          <w:rFonts w:ascii="Times New Roman" w:hAnsi="Times New Roman" w:cs="Times New Roman"/>
        </w:rPr>
        <w:t xml:space="preserve">. </w:t>
      </w:r>
      <w:proofErr w:type="spellStart"/>
      <w:r w:rsidRPr="00C90343">
        <w:rPr>
          <w:rFonts w:ascii="Times New Roman" w:hAnsi="Times New Roman" w:cs="Times New Roman"/>
        </w:rPr>
        <w:t>MaxEnt</w:t>
      </w:r>
      <w:proofErr w:type="spellEnd"/>
      <w:r w:rsidRPr="00C90343">
        <w:rPr>
          <w:rFonts w:ascii="Times New Roman" w:hAnsi="Times New Roman" w:cs="Times New Roman"/>
        </w:rPr>
        <w:t xml:space="preserve"> is widely accepted to perform well with low sample size and with presence-only data</w:t>
      </w:r>
      <w:r w:rsidRPr="00C90343">
        <w:rPr>
          <w:rFonts w:ascii="Times New Roman" w:hAnsi="Times New Roman" w:cs="Times New Roman"/>
        </w:rPr>
        <w:fldChar w:fldCharType="begin"/>
      </w:r>
      <w:r w:rsidRPr="00C90343">
        <w:rPr>
          <w:rFonts w:ascii="Times New Roman" w:hAnsi="Times New Roman" w:cs="Times New Roman"/>
        </w:rPr>
        <w:instrText xml:space="preserve"> ADDIN ZOTERO_ITEM CSL_CITATION {"citationID":"i3ej3r4t","properties":{"formattedCitation":"\\super 46,47\\nosupersub{}","plainCitation":"46,47","noteIndex":0},"citationItems":[{"id":112,"uris":["http://zotero.org/users/8506331/items/ILQMPRSG"],"uri":["http://zotero.org/users/8506331/items/ILQMPRSG"],"itemData":{"id":112,"type":"article-journal","abstract":"Prediction of species’ distributions is central to diverse applications in ecology, evolution and conservation science. There is increasing electronic access to vast sets of occurrence records in museums and herbaria, yet little effective guidance on how best to use this information in the context of numerous approaches for modelling distributions. To meet this need, we compared 16 modelling methods over 226 species from 6 regions of the world, creating the most comprehensive set of model comparisons to date. We used presence-only data to fit models, and independent presence-absence data to evaluate the predictions. Along with well-established modelling methods such as generalised additive models and GARP and BIOCLIM, we explored methods that either have been developed recently or have rarely been applied to modelling species’ distributions. These include machine-learning methods and community models, both of which have features that may make them particularly well suited to noisy or sparse information, as is typical of species’ occurrence data. Presence-only data were effective for modelling species’ distributions for many species and regions. The novel methods consistently outperformed more established methods. The results of our analysis are promising for the use of data from museums and herbaria, especially as methods suited to the noise inherent in such data improve.","container-title":"Ecography","DOI":"10.1111/j.2006.0906-7590.04596.x","ISSN":"1600-0587","issue":"2","language":"en","note":"_eprint: https://onlinelibrary.wiley.com/doi/pdf/10.1111/j.2006.0906-7590.04596.x","page":"129-151","source":"Wiley Online Library","title":"Novel methods improve prediction of species’ distributions from occurrence data","volume":"29","author":[{"family":"Elith*","given":"Jane"},{"family":"H. Graham*","given":"Catherine"},{"family":"P. Anderson","given":"Robert"},{"family":"Dudík","given":"Miroslav"},{"family":"Ferrier","given":"Simon"},{"family":"Guisan","given":"Antoine"},{"family":"J. Hijmans","given":"Robert"},{"family":"Huettmann","given":"Falk"},{"family":"R. Leathwick","given":"John"},{"family":"Lehmann","given":"Anthony"},{"family":"Li","given":"Jin"},{"family":"G. Lohmann","given":"Lucia"},{"family":"A. Loiselle","given":"Bette"},{"family":"Manion","given":"Glenn"},{"family":"Moritz","given":"Craig"},{"family":"Nakamura","given":"Miguel"},{"family":"Nakazawa","given":"Yoshinori"},{"family":"McC. M. Overton","given":"Jacob"},{"family":"Townsend Peterson","given":"A."},{"family":"J. Phillips","given":"Steven"},{"family":"Richardson","given":"Karen"},{"family":"Scachetti-Pereira","given":"Ricardo"},{"family":"E. Schapire","given":"Robert"},{"family":"Soberón","given":"Jorge"},{"family":"Williams","given":"Stephen"},{"family":"S. Wisz","given":"Mary"},{"family":"E. Zimmermann","given":"Niklaus"}],"issued":{"date-parts":[["2006"]]}}},{"id":115,"uris":["http://zotero.org/users/8506331/items/G4A95MCX"],"uri":["http://zotero.org/users/8506331/items/G4A95MCX"],"itemData":{"id":115,"type":"article-journal","abstract":"Aim Techniques that predict species potential distributions by combining observed occurrence records with environmental variables show much potential for application across a range of biogeographical analyses. Some of the most promising applications relate to species for which occurrence records are scarce, due to cryptic habits, locally restricted distributions or low sampling effort. However, the minimum sample sizes required to yield useful predictions remain difficult to determine. Here we developed and tested a novel jackknife validation approach to assess the ability to predict species occurrence when fewer than 25 occurrence records are available. Location Madagascar. Methods Models were developed and evaluated for 13 species of secretive leaf-tailed geckos (Uroplatus spp.) that are endemic to Madagascar, for which available sample sizes range from 4 to 23 occurrence localities (at 1 km2 grid resolution). Predictions were based on 20 environmental data layers and were generated using two modelling approaches: a method based on the principle of maximum entropy (Maxent) and a genetic algorithm (GARP). Results We found high success rates and statistical significance in jackknife tests with sample sizes as low as five when the Maxent model was applied. Results for GARP at very low sample sizes (less than c. 10) were less good. When sample sizes were experimentally reduced for those species with the most records, variability among predictions using different combinations of localities demonstrated that models were greatly influenced by exactly which observations were included. Main conclusions We emphasize that models developed using this approach with small sample sizes should be interpreted as identifying regions that have similar environmental conditions to where the species is known to occur, and not as predicting actual limits to the range of a species. The jackknife validation approach proposed here enables assessment of the predictive ability of models built using very small sample sizes, although use of this test with larger sample sizes may lead to overoptimistic estimates of predictive power. Our analyses demonstrate that geographical predictions developed from small numbers of occurrence records may be of great value, for example in targeting field surveys to accelerate the discovery of unknown populations and species.","container-title":"Journal of Biogeography","DOI":"10.1111/j.1365-2699.2006.01594.x","ISSN":"1365-2699","issue":"1","language":"en","note":"_eprint: https://onlinelibrary.wiley.com/doi/pdf/10.1111/j.1365-2699.2006.01594.x","page":"102-117","source":"Wiley Online Library","title":"Predicting species distributions from small numbers of occurrence records: a test case using cryptic geckos in Madagascar","title-short":"ORIGINAL ARTICLE","volume":"34","author":[{"family":"Pearson","given":"Richard G."},{"family":"Raxworthy","given":"Christopher J."},{"family":"Nakamura","given":"Miguel"},{"family":"Townsend Peterson","given":"A."}],"issued":{"date-parts":[["2007"]]}}}],"schema":"https://github.com/citation-style-language/schema/raw/master/csl-citation.json"} </w:instrText>
      </w:r>
      <w:r w:rsidRPr="00C90343">
        <w:rPr>
          <w:rFonts w:ascii="Times New Roman" w:hAnsi="Times New Roman" w:cs="Times New Roman"/>
        </w:rPr>
        <w:fldChar w:fldCharType="separate"/>
      </w:r>
      <w:r w:rsidRPr="00C90343">
        <w:rPr>
          <w:rFonts w:ascii="Times New Roman" w:hAnsi="Times New Roman" w:cs="Times New Roman"/>
          <w:vertAlign w:val="superscript"/>
        </w:rPr>
        <w:t>46,47</w:t>
      </w:r>
      <w:r w:rsidRPr="00C90343">
        <w:rPr>
          <w:rFonts w:ascii="Times New Roman" w:hAnsi="Times New Roman" w:cs="Times New Roman"/>
        </w:rPr>
        <w:fldChar w:fldCharType="end"/>
      </w:r>
      <w:r w:rsidRPr="00C90343">
        <w:rPr>
          <w:rFonts w:ascii="Times New Roman" w:hAnsi="Times New Roman" w:cs="Times New Roman"/>
        </w:rPr>
        <w:t>. Each model was trained with one-tenth of the species’ occurrence data corresponding to phenological trait deciles, measured in the greenhouse. For example, the associated coordinates of origin for the first ten percent of greenhouse trees that broke bud in the spring of 2016 were modeled as “one species” for the purposes of “species” distribution modeling. This example model will be referred to as the “decile 1 model” for the rest of the manuscript (and accordingly for the 2</w:t>
      </w:r>
      <w:r w:rsidRPr="00C90343">
        <w:rPr>
          <w:rFonts w:ascii="Times New Roman" w:hAnsi="Times New Roman" w:cs="Times New Roman"/>
          <w:vertAlign w:val="superscript"/>
        </w:rPr>
        <w:t>nd</w:t>
      </w:r>
      <w:r w:rsidRPr="00C90343">
        <w:rPr>
          <w:rFonts w:ascii="Times New Roman" w:hAnsi="Times New Roman" w:cs="Times New Roman"/>
        </w:rPr>
        <w:t>, 3</w:t>
      </w:r>
      <w:r w:rsidRPr="00C90343">
        <w:rPr>
          <w:rFonts w:ascii="Times New Roman" w:hAnsi="Times New Roman" w:cs="Times New Roman"/>
          <w:vertAlign w:val="superscript"/>
        </w:rPr>
        <w:t>rd</w:t>
      </w:r>
      <w:r w:rsidRPr="00C90343">
        <w:rPr>
          <w:rFonts w:ascii="Times New Roman" w:hAnsi="Times New Roman" w:cs="Times New Roman"/>
        </w:rPr>
        <w:t xml:space="preserve">, etc. deciles). Each </w:t>
      </w:r>
      <w:proofErr w:type="spellStart"/>
      <w:r w:rsidRPr="00C90343">
        <w:rPr>
          <w:rFonts w:ascii="Times New Roman" w:hAnsi="Times New Roman" w:cs="Times New Roman"/>
        </w:rPr>
        <w:t>MaxEnt</w:t>
      </w:r>
      <w:proofErr w:type="spellEnd"/>
      <w:r w:rsidRPr="00C90343">
        <w:rPr>
          <w:rFonts w:ascii="Times New Roman" w:hAnsi="Times New Roman" w:cs="Times New Roman"/>
        </w:rPr>
        <w:t xml:space="preserve"> model was formatted to run with logistic output for best conceptualizing the output as estimates of the probability of suitability between values of 0 (unlikely to be present) and 1 (likely to be present). For each decile model, we ran 5-fold cross-validation and evaluated their performance with area under the receiver operating characteristic curve (AUC) metric.</w:t>
      </w:r>
      <w:r w:rsidRPr="00C90343">
        <w:rPr>
          <w:rFonts w:ascii="Times New Roman" w:hAnsi="Times New Roman" w:cs="Times New Roman"/>
          <w:color w:val="000000" w:themeColor="text1"/>
        </w:rPr>
        <w:t xml:space="preserve"> An AUC value of 1 indicates perfect discriminatory ability, while a value of 0.5 indicates random predictions. Each of the distribution models had good predictive accuracy with an average test AUC value of 0.85, and values ranging from 0.79 to 0.89 (Table 1; Fig. S1a)</w:t>
      </w:r>
      <w:r w:rsidRPr="00C90343">
        <w:rPr>
          <w:rFonts w:ascii="Times New Roman" w:hAnsi="Times New Roman" w:cs="Times New Roman"/>
          <w:color w:val="000000" w:themeColor="text1"/>
        </w:rPr>
        <w:fldChar w:fldCharType="begin"/>
      </w:r>
      <w:r w:rsidRPr="00C90343">
        <w:rPr>
          <w:rFonts w:ascii="Times New Roman" w:hAnsi="Times New Roman" w:cs="Times New Roman"/>
          <w:color w:val="000000" w:themeColor="text1"/>
        </w:rPr>
        <w:instrText xml:space="preserve"> ADDIN ZOTERO_ITEM CSL_CITATION {"citationID":"wQAlkc2T","properties":{"formattedCitation":"\\super 44,48\\nosupersub{}","plainCitation":"44,48","noteIndex":0},"citationItems":[{"id":106,"uris":["http://zotero.org/users/8506331/items/SNZAQQRE"],"uri":["http://zotero.org/users/8506331/items/SNZAQQRE"],"itemData":{"id":106,"type":"book","event-place":"Cambridge, UK","ISBN":"978-0-521-87635-3","language":"English","publisher":"Cambridge University Press","publisher-place":"Cambridge, UK","title":"Mapping Species Distributions: Spatial Inference and Prediction","author":[{"family":"Franklin","given":"Janet"}],"issued":{"date-parts":[["2009"]]}}},{"id":118,"uris":["http://zotero.org/users/8506331/items/7P4H6QP4"],"uri":["http://zotero.org/users/8506331/items/7P4H6QP4"],"itemData":{"id":118,"type":"article-journal","abstract":"Diagnostic systems of several kinds are used to distinguish between two classes of events, essentially ``signals'' and ``noise.'' For then, analysis in terms of the ``relative operating characteristic'' of signal detection theory provides a precise and valid measure of diagnostic accuracy. It is the only measure available that is uninfluenced by decision biases and prior probabilities, and it places the performances of diverse systems on a common, easily interpreted scale. Representative values of this measure are reported here for systems in medical imaging, materials testing, weather forecasting, information retrieval, polygraph lie detection, and aptitude testing. Though the measure itself is sound, the values obtained from tests of diagnostic systems often require qualification because the test data on which they are based are of unsure quality. A common set of problems in testing is faced in all fields. How well these problems are handled, or can be handled in a given field, determines the degree of confidence that can be placed in a measured value of accuracy. Some fields fare much better than others.","container-title":"Science","ISSN":"0036-8075","issue":"4857","note":"publisher: American Association for the Advancement of Science","page":"1285-1293","source":"JSTOR","title":"Measuring the Accuracy of Diagnostic Systems","volume":"240","author":[{"family":"Swets","given":"John A."}],"issued":{"date-parts":[["1988"]]}}}],"schema":"https://github.com/citation-style-language/schema/raw/master/csl-citation.json"} </w:instrText>
      </w:r>
      <w:r w:rsidRPr="00C90343">
        <w:rPr>
          <w:rFonts w:ascii="Times New Roman" w:hAnsi="Times New Roman" w:cs="Times New Roman"/>
          <w:color w:val="000000" w:themeColor="text1"/>
        </w:rPr>
        <w:fldChar w:fldCharType="separate"/>
      </w:r>
      <w:r w:rsidRPr="00C90343">
        <w:rPr>
          <w:rFonts w:ascii="Times New Roman" w:hAnsi="Times New Roman" w:cs="Times New Roman"/>
          <w:vertAlign w:val="superscript"/>
        </w:rPr>
        <w:t>44,48</w:t>
      </w:r>
      <w:r w:rsidRPr="00C90343">
        <w:rPr>
          <w:rFonts w:ascii="Times New Roman" w:hAnsi="Times New Roman" w:cs="Times New Roman"/>
          <w:color w:val="000000" w:themeColor="text1"/>
        </w:rPr>
        <w:fldChar w:fldCharType="end"/>
      </w:r>
      <w:r w:rsidRPr="00C90343">
        <w:rPr>
          <w:rFonts w:ascii="Times New Roman" w:hAnsi="Times New Roman" w:cs="Times New Roman"/>
          <w:color w:val="000000" w:themeColor="text1"/>
        </w:rPr>
        <w:t>. Analysis was repeated using a</w:t>
      </w:r>
      <w:r w:rsidRPr="00C90343">
        <w:rPr>
          <w:rFonts w:ascii="Times New Roman" w:hAnsi="Times New Roman" w:cs="Times New Roman"/>
        </w:rPr>
        <w:t>ll occurrence data to train final models for each trait decile, against ~10,000 background points with 340-500 iterations. To obtain binary output to test our hypotheses, we applied a</w:t>
      </w:r>
      <w:r w:rsidRPr="00C90343">
        <w:rPr>
          <w:rFonts w:ascii="Times New Roman" w:eastAsia="Times New Roman" w:hAnsi="Times New Roman" w:cs="Times New Roman"/>
        </w:rPr>
        <w:t xml:space="preserve"> 10-percentile training presence threshold rule. This threshold rule finds the suitability value at which 10% of the training presence points are predicted absent (i.e., omission error) and uses it to reclassify pixels with suitability values below that value as unsuitable (absent) and above as suitable (present). </w:t>
      </w:r>
      <w:r w:rsidRPr="00C90343">
        <w:rPr>
          <w:rFonts w:ascii="Times New Roman" w:hAnsi="Times New Roman" w:cs="Times New Roman"/>
        </w:rPr>
        <w:t>It should be noted here that each decile model ended up having slightly different sample sizes which does introduce variability in sizes of training and testing subsets (Table 1): this is due to the model omitting occurrence points if they fall within the same pixel as another point.</w:t>
      </w:r>
    </w:p>
    <w:p w14:paraId="700FF649" w14:textId="77777777" w:rsidR="00412B02" w:rsidRPr="00C90343" w:rsidRDefault="00412B02" w:rsidP="00C90343">
      <w:pPr>
        <w:spacing w:line="360" w:lineRule="auto"/>
        <w:ind w:firstLine="720"/>
        <w:jc w:val="both"/>
      </w:pPr>
    </w:p>
    <w:p w14:paraId="2F683193" w14:textId="77777777" w:rsidR="00412B02" w:rsidRPr="00C90343" w:rsidRDefault="00412B02" w:rsidP="00C90343">
      <w:pPr>
        <w:pStyle w:val="Heading3"/>
        <w:spacing w:line="360" w:lineRule="auto"/>
        <w:jc w:val="both"/>
        <w:rPr>
          <w:szCs w:val="24"/>
        </w:rPr>
      </w:pPr>
      <w:r w:rsidRPr="00C90343">
        <w:rPr>
          <w:szCs w:val="24"/>
        </w:rPr>
        <w:lastRenderedPageBreak/>
        <w:t>Using stacked distribution models to estimate effects of climate change on phenological trait variation</w:t>
      </w:r>
    </w:p>
    <w:p w14:paraId="4B42B356" w14:textId="3132DCD3" w:rsidR="00412B02" w:rsidRPr="00C90343" w:rsidRDefault="00412B02" w:rsidP="00C90343">
      <w:pPr>
        <w:spacing w:line="360" w:lineRule="auto"/>
        <w:jc w:val="both"/>
        <w:rPr>
          <w:color w:val="000000" w:themeColor="text1"/>
        </w:rPr>
      </w:pPr>
      <w:r w:rsidRPr="00C90343">
        <w:t xml:space="preserve">To estimate changes in </w:t>
      </w:r>
      <w:proofErr w:type="gramStart"/>
      <w:r w:rsidRPr="00C90343">
        <w:t>genetically</w:t>
      </w:r>
      <w:r w:rsidR="008C10BF">
        <w:t>-b</w:t>
      </w:r>
      <w:r w:rsidRPr="00C90343">
        <w:t>ased</w:t>
      </w:r>
      <w:proofErr w:type="gramEnd"/>
      <w:r w:rsidRPr="00C90343">
        <w:t xml:space="preserve"> variation in plant phenology on the landscape, we applied the principle of stacked species’ distribution modeling to binary maps of the ten trait decile models. Stacked SDMs sum (“stack”) binary presence-absence maps of multiple species to estimate species richness on the landscape</w:t>
      </w:r>
      <w:r w:rsidRPr="00C90343">
        <w:fldChar w:fldCharType="begin"/>
      </w:r>
      <w:r w:rsidRPr="00C90343">
        <w:instrText xml:space="preserve"> ADDIN ZOTERO_ITEM CSL_CITATION {"citationID":"VdnpC1y2","properties":{"formattedCitation":"\\super 49\\nosupersub{}","plainCitation":"49","noteIndex":0},"citationItems":[{"id":171,"uris":["http://zotero.org/users/8506331/items/LU3SHAV6"],"uri":["http://zotero.org/users/8506331/items/LU3SHAV6"],"itemData":{"id":171,"type":"article-journal","abstract":"An enduring challenge in ecology is to characterise and understand species richness patterns in tropical regions. Species richness maps produced by stacking species distribution model (SDM) range maps could prove useful in this regard, but little attention has been given to this approach. Here we generate a species richness map by stacking the ranges of 86 Mesoamerican fern species modelled by MaxEnt from field data collected by the Sampled Red List Index for Plants project. Predicted species richness showed a hump-backed relationship with elevation, peaking at mid-elevation (1800–2000 m). A remarkably similar pattern was observed in a field survey conducted to validate the approach. Predicted species richness was also low in sites with high water deficits, as previously shown in the fern literature. Beta-diversity in the lowlands was greatest between sites with strongly contrasting water deficits, further emphasising the importance of this environmental variable. The stacked SDM approach was thus able to reproduce broad biogeographical patterns of species richness, despite many of the fern species being represented by fewer than 20 samples.","container-title":"Global Ecology and Conservation","DOI":"10.1016/j.gecco.2018.e00433","ISSN":"2351-9894","journalAbbreviation":"Global Ecology and Conservation","language":"en","page":"e00433","source":"ScienceDirect","title":"Inferring diversity patterns along an elevation gradient from stacked SDMs: A case study on Mesoamerican ferns","title-short":"Inferring diversity patterns along an elevation gradient from stacked SDMs","volume":"16","author":[{"family":"Syfert","given":"Mindy M."},{"family":"Brummitt","given":"Neil A."},{"family":"Coomes","given":"David A."},{"family":"Bystriakova","given":"Nadia"},{"family":"Smith","given":"Matthew J."}],"issued":{"date-parts":[["2018",10,1]]}}}],"schema":"https://github.com/citation-style-language/schema/raw/master/csl-citation.json"} </w:instrText>
      </w:r>
      <w:r w:rsidRPr="00C90343">
        <w:fldChar w:fldCharType="separate"/>
      </w:r>
      <w:r w:rsidRPr="00C90343">
        <w:rPr>
          <w:vertAlign w:val="superscript"/>
        </w:rPr>
        <w:t>49</w:t>
      </w:r>
      <w:r w:rsidRPr="00C90343">
        <w:fldChar w:fldCharType="end"/>
      </w:r>
      <w:r w:rsidRPr="00C90343">
        <w:t xml:space="preserve">. </w:t>
      </w:r>
      <w:r w:rsidRPr="00C90343">
        <w:rPr>
          <w:color w:val="000000" w:themeColor="text1"/>
        </w:rPr>
        <w:t>This “bottom-up” approach predicts first and assembles after</w:t>
      </w:r>
      <w:r w:rsidRPr="00C90343">
        <w:rPr>
          <w:color w:val="000000" w:themeColor="text1"/>
        </w:rPr>
        <w:fldChar w:fldCharType="begin"/>
      </w:r>
      <w:r w:rsidRPr="00C90343">
        <w:rPr>
          <w:color w:val="000000" w:themeColor="text1"/>
        </w:rPr>
        <w:instrText xml:space="preserve"> ADDIN ZOTERO_ITEM CSL_CITATION {"citationID":"KnjGAVzv","properties":{"formattedCitation":"\\super 30\\nosupersub{}","plainCitation":"30","noteIndex":0},"citationItems":[{"id":86,"uris":["http://zotero.org/users/8506331/items/Q7UXY7IX"],"uri":["http://zotero.org/users/8506331/items/Q7UXY7IX"],"itemData":{"id":86,"type":"article-journal","abstract":"1 Statistical modelling is often used to relate sparse biological survey data to remotely derived environmental predictors, thereby providing a basis for predictively mapping biodiversity across an entire region of interest. The most popular strategy for such modelling has been to model distributions of individual species one at a time. Spatial modelling of biodiversity at the community level may, however, confer significant benefits for applications involving very large numbers of species, particularly if many of these species are recorded infrequently. 2 Community-level modelling combines data from multiple species and produces information on spatial pattern in the distribution of biodiversity at a collective community level instead of, or in addition to, the level of individual species. Spatial outputs from community-level modelling include predictive mapping of community types (groups of locations with similar species composition), species groups (groups of species with similar distributions), axes or gradients of compositional variation, levels of compositional dissimilarity between pairs of locations, and various macro-ecological properties (e.g. species richness). 3 Three broad modelling strategies can be used to generate these outputs: (i) ‘assemble first, predict later’, in which biological survey data are first classified, ordinated or aggregated to produce community-level entities or attributes that are then modelled in relation to environmental predictors; (ii) ‘predict first, assemble later’, in which individual species are modelled one at a time as a function of environmental variables, to produce a stack of species distribution maps that is then subjected to classification, ordination or aggregation; and (iii) ‘assemble and predict together’, in which all species are modelled simultaneously, within a single integrated modelling process. These strategies each have particular strengths and weaknesses, depending on the intended purpose of modelling and the type, quality and quantity of data involved. 4 Synthesis and applications. The potential benefits of modelling large multispecies data sets using community-level, as opposed to species-level, approaches include faster processing, increased power to detect shared patterns of environmental response across rarely recorded species, and enhanced capacity to synthesize complex data into a form more readily interpretable by scientists and decision-makers. Community-level modelling therefore deserves to be considered more often, and more widely, as a potential alternative or supplement to modelling individual species.","container-title":"Journal of Applied Ecology","DOI":"10.1111/j.1365-2664.2006.01149.x","ISSN":"1365-2664","issue":"3","language":"en","note":"_eprint: https://onlinelibrary.wiley.com/doi/pdf/10.1111/j.1365-2664.2006.01149.x","page":"393-404","source":"Wiley Online Library","title":"Spatial modelling of biodiversity at the community level","volume":"43","author":[{"family":"Ferrier","given":"Simon"},{"family":"Guisan","given":"Antoine"}],"issued":{"date-parts":[["2006"]]}}}],"schema":"https://github.com/citation-style-language/schema/raw/master/csl-citation.json"} </w:instrText>
      </w:r>
      <w:r w:rsidRPr="00C90343">
        <w:rPr>
          <w:color w:val="000000" w:themeColor="text1"/>
        </w:rPr>
        <w:fldChar w:fldCharType="separate"/>
      </w:r>
      <w:r w:rsidRPr="00C90343">
        <w:rPr>
          <w:color w:val="000000"/>
          <w:vertAlign w:val="superscript"/>
        </w:rPr>
        <w:t>30</w:t>
      </w:r>
      <w:r w:rsidRPr="00C90343">
        <w:rPr>
          <w:color w:val="000000" w:themeColor="text1"/>
        </w:rPr>
        <w:fldChar w:fldCharType="end"/>
      </w:r>
      <w:r w:rsidRPr="00C90343">
        <w:rPr>
          <w:color w:val="000000" w:themeColor="text1"/>
        </w:rPr>
        <w:t>. Typically, this method has been used to estimate biodiversity patterns across ecological gradients (e.g., elevation</w:t>
      </w:r>
      <w:r w:rsidRPr="00C90343">
        <w:rPr>
          <w:color w:val="000000" w:themeColor="text1"/>
        </w:rPr>
        <w:fldChar w:fldCharType="begin"/>
      </w:r>
      <w:r w:rsidRPr="00C90343">
        <w:rPr>
          <w:color w:val="000000" w:themeColor="text1"/>
        </w:rPr>
        <w:instrText xml:space="preserve"> ADDIN ZOTERO_ITEM CSL_CITATION {"citationID":"awckJpIV","properties":{"formattedCitation":"\\super 49,50\\nosupersub{}","plainCitation":"49,50","noteIndex":0},"citationItems":[{"id":171,"uris":["http://zotero.org/users/8506331/items/LU3SHAV6"],"uri":["http://zotero.org/users/8506331/items/LU3SHAV6"],"itemData":{"id":171,"type":"article-journal","abstract":"An enduring challenge in ecology is to characterise and understand species richness patterns in tropical regions. Species richness maps produced by stacking species distribution model (SDM) range maps could prove useful in this regard, but little attention has been given to this approach. Here we generate a species richness map by stacking the ranges of 86 Mesoamerican fern species modelled by MaxEnt from field data collected by the Sampled Red List Index for Plants project. Predicted species richness showed a hump-backed relationship with elevation, peaking at mid-elevation (1800–2000 m). A remarkably similar pattern was observed in a field survey conducted to validate the approach. Predicted species richness was also low in sites with high water deficits, as previously shown in the fern literature. Beta-diversity in the lowlands was greatest between sites with strongly contrasting water deficits, further emphasising the importance of this environmental variable. The stacked SDM approach was thus able to reproduce broad biogeographical patterns of species richness, despite many of the fern species being represented by fewer than 20 samples.","container-title":"Global Ecology and Conservation","DOI":"10.1016/j.gecco.2018.e00433","ISSN":"2351-9894","journalAbbreviation":"Global Ecology and Conservation","language":"en","page":"e00433","source":"ScienceDirect","title":"Inferring diversity patterns along an elevation gradient from stacked SDMs: A case study on Mesoamerican ferns","title-short":"Inferring diversity patterns along an elevation gradient from stacked SDMs","volume":"16","author":[{"family":"Syfert","given":"Mindy M."},{"family":"Brummitt","given":"Neil A."},{"family":"Coomes","given":"David A."},{"family":"Bystriakova","given":"Nadia"},{"family":"Smith","given":"Matthew J."}],"issued":{"date-parts":[["2018",10,1]]}}},{"id":176,"uris":["http://zotero.org/users/8506331/items/B8AGD93M"],"uri":["http://zotero.org/users/8506331/items/B8AGD93M"],"itemData":{"id":176,"type":"article-journal","abstract":"The objective of this study was to evaluate the performance of stacked species distribution models in predicting the alpha and gamma species diversity patterns of two important plant clades along elevation in the Andes. We modelled the distribution of the species in the Anthurium genus (53 species) and the Bromeliaceae family (89 species) using six modelling techniques. We combined all of the predictions for the same species in ensemble models based on two different criteria: the average of the rescaled predictions by all techniques and the average of the best techniques. The rescaled predictions were then reclassified into binary predictions (presence/absence). By stacking either the original predictions or binary predictions for both ensemble procedures, we obtained four different species richness models per taxa. The gamma and alpha diversity per elevation band (500 m) was also computed. To evaluate the prediction abilities for the four predictions of species richness and gamma diversity, the models were compared with the real data along an elevation gradient that was independently compiled by specialists. Finally, we also tested whether our richness models performed better than a null model of altitudinal changes of diversity based on the literature. Stacking of the ensemble prediction of the individual species models generated richness models that proved to be well correlated with the observed alpha diversity richness patterns along elevation and with the gamma diversity derived from the literature. Overall, these models tend to overpredict species richness. The use of the ensemble predictions from the species models built with different techniques seems very promising for modelling of species assemblages. Stacking of the binary models reduced the over-prediction, although more research is needed. The randomisation test proved to be a promising method for testing the performance of the stacked models, but other implementations may still be developed.","container-title":"PLOS ONE","DOI":"10.1371/journal.pone.0032586","ISSN":"1932-6203","issue":"3","journalAbbreviation":"PLOS ONE","language":"en","note":"publisher: Public Library of Science","page":"e32586","source":"PLoS Journals","title":"Do Stacked Species Distribution Models Reflect Altitudinal Diversity Patterns?","volume":"7","author":[{"family":"Mateo","given":"Rubén G."},{"family":"Felicísimo","given":"Ángel M."},{"family":"Pottier","given":"Julien"},{"family":"Guisan","given":"Antoine"},{"family":"Muñoz","given":"Jesús"}],"issued":{"date-parts":[["2012",3,2]]}}}],"schema":"https://github.com/citation-style-language/schema/raw/master/csl-citation.json"} </w:instrText>
      </w:r>
      <w:r w:rsidRPr="00C90343">
        <w:rPr>
          <w:color w:val="000000" w:themeColor="text1"/>
        </w:rPr>
        <w:fldChar w:fldCharType="separate"/>
      </w:r>
      <w:r w:rsidRPr="00C90343">
        <w:rPr>
          <w:color w:val="000000"/>
          <w:vertAlign w:val="superscript"/>
        </w:rPr>
        <w:t>49,50</w:t>
      </w:r>
      <w:r w:rsidRPr="00C90343">
        <w:rPr>
          <w:color w:val="000000" w:themeColor="text1"/>
        </w:rPr>
        <w:fldChar w:fldCharType="end"/>
      </w:r>
      <w:r w:rsidRPr="00C90343">
        <w:rPr>
          <w:color w:val="000000" w:themeColor="text1"/>
        </w:rPr>
        <w:t>) or to make predictions of biodiversity change with climate change</w:t>
      </w:r>
      <w:r w:rsidRPr="00C90343">
        <w:rPr>
          <w:color w:val="000000" w:themeColor="text1"/>
        </w:rPr>
        <w:fldChar w:fldCharType="begin"/>
      </w:r>
      <w:r w:rsidRPr="00C90343">
        <w:rPr>
          <w:color w:val="000000" w:themeColor="text1"/>
        </w:rPr>
        <w:instrText xml:space="preserve"> ADDIN ZOTERO_ITEM CSL_CITATION {"citationID":"2MhWIsV1","properties":{"formattedCitation":"\\super 51,52\\nosupersub{}","plainCitation":"51,52","noteIndex":0},"citationItems":[{"id":179,"uris":["http://zotero.org/users/8506331/items/6IEI259Q"],"uri":["http://zotero.org/users/8506331/items/6IEI259Q"],"itemData":{"id":179,"type":"article-journal","abstract":"Continental-scale assessments of 21st century global impacts of climate change on biodiversity have forecasted range contractions for many species. These coarse resolution studies are, however, of limited relevance for projecting risks to biodiversity in mountain systems, where pronounced microclimatic variation could allow species to persist locally, and are ill-suited for assessment of species-specific threat in particular regions. Here, we assess the impacts of climate change on 2632 plant species across all major European mountain ranges, using high-resolution (ca. 100 m) species samples and data expressing four future climate scenarios. Projected habitat loss is greater for species distributed at higher elevations; depending on the climate scenario, we find 36–55% of alpine species, 31–51% of subalpine species and 19–46% of montane species lose more than 80% of their suitable habitat by 2070–2100. While our high-resolution analyses consistently indicate marked levels of threat to cold-adapted mountain florae across Europe, they also reveal unequal distribution of this threat across the various mountain ranges. Impacts on florae from regions projected to undergo increased warming accompanied by decreased precipitation, such as the Pyrenees and the Eastern Austrian Alps, will likely be greater than on florae in regions where the increase in temperature is less pronounced and rainfall increases concomitantly, such as in the Norwegian Scandes and the Scottish Highlands. This suggests that change in precipitation, not only warming, plays an important role in determining the potential impacts of climate change on vegetation.","container-title":"Global Change Biology","DOI":"10.1111/j.1365-2486.2010.02393.x","ISSN":"1365-2486","issue":"7","language":"en","note":"_eprint: https://onlinelibrary.wiley.com/doi/pdf/10.1111/j.1365-2486.2010.02393.x","page":"2330-2341","source":"Wiley Online Library","title":"21st century climate change threatens mountain flora unequally across Europe","volume":"17","author":[{"family":"Engler","given":"Robin"},{"family":"Randin","given":"Christophe F."},{"family":"Thuiller","given":"Wilfried"},{"family":"Dullinger","given":"Stefan"},{"family":"Zimmermann","given":"Niklaus E."},{"family":"Araújo","given":"Miguel B."},{"family":"Pearman","given":"Peter B."},{"family":"Le Lay","given":"Gwenaëlle"},{"family":"Piedallu","given":"Christian"},{"family":"Albert","given":"Cécile H."},{"family":"Choler","given":"Philippe"},{"family":"Coldea","given":"Gheorghe"},{"family":"De LAMO","given":"Xavier"},{"family":"Dirnböck","given":"Thomas"},{"family":"Gégout","given":"Jean-Claude"},{"family":"Gómez-García","given":"Daniel"},{"family":"Grytnes","given":"John-Arvid"},{"family":"Heegaard","given":"Einar"},{"family":"Høistad","given":"Fride"},{"family":"Nogués-Bravo","given":"David"},{"family":"Normand","given":"Signe"},{"family":"Puşcaş","given":"Mihai"},{"family":"Sebastià","given":"Maria-Teresa"},{"family":"Stanisci","given":"Angela"},{"family":"Theurillat","given":"Jean-Paul"},{"family":"Trivedi","given":"Mandar R."},{"family":"Vittoz","given":"Pascal"},{"family":"Guisan","given":"Antoine"}],"issued":{"date-parts":[["2011"]]}}},{"id":183,"uris":["http://zotero.org/users/8506331/items/4REV3SKS"],"uri":["http://zotero.org/users/8506331/items/4REV3SKS"],"itemData":{"id":183,"type":"article-journal","abstract":"Mountain ecosystems will likely be affected by global warming during the 21st century, with substantial biodiversity loss predicted by species distribution models (SDMs). Depending on the geographic extent, elevation range, and spatial resolution of data used in making these models, different rates of habitat loss have been predicted, with associated risk of species extinction. Few coordinated across-scale comparisons have been made using data of different resolutions and geographic extents. Here, we assess whether climate change-induced habitat losses predicted at the European scale (10 Â 100 grid cells) are also predicted from local-scale data and modeling (25 m Â 25 m grid cells) in two regions of the Swiss Alps. We show that local-scale models predict persistence of suitable habitats in up to 100% of species that were predicted by a European-scale model to lose all their suitable habitats in the area. Proportion of habitat loss depends on climate change scenario and study area. We ﬁnd good agreement between the mismatch in predictions between scales and the ﬁne-grain elevation range within 10 Â 100 cells. The greatest prediction discrepancy for alpine species occurs in the area with the largest nival zone. Our results suggest elevation range as the main driver for the observed prediction discrepancies. Local-scale projections may better reﬂect the possibility for species to track their climatic requirement toward higher elevations.","container-title":"Global Change Biology","DOI":"10.1111/j.1365-2486.2008.01766.x","ISSN":"13541013, 13652486","issue":"6","language":"en","page":"1557-1569","source":"DOI.org (Crossref)","title":"Climate change and plant distribution: local models predict high-elevation persistence","title-short":"Climate change and plant distribution","volume":"15","author":[{"family":"Randin","given":"Christophe F."},{"family":"Engler","given":"Robin"},{"family":"Normand","given":"Signe"},{"family":"Zappa","given":"Massimiliano"},{"family":"Zimmermann","given":"Niklaus E."},{"family":"Pearman","given":"Peter B."},{"family":"Vittoz","given":"Pascal"},{"family":"Thuiller","given":"Wilfried"},{"family":"Guisan","given":"Antoine"}],"issued":{"date-parts":[["2009",6]]}}}],"schema":"https://github.com/citation-style-language/schema/raw/master/csl-citation.json"} </w:instrText>
      </w:r>
      <w:r w:rsidRPr="00C90343">
        <w:rPr>
          <w:color w:val="000000" w:themeColor="text1"/>
        </w:rPr>
        <w:fldChar w:fldCharType="separate"/>
      </w:r>
      <w:r w:rsidRPr="00C90343">
        <w:rPr>
          <w:color w:val="000000"/>
          <w:vertAlign w:val="superscript"/>
        </w:rPr>
        <w:t>51,52</w:t>
      </w:r>
      <w:r w:rsidRPr="00C90343">
        <w:rPr>
          <w:color w:val="000000" w:themeColor="text1"/>
        </w:rPr>
        <w:fldChar w:fldCharType="end"/>
      </w:r>
      <w:r w:rsidRPr="00C90343">
        <w:rPr>
          <w:color w:val="000000" w:themeColor="text1"/>
        </w:rPr>
        <w:t xml:space="preserve">. </w:t>
      </w:r>
    </w:p>
    <w:p w14:paraId="28C9421F" w14:textId="493B18DA" w:rsidR="00412B02" w:rsidRPr="00C90343" w:rsidRDefault="00412B02" w:rsidP="00C90343">
      <w:pPr>
        <w:spacing w:line="360" w:lineRule="auto"/>
        <w:ind w:firstLine="720"/>
        <w:jc w:val="both"/>
      </w:pPr>
      <w:r w:rsidRPr="00C90343">
        <w:t xml:space="preserve">Stacking ten decile models allowed us to derive what is analogous to species richness –essentially “decile richness” – or the total number of trait </w:t>
      </w:r>
      <w:r w:rsidRPr="00C90343">
        <w:rPr>
          <w:color w:val="000000" w:themeColor="text1"/>
        </w:rPr>
        <w:t xml:space="preserve">deciles predicted at a given location. This metric </w:t>
      </w:r>
      <w:r w:rsidRPr="00C90343">
        <w:t xml:space="preserve">describes trait variation in a location on the landscape. </w:t>
      </w:r>
      <w:r w:rsidRPr="00C90343">
        <w:rPr>
          <w:color w:val="000000" w:themeColor="text1"/>
        </w:rPr>
        <w:t xml:space="preserve">A maximum “decile richness” of ten indicates that phenological trait variation is genetically unconstrained at that location: Or, in other words, that all observed values of the trait could exist in the climatic conditions at that geographic location. </w:t>
      </w:r>
    </w:p>
    <w:p w14:paraId="4BFA6099" w14:textId="5C48FCBA" w:rsidR="00412B02" w:rsidRPr="00C90343" w:rsidRDefault="00412B02" w:rsidP="00C90343">
      <w:pPr>
        <w:spacing w:line="360" w:lineRule="auto"/>
        <w:ind w:firstLine="720"/>
        <w:jc w:val="both"/>
      </w:pPr>
      <w:r w:rsidRPr="00C90343">
        <w:t xml:space="preserve">To test hypotheses about how future climate will affect phenological trait distributions, we projected each of the ten decile models into 12 future climate scenarios [3 general circulation models x 2 relative concentration pathways x 2 time periods], resulting in 130 distribution maps. Future </w:t>
      </w:r>
      <w:r w:rsidR="008C10BF">
        <w:t>cl</w:t>
      </w:r>
      <w:r w:rsidRPr="00C90343">
        <w:t xml:space="preserve">imate data was from </w:t>
      </w:r>
      <w:proofErr w:type="spellStart"/>
      <w:r w:rsidRPr="00C90343">
        <w:t>ClimateNA</w:t>
      </w:r>
      <w:proofErr w:type="spellEnd"/>
      <w:r w:rsidRPr="00C90343">
        <w:t xml:space="preserve"> </w:t>
      </w:r>
      <w:proofErr w:type="spellStart"/>
      <w:r w:rsidRPr="00C90343">
        <w:t>AdaptWest</w:t>
      </w:r>
      <w:proofErr w:type="spellEnd"/>
      <w:r w:rsidRPr="00C90343">
        <w:t xml:space="preserve"> Project, with the Coupled Model Intercomparison Project Phase 5 (CMIP5) database derived from the 5</w:t>
      </w:r>
      <w:r w:rsidRPr="00C90343">
        <w:rPr>
          <w:vertAlign w:val="superscript"/>
        </w:rPr>
        <w:t>th</w:t>
      </w:r>
      <w:r w:rsidRPr="00C90343">
        <w:t xml:space="preserve"> IPCC assessment report (</w:t>
      </w:r>
      <w:proofErr w:type="spellStart"/>
      <w:r w:rsidRPr="00C90343">
        <w:t>AdaptWest</w:t>
      </w:r>
      <w:proofErr w:type="spellEnd"/>
      <w:r w:rsidRPr="00C90343">
        <w:t xml:space="preserve"> Project 2015). We selected three Atmosphere and Ocean General Circulation/Climate Models (AOGCMs) to capture the “best case,” “median case,” and “worst case” projections in the geographic range of interest including the U.S. states of New Mexico, Arizona, Colorado, Wyoming, and Utah. For our geographic region, we selected INM-CM4, MPI-ESM-LR, and GFDL-CM3, all of which have high validation statistics</w:t>
      </w:r>
      <w:r w:rsidRPr="00C90343">
        <w:fldChar w:fldCharType="begin"/>
      </w:r>
      <w:r w:rsidRPr="00C90343">
        <w:instrText xml:space="preserve"> ADDIN ZOTERO_ITEM CSL_CITATION {"citationID":"KzktmtGx","properties":{"formattedCitation":"\\super 53\\nosupersub{}","plainCitation":"53","noteIndex":0},"citationItems":[{"id":120,"uris":["http://zotero.org/users/8506331/items/BBLPTD3L"],"uri":["http://zotero.org/users/8506331/items/BBLPTD3L"],"itemData":{"id":120,"type":"article-journal","abstract":"AbstractA new ensemble of climate models is becoming available and provides the basis for climate change projections. Here, we show a first analysis indicating that the models in the new ensemble agree better with observations than those in older ones and that the poorest models have been eliminated. Most models are strongly tied to their predecessors, and some also exchange ideas and code with other models, thus supporting an earlier hypothesis that the models in the new ensemble are neither independent of each other nor independent of the earlier generation. On the basis of one atmosphere model, we show how statistical methods can identify similarities between model versions and complement process understanding in characterizing how and why a model has changed. We argue that the interdependence of models complicates the interpretation of multimodel ensembles but largely goes unnoticed.","container-title":"Geophysical Research Letters","DOI":"10.1002/grl.50256","ISSN":"1944-8007","issue":"6","language":"en","note":"_eprint: https://agupubs.onlinelibrary.wiley.com/doi/pdf/10.1002/grl.50256","page":"1194-1199","source":"Wiley Online Library","title":"Climate model genealogy: Generation CMIP5 and how we got there","title-short":"Climate model genealogy","volume":"40","author":[{"family":"Knutti","given":"Reto"},{"family":"Masson","given":"David"},{"family":"Gettelman","given":"Andrew"}],"issued":{"date-parts":[["2013"]]}}}],"schema":"https://github.com/citation-style-language/schema/raw/master/csl-citation.json"} </w:instrText>
      </w:r>
      <w:r w:rsidRPr="00C90343">
        <w:fldChar w:fldCharType="separate"/>
      </w:r>
      <w:r w:rsidRPr="00C90343">
        <w:rPr>
          <w:vertAlign w:val="superscript"/>
        </w:rPr>
        <w:t>53</w:t>
      </w:r>
      <w:r w:rsidRPr="00C90343">
        <w:fldChar w:fldCharType="end"/>
      </w:r>
      <w:r w:rsidRPr="00C90343">
        <w:t xml:space="preserve">, from which we downloaded data for representative concentration pathways (RCP) 4.5 and 8.5 for </w:t>
      </w:r>
      <w:r w:rsidR="008C10BF">
        <w:t>time periods</w:t>
      </w:r>
      <w:r w:rsidRPr="00C90343">
        <w:t xml:space="preserve"> 205</w:t>
      </w:r>
      <w:r w:rsidR="008C10BF">
        <w:t>0s</w:t>
      </w:r>
      <w:r w:rsidRPr="00C90343">
        <w:t xml:space="preserve"> and 208</w:t>
      </w:r>
      <w:r w:rsidR="008C10BF">
        <w:t>0s</w:t>
      </w:r>
      <w:r w:rsidRPr="00C90343">
        <w:t>.</w:t>
      </w:r>
    </w:p>
    <w:p w14:paraId="5F58B668" w14:textId="77777777" w:rsidR="00412B02" w:rsidRPr="00C90343" w:rsidRDefault="00412B02" w:rsidP="00C90343">
      <w:pPr>
        <w:spacing w:line="360" w:lineRule="auto"/>
        <w:ind w:firstLine="720"/>
        <w:jc w:val="both"/>
      </w:pPr>
      <w:r w:rsidRPr="00C90343">
        <w:t xml:space="preserve">For each of the 12 future climate scenarios we again stacked models to calculated predicted “trait richness” on the landscape. To calculate the change in richness on the landscape we subtracted current richness values from projected richness values for each </w:t>
      </w:r>
      <w:r w:rsidRPr="00C90343">
        <w:lastRenderedPageBreak/>
        <w:t xml:space="preserve">grid cell: resulting in values from -10 to 10. Because zeros could indicate no change in richness (with or without decile composition changes) or unsuitable climatic conditions for all trait deciles, we re-calculated richness change considering which pixels were unsuitable to begin. We calculated net change as the difference between the percent of the landscape predicted to experience richness losses and gains, regardless of the degree of change (i.e., losses of 2 or 7 are both considered a loss). </w:t>
      </w:r>
      <w:r w:rsidRPr="00C90343">
        <w:rPr>
          <w:color w:val="000000" w:themeColor="text1"/>
        </w:rPr>
        <w:t>Stacked SDMs tend to over-estimate species richness</w:t>
      </w:r>
      <w:r w:rsidRPr="00C90343">
        <w:rPr>
          <w:color w:val="000000" w:themeColor="text1"/>
        </w:rPr>
        <w:fldChar w:fldCharType="begin"/>
      </w:r>
      <w:r w:rsidRPr="00C90343">
        <w:rPr>
          <w:color w:val="000000" w:themeColor="text1"/>
        </w:rPr>
        <w:instrText xml:space="preserve"> ADDIN ZOTERO_ITEM CSL_CITATION {"citationID":"pm6bxlCt","properties":{"formattedCitation":"\\super 54\\nosupersub{}","plainCitation":"54","noteIndex":0},"citationItems":[{"id":124,"uris":["http://zotero.org/users/8506331/items/B9PK22VJ"],"uri":["http://zotero.org/users/8506331/items/B9PK22VJ"],"itemData":{"id":124,"type":"article-journal","container-title":"Trends in Ecology &amp; Evolution","DOI":"10.1016/j.tree.2017.05.003","ISSN":"01695347","issue":"8","journalAbbreviation":"Trends in Ecology &amp; Evolution","language":"en","page":"556-566","source":"DOI.org (Crossref)","title":"Biodiversity Models: What If Unsaturation Is the Rule?","title-short":"Biodiversity Models","volume":"32","author":[{"family":"Mateo","given":"Rubén G."},{"family":"Mokany","given":"Karel"},{"family":"Guisan","given":"Antoine"}],"issued":{"date-parts":[["2017",8]]}}}],"schema":"https://github.com/citation-style-language/schema/raw/master/csl-citation.json"} </w:instrText>
      </w:r>
      <w:r w:rsidRPr="00C90343">
        <w:rPr>
          <w:color w:val="000000" w:themeColor="text1"/>
        </w:rPr>
        <w:fldChar w:fldCharType="separate"/>
      </w:r>
      <w:r w:rsidRPr="00C90343">
        <w:rPr>
          <w:color w:val="000000"/>
          <w:vertAlign w:val="superscript"/>
        </w:rPr>
        <w:t>54</w:t>
      </w:r>
      <w:r w:rsidRPr="00C90343">
        <w:rPr>
          <w:color w:val="000000" w:themeColor="text1"/>
        </w:rPr>
        <w:fldChar w:fldCharType="end"/>
      </w:r>
      <w:r w:rsidRPr="00C90343">
        <w:rPr>
          <w:color w:val="000000" w:themeColor="text1"/>
        </w:rPr>
        <w:t xml:space="preserve"> and thus, in our study, results of “richness loss” may be conservative.</w:t>
      </w:r>
    </w:p>
    <w:p w14:paraId="52A176CD" w14:textId="2551CF40" w:rsidR="00412B02" w:rsidRPr="00C90343" w:rsidRDefault="00412B02" w:rsidP="00C90343">
      <w:pPr>
        <w:spacing w:line="360" w:lineRule="auto"/>
        <w:ind w:firstLine="720"/>
        <w:jc w:val="both"/>
      </w:pPr>
      <w:r w:rsidRPr="00C90343">
        <w:t xml:space="preserve">To examine whether predicted changes in trait richness due to climate change would differ across genetic provenances of </w:t>
      </w:r>
      <w:r w:rsidRPr="00C90343">
        <w:rPr>
          <w:i/>
          <w:iCs/>
        </w:rPr>
        <w:t>P. angustifolia,</w:t>
      </w:r>
      <w:r w:rsidRPr="00C90343">
        <w:t xml:space="preserve"> we repeated calculations of richness change within each watershed that contained occurrence points from the three genetic provenances. We tested whether predicted richness loss differed across populations, years, and emissions scenarios with linear regression models (</w:t>
      </w:r>
      <w:proofErr w:type="spellStart"/>
      <w:r w:rsidRPr="00C90343">
        <w:t>lm</w:t>
      </w:r>
      <w:proofErr w:type="spellEnd"/>
      <w:r w:rsidRPr="00C90343">
        <w:t xml:space="preserve"> function of R</w:t>
      </w:r>
      <w:r w:rsidRPr="00C90343">
        <w:fldChar w:fldCharType="begin"/>
      </w:r>
      <w:r w:rsidRPr="00C90343">
        <w:instrText xml:space="preserve"> ADDIN ZOTERO_ITEM CSL_CITATION {"citationID":"Tjo0562T","properties":{"formattedCitation":"\\super 55\\nosupersub{}","plainCitation":"55","noteIndex":0},"citationItems":[{"id":125,"uris":["http://zotero.org/users/8506331/items/NVMMM4BA"],"uri":["http://zotero.org/users/8506331/items/NVMMM4BA"],"itemData":{"id":125,"type":"book","event-place":"Vienna, Austria","publisher":"R Foundation for Statistical Computing","publisher-place":"Vienna, Austria","title":"R: A Language and Environment for Statistical Computing","URL":"http://www.R-project.org/","author":[{"family":"R Core Team","given":""}],"issued":{"date-parts":[["2020"]]}}}],"schema":"https://github.com/citation-style-language/schema/raw/master/csl-citation.json"} </w:instrText>
      </w:r>
      <w:r w:rsidRPr="00C90343">
        <w:fldChar w:fldCharType="separate"/>
      </w:r>
      <w:r w:rsidRPr="00C90343">
        <w:rPr>
          <w:vertAlign w:val="superscript"/>
        </w:rPr>
        <w:t>55</w:t>
      </w:r>
      <w:r w:rsidRPr="00C90343">
        <w:fldChar w:fldCharType="end"/>
      </w:r>
      <w:r w:rsidRPr="00C90343">
        <w:t xml:space="preserve">). </w:t>
      </w:r>
    </w:p>
    <w:p w14:paraId="17578944" w14:textId="77777777" w:rsidR="00412B02" w:rsidRPr="00C90343" w:rsidRDefault="00412B02" w:rsidP="00C90343">
      <w:pPr>
        <w:pStyle w:val="Heading3"/>
        <w:spacing w:line="360" w:lineRule="auto"/>
        <w:jc w:val="both"/>
        <w:rPr>
          <w:szCs w:val="24"/>
        </w:rPr>
      </w:pPr>
      <w:r w:rsidRPr="00C90343">
        <w:rPr>
          <w:szCs w:val="24"/>
        </w:rPr>
        <w:t>Estimating phenological trait distribution similarity over time within and among genetic provenances</w:t>
      </w:r>
    </w:p>
    <w:p w14:paraId="59A2ECD6" w14:textId="47A8E68B" w:rsidR="00412B02" w:rsidRPr="00C90343" w:rsidRDefault="00412B02" w:rsidP="00C90343">
      <w:pPr>
        <w:spacing w:line="360" w:lineRule="auto"/>
        <w:jc w:val="both"/>
      </w:pPr>
      <w:r w:rsidRPr="00C90343">
        <w:t xml:space="preserve">To estimate how distributions </w:t>
      </w:r>
      <w:r w:rsidR="008C10BF">
        <w:t xml:space="preserve">of </w:t>
      </w:r>
      <w:r w:rsidRPr="00C90343">
        <w:t xml:space="preserve">phenological trait combinations may change with climate relative to their initial combinations, we constructed matrices for each genetic provenance with rows representing climate scenario and columns representing all possible combinations of deciles predicted to exist together on the landscape (i.e., there exist 1,023 possible combinations of ten numbers). This is closely analogous to an abundance “site” (climate scenario) by “species” (decile combinations) matrix, as used in community ecology. Instead of a community of species, we have communities of trait deciles. Values in the matrix represent pixel counts of suitable climatic conditions for that combination of trait deciles. There are 45 different combinations of a “decile richness” of 2, however, a 2-decile combination of decile 2 and decile 5, for example, is a “rare community” relative to a 2-decile combination of deciles 2 and 3, or deciles 4 and 5. We calculated </w:t>
      </w:r>
      <w:r w:rsidR="00D867FB">
        <w:t>a similarity score</w:t>
      </w:r>
      <w:r w:rsidRPr="00C90343">
        <w:t xml:space="preserve"> </w:t>
      </w:r>
      <w:r w:rsidR="00D867FB">
        <w:t xml:space="preserve">as an average distance between observed trait deciles in a cell. </w:t>
      </w:r>
      <w:r w:rsidRPr="00C90343">
        <w:t xml:space="preserve">To compare changes within provenances, we compared future “sites” to the current baseline “site” composition. Increases would indicate </w:t>
      </w:r>
      <w:r w:rsidR="00D867FB">
        <w:t>convergence</w:t>
      </w:r>
      <w:r w:rsidRPr="00C90343">
        <w:t xml:space="preserve"> of trait communities </w:t>
      </w:r>
      <w:r w:rsidR="00D867FB">
        <w:t xml:space="preserve">and </w:t>
      </w:r>
      <w:r w:rsidRPr="00C90343">
        <w:t xml:space="preserve">decreases would indicate </w:t>
      </w:r>
      <w:r w:rsidR="00D867FB">
        <w:lastRenderedPageBreak/>
        <w:t>divergence</w:t>
      </w:r>
      <w:r w:rsidRPr="00C90343">
        <w:t xml:space="preserve"> of trait communities. We used redundancy analysis to quantify the amount of variation in trait distributions explained by genetic provenance using the function “</w:t>
      </w:r>
      <w:proofErr w:type="spellStart"/>
      <w:r w:rsidRPr="00C90343">
        <w:t>rda</w:t>
      </w:r>
      <w:proofErr w:type="spellEnd"/>
      <w:r w:rsidRPr="00C90343">
        <w:t>” from the “vegan” package</w:t>
      </w:r>
      <w:r w:rsidRPr="00C90343">
        <w:fldChar w:fldCharType="begin"/>
      </w:r>
      <w:r w:rsidRPr="00C90343">
        <w:instrText xml:space="preserve"> ADDIN ZOTERO_ITEM CSL_CITATION {"citationID":"Zf9YIR0k","properties":{"formattedCitation":"\\super 56\\nosupersub{}","plainCitation":"56","noteIndex":0},"citationItems":[{"id":126,"uris":["http://zotero.org/users/8506331/items/JTJ8W2FE"],"uri":["http://zotero.org/users/8506331/items/JTJ8W2FE"],"itemData":{"id":126,"type":"book","abstract":"Ordination methods, diversity analysis and other functions for community and vegetation ecologists.","source":"R-Packages","title":"vegan: Community Ecology Package","title-short":"vegan","URL":"https://CRAN.R-project.org/package=vegan","version":"2.5-7","author":[{"family":"Oksanen","given":"Jari"},{"family":"Blanchet","given":"F. Guillaume"},{"family":"Friendly","given":"Michael"},{"family":"Kindt","given":"Roeland"},{"family":"Legendre","given":"Pierre"},{"family":"McGlinn","given":"Dan"},{"family":"Minchin","given":"Peter R."},{"family":"O'Hara","given":"R. B."},{"family":"Simpson","given":"Gavin L."},{"family":"Solymos","given":"Peter"},{"family":"Stevens","given":"M. Henry H."},{"family":"Szoecs","given":"Eduard"},{"family":"Wagner","given":"Helene"}],"accessed":{"date-parts":[["2021",9,26]]},"issued":{"date-parts":[["2020",11,28]]}}}],"schema":"https://github.com/citation-style-language/schema/raw/master/csl-citation.json"} </w:instrText>
      </w:r>
      <w:r w:rsidRPr="00C90343">
        <w:fldChar w:fldCharType="separate"/>
      </w:r>
      <w:r w:rsidRPr="00C90343">
        <w:rPr>
          <w:vertAlign w:val="superscript"/>
        </w:rPr>
        <w:t>56</w:t>
      </w:r>
      <w:r w:rsidRPr="00C90343">
        <w:fldChar w:fldCharType="end"/>
      </w:r>
      <w:r w:rsidRPr="00C90343">
        <w:t>. Additionally, we tested the inclusion of all factors as constraining variables in the RDA using the function “</w:t>
      </w:r>
      <w:proofErr w:type="spellStart"/>
      <w:r w:rsidRPr="00C90343">
        <w:t>ordistep</w:t>
      </w:r>
      <w:proofErr w:type="spellEnd"/>
      <w:r w:rsidRPr="00C90343">
        <w:t xml:space="preserve">” which performs backwards and forwards model selection using permutation tests. </w:t>
      </w:r>
    </w:p>
    <w:p w14:paraId="032EB6EA" w14:textId="115F62EF" w:rsidR="00412B02" w:rsidRPr="00C90343" w:rsidRDefault="00474295" w:rsidP="00C90343">
      <w:pPr>
        <w:pStyle w:val="Heading2"/>
        <w:spacing w:line="360" w:lineRule="auto"/>
        <w:rPr>
          <w:sz w:val="24"/>
          <w:szCs w:val="24"/>
        </w:rPr>
      </w:pPr>
      <w:bookmarkStart w:id="58" w:name="_Toc88056492"/>
      <w:r w:rsidRPr="00C90343">
        <w:rPr>
          <w:sz w:val="24"/>
          <w:szCs w:val="24"/>
        </w:rPr>
        <w:t>R</w:t>
      </w:r>
      <w:r w:rsidR="00B66B6E" w:rsidRPr="00C90343">
        <w:rPr>
          <w:sz w:val="24"/>
          <w:szCs w:val="24"/>
        </w:rPr>
        <w:t>e</w:t>
      </w:r>
      <w:r w:rsidRPr="00C90343">
        <w:rPr>
          <w:sz w:val="24"/>
          <w:szCs w:val="24"/>
        </w:rPr>
        <w:t>s</w:t>
      </w:r>
      <w:r w:rsidR="00B66B6E" w:rsidRPr="00C90343">
        <w:rPr>
          <w:sz w:val="24"/>
          <w:szCs w:val="24"/>
        </w:rPr>
        <w:t>ults</w:t>
      </w:r>
      <w:bookmarkEnd w:id="58"/>
    </w:p>
    <w:p w14:paraId="46EBAFB5" w14:textId="77777777" w:rsidR="00412B02" w:rsidRPr="00C90343" w:rsidRDefault="00412B02" w:rsidP="00C90343">
      <w:pPr>
        <w:pStyle w:val="Heading3"/>
        <w:spacing w:line="360" w:lineRule="auto"/>
        <w:jc w:val="both"/>
        <w:rPr>
          <w:szCs w:val="24"/>
        </w:rPr>
      </w:pPr>
      <w:r w:rsidRPr="00C90343">
        <w:rPr>
          <w:szCs w:val="24"/>
        </w:rPr>
        <w:t>Net loss of phenological variation in future climates</w:t>
      </w:r>
    </w:p>
    <w:p w14:paraId="2973C2A8" w14:textId="36D98551" w:rsidR="00412B02" w:rsidRPr="00C90343" w:rsidRDefault="008C10BF" w:rsidP="00C90343">
      <w:pPr>
        <w:spacing w:line="360" w:lineRule="auto"/>
        <w:jc w:val="both"/>
      </w:pPr>
      <w:r>
        <w:t>With all</w:t>
      </w:r>
      <w:r w:rsidR="00412B02" w:rsidRPr="00C90343">
        <w:t xml:space="preserve"> future climate</w:t>
      </w:r>
      <w:r>
        <w:t xml:space="preserve"> scenarios</w:t>
      </w:r>
      <w:r w:rsidR="00412B02" w:rsidRPr="00C90343">
        <w:t xml:space="preserve">, </w:t>
      </w:r>
      <w:r>
        <w:t xml:space="preserve">between </w:t>
      </w:r>
      <w:r w:rsidR="00412B02" w:rsidRPr="00C90343">
        <w:t xml:space="preserve">20-25 percent of the total landscape that we modeled is </w:t>
      </w:r>
      <w:r>
        <w:t>projected</w:t>
      </w:r>
      <w:r w:rsidR="00412B02" w:rsidRPr="00C90343">
        <w:t xml:space="preserve"> to have a net loss of trait richness (Table </w:t>
      </w:r>
      <w:r w:rsidR="00F201AC" w:rsidRPr="00C90343">
        <w:t xml:space="preserve">7; All tables and figures can be found in </w:t>
      </w:r>
      <w:r w:rsidR="000117D7" w:rsidRPr="00C90343">
        <w:t>A</w:t>
      </w:r>
      <w:r w:rsidR="00F201AC" w:rsidRPr="00C90343">
        <w:t>ppendix 3 at the end of this chapter</w:t>
      </w:r>
      <w:r w:rsidR="00552C58" w:rsidRPr="00C90343">
        <w:t xml:space="preserve"> unless otherwise noted</w:t>
      </w:r>
      <w:r w:rsidR="00F201AC" w:rsidRPr="00C90343">
        <w:t>)</w:t>
      </w:r>
      <w:r w:rsidR="00412B02" w:rsidRPr="00C90343">
        <w:t>. This net percent loss decreases with latitude and across genetic provenance, such that the southernmost provenance is predicted to lose richness on the largest amount of land– between 36-47% – and the northernmost provenance is predicted to lose the least – between 14-29%. The central provenance is predicted to lose richness on about 24-30% (Fig</w:t>
      </w:r>
      <w:r w:rsidR="00CD2B89" w:rsidRPr="00C90343">
        <w:t>ure</w:t>
      </w:r>
      <w:r w:rsidR="00412B02" w:rsidRPr="00C90343">
        <w:t xml:space="preserve"> </w:t>
      </w:r>
      <w:r w:rsidR="00F201AC" w:rsidRPr="00C90343">
        <w:t>9</w:t>
      </w:r>
      <w:r w:rsidR="00412B02" w:rsidRPr="00C90343">
        <w:t>d</w:t>
      </w:r>
      <w:r w:rsidR="00CD2B89" w:rsidRPr="00C90343">
        <w:t xml:space="preserve"> and</w:t>
      </w:r>
      <w:r w:rsidR="00412B02" w:rsidRPr="00C90343">
        <w:t xml:space="preserve"> Table </w:t>
      </w:r>
      <w:r w:rsidR="00F201AC" w:rsidRPr="00C90343">
        <w:t>7</w:t>
      </w:r>
      <w:r w:rsidR="00CD2B89" w:rsidRPr="00C90343">
        <w:t>; Figure 23 in Appendix 4</w:t>
      </w:r>
      <w:r w:rsidR="00412B02" w:rsidRPr="00C90343">
        <w:t xml:space="preserve">). Differences between genetic provenances were significant but did not vary with relative concentration pathways or year (Figure </w:t>
      </w:r>
      <w:r w:rsidR="00F201AC" w:rsidRPr="00C90343">
        <w:t>9</w:t>
      </w:r>
      <w:r w:rsidR="00412B02" w:rsidRPr="00C90343">
        <w:t xml:space="preserve">d; </w:t>
      </w:r>
      <w:proofErr w:type="spellStart"/>
      <w:r w:rsidR="00412B02" w:rsidRPr="00C90343">
        <w:t>F</w:t>
      </w:r>
      <w:r w:rsidR="00412B02" w:rsidRPr="00C90343">
        <w:rPr>
          <w:vertAlign w:val="subscript"/>
        </w:rPr>
        <w:t>provenance</w:t>
      </w:r>
      <w:proofErr w:type="spellEnd"/>
      <w:r w:rsidR="00412B02" w:rsidRPr="00C90343">
        <w:t xml:space="preserve">=27.9, </w:t>
      </w:r>
      <w:proofErr w:type="spellStart"/>
      <w:r w:rsidR="00412B02" w:rsidRPr="00C90343">
        <w:t>p</w:t>
      </w:r>
      <w:r w:rsidR="00412B02" w:rsidRPr="00C90343">
        <w:rPr>
          <w:vertAlign w:val="subscript"/>
        </w:rPr>
        <w:t>provenance</w:t>
      </w:r>
      <w:proofErr w:type="spellEnd"/>
      <w:r w:rsidR="00412B02" w:rsidRPr="00C90343">
        <w:t xml:space="preserve">&lt;0.001). However, the </w:t>
      </w:r>
      <w:r w:rsidR="00412B02" w:rsidRPr="00C90343">
        <w:rPr>
          <w:i/>
          <w:iCs/>
        </w:rPr>
        <w:t>total</w:t>
      </w:r>
      <w:r w:rsidR="00412B02" w:rsidRPr="00C90343">
        <w:t xml:space="preserve"> percentage of landscape predicted to lose richness (i.e., without adjusting for richness gains) did change significantly across genetic provenance and with relative concentration pathways (</w:t>
      </w:r>
      <w:proofErr w:type="spellStart"/>
      <w:r w:rsidR="00412B02" w:rsidRPr="00C90343">
        <w:t>F</w:t>
      </w:r>
      <w:r w:rsidR="00412B02" w:rsidRPr="00C90343">
        <w:rPr>
          <w:vertAlign w:val="subscript"/>
        </w:rPr>
        <w:t>provenance</w:t>
      </w:r>
      <w:proofErr w:type="spellEnd"/>
      <w:r w:rsidR="00412B02" w:rsidRPr="00C90343">
        <w:t xml:space="preserve">=36.8, </w:t>
      </w:r>
      <w:proofErr w:type="spellStart"/>
      <w:r w:rsidR="00412B02" w:rsidRPr="00C90343">
        <w:t>p</w:t>
      </w:r>
      <w:r w:rsidR="00412B02" w:rsidRPr="00C90343">
        <w:rPr>
          <w:vertAlign w:val="subscript"/>
        </w:rPr>
        <w:t>provenance</w:t>
      </w:r>
      <w:proofErr w:type="spellEnd"/>
      <w:r w:rsidR="00412B02" w:rsidRPr="00C90343">
        <w:t xml:space="preserve">&lt;0.001; </w:t>
      </w:r>
      <w:proofErr w:type="spellStart"/>
      <w:r w:rsidR="00412B02" w:rsidRPr="00C90343">
        <w:t>F</w:t>
      </w:r>
      <w:r w:rsidR="00412B02" w:rsidRPr="00C90343">
        <w:rPr>
          <w:vertAlign w:val="subscript"/>
        </w:rPr>
        <w:t>rcp</w:t>
      </w:r>
      <w:proofErr w:type="spellEnd"/>
      <w:r w:rsidR="00412B02" w:rsidRPr="00C90343">
        <w:t xml:space="preserve">=7.8, </w:t>
      </w:r>
      <w:proofErr w:type="spellStart"/>
      <w:r w:rsidR="00412B02" w:rsidRPr="00C90343">
        <w:t>p</w:t>
      </w:r>
      <w:r w:rsidR="00412B02" w:rsidRPr="00C90343">
        <w:rPr>
          <w:vertAlign w:val="subscript"/>
        </w:rPr>
        <w:t>rcp</w:t>
      </w:r>
      <w:proofErr w:type="spellEnd"/>
      <w:r w:rsidR="00412B02" w:rsidRPr="00C90343">
        <w:t>=0.01; R</w:t>
      </w:r>
      <w:r w:rsidR="00412B02" w:rsidRPr="00C90343">
        <w:rPr>
          <w:vertAlign w:val="superscript"/>
        </w:rPr>
        <w:t>2</w:t>
      </w:r>
      <w:r w:rsidR="00412B02" w:rsidRPr="00C90343">
        <w:t xml:space="preserve">=0.78). Losing suitable climatic conditions for one decile in a location is very different from, for example, losing suitable climatic conditions for eight deciles in the same location. For this, it is important to not just quantify positive and negative losses across space, but the amount of richness – trait variation – that is changing. Following the predictions made of landscape-level net losses across populations, the southernmost provenance is predicted not only to lose the most suitable climatic conditions overall, but also to lose the highest number of trait deciles regardless of time or relative concentration pathway (Figure </w:t>
      </w:r>
      <w:r w:rsidR="00F201AC" w:rsidRPr="00C90343">
        <w:t>10</w:t>
      </w:r>
      <w:r w:rsidR="00412B02" w:rsidRPr="00C90343">
        <w:t xml:space="preserve">). In contrast, shifts in the number of trait deciles lost for the central and northernmost provenances are countered more by gains, suggesting phenological distributional shifts occurring in some areas, despite net loss (Figure </w:t>
      </w:r>
      <w:r w:rsidR="00F201AC" w:rsidRPr="00C90343">
        <w:t>10</w:t>
      </w:r>
      <w:r w:rsidR="000117D7" w:rsidRPr="00C90343">
        <w:t>).</w:t>
      </w:r>
    </w:p>
    <w:p w14:paraId="58FF7ACD" w14:textId="77777777" w:rsidR="00412B02" w:rsidRPr="00C90343" w:rsidRDefault="00412B02" w:rsidP="00C90343">
      <w:pPr>
        <w:pStyle w:val="Heading3"/>
        <w:spacing w:line="360" w:lineRule="auto"/>
        <w:jc w:val="both"/>
        <w:rPr>
          <w:szCs w:val="24"/>
        </w:rPr>
      </w:pPr>
      <w:r w:rsidRPr="00C90343">
        <w:rPr>
          <w:szCs w:val="24"/>
        </w:rPr>
        <w:lastRenderedPageBreak/>
        <w:t xml:space="preserve">Phenology richness patterns from stacked distribution models </w:t>
      </w:r>
    </w:p>
    <w:p w14:paraId="5C16E728" w14:textId="51DC4E30" w:rsidR="00412B02" w:rsidRPr="00C90343" w:rsidRDefault="00412B02" w:rsidP="00C90343">
      <w:pPr>
        <w:pStyle w:val="NormalWeb"/>
        <w:spacing w:before="0" w:beforeAutospacing="0" w:after="0" w:afterAutospacing="0" w:line="360" w:lineRule="auto"/>
        <w:jc w:val="both"/>
      </w:pPr>
      <w:r w:rsidRPr="00C90343">
        <w:t xml:space="preserve">Each decile model predicted suitable (current) climatic conditions on 10.7 to 33.2 percent of the landscape (Table </w:t>
      </w:r>
      <w:r w:rsidR="00F201AC" w:rsidRPr="00C90343">
        <w:t>6</w:t>
      </w:r>
      <w:r w:rsidRPr="00C90343">
        <w:t xml:space="preserve">). The first and tenth deciles, which represent the earliest and latest leaf bud break times, as well as the largest range of bud break days overall (as the two tails of the trait distribution) predicted the least suitable area overall (10.7 and 11.5%, respectively; Table </w:t>
      </w:r>
      <w:r w:rsidR="00F201AC" w:rsidRPr="00C90343">
        <w:t>6</w:t>
      </w:r>
      <w:r w:rsidRPr="00C90343">
        <w:t xml:space="preserve">; Figure </w:t>
      </w:r>
      <w:r w:rsidR="008E3DA3" w:rsidRPr="00C90343">
        <w:t>9</w:t>
      </w:r>
      <w:r w:rsidRPr="00C90343">
        <w:t xml:space="preserve">a and </w:t>
      </w:r>
      <w:r w:rsidR="008E3DA3" w:rsidRPr="00C90343">
        <w:t>9</w:t>
      </w:r>
      <w:r w:rsidRPr="00C90343">
        <w:t xml:space="preserve">b). The third decile predicted the most suitable area at 33.2 percent – interestingly almost the full area predicted suitable by stacked decile models: 34.3 percent (Table </w:t>
      </w:r>
      <w:r w:rsidR="00F201AC" w:rsidRPr="00C90343">
        <w:t>6</w:t>
      </w:r>
      <w:r w:rsidRPr="00C90343">
        <w:t xml:space="preserve">; Figure </w:t>
      </w:r>
      <w:r w:rsidR="008E3DA3" w:rsidRPr="00C90343">
        <w:t>9</w:t>
      </w:r>
      <w:r w:rsidRPr="00C90343">
        <w:t xml:space="preserve">c). Only 2.8 percent of the land area was predicted to have suitable climatic conditions to support the full range of trait values (i.e., all ten trait deciles: Figure </w:t>
      </w:r>
      <w:r w:rsidR="00F201AC" w:rsidRPr="00C90343">
        <w:t>9</w:t>
      </w:r>
      <w:r w:rsidR="000117D7" w:rsidRPr="00C90343">
        <w:t>c</w:t>
      </w:r>
      <w:r w:rsidRPr="00C90343">
        <w:t xml:space="preserve">). </w:t>
      </w:r>
    </w:p>
    <w:p w14:paraId="75AEDDD1" w14:textId="77777777" w:rsidR="00412B02" w:rsidRPr="00C90343" w:rsidRDefault="00412B02" w:rsidP="00C90343">
      <w:pPr>
        <w:pStyle w:val="Heading3"/>
        <w:spacing w:line="360" w:lineRule="auto"/>
        <w:jc w:val="both"/>
        <w:rPr>
          <w:szCs w:val="24"/>
        </w:rPr>
      </w:pPr>
      <w:r w:rsidRPr="00C90343">
        <w:rPr>
          <w:szCs w:val="24"/>
        </w:rPr>
        <w:t>Phenological trait distributions shift and converge</w:t>
      </w:r>
    </w:p>
    <w:p w14:paraId="50809788" w14:textId="65AE739D" w:rsidR="00412B02" w:rsidRPr="00C90343" w:rsidRDefault="00412B02" w:rsidP="00C90343">
      <w:pPr>
        <w:pStyle w:val="NormalWeb"/>
        <w:spacing w:before="0" w:beforeAutospacing="0" w:after="0" w:afterAutospacing="0" w:line="360" w:lineRule="auto"/>
        <w:jc w:val="both"/>
      </w:pPr>
      <w:r w:rsidRPr="00C90343">
        <w:t xml:space="preserve">We examined phenological distribution change within provenances by comparing predictions made by future climate scenarios to the current (“baseline”) distribution of traits. Within each provenance, the distribution of phenological variation </w:t>
      </w:r>
      <w:r w:rsidR="00D867FB">
        <w:t>shifts</w:t>
      </w:r>
      <w:r w:rsidRPr="00C90343">
        <w:t xml:space="preserve"> from the original state (Figure </w:t>
      </w:r>
      <w:r w:rsidR="00F201AC" w:rsidRPr="00C90343">
        <w:t>11</w:t>
      </w:r>
      <w:r w:rsidRPr="00C90343">
        <w:t xml:space="preserve">). With </w:t>
      </w:r>
      <w:r w:rsidR="00D867FB">
        <w:t>few</w:t>
      </w:r>
      <w:r w:rsidRPr="00C90343">
        <w:t xml:space="preserve"> exception</w:t>
      </w:r>
      <w:r w:rsidR="00D867FB">
        <w:t>s</w:t>
      </w:r>
      <w:r w:rsidRPr="00C90343">
        <w:t xml:space="preserve">, </w:t>
      </w:r>
      <w:r w:rsidR="00D867FB">
        <w:t xml:space="preserve">most </w:t>
      </w:r>
      <w:r w:rsidR="008C10BF">
        <w:t>AOGCMs</w:t>
      </w:r>
      <w:r w:rsidRPr="00C90343">
        <w:t xml:space="preserve"> </w:t>
      </w:r>
      <w:r w:rsidR="008C10BF">
        <w:t>and</w:t>
      </w:r>
      <w:r w:rsidRPr="00C90343">
        <w:t xml:space="preserve"> </w:t>
      </w:r>
      <w:r w:rsidR="008C10BF">
        <w:t>RCPs</w:t>
      </w:r>
      <w:r w:rsidRPr="00C90343">
        <w:t xml:space="preserve"> predicted more </w:t>
      </w:r>
      <w:r w:rsidR="00D867FB">
        <w:t>similar</w:t>
      </w:r>
      <w:r w:rsidRPr="00C90343">
        <w:t xml:space="preserve"> phenological trait distributions through time (i.e., </w:t>
      </w:r>
      <w:r w:rsidR="00D867FB">
        <w:t>points above yellow line</w:t>
      </w:r>
      <w:r w:rsidRPr="00C90343">
        <w:t xml:space="preserve"> in Figure </w:t>
      </w:r>
      <w:r w:rsidR="00F201AC" w:rsidRPr="00C90343">
        <w:t>11</w:t>
      </w:r>
      <w:r w:rsidRPr="00C90343">
        <w:t xml:space="preserve">). Overall, the </w:t>
      </w:r>
      <w:r w:rsidR="00D867FB">
        <w:t>southern</w:t>
      </w:r>
      <w:r w:rsidRPr="00C90343">
        <w:t xml:space="preserve"> provenance is predicted to see the smallest changes to phenological</w:t>
      </w:r>
      <w:r w:rsidR="00D867FB">
        <w:t xml:space="preserve"> trait</w:t>
      </w:r>
      <w:r w:rsidRPr="00C90343">
        <w:t xml:space="preserve"> distribution</w:t>
      </w:r>
      <w:r w:rsidR="00D867FB">
        <w:t>s,</w:t>
      </w:r>
      <w:r w:rsidRPr="00C90343">
        <w:t xml:space="preserve"> and the </w:t>
      </w:r>
      <w:r w:rsidR="00D867FB">
        <w:t>central and northern</w:t>
      </w:r>
      <w:r w:rsidRPr="00C90343">
        <w:t xml:space="preserve"> provenance</w:t>
      </w:r>
      <w:r w:rsidR="00D867FB">
        <w:t>s</w:t>
      </w:r>
      <w:r w:rsidRPr="00C90343">
        <w:t xml:space="preserve"> </w:t>
      </w:r>
      <w:r w:rsidR="00D867FB">
        <w:t>are</w:t>
      </w:r>
      <w:r w:rsidRPr="00C90343">
        <w:t xml:space="preserve"> predicted to have greate</w:t>
      </w:r>
      <w:r w:rsidR="00D867FB">
        <w:t>r</w:t>
      </w:r>
      <w:r w:rsidRPr="00C90343">
        <w:t xml:space="preserve"> change</w:t>
      </w:r>
      <w:r w:rsidR="00D867FB">
        <w:t>s</w:t>
      </w:r>
      <w:r w:rsidRPr="00C90343">
        <w:t xml:space="preserve"> in phenological distribution (Figure </w:t>
      </w:r>
      <w:r w:rsidR="00D867FB">
        <w:t>11</w:t>
      </w:r>
      <w:r w:rsidRPr="00C90343">
        <w:t xml:space="preserve">). Genetic provenance explained 51.9% of the variation in trait distributions – or community composition of trait deciles, to continue the community ecology analogy – across the species range (RDA; compared to a null model p&lt;0.001). The best model included the global change model (AOGCM) in addition to genetic provenance as constrained variables, explaining 64.7% of the variation. This addition is expected given that the global change models were chosen to represent different future climatic conditions in the study area. Though distributions of trait variation are predicted to change within all three genetic provenances, the effect of relative concentration pathways on the degree of change appears variable, suggesting that significant losses and shifts will occur even in lower emissions scenarios. </w:t>
      </w:r>
    </w:p>
    <w:p w14:paraId="704218F1" w14:textId="02A4B305" w:rsidR="00412B02" w:rsidRDefault="00412B02" w:rsidP="00155C4B">
      <w:pPr>
        <w:pStyle w:val="NormalWeb"/>
        <w:spacing w:line="360" w:lineRule="auto"/>
        <w:ind w:firstLine="720"/>
        <w:jc w:val="both"/>
      </w:pPr>
      <w:r w:rsidRPr="00C90343">
        <w:lastRenderedPageBreak/>
        <w:t xml:space="preserve">We also examined </w:t>
      </w:r>
      <w:r w:rsidR="00D867FB">
        <w:t>the average frequencies of the earliest (decile 1) and latest (decile 10) 10% of bud breaking individuals across time relative to the amount of landscape projected to have suitable climates for at least one trait decile. In other words, landscape that was predicted to have a richness of 1 or greater. The southern provenance began with a higher frequency of early breakers relative to late breakers, and the northern provenance began with a higher frequency of later breakers relative to early breakers (Figure</w:t>
      </w:r>
      <w:r w:rsidR="00DB79A5">
        <w:t xml:space="preserve"> 12; also Figure 9a, 9b). The central provenance began with a similar frequency of both deciles (Figure 12). Across time, the loss of early and late breakers in the southern provenance is proportional to the beginning frequencies (Figure 12). The central provenance loses late breakers while the northern provenance loses late breakers and gains early breakers (Figure 12). </w:t>
      </w:r>
    </w:p>
    <w:p w14:paraId="32C3BBE7" w14:textId="77777777" w:rsidR="00412B02" w:rsidRPr="00C90343" w:rsidRDefault="00412B02" w:rsidP="00155C4B">
      <w:pPr>
        <w:pStyle w:val="Heading3"/>
        <w:spacing w:line="360" w:lineRule="auto"/>
        <w:jc w:val="both"/>
        <w:rPr>
          <w:szCs w:val="24"/>
        </w:rPr>
      </w:pPr>
      <w:r w:rsidRPr="00C90343">
        <w:rPr>
          <w:szCs w:val="24"/>
        </w:rPr>
        <w:t>Model reliability and environmental variables</w:t>
      </w:r>
    </w:p>
    <w:p w14:paraId="064B1E5A" w14:textId="760BE87D" w:rsidR="00412B02" w:rsidRPr="00C90343" w:rsidRDefault="00412B02" w:rsidP="00155C4B">
      <w:pPr>
        <w:pStyle w:val="NormalWeb"/>
        <w:spacing w:line="360" w:lineRule="auto"/>
        <w:jc w:val="both"/>
        <w:rPr>
          <w:color w:val="000000" w:themeColor="text1"/>
        </w:rPr>
      </w:pPr>
      <w:r w:rsidRPr="00C90343">
        <w:rPr>
          <w:color w:val="000000" w:themeColor="text1"/>
        </w:rPr>
        <w:t xml:space="preserve">Distribution models for each trait decile had good predictive accuracy with an average test AUC of 0.85 (Figure </w:t>
      </w:r>
      <w:r w:rsidR="000117D7" w:rsidRPr="00C90343">
        <w:rPr>
          <w:color w:val="000000" w:themeColor="text1"/>
        </w:rPr>
        <w:t>20 in Appendix 4 (A4)</w:t>
      </w:r>
      <w:r w:rsidRPr="00C90343">
        <w:rPr>
          <w:color w:val="000000" w:themeColor="text1"/>
        </w:rPr>
        <w:t>). Stream order contributed consistently high (between 30-54 percent) to all modeled trait deciles (</w:t>
      </w:r>
      <w:r w:rsidR="000117D7" w:rsidRPr="00C90343">
        <w:rPr>
          <w:color w:val="000000" w:themeColor="text1"/>
        </w:rPr>
        <w:t>Figure 20 in A4</w:t>
      </w:r>
      <w:r w:rsidRPr="00C90343">
        <w:rPr>
          <w:color w:val="000000" w:themeColor="text1"/>
        </w:rPr>
        <w:t xml:space="preserve">), suggesting that the inclusion of this variable is working as intended to constrain </w:t>
      </w:r>
      <w:r w:rsidRPr="00C90343">
        <w:rPr>
          <w:i/>
          <w:iCs/>
          <w:color w:val="000000" w:themeColor="text1"/>
        </w:rPr>
        <w:t>P. angustifolia</w:t>
      </w:r>
      <w:r w:rsidRPr="00C90343">
        <w:rPr>
          <w:color w:val="000000" w:themeColor="text1"/>
        </w:rPr>
        <w:t xml:space="preserve"> to a riparian habitat. Climatic moisture index contributed significantly more to later decile models (</w:t>
      </w:r>
      <w:r w:rsidR="000117D7" w:rsidRPr="00C90343">
        <w:rPr>
          <w:color w:val="000000" w:themeColor="text1"/>
        </w:rPr>
        <w:t xml:space="preserve">Figure 20 in A4; </w:t>
      </w:r>
      <w:r w:rsidRPr="00C90343">
        <w:rPr>
          <w:color w:val="000000" w:themeColor="text1"/>
        </w:rPr>
        <w:t>R</w:t>
      </w:r>
      <w:r w:rsidRPr="00C90343">
        <w:rPr>
          <w:color w:val="000000" w:themeColor="text1"/>
          <w:vertAlign w:val="superscript"/>
        </w:rPr>
        <w:t>2</w:t>
      </w:r>
      <w:r w:rsidRPr="00C90343">
        <w:rPr>
          <w:color w:val="000000" w:themeColor="text1"/>
        </w:rPr>
        <w:t>=0.68, p=0.0031) while winter precipitation and relative humidity (</w:t>
      </w:r>
      <w:r w:rsidR="000117D7" w:rsidRPr="00C90343">
        <w:rPr>
          <w:color w:val="000000" w:themeColor="text1"/>
        </w:rPr>
        <w:t xml:space="preserve">Figure 20 in A4) </w:t>
      </w:r>
      <w:r w:rsidRPr="00C90343">
        <w:rPr>
          <w:color w:val="000000" w:themeColor="text1"/>
        </w:rPr>
        <w:t>contributed significantly more to earlier phenological trait decile models (respectively, R</w:t>
      </w:r>
      <w:r w:rsidRPr="00C90343">
        <w:rPr>
          <w:color w:val="000000" w:themeColor="text1"/>
          <w:vertAlign w:val="superscript"/>
        </w:rPr>
        <w:t>2</w:t>
      </w:r>
      <w:r w:rsidRPr="00C90343">
        <w:rPr>
          <w:color w:val="000000" w:themeColor="text1"/>
        </w:rPr>
        <w:t>=0.53, p=0.017; R</w:t>
      </w:r>
      <w:r w:rsidRPr="00C90343">
        <w:rPr>
          <w:color w:val="000000" w:themeColor="text1"/>
          <w:vertAlign w:val="superscript"/>
        </w:rPr>
        <w:t>2</w:t>
      </w:r>
      <w:r w:rsidRPr="00C90343">
        <w:rPr>
          <w:color w:val="000000" w:themeColor="text1"/>
        </w:rPr>
        <w:t xml:space="preserve">= 0.49, p=0.024). Continentality contributed between 1.5 to 22 percent to the ten models </w:t>
      </w:r>
      <w:r w:rsidR="000117D7" w:rsidRPr="00C90343">
        <w:rPr>
          <w:color w:val="000000" w:themeColor="text1"/>
        </w:rPr>
        <w:t xml:space="preserve">(Figure 20 in A4). </w:t>
      </w:r>
      <w:r w:rsidRPr="00C90343">
        <w:rPr>
          <w:color w:val="000000" w:themeColor="text1"/>
        </w:rPr>
        <w:t>These significant relationships reflect environmental variable contribution to model predictions, and thus should not be interpreted as a description of the variable’s relationship to trait values – earlier b</w:t>
      </w:r>
      <w:r w:rsidRPr="00C90343">
        <w:t xml:space="preserve">ud break was related to higher climatic moisture index (p&lt;0.001), higher winter precipitation (p=0.003), lower relative humidity (p&lt;0.001) and lower continentality (p&lt;0.001; Figure </w:t>
      </w:r>
      <w:r w:rsidR="000117D7" w:rsidRPr="00C90343">
        <w:t>21 and 22 in A4</w:t>
      </w:r>
      <w:r w:rsidRPr="00C90343">
        <w:t>).</w:t>
      </w:r>
    </w:p>
    <w:p w14:paraId="6774DB9E" w14:textId="672CE749" w:rsidR="00B66B6E" w:rsidRPr="00C90343" w:rsidRDefault="00B66B6E" w:rsidP="00C90343">
      <w:pPr>
        <w:pStyle w:val="Heading2"/>
        <w:spacing w:line="360" w:lineRule="auto"/>
        <w:rPr>
          <w:sz w:val="24"/>
          <w:szCs w:val="24"/>
        </w:rPr>
      </w:pPr>
      <w:bookmarkStart w:id="59" w:name="_Toc88056493"/>
      <w:r w:rsidRPr="00C90343">
        <w:rPr>
          <w:sz w:val="24"/>
          <w:szCs w:val="24"/>
        </w:rPr>
        <w:lastRenderedPageBreak/>
        <w:t>Discussion</w:t>
      </w:r>
      <w:bookmarkEnd w:id="59"/>
    </w:p>
    <w:p w14:paraId="079B7425" w14:textId="296B2163" w:rsidR="00412B02" w:rsidRPr="00C90343" w:rsidRDefault="00412B02" w:rsidP="00155C4B">
      <w:pPr>
        <w:spacing w:line="360" w:lineRule="auto"/>
        <w:jc w:val="both"/>
        <w:rPr>
          <w:color w:val="111111"/>
        </w:rPr>
      </w:pPr>
      <w:r w:rsidRPr="00C90343">
        <w:rPr>
          <w:color w:val="111111"/>
        </w:rPr>
        <w:t xml:space="preserve">While it is thought that climatic changes that impact patterns of temperature and precipitation will exert strong selective forces affecting genetic variation across species, there are very few studies demonstrating such effects (but see Ware et al. 2019). This lack of data and approaches by which the relationship between climate change and genetic variation can be examined is significant. By integrating phenological trait variation of 400 </w:t>
      </w:r>
      <w:r w:rsidRPr="00C90343">
        <w:rPr>
          <w:i/>
          <w:iCs/>
          <w:color w:val="111111"/>
        </w:rPr>
        <w:t xml:space="preserve">Populus angustifolia </w:t>
      </w:r>
      <w:r w:rsidRPr="00C90343">
        <w:rPr>
          <w:color w:val="111111"/>
        </w:rPr>
        <w:t>genotypes and stacked species distribution models, our results predict a large loss of phenological trait variation across the species’ range in response to future climatic conditions and convergence among populations in phenological trait distributions irrespective of emission scenario. These results have large implications for: 1) the ability of populations to respond and persist in the face of ongoing climate change; 2) the potential of those populations to support associated species that depend upon them as food and habitat; and 3) for the potential of climate driven ecosystem disassembly.</w:t>
      </w:r>
      <w:r w:rsidRPr="00C90343">
        <w:rPr>
          <w:color w:val="000000" w:themeColor="text1"/>
        </w:rPr>
        <w:t xml:space="preserve"> To our knowledge we are the first to take this stacked distribution modeling approach to map the potential distribution of a genetically diverse functional trait on the landscape.</w:t>
      </w:r>
    </w:p>
    <w:p w14:paraId="71C35B46" w14:textId="3C641DD3" w:rsidR="00412B02" w:rsidRPr="00C90343" w:rsidRDefault="00412B02" w:rsidP="00C90343">
      <w:pPr>
        <w:spacing w:line="360" w:lineRule="auto"/>
        <w:ind w:firstLine="720"/>
        <w:jc w:val="both"/>
        <w:rPr>
          <w:color w:val="111111"/>
        </w:rPr>
      </w:pPr>
      <w:r w:rsidRPr="00C90343">
        <w:rPr>
          <w:color w:val="111111"/>
        </w:rPr>
        <w:t xml:space="preserve">Species can </w:t>
      </w:r>
      <w:r w:rsidR="00E24ED3">
        <w:rPr>
          <w:color w:val="111111"/>
        </w:rPr>
        <w:t>go extinct</w:t>
      </w:r>
      <w:r w:rsidRPr="00C90343">
        <w:rPr>
          <w:color w:val="111111"/>
        </w:rPr>
        <w:t xml:space="preserve">, </w:t>
      </w:r>
      <w:r w:rsidR="00E24ED3">
        <w:rPr>
          <w:color w:val="111111"/>
        </w:rPr>
        <w:t>shift their distribution</w:t>
      </w:r>
      <w:r w:rsidRPr="00C90343">
        <w:rPr>
          <w:color w:val="111111"/>
        </w:rPr>
        <w:t>, adapt, or acclimate in response to a changing climate. All potential responses depend upon trait variation</w:t>
      </w:r>
      <w:r w:rsidRPr="00C90343">
        <w:rPr>
          <w:color w:val="111111"/>
        </w:rPr>
        <w:fldChar w:fldCharType="begin"/>
      </w:r>
      <w:r w:rsidRPr="00C90343">
        <w:rPr>
          <w:color w:val="111111"/>
        </w:rPr>
        <w:instrText xml:space="preserve"> ADDIN ZOTERO_ITEM CSL_CITATION {"citationID":"TEa4QNXG","properties":{"formattedCitation":"\\super 59\\nosupersub{}","plainCitation":"59","noteIndex":0},"citationItems":[{"id":189,"uris":["http://zotero.org/users/8506331/items/2W95MP4N"],"uri":["http://zotero.org/users/8506331/items/2W95MP4N"],"itemData":{"id":189,"type":"book","event-place":"Princeton, NJ","publisher":"Princeton University Press","publisher-place":"Princeton, NJ","title":"Geographic Variation, Speciation, and Clines","author":[{"literal":"John A. Endler"}],"issued":{"date-parts":[["1977"]]}}}],"schema":"https://github.com/citation-style-language/schema/raw/master/csl-citation.json"} </w:instrText>
      </w:r>
      <w:r w:rsidRPr="00C90343">
        <w:rPr>
          <w:color w:val="111111"/>
        </w:rPr>
        <w:fldChar w:fldCharType="separate"/>
      </w:r>
      <w:r w:rsidRPr="00C90343">
        <w:rPr>
          <w:color w:val="000000"/>
          <w:vertAlign w:val="superscript"/>
        </w:rPr>
        <w:t>5</w:t>
      </w:r>
      <w:r w:rsidR="004077F8">
        <w:rPr>
          <w:color w:val="000000"/>
          <w:vertAlign w:val="superscript"/>
        </w:rPr>
        <w:t>8</w:t>
      </w:r>
      <w:r w:rsidRPr="00C90343">
        <w:rPr>
          <w:color w:val="111111"/>
        </w:rPr>
        <w:fldChar w:fldCharType="end"/>
      </w:r>
      <w:r w:rsidRPr="00C90343">
        <w:rPr>
          <w:color w:val="111111"/>
        </w:rPr>
        <w:t>, yet most research on trait responses to climate change focus on shifts to mean trait values</w:t>
      </w:r>
      <w:r w:rsidR="004077F8" w:rsidRPr="004077F8">
        <w:rPr>
          <w:color w:val="111111"/>
          <w:vertAlign w:val="superscript"/>
        </w:rPr>
        <w:t>59</w:t>
      </w:r>
      <w:r w:rsidRPr="00C90343">
        <w:rPr>
          <w:color w:val="111111"/>
        </w:rPr>
        <w:t>. While shifts among population mean trait values are important indicators of evolution on the landscape, they provide very little information or context into how those populations may respond to selective pressures exerted by changing climates in the future. Previous work in this system demonstrates that broad-sense heritability in bud break phenology decreases (less genetic trait variation) across a gradient of increasing temperature</w:t>
      </w:r>
      <w:r w:rsidRPr="00C90343">
        <w:rPr>
          <w:color w:val="111111"/>
        </w:rPr>
        <w:fldChar w:fldCharType="begin"/>
      </w:r>
      <w:r w:rsidRPr="00C90343">
        <w:rPr>
          <w:color w:val="111111"/>
        </w:rPr>
        <w:instrText xml:space="preserve"> ADDIN ZOTERO_ITEM CSL_CITATION {"citationID":"GWCHzM75","properties":{"formattedCitation":"\\super 32\\nosupersub{}","plainCitation":"32","noteIndex":0},"citationItems":[{"id":91,"uris":["http://zotero.org/users/8506331/items/F54B98KE"],"uri":["http://zotero.org/users/8506331/items/F54B98KE"],"itemData":{"id":91,"type":"article-journal","abstract":"We examined the hypothesis that climate-driven evolution of plant traits will influence associated soil microbiomes and ecosystem function across the landscape. Using a foundation tree species, Populus angustifolia, observational and common garden approaches, and a base population genetic collection that spans 17 river systems in the western United States, from AZ to MT, we show that (a) as mean annual temperature (MAT) increases, genetic and phenotypic variation for bud break phenology decline; (b) soil microbiomes, soil nitrogen (N), and soil carbon (C) vary in response to MAT and conditioning by trees; and (c) with losses of genetic variation due to warming, population-level regulation of community and ecosystem functions strengthen. These results demonstrate a relationship between the potential evolutionary response of populations and subsequent shifts in ecosystem function along a large temperature gradient.","container-title":"Global Change Biology","DOI":"10.1111/gcb.14553","ISSN":"1365-2486","issue":"4","language":"en","note":"_eprint: https://onlinelibrary.wiley.com/doi/pdf/10.1111/gcb.14553","page":"1514-1528","source":"Wiley Online Library","title":"Climate-driven reduction of genetic variation in plant phenology alters soil communities and nutrient pools","volume":"25","author":[{"family":"Ware","given":"Ian M."},{"family":"Van Nuland","given":"Michael E."},{"family":"Schweitzer","given":"Jennifer A."},{"family":"Yang","given":"Zamin"},{"family":"Schadt","given":"Christopher W."},{"family":"Sidak-Loftis","given":"Lindsay C."},{"family":"Stone","given":"Nathan E."},{"family":"Busch","given":"Joseph D."},{"family":"Wagner","given":"David M."},{"family":"Bailey","given":"Joseph K."}],"issued":{"date-parts":[["2019"]]}}}],"schema":"https://github.com/citation-style-language/schema/raw/master/csl-citation.json"} </w:instrText>
      </w:r>
      <w:r w:rsidRPr="00C90343">
        <w:rPr>
          <w:color w:val="111111"/>
        </w:rPr>
        <w:fldChar w:fldCharType="separate"/>
      </w:r>
      <w:r w:rsidRPr="00C90343">
        <w:rPr>
          <w:color w:val="000000"/>
          <w:vertAlign w:val="superscript"/>
        </w:rPr>
        <w:t>32</w:t>
      </w:r>
      <w:r w:rsidRPr="00C90343">
        <w:rPr>
          <w:color w:val="111111"/>
        </w:rPr>
        <w:fldChar w:fldCharType="end"/>
      </w:r>
      <w:r w:rsidRPr="00C90343">
        <w:rPr>
          <w:color w:val="111111"/>
        </w:rPr>
        <w:t xml:space="preserve">. Overall, our models predict a net loss of genetic variation across all </w:t>
      </w:r>
      <w:r w:rsidRPr="00C90343">
        <w:rPr>
          <w:i/>
          <w:iCs/>
          <w:color w:val="111111"/>
        </w:rPr>
        <w:t>P. angustifolia</w:t>
      </w:r>
      <w:r w:rsidRPr="00C90343">
        <w:rPr>
          <w:color w:val="111111"/>
        </w:rPr>
        <w:t xml:space="preserve"> riparian forest populations in the western US</w:t>
      </w:r>
      <w:r w:rsidR="00E24ED3">
        <w:rPr>
          <w:color w:val="111111"/>
        </w:rPr>
        <w:t xml:space="preserve"> if these mature adult trees do not survive</w:t>
      </w:r>
      <w:r w:rsidRPr="00C90343">
        <w:rPr>
          <w:color w:val="111111"/>
        </w:rPr>
        <w:t xml:space="preserve">. The loss of genetic variation occurs irrespective of emission scenario and could be seen as soon as 2055. Losses of genetic </w:t>
      </w:r>
      <w:r w:rsidR="00E24ED3">
        <w:rPr>
          <w:color w:val="111111"/>
        </w:rPr>
        <w:t xml:space="preserve">trait </w:t>
      </w:r>
      <w:r w:rsidRPr="00C90343">
        <w:rPr>
          <w:color w:val="111111"/>
        </w:rPr>
        <w:t>variation will be greatest in the trailing edge (low latitude) population – occurring on up to 47% of the landscape (Fig</w:t>
      </w:r>
      <w:r w:rsidR="00CD2B89" w:rsidRPr="00C90343">
        <w:rPr>
          <w:color w:val="111111"/>
        </w:rPr>
        <w:t xml:space="preserve">ure </w:t>
      </w:r>
      <w:r w:rsidR="00F201AC" w:rsidRPr="00C90343">
        <w:rPr>
          <w:color w:val="111111"/>
        </w:rPr>
        <w:t>9</w:t>
      </w:r>
      <w:r w:rsidRPr="00C90343">
        <w:rPr>
          <w:color w:val="111111"/>
        </w:rPr>
        <w:t>d). In general, though trailing edge populations tend to have low diversity, they also tend to be regionally diverse due to isolation and/or strong local adaptation</w:t>
      </w:r>
      <w:r w:rsidRPr="00C90343">
        <w:rPr>
          <w:color w:val="111111"/>
        </w:rPr>
        <w:fldChar w:fldCharType="begin"/>
      </w:r>
      <w:r w:rsidRPr="00C90343">
        <w:rPr>
          <w:color w:val="111111"/>
        </w:rPr>
        <w:instrText xml:space="preserve"> ADDIN ZOTERO_ITEM CSL_CITATION {"citationID":"jbBROYOe","properties":{"formattedCitation":"\\super 22\\nosupersub{}","plainCitation":"22","noteIndex":0},"citationItems":[{"id":62,"uris":["http://zotero.org/users/8506331/items/QSAH6DHQ"],"uri":["http://zotero.org/users/8506331/items/QSAH6DHQ"],"itemData":{"id":62,"type":"article-journal","abstract":"Modern climate change is producing poleward range shifts of numerous taxa, communities and ecosystems worldwide. The response of species to changing environments is likely to be determined largely by population responses at range margins. In contrast to the expanding edge, the low-latitude limit (rear edge) of species ranges remains understudied, and the critical importance of rear edge populations as long-term stores of species’ genetic diversity and foci of speciation has been little acknowledged. We review recent findings from the fossil record, phylogeography and ecology to illustrate that rear edge populations are often disproportionately important for the survival and evolution of biota. Their ecological features, dynamics and conservation requirements differ from those of populations in other parts of the range, and some commonly recommended conservation practices might therefore be of little use or even counterproductive for rear edge populations.","container-title":"Ecology Letters","DOI":"10.1111/j.1461-0248.2005.00739.x","ISSN":"1461-0248","issue":"5","language":"en","note":"_eprint: https://onlinelibrary.wiley.com/doi/pdf/10.1111/j.1461-0248.2005.00739.x","page":"461-467","source":"Wiley Online Library","title":"Conserving biodiversity under climate change: the rear edge matters","title-short":"Conserving biodiversity under climate change","volume":"8","author":[{"family":"Hampe","given":"Arndt"},{"family":"Petit","given":"Rémy J."}],"issued":{"date-parts":[["2005"]]}}}],"schema":"https://github.com/citation-style-language/schema/raw/master/csl-citation.json"} </w:instrText>
      </w:r>
      <w:r w:rsidRPr="00C90343">
        <w:rPr>
          <w:color w:val="111111"/>
        </w:rPr>
        <w:fldChar w:fldCharType="separate"/>
      </w:r>
      <w:r w:rsidRPr="00C90343">
        <w:rPr>
          <w:color w:val="000000"/>
          <w:vertAlign w:val="superscript"/>
        </w:rPr>
        <w:t>22</w:t>
      </w:r>
      <w:r w:rsidRPr="00C90343">
        <w:rPr>
          <w:color w:val="111111"/>
        </w:rPr>
        <w:fldChar w:fldCharType="end"/>
      </w:r>
      <w:r w:rsidRPr="00C90343">
        <w:rPr>
          <w:color w:val="111111"/>
        </w:rPr>
        <w:t xml:space="preserve">. Furthermore, our models </w:t>
      </w:r>
      <w:r w:rsidRPr="00C90343">
        <w:t xml:space="preserve">predict that traits distributions will homogenize </w:t>
      </w:r>
      <w:r w:rsidRPr="00C90343">
        <w:lastRenderedPageBreak/>
        <w:t>between the three populations over time (Fig</w:t>
      </w:r>
      <w:r w:rsidR="00CD2B89" w:rsidRPr="00C90343">
        <w:t>ure</w:t>
      </w:r>
      <w:r w:rsidRPr="00C90343">
        <w:t xml:space="preserve"> </w:t>
      </w:r>
      <w:r w:rsidR="00F201AC" w:rsidRPr="00C90343">
        <w:t>11</w:t>
      </w:r>
      <w:r w:rsidRPr="00C90343">
        <w:t>; Fig</w:t>
      </w:r>
      <w:r w:rsidR="00CD2B89" w:rsidRPr="00C90343">
        <w:t>ure</w:t>
      </w:r>
      <w:r w:rsidRPr="00C90343">
        <w:t xml:space="preserve"> </w:t>
      </w:r>
      <w:r w:rsidR="00F201AC" w:rsidRPr="00C90343">
        <w:t>12</w:t>
      </w:r>
      <w:r w:rsidRPr="00C90343">
        <w:t>), a result that has been empirically demonstrated across elevation for four European temperate trees</w:t>
      </w:r>
      <w:r w:rsidRPr="00C90343">
        <w:fldChar w:fldCharType="begin"/>
      </w:r>
      <w:r w:rsidRPr="00C90343">
        <w:instrText xml:space="preserve"> ADDIN ZOTERO_ITEM CSL_CITATION {"citationID":"AdNZZgs3","properties":{"formattedCitation":"\\super 28\\nosupersub{}","plainCitation":"28","noteIndex":0},"citationItems":[{"id":80,"uris":["http://zotero.org/users/8506331/items/ECIG8CKI"],"uri":["http://zotero.org/users/8506331/items/ECIG8CKI"],"itemData":{"id":80,"type":"article-journal","abstract":"One hundred years ago, Andrew D. Hopkins estimated the progressive delay in tree leaf-out with increasing latitude, longitude, and elevation, referred to as “Hopkins’ bioclimatic law.” What if global warming is altering this well-known law? Here, based on </w:instrText>
      </w:r>
      <w:r w:rsidRPr="00C90343">
        <w:rPr>
          <w:rFonts w:ascii="Cambria Math" w:hAnsi="Cambria Math" w:cs="Cambria Math"/>
        </w:rPr>
        <w:instrText>∼</w:instrText>
      </w:r>
      <w:r w:rsidRPr="00C90343">
        <w:instrText>20,000 observations of the leaf-out date of four common temperate tree species located in 128 sites at various elevations in the European Alps, we found that the elevation-induced phenological shift (EPS) has significantly declined from 34 d</w:instrText>
      </w:r>
      <w:r w:rsidRPr="00C90343">
        <w:rPr>
          <w:rFonts w:ascii="Cambria Math" w:hAnsi="Cambria Math" w:cs="Cambria Math"/>
        </w:rPr>
        <w:instrText>⋅</w:instrText>
      </w:r>
      <w:r w:rsidRPr="00C90343">
        <w:instrText>1,000 m\n              −1\n              conforming to Hopkins’ bioclimatic law in 1960, to 22 d</w:instrText>
      </w:r>
      <w:r w:rsidRPr="00C90343">
        <w:rPr>
          <w:rFonts w:ascii="Cambria Math" w:hAnsi="Cambria Math" w:cs="Cambria Math"/>
        </w:rPr>
        <w:instrText>⋅</w:instrText>
      </w:r>
      <w:r w:rsidRPr="00C90343">
        <w:instrText xml:space="preserve">1,000 m\n              −1\n              in 2016, i.e., −35%. The stronger phenological advance at higher elevations, responsible for the reduction in EPS, is most likely to be connected to stronger warming during late spring as well as to warmer winter temperatures. Indeed, under similar spring temperatures, we found that the EPS was substantially reduced in years when the previous winter was warmer. Our results provide empirical evidence for a declining EPS over the last six decades. Future climate warming may further reduce the EPS with consequences for the structure and function of mountain forest ecosystems, in particular through changes in plant–animal interactions, but the actual impact of such ongoing change is today largely unknown.","container-title":"Proceedings of the National Academy of Sciences","DOI":"10.1073/pnas.1717342115","ISSN":"0027-8424, 1091-6490","issue":"5","journalAbbreviation":"Proc Natl Acad Sci USA","language":"en","page":"1004-1008","source":"DOI.org (Crossref)","title":"Global warming leads to more uniform spring phenology across elevations","volume":"115","author":[{"family":"Vitasse","given":"Yann"},{"family":"Signarbieux","given":"Constant"},{"family":"Fu","given":"Yongshuo H."}],"issued":{"date-parts":[["2018",1,30]]}}}],"schema":"https://github.com/citation-style-language/schema/raw/master/csl-citation.json"} </w:instrText>
      </w:r>
      <w:r w:rsidRPr="00C90343">
        <w:fldChar w:fldCharType="separate"/>
      </w:r>
      <w:r w:rsidRPr="00C90343">
        <w:rPr>
          <w:vertAlign w:val="superscript"/>
        </w:rPr>
        <w:t>28</w:t>
      </w:r>
      <w:r w:rsidRPr="00C90343">
        <w:fldChar w:fldCharType="end"/>
      </w:r>
      <w:r w:rsidRPr="00C90343">
        <w:t>. The convergence of all populations on a similar functional trait distribution is concerning as it suggests that the ability of individual populations to respond uniquely to climatic changes may be constrained in future climate scenarios. Importantly, the predictions made from these models occur regardless of relative concentration pathways (4.5 and 8.5), year (2050s and 2080s) and AOGCMs, suggesting that regardless of climate scenario, the changes are predicted to occur by mid-century.</w:t>
      </w:r>
    </w:p>
    <w:p w14:paraId="6E91703B" w14:textId="55D8F569" w:rsidR="00412B02" w:rsidRPr="00C90343" w:rsidRDefault="00412B02" w:rsidP="00C90343">
      <w:pPr>
        <w:spacing w:line="360" w:lineRule="auto"/>
        <w:ind w:firstLine="720"/>
        <w:jc w:val="both"/>
        <w:rPr>
          <w:color w:val="111111"/>
        </w:rPr>
      </w:pPr>
      <w:r w:rsidRPr="00C90343">
        <w:rPr>
          <w:color w:val="111111"/>
        </w:rPr>
        <w:t xml:space="preserve">It is increasingly clear that genetic variation in functional traits is critical in mediating patterns in biodiversity and ecosystem functions </w:t>
      </w:r>
      <w:r w:rsidRPr="00C90343">
        <w:rPr>
          <w:color w:val="111111"/>
        </w:rPr>
        <w:fldChar w:fldCharType="begin"/>
      </w:r>
      <w:r w:rsidRPr="00C90343">
        <w:rPr>
          <w:color w:val="111111"/>
        </w:rPr>
        <w:instrText xml:space="preserve"> ADDIN ZOTERO_ITEM CSL_CITATION {"citationID":"gb8kyoKZ","properties":{"formattedCitation":"\\super 7,8,61\\nosupersub{}","plainCitation":"7,8,61","noteIndex":0},"citationItems":[{"id":19,"uris":["http://zotero.org/users/8506331/items/WD6B24H3"],"uri":["http://zotero.org/users/8506331/items/WD6B24H3"],"itemData":{"id":19,"type":"article-journal","abstract":"Can heritable traits in a single species affect an entire ecosystem? Recent studies show that such traits in a common tree have predictable effects on community structure and ecosystem processes. Because these ‘community and ecosystem phenotypes’ have a genetic basis and are heritable, we can begin to apply the principles of population and quantitative genetics to place the study of complex communities and ecosystems within an evolutionary framework. This framework could allow us to understand, for the first time, the genetic basis of ecosystem processes, and the effect of such phenomena as climate change and introduced transgenic organisms on entire communities.","container-title":"Nature Reviews Genetics","DOI":"10.1038/nrg1877","ISSN":"1471-0056, 1471-0064","issue":"7","journalAbbreviation":"Nat Rev Genet","language":"en","page":"510-523","source":"DOI.org (Crossref)","title":"A framework for community and ecosystem genetics: from genes to ecosystems","title-short":"A framework for community and ecosystem genetics","volume":"7","author":[{"family":"Whitham","given":"Thomas G."},{"family":"Bailey","given":"Joseph K."},{"family":"Schweitzer","given":"Jennifer A."},{"family":"Shuster","given":"Stephen M."},{"family":"Bangert","given":"Randy K."},{"family":"LeRoy","given":"Carri J."},{"family":"Lonsdorf","given":"Eric V."},{"family":"Allan","given":"Gery J."},{"family":"DiFazio","given":"Stephen P."},{"family":"Potts","given":"Brad M."},{"family":"Fischer","given":"Dylan G."},{"family":"Gehring","given":"Catherine A."},{"family":"Lindroth","given":"Richard L."},{"family":"Marks","given":"Jane C."},{"family":"Hart","given":"Stephen C."},{"family":"Wimp","given":"Gina M."},{"family":"Wooley","given":"Stuart C."}],"issued":{"date-parts":[["2006",7]]}}},{"id":24,"uris":["http://zotero.org/users/8506331/items/TKM9TU8I"],"uri":["http://zotero.org/users/8506331/items/TKM9TU8I"],"itemData":{"id":24,"type":"article-journal","abstract":"Understanding the ecological consequences of biodiversity is a fundamental challenge. Research on a key component of biodiversity, genetic diversity, has traditionally focused on its importance in evolutionary processes, but classical studies in evolutionary biology, agronomy and conservation biology indicate that genetic diversity might also have important ecological effects. Our review of the literature reveals significant effects of genetic diversity on ecological processes such as primary productivity, population recovery from disturbance, interspecific competition, community structure, and fluxes of energy and nutrients. Thus, genetic diversity can have important ecological consequences at the population, community and ecosystem levels, and in some cases the effects are comparable in magnitude to the effects of species diversity. However, it is not clear how widely these results apply in nature, as studies to date have been biased towards manipulations of plant clonal diversity, and little is known about the relative importance of genetic diversity vs. other factors that influence ecological processes of interest. Future studies should focus not only on documenting the presence of genetic diversity effects but also on identifying underlying mechanisms and predicting when such effects are likely to occur in nature.","container-title":"Ecology letters","DOI":"10.1111/j.1461-0248.2008.01179.x","journalAbbreviation":"Ecology letters","page":"609-23","source":"ResearchGate","title":"Ecological consequences of genetic diversity","volume":"11","author":[{"family":"Hughes","given":"Anne"},{"family":"Inouye","given":"Brian"},{"family":"Johnson","given":"Marc"},{"family":"Underwood","given":"Nora"},{"family":"Vellend","given":"Mark"}],"issued":{"date-parts":[["2008",7,1]]}}},{"id":192,"uris":["http://zotero.org/users/8506331/items/7XNANB2K"],"uri":["http://zotero.org/users/8506331/items/7XNANB2K"],"itemData":{"id":192,"type":"article-journal","abstract":"Human activity is causing wild populations to experience rapid trait change and local extirpation. The resulting effects on intraspecific variation could have substantial consequences for ecological processes and ecosystem services. Although researchers have long acknowledged that variation among species influences the surrounding environment, only recently has evidence accumulated for the ecological importance of variation within species. We conducted a meta-analysis comparing the ecological effects of variation within a species (intraspecific effects) with the effects of replacement or removal of that species (species effects). We evaluated direct and indirect ecological responses, including changes in abundance (or biomass), rates of ecological processes and changes in community composition. Our results show that intraspecific effects are often comparable to, and sometimes stronger than, species effects. Species effects tend to be larger for direct ecological responses (for example, through consumption), whereas intraspecific effects and species effects tend to be similar for indirect responses (for example, through trophic cascades). Intraspecific effects are especially strong when indirect interactions alter community composition. Our results summarize data from the first generation of studies examining the relative ecological effects of intraspecific variation. Our conclusions can help inform the design of future experiments and the formulation of strategies to quantify and conserve biodiversity.","container-title":"Nature Ecology &amp; Evolution","DOI":"10.1038/s41559-017-0402-5","ISSN":"2397-334X","issue":"1","journalAbbreviation":"Nat Ecol Evol","language":"en","note":"Bandiera_abtest: a\nCg_type: Nature Research Journals\nnumber: 1\nPrimary_atype: Research\npublisher: Nature Publishing Group\nSubject_term: Biodiversity;Evolution;Evolutionary ecology\nSubject_term_id: biodiversity;evolution;evolutionary-ecology","page":"57-64","source":"www-nature-com.utk.idm.oclc.org","title":"The ecological importance of intraspecific variation","volume":"2","author":[{"family":"Des Roches","given":"Simone"},{"family":"Post","given":"David M."},{"family":"Turley","given":"Nash E."},{"family":"Bailey","given":"Joseph K."},{"family":"Hendry","given":"Andrew P."},{"family":"Kinnison","given":"Michael T."},{"family":"Schweitzer","given":"Jennifer A."},{"family":"Palkovacs","given":"Eric P."}],"issued":{"date-parts":[["2018",1]]}}}],"schema":"https://github.com/citation-style-language/schema/raw/master/csl-citation.json"} </w:instrText>
      </w:r>
      <w:r w:rsidRPr="00C90343">
        <w:rPr>
          <w:color w:val="111111"/>
        </w:rPr>
        <w:fldChar w:fldCharType="separate"/>
      </w:r>
      <w:r w:rsidRPr="00C90343">
        <w:rPr>
          <w:color w:val="000000"/>
          <w:vertAlign w:val="superscript"/>
        </w:rPr>
        <w:t>7,8,6</w:t>
      </w:r>
      <w:r w:rsidR="004077F8">
        <w:rPr>
          <w:color w:val="000000"/>
          <w:vertAlign w:val="superscript"/>
        </w:rPr>
        <w:t>0</w:t>
      </w:r>
      <w:r w:rsidRPr="00C90343">
        <w:rPr>
          <w:color w:val="111111"/>
        </w:rPr>
        <w:fldChar w:fldCharType="end"/>
      </w:r>
      <w:r w:rsidRPr="00C90343">
        <w:rPr>
          <w:color w:val="111111"/>
        </w:rPr>
        <w:t xml:space="preserve">. This is especially true for dominant species like </w:t>
      </w:r>
      <w:r w:rsidRPr="00C90343">
        <w:rPr>
          <w:i/>
          <w:iCs/>
          <w:color w:val="111111"/>
        </w:rPr>
        <w:t>P. angustifolia</w:t>
      </w:r>
      <w:r w:rsidRPr="00C90343">
        <w:rPr>
          <w:color w:val="111111"/>
        </w:rPr>
        <w:t xml:space="preserve"> whose </w:t>
      </w:r>
      <w:r w:rsidR="00E24ED3">
        <w:rPr>
          <w:color w:val="111111"/>
        </w:rPr>
        <w:t>genetic diversity</w:t>
      </w:r>
      <w:r w:rsidRPr="00C90343">
        <w:rPr>
          <w:color w:val="111111"/>
        </w:rPr>
        <w:t xml:space="preserve"> </w:t>
      </w:r>
      <w:r w:rsidR="00E24ED3">
        <w:rPr>
          <w:color w:val="111111"/>
        </w:rPr>
        <w:t>has</w:t>
      </w:r>
      <w:r w:rsidRPr="00C90343">
        <w:rPr>
          <w:color w:val="111111"/>
        </w:rPr>
        <w:t xml:space="preserve"> been shown to have wide-ranging, landscape-scale effects on the land-atmosphere and plant-soil linkage and feedback affecting carbon and nitrogen cycles</w:t>
      </w:r>
      <w:r w:rsidRPr="00C90343">
        <w:rPr>
          <w:color w:val="111111"/>
        </w:rPr>
        <w:fldChar w:fldCharType="begin"/>
      </w:r>
      <w:r w:rsidRPr="00C90343">
        <w:rPr>
          <w:color w:val="111111"/>
        </w:rPr>
        <w:instrText xml:space="preserve"> ADDIN ZOTERO_ITEM CSL_CITATION {"citationID":"SSyFYAss","properties":{"formattedCitation":"\\super 7,32,62\\nosupersub{}","plainCitation":"7,32,62","noteIndex":0},"citationItems":[{"id":19,"uris":["http://zotero.org/users/8506331/items/WD6B24H3"],"uri":["http://zotero.org/users/8506331/items/WD6B24H3"],"itemData":{"id":19,"type":"article-journal","abstract":"Can heritable traits in a single species affect an entire ecosystem? Recent studies show that such traits in a common tree have predictable effects on community structure and ecosystem processes. Because these ‘community and ecosystem phenotypes’ have a genetic basis and are heritable, we can begin to apply the principles of population and quantitative genetics to place the study of complex communities and ecosystems within an evolutionary framework. This framework could allow us to understand, for the first time, the genetic basis of ecosystem processes, and the effect of such phenomena as climate change and introduced transgenic organisms on entire communities.","container-title":"Nature Reviews Genetics","DOI":"10.1038/nrg1877","ISSN":"1471-0056, 1471-0064","issue":"7","journalAbbreviation":"Nat Rev Genet","language":"en","page":"510-523","source":"DOI.org (Crossref)","title":"A framework for community and ecosystem genetics: from genes to ecosystems","title-short":"A framework for community and ecosystem genetics","volume":"7","author":[{"family":"Whitham","given":"Thomas G."},{"family":"Bailey","given":"Joseph K."},{"family":"Schweitzer","given":"Jennifer A."},{"family":"Shuster","given":"Stephen M."},{"family":"Bangert","given":"Randy K."},{"family":"LeRoy","given":"Carri J."},{"family":"Lonsdorf","given":"Eric V."},{"family":"Allan","given":"Gery J."},{"family":"DiFazio","given":"Stephen P."},{"family":"Potts","given":"Brad M."},{"family":"Fischer","given":"Dylan G."},{"family":"Gehring","given":"Catherine A."},{"family":"Lindroth","given":"Richard L."},{"family":"Marks","given":"Jane C."},{"family":"Hart","given":"Stephen C."},{"family":"Wimp","given":"Gina M."},{"family":"Wooley","given":"Stuart C."}],"issued":{"date-parts":[["2006",7]]}}},{"id":91,"uris":["http://zotero.org/users/8506331/items/F54B98KE"],"uri":["http://zotero.org/users/8506331/items/F54B98KE"],"itemData":{"id":91,"type":"article-journal","abstract":"We examined the hypothesis that climate-driven evolution of plant traits will influence associated soil microbiomes and ecosystem function across the landscape. Using a foundation tree species, Populus angustifolia, observational and common garden approaches, and a base population genetic collection that spans 17 river systems in the western United States, from AZ to MT, we show that (a) as mean annual temperature (MAT) increases, genetic and phenotypic variation for bud break phenology decline; (b) soil microbiomes, soil nitrogen (N), and soil carbon (C) vary in response to MAT and conditioning by trees; and (c) with losses of genetic variation due to warming, population-level regulation of community and ecosystem functions strengthen. These results demonstrate a relationship between the potential evolutionary response of populations and subsequent shifts in ecosystem function along a large temperature gradient.","container-title":"Global Change Biology","DOI":"10.1111/gcb.14553","ISSN":"1365-2486","issue":"4","language":"en","note":"_eprint: https://onlinelibrary.wiley.com/doi/pdf/10.1111/gcb.14553","page":"1514-1528","source":"Wiley Online Library","title":"Climate-driven reduction of genetic variation in plant phenology alters soil communities and nutrient pools","volume":"25","author":[{"family":"Ware","given":"Ian M."},{"family":"Van Nuland","given":"Michael E."},{"family":"Schweitzer","given":"Jennifer A."},{"family":"Yang","given":"Zamin"},{"family":"Schadt","given":"Christopher W."},{"family":"Sidak-Loftis","given":"Lindsay C."},{"family":"Stone","given":"Nathan E."},{"family":"Busch","given":"Joseph D."},{"family":"Wagner","given":"David M."},{"family":"Bailey","given":"Joseph K."}],"issued":{"date-parts":[["2019"]]}}},{"id":199,"uris":["http://zotero.org/users/8506331/items/TMQHI2PV"],"uri":["http://zotero.org/users/8506331/items/TMQHI2PV"],"itemData":{"id":199,"type":"article-journal","container-title":"Nature Ecology &amp; Evolution","DOI":"10.1038/s41559-017-0150","ISSN":"2397-334X","issue":"6","journalAbbreviation":"Nat Ecol Evol","language":"en","page":"0150","source":"DOI.org (Crossref)","title":"Divergent plant–soil feedbacks could alter future elevation ranges and ecosystem dynamics","volume":"1","author":[{"family":"Van Nuland","given":"Michael E."},{"family":"Bailey","given":"Joseph K."},{"family":"Schweitzer","given":"Jennifer A."}],"issued":{"date-parts":[["2017",6]]}}}],"schema":"https://github.com/citation-style-language/schema/raw/master/csl-citation.json"} </w:instrText>
      </w:r>
      <w:r w:rsidRPr="00C90343">
        <w:rPr>
          <w:color w:val="111111"/>
        </w:rPr>
        <w:fldChar w:fldCharType="separate"/>
      </w:r>
      <w:r w:rsidRPr="00C90343">
        <w:rPr>
          <w:color w:val="000000"/>
          <w:vertAlign w:val="superscript"/>
        </w:rPr>
        <w:t>7,32,62</w:t>
      </w:r>
      <w:r w:rsidRPr="00C90343">
        <w:rPr>
          <w:color w:val="111111"/>
        </w:rPr>
        <w:fldChar w:fldCharType="end"/>
      </w:r>
      <w:r w:rsidRPr="00C90343">
        <w:rPr>
          <w:color w:val="111111"/>
        </w:rPr>
        <w:t>. Changes to plant phenology can affect growing season length, and thus biomass production and carbon cycling</w:t>
      </w:r>
      <w:r w:rsidRPr="00C90343">
        <w:rPr>
          <w:color w:val="111111"/>
        </w:rPr>
        <w:fldChar w:fldCharType="begin"/>
      </w:r>
      <w:r w:rsidRPr="00C90343">
        <w:rPr>
          <w:color w:val="111111"/>
        </w:rPr>
        <w:instrText xml:space="preserve"> ADDIN ZOTERO_ITEM CSL_CITATION {"citationID":"bz2GKfsE","properties":{"formattedCitation":"\\super 32,63,64\\nosupersub{}","plainCitation":"32,63,64","noteIndex":0},"citationItems":[{"id":91,"uris":["http://zotero.org/users/8506331/items/F54B98KE"],"uri":["http://zotero.org/users/8506331/items/F54B98KE"],"itemData":{"id":91,"type":"article-journal","abstract":"We examined the hypothesis that climate-driven evolution of plant traits will influence associated soil microbiomes and ecosystem function across the landscape. Using a foundation tree species, Populus angustifolia, observational and common garden approaches, and a base population genetic collection that spans 17 river systems in the western United States, from AZ to MT, we show that (a) as mean annual temperature (MAT) increases, genetic and phenotypic variation for bud break phenology decline; (b) soil microbiomes, soil nitrogen (N), and soil carbon (C) vary in response to MAT and conditioning by trees; and (c) with losses of genetic variation due to warming, population-level regulation of community and ecosystem functions strengthen. These results demonstrate a relationship between the potential evolutionary response of populations and subsequent shifts in ecosystem function along a large temperature gradient.","container-title":"Global Change Biology","DOI":"10.1111/gcb.14553","ISSN":"1365-2486","issue":"4","language":"en","note":"_eprint: https://onlinelibrary.wiley.com/doi/pdf/10.1111/gcb.14553","page":"1514-1528","source":"Wiley Online Library","title":"Climate-driven reduction of genetic variation in plant phenology alters soil communities and nutrient pools","volume":"25","author":[{"family":"Ware","given":"Ian M."},{"family":"Van Nuland","given":"Michael E."},{"family":"Schweitzer","given":"Jennifer A."},{"family":"Yang","given":"Zamin"},{"family":"Schadt","given":"Christopher W."},{"family":"Sidak-Loftis","given":"Lindsay C."},{"family":"Stone","given":"Nathan E."},{"family":"Busch","given":"Joseph D."},{"family":"Wagner","given":"David M."},{"family":"Bailey","given":"Joseph K."}],"issued":{"date-parts":[["2019"]]}}},{"id":148,"uris":["http://zotero.org/users/8506331/items/SK3FPH9K"],"uri":["http://zotero.org/users/8506331/items/SK3FPH9K"],"itemData":{"id":148,"type":"article-journal","abstract":"We use eddy covariance measurements of net ecosystem productivity (NEP) from 21 FLUXNET sites (153 site-years of data) to investigate relationships between phenology and productivity (in terms of both NEP and gross ecosystem photosynthesis, GEP) in temperate and boreal forests. Results are used to evaluate the plausibility of four different conceptual models. Phenological indicators were derived from the eddy covariance time series, and from remote sensing and models. We examine spatial patterns (across sites) and temporal patterns (across years); an important conclusion is that it is likely that neither of these accurately represents how productivity will respond to future phenological shifts resulting from ongoing climate change. In spring and autumn, increased GEP resulting from an ‘extra’ day tends to be offset by concurrent, but smaller, increases in ecosystem respiration, and thus the effect on NEP is still positive. Spring productivity anomalies appear to have carry-over effects that translate to productivity anomalies in the following autumn, but it is not clear that these result directly from phenological anomalies. Finally, the productivity of evergreen needleleaf forests is less sensitive to phenology than is productivity of deciduous broadleaf forests. This has implications for how climate change may drive shifts in competition within mixed-species stands.","container-title":"Philosophical Transactions of the Royal Society B: Biological Sciences","DOI":"10.1098/rstb.2010.0102","ISSN":"0962-8436","issue":"1555","journalAbbreviation":"Philos Trans R Soc Lond B Biol Sci","note":"PMID: 20819815\nPMCID: PMC2981939","page":"3227-3246","source":"PubMed Central","title":"Influence of spring and autumn phenological transitions on forest ecosystem productivity","volume":"365","author":[{"family":"Richardson","given":"Andrew D."},{"family":"Andy Black","given":"T."},{"family":"Ciais","given":"Philippe"},{"family":"Delbart","given":"Nicolas"},{"family":"Friedl","given":"Mark A."},{"family":"Gobron","given":"Nadine"},{"family":"Hollinger","given":"David Y."},{"family":"Kutsch","given":"Werner L."},{"family":"Longdoz","given":"Bernard"},{"family":"Luyssaert","given":"Sebastiaan"},{"family":"Migliavacca","given":"Mirco"},{"family":"Montagnani","given":"Leonardo"},{"family":"William Munger","given":"J."},{"family":"Moors","given":"Eddy"},{"family":"Piao","given":"Shilong"},{"family":"Rebmann","given":"Corinna"},{"family":"Reichstein","given":"Markus"},{"family":"Saigusa","given":"Nobuko"},{"family":"Tomelleri","given":"Enrico"},{"family":"Vargas","given":"Rodrigo"},{"family":"Varlagin","given":"Andrej"}],"issued":{"date-parts":[["2010",10,12]]}}},{"id":151,"uris":["http://zotero.org/users/8506331/items/945BVEIE"],"uri":["http://zotero.org/users/8506331/items/945BVEIE"],"itemData":{"id":151,"type":"article-journal","abstract":"Spring phenology is thought to exert a major influence on the carbon (C) balance of temperate and boreal ecosystems. We investigated this hypothesis using four spring onset phenological indicators in conjunction with surfaceâatmosphere CO2 exchange data from the conifer-dominated Howland Forest and deciduous-dominated Harvard Forest AmeriFlux sites. All phenological measures, including CO2 sourceâsink transition dates, could be well predicted on the basis of a simple two-parameter spring warming model, indicating good potential for improving the representation of phenological transitions and their dynamic responsiveness to climate variability in land surface models. The date at which canopy-scale photosynthetic capacity reached a threshold value of 12Â ÂµmolÂ mâ2Â sâ1 was better correlated with spring and annual flux integrals than were either deciduous or coniferous bud burst dates. For all phenological indicators, earlier spring onset consistently, but not always significantly, resulted in higher gross primary productivity (GPP) and ecosystem respiration (RE) for both seasonal (spring months, AprilâJune) and annual flux integrals. The increase in RE was less than that in GPP; depending on the phenological indicator used, a one-day advance in spring onset increased springtime net ecosystem productivity (NEP) by 2â4Â gÂ CÂ mâ2Â dayâ1. In general, we could not detect significant differences between the two forest types in response to earlier spring, although the response to earlier spring was generally more pronounced for Harvard Forest than for Howland Forest, suggesting that future climate warming may favor deciduous species over coniferous species, at least in this region. The effect of earlier spring tended to be about twice as large when annual rather than springtime flux integrals were considered. This result is suggestive of both immediate and lagged effects of earlier spring onset on ecosystem C cycling, perhaps as a result of accelerated N cycling rates and cascading effects on N uptake, foliar N concentrations and photosynthetic capacity.","container-title":"Tree Physiology","DOI":"10.1093/treephys/tpn040","ISSN":"0829318X","issue":"3","note":"publisher: Oxford University Press / USA","page":"321-321","source":"EBSCOhost","title":"Influence of spring phenology on seasonal and annual carbon balance in two contrasting New England forests","volume":"29","author":[{"literal":"Andrew D.  Richardson"},{"literal":"David Y.  Hollinger"},{"literal":"D. Bryan  Dail"},{"literal":"John T.  Lee"},{"literal":"J. William  Munger"},{"literal":"John  OÂkeefe"}],"issued":{"date-parts":[["2009",3]]}}}],"schema":"https://github.com/citation-style-language/schema/raw/master/csl-citation.json"} </w:instrText>
      </w:r>
      <w:r w:rsidRPr="00C90343">
        <w:rPr>
          <w:color w:val="111111"/>
        </w:rPr>
        <w:fldChar w:fldCharType="separate"/>
      </w:r>
      <w:r w:rsidRPr="00C90343">
        <w:rPr>
          <w:color w:val="000000"/>
          <w:vertAlign w:val="superscript"/>
        </w:rPr>
        <w:t>32,6</w:t>
      </w:r>
      <w:r w:rsidR="004077F8">
        <w:rPr>
          <w:color w:val="000000"/>
          <w:vertAlign w:val="superscript"/>
        </w:rPr>
        <w:t>1</w:t>
      </w:r>
      <w:r w:rsidRPr="00C90343">
        <w:rPr>
          <w:color w:val="000000"/>
          <w:vertAlign w:val="superscript"/>
        </w:rPr>
        <w:t>,6</w:t>
      </w:r>
      <w:r w:rsidR="004077F8">
        <w:rPr>
          <w:color w:val="000000"/>
          <w:vertAlign w:val="superscript"/>
        </w:rPr>
        <w:t>2</w:t>
      </w:r>
      <w:r w:rsidRPr="00C90343">
        <w:rPr>
          <w:color w:val="111111"/>
        </w:rPr>
        <w:fldChar w:fldCharType="end"/>
      </w:r>
      <w:r w:rsidRPr="00C90343">
        <w:rPr>
          <w:color w:val="111111"/>
        </w:rPr>
        <w:t>, evapotranspiration, stream discharge</w:t>
      </w:r>
      <w:r w:rsidRPr="00C90343">
        <w:rPr>
          <w:color w:val="111111"/>
        </w:rPr>
        <w:fldChar w:fldCharType="begin"/>
      </w:r>
      <w:r w:rsidRPr="00C90343">
        <w:rPr>
          <w:color w:val="111111"/>
        </w:rPr>
        <w:instrText xml:space="preserve"> ADDIN ZOTERO_ITEM CSL_CITATION {"citationID":"Xqcf6xmy","properties":{"formattedCitation":"\\super 65,66\\nosupersub{}","plainCitation":"65,66","noteIndex":0},"citationItems":[{"id":152,"uris":["http://zotero.org/users/8506331/items/DZWB7AH4"],"uri":["http://zotero.org/users/8506331/items/DZWB7AH4"],"itemData":{"id":152,"type":"article-journal","container-title":"Hydrological Processes","DOI":"10.1002/hyp.6925","ISSN":"1099-1085","issue":"2","language":"en","note":"_eprint: https://onlinelibrary.wiley.com/doi/pdf/10.1002/hyp.6925","page":"311-314","source":"Wiley Online Library","title":"CO2-induced suppression of transpiration cannot explain increasing runoff","volume":"22","author":[{"family":"Huntington","given":"Thomas G."}],"issued":{"date-parts":[["2008"]]}}},{"id":155,"uris":["http://zotero.org/users/8506331/items/PPBCNG6P"],"uri":["http://zotero.org/users/8506331/items/PPBCNG6P"],"itemData":{"id":155,"type":"article-journal","abstract":"The phenological response of vegetation to ongoing climate change may have great implications for hydrological regimes in the eastern United States. However, there have been few studies that analyze its resultant effect on catchment discharge dynamics, separating from dominant climatic controls. In this study, we examined the net effect of phenological variations on the long-term and interannual gross primary production (GPP) and evapotranspiration (ET) fluxes in a temperate deciduous forest, as well as on the catchment discharge behavior in a mixed deciduous-conifer forest catchment. First, we calibrated the spring and autumn leaf phenology models for the Harvard Forest in the northeastern United States, where the onsets of greenup and senescence have been significantly advanced and delayed, 10.3 and 6.0 days respectively, over the past two decades (1992–2011). We then integrated the phenology models into a mechanistic watershed ecohydrological model (RHESSys), which improved the interannual and long-term simulations of both the plot-scale daily GPP and ET fluxes and the catchment discharge dynamics. We found that the phenological changes amplified the long-term increases in GPP and ET driven by the climatic controls. In particular, the earlier greenup onsets resulted in increases in annual ET significantly, while the delayed senescence onsets had less influence. Consequently, the earlier greenup onsets reduced stream discharge not only during the growing season but also during the following dormant season due to soil water depletion. This study highlights the importance of understanding vegetation response to ongoing climate change in order to predict the future hydrological nonstationarity in this region.","container-title":"Journal of Geophysical Research: Biogeosciences","DOI":"10.1029/2018JG004438","ISSN":"2169-8961","issue":"6","language":"en","note":"_eprint: https://agupubs.onlinelibrary.wiley.com/doi/pdf/10.1029/2018JG004438","page":"1960-1975","source":"Wiley Online Library","title":"Warming-Induced Earlier Greenup Leads to Reduced Stream Discharge in a Temperate Mixed Forest Catchment","volume":"123","author":[{"family":"Kim","given":"Ji Hyun"},{"family":"Hwang","given":"Taehee"},{"family":"Yang","given":"Yun"},{"family":"Schaaf","given":"Crystal L."},{"family":"Boose","given":"Emery"},{"family":"Munger","given":"J. William"}],"issued":{"date-parts":[["2018"]]}}}],"schema":"https://github.com/citation-style-language/schema/raw/master/csl-citation.json"} </w:instrText>
      </w:r>
      <w:r w:rsidRPr="00C90343">
        <w:rPr>
          <w:color w:val="111111"/>
        </w:rPr>
        <w:fldChar w:fldCharType="separate"/>
      </w:r>
      <w:r w:rsidRPr="00C90343">
        <w:rPr>
          <w:color w:val="000000"/>
          <w:vertAlign w:val="superscript"/>
        </w:rPr>
        <w:t>6</w:t>
      </w:r>
      <w:r w:rsidR="004077F8">
        <w:rPr>
          <w:color w:val="000000"/>
          <w:vertAlign w:val="superscript"/>
        </w:rPr>
        <w:t>3</w:t>
      </w:r>
      <w:r w:rsidRPr="00C90343">
        <w:rPr>
          <w:color w:val="000000"/>
          <w:vertAlign w:val="superscript"/>
        </w:rPr>
        <w:t>,6</w:t>
      </w:r>
      <w:r w:rsidR="004077F8">
        <w:rPr>
          <w:color w:val="000000"/>
          <w:vertAlign w:val="superscript"/>
        </w:rPr>
        <w:t>4</w:t>
      </w:r>
      <w:r w:rsidRPr="00C90343">
        <w:rPr>
          <w:color w:val="111111"/>
        </w:rPr>
        <w:fldChar w:fldCharType="end"/>
      </w:r>
      <w:r w:rsidRPr="00C90343">
        <w:rPr>
          <w:color w:val="111111"/>
        </w:rPr>
        <w:t>, and resource availability for dependent organisms</w:t>
      </w:r>
      <w:r w:rsidRPr="00C90343">
        <w:rPr>
          <w:color w:val="111111"/>
        </w:rPr>
        <w:fldChar w:fldCharType="begin"/>
      </w:r>
      <w:r w:rsidRPr="00C90343">
        <w:rPr>
          <w:color w:val="111111"/>
        </w:rPr>
        <w:instrText xml:space="preserve"> ADDIN ZOTERO_ITEM CSL_CITATION {"citationID":"HZa82zq4","properties":{"formattedCitation":"\\super 29\\nosupersub{}","plainCitation":"29","noteIndex":0},"citationItems":[{"id":81,"uris":["http://zotero.org/users/8506331/items/L57PHY8D"],"uri":["http://zotero.org/users/8506331/items/L57PHY8D"],"itemData":{"id":81,"type":"article-journal","abstract":"Plant phenology, the annually recurring sequence of plant developmental stages, is important for plant functioning and ecosystem services and their biophysical and biogeochemical feedbacks to the climate system. Plant phenology depends on temperature, and the current rapid climate change has revived interest in understanding and modeling the responses of plant phenology to the warming trend and the consequences thereof for ecosystems. Here, we review recent progresses in plant phenology and its interactions with climate change. Focusing on the start (leaf unfolding) and end (leaf coloring) of plant growing seasons, we show that the recent rapid expansion in ground- and remote sensing- based phenology data acquisition has been highly beneficial and has supported major advances in plant phenology research. Studies using multiple data sources and methods generally agree on the trends of advanced leaf unfolding and delayed leaf coloring due to climate change, yet these trends appear to have decelerated or even reversed in recent years. Our understanding of the mechanisms underlying the plant phenology responses to climate warming is still limited. The interactions between multiple drivers complicate the modeling and prediction of plant phenology changes. Furthermore, changes in plant phenology have important implications for ecosystem carbon cycles and ecosystem feedbacks to climate, yet the quantification of such impacts remains challenging. We suggest that future studies should primarily focus on using new observation tools to improve the understanding of tropical plant phenology, on improving process-based phenology modeling, and on the scaling of phenology from species to landscape-level.","container-title":"Global Change Biology","DOI":"10.1111/gcb.14619","ISSN":"1365-2486","issue":"6","language":"en","note":"_eprint: https://onlinelibrary.wiley.com/doi/pdf/10.1111/gcb.14619","page":"1922-1940","source":"Wiley Online Library","title":"Plant phenology and global climate change: Current progresses and challenges","title-short":"Plant phenology and global climate change","volume":"25","author":[{"family":"Piao","given":"Shilong"},{"family":"Liu","given":"Qiang"},{"family":"Chen","given":"Anping"},{"family":"Janssens","given":"Ivan A."},{"family":"Fu","given":"Yongshuo"},{"family":"Dai","given":"Junhu"},{"family":"Liu","given":"Lingli"},{"family":"Lian","given":"Xu"},{"family":"Shen","given":"Miaogen"},{"family":"Zhu","given":"Xiaolin"}],"issued":{"date-parts":[["2019"]]}}}],"schema":"https://github.com/citation-style-language/schema/raw/master/csl-citation.json"} </w:instrText>
      </w:r>
      <w:r w:rsidRPr="00C90343">
        <w:rPr>
          <w:color w:val="111111"/>
        </w:rPr>
        <w:fldChar w:fldCharType="separate"/>
      </w:r>
      <w:r w:rsidRPr="00C90343">
        <w:rPr>
          <w:color w:val="000000"/>
          <w:vertAlign w:val="superscript"/>
        </w:rPr>
        <w:t>29</w:t>
      </w:r>
      <w:r w:rsidRPr="00C90343">
        <w:rPr>
          <w:color w:val="111111"/>
        </w:rPr>
        <w:fldChar w:fldCharType="end"/>
      </w:r>
      <w:r w:rsidRPr="00C90343">
        <w:rPr>
          <w:color w:val="111111"/>
        </w:rPr>
        <w:t>. Phenology has also been shown to be important to soil microbial community structure and function that can feedback to affect plant performance under climate change</w:t>
      </w:r>
      <w:r w:rsidRPr="00C90343">
        <w:rPr>
          <w:color w:val="111111"/>
        </w:rPr>
        <w:fldChar w:fldCharType="begin"/>
      </w:r>
      <w:r w:rsidRPr="00C90343">
        <w:rPr>
          <w:color w:val="111111"/>
        </w:rPr>
        <w:instrText xml:space="preserve"> ADDIN ZOTERO_ITEM CSL_CITATION {"citationID":"UjIaxNP4","properties":{"formattedCitation":"\\super 32\\nosupersub{}","plainCitation":"32","noteIndex":0},"citationItems":[{"id":91,"uris":["http://zotero.org/users/8506331/items/F54B98KE"],"uri":["http://zotero.org/users/8506331/items/F54B98KE"],"itemData":{"id":91,"type":"article-journal","abstract":"We examined the hypothesis that climate-driven evolution of plant traits will influence associated soil microbiomes and ecosystem function across the landscape. Using a foundation tree species, Populus angustifolia, observational and common garden approaches, and a base population genetic collection that spans 17 river systems in the western United States, from AZ to MT, we show that (a) as mean annual temperature (MAT) increases, genetic and phenotypic variation for bud break phenology decline; (b) soil microbiomes, soil nitrogen (N), and soil carbon (C) vary in response to MAT and conditioning by trees; and (c) with losses of genetic variation due to warming, population-level regulation of community and ecosystem functions strengthen. These results demonstrate a relationship between the potential evolutionary response of populations and subsequent shifts in ecosystem function along a large temperature gradient.","container-title":"Global Change Biology","DOI":"10.1111/gcb.14553","ISSN":"1365-2486","issue":"4","language":"en","note":"_eprint: https://onlinelibrary.wiley.com/doi/pdf/10.1111/gcb.14553","page":"1514-1528","source":"Wiley Online Library","title":"Climate-driven reduction of genetic variation in plant phenology alters soil communities and nutrient pools","volume":"25","author":[{"family":"Ware","given":"Ian M."},{"family":"Van Nuland","given":"Michael E."},{"family":"Schweitzer","given":"Jennifer A."},{"family":"Yang","given":"Zamin"},{"family":"Schadt","given":"Christopher W."},{"family":"Sidak-Loftis","given":"Lindsay C."},{"family":"Stone","given":"Nathan E."},{"family":"Busch","given":"Joseph D."},{"family":"Wagner","given":"David M."},{"family":"Bailey","given":"Joseph K."}],"issued":{"date-parts":[["2019"]]}}}],"schema":"https://github.com/citation-style-language/schema/raw/master/csl-citation.json"} </w:instrText>
      </w:r>
      <w:r w:rsidRPr="00C90343">
        <w:rPr>
          <w:color w:val="111111"/>
        </w:rPr>
        <w:fldChar w:fldCharType="separate"/>
      </w:r>
      <w:r w:rsidRPr="00C90343">
        <w:rPr>
          <w:color w:val="000000"/>
          <w:vertAlign w:val="superscript"/>
        </w:rPr>
        <w:t>32</w:t>
      </w:r>
      <w:r w:rsidRPr="00C90343">
        <w:rPr>
          <w:color w:val="111111"/>
        </w:rPr>
        <w:fldChar w:fldCharType="end"/>
      </w:r>
      <w:r w:rsidRPr="00C90343">
        <w:rPr>
          <w:color w:val="111111"/>
        </w:rPr>
        <w:t>. If one of the consequences of climate change is a general reduction in genetic variation in functional plant traits, the associated loss of biodiversity and ecosystem functions are potential cascading effects.</w:t>
      </w:r>
    </w:p>
    <w:p w14:paraId="7253737E" w14:textId="3AF03CB4" w:rsidR="003925DB" w:rsidRPr="00C90343" w:rsidRDefault="00412B02" w:rsidP="00C90343">
      <w:pPr>
        <w:spacing w:line="360" w:lineRule="auto"/>
        <w:ind w:firstLine="720"/>
        <w:jc w:val="both"/>
        <w:rPr>
          <w:color w:val="000000"/>
        </w:rPr>
      </w:pPr>
      <w:r w:rsidRPr="00C90343">
        <w:rPr>
          <w:color w:val="111111"/>
        </w:rPr>
        <w:t>The relationships between biodiversity – including genetic – and climate are critical for conserving natural ecosystems and their functions</w:t>
      </w:r>
      <w:r w:rsidRPr="00C90343">
        <w:rPr>
          <w:color w:val="111111"/>
        </w:rPr>
        <w:fldChar w:fldCharType="begin"/>
      </w:r>
      <w:r w:rsidRPr="00C90343">
        <w:rPr>
          <w:color w:val="111111"/>
        </w:rPr>
        <w:instrText xml:space="preserve"> ADDIN ZOTERO_ITEM CSL_CITATION {"citationID":"ky8UFDjQ","properties":{"formattedCitation":"\\super 67\\nosupersub{}","plainCitation":"67","noteIndex":0},"citationItems":[{"id":159,"uris":["http://zotero.org/users/8506331/items/4IHPSC7K"],"uri":["http://zotero.org/users/8506331/items/4IHPSC7K"],"itemData":{"id":159,"type":"article-journal","container-title":"Nature Climate Change","DOI":"10.1038/s41558-021-01062-1","ISSN":"1758-678X, 1758-6798","issue":"6","journalAbbreviation":"Nat. Clim. Chang.","language":"en","page":"543-550","source":"DOI.org (Crossref)","title":"Biodiversity–productivity relationships are key to nature-based climate solutions","volume":"11","author":[{"family":"Mori","given":"Akira S."},{"family":"Dee","given":"Laura E."},{"family":"Gonzalez","given":"Andrew"},{"family":"Ohashi","given":"Haruka"},{"family":"Cowles","given":"Jane"},{"family":"Wright","given":"Alexandra J."},{"family":"Loreau","given":"Michel"},{"family":"Hautier","given":"Yann"},{"family":"Newbold","given":"Tim"},{"family":"Reich","given":"Peter B."},{"family":"Matsui","given":"Tetsuya"},{"family":"Takeuchi","given":"Wataru"},{"family":"Okada","given":"Kei-ichi"},{"family":"Seidl","given":"Rupert"},{"family":"Isbell","given":"Forest"}],"issued":{"date-parts":[["2021",6]]}}}],"schema":"https://github.com/citation-style-language/schema/raw/master/csl-citation.json"} </w:instrText>
      </w:r>
      <w:r w:rsidRPr="00C90343">
        <w:rPr>
          <w:color w:val="111111"/>
        </w:rPr>
        <w:fldChar w:fldCharType="separate"/>
      </w:r>
      <w:r w:rsidRPr="00C90343">
        <w:rPr>
          <w:color w:val="000000"/>
          <w:vertAlign w:val="superscript"/>
        </w:rPr>
        <w:t>6</w:t>
      </w:r>
      <w:r w:rsidR="004077F8">
        <w:rPr>
          <w:color w:val="000000"/>
          <w:vertAlign w:val="superscript"/>
        </w:rPr>
        <w:t>5</w:t>
      </w:r>
      <w:r w:rsidRPr="00C90343">
        <w:rPr>
          <w:color w:val="111111"/>
        </w:rPr>
        <w:fldChar w:fldCharType="end"/>
      </w:r>
      <w:r w:rsidRPr="00C90343">
        <w:rPr>
          <w:color w:val="111111"/>
        </w:rPr>
        <w:t xml:space="preserve">. </w:t>
      </w:r>
      <w:r w:rsidRPr="00C90343">
        <w:rPr>
          <w:color w:val="000000"/>
        </w:rPr>
        <w:t>Climate relict populations have persisted under a changing climate and are largely considered “life-boats” for associated species and ecosystem functions</w:t>
      </w:r>
      <w:r w:rsidRPr="00C90343">
        <w:rPr>
          <w:color w:val="000000"/>
        </w:rPr>
        <w:fldChar w:fldCharType="begin"/>
      </w:r>
      <w:r w:rsidRPr="00C90343">
        <w:rPr>
          <w:color w:val="000000"/>
        </w:rPr>
        <w:instrText xml:space="preserve"> ADDIN ZOTERO_ITEM CSL_CITATION {"citationID":"FUzYbJjh","properties":{"formattedCitation":"\\super 36\\nosupersub{}","plainCitation":"36","noteIndex":0},"citationItems":[{"id":97,"uris":["http://zotero.org/users/8506331/items/BGLKC4JK"],"uri":["http://zotero.org/users/8506331/items/BGLKC4JK"],"itemData":{"id":97,"type":"article-journal","container-title":"Trends in Ecology &amp; Evolution","DOI":"10.1016/j.tree.2014.05.003","ISSN":"01695347","issue":"7","journalAbbreviation":"Trends in Ecology &amp; Evolution","language":"en","page":"406-416","source":"DOI.org (Crossref)","title":"Climate relicts and their associated communities as natural ecology and evolution laboratories","volume":"29","author":[{"family":"Woolbright","given":"Scott A."},{"family":"Whitham","given":"Thomas G."},{"family":"Gehring","given":"Catherine A."},{"family":"Allan","given":"Gerard J."},{"family":"Bailey","given":"Joseph K."}],"issued":{"date-parts":[["2014",7]]}}}],"schema":"https://github.com/citation-style-language/schema/raw/master/csl-citation.json"} </w:instrText>
      </w:r>
      <w:r w:rsidRPr="00C90343">
        <w:rPr>
          <w:color w:val="000000"/>
        </w:rPr>
        <w:fldChar w:fldCharType="separate"/>
      </w:r>
      <w:r w:rsidRPr="00C90343">
        <w:rPr>
          <w:color w:val="000000"/>
          <w:vertAlign w:val="superscript"/>
        </w:rPr>
        <w:t>36</w:t>
      </w:r>
      <w:r w:rsidRPr="00C90343">
        <w:rPr>
          <w:color w:val="000000"/>
        </w:rPr>
        <w:fldChar w:fldCharType="end"/>
      </w:r>
      <w:r w:rsidRPr="00C90343">
        <w:rPr>
          <w:color w:val="000000"/>
        </w:rPr>
        <w:t>. Cottonwood riparian forests of the western US are already rare, estimated to occupy less than 5% of the landscape, and yet support most of the biodiversity of the west</w:t>
      </w:r>
      <w:r w:rsidRPr="00C90343">
        <w:rPr>
          <w:color w:val="000000"/>
        </w:rPr>
        <w:fldChar w:fldCharType="begin"/>
      </w:r>
      <w:r w:rsidRPr="00C90343">
        <w:rPr>
          <w:color w:val="000000"/>
        </w:rPr>
        <w:instrText xml:space="preserve"> ADDIN ZOTERO_ITEM CSL_CITATION {"citationID":"mx21ETmB","properties":{"formattedCitation":"\\super 68\\nosupersub{}","plainCitation":"68","noteIndex":0},"citationItems":[{"id":197,"uris":["http://zotero.org/users/8506331/items/59QX3JEX"],"uri":["http://zotero.org/users/8506331/items/59QX3JEX"],"itemData":{"id":197,"type":"book","edition":"First","event-place":"New York","publisher":"Elsevier Academic Press","publisher-place":"New York","title":"Riparia: ecology, conservation, and management of streamside communities","author":[{"family":"Robert J. Naiman","given":""},{"literal":"Henri Décamps"},{"literal":"Michael E. McClain"},{"literal":"editors"}],"issued":{"date-parts":[["2005"]]}}}],"schema":"https://github.com/citation-style-language/schema/raw/master/csl-citation.json"} </w:instrText>
      </w:r>
      <w:r w:rsidRPr="00C90343">
        <w:rPr>
          <w:color w:val="000000"/>
        </w:rPr>
        <w:fldChar w:fldCharType="separate"/>
      </w:r>
      <w:r w:rsidRPr="00C90343">
        <w:rPr>
          <w:color w:val="000000"/>
          <w:vertAlign w:val="superscript"/>
        </w:rPr>
        <w:t>6</w:t>
      </w:r>
      <w:r w:rsidR="004077F8">
        <w:rPr>
          <w:color w:val="000000"/>
          <w:vertAlign w:val="superscript"/>
        </w:rPr>
        <w:t>6</w:t>
      </w:r>
      <w:r w:rsidRPr="00C90343">
        <w:rPr>
          <w:color w:val="000000"/>
        </w:rPr>
        <w:fldChar w:fldCharType="end"/>
      </w:r>
      <w:r w:rsidRPr="00C90343">
        <w:rPr>
          <w:color w:val="000000"/>
        </w:rPr>
        <w:t xml:space="preserve">. </w:t>
      </w:r>
      <w:r w:rsidRPr="00C90343">
        <w:rPr>
          <w:color w:val="111111"/>
        </w:rPr>
        <w:t xml:space="preserve">Our previous research indicates that trailing edge population of </w:t>
      </w:r>
      <w:r w:rsidRPr="00C90343">
        <w:rPr>
          <w:i/>
          <w:iCs/>
          <w:color w:val="111111"/>
        </w:rPr>
        <w:t>P. angustifolia</w:t>
      </w:r>
      <w:r w:rsidRPr="00C90343">
        <w:rPr>
          <w:color w:val="111111"/>
        </w:rPr>
        <w:t xml:space="preserve"> are locally adapted in functional traits related to water and carbon cycling</w:t>
      </w:r>
      <w:r w:rsidRPr="00C90343">
        <w:rPr>
          <w:color w:val="111111"/>
        </w:rPr>
        <w:fldChar w:fldCharType="begin"/>
      </w:r>
      <w:r w:rsidRPr="00C90343">
        <w:rPr>
          <w:color w:val="111111"/>
        </w:rPr>
        <w:instrText xml:space="preserve"> ADDIN ZOTERO_ITEM CSL_CITATION {"citationID":"yg525taz","properties":{"formattedCitation":"\\super 69\\nosupersub{}","plainCitation":"69","noteIndex":0},"citationItems":[{"id":134,"uris":["http://zotero.org/users/8506331/items/I256LFZM"],"uri":["http://zotero.org/users/8506331/items/I256LFZM"],"itemData":{"id":134,"type":"article-journal","abstract":"Why this research Matters The objective of this study was to understand how genetic variation in a riparian species, Populus angustifolia, affects mass and energy exchange between the land and atmosphere across 1,700 km of latitude of the western United States. To examine the potential for large-scale land–atmosphere feedbacks in hydrologic processes driven by geographic differences in plant population traits, we use a physical hydrology model, paired field, and greenhouse observations of plant traits, and stable isotope compositions of soil, stem, and leaf water of P. angustifolia populations. Populations show patterns of local adaptation in traits related to landscape hydrologic functioning—a 47% difference in stomatal density in greenhouse conditions and a 74% difference in stomatal ratio in the field. Trait and stable isotope differences reveal that populations use water differently which is related to historical landscape hydrologic functioning (evapotranspiration and streamflow). Overall, results suggest that populations from landscapes with different hydrologic histories will differ in their ability to maintain favorable water balance with changing atmospheric demands for water, with ecosystem consequences.","container-title":"Plant-Environment Interactions","DOI":"10.1002/pei3.10031","ISSN":"2575-6265","issue":"3","language":"en","note":"_eprint: https://onlinelibrary.wiley.com/doi/pdf/10.1002/pei3.10031","page":"166-180","source":"Wiley Online Library","title":"Plant genetic variation drives geographic differences in atmosphere–plant–ecosystem feedbacks","volume":"1","author":[{"family":"Bayliss","given":"Shannon L. J."},{"family":"Mueller","given":"Liam O."},{"family":"Ware","given":"Ian M."},{"family":"Schweitzer","given":"Jennifer A."},{"family":"Bailey","given":"Joseph K."}],"issued":{"date-parts":[["2020"]]}}}],"schema":"https://github.com/citation-style-language/schema/raw/master/csl-citation.json"} </w:instrText>
      </w:r>
      <w:r w:rsidRPr="00C90343">
        <w:rPr>
          <w:color w:val="111111"/>
        </w:rPr>
        <w:fldChar w:fldCharType="separate"/>
      </w:r>
      <w:r w:rsidRPr="00C90343">
        <w:rPr>
          <w:color w:val="000000"/>
          <w:vertAlign w:val="superscript"/>
        </w:rPr>
        <w:t>6</w:t>
      </w:r>
      <w:r w:rsidR="004077F8">
        <w:rPr>
          <w:color w:val="000000"/>
          <w:vertAlign w:val="superscript"/>
        </w:rPr>
        <w:t>7</w:t>
      </w:r>
      <w:r w:rsidRPr="00C90343">
        <w:rPr>
          <w:color w:val="111111"/>
        </w:rPr>
        <w:fldChar w:fldCharType="end"/>
      </w:r>
      <w:r w:rsidRPr="00C90343">
        <w:rPr>
          <w:color w:val="111111"/>
        </w:rPr>
        <w:t xml:space="preserve"> that drive land-atmosphere feedbacks. Further, genotypes from the trailing-edge population are an important source of heat and water stress-tolerant individuals, making them critically important for conservation.</w:t>
      </w:r>
      <w:r w:rsidRPr="00C90343">
        <w:rPr>
          <w:color w:val="000000"/>
        </w:rPr>
        <w:t xml:space="preserve"> If the loss of genetic variation in these </w:t>
      </w:r>
      <w:r w:rsidRPr="00C90343">
        <w:rPr>
          <w:color w:val="000000"/>
        </w:rPr>
        <w:lastRenderedPageBreak/>
        <w:t>populations is non-random (i.e., driven by selection) as our models suggest, and genetic variation in functional traits supports variation in ecosystem functions on the landscape</w:t>
      </w:r>
      <w:r w:rsidRPr="00C90343">
        <w:rPr>
          <w:color w:val="000000"/>
        </w:rPr>
        <w:fldChar w:fldCharType="begin"/>
      </w:r>
      <w:r w:rsidRPr="00C90343">
        <w:rPr>
          <w:color w:val="000000"/>
        </w:rPr>
        <w:instrText xml:space="preserve"> ADDIN ZOTERO_ITEM CSL_CITATION {"citationID":"r33kE4f9","properties":{"formattedCitation":"\\super 26,32,69\\nosupersub{}","plainCitation":"26,32,69","noteIndex":0},"citationItems":[{"id":73,"uris":["http://zotero.org/users/8506331/items/TY5TAJXH"],"uri":["http://zotero.org/users/8506331/items/TY5TAJXH"],"itemData":{"id":73,"type":"article-journal","abstract":"Global change is widely altering environmental conditions which makes accurately predicting species range limits across natural landscapes critical for conservation and management decisions. If climate pressures along elevation gradients influence the distribution of phenotypic and genetic variation of plant functional traits, then such trait variation may be informative of the selective mechanisms and adaptations that help define climatic niche limits. Using extensive field surveys along 16 elevation transects and a large common garden experiment, we tested whether functional trait variation could predict the climatic niche of a widespread tree species (Populus angustifolia) with a double quantile regression approach. We show that intraspecific variation in plant size, growth, and leaf morphology corresponds with the species' total climate range and certain climatic limits related to temperature and moisture extremes. Moreover, we find evidence of genetic clines and phenotypic plasticity at environmental boundaries, which we use to create geographic predictions of trait variation and maximum values due to climatic constraints across the western US. Overall, our findings show the utility of double quantile regressions for connecting species distributions and climate gradients through trait-based mechanisms. We highlight how new approaches like ours that incorporate genetic variation in functional traits and their response to climate gradients will lead to a better understanding of plant distributions as well as identifying populations anticipated to be maladapted to future environments.","container-title":"Ecology and Evolution","DOI":"10.1002/ece3.5969","ISSN":"2045-7758","issue":"9","language":"en","note":"_eprint: https://onlinelibrary.wiley.com/doi/pdf/10.1002/ece3.5969","page":"3856-3867","source":"Wiley Online Library","title":"Intraspecific trait variation across elevation predicts a widespread tree species' climate niche and range limits","volume":"10","author":[{"family":"Van Nuland","given":"Michael E."},{"family":"Vincent","given":"John B."},{"family":"Ware","given":"Ian M."},{"family":"Mueller","given":"Liam O."},{"family":"Bayliss","given":"Shannon L. J."},{"family":"Beals","given":"Kendall K."},{"family":"Schweitzer","given":"Jennifer A."},{"family":"Bailey","given":"Joseph K."}],"issued":{"date-parts":[["2020"]]}}},{"id":91,"uris":["http://zotero.org/users/8506331/items/F54B98KE"],"uri":["http://zotero.org/users/8506331/items/F54B98KE"],"itemData":{"id":91,"type":"article-journal","abstract":"We examined the hypothesis that climate-driven evolution of plant traits will influence associated soil microbiomes and ecosystem function across the landscape. Using a foundation tree species, Populus angustifolia, observational and common garden approaches, and a base population genetic collection that spans 17 river systems in the western United States, from AZ to MT, we show that (a) as mean annual temperature (MAT) increases, genetic and phenotypic variation for bud break phenology decline; (b) soil microbiomes, soil nitrogen (N), and soil carbon (C) vary in response to MAT and conditioning by trees; and (c) with losses of genetic variation due to warming, population-level regulation of community and ecosystem functions strengthen. These results demonstrate a relationship between the potential evolutionary response of populations and subsequent shifts in ecosystem function along a large temperature gradient.","container-title":"Global Change Biology","DOI":"10.1111/gcb.14553","ISSN":"1365-2486","issue":"4","language":"en","note":"_eprint: https://onlinelibrary.wiley.com/doi/pdf/10.1111/gcb.14553","page":"1514-1528","source":"Wiley Online Library","title":"Climate-driven reduction of genetic variation in plant phenology alters soil communities and nutrient pools","volume":"25","author":[{"family":"Ware","given":"Ian M."},{"family":"Van Nuland","given":"Michael E."},{"family":"Schweitzer","given":"Jennifer A."},{"family":"Yang","given":"Zamin"},{"family":"Schadt","given":"Christopher W."},{"family":"Sidak-Loftis","given":"Lindsay C."},{"family":"Stone","given":"Nathan E."},{"family":"Busch","given":"Joseph D."},{"family":"Wagner","given":"David M."},{"family":"Bailey","given":"Joseph K."}],"issued":{"date-parts":[["2019"]]}}},{"id":134,"uris":["http://zotero.org/users/8506331/items/I256LFZM"],"uri":["http://zotero.org/users/8506331/items/I256LFZM"],"itemData":{"id":134,"type":"article-journal","abstract":"Why this research Matters The objective of this study was to understand how genetic variation in a riparian species, Populus angustifolia, affects mass and energy exchange between the land and atmosphere across 1,700 km of latitude of the western United States. To examine the potential for large-scale land–atmosphere feedbacks in hydrologic processes driven by geographic differences in plant population traits, we use a physical hydrology model, paired field, and greenhouse observations of plant traits, and stable isotope compositions of soil, stem, and leaf water of P. angustifolia populations. Populations show patterns of local adaptation in traits related to landscape hydrologic functioning—a 47% difference in stomatal density in greenhouse conditions and a 74% difference in stomatal ratio in the field. Trait and stable isotope differences reveal that populations use water differently which is related to historical landscape hydrologic functioning (evapotranspiration and streamflow). Overall, results suggest that populations from landscapes with different hydrologic histories will differ in their ability to maintain favorable water balance with changing atmospheric demands for water, with ecosystem consequences.","container-title":"Plant-Environment Interactions","DOI":"10.1002/pei3.10031","ISSN":"2575-6265","issue":"3","language":"en","note":"_eprint: https://onlinelibrary.wiley.com/doi/pdf/10.1002/pei3.10031","page":"166-180","source":"Wiley Online Library","title":"Plant genetic variation drives geographic differences in atmosphere–plant–ecosystem feedbacks","volume":"1","author":[{"family":"Bayliss","given":"Shannon L. J."},{"family":"Mueller","given":"Liam O."},{"family":"Ware","given":"Ian M."},{"family":"Schweitzer","given":"Jennifer A."},{"family":"Bailey","given":"Joseph K."}],"issued":{"date-parts":[["2020"]]}}}],"schema":"https://github.com/citation-style-language/schema/raw/master/csl-citation.json"} </w:instrText>
      </w:r>
      <w:r w:rsidRPr="00C90343">
        <w:rPr>
          <w:color w:val="000000"/>
        </w:rPr>
        <w:fldChar w:fldCharType="separate"/>
      </w:r>
      <w:r w:rsidRPr="00C90343">
        <w:rPr>
          <w:color w:val="000000"/>
          <w:vertAlign w:val="superscript"/>
        </w:rPr>
        <w:t>26,32,6</w:t>
      </w:r>
      <w:r w:rsidR="004077F8">
        <w:rPr>
          <w:color w:val="000000"/>
          <w:vertAlign w:val="superscript"/>
        </w:rPr>
        <w:t>7</w:t>
      </w:r>
      <w:r w:rsidRPr="00C90343">
        <w:rPr>
          <w:color w:val="000000"/>
        </w:rPr>
        <w:fldChar w:fldCharType="end"/>
      </w:r>
      <w:r w:rsidRPr="00C90343">
        <w:rPr>
          <w:color w:val="000000"/>
        </w:rPr>
        <w:t>, then climate driven loss of genetic variation may be an important driver of ecosystem disassembly.</w:t>
      </w:r>
    </w:p>
    <w:p w14:paraId="263A86EC" w14:textId="77777777" w:rsidR="00412B02" w:rsidRDefault="00412B02">
      <w:pPr>
        <w:rPr>
          <w:b/>
          <w:bCs/>
          <w:caps/>
          <w:sz w:val="28"/>
        </w:rPr>
      </w:pPr>
      <w:r>
        <w:br w:type="page"/>
      </w:r>
    </w:p>
    <w:p w14:paraId="781DA3BD" w14:textId="641C2168" w:rsidR="0080059B" w:rsidRDefault="003925DB" w:rsidP="007A378F">
      <w:pPr>
        <w:pStyle w:val="Heading1"/>
      </w:pPr>
      <w:bookmarkStart w:id="60" w:name="_Toc88056494"/>
      <w:r w:rsidRPr="003925DB">
        <w:lastRenderedPageBreak/>
        <w:t>REFERENCES</w:t>
      </w:r>
      <w:bookmarkEnd w:id="60"/>
    </w:p>
    <w:p w14:paraId="3672E56B" w14:textId="70D80ED6" w:rsidR="00474295" w:rsidRDefault="00474295" w:rsidP="00C90343">
      <w:pPr>
        <w:jc w:val="both"/>
      </w:pPr>
    </w:p>
    <w:p w14:paraId="6920F56D" w14:textId="77777777" w:rsidR="00412B02" w:rsidRPr="007A378F" w:rsidRDefault="00412B02" w:rsidP="00155C4B">
      <w:pPr>
        <w:pStyle w:val="Bibliography"/>
        <w:spacing w:line="276" w:lineRule="auto"/>
        <w:jc w:val="both"/>
      </w:pPr>
      <w:r w:rsidRPr="007A378F">
        <w:fldChar w:fldCharType="begin"/>
      </w:r>
      <w:r w:rsidRPr="007A378F">
        <w:instrText xml:space="preserve"> ADDIN ZOTERO_BIBL {"uncited":[],"omitted":[],"custom":[]} CSL_BIBLIOGRAPHY </w:instrText>
      </w:r>
      <w:r w:rsidRPr="007A378F">
        <w:fldChar w:fldCharType="separate"/>
      </w:r>
      <w:r w:rsidRPr="007A378F">
        <w:t>1.</w:t>
      </w:r>
      <w:r w:rsidRPr="007A378F">
        <w:tab/>
        <w:t xml:space="preserve">Wright, S. Evolution in Mendelian Populations. </w:t>
      </w:r>
      <w:r w:rsidRPr="007A378F">
        <w:rPr>
          <w:i/>
          <w:iCs/>
        </w:rPr>
        <w:t>Genetics</w:t>
      </w:r>
      <w:r w:rsidRPr="007A378F">
        <w:t xml:space="preserve"> </w:t>
      </w:r>
      <w:r w:rsidRPr="007A378F">
        <w:rPr>
          <w:b/>
          <w:bCs/>
        </w:rPr>
        <w:t>16</w:t>
      </w:r>
      <w:r w:rsidRPr="007A378F">
        <w:t>, 97–159 (1931).</w:t>
      </w:r>
    </w:p>
    <w:p w14:paraId="30743981" w14:textId="77777777" w:rsidR="00412B02" w:rsidRPr="007A378F" w:rsidRDefault="00412B02" w:rsidP="00155C4B">
      <w:pPr>
        <w:pStyle w:val="Bibliography"/>
        <w:spacing w:line="276" w:lineRule="auto"/>
        <w:jc w:val="both"/>
      </w:pPr>
      <w:r w:rsidRPr="007A378F">
        <w:t>2.</w:t>
      </w:r>
      <w:r w:rsidRPr="007A378F">
        <w:tab/>
        <w:t xml:space="preserve">DiBattista, J. D. Patterns of genetic variation in anthropogenically impacted populations. </w:t>
      </w:r>
      <w:r w:rsidRPr="007A378F">
        <w:rPr>
          <w:i/>
          <w:iCs/>
        </w:rPr>
        <w:t>Conserv. Genet.</w:t>
      </w:r>
      <w:r w:rsidRPr="007A378F">
        <w:t xml:space="preserve"> </w:t>
      </w:r>
      <w:r w:rsidRPr="007A378F">
        <w:rPr>
          <w:b/>
          <w:bCs/>
        </w:rPr>
        <w:t>9</w:t>
      </w:r>
      <w:r w:rsidRPr="007A378F">
        <w:t>, 141–156 (2008).</w:t>
      </w:r>
    </w:p>
    <w:p w14:paraId="75CEDAB5" w14:textId="77777777" w:rsidR="00412B02" w:rsidRPr="007A378F" w:rsidRDefault="00412B02" w:rsidP="00155C4B">
      <w:pPr>
        <w:pStyle w:val="Bibliography"/>
        <w:spacing w:line="276" w:lineRule="auto"/>
        <w:jc w:val="both"/>
      </w:pPr>
      <w:r w:rsidRPr="007A378F">
        <w:t>3.</w:t>
      </w:r>
      <w:r w:rsidRPr="007A378F">
        <w:tab/>
        <w:t xml:space="preserve">Ellegren, H. &amp; Galtier, N. Determinants of genetic diversity. </w:t>
      </w:r>
      <w:r w:rsidRPr="007A378F">
        <w:rPr>
          <w:i/>
          <w:iCs/>
        </w:rPr>
        <w:t>Nat. Rev. Genet.</w:t>
      </w:r>
      <w:r w:rsidRPr="007A378F">
        <w:t xml:space="preserve"> </w:t>
      </w:r>
      <w:r w:rsidRPr="007A378F">
        <w:rPr>
          <w:b/>
          <w:bCs/>
        </w:rPr>
        <w:t>17</w:t>
      </w:r>
      <w:r w:rsidRPr="007A378F">
        <w:t>, 422–433 (2016).</w:t>
      </w:r>
    </w:p>
    <w:p w14:paraId="1BA95196" w14:textId="77777777" w:rsidR="00412B02" w:rsidRPr="007A378F" w:rsidRDefault="00412B02" w:rsidP="00155C4B">
      <w:pPr>
        <w:pStyle w:val="Bibliography"/>
        <w:spacing w:line="276" w:lineRule="auto"/>
        <w:jc w:val="both"/>
      </w:pPr>
      <w:r w:rsidRPr="007A378F">
        <w:t>4.</w:t>
      </w:r>
      <w:r w:rsidRPr="007A378F">
        <w:tab/>
        <w:t xml:space="preserve">Nei, M., Maruyama, T. &amp; Chakraborty, R. The Bottleneck Effect and Genetic Variability in Populations. </w:t>
      </w:r>
      <w:r w:rsidRPr="007A378F">
        <w:rPr>
          <w:i/>
          <w:iCs/>
        </w:rPr>
        <w:t>Evolution</w:t>
      </w:r>
      <w:r w:rsidRPr="007A378F">
        <w:t xml:space="preserve"> </w:t>
      </w:r>
      <w:r w:rsidRPr="007A378F">
        <w:rPr>
          <w:b/>
          <w:bCs/>
        </w:rPr>
        <w:t>29</w:t>
      </w:r>
      <w:r w:rsidRPr="007A378F">
        <w:t>, 1–10 (1975).</w:t>
      </w:r>
    </w:p>
    <w:p w14:paraId="49AB9679" w14:textId="77777777" w:rsidR="00412B02" w:rsidRPr="007A378F" w:rsidRDefault="00412B02" w:rsidP="00155C4B">
      <w:pPr>
        <w:pStyle w:val="Bibliography"/>
        <w:spacing w:line="276" w:lineRule="auto"/>
        <w:jc w:val="both"/>
      </w:pPr>
      <w:r w:rsidRPr="007A378F">
        <w:t>5.</w:t>
      </w:r>
      <w:r w:rsidRPr="007A378F">
        <w:tab/>
        <w:t xml:space="preserve">Frankham, R. Stress and adaptation in conservation genetics. </w:t>
      </w:r>
      <w:r w:rsidRPr="007A378F">
        <w:rPr>
          <w:i/>
          <w:iCs/>
        </w:rPr>
        <w:t>J. Evol. Biol.</w:t>
      </w:r>
      <w:r w:rsidRPr="007A378F">
        <w:t xml:space="preserve"> </w:t>
      </w:r>
      <w:r w:rsidRPr="007A378F">
        <w:rPr>
          <w:b/>
          <w:bCs/>
        </w:rPr>
        <w:t>18</w:t>
      </w:r>
      <w:r w:rsidRPr="007A378F">
        <w:t>, 750–755 (2005).</w:t>
      </w:r>
    </w:p>
    <w:p w14:paraId="56B87586" w14:textId="77777777" w:rsidR="00412B02" w:rsidRPr="007A378F" w:rsidRDefault="00412B02" w:rsidP="00155C4B">
      <w:pPr>
        <w:pStyle w:val="Bibliography"/>
        <w:spacing w:line="276" w:lineRule="auto"/>
        <w:jc w:val="both"/>
      </w:pPr>
      <w:r w:rsidRPr="007A378F">
        <w:t>6.</w:t>
      </w:r>
      <w:r w:rsidRPr="007A378F">
        <w:tab/>
        <w:t xml:space="preserve">Mimura, M. </w:t>
      </w:r>
      <w:r w:rsidRPr="007A378F">
        <w:rPr>
          <w:i/>
          <w:iCs/>
        </w:rPr>
        <w:t>et al.</w:t>
      </w:r>
      <w:r w:rsidRPr="007A378F">
        <w:t xml:space="preserve"> Understanding and monitoring the consequences of human impacts on intraspecific variation. </w:t>
      </w:r>
      <w:r w:rsidRPr="007A378F">
        <w:rPr>
          <w:i/>
          <w:iCs/>
        </w:rPr>
        <w:t>Evol. Appl.</w:t>
      </w:r>
      <w:r w:rsidRPr="007A378F">
        <w:t xml:space="preserve"> </w:t>
      </w:r>
      <w:r w:rsidRPr="007A378F">
        <w:rPr>
          <w:b/>
          <w:bCs/>
        </w:rPr>
        <w:t>10</w:t>
      </w:r>
      <w:r w:rsidRPr="007A378F">
        <w:t>, 121–139 (2017).</w:t>
      </w:r>
    </w:p>
    <w:p w14:paraId="7D818026" w14:textId="77777777" w:rsidR="00412B02" w:rsidRPr="007A378F" w:rsidRDefault="00412B02" w:rsidP="00155C4B">
      <w:pPr>
        <w:pStyle w:val="Bibliography"/>
        <w:spacing w:line="276" w:lineRule="auto"/>
        <w:jc w:val="both"/>
      </w:pPr>
      <w:r w:rsidRPr="007A378F">
        <w:t>7.</w:t>
      </w:r>
      <w:r w:rsidRPr="007A378F">
        <w:tab/>
        <w:t xml:space="preserve">Whitham, T. G. </w:t>
      </w:r>
      <w:r w:rsidRPr="007A378F">
        <w:rPr>
          <w:i/>
          <w:iCs/>
        </w:rPr>
        <w:t>et al.</w:t>
      </w:r>
      <w:r w:rsidRPr="007A378F">
        <w:t xml:space="preserve"> A framework for community and ecosystem genetics: from genes to ecosystems. </w:t>
      </w:r>
      <w:r w:rsidRPr="007A378F">
        <w:rPr>
          <w:i/>
          <w:iCs/>
        </w:rPr>
        <w:t>Nat. Rev. Genet.</w:t>
      </w:r>
      <w:r w:rsidRPr="007A378F">
        <w:t xml:space="preserve"> </w:t>
      </w:r>
      <w:r w:rsidRPr="007A378F">
        <w:rPr>
          <w:b/>
          <w:bCs/>
        </w:rPr>
        <w:t>7</w:t>
      </w:r>
      <w:r w:rsidRPr="007A378F">
        <w:t>, 510–523 (2006).</w:t>
      </w:r>
    </w:p>
    <w:p w14:paraId="6C1E3647" w14:textId="77777777" w:rsidR="00412B02" w:rsidRPr="007A378F" w:rsidRDefault="00412B02" w:rsidP="00155C4B">
      <w:pPr>
        <w:pStyle w:val="Bibliography"/>
        <w:spacing w:line="276" w:lineRule="auto"/>
        <w:jc w:val="both"/>
      </w:pPr>
      <w:r w:rsidRPr="007A378F">
        <w:t>8.</w:t>
      </w:r>
      <w:r w:rsidRPr="007A378F">
        <w:tab/>
        <w:t xml:space="preserve">Hughes, A., Inouye, B., Johnson, M., Underwood, N. &amp; Vellend, M. Ecological consequences of genetic diversity. </w:t>
      </w:r>
      <w:r w:rsidRPr="007A378F">
        <w:rPr>
          <w:i/>
          <w:iCs/>
        </w:rPr>
        <w:t>Ecol. Lett.</w:t>
      </w:r>
      <w:r w:rsidRPr="007A378F">
        <w:t xml:space="preserve"> </w:t>
      </w:r>
      <w:r w:rsidRPr="007A378F">
        <w:rPr>
          <w:b/>
          <w:bCs/>
        </w:rPr>
        <w:t>11</w:t>
      </w:r>
      <w:r w:rsidRPr="007A378F">
        <w:t>, 609–23 (2008).</w:t>
      </w:r>
    </w:p>
    <w:p w14:paraId="5E152106" w14:textId="77777777" w:rsidR="00412B02" w:rsidRPr="007A378F" w:rsidRDefault="00412B02" w:rsidP="00155C4B">
      <w:pPr>
        <w:pStyle w:val="Bibliography"/>
        <w:spacing w:line="276" w:lineRule="auto"/>
        <w:jc w:val="both"/>
      </w:pPr>
      <w:r w:rsidRPr="007A378F">
        <w:t>9.</w:t>
      </w:r>
      <w:r w:rsidRPr="007A378F">
        <w:tab/>
        <w:t xml:space="preserve">Hughes, A. R., Stachowicz, J. J. &amp; Williams, S. L. Morphological and physiological variation among seagrass (Zostera marina) genotypes. </w:t>
      </w:r>
      <w:r w:rsidRPr="007A378F">
        <w:rPr>
          <w:i/>
          <w:iCs/>
        </w:rPr>
        <w:t>Oecologia</w:t>
      </w:r>
      <w:r w:rsidRPr="007A378F">
        <w:t xml:space="preserve"> </w:t>
      </w:r>
      <w:r w:rsidRPr="007A378F">
        <w:rPr>
          <w:b/>
          <w:bCs/>
        </w:rPr>
        <w:t>159</w:t>
      </w:r>
      <w:r w:rsidRPr="007A378F">
        <w:t>, 725–733 (2009).</w:t>
      </w:r>
    </w:p>
    <w:p w14:paraId="6BA0DE49" w14:textId="77777777" w:rsidR="00412B02" w:rsidRPr="007A378F" w:rsidRDefault="00412B02" w:rsidP="00155C4B">
      <w:pPr>
        <w:pStyle w:val="Bibliography"/>
        <w:spacing w:line="276" w:lineRule="auto"/>
        <w:jc w:val="both"/>
      </w:pPr>
      <w:r w:rsidRPr="007A378F">
        <w:t>10.</w:t>
      </w:r>
      <w:r w:rsidRPr="007A378F">
        <w:tab/>
        <w:t xml:space="preserve">Schweitzer, J. A. </w:t>
      </w:r>
      <w:r w:rsidRPr="007A378F">
        <w:rPr>
          <w:i/>
          <w:iCs/>
        </w:rPr>
        <w:t>et al.</w:t>
      </w:r>
      <w:r w:rsidRPr="007A378F">
        <w:t xml:space="preserve"> Genetically based trait in a dominant tree affects ecosystem processes: Plant genetics impact ecosystems. </w:t>
      </w:r>
      <w:r w:rsidRPr="007A378F">
        <w:rPr>
          <w:i/>
          <w:iCs/>
        </w:rPr>
        <w:t>Ecol. Lett.</w:t>
      </w:r>
      <w:r w:rsidRPr="007A378F">
        <w:t xml:space="preserve"> </w:t>
      </w:r>
      <w:r w:rsidRPr="007A378F">
        <w:rPr>
          <w:b/>
          <w:bCs/>
        </w:rPr>
        <w:t>7</w:t>
      </w:r>
      <w:r w:rsidRPr="007A378F">
        <w:t>, 127–134 (2004).</w:t>
      </w:r>
    </w:p>
    <w:p w14:paraId="157C8112" w14:textId="77777777" w:rsidR="00412B02" w:rsidRPr="007A378F" w:rsidRDefault="00412B02" w:rsidP="00155C4B">
      <w:pPr>
        <w:pStyle w:val="Bibliography"/>
        <w:spacing w:line="276" w:lineRule="auto"/>
        <w:jc w:val="both"/>
      </w:pPr>
      <w:r w:rsidRPr="007A378F">
        <w:t>11.</w:t>
      </w:r>
      <w:r w:rsidRPr="007A378F">
        <w:tab/>
        <w:t xml:space="preserve">Hughes, A. R. &amp; Stachowicz, J. J. Genetic diversity enhances the resistance of a seagrass ecosystem to disturbance. </w:t>
      </w:r>
      <w:r w:rsidRPr="007A378F">
        <w:rPr>
          <w:i/>
          <w:iCs/>
        </w:rPr>
        <w:t>Proc. Natl. Acad. Sci. U. S. A.</w:t>
      </w:r>
      <w:r w:rsidRPr="007A378F">
        <w:t xml:space="preserve"> </w:t>
      </w:r>
      <w:r w:rsidRPr="007A378F">
        <w:rPr>
          <w:b/>
          <w:bCs/>
        </w:rPr>
        <w:t>101</w:t>
      </w:r>
      <w:r w:rsidRPr="007A378F">
        <w:t>, 8998–9002 (2004).</w:t>
      </w:r>
    </w:p>
    <w:p w14:paraId="64704E67" w14:textId="77777777" w:rsidR="00412B02" w:rsidRPr="007A378F" w:rsidRDefault="00412B02" w:rsidP="00155C4B">
      <w:pPr>
        <w:pStyle w:val="Bibliography"/>
        <w:spacing w:line="276" w:lineRule="auto"/>
        <w:jc w:val="both"/>
      </w:pPr>
      <w:r w:rsidRPr="007A378F">
        <w:t>12.</w:t>
      </w:r>
      <w:r w:rsidRPr="007A378F">
        <w:tab/>
        <w:t xml:space="preserve">Wimp, G. M. </w:t>
      </w:r>
      <w:r w:rsidRPr="007A378F">
        <w:rPr>
          <w:i/>
          <w:iCs/>
        </w:rPr>
        <w:t>et al.</w:t>
      </w:r>
      <w:r w:rsidRPr="007A378F">
        <w:t xml:space="preserve"> Conserving plant genetic diversity for dependent animal communities. </w:t>
      </w:r>
      <w:r w:rsidRPr="007A378F">
        <w:rPr>
          <w:i/>
          <w:iCs/>
        </w:rPr>
        <w:t>Ecol. Lett.</w:t>
      </w:r>
      <w:r w:rsidRPr="007A378F">
        <w:t xml:space="preserve"> </w:t>
      </w:r>
      <w:r w:rsidRPr="007A378F">
        <w:rPr>
          <w:b/>
          <w:bCs/>
        </w:rPr>
        <w:t>7</w:t>
      </w:r>
      <w:r w:rsidRPr="007A378F">
        <w:t>, 776–780 (2004).</w:t>
      </w:r>
    </w:p>
    <w:p w14:paraId="437CAE78" w14:textId="77777777" w:rsidR="00412B02" w:rsidRPr="007A378F" w:rsidRDefault="00412B02" w:rsidP="00155C4B">
      <w:pPr>
        <w:pStyle w:val="Bibliography"/>
        <w:spacing w:line="276" w:lineRule="auto"/>
        <w:jc w:val="both"/>
      </w:pPr>
      <w:r w:rsidRPr="007A378F">
        <w:t>13.</w:t>
      </w:r>
      <w:r w:rsidRPr="007A378F">
        <w:tab/>
        <w:t xml:space="preserve">Reusch, T. B. H., Ehlers, A., Hämmerli, A. &amp; Worm, B. Ecosystem recovery after climatic extremes enhanced by genotypic diversity. </w:t>
      </w:r>
      <w:r w:rsidRPr="007A378F">
        <w:rPr>
          <w:i/>
          <w:iCs/>
        </w:rPr>
        <w:t>Proc. Natl. Acad. Sci.</w:t>
      </w:r>
      <w:r w:rsidRPr="007A378F">
        <w:t xml:space="preserve"> </w:t>
      </w:r>
      <w:r w:rsidRPr="007A378F">
        <w:rPr>
          <w:b/>
          <w:bCs/>
        </w:rPr>
        <w:t>102</w:t>
      </w:r>
      <w:r w:rsidRPr="007A378F">
        <w:t>, 2826–2831 (2005).</w:t>
      </w:r>
    </w:p>
    <w:p w14:paraId="213DFE66" w14:textId="77777777" w:rsidR="00412B02" w:rsidRPr="007A378F" w:rsidRDefault="00412B02" w:rsidP="00155C4B">
      <w:pPr>
        <w:pStyle w:val="Bibliography"/>
        <w:spacing w:line="276" w:lineRule="auto"/>
        <w:jc w:val="both"/>
      </w:pPr>
      <w:r w:rsidRPr="007A378F">
        <w:t>14.</w:t>
      </w:r>
      <w:r w:rsidRPr="007A378F">
        <w:tab/>
        <w:t xml:space="preserve">Cardinale, B. J. </w:t>
      </w:r>
      <w:r w:rsidRPr="007A378F">
        <w:rPr>
          <w:i/>
          <w:iCs/>
        </w:rPr>
        <w:t>et al.</w:t>
      </w:r>
      <w:r w:rsidRPr="007A378F">
        <w:t xml:space="preserve"> Biodiversity loss and its impact on humanity. </w:t>
      </w:r>
      <w:r w:rsidRPr="007A378F">
        <w:rPr>
          <w:i/>
          <w:iCs/>
        </w:rPr>
        <w:t>Nature</w:t>
      </w:r>
      <w:r w:rsidRPr="007A378F">
        <w:t xml:space="preserve"> </w:t>
      </w:r>
      <w:r w:rsidRPr="007A378F">
        <w:rPr>
          <w:b/>
          <w:bCs/>
        </w:rPr>
        <w:t>486</w:t>
      </w:r>
      <w:r w:rsidRPr="007A378F">
        <w:t>, 59–67 (2012).</w:t>
      </w:r>
    </w:p>
    <w:p w14:paraId="6255497F" w14:textId="77777777" w:rsidR="00412B02" w:rsidRPr="007A378F" w:rsidRDefault="00412B02" w:rsidP="00155C4B">
      <w:pPr>
        <w:pStyle w:val="Bibliography"/>
        <w:spacing w:line="276" w:lineRule="auto"/>
        <w:jc w:val="both"/>
      </w:pPr>
      <w:r w:rsidRPr="007A378F">
        <w:t>15.</w:t>
      </w:r>
      <w:r w:rsidRPr="007A378F">
        <w:tab/>
        <w:t xml:space="preserve">Salo, T. &amp; Gustafsson, C. The Effect of Genetic Diversity on Ecosystem Functioning in Vegetated Coastal Ecosystems. </w:t>
      </w:r>
      <w:r w:rsidRPr="007A378F">
        <w:rPr>
          <w:i/>
          <w:iCs/>
        </w:rPr>
        <w:t>Ecosystems</w:t>
      </w:r>
      <w:r w:rsidRPr="007A378F">
        <w:t xml:space="preserve"> </w:t>
      </w:r>
      <w:r w:rsidRPr="007A378F">
        <w:rPr>
          <w:b/>
          <w:bCs/>
        </w:rPr>
        <w:t>19</w:t>
      </w:r>
      <w:r w:rsidRPr="007A378F">
        <w:t>, 1429–1444 (2016).</w:t>
      </w:r>
    </w:p>
    <w:p w14:paraId="7CF1810C" w14:textId="77777777" w:rsidR="00412B02" w:rsidRPr="007A378F" w:rsidRDefault="00412B02" w:rsidP="00155C4B">
      <w:pPr>
        <w:pStyle w:val="Bibliography"/>
        <w:spacing w:line="276" w:lineRule="auto"/>
        <w:jc w:val="both"/>
      </w:pPr>
      <w:r w:rsidRPr="007A378F">
        <w:t>16.</w:t>
      </w:r>
      <w:r w:rsidRPr="007A378F">
        <w:tab/>
        <w:t xml:space="preserve">Chen, I.-C., Hill, J., Ohlemüller, R., Roy, D. B. &amp; Thomas, C. Rapid Range Shifts of Species Associated with High Levels of Climate Warming. </w:t>
      </w:r>
      <w:r w:rsidRPr="007A378F">
        <w:rPr>
          <w:i/>
          <w:iCs/>
        </w:rPr>
        <w:t>Science</w:t>
      </w:r>
      <w:r w:rsidRPr="007A378F">
        <w:t xml:space="preserve"> </w:t>
      </w:r>
      <w:r w:rsidRPr="007A378F">
        <w:rPr>
          <w:b/>
          <w:bCs/>
        </w:rPr>
        <w:t>333</w:t>
      </w:r>
      <w:r w:rsidRPr="007A378F">
        <w:t>, 1024–6 (2011).</w:t>
      </w:r>
    </w:p>
    <w:p w14:paraId="57F0A97C" w14:textId="77777777" w:rsidR="00412B02" w:rsidRPr="007A378F" w:rsidRDefault="00412B02" w:rsidP="00155C4B">
      <w:pPr>
        <w:pStyle w:val="Bibliography"/>
        <w:spacing w:line="276" w:lineRule="auto"/>
        <w:jc w:val="both"/>
      </w:pPr>
      <w:r w:rsidRPr="007A378F">
        <w:t>17.</w:t>
      </w:r>
      <w:r w:rsidRPr="007A378F">
        <w:tab/>
        <w:t xml:space="preserve">Fei, S. </w:t>
      </w:r>
      <w:r w:rsidRPr="007A378F">
        <w:rPr>
          <w:i/>
          <w:iCs/>
        </w:rPr>
        <w:t>et al.</w:t>
      </w:r>
      <w:r w:rsidRPr="007A378F">
        <w:t xml:space="preserve"> Divergence of species responses to climate change. </w:t>
      </w:r>
      <w:r w:rsidRPr="007A378F">
        <w:rPr>
          <w:i/>
          <w:iCs/>
        </w:rPr>
        <w:t>Sci. Adv.</w:t>
      </w:r>
      <w:r w:rsidRPr="007A378F">
        <w:t xml:space="preserve"> </w:t>
      </w:r>
      <w:r w:rsidRPr="007A378F">
        <w:rPr>
          <w:b/>
          <w:bCs/>
        </w:rPr>
        <w:t>3</w:t>
      </w:r>
      <w:r w:rsidRPr="007A378F">
        <w:t>, e1603055 (2017).</w:t>
      </w:r>
    </w:p>
    <w:p w14:paraId="46A2EB43" w14:textId="77777777" w:rsidR="00412B02" w:rsidRPr="007A378F" w:rsidRDefault="00412B02" w:rsidP="00155C4B">
      <w:pPr>
        <w:pStyle w:val="Bibliography"/>
        <w:spacing w:line="276" w:lineRule="auto"/>
        <w:jc w:val="both"/>
      </w:pPr>
      <w:r w:rsidRPr="007A378F">
        <w:t>18.</w:t>
      </w:r>
      <w:r w:rsidRPr="007A378F">
        <w:tab/>
        <w:t xml:space="preserve">Excoffier, L., Foll, M. &amp; Petit, R. J. Genetic Consequences of Range Expansions. </w:t>
      </w:r>
      <w:r w:rsidRPr="007A378F">
        <w:rPr>
          <w:i/>
          <w:iCs/>
        </w:rPr>
        <w:t>Annu. Rev. Ecol. Evol. Syst.</w:t>
      </w:r>
      <w:r w:rsidRPr="007A378F">
        <w:t xml:space="preserve"> </w:t>
      </w:r>
      <w:r w:rsidRPr="007A378F">
        <w:rPr>
          <w:b/>
          <w:bCs/>
        </w:rPr>
        <w:t>40</w:t>
      </w:r>
      <w:r w:rsidRPr="007A378F">
        <w:t>, 481–501 (2009).</w:t>
      </w:r>
    </w:p>
    <w:p w14:paraId="732854C9" w14:textId="77777777" w:rsidR="00412B02" w:rsidRPr="007A378F" w:rsidRDefault="00412B02" w:rsidP="00155C4B">
      <w:pPr>
        <w:pStyle w:val="Bibliography"/>
        <w:spacing w:line="276" w:lineRule="auto"/>
        <w:jc w:val="both"/>
      </w:pPr>
      <w:r w:rsidRPr="007A378F">
        <w:lastRenderedPageBreak/>
        <w:t>19.</w:t>
      </w:r>
      <w:r w:rsidRPr="007A378F">
        <w:tab/>
        <w:t xml:space="preserve">Alsos, I. G. </w:t>
      </w:r>
      <w:r w:rsidRPr="007A378F">
        <w:rPr>
          <w:i/>
          <w:iCs/>
        </w:rPr>
        <w:t>et al.</w:t>
      </w:r>
      <w:r w:rsidRPr="007A378F">
        <w:t xml:space="preserve"> Genetic consequences of climate change for northern plants. </w:t>
      </w:r>
      <w:r w:rsidRPr="007A378F">
        <w:rPr>
          <w:i/>
          <w:iCs/>
        </w:rPr>
        <w:t>Proc. R. Soc. B Biol. Sci.</w:t>
      </w:r>
      <w:r w:rsidRPr="007A378F">
        <w:t xml:space="preserve"> </w:t>
      </w:r>
      <w:r w:rsidRPr="007A378F">
        <w:rPr>
          <w:b/>
          <w:bCs/>
        </w:rPr>
        <w:t>279</w:t>
      </w:r>
      <w:r w:rsidRPr="007A378F">
        <w:t>, 2042–2051 (2012).</w:t>
      </w:r>
    </w:p>
    <w:p w14:paraId="6D498EFD" w14:textId="77777777" w:rsidR="00412B02" w:rsidRPr="007A378F" w:rsidRDefault="00412B02" w:rsidP="00155C4B">
      <w:pPr>
        <w:pStyle w:val="Bibliography"/>
        <w:spacing w:line="276" w:lineRule="auto"/>
        <w:jc w:val="both"/>
      </w:pPr>
      <w:r w:rsidRPr="007A378F">
        <w:t>20.</w:t>
      </w:r>
      <w:r w:rsidRPr="007A378F">
        <w:tab/>
        <w:t xml:space="preserve">Pauls, S. U., Nowak, C., Bálint, M. &amp; Pfenninger, M. The impact of global climate change on genetic diversity within populations and species. </w:t>
      </w:r>
      <w:r w:rsidRPr="007A378F">
        <w:rPr>
          <w:i/>
          <w:iCs/>
        </w:rPr>
        <w:t>Mol. Ecol.</w:t>
      </w:r>
      <w:r w:rsidRPr="007A378F">
        <w:t xml:space="preserve"> </w:t>
      </w:r>
      <w:r w:rsidRPr="007A378F">
        <w:rPr>
          <w:b/>
          <w:bCs/>
        </w:rPr>
        <w:t>22</w:t>
      </w:r>
      <w:r w:rsidRPr="007A378F">
        <w:t>, 925–946 (2013).</w:t>
      </w:r>
    </w:p>
    <w:p w14:paraId="39FF765F" w14:textId="77777777" w:rsidR="00412B02" w:rsidRPr="007A378F" w:rsidRDefault="00412B02" w:rsidP="00155C4B">
      <w:pPr>
        <w:pStyle w:val="Bibliography"/>
        <w:spacing w:line="276" w:lineRule="auto"/>
        <w:jc w:val="both"/>
      </w:pPr>
      <w:r w:rsidRPr="007A378F">
        <w:t>21.</w:t>
      </w:r>
      <w:r w:rsidRPr="007A378F">
        <w:tab/>
        <w:t xml:space="preserve">De Kort, H. </w:t>
      </w:r>
      <w:r w:rsidRPr="007A378F">
        <w:rPr>
          <w:i/>
          <w:iCs/>
        </w:rPr>
        <w:t>et al.</w:t>
      </w:r>
      <w:r w:rsidRPr="007A378F">
        <w:t xml:space="preserve"> Life history, climate and biogeography interactively affect worldwide genetic diversity of plant and animal populations. </w:t>
      </w:r>
      <w:r w:rsidRPr="007A378F">
        <w:rPr>
          <w:i/>
          <w:iCs/>
        </w:rPr>
        <w:t>Nat. Commun.</w:t>
      </w:r>
      <w:r w:rsidRPr="007A378F">
        <w:t xml:space="preserve"> </w:t>
      </w:r>
      <w:r w:rsidRPr="007A378F">
        <w:rPr>
          <w:b/>
          <w:bCs/>
        </w:rPr>
        <w:t>12</w:t>
      </w:r>
      <w:r w:rsidRPr="007A378F">
        <w:t>, 516 (2021).</w:t>
      </w:r>
    </w:p>
    <w:p w14:paraId="186CFB19" w14:textId="77777777" w:rsidR="00412B02" w:rsidRPr="007A378F" w:rsidRDefault="00412B02" w:rsidP="00155C4B">
      <w:pPr>
        <w:pStyle w:val="Bibliography"/>
        <w:spacing w:line="276" w:lineRule="auto"/>
        <w:jc w:val="both"/>
      </w:pPr>
      <w:r w:rsidRPr="007A378F">
        <w:t>22.</w:t>
      </w:r>
      <w:r w:rsidRPr="007A378F">
        <w:tab/>
        <w:t xml:space="preserve">Hampe, A. &amp; Petit, R. J. Conserving biodiversity under climate change: the rear edge matters. </w:t>
      </w:r>
      <w:r w:rsidRPr="007A378F">
        <w:rPr>
          <w:i/>
          <w:iCs/>
        </w:rPr>
        <w:t>Ecol. Lett.</w:t>
      </w:r>
      <w:r w:rsidRPr="007A378F">
        <w:t xml:space="preserve"> </w:t>
      </w:r>
      <w:r w:rsidRPr="007A378F">
        <w:rPr>
          <w:b/>
          <w:bCs/>
        </w:rPr>
        <w:t>8</w:t>
      </w:r>
      <w:r w:rsidRPr="007A378F">
        <w:t>, 461–467 (2005).</w:t>
      </w:r>
    </w:p>
    <w:p w14:paraId="27E9A6BB" w14:textId="77777777" w:rsidR="00412B02" w:rsidRPr="007A378F" w:rsidRDefault="00412B02" w:rsidP="00155C4B">
      <w:pPr>
        <w:pStyle w:val="Bibliography"/>
        <w:spacing w:line="276" w:lineRule="auto"/>
        <w:jc w:val="both"/>
      </w:pPr>
      <w:r w:rsidRPr="007A378F">
        <w:t>23.</w:t>
      </w:r>
      <w:r w:rsidRPr="007A378F">
        <w:tab/>
        <w:t xml:space="preserve">Zettlemoyer, M. A. &amp; Peterson, M. L. Does Phenological Plasticity Help or Hinder Range Shifts Under Climate Change? </w:t>
      </w:r>
      <w:r w:rsidRPr="007A378F">
        <w:rPr>
          <w:i/>
          <w:iCs/>
        </w:rPr>
        <w:t>Front. Ecol. Evol.</w:t>
      </w:r>
      <w:r w:rsidRPr="007A378F">
        <w:t xml:space="preserve"> </w:t>
      </w:r>
      <w:r w:rsidRPr="007A378F">
        <w:rPr>
          <w:b/>
          <w:bCs/>
        </w:rPr>
        <w:t>9</w:t>
      </w:r>
      <w:r w:rsidRPr="007A378F">
        <w:t>, 392 (2021).</w:t>
      </w:r>
    </w:p>
    <w:p w14:paraId="49AE13B3" w14:textId="77777777" w:rsidR="00412B02" w:rsidRPr="007A378F" w:rsidRDefault="00412B02" w:rsidP="00155C4B">
      <w:pPr>
        <w:pStyle w:val="Bibliography"/>
        <w:spacing w:line="276" w:lineRule="auto"/>
        <w:jc w:val="both"/>
      </w:pPr>
      <w:r w:rsidRPr="007A378F">
        <w:t>24.</w:t>
      </w:r>
      <w:r w:rsidRPr="007A378F">
        <w:tab/>
        <w:t xml:space="preserve">Yiming, L. </w:t>
      </w:r>
      <w:r w:rsidRPr="007A378F">
        <w:rPr>
          <w:i/>
          <w:iCs/>
        </w:rPr>
        <w:t>et al.</w:t>
      </w:r>
      <w:r w:rsidRPr="007A378F">
        <w:t xml:space="preserve"> Latitudinal gradients in genetic diversity and natural selection at a highly adaptive gene in terrestrial mammals. </w:t>
      </w:r>
      <w:r w:rsidRPr="007A378F">
        <w:rPr>
          <w:i/>
          <w:iCs/>
        </w:rPr>
        <w:t>Ecography</w:t>
      </w:r>
      <w:r w:rsidRPr="007A378F">
        <w:t xml:space="preserve"> </w:t>
      </w:r>
      <w:r w:rsidRPr="007A378F">
        <w:rPr>
          <w:b/>
          <w:bCs/>
        </w:rPr>
        <w:t>44</w:t>
      </w:r>
      <w:r w:rsidRPr="007A378F">
        <w:t>, 206–218 (2021).</w:t>
      </w:r>
    </w:p>
    <w:p w14:paraId="3636839C" w14:textId="77777777" w:rsidR="00412B02" w:rsidRPr="007A378F" w:rsidRDefault="00412B02" w:rsidP="00155C4B">
      <w:pPr>
        <w:pStyle w:val="Bibliography"/>
        <w:spacing w:line="276" w:lineRule="auto"/>
        <w:jc w:val="both"/>
      </w:pPr>
      <w:r w:rsidRPr="007A378F">
        <w:t>25.</w:t>
      </w:r>
      <w:r w:rsidRPr="007A378F">
        <w:tab/>
        <w:t xml:space="preserve">Stahl, U., Reu, B. &amp; Wirth, C. Predicting species’ range limits from functional traits for the tree flora of North America. </w:t>
      </w:r>
      <w:r w:rsidRPr="007A378F">
        <w:rPr>
          <w:i/>
          <w:iCs/>
        </w:rPr>
        <w:t>Proc. Natl. Acad. Sci.</w:t>
      </w:r>
      <w:r w:rsidRPr="007A378F">
        <w:t xml:space="preserve"> </w:t>
      </w:r>
      <w:r w:rsidRPr="007A378F">
        <w:rPr>
          <w:b/>
          <w:bCs/>
        </w:rPr>
        <w:t>111</w:t>
      </w:r>
      <w:r w:rsidRPr="007A378F">
        <w:t>, 13739–13744 (2014).</w:t>
      </w:r>
    </w:p>
    <w:p w14:paraId="6463B962" w14:textId="77777777" w:rsidR="00412B02" w:rsidRPr="007A378F" w:rsidRDefault="00412B02" w:rsidP="00155C4B">
      <w:pPr>
        <w:pStyle w:val="Bibliography"/>
        <w:spacing w:line="276" w:lineRule="auto"/>
        <w:jc w:val="both"/>
      </w:pPr>
      <w:r w:rsidRPr="007A378F">
        <w:t>26.</w:t>
      </w:r>
      <w:r w:rsidRPr="007A378F">
        <w:tab/>
        <w:t xml:space="preserve">Van Nuland, M. E. </w:t>
      </w:r>
      <w:r w:rsidRPr="007A378F">
        <w:rPr>
          <w:i/>
          <w:iCs/>
        </w:rPr>
        <w:t>et al.</w:t>
      </w:r>
      <w:r w:rsidRPr="007A378F">
        <w:t xml:space="preserve"> Intraspecific trait variation across elevation predicts a widespread tree species’ climate niche and range limits. </w:t>
      </w:r>
      <w:r w:rsidRPr="007A378F">
        <w:rPr>
          <w:i/>
          <w:iCs/>
        </w:rPr>
        <w:t>Ecol. Evol.</w:t>
      </w:r>
      <w:r w:rsidRPr="007A378F">
        <w:t xml:space="preserve"> </w:t>
      </w:r>
      <w:r w:rsidRPr="007A378F">
        <w:rPr>
          <w:b/>
          <w:bCs/>
        </w:rPr>
        <w:t>10</w:t>
      </w:r>
      <w:r w:rsidRPr="007A378F">
        <w:t>, 3856–3867 (2020).</w:t>
      </w:r>
    </w:p>
    <w:p w14:paraId="60CBC9E7" w14:textId="77777777" w:rsidR="00412B02" w:rsidRPr="007A378F" w:rsidRDefault="00412B02" w:rsidP="00155C4B">
      <w:pPr>
        <w:pStyle w:val="Bibliography"/>
        <w:spacing w:line="276" w:lineRule="auto"/>
        <w:jc w:val="both"/>
      </w:pPr>
      <w:r w:rsidRPr="007A378F">
        <w:t>27.</w:t>
      </w:r>
      <w:r w:rsidRPr="007A378F">
        <w:tab/>
        <w:t xml:space="preserve">Peterson, M. L., Angert, A. L. &amp; Kay, K. M. Experimental migration upward in elevation is associated with strong selection on life history traits. </w:t>
      </w:r>
      <w:r w:rsidRPr="007A378F">
        <w:rPr>
          <w:i/>
          <w:iCs/>
        </w:rPr>
        <w:t>Ecol. Evol.</w:t>
      </w:r>
      <w:r w:rsidRPr="007A378F">
        <w:t xml:space="preserve"> </w:t>
      </w:r>
      <w:r w:rsidRPr="007A378F">
        <w:rPr>
          <w:b/>
          <w:bCs/>
        </w:rPr>
        <w:t>10</w:t>
      </w:r>
      <w:r w:rsidRPr="007A378F">
        <w:t>, 612–625 (2019).</w:t>
      </w:r>
    </w:p>
    <w:p w14:paraId="050D92F1" w14:textId="77777777" w:rsidR="00412B02" w:rsidRPr="007A378F" w:rsidRDefault="00412B02" w:rsidP="00155C4B">
      <w:pPr>
        <w:pStyle w:val="Bibliography"/>
        <w:spacing w:line="276" w:lineRule="auto"/>
        <w:jc w:val="both"/>
      </w:pPr>
      <w:r w:rsidRPr="007A378F">
        <w:t>28.</w:t>
      </w:r>
      <w:r w:rsidRPr="007A378F">
        <w:tab/>
        <w:t xml:space="preserve">Vitasse, Y., Signarbieux, C. &amp; Fu, Y. H. Global warming leads to more uniform spring phenology across elevations. </w:t>
      </w:r>
      <w:r w:rsidRPr="007A378F">
        <w:rPr>
          <w:i/>
          <w:iCs/>
        </w:rPr>
        <w:t>Proc. Natl. Acad. Sci.</w:t>
      </w:r>
      <w:r w:rsidRPr="007A378F">
        <w:t xml:space="preserve"> </w:t>
      </w:r>
      <w:r w:rsidRPr="007A378F">
        <w:rPr>
          <w:b/>
          <w:bCs/>
        </w:rPr>
        <w:t>115</w:t>
      </w:r>
      <w:r w:rsidRPr="007A378F">
        <w:t>, 1004–1008 (2018).</w:t>
      </w:r>
    </w:p>
    <w:p w14:paraId="74CAC9DD" w14:textId="77777777" w:rsidR="00412B02" w:rsidRPr="007A378F" w:rsidRDefault="00412B02" w:rsidP="00155C4B">
      <w:pPr>
        <w:pStyle w:val="Bibliography"/>
        <w:spacing w:line="276" w:lineRule="auto"/>
        <w:jc w:val="both"/>
      </w:pPr>
      <w:r w:rsidRPr="007A378F">
        <w:t>29.</w:t>
      </w:r>
      <w:r w:rsidRPr="007A378F">
        <w:tab/>
        <w:t xml:space="preserve">Piao, S. </w:t>
      </w:r>
      <w:r w:rsidRPr="007A378F">
        <w:rPr>
          <w:i/>
          <w:iCs/>
        </w:rPr>
        <w:t>et al.</w:t>
      </w:r>
      <w:r w:rsidRPr="007A378F">
        <w:t xml:space="preserve"> Plant phenology and global climate change: Current progresses and challenges. </w:t>
      </w:r>
      <w:r w:rsidRPr="007A378F">
        <w:rPr>
          <w:i/>
          <w:iCs/>
        </w:rPr>
        <w:t>Glob. Change Biol.</w:t>
      </w:r>
      <w:r w:rsidRPr="007A378F">
        <w:t xml:space="preserve"> </w:t>
      </w:r>
      <w:r w:rsidRPr="007A378F">
        <w:rPr>
          <w:b/>
          <w:bCs/>
        </w:rPr>
        <w:t>25</w:t>
      </w:r>
      <w:r w:rsidRPr="007A378F">
        <w:t>, 1922–1940 (2019).</w:t>
      </w:r>
    </w:p>
    <w:p w14:paraId="22AF2AD5" w14:textId="77777777" w:rsidR="00412B02" w:rsidRPr="007A378F" w:rsidRDefault="00412B02" w:rsidP="00155C4B">
      <w:pPr>
        <w:pStyle w:val="Bibliography"/>
        <w:spacing w:line="276" w:lineRule="auto"/>
        <w:jc w:val="both"/>
      </w:pPr>
      <w:r w:rsidRPr="007A378F">
        <w:t>30.</w:t>
      </w:r>
      <w:r w:rsidRPr="007A378F">
        <w:tab/>
        <w:t xml:space="preserve">Ferrier, S. &amp; Guisan, A. Spatial modelling of biodiversity at the community level. </w:t>
      </w:r>
      <w:r w:rsidRPr="007A378F">
        <w:rPr>
          <w:i/>
          <w:iCs/>
        </w:rPr>
        <w:t>J. Appl. Ecol.</w:t>
      </w:r>
      <w:r w:rsidRPr="007A378F">
        <w:t xml:space="preserve"> </w:t>
      </w:r>
      <w:r w:rsidRPr="007A378F">
        <w:rPr>
          <w:b/>
          <w:bCs/>
        </w:rPr>
        <w:t>43</w:t>
      </w:r>
      <w:r w:rsidRPr="007A378F">
        <w:t>, 393–404 (2006).</w:t>
      </w:r>
    </w:p>
    <w:p w14:paraId="350AF77C" w14:textId="77777777" w:rsidR="00412B02" w:rsidRPr="007A378F" w:rsidRDefault="00412B02" w:rsidP="00155C4B">
      <w:pPr>
        <w:pStyle w:val="Bibliography"/>
        <w:spacing w:line="276" w:lineRule="auto"/>
        <w:jc w:val="both"/>
      </w:pPr>
      <w:r w:rsidRPr="007A378F">
        <w:t>31.</w:t>
      </w:r>
      <w:r w:rsidRPr="007A378F">
        <w:tab/>
        <w:t xml:space="preserve">Cooke, J. E. K. &amp; Rood, S. B. Trees of the people: the growing science of poplars in Canada and worldwideThis commentary is one of a selection of papers published in the Special Issue on Poplar Research in Canada. </w:t>
      </w:r>
      <w:r w:rsidRPr="007A378F">
        <w:rPr>
          <w:i/>
          <w:iCs/>
        </w:rPr>
        <w:t>Can. J. Bot.</w:t>
      </w:r>
      <w:r w:rsidRPr="007A378F">
        <w:t xml:space="preserve"> </w:t>
      </w:r>
      <w:r w:rsidRPr="007A378F">
        <w:rPr>
          <w:b/>
          <w:bCs/>
        </w:rPr>
        <w:t>85</w:t>
      </w:r>
      <w:r w:rsidRPr="007A378F">
        <w:t>, 1103–1110 (2007).</w:t>
      </w:r>
    </w:p>
    <w:p w14:paraId="00C51C2E" w14:textId="77777777" w:rsidR="00412B02" w:rsidRPr="007A378F" w:rsidRDefault="00412B02" w:rsidP="00155C4B">
      <w:pPr>
        <w:pStyle w:val="Bibliography"/>
        <w:spacing w:line="276" w:lineRule="auto"/>
        <w:jc w:val="both"/>
      </w:pPr>
      <w:r w:rsidRPr="007A378F">
        <w:t>32.</w:t>
      </w:r>
      <w:r w:rsidRPr="007A378F">
        <w:tab/>
        <w:t xml:space="preserve">Ware, I. M. </w:t>
      </w:r>
      <w:r w:rsidRPr="007A378F">
        <w:rPr>
          <w:i/>
          <w:iCs/>
        </w:rPr>
        <w:t>et al.</w:t>
      </w:r>
      <w:r w:rsidRPr="007A378F">
        <w:t xml:space="preserve"> Climate-driven reduction of genetic variation in plant phenology alters soil communities and nutrient pools. </w:t>
      </w:r>
      <w:r w:rsidRPr="007A378F">
        <w:rPr>
          <w:i/>
          <w:iCs/>
        </w:rPr>
        <w:t>Glob. Change Biol.</w:t>
      </w:r>
      <w:r w:rsidRPr="007A378F">
        <w:t xml:space="preserve"> </w:t>
      </w:r>
      <w:r w:rsidRPr="007A378F">
        <w:rPr>
          <w:b/>
          <w:bCs/>
        </w:rPr>
        <w:t>25</w:t>
      </w:r>
      <w:r w:rsidRPr="007A378F">
        <w:t>, 1514–1528 (2019).</w:t>
      </w:r>
    </w:p>
    <w:p w14:paraId="24D6B2CE" w14:textId="77777777" w:rsidR="00412B02" w:rsidRPr="007A378F" w:rsidRDefault="00412B02" w:rsidP="00155C4B">
      <w:pPr>
        <w:pStyle w:val="Bibliography"/>
        <w:spacing w:line="276" w:lineRule="auto"/>
        <w:jc w:val="both"/>
      </w:pPr>
      <w:r w:rsidRPr="007A378F">
        <w:t>33.</w:t>
      </w:r>
      <w:r w:rsidRPr="007A378F">
        <w:tab/>
        <w:t xml:space="preserve">Evans, L. M., Allan, G. J., Meneses, N., Max, T. L. &amp; Whitham, T. G. Herbivore host-associated genetic differentiation depends on the scale of plant genetic variation examined. </w:t>
      </w:r>
      <w:r w:rsidRPr="007A378F">
        <w:rPr>
          <w:i/>
          <w:iCs/>
        </w:rPr>
        <w:t>Evol. Ecol.</w:t>
      </w:r>
      <w:r w:rsidRPr="007A378F">
        <w:t xml:space="preserve"> </w:t>
      </w:r>
      <w:r w:rsidRPr="007A378F">
        <w:rPr>
          <w:b/>
          <w:bCs/>
        </w:rPr>
        <w:t>27</w:t>
      </w:r>
      <w:r w:rsidRPr="007A378F">
        <w:t>, 65–81 (2013).</w:t>
      </w:r>
    </w:p>
    <w:p w14:paraId="5B96551D" w14:textId="77777777" w:rsidR="00412B02" w:rsidRPr="007A378F" w:rsidRDefault="00412B02" w:rsidP="00155C4B">
      <w:pPr>
        <w:pStyle w:val="Bibliography"/>
        <w:spacing w:line="276" w:lineRule="auto"/>
        <w:jc w:val="both"/>
      </w:pPr>
      <w:r w:rsidRPr="007A378F">
        <w:t>34.</w:t>
      </w:r>
      <w:r w:rsidRPr="007A378F">
        <w:tab/>
        <w:t xml:space="preserve">Evans, L. M. </w:t>
      </w:r>
      <w:r w:rsidRPr="007A378F">
        <w:rPr>
          <w:i/>
          <w:iCs/>
        </w:rPr>
        <w:t>et al.</w:t>
      </w:r>
      <w:r w:rsidRPr="007A378F">
        <w:t xml:space="preserve"> Geographical barriers and climate influence demographic history in narrowleaf cottonwoods. </w:t>
      </w:r>
      <w:r w:rsidRPr="007A378F">
        <w:rPr>
          <w:i/>
          <w:iCs/>
        </w:rPr>
        <w:t>Heredity</w:t>
      </w:r>
      <w:r w:rsidRPr="007A378F">
        <w:t xml:space="preserve"> </w:t>
      </w:r>
      <w:r w:rsidRPr="007A378F">
        <w:rPr>
          <w:b/>
          <w:bCs/>
        </w:rPr>
        <w:t>114</w:t>
      </w:r>
      <w:r w:rsidRPr="007A378F">
        <w:t>, 387–396 (2015).</w:t>
      </w:r>
    </w:p>
    <w:p w14:paraId="314C1B6E" w14:textId="77777777" w:rsidR="00412B02" w:rsidRPr="007A378F" w:rsidRDefault="00412B02" w:rsidP="00155C4B">
      <w:pPr>
        <w:pStyle w:val="Bibliography"/>
        <w:spacing w:line="276" w:lineRule="auto"/>
        <w:jc w:val="both"/>
      </w:pPr>
      <w:r w:rsidRPr="007A378F">
        <w:t>35.</w:t>
      </w:r>
      <w:r w:rsidRPr="007A378F">
        <w:tab/>
        <w:t xml:space="preserve">Hargreaves, A. L., Samis, K. E., Eckert, C. G., Schmitz, A. E. O. J. &amp; Bronstein, E. J. L. Are Species’ Range Limits Simply Niche Limits Writ Large? A Review of Transplant Experiments beyond the Range. </w:t>
      </w:r>
      <w:r w:rsidRPr="007A378F">
        <w:rPr>
          <w:i/>
          <w:iCs/>
        </w:rPr>
        <w:t>Am. Nat.</w:t>
      </w:r>
      <w:r w:rsidRPr="007A378F">
        <w:t xml:space="preserve"> </w:t>
      </w:r>
      <w:r w:rsidRPr="007A378F">
        <w:rPr>
          <w:b/>
          <w:bCs/>
        </w:rPr>
        <w:t>183</w:t>
      </w:r>
      <w:r w:rsidRPr="007A378F">
        <w:t>, 157–173 (2014).</w:t>
      </w:r>
    </w:p>
    <w:p w14:paraId="4FC51DAE" w14:textId="77777777" w:rsidR="00412B02" w:rsidRPr="007A378F" w:rsidRDefault="00412B02" w:rsidP="00155C4B">
      <w:pPr>
        <w:pStyle w:val="Bibliography"/>
        <w:spacing w:line="276" w:lineRule="auto"/>
        <w:jc w:val="both"/>
      </w:pPr>
      <w:r w:rsidRPr="007A378F">
        <w:lastRenderedPageBreak/>
        <w:t>36.</w:t>
      </w:r>
      <w:r w:rsidRPr="007A378F">
        <w:tab/>
        <w:t xml:space="preserve">Woolbright, S. A., Whitham, T. G., Gehring, C. A., Allan, G. J. &amp; Bailey, J. K. Climate relicts and their associated communities as natural ecology and evolution laboratories. </w:t>
      </w:r>
      <w:r w:rsidRPr="007A378F">
        <w:rPr>
          <w:i/>
          <w:iCs/>
        </w:rPr>
        <w:t>Trends Ecol. Evol.</w:t>
      </w:r>
      <w:r w:rsidRPr="007A378F">
        <w:t xml:space="preserve"> </w:t>
      </w:r>
      <w:r w:rsidRPr="007A378F">
        <w:rPr>
          <w:b/>
          <w:bCs/>
        </w:rPr>
        <w:t>29</w:t>
      </w:r>
      <w:r w:rsidRPr="007A378F">
        <w:t>, 406–416 (2014).</w:t>
      </w:r>
    </w:p>
    <w:p w14:paraId="58108A6E" w14:textId="77777777" w:rsidR="00412B02" w:rsidRPr="007A378F" w:rsidRDefault="00412B02" w:rsidP="00155C4B">
      <w:pPr>
        <w:pStyle w:val="Bibliography"/>
        <w:spacing w:line="276" w:lineRule="auto"/>
        <w:jc w:val="both"/>
      </w:pPr>
      <w:r w:rsidRPr="007A378F">
        <w:t>37.</w:t>
      </w:r>
      <w:r w:rsidRPr="007A378F">
        <w:tab/>
        <w:t xml:space="preserve">Gotelli, N. J. &amp; Stanton-Geddes, J. Climate change, genetic markers and species distribution modelling. </w:t>
      </w:r>
      <w:r w:rsidRPr="007A378F">
        <w:rPr>
          <w:i/>
          <w:iCs/>
        </w:rPr>
        <w:t>J. Biogeogr.</w:t>
      </w:r>
      <w:r w:rsidRPr="007A378F">
        <w:t xml:space="preserve"> </w:t>
      </w:r>
      <w:r w:rsidRPr="007A378F">
        <w:rPr>
          <w:b/>
          <w:bCs/>
        </w:rPr>
        <w:t>42</w:t>
      </w:r>
      <w:r w:rsidRPr="007A378F">
        <w:t>, 1577–1585 (2015).</w:t>
      </w:r>
    </w:p>
    <w:p w14:paraId="0D9B7F39" w14:textId="77777777" w:rsidR="00412B02" w:rsidRPr="007A378F" w:rsidRDefault="00412B02" w:rsidP="00155C4B">
      <w:pPr>
        <w:pStyle w:val="Bibliography"/>
        <w:spacing w:line="276" w:lineRule="auto"/>
        <w:jc w:val="both"/>
      </w:pPr>
      <w:r w:rsidRPr="007A378F">
        <w:t>38.</w:t>
      </w:r>
      <w:r w:rsidRPr="007A378F">
        <w:tab/>
        <w:t xml:space="preserve">Cushman, S. A. </w:t>
      </w:r>
      <w:r w:rsidRPr="007A378F">
        <w:rPr>
          <w:i/>
          <w:iCs/>
        </w:rPr>
        <w:t>et al.</w:t>
      </w:r>
      <w:r w:rsidRPr="007A378F">
        <w:t xml:space="preserve"> Landscape genetic connectivity in a riparian foundation tree is jointly driven by climatic gradients and river networks. </w:t>
      </w:r>
      <w:r w:rsidRPr="007A378F">
        <w:rPr>
          <w:i/>
          <w:iCs/>
        </w:rPr>
        <w:t>Ecol. Appl.</w:t>
      </w:r>
      <w:r w:rsidRPr="007A378F">
        <w:t xml:space="preserve"> </w:t>
      </w:r>
      <w:r w:rsidRPr="007A378F">
        <w:rPr>
          <w:b/>
          <w:bCs/>
        </w:rPr>
        <w:t>24</w:t>
      </w:r>
      <w:r w:rsidRPr="007A378F">
        <w:t>, 1000–1014 (2014).</w:t>
      </w:r>
    </w:p>
    <w:p w14:paraId="216C5858" w14:textId="77777777" w:rsidR="00412B02" w:rsidRPr="007A378F" w:rsidRDefault="00412B02" w:rsidP="00155C4B">
      <w:pPr>
        <w:pStyle w:val="Bibliography"/>
        <w:spacing w:line="276" w:lineRule="auto"/>
        <w:jc w:val="both"/>
      </w:pPr>
      <w:r w:rsidRPr="007A378F">
        <w:t>39.</w:t>
      </w:r>
      <w:r w:rsidRPr="007A378F">
        <w:tab/>
        <w:t xml:space="preserve">Bothwell, H. M. </w:t>
      </w:r>
      <w:r w:rsidRPr="007A378F">
        <w:rPr>
          <w:i/>
          <w:iCs/>
        </w:rPr>
        <w:t>et al.</w:t>
      </w:r>
      <w:r w:rsidRPr="007A378F">
        <w:t xml:space="preserve"> Conserving threatened riparian ecosystems in the American West: Precipitation gradients and river networks drive genetic connectivity and diversity in a foundation riparian tree (</w:t>
      </w:r>
      <w:r w:rsidRPr="004B4C00">
        <w:rPr>
          <w:i/>
          <w:iCs/>
        </w:rPr>
        <w:t>Populus angustifolia</w:t>
      </w:r>
      <w:r w:rsidRPr="007A378F">
        <w:t xml:space="preserve">). </w:t>
      </w:r>
      <w:r w:rsidRPr="007A378F">
        <w:rPr>
          <w:i/>
          <w:iCs/>
        </w:rPr>
        <w:t>Mol. Ecol.</w:t>
      </w:r>
      <w:r w:rsidRPr="007A378F">
        <w:t xml:space="preserve"> </w:t>
      </w:r>
      <w:r w:rsidRPr="007A378F">
        <w:rPr>
          <w:b/>
          <w:bCs/>
        </w:rPr>
        <w:t>26</w:t>
      </w:r>
      <w:r w:rsidRPr="007A378F">
        <w:t>, 5114–5132 (2017).</w:t>
      </w:r>
    </w:p>
    <w:p w14:paraId="5485E901" w14:textId="77777777" w:rsidR="00412B02" w:rsidRPr="007A378F" w:rsidRDefault="00412B02" w:rsidP="00155C4B">
      <w:pPr>
        <w:pStyle w:val="Bibliography"/>
        <w:spacing w:line="276" w:lineRule="auto"/>
        <w:jc w:val="both"/>
      </w:pPr>
      <w:r w:rsidRPr="007A378F">
        <w:t>40.</w:t>
      </w:r>
      <w:r w:rsidRPr="007A378F">
        <w:tab/>
        <w:t xml:space="preserve">Hamann, A., Wang, T., Spittlehouse, D. L. &amp; Murdock, T. Q. A Comprehensive, High-Resolution Database of Historical and Projected Climate Surfaces for Western North America. </w:t>
      </w:r>
      <w:r w:rsidRPr="007A378F">
        <w:rPr>
          <w:i/>
          <w:iCs/>
        </w:rPr>
        <w:t>Bull. Am. Meteorol. Soc.</w:t>
      </w:r>
      <w:r w:rsidRPr="007A378F">
        <w:t xml:space="preserve"> </w:t>
      </w:r>
      <w:r w:rsidRPr="007A378F">
        <w:rPr>
          <w:b/>
          <w:bCs/>
        </w:rPr>
        <w:t>94</w:t>
      </w:r>
      <w:r w:rsidRPr="007A378F">
        <w:t>, 1307–1309 (2013).</w:t>
      </w:r>
    </w:p>
    <w:p w14:paraId="3048BEAE" w14:textId="77777777" w:rsidR="00412B02" w:rsidRPr="007A378F" w:rsidRDefault="00412B02" w:rsidP="00155C4B">
      <w:pPr>
        <w:pStyle w:val="Bibliography"/>
        <w:spacing w:line="276" w:lineRule="auto"/>
        <w:jc w:val="both"/>
      </w:pPr>
      <w:r w:rsidRPr="007A378F">
        <w:t>41.</w:t>
      </w:r>
      <w:r w:rsidRPr="007A378F">
        <w:tab/>
        <w:t xml:space="preserve">Lucinda McKay </w:t>
      </w:r>
      <w:r w:rsidRPr="007A378F">
        <w:rPr>
          <w:i/>
          <w:iCs/>
        </w:rPr>
        <w:t>et al.</w:t>
      </w:r>
      <w:r w:rsidRPr="007A378F">
        <w:t xml:space="preserve"> NHDPlus Version 2: User Guide. (2012).</w:t>
      </w:r>
    </w:p>
    <w:p w14:paraId="71C7E197" w14:textId="77777777" w:rsidR="00412B02" w:rsidRPr="007A378F" w:rsidRDefault="00412B02" w:rsidP="00155C4B">
      <w:pPr>
        <w:pStyle w:val="Bibliography"/>
        <w:spacing w:line="276" w:lineRule="auto"/>
        <w:jc w:val="both"/>
      </w:pPr>
      <w:r w:rsidRPr="007A378F">
        <w:t>42.</w:t>
      </w:r>
      <w:r w:rsidRPr="007A378F">
        <w:tab/>
        <w:t xml:space="preserve">ESRI. </w:t>
      </w:r>
      <w:r w:rsidRPr="007A378F">
        <w:rPr>
          <w:i/>
          <w:iCs/>
        </w:rPr>
        <w:t>ArcMap</w:t>
      </w:r>
      <w:r w:rsidRPr="007A378F">
        <w:t>. (2018).</w:t>
      </w:r>
    </w:p>
    <w:p w14:paraId="1C264988" w14:textId="77777777" w:rsidR="00412B02" w:rsidRPr="007A378F" w:rsidRDefault="00412B02" w:rsidP="00155C4B">
      <w:pPr>
        <w:pStyle w:val="Bibliography"/>
        <w:spacing w:line="276" w:lineRule="auto"/>
        <w:jc w:val="both"/>
      </w:pPr>
      <w:r w:rsidRPr="007A378F">
        <w:t>43.</w:t>
      </w:r>
      <w:r w:rsidRPr="007A378F">
        <w:tab/>
        <w:t xml:space="preserve">Elith, J. &amp; Leathwick, J. R. Species Distribution Models: Ecological Explanation and Prediction Across Space and Time. </w:t>
      </w:r>
      <w:r w:rsidRPr="007A378F">
        <w:rPr>
          <w:i/>
          <w:iCs/>
        </w:rPr>
        <w:t>Annu. Rev. Ecol. Evol. Syst.</w:t>
      </w:r>
      <w:r w:rsidRPr="007A378F">
        <w:t xml:space="preserve"> </w:t>
      </w:r>
      <w:r w:rsidRPr="007A378F">
        <w:rPr>
          <w:b/>
          <w:bCs/>
        </w:rPr>
        <w:t>40</w:t>
      </w:r>
      <w:r w:rsidRPr="007A378F">
        <w:t>, 677–697 (2009).</w:t>
      </w:r>
    </w:p>
    <w:p w14:paraId="03DF9AA3" w14:textId="77777777" w:rsidR="00412B02" w:rsidRPr="007A378F" w:rsidRDefault="00412B02" w:rsidP="00155C4B">
      <w:pPr>
        <w:pStyle w:val="Bibliography"/>
        <w:spacing w:line="276" w:lineRule="auto"/>
        <w:jc w:val="both"/>
      </w:pPr>
      <w:r w:rsidRPr="007A378F">
        <w:t>44.</w:t>
      </w:r>
      <w:r w:rsidRPr="007A378F">
        <w:tab/>
        <w:t xml:space="preserve">Franklin, J. </w:t>
      </w:r>
      <w:r w:rsidRPr="007A378F">
        <w:rPr>
          <w:i/>
          <w:iCs/>
        </w:rPr>
        <w:t>Mapping Species Distributions: Spatial Inference and Prediction</w:t>
      </w:r>
      <w:r w:rsidRPr="007A378F">
        <w:t>. (Cambridge University Press, 2009).</w:t>
      </w:r>
    </w:p>
    <w:p w14:paraId="343C037B" w14:textId="77777777" w:rsidR="00412B02" w:rsidRPr="007A378F" w:rsidRDefault="00412B02" w:rsidP="00155C4B">
      <w:pPr>
        <w:pStyle w:val="Bibliography"/>
        <w:spacing w:line="276" w:lineRule="auto"/>
        <w:jc w:val="both"/>
      </w:pPr>
      <w:r w:rsidRPr="007A378F">
        <w:t>45.</w:t>
      </w:r>
      <w:r w:rsidRPr="007A378F">
        <w:tab/>
        <w:t xml:space="preserve">Elith, J. </w:t>
      </w:r>
      <w:r w:rsidRPr="007A378F">
        <w:rPr>
          <w:i/>
          <w:iCs/>
        </w:rPr>
        <w:t>et al.</w:t>
      </w:r>
      <w:r w:rsidRPr="007A378F">
        <w:t xml:space="preserve"> A statistical explanation of MaxEnt for ecologists. </w:t>
      </w:r>
      <w:r w:rsidRPr="007A378F">
        <w:rPr>
          <w:i/>
          <w:iCs/>
        </w:rPr>
        <w:t>Divers. Distrib.</w:t>
      </w:r>
      <w:r w:rsidRPr="007A378F">
        <w:t xml:space="preserve"> </w:t>
      </w:r>
      <w:r w:rsidRPr="007A378F">
        <w:rPr>
          <w:b/>
          <w:bCs/>
        </w:rPr>
        <w:t>17</w:t>
      </w:r>
      <w:r w:rsidRPr="007A378F">
        <w:t>, 43–57 (2011).</w:t>
      </w:r>
    </w:p>
    <w:p w14:paraId="7D5E5C39" w14:textId="77777777" w:rsidR="00412B02" w:rsidRPr="007A378F" w:rsidRDefault="00412B02" w:rsidP="00155C4B">
      <w:pPr>
        <w:pStyle w:val="Bibliography"/>
        <w:spacing w:line="276" w:lineRule="auto"/>
        <w:jc w:val="both"/>
      </w:pPr>
      <w:r w:rsidRPr="007A378F">
        <w:t>46.</w:t>
      </w:r>
      <w:r w:rsidRPr="007A378F">
        <w:tab/>
        <w:t xml:space="preserve">Elith*, J. </w:t>
      </w:r>
      <w:r w:rsidRPr="007A378F">
        <w:rPr>
          <w:i/>
          <w:iCs/>
        </w:rPr>
        <w:t>et al.</w:t>
      </w:r>
      <w:r w:rsidRPr="007A378F">
        <w:t xml:space="preserve"> Novel methods improve prediction of species’ distributions from occurrence data. </w:t>
      </w:r>
      <w:r w:rsidRPr="007A378F">
        <w:rPr>
          <w:i/>
          <w:iCs/>
        </w:rPr>
        <w:t>Ecography</w:t>
      </w:r>
      <w:r w:rsidRPr="007A378F">
        <w:t xml:space="preserve"> </w:t>
      </w:r>
      <w:r w:rsidRPr="007A378F">
        <w:rPr>
          <w:b/>
          <w:bCs/>
        </w:rPr>
        <w:t>29</w:t>
      </w:r>
      <w:r w:rsidRPr="007A378F">
        <w:t>, 129–151 (2006).</w:t>
      </w:r>
    </w:p>
    <w:p w14:paraId="2804EF0B" w14:textId="77777777" w:rsidR="00412B02" w:rsidRPr="007A378F" w:rsidRDefault="00412B02" w:rsidP="00155C4B">
      <w:pPr>
        <w:pStyle w:val="Bibliography"/>
        <w:spacing w:line="276" w:lineRule="auto"/>
        <w:jc w:val="both"/>
      </w:pPr>
      <w:r w:rsidRPr="007A378F">
        <w:t>47.</w:t>
      </w:r>
      <w:r w:rsidRPr="007A378F">
        <w:tab/>
        <w:t xml:space="preserve">Pearson, R. G., Raxworthy, C. J., Nakamura, M. &amp; Townsend Peterson, A. Predicting species distributions from small numbers of occurrence records: a test case using cryptic geckos in Madagascar. </w:t>
      </w:r>
      <w:r w:rsidRPr="007A378F">
        <w:rPr>
          <w:i/>
          <w:iCs/>
        </w:rPr>
        <w:t>J. Biogeogr.</w:t>
      </w:r>
      <w:r w:rsidRPr="007A378F">
        <w:t xml:space="preserve"> </w:t>
      </w:r>
      <w:r w:rsidRPr="007A378F">
        <w:rPr>
          <w:b/>
          <w:bCs/>
        </w:rPr>
        <w:t>34</w:t>
      </w:r>
      <w:r w:rsidRPr="007A378F">
        <w:t>, 102–117 (2007).</w:t>
      </w:r>
    </w:p>
    <w:p w14:paraId="6053480B" w14:textId="77777777" w:rsidR="00412B02" w:rsidRPr="007A378F" w:rsidRDefault="00412B02" w:rsidP="00155C4B">
      <w:pPr>
        <w:pStyle w:val="Bibliography"/>
        <w:spacing w:line="276" w:lineRule="auto"/>
        <w:jc w:val="both"/>
      </w:pPr>
      <w:r w:rsidRPr="007A378F">
        <w:t>48.</w:t>
      </w:r>
      <w:r w:rsidRPr="007A378F">
        <w:tab/>
        <w:t xml:space="preserve">Swets, J. A. Measuring the Accuracy of Diagnostic Systems. </w:t>
      </w:r>
      <w:r w:rsidRPr="007A378F">
        <w:rPr>
          <w:i/>
          <w:iCs/>
        </w:rPr>
        <w:t>Science</w:t>
      </w:r>
      <w:r w:rsidRPr="007A378F">
        <w:t xml:space="preserve"> </w:t>
      </w:r>
      <w:r w:rsidRPr="007A378F">
        <w:rPr>
          <w:b/>
          <w:bCs/>
        </w:rPr>
        <w:t>240</w:t>
      </w:r>
      <w:r w:rsidRPr="007A378F">
        <w:t>, 1285–1293 (1988).</w:t>
      </w:r>
    </w:p>
    <w:p w14:paraId="75FFC009" w14:textId="77777777" w:rsidR="00412B02" w:rsidRPr="007A378F" w:rsidRDefault="00412B02" w:rsidP="00155C4B">
      <w:pPr>
        <w:pStyle w:val="Bibliography"/>
        <w:spacing w:line="276" w:lineRule="auto"/>
        <w:jc w:val="both"/>
      </w:pPr>
      <w:r w:rsidRPr="007A378F">
        <w:t>49.</w:t>
      </w:r>
      <w:r w:rsidRPr="007A378F">
        <w:tab/>
        <w:t xml:space="preserve">Syfert, M. M., Brummitt, N. A., Coomes, D. A., Bystriakova, N. &amp; Smith, M. J. Inferring diversity patterns along an elevation gradient from stacked SDMs: A case study on Mesoamerican ferns. </w:t>
      </w:r>
      <w:r w:rsidRPr="007A378F">
        <w:rPr>
          <w:i/>
          <w:iCs/>
        </w:rPr>
        <w:t>Glob. Ecol. Conserv.</w:t>
      </w:r>
      <w:r w:rsidRPr="007A378F">
        <w:t xml:space="preserve"> </w:t>
      </w:r>
      <w:r w:rsidRPr="007A378F">
        <w:rPr>
          <w:b/>
          <w:bCs/>
        </w:rPr>
        <w:t>16</w:t>
      </w:r>
      <w:r w:rsidRPr="007A378F">
        <w:t>, e00433 (2018).</w:t>
      </w:r>
    </w:p>
    <w:p w14:paraId="6F7704A4" w14:textId="77777777" w:rsidR="00412B02" w:rsidRPr="007A378F" w:rsidRDefault="00412B02" w:rsidP="00155C4B">
      <w:pPr>
        <w:pStyle w:val="Bibliography"/>
        <w:spacing w:line="276" w:lineRule="auto"/>
        <w:jc w:val="both"/>
      </w:pPr>
      <w:r w:rsidRPr="007A378F">
        <w:t>50.</w:t>
      </w:r>
      <w:r w:rsidRPr="007A378F">
        <w:tab/>
        <w:t xml:space="preserve">Mateo, R. G., Felicísimo, Á. M., Pottier, J., Guisan, A. &amp; Muñoz, J. Do Stacked Species Distribution Models Reflect Altitudinal Diversity Patterns? </w:t>
      </w:r>
      <w:r w:rsidRPr="007A378F">
        <w:rPr>
          <w:i/>
          <w:iCs/>
        </w:rPr>
        <w:t>PLOS ONE</w:t>
      </w:r>
      <w:r w:rsidRPr="007A378F">
        <w:t xml:space="preserve"> </w:t>
      </w:r>
      <w:r w:rsidRPr="007A378F">
        <w:rPr>
          <w:b/>
          <w:bCs/>
        </w:rPr>
        <w:t>7</w:t>
      </w:r>
      <w:r w:rsidRPr="007A378F">
        <w:t>, e32586 (2012).</w:t>
      </w:r>
    </w:p>
    <w:p w14:paraId="43F9ECA8" w14:textId="77777777" w:rsidR="00412B02" w:rsidRPr="007A378F" w:rsidRDefault="00412B02" w:rsidP="00155C4B">
      <w:pPr>
        <w:pStyle w:val="Bibliography"/>
        <w:spacing w:line="276" w:lineRule="auto"/>
        <w:jc w:val="both"/>
      </w:pPr>
      <w:r w:rsidRPr="007A378F">
        <w:t>51.</w:t>
      </w:r>
      <w:r w:rsidRPr="007A378F">
        <w:tab/>
        <w:t xml:space="preserve">Engler, R. </w:t>
      </w:r>
      <w:r w:rsidRPr="007A378F">
        <w:rPr>
          <w:i/>
          <w:iCs/>
        </w:rPr>
        <w:t>et al.</w:t>
      </w:r>
      <w:r w:rsidRPr="007A378F">
        <w:t xml:space="preserve"> 21st century climate change threatens mountain flora unequally across Europe. </w:t>
      </w:r>
      <w:r w:rsidRPr="007A378F">
        <w:rPr>
          <w:i/>
          <w:iCs/>
        </w:rPr>
        <w:t>Glob. Change Biol.</w:t>
      </w:r>
      <w:r w:rsidRPr="007A378F">
        <w:t xml:space="preserve"> </w:t>
      </w:r>
      <w:r w:rsidRPr="007A378F">
        <w:rPr>
          <w:b/>
          <w:bCs/>
        </w:rPr>
        <w:t>17</w:t>
      </w:r>
      <w:r w:rsidRPr="007A378F">
        <w:t>, 2330–2341 (2011).</w:t>
      </w:r>
    </w:p>
    <w:p w14:paraId="65F8C438" w14:textId="77777777" w:rsidR="00412B02" w:rsidRPr="007A378F" w:rsidRDefault="00412B02" w:rsidP="00155C4B">
      <w:pPr>
        <w:pStyle w:val="Bibliography"/>
        <w:spacing w:line="276" w:lineRule="auto"/>
        <w:jc w:val="both"/>
      </w:pPr>
      <w:r w:rsidRPr="007A378F">
        <w:t>52.</w:t>
      </w:r>
      <w:r w:rsidRPr="007A378F">
        <w:tab/>
        <w:t xml:space="preserve">Randin, C. F. </w:t>
      </w:r>
      <w:r w:rsidRPr="007A378F">
        <w:rPr>
          <w:i/>
          <w:iCs/>
        </w:rPr>
        <w:t>et al.</w:t>
      </w:r>
      <w:r w:rsidRPr="007A378F">
        <w:t xml:space="preserve"> Climate change and plant distribution: local models predict high-elevation persistence. </w:t>
      </w:r>
      <w:r w:rsidRPr="007A378F">
        <w:rPr>
          <w:i/>
          <w:iCs/>
        </w:rPr>
        <w:t>Glob. Change Biol.</w:t>
      </w:r>
      <w:r w:rsidRPr="007A378F">
        <w:t xml:space="preserve"> </w:t>
      </w:r>
      <w:r w:rsidRPr="007A378F">
        <w:rPr>
          <w:b/>
          <w:bCs/>
        </w:rPr>
        <w:t>15</w:t>
      </w:r>
      <w:r w:rsidRPr="007A378F">
        <w:t>, 1557–1569 (2009).</w:t>
      </w:r>
    </w:p>
    <w:p w14:paraId="138C745C" w14:textId="77777777" w:rsidR="00412B02" w:rsidRPr="007A378F" w:rsidRDefault="00412B02" w:rsidP="00155C4B">
      <w:pPr>
        <w:pStyle w:val="Bibliography"/>
        <w:spacing w:line="276" w:lineRule="auto"/>
        <w:jc w:val="both"/>
      </w:pPr>
      <w:r w:rsidRPr="007A378F">
        <w:lastRenderedPageBreak/>
        <w:t>53.</w:t>
      </w:r>
      <w:r w:rsidRPr="007A378F">
        <w:tab/>
        <w:t xml:space="preserve">Knutti, R., Masson, D. &amp; Gettelman, A. Climate model genealogy: Generation CMIP5 and how we got there. </w:t>
      </w:r>
      <w:r w:rsidRPr="007A378F">
        <w:rPr>
          <w:i/>
          <w:iCs/>
        </w:rPr>
        <w:t>Geophys. Res. Lett.</w:t>
      </w:r>
      <w:r w:rsidRPr="007A378F">
        <w:t xml:space="preserve"> </w:t>
      </w:r>
      <w:r w:rsidRPr="007A378F">
        <w:rPr>
          <w:b/>
          <w:bCs/>
        </w:rPr>
        <w:t>40</w:t>
      </w:r>
      <w:r w:rsidRPr="007A378F">
        <w:t>, 1194–1199 (2013).</w:t>
      </w:r>
    </w:p>
    <w:p w14:paraId="0E58A300" w14:textId="77777777" w:rsidR="00412B02" w:rsidRPr="007A378F" w:rsidRDefault="00412B02" w:rsidP="00155C4B">
      <w:pPr>
        <w:pStyle w:val="Bibliography"/>
        <w:spacing w:line="276" w:lineRule="auto"/>
        <w:jc w:val="both"/>
      </w:pPr>
      <w:r w:rsidRPr="007A378F">
        <w:t>54.</w:t>
      </w:r>
      <w:r w:rsidRPr="007A378F">
        <w:tab/>
        <w:t xml:space="preserve">Mateo, R. G., Mokany, K. &amp; Guisan, A. Biodiversity Models: What If Unsaturation Is the Rule? </w:t>
      </w:r>
      <w:r w:rsidRPr="007A378F">
        <w:rPr>
          <w:i/>
          <w:iCs/>
        </w:rPr>
        <w:t>Trends Ecol. Evol.</w:t>
      </w:r>
      <w:r w:rsidRPr="007A378F">
        <w:t xml:space="preserve"> </w:t>
      </w:r>
      <w:r w:rsidRPr="007A378F">
        <w:rPr>
          <w:b/>
          <w:bCs/>
        </w:rPr>
        <w:t>32</w:t>
      </w:r>
      <w:r w:rsidRPr="007A378F">
        <w:t>, 556–566 (2017).</w:t>
      </w:r>
    </w:p>
    <w:p w14:paraId="7971E59A" w14:textId="77777777" w:rsidR="00412B02" w:rsidRPr="007A378F" w:rsidRDefault="00412B02" w:rsidP="00155C4B">
      <w:pPr>
        <w:pStyle w:val="Bibliography"/>
        <w:spacing w:line="276" w:lineRule="auto"/>
        <w:jc w:val="both"/>
      </w:pPr>
      <w:r w:rsidRPr="007A378F">
        <w:t>55.</w:t>
      </w:r>
      <w:r w:rsidRPr="007A378F">
        <w:tab/>
        <w:t xml:space="preserve">R Core Team. </w:t>
      </w:r>
      <w:r w:rsidRPr="007A378F">
        <w:rPr>
          <w:i/>
          <w:iCs/>
        </w:rPr>
        <w:t>R: A Language and Environment for Statistical Computing</w:t>
      </w:r>
      <w:r w:rsidRPr="007A378F">
        <w:t>. (R Foundation for Statistical Computing, 2020).</w:t>
      </w:r>
    </w:p>
    <w:p w14:paraId="21824467" w14:textId="77777777" w:rsidR="00412B02" w:rsidRPr="007A378F" w:rsidRDefault="00412B02" w:rsidP="00155C4B">
      <w:pPr>
        <w:pStyle w:val="Bibliography"/>
        <w:spacing w:line="276" w:lineRule="auto"/>
        <w:jc w:val="both"/>
      </w:pPr>
      <w:r w:rsidRPr="007A378F">
        <w:t>56.</w:t>
      </w:r>
      <w:r w:rsidRPr="007A378F">
        <w:tab/>
        <w:t xml:space="preserve">Oksanen, J. </w:t>
      </w:r>
      <w:r w:rsidRPr="007A378F">
        <w:rPr>
          <w:i/>
          <w:iCs/>
        </w:rPr>
        <w:t>et al.</w:t>
      </w:r>
      <w:r w:rsidRPr="007A378F">
        <w:t xml:space="preserve"> </w:t>
      </w:r>
      <w:r w:rsidRPr="007A378F">
        <w:rPr>
          <w:i/>
          <w:iCs/>
        </w:rPr>
        <w:t>vegan: Community Ecology Package</w:t>
      </w:r>
      <w:r w:rsidRPr="007A378F">
        <w:t>. (2020).</w:t>
      </w:r>
    </w:p>
    <w:p w14:paraId="575B8D34" w14:textId="62771E47" w:rsidR="00412B02" w:rsidRPr="007A378F" w:rsidRDefault="00412B02" w:rsidP="00155C4B">
      <w:pPr>
        <w:pStyle w:val="Bibliography"/>
        <w:spacing w:line="276" w:lineRule="auto"/>
        <w:jc w:val="both"/>
      </w:pPr>
      <w:r w:rsidRPr="007A378F">
        <w:t>5</w:t>
      </w:r>
      <w:r w:rsidR="004077F8">
        <w:t>7</w:t>
      </w:r>
      <w:r w:rsidRPr="007A378F">
        <w:t>.</w:t>
      </w:r>
      <w:r w:rsidRPr="007A378F">
        <w:tab/>
        <w:t xml:space="preserve">John A. Endler. </w:t>
      </w:r>
      <w:r w:rsidRPr="007A378F">
        <w:rPr>
          <w:i/>
          <w:iCs/>
        </w:rPr>
        <w:t>Geographic Variation, Speciation, and Clines</w:t>
      </w:r>
      <w:r w:rsidRPr="007A378F">
        <w:t>. (Princeton University Press, 1977).</w:t>
      </w:r>
    </w:p>
    <w:p w14:paraId="6E44F33B" w14:textId="13DF18E5" w:rsidR="00412B02" w:rsidRPr="007A378F" w:rsidRDefault="00791819" w:rsidP="00155C4B">
      <w:pPr>
        <w:pStyle w:val="Bibliography"/>
        <w:spacing w:line="276" w:lineRule="auto"/>
        <w:jc w:val="both"/>
      </w:pPr>
      <w:r>
        <w:t>5</w:t>
      </w:r>
      <w:r w:rsidR="004077F8">
        <w:t>8</w:t>
      </w:r>
      <w:r w:rsidR="00412B02" w:rsidRPr="007A378F">
        <w:t>.</w:t>
      </w:r>
      <w:r w:rsidR="00412B02" w:rsidRPr="007A378F">
        <w:tab/>
        <w:t xml:space="preserve">May, R. M. &amp; Godfrey, J. Biological Diversity: Differences between Land and Sea [and Discussion]. </w:t>
      </w:r>
      <w:r w:rsidR="00412B02" w:rsidRPr="007A378F">
        <w:rPr>
          <w:i/>
          <w:iCs/>
        </w:rPr>
        <w:t>Philos. Trans. Biol. Sci.</w:t>
      </w:r>
      <w:r w:rsidR="00412B02" w:rsidRPr="007A378F">
        <w:t xml:space="preserve"> </w:t>
      </w:r>
      <w:r w:rsidR="00412B02" w:rsidRPr="007A378F">
        <w:rPr>
          <w:b/>
          <w:bCs/>
        </w:rPr>
        <w:t>343</w:t>
      </w:r>
      <w:r w:rsidR="00412B02" w:rsidRPr="007A378F">
        <w:t>, 105–111 (1994).</w:t>
      </w:r>
    </w:p>
    <w:p w14:paraId="66341B7D" w14:textId="3266C67B" w:rsidR="00412B02" w:rsidRPr="007A378F" w:rsidRDefault="004077F8" w:rsidP="00155C4B">
      <w:pPr>
        <w:pStyle w:val="Bibliography"/>
        <w:spacing w:line="276" w:lineRule="auto"/>
        <w:jc w:val="both"/>
      </w:pPr>
      <w:r>
        <w:t>59</w:t>
      </w:r>
      <w:r w:rsidR="00412B02" w:rsidRPr="007A378F">
        <w:t>.</w:t>
      </w:r>
      <w:r w:rsidR="00412B02" w:rsidRPr="007A378F">
        <w:tab/>
        <w:t xml:space="preserve">Des Roches, S. </w:t>
      </w:r>
      <w:r w:rsidR="00412B02" w:rsidRPr="007A378F">
        <w:rPr>
          <w:i/>
          <w:iCs/>
        </w:rPr>
        <w:t>et al.</w:t>
      </w:r>
      <w:r w:rsidR="00412B02" w:rsidRPr="007A378F">
        <w:t xml:space="preserve"> The ecological importance of intraspecific variation. </w:t>
      </w:r>
      <w:r w:rsidR="00412B02" w:rsidRPr="007A378F">
        <w:rPr>
          <w:i/>
          <w:iCs/>
        </w:rPr>
        <w:t>Nat. Ecol. Evol.</w:t>
      </w:r>
      <w:r w:rsidR="00412B02" w:rsidRPr="007A378F">
        <w:t xml:space="preserve"> </w:t>
      </w:r>
      <w:r w:rsidR="00412B02" w:rsidRPr="007A378F">
        <w:rPr>
          <w:b/>
          <w:bCs/>
        </w:rPr>
        <w:t>2</w:t>
      </w:r>
      <w:r w:rsidR="00412B02" w:rsidRPr="007A378F">
        <w:t>, 57–64 (2018).</w:t>
      </w:r>
    </w:p>
    <w:p w14:paraId="780F6A64" w14:textId="44E59D2F" w:rsidR="00412B02" w:rsidRPr="007A378F" w:rsidRDefault="00412B02" w:rsidP="00155C4B">
      <w:pPr>
        <w:pStyle w:val="Bibliography"/>
        <w:spacing w:line="276" w:lineRule="auto"/>
        <w:jc w:val="both"/>
      </w:pPr>
      <w:r w:rsidRPr="007A378F">
        <w:t>6</w:t>
      </w:r>
      <w:r w:rsidR="004077F8">
        <w:t>0</w:t>
      </w:r>
      <w:r w:rsidRPr="007A378F">
        <w:t>.</w:t>
      </w:r>
      <w:r w:rsidRPr="007A378F">
        <w:tab/>
        <w:t xml:space="preserve">Van Nuland, M. E., Bailey, J. K. &amp; Schweitzer, J. A. Divergent plant–soil feedbacks could alter future elevation ranges and ecosystem dynamics. </w:t>
      </w:r>
      <w:r w:rsidRPr="007A378F">
        <w:rPr>
          <w:i/>
          <w:iCs/>
        </w:rPr>
        <w:t>Nat. Ecol. Evol.</w:t>
      </w:r>
      <w:r w:rsidRPr="007A378F">
        <w:t xml:space="preserve"> </w:t>
      </w:r>
      <w:r w:rsidRPr="007A378F">
        <w:rPr>
          <w:b/>
          <w:bCs/>
        </w:rPr>
        <w:t>1</w:t>
      </w:r>
      <w:r w:rsidRPr="007A378F">
        <w:t>, 0150 (2017).</w:t>
      </w:r>
    </w:p>
    <w:p w14:paraId="02717252" w14:textId="57CAC75B" w:rsidR="00412B02" w:rsidRPr="007A378F" w:rsidRDefault="00412B02" w:rsidP="00155C4B">
      <w:pPr>
        <w:pStyle w:val="Bibliography"/>
        <w:spacing w:line="276" w:lineRule="auto"/>
        <w:jc w:val="both"/>
      </w:pPr>
      <w:r w:rsidRPr="007A378F">
        <w:t>6</w:t>
      </w:r>
      <w:r w:rsidR="004077F8">
        <w:t>1</w:t>
      </w:r>
      <w:r w:rsidRPr="007A378F">
        <w:t>.</w:t>
      </w:r>
      <w:r w:rsidRPr="007A378F">
        <w:tab/>
        <w:t xml:space="preserve">Richardson, A. D. </w:t>
      </w:r>
      <w:r w:rsidRPr="007A378F">
        <w:rPr>
          <w:i/>
          <w:iCs/>
        </w:rPr>
        <w:t>et al.</w:t>
      </w:r>
      <w:r w:rsidRPr="007A378F">
        <w:t xml:space="preserve"> Influence of spring and autumn phenological transitions on forest ecosystem productivity. </w:t>
      </w:r>
      <w:r w:rsidRPr="007A378F">
        <w:rPr>
          <w:i/>
          <w:iCs/>
        </w:rPr>
        <w:t>Philos. Trans. R. Soc. B Biol. Sci.</w:t>
      </w:r>
      <w:r w:rsidRPr="007A378F">
        <w:t xml:space="preserve"> </w:t>
      </w:r>
      <w:r w:rsidRPr="007A378F">
        <w:rPr>
          <w:b/>
          <w:bCs/>
        </w:rPr>
        <w:t>365</w:t>
      </w:r>
      <w:r w:rsidRPr="007A378F">
        <w:t>, 3227–3246 (2010).</w:t>
      </w:r>
    </w:p>
    <w:p w14:paraId="553B6E28" w14:textId="7F7FA6E7" w:rsidR="00412B02" w:rsidRPr="007A378F" w:rsidRDefault="00412B02" w:rsidP="00155C4B">
      <w:pPr>
        <w:pStyle w:val="Bibliography"/>
        <w:spacing w:line="276" w:lineRule="auto"/>
        <w:jc w:val="both"/>
      </w:pPr>
      <w:r w:rsidRPr="007A378F">
        <w:t>6</w:t>
      </w:r>
      <w:r w:rsidR="004077F8">
        <w:t>2</w:t>
      </w:r>
      <w:r w:rsidRPr="007A378F">
        <w:t>.</w:t>
      </w:r>
      <w:r w:rsidRPr="007A378F">
        <w:tab/>
        <w:t xml:space="preserve">Andrew D.  Richardson </w:t>
      </w:r>
      <w:r w:rsidRPr="007A378F">
        <w:rPr>
          <w:i/>
          <w:iCs/>
        </w:rPr>
        <w:t>et al.</w:t>
      </w:r>
      <w:r w:rsidRPr="007A378F">
        <w:t xml:space="preserve"> Influence of spring phenology on seasonal and annual carbon balance in two contrasting New England forests. </w:t>
      </w:r>
      <w:r w:rsidRPr="007A378F">
        <w:rPr>
          <w:i/>
          <w:iCs/>
        </w:rPr>
        <w:t>Tree Physiol.</w:t>
      </w:r>
      <w:r w:rsidRPr="007A378F">
        <w:t xml:space="preserve"> </w:t>
      </w:r>
      <w:r w:rsidRPr="007A378F">
        <w:rPr>
          <w:b/>
          <w:bCs/>
        </w:rPr>
        <w:t>29</w:t>
      </w:r>
      <w:r w:rsidRPr="007A378F">
        <w:t>, 321–321 (2009).</w:t>
      </w:r>
    </w:p>
    <w:p w14:paraId="63FDE17A" w14:textId="3F2917FA" w:rsidR="00412B02" w:rsidRPr="007A378F" w:rsidRDefault="00412B02" w:rsidP="00155C4B">
      <w:pPr>
        <w:pStyle w:val="Bibliography"/>
        <w:spacing w:line="276" w:lineRule="auto"/>
        <w:jc w:val="both"/>
      </w:pPr>
      <w:r w:rsidRPr="007A378F">
        <w:t>6</w:t>
      </w:r>
      <w:r w:rsidR="004077F8">
        <w:t>3</w:t>
      </w:r>
      <w:r w:rsidRPr="007A378F">
        <w:t>.</w:t>
      </w:r>
      <w:r w:rsidRPr="007A378F">
        <w:tab/>
        <w:t xml:space="preserve">Huntington, T. G. CO2-induced suppression of transpiration cannot explain increasing runoff. </w:t>
      </w:r>
      <w:r w:rsidRPr="007A378F">
        <w:rPr>
          <w:i/>
          <w:iCs/>
        </w:rPr>
        <w:t>Hydrol. Process.</w:t>
      </w:r>
      <w:r w:rsidRPr="007A378F">
        <w:t xml:space="preserve"> </w:t>
      </w:r>
      <w:r w:rsidRPr="007A378F">
        <w:rPr>
          <w:b/>
          <w:bCs/>
        </w:rPr>
        <w:t>22</w:t>
      </w:r>
      <w:r w:rsidRPr="007A378F">
        <w:t>, 311–314 (2008).</w:t>
      </w:r>
    </w:p>
    <w:p w14:paraId="1DBFFA36" w14:textId="0B90D84D" w:rsidR="00412B02" w:rsidRPr="007A378F" w:rsidRDefault="00412B02" w:rsidP="00155C4B">
      <w:pPr>
        <w:pStyle w:val="Bibliography"/>
        <w:spacing w:line="276" w:lineRule="auto"/>
        <w:jc w:val="both"/>
      </w:pPr>
      <w:r w:rsidRPr="007A378F">
        <w:t>6</w:t>
      </w:r>
      <w:r w:rsidR="004077F8">
        <w:t>4</w:t>
      </w:r>
      <w:r w:rsidRPr="007A378F">
        <w:t>.</w:t>
      </w:r>
      <w:r w:rsidRPr="007A378F">
        <w:tab/>
        <w:t xml:space="preserve">Kim, J. H. </w:t>
      </w:r>
      <w:r w:rsidRPr="007A378F">
        <w:rPr>
          <w:i/>
          <w:iCs/>
        </w:rPr>
        <w:t>et al.</w:t>
      </w:r>
      <w:r w:rsidRPr="007A378F">
        <w:t xml:space="preserve"> Warming-Induced Earlier Greenup Leads to Reduced Stream Discharge in a Temperate Mixed Forest Catchment. </w:t>
      </w:r>
      <w:r w:rsidRPr="007A378F">
        <w:rPr>
          <w:i/>
          <w:iCs/>
        </w:rPr>
        <w:t>J. Geophys. Res. Biogeosciences</w:t>
      </w:r>
      <w:r w:rsidRPr="007A378F">
        <w:t xml:space="preserve"> </w:t>
      </w:r>
      <w:r w:rsidRPr="007A378F">
        <w:rPr>
          <w:b/>
          <w:bCs/>
        </w:rPr>
        <w:t>123</w:t>
      </w:r>
      <w:r w:rsidRPr="007A378F">
        <w:t>, 1960–1975 (2018).</w:t>
      </w:r>
    </w:p>
    <w:p w14:paraId="68EEAAE1" w14:textId="3965205A" w:rsidR="00412B02" w:rsidRPr="007A378F" w:rsidRDefault="00412B02" w:rsidP="00155C4B">
      <w:pPr>
        <w:pStyle w:val="Bibliography"/>
        <w:spacing w:line="276" w:lineRule="auto"/>
        <w:jc w:val="both"/>
      </w:pPr>
      <w:r w:rsidRPr="007A378F">
        <w:t>6</w:t>
      </w:r>
      <w:r w:rsidR="004077F8">
        <w:t>5</w:t>
      </w:r>
      <w:r w:rsidRPr="007A378F">
        <w:t>.</w:t>
      </w:r>
      <w:r w:rsidRPr="007A378F">
        <w:tab/>
        <w:t xml:space="preserve">Mori, A. S. </w:t>
      </w:r>
      <w:r w:rsidRPr="007A378F">
        <w:rPr>
          <w:i/>
          <w:iCs/>
        </w:rPr>
        <w:t>et al.</w:t>
      </w:r>
      <w:r w:rsidRPr="007A378F">
        <w:t xml:space="preserve"> Biodiversity–productivity relationships are key to nature-based climate solutions. </w:t>
      </w:r>
      <w:r w:rsidRPr="007A378F">
        <w:rPr>
          <w:i/>
          <w:iCs/>
        </w:rPr>
        <w:t>Nat. Clim. Change</w:t>
      </w:r>
      <w:r w:rsidRPr="007A378F">
        <w:t xml:space="preserve"> </w:t>
      </w:r>
      <w:r w:rsidRPr="007A378F">
        <w:rPr>
          <w:b/>
          <w:bCs/>
        </w:rPr>
        <w:t>11</w:t>
      </w:r>
      <w:r w:rsidRPr="007A378F">
        <w:t>, 543–550 (2021).</w:t>
      </w:r>
    </w:p>
    <w:p w14:paraId="271E5B99" w14:textId="7717C4F2" w:rsidR="00412B02" w:rsidRPr="007A378F" w:rsidRDefault="00412B02" w:rsidP="00155C4B">
      <w:pPr>
        <w:pStyle w:val="Bibliography"/>
        <w:spacing w:line="276" w:lineRule="auto"/>
        <w:jc w:val="both"/>
      </w:pPr>
      <w:r w:rsidRPr="007A378F">
        <w:t>6</w:t>
      </w:r>
      <w:r w:rsidR="004077F8">
        <w:t>6</w:t>
      </w:r>
      <w:r w:rsidRPr="007A378F">
        <w:t>.</w:t>
      </w:r>
      <w:r w:rsidRPr="007A378F">
        <w:tab/>
        <w:t xml:space="preserve">Robert J. Naiman, Henri Décamps, Michael E. McClain, &amp; editors. </w:t>
      </w:r>
      <w:r w:rsidRPr="007A378F">
        <w:rPr>
          <w:i/>
          <w:iCs/>
        </w:rPr>
        <w:t>Riparia: ecology, conservation, and management of streamside communities</w:t>
      </w:r>
      <w:r w:rsidRPr="007A378F">
        <w:t>. (Elsevier Academic Press, 2005).</w:t>
      </w:r>
    </w:p>
    <w:p w14:paraId="52ACB899" w14:textId="1349C138" w:rsidR="00412B02" w:rsidRPr="007A378F" w:rsidRDefault="00412B02" w:rsidP="00155C4B">
      <w:pPr>
        <w:pStyle w:val="Bibliography"/>
        <w:spacing w:line="276" w:lineRule="auto"/>
        <w:jc w:val="both"/>
      </w:pPr>
      <w:r w:rsidRPr="007A378F">
        <w:t>6</w:t>
      </w:r>
      <w:r w:rsidR="004077F8">
        <w:t>7</w:t>
      </w:r>
      <w:r w:rsidRPr="007A378F">
        <w:t>.</w:t>
      </w:r>
      <w:r w:rsidRPr="007A378F">
        <w:tab/>
        <w:t xml:space="preserve">Bayliss, S. L. J., Mueller, L. O., Ware, I. M., Schweitzer, J. A. &amp; Bailey, J. K. Plant genetic variation drives geographic differences in atmosphere–plant–ecosystem feedbacks. </w:t>
      </w:r>
      <w:r w:rsidRPr="007A378F">
        <w:rPr>
          <w:i/>
          <w:iCs/>
        </w:rPr>
        <w:t>Plant-Environ. Interact.</w:t>
      </w:r>
      <w:r w:rsidRPr="007A378F">
        <w:t xml:space="preserve"> </w:t>
      </w:r>
      <w:r w:rsidRPr="007A378F">
        <w:rPr>
          <w:b/>
          <w:bCs/>
        </w:rPr>
        <w:t>1</w:t>
      </w:r>
      <w:r w:rsidRPr="007A378F">
        <w:t>, 166–180 (2020).</w:t>
      </w:r>
    </w:p>
    <w:p w14:paraId="5E51484A" w14:textId="4732B261" w:rsidR="003925DB" w:rsidRPr="007A378F" w:rsidRDefault="00412B02" w:rsidP="00155C4B">
      <w:pPr>
        <w:spacing w:line="276" w:lineRule="auto"/>
        <w:jc w:val="both"/>
        <w:rPr>
          <w:b/>
          <w:bCs/>
          <w:caps/>
        </w:rPr>
      </w:pPr>
      <w:r w:rsidRPr="007A378F">
        <w:fldChar w:fldCharType="end"/>
      </w:r>
      <w:r w:rsidR="003925DB" w:rsidRPr="007A378F">
        <w:br w:type="page"/>
      </w:r>
    </w:p>
    <w:p w14:paraId="6E9306C2" w14:textId="3ADC89E1" w:rsidR="00412B02" w:rsidRDefault="009A1193" w:rsidP="003925DB">
      <w:pPr>
        <w:pStyle w:val="Heading1"/>
      </w:pPr>
      <w:bookmarkStart w:id="61" w:name="_Toc88056495"/>
      <w:r>
        <w:lastRenderedPageBreak/>
        <w:t>APPENDIX</w:t>
      </w:r>
      <w:r w:rsidR="003925DB">
        <w:t xml:space="preserve"> 3</w:t>
      </w:r>
      <w:bookmarkEnd w:id="61"/>
    </w:p>
    <w:p w14:paraId="7A7B7DB8" w14:textId="6AA3C947" w:rsidR="003925DB" w:rsidRPr="00412B02" w:rsidRDefault="00412B02" w:rsidP="003925DB">
      <w:pPr>
        <w:rPr>
          <w:b/>
          <w:bCs/>
          <w:caps/>
          <w:sz w:val="28"/>
        </w:rPr>
      </w:pPr>
      <w:r>
        <w:br w:type="page"/>
      </w:r>
    </w:p>
    <w:p w14:paraId="62EF1130" w14:textId="4FFDB251" w:rsidR="00412B02" w:rsidRDefault="00412B02" w:rsidP="00412B02">
      <w:pPr>
        <w:jc w:val="both"/>
        <w:rPr>
          <w:color w:val="000000"/>
          <w:sz w:val="22"/>
          <w:szCs w:val="22"/>
        </w:rPr>
      </w:pPr>
      <w:bookmarkStart w:id="62" w:name="_Toc88053992"/>
      <w:r w:rsidRPr="009011B9">
        <w:rPr>
          <w:b/>
          <w:bCs/>
          <w:sz w:val="22"/>
          <w:szCs w:val="22"/>
        </w:rPr>
        <w:lastRenderedPageBreak/>
        <w:t xml:space="preserve">Table </w:t>
      </w:r>
      <w:r w:rsidRPr="009011B9">
        <w:rPr>
          <w:b/>
          <w:bCs/>
          <w:sz w:val="22"/>
          <w:szCs w:val="22"/>
        </w:rPr>
        <w:fldChar w:fldCharType="begin"/>
      </w:r>
      <w:r w:rsidRPr="009011B9">
        <w:rPr>
          <w:b/>
          <w:bCs/>
          <w:sz w:val="22"/>
          <w:szCs w:val="22"/>
        </w:rPr>
        <w:instrText xml:space="preserve"> SEQ Table \* ARABIC </w:instrText>
      </w:r>
      <w:r w:rsidRPr="009011B9">
        <w:rPr>
          <w:b/>
          <w:bCs/>
          <w:sz w:val="22"/>
          <w:szCs w:val="22"/>
        </w:rPr>
        <w:fldChar w:fldCharType="separate"/>
      </w:r>
      <w:r>
        <w:rPr>
          <w:b/>
          <w:bCs/>
          <w:noProof/>
          <w:sz w:val="22"/>
          <w:szCs w:val="22"/>
        </w:rPr>
        <w:t>6</w:t>
      </w:r>
      <w:r w:rsidRPr="009011B9">
        <w:rPr>
          <w:b/>
          <w:bCs/>
          <w:sz w:val="22"/>
          <w:szCs w:val="22"/>
        </w:rPr>
        <w:fldChar w:fldCharType="end"/>
      </w:r>
      <w:r w:rsidRPr="009011B9">
        <w:rPr>
          <w:b/>
          <w:bCs/>
          <w:sz w:val="22"/>
          <w:szCs w:val="22"/>
        </w:rPr>
        <w:t xml:space="preserve">: </w:t>
      </w:r>
      <w:r w:rsidRPr="006D679E">
        <w:rPr>
          <w:b/>
          <w:bCs/>
          <w:sz w:val="22"/>
          <w:szCs w:val="22"/>
        </w:rPr>
        <w:t>Summary and evaluation of decile distribution models.</w:t>
      </w:r>
      <w:r w:rsidRPr="00884150">
        <w:rPr>
          <w:sz w:val="22"/>
          <w:szCs w:val="22"/>
        </w:rPr>
        <w:t xml:space="preserve"> Predicted </w:t>
      </w:r>
      <w:r>
        <w:rPr>
          <w:sz w:val="22"/>
          <w:szCs w:val="22"/>
        </w:rPr>
        <w:t>suitable climatic conditions on the landscape are</w:t>
      </w:r>
      <w:r w:rsidRPr="00884150">
        <w:rPr>
          <w:sz w:val="22"/>
          <w:szCs w:val="22"/>
        </w:rPr>
        <w:t xml:space="preserve"> listed both as pixel number and as percent area of the total extent of the landscape (total pixels = 156,659). Each pixel</w:t>
      </w:r>
      <w:r>
        <w:rPr>
          <w:sz w:val="22"/>
          <w:szCs w:val="22"/>
        </w:rPr>
        <w:t xml:space="preserve"> has an</w:t>
      </w:r>
      <w:r w:rsidRPr="00884150">
        <w:rPr>
          <w:sz w:val="22"/>
          <w:szCs w:val="22"/>
        </w:rPr>
        <w:t xml:space="preserve"> area </w:t>
      </w:r>
      <w:r>
        <w:rPr>
          <w:sz w:val="22"/>
          <w:szCs w:val="22"/>
        </w:rPr>
        <w:t>of</w:t>
      </w:r>
      <w:r w:rsidRPr="00884150">
        <w:rPr>
          <w:sz w:val="22"/>
          <w:szCs w:val="22"/>
        </w:rPr>
        <w:t xml:space="preserve"> ~1km</w:t>
      </w:r>
      <w:r w:rsidRPr="00884150">
        <w:rPr>
          <w:sz w:val="22"/>
          <w:szCs w:val="22"/>
          <w:vertAlign w:val="superscript"/>
        </w:rPr>
        <w:t>2</w:t>
      </w:r>
      <w:r w:rsidRPr="00884150">
        <w:rPr>
          <w:sz w:val="22"/>
          <w:szCs w:val="22"/>
        </w:rPr>
        <w:t xml:space="preserve">, a resolution of 30 arc seconds. Test AUC (area under the receiving operating characteristic curve) +/- standard deviations are given from 5-fold cross-validation. Training AUC is for final models. Training omission rate is for the </w:t>
      </w:r>
      <w:r w:rsidRPr="00884150">
        <w:rPr>
          <w:color w:val="000000"/>
          <w:sz w:val="22"/>
          <w:szCs w:val="22"/>
        </w:rPr>
        <w:t>10-percentile training presence threshold rule.</w:t>
      </w:r>
      <w:bookmarkEnd w:id="62"/>
    </w:p>
    <w:tbl>
      <w:tblPr>
        <w:tblW w:w="8699" w:type="dxa"/>
        <w:jc w:val="center"/>
        <w:tblCellMar>
          <w:top w:w="15" w:type="dxa"/>
          <w:left w:w="15" w:type="dxa"/>
          <w:bottom w:w="15" w:type="dxa"/>
          <w:right w:w="15" w:type="dxa"/>
        </w:tblCellMar>
        <w:tblLook w:val="04A0" w:firstRow="1" w:lastRow="0" w:firstColumn="1" w:lastColumn="0" w:noHBand="0" w:noVBand="1"/>
      </w:tblPr>
      <w:tblGrid>
        <w:gridCol w:w="1260"/>
        <w:gridCol w:w="731"/>
        <w:gridCol w:w="70"/>
        <w:gridCol w:w="805"/>
        <w:gridCol w:w="914"/>
        <w:gridCol w:w="2070"/>
        <w:gridCol w:w="1260"/>
        <w:gridCol w:w="1589"/>
      </w:tblGrid>
      <w:tr w:rsidR="00412B02" w:rsidRPr="00222AE8" w14:paraId="3937F8CA" w14:textId="77777777" w:rsidTr="003B4AAE">
        <w:trPr>
          <w:trHeight w:val="221"/>
          <w:jc w:val="center"/>
        </w:trPr>
        <w:tc>
          <w:tcPr>
            <w:tcW w:w="1260" w:type="dxa"/>
            <w:vMerge w:val="restart"/>
            <w:tcBorders>
              <w:top w:val="single" w:sz="4" w:space="0" w:color="000000" w:themeColor="text1"/>
              <w:right w:val="single" w:sz="4" w:space="0" w:color="F2F2F2" w:themeColor="background1" w:themeShade="F2"/>
            </w:tcBorders>
            <w:tcMar>
              <w:top w:w="75" w:type="dxa"/>
              <w:left w:w="75" w:type="dxa"/>
              <w:bottom w:w="75" w:type="dxa"/>
              <w:right w:w="75" w:type="dxa"/>
            </w:tcMar>
            <w:vAlign w:val="center"/>
            <w:hideMark/>
          </w:tcPr>
          <w:p w14:paraId="6C7FD2A3" w14:textId="77777777" w:rsidR="00412B02" w:rsidRPr="0069439E" w:rsidRDefault="00412B02" w:rsidP="003B4AAE">
            <w:pPr>
              <w:pStyle w:val="NormalWeb"/>
              <w:spacing w:before="0" w:beforeAutospacing="0" w:after="0" w:afterAutospacing="0"/>
              <w:jc w:val="center"/>
              <w:rPr>
                <w:b/>
                <w:bCs/>
                <w:color w:val="000000" w:themeColor="text1"/>
                <w:sz w:val="20"/>
                <w:szCs w:val="20"/>
              </w:rPr>
            </w:pPr>
            <w:r w:rsidRPr="0069439E">
              <w:rPr>
                <w:b/>
                <w:bCs/>
                <w:color w:val="000000" w:themeColor="text1"/>
                <w:sz w:val="20"/>
                <w:szCs w:val="20"/>
              </w:rPr>
              <w:t>modeled trait decile</w:t>
            </w:r>
          </w:p>
        </w:tc>
        <w:tc>
          <w:tcPr>
            <w:tcW w:w="731" w:type="dxa"/>
            <w:vMerge w:val="restart"/>
            <w:tcBorders>
              <w:top w:val="single" w:sz="4" w:space="0" w:color="000000" w:themeColor="text1"/>
            </w:tcBorders>
            <w:vAlign w:val="center"/>
          </w:tcPr>
          <w:p w14:paraId="7EC0B8C3" w14:textId="77777777" w:rsidR="00412B02" w:rsidRPr="0069439E" w:rsidRDefault="00412B02" w:rsidP="003B4AAE">
            <w:pPr>
              <w:pStyle w:val="NormalWeb"/>
              <w:spacing w:before="0" w:beforeAutospacing="0" w:after="0" w:afterAutospacing="0"/>
              <w:jc w:val="center"/>
              <w:rPr>
                <w:b/>
                <w:bCs/>
                <w:color w:val="000000" w:themeColor="text1"/>
                <w:sz w:val="20"/>
                <w:szCs w:val="20"/>
              </w:rPr>
            </w:pPr>
            <w:proofErr w:type="spellStart"/>
            <w:r w:rsidRPr="0069439E">
              <w:rPr>
                <w:b/>
                <w:bCs/>
                <w:color w:val="000000" w:themeColor="text1"/>
                <w:sz w:val="20"/>
                <w:szCs w:val="20"/>
              </w:rPr>
              <w:t>N</w:t>
            </w:r>
            <w:r w:rsidRPr="0069439E">
              <w:rPr>
                <w:b/>
                <w:bCs/>
                <w:color w:val="000000" w:themeColor="text1"/>
                <w:sz w:val="20"/>
                <w:szCs w:val="20"/>
                <w:vertAlign w:val="subscript"/>
              </w:rPr>
              <w:t>occ</w:t>
            </w:r>
            <w:proofErr w:type="spellEnd"/>
          </w:p>
        </w:tc>
        <w:tc>
          <w:tcPr>
            <w:tcW w:w="70" w:type="dxa"/>
            <w:tcBorders>
              <w:top w:val="single" w:sz="4" w:space="0" w:color="000000" w:themeColor="text1"/>
              <w:right w:val="single" w:sz="4" w:space="0" w:color="F2F2F2" w:themeColor="background1" w:themeShade="F2"/>
            </w:tcBorders>
            <w:vAlign w:val="center"/>
          </w:tcPr>
          <w:p w14:paraId="427D134A" w14:textId="77777777" w:rsidR="00412B02" w:rsidRPr="0069439E" w:rsidRDefault="00412B02" w:rsidP="003B4AAE">
            <w:pPr>
              <w:pStyle w:val="NormalWeb"/>
              <w:spacing w:before="0" w:beforeAutospacing="0" w:after="0" w:afterAutospacing="0"/>
              <w:jc w:val="center"/>
              <w:rPr>
                <w:b/>
                <w:bCs/>
                <w:color w:val="000000" w:themeColor="text1"/>
                <w:sz w:val="20"/>
                <w:szCs w:val="20"/>
              </w:rPr>
            </w:pPr>
          </w:p>
        </w:tc>
        <w:tc>
          <w:tcPr>
            <w:tcW w:w="1719" w:type="dxa"/>
            <w:gridSpan w:val="2"/>
            <w:tcBorders>
              <w:top w:val="single" w:sz="4" w:space="0" w:color="000000" w:themeColor="text1"/>
              <w:left w:val="single" w:sz="4" w:space="0" w:color="F2F2F2" w:themeColor="background1" w:themeShade="F2"/>
              <w:bottom w:val="single" w:sz="4" w:space="0" w:color="F2F2F2" w:themeColor="background1" w:themeShade="F2"/>
              <w:right w:val="single" w:sz="4" w:space="0" w:color="F2F2F2" w:themeColor="background1" w:themeShade="F2"/>
            </w:tcBorders>
            <w:tcMar>
              <w:top w:w="75" w:type="dxa"/>
              <w:left w:w="75" w:type="dxa"/>
              <w:bottom w:w="75" w:type="dxa"/>
              <w:right w:w="75" w:type="dxa"/>
            </w:tcMar>
            <w:vAlign w:val="center"/>
            <w:hideMark/>
          </w:tcPr>
          <w:p w14:paraId="5359E0DD" w14:textId="77777777" w:rsidR="00412B02" w:rsidRPr="0069439E" w:rsidRDefault="00412B02" w:rsidP="003B4AAE">
            <w:pPr>
              <w:pStyle w:val="NormalWeb"/>
              <w:spacing w:before="0" w:beforeAutospacing="0" w:after="0" w:afterAutospacing="0"/>
              <w:jc w:val="center"/>
              <w:rPr>
                <w:b/>
                <w:bCs/>
                <w:color w:val="000000" w:themeColor="text1"/>
                <w:sz w:val="20"/>
                <w:szCs w:val="20"/>
              </w:rPr>
            </w:pPr>
            <w:r w:rsidRPr="0069439E">
              <w:rPr>
                <w:b/>
                <w:bCs/>
                <w:color w:val="000000" w:themeColor="text1"/>
                <w:sz w:val="20"/>
                <w:szCs w:val="20"/>
              </w:rPr>
              <w:t>predicted suitable</w:t>
            </w:r>
          </w:p>
        </w:tc>
        <w:tc>
          <w:tcPr>
            <w:tcW w:w="4919" w:type="dxa"/>
            <w:gridSpan w:val="3"/>
            <w:tcBorders>
              <w:top w:val="single" w:sz="4" w:space="0" w:color="000000" w:themeColor="text1"/>
              <w:left w:val="single" w:sz="4" w:space="0" w:color="F2F2F2" w:themeColor="background1" w:themeShade="F2"/>
              <w:bottom w:val="single" w:sz="4" w:space="0" w:color="F2F2F2" w:themeColor="background1" w:themeShade="F2"/>
              <w:right w:val="single" w:sz="4" w:space="0" w:color="FFFFFF" w:themeColor="background1"/>
            </w:tcBorders>
            <w:tcMar>
              <w:top w:w="75" w:type="dxa"/>
              <w:left w:w="75" w:type="dxa"/>
              <w:bottom w:w="75" w:type="dxa"/>
              <w:right w:w="75" w:type="dxa"/>
            </w:tcMar>
            <w:vAlign w:val="center"/>
            <w:hideMark/>
          </w:tcPr>
          <w:p w14:paraId="3A14561A" w14:textId="77777777" w:rsidR="00412B02" w:rsidRPr="0069439E" w:rsidRDefault="00412B02" w:rsidP="003B4AAE">
            <w:pPr>
              <w:pStyle w:val="NormalWeb"/>
              <w:spacing w:before="0" w:beforeAutospacing="0" w:after="0" w:afterAutospacing="0"/>
              <w:jc w:val="center"/>
              <w:rPr>
                <w:b/>
                <w:bCs/>
                <w:color w:val="000000" w:themeColor="text1"/>
                <w:sz w:val="20"/>
                <w:szCs w:val="20"/>
              </w:rPr>
            </w:pPr>
            <w:r w:rsidRPr="0069439E">
              <w:rPr>
                <w:b/>
                <w:bCs/>
                <w:color w:val="000000" w:themeColor="text1"/>
                <w:sz w:val="20"/>
                <w:szCs w:val="20"/>
              </w:rPr>
              <w:t>model evaluation</w:t>
            </w:r>
          </w:p>
        </w:tc>
      </w:tr>
      <w:tr w:rsidR="00412B02" w:rsidRPr="00222AE8" w14:paraId="15D00D34" w14:textId="77777777" w:rsidTr="003B4AAE">
        <w:trPr>
          <w:trHeight w:val="117"/>
          <w:jc w:val="center"/>
        </w:trPr>
        <w:tc>
          <w:tcPr>
            <w:tcW w:w="1260" w:type="dxa"/>
            <w:vMerge/>
            <w:tcBorders>
              <w:top w:val="single" w:sz="4" w:space="0" w:color="000000" w:themeColor="text1"/>
              <w:bottom w:val="single" w:sz="4" w:space="0" w:color="000000" w:themeColor="text1"/>
              <w:right w:val="single" w:sz="4" w:space="0" w:color="F2F2F2" w:themeColor="background1" w:themeShade="F2"/>
            </w:tcBorders>
            <w:vAlign w:val="center"/>
            <w:hideMark/>
          </w:tcPr>
          <w:p w14:paraId="335032F4" w14:textId="77777777" w:rsidR="00412B02" w:rsidRPr="0069439E" w:rsidRDefault="00412B02" w:rsidP="003B4AAE">
            <w:pPr>
              <w:jc w:val="center"/>
              <w:rPr>
                <w:color w:val="000000" w:themeColor="text1"/>
                <w:sz w:val="20"/>
                <w:szCs w:val="20"/>
              </w:rPr>
            </w:pPr>
          </w:p>
        </w:tc>
        <w:tc>
          <w:tcPr>
            <w:tcW w:w="731" w:type="dxa"/>
            <w:vMerge/>
            <w:tcBorders>
              <w:bottom w:val="single" w:sz="4" w:space="0" w:color="000000" w:themeColor="text1"/>
            </w:tcBorders>
            <w:vAlign w:val="center"/>
          </w:tcPr>
          <w:p w14:paraId="26BF7EC1" w14:textId="77777777" w:rsidR="00412B02" w:rsidRPr="0069439E" w:rsidRDefault="00412B02" w:rsidP="003B4AAE">
            <w:pPr>
              <w:pStyle w:val="NormalWeb"/>
              <w:spacing w:before="0" w:beforeAutospacing="0" w:after="0" w:afterAutospacing="0"/>
              <w:jc w:val="center"/>
              <w:rPr>
                <w:b/>
                <w:bCs/>
                <w:color w:val="000000" w:themeColor="text1"/>
                <w:sz w:val="20"/>
                <w:szCs w:val="20"/>
              </w:rPr>
            </w:pPr>
          </w:p>
        </w:tc>
        <w:tc>
          <w:tcPr>
            <w:tcW w:w="70" w:type="dxa"/>
            <w:tcBorders>
              <w:top w:val="single" w:sz="4" w:space="0" w:color="F2F2F2" w:themeColor="background1" w:themeShade="F2"/>
              <w:bottom w:val="single" w:sz="4" w:space="0" w:color="000000" w:themeColor="text1"/>
              <w:right w:val="single" w:sz="4" w:space="0" w:color="F2F2F2" w:themeColor="background1" w:themeShade="F2"/>
            </w:tcBorders>
            <w:vAlign w:val="center"/>
          </w:tcPr>
          <w:p w14:paraId="1B6E69DD" w14:textId="77777777" w:rsidR="00412B02" w:rsidRPr="0069439E" w:rsidRDefault="00412B02" w:rsidP="003B4AAE">
            <w:pPr>
              <w:pStyle w:val="NormalWeb"/>
              <w:spacing w:before="0" w:beforeAutospacing="0" w:after="0" w:afterAutospacing="0"/>
              <w:jc w:val="center"/>
              <w:rPr>
                <w:b/>
                <w:bCs/>
                <w:color w:val="000000" w:themeColor="text1"/>
                <w:sz w:val="20"/>
                <w:szCs w:val="20"/>
              </w:rPr>
            </w:pPr>
          </w:p>
        </w:tc>
        <w:tc>
          <w:tcPr>
            <w:tcW w:w="805" w:type="dxa"/>
            <w:tcBorders>
              <w:top w:val="single" w:sz="4" w:space="0" w:color="F2F2F2" w:themeColor="background1" w:themeShade="F2"/>
              <w:left w:val="single" w:sz="4" w:space="0" w:color="F2F2F2" w:themeColor="background1" w:themeShade="F2"/>
              <w:bottom w:val="single" w:sz="4" w:space="0" w:color="000000" w:themeColor="text1"/>
              <w:right w:val="single" w:sz="4" w:space="0" w:color="EAF1DD" w:themeColor="accent3" w:themeTint="33"/>
            </w:tcBorders>
            <w:tcMar>
              <w:top w:w="75" w:type="dxa"/>
              <w:left w:w="75" w:type="dxa"/>
              <w:bottom w:w="75" w:type="dxa"/>
              <w:right w:w="75" w:type="dxa"/>
            </w:tcMar>
            <w:vAlign w:val="center"/>
            <w:hideMark/>
          </w:tcPr>
          <w:p w14:paraId="75DFFC27" w14:textId="77777777" w:rsidR="00412B02" w:rsidRPr="0069439E" w:rsidRDefault="00412B02" w:rsidP="003B4AAE">
            <w:pPr>
              <w:pStyle w:val="NormalWeb"/>
              <w:spacing w:before="0" w:beforeAutospacing="0" w:after="0" w:afterAutospacing="0"/>
              <w:jc w:val="center"/>
              <w:rPr>
                <w:b/>
                <w:bCs/>
                <w:color w:val="000000" w:themeColor="text1"/>
                <w:sz w:val="18"/>
                <w:szCs w:val="18"/>
              </w:rPr>
            </w:pPr>
            <w:r w:rsidRPr="0069439E">
              <w:rPr>
                <w:b/>
                <w:bCs/>
                <w:color w:val="000000" w:themeColor="text1"/>
                <w:sz w:val="18"/>
                <w:szCs w:val="18"/>
              </w:rPr>
              <w:t>pixel #</w:t>
            </w:r>
          </w:p>
        </w:tc>
        <w:tc>
          <w:tcPr>
            <w:tcW w:w="914" w:type="dxa"/>
            <w:tcBorders>
              <w:top w:val="single" w:sz="4" w:space="0" w:color="F2F2F2" w:themeColor="background1" w:themeShade="F2"/>
              <w:left w:val="single" w:sz="4" w:space="0" w:color="EAF1DD" w:themeColor="accent3" w:themeTint="33"/>
              <w:bottom w:val="single" w:sz="4" w:space="0" w:color="000000" w:themeColor="text1"/>
              <w:right w:val="single" w:sz="4" w:space="0" w:color="F2F2F2" w:themeColor="background1" w:themeShade="F2"/>
            </w:tcBorders>
            <w:tcMar>
              <w:top w:w="75" w:type="dxa"/>
              <w:left w:w="75" w:type="dxa"/>
              <w:bottom w:w="75" w:type="dxa"/>
              <w:right w:w="75" w:type="dxa"/>
            </w:tcMar>
            <w:vAlign w:val="center"/>
            <w:hideMark/>
          </w:tcPr>
          <w:p w14:paraId="2CD95F34" w14:textId="77777777" w:rsidR="00412B02" w:rsidRPr="0069439E" w:rsidRDefault="00412B02" w:rsidP="003B4AAE">
            <w:pPr>
              <w:pStyle w:val="NormalWeb"/>
              <w:spacing w:before="0" w:beforeAutospacing="0" w:after="0" w:afterAutospacing="0"/>
              <w:jc w:val="center"/>
              <w:rPr>
                <w:b/>
                <w:bCs/>
                <w:color w:val="000000" w:themeColor="text1"/>
                <w:sz w:val="18"/>
                <w:szCs w:val="18"/>
              </w:rPr>
            </w:pPr>
            <w:r w:rsidRPr="0069439E">
              <w:rPr>
                <w:b/>
                <w:bCs/>
                <w:color w:val="000000" w:themeColor="text1"/>
                <w:sz w:val="18"/>
                <w:szCs w:val="18"/>
              </w:rPr>
              <w:t xml:space="preserve">% </w:t>
            </w:r>
            <w:proofErr w:type="gramStart"/>
            <w:r w:rsidRPr="0069439E">
              <w:rPr>
                <w:b/>
                <w:bCs/>
                <w:color w:val="000000" w:themeColor="text1"/>
                <w:sz w:val="18"/>
                <w:szCs w:val="18"/>
              </w:rPr>
              <w:t>area</w:t>
            </w:r>
            <w:proofErr w:type="gramEnd"/>
          </w:p>
        </w:tc>
        <w:tc>
          <w:tcPr>
            <w:tcW w:w="2070" w:type="dxa"/>
            <w:tcBorders>
              <w:top w:val="single" w:sz="4" w:space="0" w:color="F2F2F2" w:themeColor="background1" w:themeShade="F2"/>
              <w:left w:val="single" w:sz="4" w:space="0" w:color="F2F2F2" w:themeColor="background1" w:themeShade="F2"/>
              <w:bottom w:val="single" w:sz="4" w:space="0" w:color="000000" w:themeColor="text1"/>
              <w:right w:val="single" w:sz="4" w:space="0" w:color="EAF1DD" w:themeColor="accent3" w:themeTint="33"/>
            </w:tcBorders>
            <w:tcMar>
              <w:top w:w="75" w:type="dxa"/>
              <w:left w:w="75" w:type="dxa"/>
              <w:bottom w:w="75" w:type="dxa"/>
              <w:right w:w="75" w:type="dxa"/>
            </w:tcMar>
            <w:vAlign w:val="center"/>
            <w:hideMark/>
          </w:tcPr>
          <w:p w14:paraId="2A260B42" w14:textId="77777777" w:rsidR="00412B02" w:rsidRPr="0069439E" w:rsidRDefault="00412B02" w:rsidP="003B4AAE">
            <w:pPr>
              <w:ind w:left="720"/>
              <w:rPr>
                <w:sz w:val="18"/>
                <w:szCs w:val="18"/>
              </w:rPr>
            </w:pPr>
            <w:proofErr w:type="spellStart"/>
            <w:r w:rsidRPr="0069439E">
              <w:rPr>
                <w:b/>
                <w:bCs/>
                <w:color w:val="000000" w:themeColor="text1"/>
                <w:sz w:val="18"/>
                <w:szCs w:val="18"/>
              </w:rPr>
              <w:t>AUC</w:t>
            </w:r>
            <w:r w:rsidRPr="0069439E">
              <w:rPr>
                <w:b/>
                <w:bCs/>
                <w:color w:val="000000" w:themeColor="text1"/>
                <w:sz w:val="18"/>
                <w:szCs w:val="18"/>
                <w:vertAlign w:val="subscript"/>
              </w:rPr>
              <w:t>test</w:t>
            </w:r>
            <w:proofErr w:type="spellEnd"/>
            <w:r w:rsidRPr="0069439E">
              <w:rPr>
                <w:b/>
                <w:bCs/>
                <w:color w:val="000000" w:themeColor="text1"/>
                <w:sz w:val="18"/>
                <w:szCs w:val="18"/>
                <w:vertAlign w:val="subscript"/>
              </w:rPr>
              <w:t xml:space="preserve"> </w:t>
            </w:r>
            <w:r w:rsidRPr="0069439E">
              <w:rPr>
                <w:sz w:val="18"/>
                <w:szCs w:val="18"/>
              </w:rPr>
              <w:t xml:space="preserve">± </w:t>
            </w:r>
            <w:proofErr w:type="spellStart"/>
            <w:r w:rsidRPr="0069439E">
              <w:rPr>
                <w:b/>
                <w:bCs/>
                <w:color w:val="000000" w:themeColor="text1"/>
                <w:sz w:val="18"/>
                <w:szCs w:val="18"/>
              </w:rPr>
              <w:t>sd</w:t>
            </w:r>
            <w:proofErr w:type="spellEnd"/>
          </w:p>
        </w:tc>
        <w:tc>
          <w:tcPr>
            <w:tcW w:w="1260" w:type="dxa"/>
            <w:tcBorders>
              <w:left w:val="single" w:sz="4" w:space="0" w:color="EAF1DD" w:themeColor="accent3" w:themeTint="33"/>
              <w:bottom w:val="single" w:sz="4" w:space="0" w:color="auto"/>
              <w:right w:val="single" w:sz="4" w:space="0" w:color="EAF1DD" w:themeColor="accent3" w:themeTint="33"/>
            </w:tcBorders>
            <w:vAlign w:val="center"/>
            <w:hideMark/>
          </w:tcPr>
          <w:p w14:paraId="108AB3C1" w14:textId="77777777" w:rsidR="00412B02" w:rsidRPr="0069439E" w:rsidRDefault="00412B02" w:rsidP="003B4AAE">
            <w:pPr>
              <w:jc w:val="center"/>
              <w:rPr>
                <w:b/>
                <w:bCs/>
                <w:color w:val="000000" w:themeColor="text1"/>
                <w:sz w:val="18"/>
                <w:szCs w:val="18"/>
              </w:rPr>
            </w:pPr>
            <w:proofErr w:type="spellStart"/>
            <w:r w:rsidRPr="0069439E">
              <w:rPr>
                <w:b/>
                <w:bCs/>
                <w:color w:val="000000" w:themeColor="text1"/>
                <w:sz w:val="18"/>
                <w:szCs w:val="18"/>
              </w:rPr>
              <w:t>AUC</w:t>
            </w:r>
            <w:r w:rsidRPr="0069439E">
              <w:rPr>
                <w:b/>
                <w:bCs/>
                <w:color w:val="000000" w:themeColor="text1"/>
                <w:sz w:val="18"/>
                <w:szCs w:val="18"/>
                <w:vertAlign w:val="subscript"/>
              </w:rPr>
              <w:t>train</w:t>
            </w:r>
            <w:proofErr w:type="spellEnd"/>
          </w:p>
        </w:tc>
        <w:tc>
          <w:tcPr>
            <w:tcW w:w="1589" w:type="dxa"/>
            <w:tcBorders>
              <w:left w:val="single" w:sz="4" w:space="0" w:color="EAF1DD" w:themeColor="accent3" w:themeTint="33"/>
              <w:bottom w:val="single" w:sz="4" w:space="0" w:color="auto"/>
              <w:right w:val="single" w:sz="4" w:space="0" w:color="FFFFFF" w:themeColor="background1"/>
            </w:tcBorders>
            <w:vAlign w:val="center"/>
          </w:tcPr>
          <w:p w14:paraId="341E9F3F" w14:textId="77777777" w:rsidR="00412B02" w:rsidRPr="0069439E" w:rsidRDefault="00412B02" w:rsidP="003B4AAE">
            <w:pPr>
              <w:jc w:val="center"/>
              <w:rPr>
                <w:b/>
                <w:bCs/>
                <w:color w:val="000000" w:themeColor="text1"/>
                <w:sz w:val="18"/>
                <w:szCs w:val="18"/>
              </w:rPr>
            </w:pPr>
            <w:r w:rsidRPr="0069439E">
              <w:rPr>
                <w:b/>
                <w:bCs/>
                <w:color w:val="000000" w:themeColor="text1"/>
                <w:sz w:val="18"/>
                <w:szCs w:val="18"/>
              </w:rPr>
              <w:t>omission rate</w:t>
            </w:r>
          </w:p>
        </w:tc>
      </w:tr>
      <w:tr w:rsidR="00412B02" w:rsidRPr="00222AE8" w14:paraId="65038E1D" w14:textId="77777777" w:rsidTr="003B4AAE">
        <w:trPr>
          <w:trHeight w:val="20"/>
          <w:jc w:val="center"/>
        </w:trPr>
        <w:tc>
          <w:tcPr>
            <w:tcW w:w="1260" w:type="dxa"/>
            <w:tcBorders>
              <w:top w:val="single" w:sz="4" w:space="0" w:color="000000" w:themeColor="text1"/>
              <w:bottom w:val="single" w:sz="4" w:space="0" w:color="F2F2F2" w:themeColor="background1" w:themeShade="F2"/>
              <w:right w:val="single" w:sz="4" w:space="0" w:color="F2F2F2" w:themeColor="background1" w:themeShade="F2"/>
            </w:tcBorders>
            <w:tcMar>
              <w:top w:w="75" w:type="dxa"/>
              <w:left w:w="75" w:type="dxa"/>
              <w:bottom w:w="75" w:type="dxa"/>
              <w:right w:w="75" w:type="dxa"/>
            </w:tcMar>
            <w:vAlign w:val="center"/>
            <w:hideMark/>
          </w:tcPr>
          <w:p w14:paraId="69974B25"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D1</w:t>
            </w:r>
          </w:p>
        </w:tc>
        <w:tc>
          <w:tcPr>
            <w:tcW w:w="731" w:type="dxa"/>
            <w:tcBorders>
              <w:top w:val="single" w:sz="4" w:space="0" w:color="000000" w:themeColor="text1"/>
              <w:bottom w:val="single" w:sz="4" w:space="0" w:color="F2F2F2" w:themeColor="background1" w:themeShade="F2"/>
            </w:tcBorders>
            <w:vAlign w:val="center"/>
          </w:tcPr>
          <w:p w14:paraId="6C2AC0AD"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sz w:val="20"/>
                <w:szCs w:val="20"/>
              </w:rPr>
              <w:t>39</w:t>
            </w:r>
          </w:p>
        </w:tc>
        <w:tc>
          <w:tcPr>
            <w:tcW w:w="70" w:type="dxa"/>
            <w:tcBorders>
              <w:top w:val="single" w:sz="4" w:space="0" w:color="000000" w:themeColor="text1"/>
              <w:bottom w:val="single" w:sz="4" w:space="0" w:color="F2F2F2" w:themeColor="background1" w:themeShade="F2"/>
              <w:right w:val="single" w:sz="4" w:space="0" w:color="F2F2F2" w:themeColor="background1" w:themeShade="F2"/>
            </w:tcBorders>
            <w:vAlign w:val="center"/>
          </w:tcPr>
          <w:p w14:paraId="3F2E9ED0" w14:textId="77777777" w:rsidR="00412B02" w:rsidRPr="0069439E" w:rsidRDefault="00412B02" w:rsidP="003B4AAE">
            <w:pPr>
              <w:pStyle w:val="NormalWeb"/>
              <w:spacing w:before="0" w:beforeAutospacing="0" w:after="0" w:afterAutospacing="0"/>
              <w:jc w:val="center"/>
              <w:rPr>
                <w:color w:val="000000" w:themeColor="text1"/>
                <w:sz w:val="20"/>
                <w:szCs w:val="20"/>
              </w:rPr>
            </w:pPr>
          </w:p>
        </w:tc>
        <w:tc>
          <w:tcPr>
            <w:tcW w:w="805" w:type="dxa"/>
            <w:tcBorders>
              <w:top w:val="single" w:sz="4" w:space="0" w:color="000000" w:themeColor="text1"/>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hideMark/>
          </w:tcPr>
          <w:p w14:paraId="7A8F760A"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16,840</w:t>
            </w:r>
          </w:p>
        </w:tc>
        <w:tc>
          <w:tcPr>
            <w:tcW w:w="914" w:type="dxa"/>
            <w:tcBorders>
              <w:top w:val="single" w:sz="4" w:space="0" w:color="000000" w:themeColor="text1"/>
              <w:left w:val="single" w:sz="4" w:space="0" w:color="EAF1DD" w:themeColor="accent3" w:themeTint="33"/>
              <w:bottom w:val="single" w:sz="4" w:space="0" w:color="F2F2F2" w:themeColor="background1" w:themeShade="F2"/>
              <w:right w:val="single" w:sz="4" w:space="0" w:color="F2F2F2" w:themeColor="background1" w:themeShade="F2"/>
            </w:tcBorders>
            <w:tcMar>
              <w:top w:w="75" w:type="dxa"/>
              <w:left w:w="75" w:type="dxa"/>
              <w:bottom w:w="75" w:type="dxa"/>
              <w:right w:w="75" w:type="dxa"/>
            </w:tcMar>
            <w:vAlign w:val="center"/>
            <w:hideMark/>
          </w:tcPr>
          <w:p w14:paraId="6CB04DB9"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10.7</w:t>
            </w:r>
          </w:p>
        </w:tc>
        <w:tc>
          <w:tcPr>
            <w:tcW w:w="2070" w:type="dxa"/>
            <w:tcBorders>
              <w:top w:val="single" w:sz="4" w:space="0" w:color="000000" w:themeColor="text1"/>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tcPr>
          <w:p w14:paraId="42A2A838" w14:textId="77777777" w:rsidR="00412B02" w:rsidRPr="0069439E" w:rsidRDefault="00412B02" w:rsidP="003B4AAE">
            <w:pPr>
              <w:ind w:left="720"/>
              <w:rPr>
                <w:sz w:val="20"/>
                <w:szCs w:val="20"/>
              </w:rPr>
            </w:pPr>
            <w:r w:rsidRPr="0069439E">
              <w:rPr>
                <w:color w:val="000000"/>
                <w:sz w:val="20"/>
                <w:szCs w:val="20"/>
              </w:rPr>
              <w:t xml:space="preserve">0.797 </w:t>
            </w:r>
            <w:r w:rsidRPr="0069439E">
              <w:rPr>
                <w:sz w:val="20"/>
                <w:szCs w:val="20"/>
              </w:rPr>
              <w:t>±</w:t>
            </w:r>
            <w:r>
              <w:rPr>
                <w:sz w:val="20"/>
                <w:szCs w:val="20"/>
              </w:rPr>
              <w:t xml:space="preserve"> </w:t>
            </w:r>
            <w:r w:rsidRPr="0069439E">
              <w:rPr>
                <w:color w:val="000000"/>
                <w:sz w:val="20"/>
                <w:szCs w:val="20"/>
              </w:rPr>
              <w:t>0.0</w:t>
            </w:r>
            <w:r>
              <w:rPr>
                <w:color w:val="000000"/>
                <w:sz w:val="20"/>
                <w:szCs w:val="20"/>
              </w:rPr>
              <w:t>90</w:t>
            </w:r>
          </w:p>
        </w:tc>
        <w:tc>
          <w:tcPr>
            <w:tcW w:w="1260" w:type="dxa"/>
            <w:tcBorders>
              <w:top w:val="single" w:sz="4" w:space="0" w:color="auto"/>
              <w:left w:val="single" w:sz="4" w:space="0" w:color="EAF1DD" w:themeColor="accent3" w:themeTint="33"/>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tcPr>
          <w:p w14:paraId="751C497A"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sz w:val="20"/>
                <w:szCs w:val="20"/>
              </w:rPr>
              <w:t>0.950</w:t>
            </w:r>
          </w:p>
        </w:tc>
        <w:tc>
          <w:tcPr>
            <w:tcW w:w="1589" w:type="dxa"/>
            <w:tcBorders>
              <w:top w:val="single" w:sz="4" w:space="0" w:color="auto"/>
              <w:left w:val="single" w:sz="4" w:space="0" w:color="EAF1DD" w:themeColor="accent3" w:themeTint="33"/>
              <w:bottom w:val="single" w:sz="4" w:space="0" w:color="F2F2F2" w:themeColor="background1" w:themeShade="F2"/>
              <w:right w:val="single" w:sz="4" w:space="0" w:color="FFFFFF" w:themeColor="background1"/>
            </w:tcBorders>
            <w:vAlign w:val="center"/>
          </w:tcPr>
          <w:p w14:paraId="593BC50E" w14:textId="77777777" w:rsidR="00412B02" w:rsidRPr="0069439E" w:rsidRDefault="00412B02" w:rsidP="003B4AAE">
            <w:pPr>
              <w:pStyle w:val="NormalWeb"/>
              <w:spacing w:before="0" w:beforeAutospacing="0" w:after="0" w:afterAutospacing="0"/>
              <w:jc w:val="center"/>
              <w:rPr>
                <w:color w:val="000000"/>
                <w:sz w:val="20"/>
                <w:szCs w:val="20"/>
              </w:rPr>
            </w:pPr>
            <w:r w:rsidRPr="0069439E">
              <w:rPr>
                <w:color w:val="000000"/>
                <w:sz w:val="20"/>
                <w:szCs w:val="20"/>
              </w:rPr>
              <w:t>0.077</w:t>
            </w:r>
          </w:p>
        </w:tc>
      </w:tr>
      <w:tr w:rsidR="00412B02" w:rsidRPr="00222AE8" w14:paraId="05DE180F" w14:textId="77777777" w:rsidTr="003B4AAE">
        <w:trPr>
          <w:trHeight w:val="20"/>
          <w:jc w:val="center"/>
        </w:trPr>
        <w:tc>
          <w:tcPr>
            <w:tcW w:w="1260" w:type="dxa"/>
            <w:tcBorders>
              <w:top w:val="single" w:sz="4" w:space="0" w:color="F2F2F2" w:themeColor="background1" w:themeShade="F2"/>
              <w:bottom w:val="single" w:sz="4" w:space="0" w:color="F2F2F2" w:themeColor="background1" w:themeShade="F2"/>
              <w:right w:val="single" w:sz="4" w:space="0" w:color="F2F2F2" w:themeColor="background1" w:themeShade="F2"/>
            </w:tcBorders>
            <w:tcMar>
              <w:top w:w="75" w:type="dxa"/>
              <w:left w:w="75" w:type="dxa"/>
              <w:bottom w:w="75" w:type="dxa"/>
              <w:right w:w="75" w:type="dxa"/>
            </w:tcMar>
            <w:vAlign w:val="center"/>
            <w:hideMark/>
          </w:tcPr>
          <w:p w14:paraId="546FDB2E"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D2</w:t>
            </w:r>
          </w:p>
        </w:tc>
        <w:tc>
          <w:tcPr>
            <w:tcW w:w="731" w:type="dxa"/>
            <w:tcBorders>
              <w:top w:val="single" w:sz="4" w:space="0" w:color="F2F2F2" w:themeColor="background1" w:themeShade="F2"/>
              <w:bottom w:val="single" w:sz="4" w:space="0" w:color="F2F2F2" w:themeColor="background1" w:themeShade="F2"/>
            </w:tcBorders>
            <w:vAlign w:val="center"/>
          </w:tcPr>
          <w:p w14:paraId="62385C16"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sz w:val="20"/>
                <w:szCs w:val="20"/>
              </w:rPr>
              <w:t>46</w:t>
            </w:r>
          </w:p>
        </w:tc>
        <w:tc>
          <w:tcPr>
            <w:tcW w:w="70" w:type="dxa"/>
            <w:tcBorders>
              <w:top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73192CF" w14:textId="77777777" w:rsidR="00412B02" w:rsidRPr="0069439E" w:rsidRDefault="00412B02" w:rsidP="003B4AAE">
            <w:pPr>
              <w:pStyle w:val="NormalWeb"/>
              <w:spacing w:before="0" w:beforeAutospacing="0" w:after="0" w:afterAutospacing="0"/>
              <w:jc w:val="center"/>
              <w:rPr>
                <w:color w:val="000000" w:themeColor="text1"/>
                <w:sz w:val="20"/>
                <w:szCs w:val="20"/>
              </w:rPr>
            </w:pPr>
          </w:p>
        </w:tc>
        <w:tc>
          <w:tcPr>
            <w:tcW w:w="805"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hideMark/>
          </w:tcPr>
          <w:p w14:paraId="33D9C85F"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47,386</w:t>
            </w:r>
          </w:p>
        </w:tc>
        <w:tc>
          <w:tcPr>
            <w:tcW w:w="914"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F2F2F2" w:themeColor="background1" w:themeShade="F2"/>
            </w:tcBorders>
            <w:tcMar>
              <w:top w:w="75" w:type="dxa"/>
              <w:left w:w="75" w:type="dxa"/>
              <w:bottom w:w="75" w:type="dxa"/>
              <w:right w:w="75" w:type="dxa"/>
            </w:tcMar>
            <w:vAlign w:val="center"/>
            <w:hideMark/>
          </w:tcPr>
          <w:p w14:paraId="44E8AEB1"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30.2</w:t>
            </w:r>
          </w:p>
        </w:tc>
        <w:tc>
          <w:tcPr>
            <w:tcW w:w="207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tcPr>
          <w:p w14:paraId="2D828F66" w14:textId="77777777" w:rsidR="00412B02" w:rsidRPr="0069439E" w:rsidRDefault="00412B02" w:rsidP="003B4AAE">
            <w:pPr>
              <w:ind w:left="720"/>
              <w:rPr>
                <w:sz w:val="20"/>
                <w:szCs w:val="20"/>
              </w:rPr>
            </w:pPr>
            <w:r w:rsidRPr="0069439E">
              <w:rPr>
                <w:color w:val="000000"/>
                <w:sz w:val="20"/>
                <w:szCs w:val="20"/>
              </w:rPr>
              <w:t xml:space="preserve">0.875 </w:t>
            </w:r>
            <w:r w:rsidRPr="0069439E">
              <w:rPr>
                <w:sz w:val="20"/>
                <w:szCs w:val="20"/>
              </w:rPr>
              <w:t>±</w:t>
            </w:r>
            <w:r>
              <w:rPr>
                <w:sz w:val="20"/>
                <w:szCs w:val="20"/>
              </w:rPr>
              <w:t xml:space="preserve"> </w:t>
            </w:r>
            <w:r w:rsidRPr="0069439E">
              <w:rPr>
                <w:color w:val="000000"/>
                <w:sz w:val="20"/>
                <w:szCs w:val="20"/>
              </w:rPr>
              <w:t>0.05</w:t>
            </w:r>
            <w:r>
              <w:rPr>
                <w:color w:val="000000"/>
                <w:sz w:val="20"/>
                <w:szCs w:val="20"/>
              </w:rPr>
              <w:t>6</w:t>
            </w:r>
          </w:p>
        </w:tc>
        <w:tc>
          <w:tcPr>
            <w:tcW w:w="1260"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tcPr>
          <w:p w14:paraId="04C40065"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sz w:val="20"/>
                <w:szCs w:val="20"/>
              </w:rPr>
              <w:t>0.933</w:t>
            </w:r>
          </w:p>
        </w:tc>
        <w:tc>
          <w:tcPr>
            <w:tcW w:w="1589"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FFFFFF" w:themeColor="background1"/>
            </w:tcBorders>
            <w:vAlign w:val="center"/>
          </w:tcPr>
          <w:p w14:paraId="6E4FC8FA" w14:textId="77777777" w:rsidR="00412B02" w:rsidRPr="0069439E" w:rsidRDefault="00412B02" w:rsidP="003B4AAE">
            <w:pPr>
              <w:pStyle w:val="NormalWeb"/>
              <w:spacing w:before="0" w:beforeAutospacing="0" w:after="0" w:afterAutospacing="0"/>
              <w:jc w:val="center"/>
              <w:rPr>
                <w:color w:val="000000"/>
                <w:sz w:val="20"/>
                <w:szCs w:val="20"/>
              </w:rPr>
            </w:pPr>
            <w:r w:rsidRPr="0069439E">
              <w:rPr>
                <w:color w:val="000000"/>
                <w:sz w:val="20"/>
                <w:szCs w:val="20"/>
              </w:rPr>
              <w:t>0.043</w:t>
            </w:r>
          </w:p>
        </w:tc>
      </w:tr>
      <w:tr w:rsidR="00412B02" w:rsidRPr="00222AE8" w14:paraId="07A46DDD" w14:textId="77777777" w:rsidTr="003B4AAE">
        <w:trPr>
          <w:trHeight w:val="20"/>
          <w:jc w:val="center"/>
        </w:trPr>
        <w:tc>
          <w:tcPr>
            <w:tcW w:w="1260" w:type="dxa"/>
            <w:tcBorders>
              <w:top w:val="single" w:sz="4" w:space="0" w:color="F2F2F2" w:themeColor="background1" w:themeShade="F2"/>
              <w:bottom w:val="single" w:sz="4" w:space="0" w:color="F2F2F2" w:themeColor="background1" w:themeShade="F2"/>
              <w:right w:val="single" w:sz="4" w:space="0" w:color="F2F2F2" w:themeColor="background1" w:themeShade="F2"/>
            </w:tcBorders>
            <w:tcMar>
              <w:top w:w="75" w:type="dxa"/>
              <w:left w:w="75" w:type="dxa"/>
              <w:bottom w:w="75" w:type="dxa"/>
              <w:right w:w="75" w:type="dxa"/>
            </w:tcMar>
            <w:vAlign w:val="center"/>
            <w:hideMark/>
          </w:tcPr>
          <w:p w14:paraId="344DA708"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D3</w:t>
            </w:r>
          </w:p>
        </w:tc>
        <w:tc>
          <w:tcPr>
            <w:tcW w:w="731" w:type="dxa"/>
            <w:tcBorders>
              <w:top w:val="single" w:sz="4" w:space="0" w:color="F2F2F2" w:themeColor="background1" w:themeShade="F2"/>
              <w:bottom w:val="single" w:sz="4" w:space="0" w:color="F2F2F2" w:themeColor="background1" w:themeShade="F2"/>
            </w:tcBorders>
            <w:vAlign w:val="center"/>
          </w:tcPr>
          <w:p w14:paraId="220D9E7F"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sz w:val="20"/>
                <w:szCs w:val="20"/>
              </w:rPr>
              <w:t>41</w:t>
            </w:r>
          </w:p>
        </w:tc>
        <w:tc>
          <w:tcPr>
            <w:tcW w:w="70" w:type="dxa"/>
            <w:tcBorders>
              <w:top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F8637A3" w14:textId="77777777" w:rsidR="00412B02" w:rsidRPr="0069439E" w:rsidRDefault="00412B02" w:rsidP="003B4AAE">
            <w:pPr>
              <w:pStyle w:val="NormalWeb"/>
              <w:spacing w:before="0" w:beforeAutospacing="0" w:after="0" w:afterAutospacing="0"/>
              <w:jc w:val="center"/>
              <w:rPr>
                <w:color w:val="000000" w:themeColor="text1"/>
                <w:sz w:val="20"/>
                <w:szCs w:val="20"/>
              </w:rPr>
            </w:pPr>
          </w:p>
        </w:tc>
        <w:tc>
          <w:tcPr>
            <w:tcW w:w="805"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hideMark/>
          </w:tcPr>
          <w:p w14:paraId="5B116FAF"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52,064</w:t>
            </w:r>
          </w:p>
        </w:tc>
        <w:tc>
          <w:tcPr>
            <w:tcW w:w="914"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F2F2F2" w:themeColor="background1" w:themeShade="F2"/>
            </w:tcBorders>
            <w:tcMar>
              <w:top w:w="75" w:type="dxa"/>
              <w:left w:w="75" w:type="dxa"/>
              <w:bottom w:w="75" w:type="dxa"/>
              <w:right w:w="75" w:type="dxa"/>
            </w:tcMar>
            <w:vAlign w:val="center"/>
            <w:hideMark/>
          </w:tcPr>
          <w:p w14:paraId="46F67600"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33.2</w:t>
            </w:r>
          </w:p>
        </w:tc>
        <w:tc>
          <w:tcPr>
            <w:tcW w:w="207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tcPr>
          <w:p w14:paraId="7819A747" w14:textId="77777777" w:rsidR="00412B02" w:rsidRPr="0069439E" w:rsidRDefault="00412B02" w:rsidP="003B4AAE">
            <w:pPr>
              <w:ind w:left="720"/>
              <w:rPr>
                <w:sz w:val="20"/>
                <w:szCs w:val="20"/>
              </w:rPr>
            </w:pPr>
            <w:r w:rsidRPr="0069439E">
              <w:rPr>
                <w:color w:val="000000"/>
                <w:sz w:val="20"/>
                <w:szCs w:val="20"/>
              </w:rPr>
              <w:t xml:space="preserve">0.845 </w:t>
            </w:r>
            <w:r w:rsidRPr="0069439E">
              <w:rPr>
                <w:sz w:val="20"/>
                <w:szCs w:val="20"/>
              </w:rPr>
              <w:t>±</w:t>
            </w:r>
            <w:r>
              <w:rPr>
                <w:sz w:val="20"/>
                <w:szCs w:val="20"/>
              </w:rPr>
              <w:t xml:space="preserve"> </w:t>
            </w:r>
            <w:r w:rsidRPr="0069439E">
              <w:rPr>
                <w:color w:val="000000"/>
                <w:sz w:val="20"/>
                <w:szCs w:val="20"/>
              </w:rPr>
              <w:t>0.07</w:t>
            </w:r>
            <w:r>
              <w:rPr>
                <w:color w:val="000000"/>
                <w:sz w:val="20"/>
                <w:szCs w:val="20"/>
              </w:rPr>
              <w:t>1</w:t>
            </w:r>
          </w:p>
        </w:tc>
        <w:tc>
          <w:tcPr>
            <w:tcW w:w="1260"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tcPr>
          <w:p w14:paraId="0B33415D"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sz w:val="20"/>
                <w:szCs w:val="20"/>
              </w:rPr>
              <w:t>0.913</w:t>
            </w:r>
          </w:p>
        </w:tc>
        <w:tc>
          <w:tcPr>
            <w:tcW w:w="1589"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FFFFFF" w:themeColor="background1"/>
            </w:tcBorders>
            <w:vAlign w:val="center"/>
          </w:tcPr>
          <w:p w14:paraId="485F35EC" w14:textId="77777777" w:rsidR="00412B02" w:rsidRPr="0069439E" w:rsidRDefault="00412B02" w:rsidP="003B4AAE">
            <w:pPr>
              <w:pStyle w:val="NormalWeb"/>
              <w:spacing w:before="0" w:beforeAutospacing="0" w:after="0" w:afterAutospacing="0"/>
              <w:jc w:val="center"/>
              <w:rPr>
                <w:color w:val="000000"/>
                <w:sz w:val="20"/>
                <w:szCs w:val="20"/>
              </w:rPr>
            </w:pPr>
            <w:r w:rsidRPr="0069439E">
              <w:rPr>
                <w:color w:val="000000"/>
                <w:sz w:val="20"/>
                <w:szCs w:val="20"/>
              </w:rPr>
              <w:t>0.098</w:t>
            </w:r>
          </w:p>
        </w:tc>
      </w:tr>
      <w:tr w:rsidR="00412B02" w:rsidRPr="00222AE8" w14:paraId="29349E61" w14:textId="77777777" w:rsidTr="003B4AAE">
        <w:trPr>
          <w:trHeight w:val="20"/>
          <w:jc w:val="center"/>
        </w:trPr>
        <w:tc>
          <w:tcPr>
            <w:tcW w:w="1260" w:type="dxa"/>
            <w:tcBorders>
              <w:top w:val="single" w:sz="4" w:space="0" w:color="F2F2F2" w:themeColor="background1" w:themeShade="F2"/>
              <w:bottom w:val="single" w:sz="4" w:space="0" w:color="F2F2F2" w:themeColor="background1" w:themeShade="F2"/>
              <w:right w:val="single" w:sz="4" w:space="0" w:color="F2F2F2" w:themeColor="background1" w:themeShade="F2"/>
            </w:tcBorders>
            <w:tcMar>
              <w:top w:w="75" w:type="dxa"/>
              <w:left w:w="75" w:type="dxa"/>
              <w:bottom w:w="75" w:type="dxa"/>
              <w:right w:w="75" w:type="dxa"/>
            </w:tcMar>
            <w:vAlign w:val="center"/>
            <w:hideMark/>
          </w:tcPr>
          <w:p w14:paraId="4A176391"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D4</w:t>
            </w:r>
          </w:p>
        </w:tc>
        <w:tc>
          <w:tcPr>
            <w:tcW w:w="731" w:type="dxa"/>
            <w:tcBorders>
              <w:top w:val="single" w:sz="4" w:space="0" w:color="F2F2F2" w:themeColor="background1" w:themeShade="F2"/>
              <w:bottom w:val="single" w:sz="4" w:space="0" w:color="F2F2F2" w:themeColor="background1" w:themeShade="F2"/>
            </w:tcBorders>
            <w:vAlign w:val="center"/>
          </w:tcPr>
          <w:p w14:paraId="7E5398EC"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sz w:val="20"/>
                <w:szCs w:val="20"/>
              </w:rPr>
              <w:t>39</w:t>
            </w:r>
          </w:p>
        </w:tc>
        <w:tc>
          <w:tcPr>
            <w:tcW w:w="70" w:type="dxa"/>
            <w:tcBorders>
              <w:top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81EA179" w14:textId="77777777" w:rsidR="00412B02" w:rsidRPr="0069439E" w:rsidRDefault="00412B02" w:rsidP="003B4AAE">
            <w:pPr>
              <w:pStyle w:val="NormalWeb"/>
              <w:spacing w:before="0" w:beforeAutospacing="0" w:after="0" w:afterAutospacing="0"/>
              <w:jc w:val="center"/>
              <w:rPr>
                <w:color w:val="000000" w:themeColor="text1"/>
                <w:sz w:val="20"/>
                <w:szCs w:val="20"/>
              </w:rPr>
            </w:pPr>
          </w:p>
        </w:tc>
        <w:tc>
          <w:tcPr>
            <w:tcW w:w="805"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hideMark/>
          </w:tcPr>
          <w:p w14:paraId="7A259604"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41,900</w:t>
            </w:r>
          </w:p>
        </w:tc>
        <w:tc>
          <w:tcPr>
            <w:tcW w:w="914"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F2F2F2" w:themeColor="background1" w:themeShade="F2"/>
            </w:tcBorders>
            <w:tcMar>
              <w:top w:w="75" w:type="dxa"/>
              <w:left w:w="75" w:type="dxa"/>
              <w:bottom w:w="75" w:type="dxa"/>
              <w:right w:w="75" w:type="dxa"/>
            </w:tcMar>
            <w:vAlign w:val="center"/>
            <w:hideMark/>
          </w:tcPr>
          <w:p w14:paraId="0EF90959"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27.2</w:t>
            </w:r>
          </w:p>
        </w:tc>
        <w:tc>
          <w:tcPr>
            <w:tcW w:w="207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tcPr>
          <w:p w14:paraId="02E85269" w14:textId="77777777" w:rsidR="00412B02" w:rsidRPr="0069439E" w:rsidRDefault="00412B02" w:rsidP="003B4AAE">
            <w:pPr>
              <w:ind w:left="720"/>
              <w:rPr>
                <w:sz w:val="20"/>
                <w:szCs w:val="20"/>
              </w:rPr>
            </w:pPr>
            <w:r w:rsidRPr="0069439E">
              <w:rPr>
                <w:color w:val="000000"/>
                <w:sz w:val="20"/>
                <w:szCs w:val="20"/>
              </w:rPr>
              <w:t xml:space="preserve">0.884 </w:t>
            </w:r>
            <w:r w:rsidRPr="0069439E">
              <w:rPr>
                <w:sz w:val="20"/>
                <w:szCs w:val="20"/>
              </w:rPr>
              <w:t>±</w:t>
            </w:r>
            <w:r w:rsidRPr="0069439E">
              <w:rPr>
                <w:b/>
                <w:bCs/>
                <w:color w:val="000000" w:themeColor="text1"/>
                <w:sz w:val="20"/>
                <w:szCs w:val="20"/>
              </w:rPr>
              <w:t xml:space="preserve"> </w:t>
            </w:r>
            <w:r w:rsidRPr="0069439E">
              <w:rPr>
                <w:color w:val="000000"/>
                <w:sz w:val="20"/>
                <w:szCs w:val="20"/>
              </w:rPr>
              <w:t>0.0</w:t>
            </w:r>
            <w:r>
              <w:rPr>
                <w:color w:val="000000"/>
                <w:sz w:val="20"/>
                <w:szCs w:val="20"/>
              </w:rPr>
              <w:t>49</w:t>
            </w:r>
          </w:p>
        </w:tc>
        <w:tc>
          <w:tcPr>
            <w:tcW w:w="1260"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tcPr>
          <w:p w14:paraId="25AE26AA"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sz w:val="20"/>
                <w:szCs w:val="20"/>
              </w:rPr>
              <w:t>0.920</w:t>
            </w:r>
          </w:p>
        </w:tc>
        <w:tc>
          <w:tcPr>
            <w:tcW w:w="1589"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FFFFFF" w:themeColor="background1"/>
            </w:tcBorders>
            <w:vAlign w:val="center"/>
          </w:tcPr>
          <w:p w14:paraId="250E1B28" w14:textId="77777777" w:rsidR="00412B02" w:rsidRPr="0069439E" w:rsidRDefault="00412B02" w:rsidP="003B4AAE">
            <w:pPr>
              <w:pStyle w:val="NormalWeb"/>
              <w:spacing w:before="0" w:beforeAutospacing="0" w:after="0" w:afterAutospacing="0"/>
              <w:jc w:val="center"/>
              <w:rPr>
                <w:color w:val="000000"/>
                <w:sz w:val="20"/>
                <w:szCs w:val="20"/>
              </w:rPr>
            </w:pPr>
            <w:r w:rsidRPr="0069439E">
              <w:rPr>
                <w:color w:val="000000"/>
                <w:sz w:val="20"/>
                <w:szCs w:val="20"/>
              </w:rPr>
              <w:t>0.077</w:t>
            </w:r>
          </w:p>
        </w:tc>
      </w:tr>
      <w:tr w:rsidR="00412B02" w:rsidRPr="00222AE8" w14:paraId="20819D04" w14:textId="77777777" w:rsidTr="003B4AAE">
        <w:trPr>
          <w:trHeight w:val="20"/>
          <w:jc w:val="center"/>
        </w:trPr>
        <w:tc>
          <w:tcPr>
            <w:tcW w:w="1260" w:type="dxa"/>
            <w:tcBorders>
              <w:top w:val="single" w:sz="4" w:space="0" w:color="F2F2F2" w:themeColor="background1" w:themeShade="F2"/>
              <w:bottom w:val="single" w:sz="4" w:space="0" w:color="F2F2F2" w:themeColor="background1" w:themeShade="F2"/>
              <w:right w:val="single" w:sz="4" w:space="0" w:color="F2F2F2" w:themeColor="background1" w:themeShade="F2"/>
            </w:tcBorders>
            <w:tcMar>
              <w:top w:w="75" w:type="dxa"/>
              <w:left w:w="75" w:type="dxa"/>
              <w:bottom w:w="75" w:type="dxa"/>
              <w:right w:w="75" w:type="dxa"/>
            </w:tcMar>
            <w:vAlign w:val="center"/>
            <w:hideMark/>
          </w:tcPr>
          <w:p w14:paraId="62ACC8B3"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D5</w:t>
            </w:r>
          </w:p>
        </w:tc>
        <w:tc>
          <w:tcPr>
            <w:tcW w:w="731" w:type="dxa"/>
            <w:tcBorders>
              <w:top w:val="single" w:sz="4" w:space="0" w:color="F2F2F2" w:themeColor="background1" w:themeShade="F2"/>
              <w:bottom w:val="single" w:sz="4" w:space="0" w:color="F2F2F2" w:themeColor="background1" w:themeShade="F2"/>
            </w:tcBorders>
            <w:vAlign w:val="center"/>
          </w:tcPr>
          <w:p w14:paraId="199C7696"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sz w:val="20"/>
                <w:szCs w:val="20"/>
              </w:rPr>
              <w:t>38</w:t>
            </w:r>
          </w:p>
        </w:tc>
        <w:tc>
          <w:tcPr>
            <w:tcW w:w="70" w:type="dxa"/>
            <w:tcBorders>
              <w:top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27E2020" w14:textId="77777777" w:rsidR="00412B02" w:rsidRPr="0069439E" w:rsidRDefault="00412B02" w:rsidP="003B4AAE">
            <w:pPr>
              <w:pStyle w:val="NormalWeb"/>
              <w:spacing w:before="0" w:beforeAutospacing="0" w:after="0" w:afterAutospacing="0"/>
              <w:jc w:val="center"/>
              <w:rPr>
                <w:color w:val="000000" w:themeColor="text1"/>
                <w:sz w:val="20"/>
                <w:szCs w:val="20"/>
              </w:rPr>
            </w:pPr>
          </w:p>
        </w:tc>
        <w:tc>
          <w:tcPr>
            <w:tcW w:w="805"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hideMark/>
          </w:tcPr>
          <w:p w14:paraId="5BA337FA"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49,687</w:t>
            </w:r>
          </w:p>
        </w:tc>
        <w:tc>
          <w:tcPr>
            <w:tcW w:w="914"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F2F2F2" w:themeColor="background1" w:themeShade="F2"/>
            </w:tcBorders>
            <w:tcMar>
              <w:top w:w="75" w:type="dxa"/>
              <w:left w:w="75" w:type="dxa"/>
              <w:bottom w:w="75" w:type="dxa"/>
              <w:right w:w="75" w:type="dxa"/>
            </w:tcMar>
            <w:vAlign w:val="center"/>
            <w:hideMark/>
          </w:tcPr>
          <w:p w14:paraId="1FA74F2F"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31.7</w:t>
            </w:r>
          </w:p>
        </w:tc>
        <w:tc>
          <w:tcPr>
            <w:tcW w:w="207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tcPr>
          <w:p w14:paraId="70957DFC" w14:textId="77777777" w:rsidR="00412B02" w:rsidRPr="0069439E" w:rsidRDefault="00412B02" w:rsidP="003B4AAE">
            <w:pPr>
              <w:ind w:left="720"/>
              <w:rPr>
                <w:sz w:val="20"/>
                <w:szCs w:val="20"/>
              </w:rPr>
            </w:pPr>
            <w:r w:rsidRPr="0069439E">
              <w:rPr>
                <w:color w:val="000000"/>
                <w:sz w:val="20"/>
                <w:szCs w:val="20"/>
              </w:rPr>
              <w:t xml:space="preserve">0.812 </w:t>
            </w:r>
            <w:r w:rsidRPr="0069439E">
              <w:rPr>
                <w:sz w:val="20"/>
                <w:szCs w:val="20"/>
              </w:rPr>
              <w:t>±</w:t>
            </w:r>
            <w:r>
              <w:rPr>
                <w:sz w:val="20"/>
                <w:szCs w:val="20"/>
              </w:rPr>
              <w:t xml:space="preserve"> </w:t>
            </w:r>
            <w:r w:rsidRPr="0069439E">
              <w:rPr>
                <w:color w:val="000000"/>
                <w:sz w:val="20"/>
                <w:szCs w:val="20"/>
              </w:rPr>
              <w:t>0.06</w:t>
            </w:r>
            <w:r>
              <w:rPr>
                <w:color w:val="000000"/>
                <w:sz w:val="20"/>
                <w:szCs w:val="20"/>
              </w:rPr>
              <w:t>7</w:t>
            </w:r>
          </w:p>
        </w:tc>
        <w:tc>
          <w:tcPr>
            <w:tcW w:w="1260"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tcPr>
          <w:p w14:paraId="320F2A6D"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sz w:val="20"/>
                <w:szCs w:val="20"/>
              </w:rPr>
              <w:t>0.896</w:t>
            </w:r>
          </w:p>
        </w:tc>
        <w:tc>
          <w:tcPr>
            <w:tcW w:w="1589"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FFFFFF" w:themeColor="background1"/>
            </w:tcBorders>
            <w:vAlign w:val="center"/>
          </w:tcPr>
          <w:p w14:paraId="0ADB776F" w14:textId="77777777" w:rsidR="00412B02" w:rsidRPr="0069439E" w:rsidRDefault="00412B02" w:rsidP="003B4AAE">
            <w:pPr>
              <w:pStyle w:val="NormalWeb"/>
              <w:spacing w:before="0" w:beforeAutospacing="0" w:after="0" w:afterAutospacing="0"/>
              <w:jc w:val="center"/>
              <w:rPr>
                <w:color w:val="000000"/>
                <w:sz w:val="20"/>
                <w:szCs w:val="20"/>
              </w:rPr>
            </w:pPr>
            <w:r w:rsidRPr="0069439E">
              <w:rPr>
                <w:color w:val="000000"/>
                <w:sz w:val="20"/>
                <w:szCs w:val="20"/>
              </w:rPr>
              <w:t>0.079</w:t>
            </w:r>
          </w:p>
        </w:tc>
      </w:tr>
      <w:tr w:rsidR="00412B02" w:rsidRPr="00222AE8" w14:paraId="47DDF244" w14:textId="77777777" w:rsidTr="003B4AAE">
        <w:trPr>
          <w:trHeight w:val="20"/>
          <w:jc w:val="center"/>
        </w:trPr>
        <w:tc>
          <w:tcPr>
            <w:tcW w:w="1260" w:type="dxa"/>
            <w:tcBorders>
              <w:top w:val="single" w:sz="4" w:space="0" w:color="F2F2F2" w:themeColor="background1" w:themeShade="F2"/>
              <w:bottom w:val="single" w:sz="4" w:space="0" w:color="F2F2F2" w:themeColor="background1" w:themeShade="F2"/>
              <w:right w:val="single" w:sz="4" w:space="0" w:color="F2F2F2" w:themeColor="background1" w:themeShade="F2"/>
            </w:tcBorders>
            <w:tcMar>
              <w:top w:w="75" w:type="dxa"/>
              <w:left w:w="75" w:type="dxa"/>
              <w:bottom w:w="75" w:type="dxa"/>
              <w:right w:w="75" w:type="dxa"/>
            </w:tcMar>
            <w:vAlign w:val="center"/>
            <w:hideMark/>
          </w:tcPr>
          <w:p w14:paraId="27716511"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D6</w:t>
            </w:r>
          </w:p>
        </w:tc>
        <w:tc>
          <w:tcPr>
            <w:tcW w:w="731" w:type="dxa"/>
            <w:tcBorders>
              <w:top w:val="single" w:sz="4" w:space="0" w:color="F2F2F2" w:themeColor="background1" w:themeShade="F2"/>
              <w:bottom w:val="single" w:sz="4" w:space="0" w:color="F2F2F2" w:themeColor="background1" w:themeShade="F2"/>
            </w:tcBorders>
            <w:vAlign w:val="center"/>
          </w:tcPr>
          <w:p w14:paraId="443F0302"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sz w:val="20"/>
                <w:szCs w:val="20"/>
              </w:rPr>
              <w:t>39</w:t>
            </w:r>
          </w:p>
        </w:tc>
        <w:tc>
          <w:tcPr>
            <w:tcW w:w="70" w:type="dxa"/>
            <w:tcBorders>
              <w:top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06348A8" w14:textId="77777777" w:rsidR="00412B02" w:rsidRPr="0069439E" w:rsidRDefault="00412B02" w:rsidP="003B4AAE">
            <w:pPr>
              <w:pStyle w:val="NormalWeb"/>
              <w:spacing w:before="0" w:beforeAutospacing="0" w:after="0" w:afterAutospacing="0"/>
              <w:jc w:val="center"/>
              <w:rPr>
                <w:color w:val="000000" w:themeColor="text1"/>
                <w:sz w:val="20"/>
                <w:szCs w:val="20"/>
              </w:rPr>
            </w:pPr>
          </w:p>
        </w:tc>
        <w:tc>
          <w:tcPr>
            <w:tcW w:w="805"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hideMark/>
          </w:tcPr>
          <w:p w14:paraId="3BE72235"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32,359</w:t>
            </w:r>
          </w:p>
        </w:tc>
        <w:tc>
          <w:tcPr>
            <w:tcW w:w="914"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F2F2F2" w:themeColor="background1" w:themeShade="F2"/>
            </w:tcBorders>
            <w:tcMar>
              <w:top w:w="75" w:type="dxa"/>
              <w:left w:w="75" w:type="dxa"/>
              <w:bottom w:w="75" w:type="dxa"/>
              <w:right w:w="75" w:type="dxa"/>
            </w:tcMar>
            <w:vAlign w:val="center"/>
            <w:hideMark/>
          </w:tcPr>
          <w:p w14:paraId="2D18288B"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20.6</w:t>
            </w:r>
          </w:p>
        </w:tc>
        <w:tc>
          <w:tcPr>
            <w:tcW w:w="207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tcPr>
          <w:p w14:paraId="12D81572" w14:textId="77777777" w:rsidR="00412B02" w:rsidRPr="0069439E" w:rsidRDefault="00412B02" w:rsidP="003B4AAE">
            <w:pPr>
              <w:ind w:left="720"/>
              <w:rPr>
                <w:sz w:val="20"/>
                <w:szCs w:val="20"/>
              </w:rPr>
            </w:pPr>
            <w:r w:rsidRPr="0069439E">
              <w:rPr>
                <w:color w:val="000000"/>
                <w:sz w:val="20"/>
                <w:szCs w:val="20"/>
              </w:rPr>
              <w:t xml:space="preserve">0.848 </w:t>
            </w:r>
            <w:r w:rsidRPr="0069439E">
              <w:rPr>
                <w:sz w:val="20"/>
                <w:szCs w:val="20"/>
              </w:rPr>
              <w:t>±</w:t>
            </w:r>
            <w:r>
              <w:rPr>
                <w:sz w:val="20"/>
                <w:szCs w:val="20"/>
              </w:rPr>
              <w:t xml:space="preserve"> </w:t>
            </w:r>
            <w:r w:rsidRPr="0069439E">
              <w:rPr>
                <w:color w:val="000000"/>
                <w:sz w:val="20"/>
                <w:szCs w:val="20"/>
              </w:rPr>
              <w:t>0.0</w:t>
            </w:r>
            <w:r>
              <w:rPr>
                <w:color w:val="000000"/>
                <w:sz w:val="20"/>
                <w:szCs w:val="20"/>
              </w:rPr>
              <w:t>50</w:t>
            </w:r>
          </w:p>
        </w:tc>
        <w:tc>
          <w:tcPr>
            <w:tcW w:w="1260"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tcPr>
          <w:p w14:paraId="06BB6BB1"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sz w:val="20"/>
                <w:szCs w:val="20"/>
              </w:rPr>
              <w:t>0.911</w:t>
            </w:r>
          </w:p>
        </w:tc>
        <w:tc>
          <w:tcPr>
            <w:tcW w:w="1589"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FFFFFF" w:themeColor="background1"/>
            </w:tcBorders>
            <w:vAlign w:val="center"/>
          </w:tcPr>
          <w:p w14:paraId="5F1F1E65" w14:textId="77777777" w:rsidR="00412B02" w:rsidRPr="0069439E" w:rsidRDefault="00412B02" w:rsidP="003B4AAE">
            <w:pPr>
              <w:pStyle w:val="NormalWeb"/>
              <w:spacing w:before="0" w:beforeAutospacing="0" w:after="0" w:afterAutospacing="0"/>
              <w:jc w:val="center"/>
              <w:rPr>
                <w:color w:val="000000"/>
                <w:sz w:val="20"/>
                <w:szCs w:val="20"/>
              </w:rPr>
            </w:pPr>
            <w:r w:rsidRPr="0069439E">
              <w:rPr>
                <w:color w:val="000000"/>
                <w:sz w:val="20"/>
                <w:szCs w:val="20"/>
              </w:rPr>
              <w:t>0.077</w:t>
            </w:r>
          </w:p>
        </w:tc>
      </w:tr>
      <w:tr w:rsidR="00412B02" w:rsidRPr="00222AE8" w14:paraId="581C7B4E" w14:textId="77777777" w:rsidTr="003B4AAE">
        <w:trPr>
          <w:trHeight w:val="20"/>
          <w:jc w:val="center"/>
        </w:trPr>
        <w:tc>
          <w:tcPr>
            <w:tcW w:w="1260" w:type="dxa"/>
            <w:tcBorders>
              <w:top w:val="single" w:sz="4" w:space="0" w:color="F2F2F2" w:themeColor="background1" w:themeShade="F2"/>
              <w:bottom w:val="single" w:sz="4" w:space="0" w:color="F2F2F2" w:themeColor="background1" w:themeShade="F2"/>
              <w:right w:val="single" w:sz="4" w:space="0" w:color="F2F2F2" w:themeColor="background1" w:themeShade="F2"/>
            </w:tcBorders>
            <w:tcMar>
              <w:top w:w="75" w:type="dxa"/>
              <w:left w:w="75" w:type="dxa"/>
              <w:bottom w:w="75" w:type="dxa"/>
              <w:right w:w="75" w:type="dxa"/>
            </w:tcMar>
            <w:vAlign w:val="center"/>
            <w:hideMark/>
          </w:tcPr>
          <w:p w14:paraId="28A3F1EC"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D7</w:t>
            </w:r>
          </w:p>
        </w:tc>
        <w:tc>
          <w:tcPr>
            <w:tcW w:w="731" w:type="dxa"/>
            <w:tcBorders>
              <w:top w:val="single" w:sz="4" w:space="0" w:color="F2F2F2" w:themeColor="background1" w:themeShade="F2"/>
              <w:bottom w:val="single" w:sz="4" w:space="0" w:color="F2F2F2" w:themeColor="background1" w:themeShade="F2"/>
            </w:tcBorders>
            <w:vAlign w:val="center"/>
          </w:tcPr>
          <w:p w14:paraId="3484AEB2"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sz w:val="20"/>
                <w:szCs w:val="20"/>
              </w:rPr>
              <w:t>39</w:t>
            </w:r>
          </w:p>
        </w:tc>
        <w:tc>
          <w:tcPr>
            <w:tcW w:w="70" w:type="dxa"/>
            <w:tcBorders>
              <w:top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12EB2D6" w14:textId="77777777" w:rsidR="00412B02" w:rsidRPr="0069439E" w:rsidRDefault="00412B02" w:rsidP="003B4AAE">
            <w:pPr>
              <w:pStyle w:val="NormalWeb"/>
              <w:spacing w:before="0" w:beforeAutospacing="0" w:after="0" w:afterAutospacing="0"/>
              <w:jc w:val="center"/>
              <w:rPr>
                <w:color w:val="000000" w:themeColor="text1"/>
                <w:sz w:val="20"/>
                <w:szCs w:val="20"/>
              </w:rPr>
            </w:pPr>
          </w:p>
        </w:tc>
        <w:tc>
          <w:tcPr>
            <w:tcW w:w="805"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hideMark/>
          </w:tcPr>
          <w:p w14:paraId="578FA338"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40,574</w:t>
            </w:r>
          </w:p>
        </w:tc>
        <w:tc>
          <w:tcPr>
            <w:tcW w:w="914"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F2F2F2" w:themeColor="background1" w:themeShade="F2"/>
            </w:tcBorders>
            <w:tcMar>
              <w:top w:w="75" w:type="dxa"/>
              <w:left w:w="75" w:type="dxa"/>
              <w:bottom w:w="75" w:type="dxa"/>
              <w:right w:w="75" w:type="dxa"/>
            </w:tcMar>
            <w:vAlign w:val="center"/>
            <w:hideMark/>
          </w:tcPr>
          <w:p w14:paraId="3C756F44"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25.9</w:t>
            </w:r>
          </w:p>
        </w:tc>
        <w:tc>
          <w:tcPr>
            <w:tcW w:w="207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tcPr>
          <w:p w14:paraId="003A47F8" w14:textId="77777777" w:rsidR="00412B02" w:rsidRPr="0069439E" w:rsidRDefault="00412B02" w:rsidP="003B4AAE">
            <w:pPr>
              <w:ind w:left="720"/>
              <w:rPr>
                <w:sz w:val="20"/>
                <w:szCs w:val="20"/>
              </w:rPr>
            </w:pPr>
            <w:r w:rsidRPr="0069439E">
              <w:rPr>
                <w:color w:val="000000"/>
                <w:sz w:val="20"/>
                <w:szCs w:val="20"/>
              </w:rPr>
              <w:t xml:space="preserve">0.831 </w:t>
            </w:r>
            <w:r w:rsidRPr="0069439E">
              <w:rPr>
                <w:sz w:val="20"/>
                <w:szCs w:val="20"/>
              </w:rPr>
              <w:t>±</w:t>
            </w:r>
            <w:r>
              <w:rPr>
                <w:sz w:val="20"/>
                <w:szCs w:val="20"/>
              </w:rPr>
              <w:t xml:space="preserve"> </w:t>
            </w:r>
            <w:r w:rsidRPr="0069439E">
              <w:rPr>
                <w:color w:val="000000"/>
                <w:sz w:val="20"/>
                <w:szCs w:val="20"/>
              </w:rPr>
              <w:t>0.050</w:t>
            </w:r>
          </w:p>
        </w:tc>
        <w:tc>
          <w:tcPr>
            <w:tcW w:w="1260"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tcPr>
          <w:p w14:paraId="56E7946A"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sz w:val="20"/>
                <w:szCs w:val="20"/>
              </w:rPr>
              <w:t>0.900</w:t>
            </w:r>
          </w:p>
        </w:tc>
        <w:tc>
          <w:tcPr>
            <w:tcW w:w="1589"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FFFFFF" w:themeColor="background1"/>
            </w:tcBorders>
            <w:vAlign w:val="center"/>
          </w:tcPr>
          <w:p w14:paraId="0D357D81" w14:textId="77777777" w:rsidR="00412B02" w:rsidRPr="0069439E" w:rsidRDefault="00412B02" w:rsidP="003B4AAE">
            <w:pPr>
              <w:pStyle w:val="NormalWeb"/>
              <w:spacing w:before="0" w:beforeAutospacing="0" w:after="0" w:afterAutospacing="0"/>
              <w:jc w:val="center"/>
              <w:rPr>
                <w:color w:val="000000"/>
                <w:sz w:val="20"/>
                <w:szCs w:val="20"/>
              </w:rPr>
            </w:pPr>
            <w:r w:rsidRPr="0069439E">
              <w:rPr>
                <w:color w:val="000000"/>
                <w:sz w:val="20"/>
                <w:szCs w:val="20"/>
              </w:rPr>
              <w:t>0.077</w:t>
            </w:r>
          </w:p>
        </w:tc>
      </w:tr>
      <w:tr w:rsidR="00412B02" w:rsidRPr="00222AE8" w14:paraId="7AC7DFA9" w14:textId="77777777" w:rsidTr="003B4AAE">
        <w:trPr>
          <w:trHeight w:val="20"/>
          <w:jc w:val="center"/>
        </w:trPr>
        <w:tc>
          <w:tcPr>
            <w:tcW w:w="1260" w:type="dxa"/>
            <w:tcBorders>
              <w:top w:val="single" w:sz="4" w:space="0" w:color="F2F2F2" w:themeColor="background1" w:themeShade="F2"/>
              <w:bottom w:val="single" w:sz="4" w:space="0" w:color="F2F2F2" w:themeColor="background1" w:themeShade="F2"/>
              <w:right w:val="single" w:sz="4" w:space="0" w:color="F2F2F2" w:themeColor="background1" w:themeShade="F2"/>
            </w:tcBorders>
            <w:tcMar>
              <w:top w:w="75" w:type="dxa"/>
              <w:left w:w="75" w:type="dxa"/>
              <w:bottom w:w="75" w:type="dxa"/>
              <w:right w:w="75" w:type="dxa"/>
            </w:tcMar>
            <w:vAlign w:val="center"/>
            <w:hideMark/>
          </w:tcPr>
          <w:p w14:paraId="57B33713"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D8</w:t>
            </w:r>
          </w:p>
        </w:tc>
        <w:tc>
          <w:tcPr>
            <w:tcW w:w="731" w:type="dxa"/>
            <w:tcBorders>
              <w:top w:val="single" w:sz="4" w:space="0" w:color="F2F2F2" w:themeColor="background1" w:themeShade="F2"/>
              <w:bottom w:val="single" w:sz="4" w:space="0" w:color="F2F2F2" w:themeColor="background1" w:themeShade="F2"/>
            </w:tcBorders>
            <w:vAlign w:val="center"/>
          </w:tcPr>
          <w:p w14:paraId="1154C8A5"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sz w:val="20"/>
                <w:szCs w:val="20"/>
              </w:rPr>
              <w:t>44</w:t>
            </w:r>
          </w:p>
        </w:tc>
        <w:tc>
          <w:tcPr>
            <w:tcW w:w="70" w:type="dxa"/>
            <w:tcBorders>
              <w:top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CA21544" w14:textId="77777777" w:rsidR="00412B02" w:rsidRPr="0069439E" w:rsidRDefault="00412B02" w:rsidP="003B4AAE">
            <w:pPr>
              <w:pStyle w:val="NormalWeb"/>
              <w:spacing w:before="0" w:beforeAutospacing="0" w:after="0" w:afterAutospacing="0"/>
              <w:jc w:val="center"/>
              <w:rPr>
                <w:color w:val="000000" w:themeColor="text1"/>
                <w:sz w:val="20"/>
                <w:szCs w:val="20"/>
              </w:rPr>
            </w:pPr>
          </w:p>
        </w:tc>
        <w:tc>
          <w:tcPr>
            <w:tcW w:w="805"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hideMark/>
          </w:tcPr>
          <w:p w14:paraId="7116BBCD"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29,752</w:t>
            </w:r>
          </w:p>
        </w:tc>
        <w:tc>
          <w:tcPr>
            <w:tcW w:w="914"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F2F2F2" w:themeColor="background1" w:themeShade="F2"/>
            </w:tcBorders>
            <w:tcMar>
              <w:top w:w="75" w:type="dxa"/>
              <w:left w:w="75" w:type="dxa"/>
              <w:bottom w:w="75" w:type="dxa"/>
              <w:right w:w="75" w:type="dxa"/>
            </w:tcMar>
            <w:vAlign w:val="center"/>
            <w:hideMark/>
          </w:tcPr>
          <w:p w14:paraId="102F891C"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19.0</w:t>
            </w:r>
          </w:p>
        </w:tc>
        <w:tc>
          <w:tcPr>
            <w:tcW w:w="207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tcPr>
          <w:p w14:paraId="0AAB9E5D" w14:textId="77777777" w:rsidR="00412B02" w:rsidRPr="0069439E" w:rsidRDefault="00412B02" w:rsidP="003B4AAE">
            <w:pPr>
              <w:ind w:left="720"/>
              <w:rPr>
                <w:sz w:val="20"/>
                <w:szCs w:val="20"/>
              </w:rPr>
            </w:pPr>
            <w:r w:rsidRPr="0069439E">
              <w:rPr>
                <w:color w:val="000000"/>
                <w:sz w:val="20"/>
                <w:szCs w:val="20"/>
              </w:rPr>
              <w:t xml:space="preserve">0.886 </w:t>
            </w:r>
            <w:r w:rsidRPr="0069439E">
              <w:rPr>
                <w:sz w:val="20"/>
                <w:szCs w:val="20"/>
              </w:rPr>
              <w:t>±</w:t>
            </w:r>
            <w:r>
              <w:rPr>
                <w:sz w:val="20"/>
                <w:szCs w:val="20"/>
              </w:rPr>
              <w:t xml:space="preserve"> </w:t>
            </w:r>
            <w:r w:rsidRPr="0069439E">
              <w:rPr>
                <w:color w:val="000000"/>
                <w:sz w:val="20"/>
                <w:szCs w:val="20"/>
              </w:rPr>
              <w:t>0.042</w:t>
            </w:r>
          </w:p>
        </w:tc>
        <w:tc>
          <w:tcPr>
            <w:tcW w:w="1260"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tcPr>
          <w:p w14:paraId="74E7092F"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sz w:val="20"/>
                <w:szCs w:val="20"/>
              </w:rPr>
              <w:t>0.940</w:t>
            </w:r>
          </w:p>
        </w:tc>
        <w:tc>
          <w:tcPr>
            <w:tcW w:w="1589"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FFFFFF" w:themeColor="background1"/>
            </w:tcBorders>
            <w:vAlign w:val="center"/>
          </w:tcPr>
          <w:p w14:paraId="5E584124" w14:textId="77777777" w:rsidR="00412B02" w:rsidRPr="0069439E" w:rsidRDefault="00412B02" w:rsidP="003B4AAE">
            <w:pPr>
              <w:pStyle w:val="NormalWeb"/>
              <w:spacing w:before="0" w:beforeAutospacing="0" w:after="0" w:afterAutospacing="0"/>
              <w:jc w:val="center"/>
              <w:rPr>
                <w:color w:val="000000"/>
                <w:sz w:val="20"/>
                <w:szCs w:val="20"/>
              </w:rPr>
            </w:pPr>
            <w:r w:rsidRPr="0069439E">
              <w:rPr>
                <w:color w:val="000000"/>
                <w:sz w:val="20"/>
                <w:szCs w:val="20"/>
              </w:rPr>
              <w:t>0.091</w:t>
            </w:r>
          </w:p>
        </w:tc>
      </w:tr>
      <w:tr w:rsidR="00412B02" w:rsidRPr="00222AE8" w14:paraId="145BB402" w14:textId="77777777" w:rsidTr="003B4AAE">
        <w:trPr>
          <w:trHeight w:val="20"/>
          <w:jc w:val="center"/>
        </w:trPr>
        <w:tc>
          <w:tcPr>
            <w:tcW w:w="1260" w:type="dxa"/>
            <w:tcBorders>
              <w:top w:val="single" w:sz="4" w:space="0" w:color="F2F2F2" w:themeColor="background1" w:themeShade="F2"/>
              <w:bottom w:val="single" w:sz="4" w:space="0" w:color="F2F2F2" w:themeColor="background1" w:themeShade="F2"/>
              <w:right w:val="single" w:sz="4" w:space="0" w:color="F2F2F2" w:themeColor="background1" w:themeShade="F2"/>
            </w:tcBorders>
            <w:tcMar>
              <w:top w:w="75" w:type="dxa"/>
              <w:left w:w="75" w:type="dxa"/>
              <w:bottom w:w="75" w:type="dxa"/>
              <w:right w:w="75" w:type="dxa"/>
            </w:tcMar>
            <w:vAlign w:val="center"/>
            <w:hideMark/>
          </w:tcPr>
          <w:p w14:paraId="60DC5193"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D9</w:t>
            </w:r>
          </w:p>
        </w:tc>
        <w:tc>
          <w:tcPr>
            <w:tcW w:w="731" w:type="dxa"/>
            <w:tcBorders>
              <w:top w:val="single" w:sz="4" w:space="0" w:color="F2F2F2" w:themeColor="background1" w:themeShade="F2"/>
              <w:bottom w:val="single" w:sz="4" w:space="0" w:color="F2F2F2" w:themeColor="background1" w:themeShade="F2"/>
            </w:tcBorders>
            <w:vAlign w:val="center"/>
          </w:tcPr>
          <w:p w14:paraId="7F3265EA"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sz w:val="20"/>
                <w:szCs w:val="20"/>
              </w:rPr>
              <w:t>41</w:t>
            </w:r>
          </w:p>
        </w:tc>
        <w:tc>
          <w:tcPr>
            <w:tcW w:w="70" w:type="dxa"/>
            <w:tcBorders>
              <w:top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B7CC954" w14:textId="77777777" w:rsidR="00412B02" w:rsidRPr="0069439E" w:rsidRDefault="00412B02" w:rsidP="003B4AAE">
            <w:pPr>
              <w:pStyle w:val="NormalWeb"/>
              <w:spacing w:before="0" w:beforeAutospacing="0" w:after="0" w:afterAutospacing="0"/>
              <w:jc w:val="center"/>
              <w:rPr>
                <w:color w:val="000000" w:themeColor="text1"/>
                <w:sz w:val="20"/>
                <w:szCs w:val="20"/>
              </w:rPr>
            </w:pPr>
          </w:p>
        </w:tc>
        <w:tc>
          <w:tcPr>
            <w:tcW w:w="805"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hideMark/>
          </w:tcPr>
          <w:p w14:paraId="0D447728"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32,326</w:t>
            </w:r>
          </w:p>
        </w:tc>
        <w:tc>
          <w:tcPr>
            <w:tcW w:w="914"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F2F2F2" w:themeColor="background1" w:themeShade="F2"/>
            </w:tcBorders>
            <w:tcMar>
              <w:top w:w="75" w:type="dxa"/>
              <w:left w:w="75" w:type="dxa"/>
              <w:bottom w:w="75" w:type="dxa"/>
              <w:right w:w="75" w:type="dxa"/>
            </w:tcMar>
            <w:vAlign w:val="center"/>
            <w:hideMark/>
          </w:tcPr>
          <w:p w14:paraId="169BF2A1"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20.6</w:t>
            </w:r>
          </w:p>
        </w:tc>
        <w:tc>
          <w:tcPr>
            <w:tcW w:w="207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tcPr>
          <w:p w14:paraId="77B7CDB2" w14:textId="77777777" w:rsidR="00412B02" w:rsidRPr="0069439E" w:rsidRDefault="00412B02" w:rsidP="003B4AAE">
            <w:pPr>
              <w:ind w:left="720"/>
              <w:rPr>
                <w:sz w:val="20"/>
                <w:szCs w:val="20"/>
              </w:rPr>
            </w:pPr>
            <w:r w:rsidRPr="0069439E">
              <w:rPr>
                <w:color w:val="000000"/>
                <w:sz w:val="20"/>
                <w:szCs w:val="20"/>
              </w:rPr>
              <w:t xml:space="preserve">0.856 </w:t>
            </w:r>
            <w:r w:rsidRPr="0069439E">
              <w:rPr>
                <w:sz w:val="20"/>
                <w:szCs w:val="20"/>
              </w:rPr>
              <w:t>±</w:t>
            </w:r>
            <w:r w:rsidRPr="0069439E">
              <w:rPr>
                <w:b/>
                <w:bCs/>
                <w:color w:val="000000" w:themeColor="text1"/>
                <w:sz w:val="20"/>
                <w:szCs w:val="20"/>
              </w:rPr>
              <w:t xml:space="preserve"> </w:t>
            </w:r>
            <w:r w:rsidRPr="0069439E">
              <w:rPr>
                <w:color w:val="000000"/>
                <w:sz w:val="20"/>
                <w:szCs w:val="20"/>
              </w:rPr>
              <w:t>0.05</w:t>
            </w:r>
            <w:r>
              <w:rPr>
                <w:color w:val="000000"/>
                <w:sz w:val="20"/>
                <w:szCs w:val="20"/>
              </w:rPr>
              <w:t>2</w:t>
            </w:r>
          </w:p>
        </w:tc>
        <w:tc>
          <w:tcPr>
            <w:tcW w:w="1260"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tcPr>
          <w:p w14:paraId="615B233E"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sz w:val="20"/>
                <w:szCs w:val="20"/>
              </w:rPr>
              <w:t>0.902</w:t>
            </w:r>
          </w:p>
        </w:tc>
        <w:tc>
          <w:tcPr>
            <w:tcW w:w="1589"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FFFFFF" w:themeColor="background1"/>
            </w:tcBorders>
            <w:vAlign w:val="center"/>
          </w:tcPr>
          <w:p w14:paraId="0063EBDA" w14:textId="77777777" w:rsidR="00412B02" w:rsidRPr="0069439E" w:rsidRDefault="00412B02" w:rsidP="003B4AAE">
            <w:pPr>
              <w:pStyle w:val="NormalWeb"/>
              <w:spacing w:before="0" w:beforeAutospacing="0" w:after="0" w:afterAutospacing="0"/>
              <w:jc w:val="center"/>
              <w:rPr>
                <w:color w:val="000000"/>
                <w:sz w:val="20"/>
                <w:szCs w:val="20"/>
              </w:rPr>
            </w:pPr>
            <w:r w:rsidRPr="0069439E">
              <w:rPr>
                <w:color w:val="000000"/>
                <w:sz w:val="20"/>
                <w:szCs w:val="20"/>
              </w:rPr>
              <w:t>0.098</w:t>
            </w:r>
          </w:p>
        </w:tc>
      </w:tr>
      <w:tr w:rsidR="00412B02" w:rsidRPr="00222AE8" w14:paraId="30ECFE61" w14:textId="77777777" w:rsidTr="003B4AAE">
        <w:trPr>
          <w:trHeight w:val="20"/>
          <w:jc w:val="center"/>
        </w:trPr>
        <w:tc>
          <w:tcPr>
            <w:tcW w:w="1260" w:type="dxa"/>
            <w:tcBorders>
              <w:top w:val="single" w:sz="4" w:space="0" w:color="F2F2F2" w:themeColor="background1" w:themeShade="F2"/>
              <w:bottom w:val="single" w:sz="4" w:space="0" w:color="000000" w:themeColor="text1"/>
              <w:right w:val="single" w:sz="4" w:space="0" w:color="F2F2F2" w:themeColor="background1" w:themeShade="F2"/>
            </w:tcBorders>
            <w:tcMar>
              <w:top w:w="75" w:type="dxa"/>
              <w:left w:w="75" w:type="dxa"/>
              <w:bottom w:w="75" w:type="dxa"/>
              <w:right w:w="75" w:type="dxa"/>
            </w:tcMar>
            <w:vAlign w:val="center"/>
            <w:hideMark/>
          </w:tcPr>
          <w:p w14:paraId="1D1571D8"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D10</w:t>
            </w:r>
          </w:p>
        </w:tc>
        <w:tc>
          <w:tcPr>
            <w:tcW w:w="731" w:type="dxa"/>
            <w:tcBorders>
              <w:top w:val="single" w:sz="4" w:space="0" w:color="F2F2F2" w:themeColor="background1" w:themeShade="F2"/>
              <w:bottom w:val="single" w:sz="4" w:space="0" w:color="000000" w:themeColor="text1"/>
            </w:tcBorders>
            <w:vAlign w:val="center"/>
          </w:tcPr>
          <w:p w14:paraId="5ABD2764"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sz w:val="20"/>
                <w:szCs w:val="20"/>
              </w:rPr>
              <w:t>34</w:t>
            </w:r>
          </w:p>
        </w:tc>
        <w:tc>
          <w:tcPr>
            <w:tcW w:w="70" w:type="dxa"/>
            <w:tcBorders>
              <w:top w:val="single" w:sz="4" w:space="0" w:color="F2F2F2" w:themeColor="background1" w:themeShade="F2"/>
              <w:bottom w:val="single" w:sz="4" w:space="0" w:color="000000" w:themeColor="text1"/>
              <w:right w:val="single" w:sz="4" w:space="0" w:color="F2F2F2" w:themeColor="background1" w:themeShade="F2"/>
            </w:tcBorders>
            <w:vAlign w:val="center"/>
          </w:tcPr>
          <w:p w14:paraId="259D1506" w14:textId="77777777" w:rsidR="00412B02" w:rsidRPr="0069439E" w:rsidRDefault="00412B02" w:rsidP="003B4AAE">
            <w:pPr>
              <w:pStyle w:val="NormalWeb"/>
              <w:spacing w:before="0" w:beforeAutospacing="0" w:after="0" w:afterAutospacing="0"/>
              <w:jc w:val="center"/>
              <w:rPr>
                <w:color w:val="000000" w:themeColor="text1"/>
                <w:sz w:val="20"/>
                <w:szCs w:val="20"/>
              </w:rPr>
            </w:pPr>
          </w:p>
        </w:tc>
        <w:tc>
          <w:tcPr>
            <w:tcW w:w="805" w:type="dxa"/>
            <w:tcBorders>
              <w:top w:val="single" w:sz="4" w:space="0" w:color="F2F2F2" w:themeColor="background1" w:themeShade="F2"/>
              <w:left w:val="single" w:sz="4" w:space="0" w:color="F2F2F2" w:themeColor="background1" w:themeShade="F2"/>
              <w:bottom w:val="single" w:sz="4" w:space="0" w:color="000000" w:themeColor="text1"/>
              <w:right w:val="single" w:sz="4" w:space="0" w:color="EAF1DD" w:themeColor="accent3" w:themeTint="33"/>
            </w:tcBorders>
            <w:tcMar>
              <w:top w:w="75" w:type="dxa"/>
              <w:left w:w="75" w:type="dxa"/>
              <w:bottom w:w="75" w:type="dxa"/>
              <w:right w:w="75" w:type="dxa"/>
            </w:tcMar>
            <w:vAlign w:val="center"/>
            <w:hideMark/>
          </w:tcPr>
          <w:p w14:paraId="163C5E06"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17,959</w:t>
            </w:r>
          </w:p>
        </w:tc>
        <w:tc>
          <w:tcPr>
            <w:tcW w:w="914" w:type="dxa"/>
            <w:tcBorders>
              <w:top w:val="single" w:sz="4" w:space="0" w:color="F2F2F2" w:themeColor="background1" w:themeShade="F2"/>
              <w:left w:val="single" w:sz="4" w:space="0" w:color="EAF1DD" w:themeColor="accent3" w:themeTint="33"/>
              <w:bottom w:val="single" w:sz="4" w:space="0" w:color="000000" w:themeColor="text1"/>
              <w:right w:val="single" w:sz="4" w:space="0" w:color="F2F2F2" w:themeColor="background1" w:themeShade="F2"/>
            </w:tcBorders>
            <w:tcMar>
              <w:top w:w="75" w:type="dxa"/>
              <w:left w:w="75" w:type="dxa"/>
              <w:bottom w:w="75" w:type="dxa"/>
              <w:right w:w="75" w:type="dxa"/>
            </w:tcMar>
            <w:vAlign w:val="center"/>
            <w:hideMark/>
          </w:tcPr>
          <w:p w14:paraId="24EFD3AA"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themeColor="text1"/>
                <w:sz w:val="20"/>
                <w:szCs w:val="20"/>
              </w:rPr>
              <w:t>11.5</w:t>
            </w:r>
          </w:p>
        </w:tc>
        <w:tc>
          <w:tcPr>
            <w:tcW w:w="207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tcPr>
          <w:p w14:paraId="1F97DF2D" w14:textId="77777777" w:rsidR="00412B02" w:rsidRPr="0069439E" w:rsidRDefault="00412B02" w:rsidP="003B4AAE">
            <w:pPr>
              <w:ind w:left="720"/>
              <w:rPr>
                <w:sz w:val="20"/>
                <w:szCs w:val="20"/>
              </w:rPr>
            </w:pPr>
            <w:r w:rsidRPr="0069439E">
              <w:rPr>
                <w:color w:val="000000"/>
                <w:sz w:val="20"/>
                <w:szCs w:val="20"/>
              </w:rPr>
              <w:t xml:space="preserve">0.879 </w:t>
            </w:r>
            <w:r w:rsidRPr="0069439E">
              <w:rPr>
                <w:sz w:val="20"/>
                <w:szCs w:val="20"/>
              </w:rPr>
              <w:t>±</w:t>
            </w:r>
            <w:r>
              <w:rPr>
                <w:sz w:val="20"/>
                <w:szCs w:val="20"/>
              </w:rPr>
              <w:t xml:space="preserve"> </w:t>
            </w:r>
            <w:r w:rsidRPr="0069439E">
              <w:rPr>
                <w:color w:val="000000"/>
                <w:sz w:val="20"/>
                <w:szCs w:val="20"/>
              </w:rPr>
              <w:t>0.049</w:t>
            </w:r>
          </w:p>
        </w:tc>
        <w:tc>
          <w:tcPr>
            <w:tcW w:w="1260"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tcPr>
          <w:p w14:paraId="20598097" w14:textId="77777777" w:rsidR="00412B02" w:rsidRPr="0069439E" w:rsidRDefault="00412B02" w:rsidP="003B4AAE">
            <w:pPr>
              <w:pStyle w:val="NormalWeb"/>
              <w:spacing w:before="0" w:beforeAutospacing="0" w:after="0" w:afterAutospacing="0"/>
              <w:jc w:val="center"/>
              <w:rPr>
                <w:color w:val="000000" w:themeColor="text1"/>
                <w:sz w:val="20"/>
                <w:szCs w:val="20"/>
              </w:rPr>
            </w:pPr>
            <w:r w:rsidRPr="0069439E">
              <w:rPr>
                <w:color w:val="000000"/>
                <w:sz w:val="20"/>
                <w:szCs w:val="20"/>
              </w:rPr>
              <w:t>0.943</w:t>
            </w:r>
          </w:p>
        </w:tc>
        <w:tc>
          <w:tcPr>
            <w:tcW w:w="1589" w:type="dxa"/>
            <w:tcBorders>
              <w:top w:val="single" w:sz="4" w:space="0" w:color="F2F2F2" w:themeColor="background1" w:themeShade="F2"/>
              <w:left w:val="single" w:sz="4" w:space="0" w:color="EAF1DD" w:themeColor="accent3" w:themeTint="33"/>
              <w:bottom w:val="single" w:sz="4" w:space="0" w:color="F2F2F2" w:themeColor="background1" w:themeShade="F2"/>
              <w:right w:val="single" w:sz="4" w:space="0" w:color="FFFFFF" w:themeColor="background1"/>
            </w:tcBorders>
            <w:vAlign w:val="center"/>
          </w:tcPr>
          <w:p w14:paraId="24A6E006" w14:textId="77777777" w:rsidR="00412B02" w:rsidRPr="0069439E" w:rsidRDefault="00412B02" w:rsidP="003B4AAE">
            <w:pPr>
              <w:pStyle w:val="NormalWeb"/>
              <w:spacing w:before="0" w:beforeAutospacing="0" w:after="0" w:afterAutospacing="0"/>
              <w:jc w:val="center"/>
              <w:rPr>
                <w:color w:val="000000"/>
                <w:sz w:val="20"/>
                <w:szCs w:val="20"/>
              </w:rPr>
            </w:pPr>
            <w:r w:rsidRPr="0069439E">
              <w:rPr>
                <w:color w:val="000000"/>
                <w:sz w:val="20"/>
                <w:szCs w:val="20"/>
              </w:rPr>
              <w:t>0.088</w:t>
            </w:r>
          </w:p>
        </w:tc>
      </w:tr>
      <w:tr w:rsidR="00412B02" w:rsidRPr="00222AE8" w14:paraId="33470E58" w14:textId="77777777" w:rsidTr="003B4AAE">
        <w:trPr>
          <w:trHeight w:val="20"/>
          <w:jc w:val="center"/>
        </w:trPr>
        <w:tc>
          <w:tcPr>
            <w:tcW w:w="1260" w:type="dxa"/>
            <w:tcBorders>
              <w:top w:val="single" w:sz="4" w:space="0" w:color="000000" w:themeColor="text1"/>
              <w:bottom w:val="single" w:sz="4" w:space="0" w:color="000000" w:themeColor="text1"/>
            </w:tcBorders>
            <w:tcMar>
              <w:top w:w="75" w:type="dxa"/>
              <w:left w:w="75" w:type="dxa"/>
              <w:bottom w:w="75" w:type="dxa"/>
              <w:right w:w="75" w:type="dxa"/>
            </w:tcMar>
            <w:vAlign w:val="center"/>
          </w:tcPr>
          <w:p w14:paraId="0EE78B8F" w14:textId="77777777" w:rsidR="00412B02" w:rsidRPr="002D6894" w:rsidRDefault="00412B02" w:rsidP="003B4AAE">
            <w:pPr>
              <w:pStyle w:val="NormalWeb"/>
              <w:spacing w:before="0" w:beforeAutospacing="0" w:after="0" w:afterAutospacing="0"/>
              <w:jc w:val="center"/>
              <w:rPr>
                <w:b/>
                <w:bCs/>
                <w:color w:val="000000"/>
                <w:sz w:val="20"/>
                <w:szCs w:val="20"/>
              </w:rPr>
            </w:pPr>
            <w:r w:rsidRPr="002D6894">
              <w:rPr>
                <w:b/>
                <w:bCs/>
                <w:color w:val="000000" w:themeColor="text1"/>
                <w:sz w:val="20"/>
                <w:szCs w:val="20"/>
              </w:rPr>
              <w:t xml:space="preserve">Stacked </w:t>
            </w:r>
            <w:r>
              <w:rPr>
                <w:b/>
                <w:bCs/>
                <w:color w:val="000000" w:themeColor="text1"/>
                <w:sz w:val="20"/>
                <w:szCs w:val="20"/>
              </w:rPr>
              <w:t>Models</w:t>
            </w:r>
          </w:p>
        </w:tc>
        <w:tc>
          <w:tcPr>
            <w:tcW w:w="731" w:type="dxa"/>
            <w:tcBorders>
              <w:top w:val="single" w:sz="4" w:space="0" w:color="000000" w:themeColor="text1"/>
              <w:bottom w:val="single" w:sz="4" w:space="0" w:color="000000" w:themeColor="text1"/>
            </w:tcBorders>
            <w:vAlign w:val="center"/>
          </w:tcPr>
          <w:p w14:paraId="63E1A8E4" w14:textId="77777777" w:rsidR="00412B02" w:rsidRPr="002D6894" w:rsidRDefault="00412B02" w:rsidP="003B4AAE">
            <w:pPr>
              <w:pStyle w:val="NormalWeb"/>
              <w:spacing w:before="0" w:beforeAutospacing="0" w:after="0" w:afterAutospacing="0"/>
              <w:jc w:val="center"/>
              <w:rPr>
                <w:b/>
                <w:bCs/>
                <w:color w:val="000000"/>
                <w:sz w:val="20"/>
                <w:szCs w:val="20"/>
              </w:rPr>
            </w:pPr>
            <w:r>
              <w:rPr>
                <w:b/>
                <w:bCs/>
                <w:color w:val="000000"/>
                <w:sz w:val="20"/>
                <w:szCs w:val="20"/>
              </w:rPr>
              <w:t>400</w:t>
            </w:r>
          </w:p>
        </w:tc>
        <w:tc>
          <w:tcPr>
            <w:tcW w:w="70" w:type="dxa"/>
            <w:tcBorders>
              <w:top w:val="single" w:sz="4" w:space="0" w:color="000000" w:themeColor="text1"/>
              <w:bottom w:val="single" w:sz="4" w:space="0" w:color="000000" w:themeColor="text1"/>
              <w:right w:val="single" w:sz="4" w:space="0" w:color="F2F2F2" w:themeColor="background1" w:themeShade="F2"/>
            </w:tcBorders>
            <w:vAlign w:val="center"/>
          </w:tcPr>
          <w:p w14:paraId="631918A7" w14:textId="77777777" w:rsidR="00412B02" w:rsidRPr="002D6894" w:rsidRDefault="00412B02" w:rsidP="003B4AAE">
            <w:pPr>
              <w:pStyle w:val="NormalWeb"/>
              <w:spacing w:before="0" w:beforeAutospacing="0" w:after="0" w:afterAutospacing="0"/>
              <w:jc w:val="center"/>
              <w:rPr>
                <w:b/>
                <w:bCs/>
                <w:color w:val="000000" w:themeColor="text1"/>
                <w:sz w:val="20"/>
                <w:szCs w:val="20"/>
              </w:rPr>
            </w:pPr>
          </w:p>
        </w:tc>
        <w:tc>
          <w:tcPr>
            <w:tcW w:w="805" w:type="dxa"/>
            <w:tcBorders>
              <w:top w:val="single" w:sz="4" w:space="0" w:color="000000" w:themeColor="text1"/>
              <w:left w:val="single" w:sz="4" w:space="0" w:color="F2F2F2" w:themeColor="background1" w:themeShade="F2"/>
              <w:bottom w:val="single" w:sz="4" w:space="0" w:color="000000" w:themeColor="text1"/>
              <w:right w:val="single" w:sz="4" w:space="0" w:color="EAF1DD" w:themeColor="accent3" w:themeTint="33"/>
            </w:tcBorders>
            <w:tcMar>
              <w:top w:w="75" w:type="dxa"/>
              <w:left w:w="75" w:type="dxa"/>
              <w:bottom w:w="75" w:type="dxa"/>
              <w:right w:w="75" w:type="dxa"/>
            </w:tcMar>
            <w:vAlign w:val="center"/>
          </w:tcPr>
          <w:p w14:paraId="54D3B91A" w14:textId="77777777" w:rsidR="00412B02" w:rsidRPr="002D6894" w:rsidRDefault="00412B02" w:rsidP="003B4AAE">
            <w:pPr>
              <w:pStyle w:val="NormalWeb"/>
              <w:spacing w:before="0" w:beforeAutospacing="0" w:after="0" w:afterAutospacing="0"/>
              <w:jc w:val="center"/>
              <w:rPr>
                <w:b/>
                <w:bCs/>
                <w:color w:val="000000" w:themeColor="text1"/>
                <w:sz w:val="20"/>
                <w:szCs w:val="20"/>
              </w:rPr>
            </w:pPr>
            <w:r w:rsidRPr="002D6894">
              <w:rPr>
                <w:b/>
                <w:bCs/>
                <w:color w:val="000000" w:themeColor="text1"/>
                <w:sz w:val="20"/>
                <w:szCs w:val="20"/>
              </w:rPr>
              <w:t>53,727</w:t>
            </w:r>
          </w:p>
        </w:tc>
        <w:tc>
          <w:tcPr>
            <w:tcW w:w="914" w:type="dxa"/>
            <w:tcBorders>
              <w:top w:val="single" w:sz="4" w:space="0" w:color="000000" w:themeColor="text1"/>
              <w:left w:val="single" w:sz="4" w:space="0" w:color="EAF1DD" w:themeColor="accent3" w:themeTint="33"/>
              <w:bottom w:val="single" w:sz="4" w:space="0" w:color="000000" w:themeColor="text1"/>
              <w:right w:val="single" w:sz="4" w:space="0" w:color="F2F2F2" w:themeColor="background1" w:themeShade="F2"/>
            </w:tcBorders>
            <w:tcMar>
              <w:top w:w="75" w:type="dxa"/>
              <w:left w:w="75" w:type="dxa"/>
              <w:bottom w:w="75" w:type="dxa"/>
              <w:right w:w="75" w:type="dxa"/>
            </w:tcMar>
            <w:vAlign w:val="center"/>
          </w:tcPr>
          <w:p w14:paraId="5970ECA4" w14:textId="77777777" w:rsidR="00412B02" w:rsidRPr="002D6894" w:rsidRDefault="00412B02" w:rsidP="003B4AAE">
            <w:pPr>
              <w:pStyle w:val="NormalWeb"/>
              <w:spacing w:before="0" w:beforeAutospacing="0" w:after="0" w:afterAutospacing="0"/>
              <w:jc w:val="center"/>
              <w:rPr>
                <w:b/>
                <w:bCs/>
                <w:color w:val="000000" w:themeColor="text1"/>
                <w:sz w:val="20"/>
                <w:szCs w:val="20"/>
              </w:rPr>
            </w:pPr>
            <w:r w:rsidRPr="002D6894">
              <w:rPr>
                <w:b/>
                <w:bCs/>
                <w:color w:val="000000" w:themeColor="text1"/>
                <w:sz w:val="20"/>
                <w:szCs w:val="20"/>
              </w:rPr>
              <w:t>34.3</w:t>
            </w:r>
          </w:p>
        </w:tc>
        <w:tc>
          <w:tcPr>
            <w:tcW w:w="4919" w:type="dxa"/>
            <w:gridSpan w:val="3"/>
            <w:tcBorders>
              <w:top w:val="single" w:sz="4" w:space="0" w:color="F2F2F2" w:themeColor="background1" w:themeShade="F2"/>
              <w:left w:val="single" w:sz="4" w:space="0" w:color="F2F2F2" w:themeColor="background1" w:themeShade="F2"/>
              <w:bottom w:val="single" w:sz="4" w:space="0" w:color="000000" w:themeColor="text1"/>
              <w:right w:val="single" w:sz="4" w:space="0" w:color="FFFFFF" w:themeColor="background1"/>
            </w:tcBorders>
            <w:tcMar>
              <w:top w:w="75" w:type="dxa"/>
              <w:left w:w="75" w:type="dxa"/>
              <w:bottom w:w="75" w:type="dxa"/>
              <w:right w:w="75" w:type="dxa"/>
            </w:tcMar>
            <w:vAlign w:val="center"/>
          </w:tcPr>
          <w:p w14:paraId="5C333362" w14:textId="77777777" w:rsidR="00412B02" w:rsidRPr="0069439E" w:rsidRDefault="00412B02" w:rsidP="003B4AAE">
            <w:pPr>
              <w:pStyle w:val="NormalWeb"/>
              <w:spacing w:before="0" w:beforeAutospacing="0" w:after="0" w:afterAutospacing="0"/>
              <w:jc w:val="center"/>
              <w:rPr>
                <w:color w:val="000000"/>
                <w:sz w:val="20"/>
                <w:szCs w:val="20"/>
              </w:rPr>
            </w:pPr>
          </w:p>
        </w:tc>
      </w:tr>
    </w:tbl>
    <w:p w14:paraId="48CC9BBF" w14:textId="56CF9B43" w:rsidR="00412B02" w:rsidRDefault="00412B02" w:rsidP="00412B02">
      <w:pPr>
        <w:jc w:val="both"/>
        <w:rPr>
          <w:sz w:val="22"/>
          <w:szCs w:val="22"/>
        </w:rPr>
      </w:pPr>
    </w:p>
    <w:p w14:paraId="75842C48" w14:textId="77777777" w:rsidR="00412B02" w:rsidRDefault="00412B02">
      <w:pPr>
        <w:rPr>
          <w:sz w:val="22"/>
          <w:szCs w:val="22"/>
        </w:rPr>
      </w:pPr>
      <w:r>
        <w:rPr>
          <w:sz w:val="22"/>
          <w:szCs w:val="22"/>
        </w:rPr>
        <w:br w:type="page"/>
      </w:r>
    </w:p>
    <w:p w14:paraId="7A46FCBD" w14:textId="157DB3B2" w:rsidR="00412B02" w:rsidRDefault="00412B02" w:rsidP="00412B02">
      <w:pPr>
        <w:jc w:val="both"/>
        <w:rPr>
          <w:b/>
          <w:bCs/>
          <w:sz w:val="22"/>
          <w:szCs w:val="22"/>
        </w:rPr>
      </w:pPr>
      <w:bookmarkStart w:id="63" w:name="_Toc88053993"/>
      <w:r w:rsidRPr="009011B9">
        <w:rPr>
          <w:b/>
          <w:bCs/>
          <w:sz w:val="22"/>
          <w:szCs w:val="22"/>
        </w:rPr>
        <w:lastRenderedPageBreak/>
        <w:t xml:space="preserve">Table </w:t>
      </w:r>
      <w:r w:rsidRPr="009011B9">
        <w:rPr>
          <w:b/>
          <w:bCs/>
          <w:sz w:val="22"/>
          <w:szCs w:val="22"/>
        </w:rPr>
        <w:fldChar w:fldCharType="begin"/>
      </w:r>
      <w:r w:rsidRPr="009011B9">
        <w:rPr>
          <w:b/>
          <w:bCs/>
          <w:sz w:val="22"/>
          <w:szCs w:val="22"/>
        </w:rPr>
        <w:instrText xml:space="preserve"> SEQ Table \* ARABIC </w:instrText>
      </w:r>
      <w:r w:rsidRPr="009011B9">
        <w:rPr>
          <w:b/>
          <w:bCs/>
          <w:sz w:val="22"/>
          <w:szCs w:val="22"/>
        </w:rPr>
        <w:fldChar w:fldCharType="separate"/>
      </w:r>
      <w:r>
        <w:rPr>
          <w:b/>
          <w:bCs/>
          <w:noProof/>
          <w:sz w:val="22"/>
          <w:szCs w:val="22"/>
        </w:rPr>
        <w:t>7</w:t>
      </w:r>
      <w:r w:rsidRPr="009011B9">
        <w:rPr>
          <w:b/>
          <w:bCs/>
          <w:sz w:val="22"/>
          <w:szCs w:val="22"/>
        </w:rPr>
        <w:fldChar w:fldCharType="end"/>
      </w:r>
      <w:r w:rsidRPr="009011B9">
        <w:rPr>
          <w:b/>
          <w:bCs/>
          <w:sz w:val="22"/>
          <w:szCs w:val="22"/>
        </w:rPr>
        <w:t xml:space="preserve">: </w:t>
      </w:r>
      <w:r>
        <w:rPr>
          <w:b/>
          <w:bCs/>
          <w:sz w:val="22"/>
          <w:szCs w:val="22"/>
        </w:rPr>
        <w:t>Net loss calculated as percent loss minus percent gain and 95 percent confidence bounds averaged for the three global circulation models across geographic range, year, and relative concentration pathway (</w:t>
      </w:r>
      <w:r w:rsidR="007F1357">
        <w:rPr>
          <w:b/>
          <w:bCs/>
          <w:sz w:val="22"/>
          <w:szCs w:val="22"/>
        </w:rPr>
        <w:t>RCP</w:t>
      </w:r>
      <w:r>
        <w:rPr>
          <w:b/>
          <w:bCs/>
          <w:sz w:val="22"/>
          <w:szCs w:val="22"/>
        </w:rPr>
        <w:t>).</w:t>
      </w:r>
      <w:bookmarkEnd w:id="63"/>
      <w:r>
        <w:rPr>
          <w:b/>
          <w:bCs/>
          <w:sz w:val="22"/>
          <w:szCs w:val="22"/>
        </w:rPr>
        <w:t xml:space="preserve"> </w:t>
      </w:r>
      <w:r w:rsidRPr="006D679E">
        <w:rPr>
          <w:b/>
          <w:bCs/>
          <w:sz w:val="22"/>
          <w:szCs w:val="22"/>
        </w:rPr>
        <w:t xml:space="preserve"> </w:t>
      </w:r>
    </w:p>
    <w:tbl>
      <w:tblPr>
        <w:tblW w:w="7920" w:type="dxa"/>
        <w:jc w:val="center"/>
        <w:tblCellMar>
          <w:top w:w="15" w:type="dxa"/>
          <w:left w:w="15" w:type="dxa"/>
          <w:bottom w:w="15" w:type="dxa"/>
          <w:right w:w="15" w:type="dxa"/>
        </w:tblCellMar>
        <w:tblLook w:val="04A0" w:firstRow="1" w:lastRow="0" w:firstColumn="1" w:lastColumn="0" w:noHBand="0" w:noVBand="1"/>
      </w:tblPr>
      <w:tblGrid>
        <w:gridCol w:w="1440"/>
        <w:gridCol w:w="900"/>
        <w:gridCol w:w="2520"/>
        <w:gridCol w:w="3060"/>
      </w:tblGrid>
      <w:tr w:rsidR="00412B02" w:rsidRPr="00222AE8" w14:paraId="1477F40B" w14:textId="77777777" w:rsidTr="003B4AAE">
        <w:trPr>
          <w:trHeight w:val="221"/>
          <w:jc w:val="center"/>
        </w:trPr>
        <w:tc>
          <w:tcPr>
            <w:tcW w:w="1440" w:type="dxa"/>
            <w:vMerge w:val="restart"/>
            <w:tcBorders>
              <w:top w:val="single" w:sz="4" w:space="0" w:color="000000" w:themeColor="text1"/>
              <w:right w:val="single" w:sz="4" w:space="0" w:color="F2F2F2" w:themeColor="background1" w:themeShade="F2"/>
            </w:tcBorders>
            <w:tcMar>
              <w:top w:w="75" w:type="dxa"/>
              <w:left w:w="75" w:type="dxa"/>
              <w:bottom w:w="75" w:type="dxa"/>
              <w:right w:w="75" w:type="dxa"/>
            </w:tcMar>
            <w:vAlign w:val="center"/>
            <w:hideMark/>
          </w:tcPr>
          <w:p w14:paraId="4C0AF94D" w14:textId="77777777" w:rsidR="00412B02" w:rsidRPr="0069439E" w:rsidRDefault="00412B02" w:rsidP="003B4AAE">
            <w:pPr>
              <w:pStyle w:val="NormalWeb"/>
              <w:spacing w:before="0" w:beforeAutospacing="0" w:after="0" w:afterAutospacing="0"/>
              <w:jc w:val="center"/>
              <w:rPr>
                <w:b/>
                <w:bCs/>
                <w:color w:val="000000" w:themeColor="text1"/>
                <w:sz w:val="20"/>
                <w:szCs w:val="20"/>
              </w:rPr>
            </w:pPr>
            <w:r>
              <w:rPr>
                <w:b/>
                <w:bCs/>
                <w:color w:val="000000" w:themeColor="text1"/>
                <w:sz w:val="20"/>
                <w:szCs w:val="20"/>
              </w:rPr>
              <w:t>geographic extent</w:t>
            </w:r>
          </w:p>
        </w:tc>
        <w:tc>
          <w:tcPr>
            <w:tcW w:w="900" w:type="dxa"/>
            <w:vMerge w:val="restart"/>
            <w:tcBorders>
              <w:top w:val="single" w:sz="4" w:space="0" w:color="000000" w:themeColor="text1"/>
              <w:right w:val="single" w:sz="4" w:space="0" w:color="F2F2F2" w:themeColor="background1" w:themeShade="F2"/>
            </w:tcBorders>
            <w:vAlign w:val="center"/>
          </w:tcPr>
          <w:p w14:paraId="5C0AEED7" w14:textId="77777777" w:rsidR="00412B02" w:rsidRPr="0069439E" w:rsidRDefault="00412B02" w:rsidP="003B4AAE">
            <w:pPr>
              <w:pStyle w:val="NormalWeb"/>
              <w:spacing w:before="0" w:beforeAutospacing="0" w:after="0" w:afterAutospacing="0"/>
              <w:jc w:val="center"/>
              <w:rPr>
                <w:b/>
                <w:bCs/>
                <w:color w:val="000000" w:themeColor="text1"/>
                <w:sz w:val="20"/>
                <w:szCs w:val="20"/>
              </w:rPr>
            </w:pPr>
            <w:r>
              <w:rPr>
                <w:b/>
                <w:bCs/>
                <w:color w:val="000000" w:themeColor="text1"/>
                <w:sz w:val="20"/>
                <w:szCs w:val="20"/>
              </w:rPr>
              <w:t>year</w:t>
            </w:r>
          </w:p>
        </w:tc>
        <w:tc>
          <w:tcPr>
            <w:tcW w:w="5580" w:type="dxa"/>
            <w:gridSpan w:val="2"/>
            <w:tcBorders>
              <w:top w:val="single" w:sz="4" w:space="0" w:color="000000" w:themeColor="text1"/>
              <w:left w:val="single" w:sz="4" w:space="0" w:color="F2F2F2" w:themeColor="background1" w:themeShade="F2"/>
              <w:bottom w:val="single" w:sz="4" w:space="0" w:color="F2F2F2" w:themeColor="background1" w:themeShade="F2"/>
              <w:right w:val="single" w:sz="4" w:space="0" w:color="FFFFFF" w:themeColor="background1"/>
            </w:tcBorders>
            <w:tcMar>
              <w:top w:w="75" w:type="dxa"/>
              <w:left w:w="75" w:type="dxa"/>
              <w:bottom w:w="75" w:type="dxa"/>
              <w:right w:w="75" w:type="dxa"/>
            </w:tcMar>
            <w:vAlign w:val="center"/>
            <w:hideMark/>
          </w:tcPr>
          <w:p w14:paraId="2A798F37" w14:textId="77777777" w:rsidR="00412B02" w:rsidRPr="0069439E" w:rsidRDefault="00412B02" w:rsidP="003B4AAE">
            <w:pPr>
              <w:pStyle w:val="NormalWeb"/>
              <w:spacing w:before="0" w:beforeAutospacing="0" w:after="0" w:afterAutospacing="0"/>
              <w:jc w:val="center"/>
              <w:rPr>
                <w:b/>
                <w:bCs/>
                <w:color w:val="000000" w:themeColor="text1"/>
                <w:sz w:val="20"/>
                <w:szCs w:val="20"/>
              </w:rPr>
            </w:pPr>
            <w:r>
              <w:rPr>
                <w:b/>
                <w:bCs/>
                <w:color w:val="000000" w:themeColor="text1"/>
                <w:sz w:val="20"/>
                <w:szCs w:val="20"/>
              </w:rPr>
              <w:t>net loss (%) [lower CI, upper CI]</w:t>
            </w:r>
          </w:p>
        </w:tc>
      </w:tr>
      <w:tr w:rsidR="00412B02" w:rsidRPr="00222AE8" w14:paraId="2BBCBDDD" w14:textId="77777777" w:rsidTr="003B4AAE">
        <w:trPr>
          <w:trHeight w:val="117"/>
          <w:jc w:val="center"/>
        </w:trPr>
        <w:tc>
          <w:tcPr>
            <w:tcW w:w="1440" w:type="dxa"/>
            <w:vMerge/>
            <w:tcBorders>
              <w:top w:val="single" w:sz="4" w:space="0" w:color="000000" w:themeColor="text1"/>
              <w:bottom w:val="single" w:sz="4" w:space="0" w:color="000000" w:themeColor="text1"/>
              <w:right w:val="single" w:sz="4" w:space="0" w:color="F2F2F2" w:themeColor="background1" w:themeShade="F2"/>
            </w:tcBorders>
            <w:vAlign w:val="center"/>
            <w:hideMark/>
          </w:tcPr>
          <w:p w14:paraId="58DA1346" w14:textId="77777777" w:rsidR="00412B02" w:rsidRPr="0069439E" w:rsidRDefault="00412B02" w:rsidP="003B4AAE">
            <w:pPr>
              <w:jc w:val="center"/>
              <w:rPr>
                <w:color w:val="000000" w:themeColor="text1"/>
                <w:sz w:val="20"/>
                <w:szCs w:val="20"/>
              </w:rPr>
            </w:pPr>
          </w:p>
        </w:tc>
        <w:tc>
          <w:tcPr>
            <w:tcW w:w="900" w:type="dxa"/>
            <w:vMerge/>
            <w:tcBorders>
              <w:bottom w:val="single" w:sz="4" w:space="0" w:color="000000" w:themeColor="text1"/>
              <w:right w:val="single" w:sz="4" w:space="0" w:color="F2F2F2" w:themeColor="background1" w:themeShade="F2"/>
            </w:tcBorders>
            <w:vAlign w:val="center"/>
          </w:tcPr>
          <w:p w14:paraId="412256FF" w14:textId="77777777" w:rsidR="00412B02" w:rsidRPr="0069439E" w:rsidRDefault="00412B02" w:rsidP="003B4AAE">
            <w:pPr>
              <w:pStyle w:val="NormalWeb"/>
              <w:spacing w:before="0" w:beforeAutospacing="0" w:after="0" w:afterAutospacing="0"/>
              <w:jc w:val="center"/>
              <w:rPr>
                <w:b/>
                <w:bCs/>
                <w:color w:val="000000" w:themeColor="text1"/>
                <w:sz w:val="20"/>
                <w:szCs w:val="20"/>
              </w:rPr>
            </w:pPr>
          </w:p>
        </w:tc>
        <w:tc>
          <w:tcPr>
            <w:tcW w:w="2520" w:type="dxa"/>
            <w:tcBorders>
              <w:top w:val="single" w:sz="4" w:space="0" w:color="F2F2F2" w:themeColor="background1" w:themeShade="F2"/>
              <w:left w:val="single" w:sz="4" w:space="0" w:color="F2F2F2" w:themeColor="background1" w:themeShade="F2"/>
              <w:bottom w:val="single" w:sz="4" w:space="0" w:color="000000" w:themeColor="text1"/>
              <w:right w:val="single" w:sz="4" w:space="0" w:color="EAF1DD" w:themeColor="accent3" w:themeTint="33"/>
            </w:tcBorders>
            <w:tcMar>
              <w:top w:w="75" w:type="dxa"/>
              <w:left w:w="75" w:type="dxa"/>
              <w:bottom w:w="75" w:type="dxa"/>
              <w:right w:w="75" w:type="dxa"/>
            </w:tcMar>
            <w:vAlign w:val="center"/>
            <w:hideMark/>
          </w:tcPr>
          <w:p w14:paraId="5D70440F" w14:textId="2F99F126" w:rsidR="00412B02" w:rsidRPr="0069439E" w:rsidRDefault="007F1357" w:rsidP="003B4AAE">
            <w:pPr>
              <w:pStyle w:val="NormalWeb"/>
              <w:spacing w:before="0" w:beforeAutospacing="0" w:after="0" w:afterAutospacing="0"/>
              <w:jc w:val="center"/>
              <w:rPr>
                <w:b/>
                <w:bCs/>
                <w:color w:val="000000" w:themeColor="text1"/>
                <w:sz w:val="18"/>
                <w:szCs w:val="18"/>
              </w:rPr>
            </w:pPr>
            <w:r>
              <w:rPr>
                <w:b/>
                <w:bCs/>
                <w:color w:val="000000" w:themeColor="text1"/>
                <w:sz w:val="18"/>
                <w:szCs w:val="18"/>
              </w:rPr>
              <w:t>RCP</w:t>
            </w:r>
            <w:r w:rsidR="00412B02">
              <w:rPr>
                <w:b/>
                <w:bCs/>
                <w:color w:val="000000" w:themeColor="text1"/>
                <w:sz w:val="18"/>
                <w:szCs w:val="18"/>
              </w:rPr>
              <w:t xml:space="preserve"> 4.5</w:t>
            </w:r>
          </w:p>
        </w:tc>
        <w:tc>
          <w:tcPr>
            <w:tcW w:w="3060" w:type="dxa"/>
            <w:tcBorders>
              <w:top w:val="single" w:sz="4" w:space="0" w:color="F2F2F2" w:themeColor="background1" w:themeShade="F2"/>
              <w:left w:val="single" w:sz="4" w:space="0" w:color="EAF1DD" w:themeColor="accent3" w:themeTint="33"/>
              <w:bottom w:val="single" w:sz="4" w:space="0" w:color="000000" w:themeColor="text1"/>
              <w:right w:val="single" w:sz="4" w:space="0" w:color="FFFFFF" w:themeColor="background1"/>
            </w:tcBorders>
            <w:tcMar>
              <w:top w:w="75" w:type="dxa"/>
              <w:left w:w="75" w:type="dxa"/>
              <w:bottom w:w="75" w:type="dxa"/>
              <w:right w:w="75" w:type="dxa"/>
            </w:tcMar>
            <w:vAlign w:val="center"/>
            <w:hideMark/>
          </w:tcPr>
          <w:p w14:paraId="36EFE1F8" w14:textId="2C4F3098" w:rsidR="00412B02" w:rsidRPr="0069439E" w:rsidRDefault="007F1357" w:rsidP="003B4AAE">
            <w:pPr>
              <w:pStyle w:val="NormalWeb"/>
              <w:spacing w:before="0" w:beforeAutospacing="0" w:after="0" w:afterAutospacing="0"/>
              <w:jc w:val="center"/>
              <w:rPr>
                <w:b/>
                <w:bCs/>
                <w:color w:val="000000" w:themeColor="text1"/>
                <w:sz w:val="18"/>
                <w:szCs w:val="18"/>
              </w:rPr>
            </w:pPr>
            <w:r>
              <w:rPr>
                <w:b/>
                <w:bCs/>
                <w:color w:val="000000" w:themeColor="text1"/>
                <w:sz w:val="18"/>
                <w:szCs w:val="18"/>
              </w:rPr>
              <w:t>RCP</w:t>
            </w:r>
            <w:r w:rsidR="00412B02">
              <w:rPr>
                <w:b/>
                <w:bCs/>
                <w:color w:val="000000" w:themeColor="text1"/>
                <w:sz w:val="18"/>
                <w:szCs w:val="18"/>
              </w:rPr>
              <w:t xml:space="preserve"> 8.5</w:t>
            </w:r>
          </w:p>
        </w:tc>
      </w:tr>
      <w:tr w:rsidR="00412B02" w:rsidRPr="00222AE8" w14:paraId="354DD766" w14:textId="77777777" w:rsidTr="003B4AAE">
        <w:trPr>
          <w:trHeight w:val="20"/>
          <w:jc w:val="center"/>
        </w:trPr>
        <w:tc>
          <w:tcPr>
            <w:tcW w:w="1440" w:type="dxa"/>
            <w:vMerge w:val="restart"/>
            <w:tcBorders>
              <w:top w:val="single" w:sz="4" w:space="0" w:color="000000" w:themeColor="text1"/>
              <w:right w:val="single" w:sz="4" w:space="0" w:color="F2F2F2" w:themeColor="background1" w:themeShade="F2"/>
            </w:tcBorders>
            <w:tcMar>
              <w:top w:w="75" w:type="dxa"/>
              <w:left w:w="75" w:type="dxa"/>
              <w:bottom w:w="75" w:type="dxa"/>
              <w:right w:w="75" w:type="dxa"/>
            </w:tcMar>
            <w:vAlign w:val="center"/>
            <w:hideMark/>
          </w:tcPr>
          <w:p w14:paraId="02CC87CD"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themeColor="text1"/>
                <w:sz w:val="20"/>
                <w:szCs w:val="20"/>
              </w:rPr>
              <w:t>species range</w:t>
            </w:r>
          </w:p>
        </w:tc>
        <w:tc>
          <w:tcPr>
            <w:tcW w:w="900" w:type="dxa"/>
            <w:tcBorders>
              <w:top w:val="single" w:sz="4" w:space="0" w:color="000000" w:themeColor="text1"/>
              <w:bottom w:val="single" w:sz="4" w:space="0" w:color="F2F2F2" w:themeColor="background1" w:themeShade="F2"/>
              <w:right w:val="single" w:sz="4" w:space="0" w:color="F2F2F2" w:themeColor="background1" w:themeShade="F2"/>
            </w:tcBorders>
            <w:vAlign w:val="center"/>
          </w:tcPr>
          <w:p w14:paraId="7B828601"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sz w:val="20"/>
                <w:szCs w:val="20"/>
              </w:rPr>
              <w:t>2050s</w:t>
            </w:r>
          </w:p>
        </w:tc>
        <w:tc>
          <w:tcPr>
            <w:tcW w:w="2520" w:type="dxa"/>
            <w:tcBorders>
              <w:top w:val="single" w:sz="4" w:space="0" w:color="000000" w:themeColor="text1"/>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hideMark/>
          </w:tcPr>
          <w:p w14:paraId="595BDFF5"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themeColor="text1"/>
                <w:sz w:val="20"/>
                <w:szCs w:val="20"/>
              </w:rPr>
              <w:t>20.4 [9.8, 31.0]</w:t>
            </w:r>
          </w:p>
        </w:tc>
        <w:tc>
          <w:tcPr>
            <w:tcW w:w="3060" w:type="dxa"/>
            <w:tcBorders>
              <w:top w:val="single" w:sz="4" w:space="0" w:color="000000" w:themeColor="text1"/>
              <w:left w:val="single" w:sz="4" w:space="0" w:color="EAF1DD" w:themeColor="accent3" w:themeTint="33"/>
              <w:bottom w:val="single" w:sz="4" w:space="0" w:color="F2F2F2" w:themeColor="background1" w:themeShade="F2"/>
              <w:right w:val="single" w:sz="4" w:space="0" w:color="FFFFFF" w:themeColor="background1"/>
            </w:tcBorders>
            <w:tcMar>
              <w:top w:w="75" w:type="dxa"/>
              <w:left w:w="75" w:type="dxa"/>
              <w:bottom w:w="75" w:type="dxa"/>
              <w:right w:w="75" w:type="dxa"/>
            </w:tcMar>
            <w:vAlign w:val="center"/>
            <w:hideMark/>
          </w:tcPr>
          <w:p w14:paraId="34AB93B2"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themeColor="text1"/>
                <w:sz w:val="20"/>
                <w:szCs w:val="20"/>
              </w:rPr>
              <w:t>25.4 [14.8, 36.0]</w:t>
            </w:r>
          </w:p>
        </w:tc>
      </w:tr>
      <w:tr w:rsidR="00412B02" w:rsidRPr="00222AE8" w14:paraId="31C27808" w14:textId="77777777" w:rsidTr="003B4AAE">
        <w:trPr>
          <w:trHeight w:val="20"/>
          <w:jc w:val="center"/>
        </w:trPr>
        <w:tc>
          <w:tcPr>
            <w:tcW w:w="1440" w:type="dxa"/>
            <w:vMerge/>
            <w:tcBorders>
              <w:bottom w:val="single" w:sz="4" w:space="0" w:color="D9D9D9" w:themeColor="background1" w:themeShade="D9"/>
              <w:right w:val="single" w:sz="4" w:space="0" w:color="F2F2F2" w:themeColor="background1" w:themeShade="F2"/>
            </w:tcBorders>
            <w:tcMar>
              <w:top w:w="75" w:type="dxa"/>
              <w:left w:w="75" w:type="dxa"/>
              <w:bottom w:w="75" w:type="dxa"/>
              <w:right w:w="75" w:type="dxa"/>
            </w:tcMar>
            <w:vAlign w:val="center"/>
            <w:hideMark/>
          </w:tcPr>
          <w:p w14:paraId="064D45B1" w14:textId="77777777" w:rsidR="00412B02" w:rsidRPr="0069439E" w:rsidRDefault="00412B02" w:rsidP="003B4AAE">
            <w:pPr>
              <w:pStyle w:val="NormalWeb"/>
              <w:spacing w:before="0" w:beforeAutospacing="0" w:after="0" w:afterAutospacing="0"/>
              <w:jc w:val="center"/>
              <w:rPr>
                <w:color w:val="000000" w:themeColor="text1"/>
                <w:sz w:val="20"/>
                <w:szCs w:val="20"/>
              </w:rPr>
            </w:pPr>
          </w:p>
        </w:tc>
        <w:tc>
          <w:tcPr>
            <w:tcW w:w="900" w:type="dxa"/>
            <w:tcBorders>
              <w:top w:val="single" w:sz="4" w:space="0" w:color="F2F2F2" w:themeColor="background1" w:themeShade="F2"/>
              <w:bottom w:val="single" w:sz="4" w:space="0" w:color="D9D9D9" w:themeColor="background1" w:themeShade="D9"/>
              <w:right w:val="single" w:sz="4" w:space="0" w:color="F2F2F2" w:themeColor="background1" w:themeShade="F2"/>
            </w:tcBorders>
            <w:vAlign w:val="center"/>
          </w:tcPr>
          <w:p w14:paraId="5D773E69"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sz w:val="20"/>
                <w:szCs w:val="20"/>
              </w:rPr>
              <w:t>2080s</w:t>
            </w:r>
          </w:p>
        </w:tc>
        <w:tc>
          <w:tcPr>
            <w:tcW w:w="2520" w:type="dxa"/>
            <w:tcBorders>
              <w:top w:val="single" w:sz="4" w:space="0" w:color="F2F2F2" w:themeColor="background1" w:themeShade="F2"/>
              <w:left w:val="single" w:sz="4" w:space="0" w:color="F2F2F2" w:themeColor="background1" w:themeShade="F2"/>
              <w:bottom w:val="single" w:sz="4" w:space="0" w:color="D9D9D9" w:themeColor="background1" w:themeShade="D9"/>
              <w:right w:val="single" w:sz="4" w:space="0" w:color="EAF1DD" w:themeColor="accent3" w:themeTint="33"/>
            </w:tcBorders>
            <w:tcMar>
              <w:top w:w="75" w:type="dxa"/>
              <w:left w:w="75" w:type="dxa"/>
              <w:bottom w:w="75" w:type="dxa"/>
              <w:right w:w="75" w:type="dxa"/>
            </w:tcMar>
            <w:vAlign w:val="center"/>
            <w:hideMark/>
          </w:tcPr>
          <w:p w14:paraId="42A23B4E"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themeColor="text1"/>
                <w:sz w:val="20"/>
                <w:szCs w:val="20"/>
              </w:rPr>
              <w:t>22.7 [12.1, 33.3]</w:t>
            </w:r>
          </w:p>
        </w:tc>
        <w:tc>
          <w:tcPr>
            <w:tcW w:w="3060" w:type="dxa"/>
            <w:tcBorders>
              <w:top w:val="single" w:sz="4" w:space="0" w:color="F2F2F2" w:themeColor="background1" w:themeShade="F2"/>
              <w:left w:val="single" w:sz="4" w:space="0" w:color="EAF1DD" w:themeColor="accent3" w:themeTint="33"/>
              <w:bottom w:val="single" w:sz="4" w:space="0" w:color="D9D9D9" w:themeColor="background1" w:themeShade="D9"/>
              <w:right w:val="single" w:sz="4" w:space="0" w:color="FFFFFF" w:themeColor="background1"/>
            </w:tcBorders>
            <w:tcMar>
              <w:top w:w="75" w:type="dxa"/>
              <w:left w:w="75" w:type="dxa"/>
              <w:bottom w:w="75" w:type="dxa"/>
              <w:right w:w="75" w:type="dxa"/>
            </w:tcMar>
            <w:vAlign w:val="center"/>
            <w:hideMark/>
          </w:tcPr>
          <w:p w14:paraId="64C9EE29"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themeColor="text1"/>
                <w:sz w:val="20"/>
                <w:szCs w:val="20"/>
              </w:rPr>
              <w:t>23.0 [12.4, 33.6]</w:t>
            </w:r>
          </w:p>
        </w:tc>
      </w:tr>
      <w:tr w:rsidR="00412B02" w:rsidRPr="00222AE8" w14:paraId="417796EF" w14:textId="77777777" w:rsidTr="003B4AAE">
        <w:trPr>
          <w:trHeight w:val="20"/>
          <w:jc w:val="center"/>
        </w:trPr>
        <w:tc>
          <w:tcPr>
            <w:tcW w:w="1440" w:type="dxa"/>
            <w:vMerge w:val="restart"/>
            <w:tcBorders>
              <w:top w:val="single" w:sz="4" w:space="0" w:color="D9D9D9" w:themeColor="background1" w:themeShade="D9"/>
              <w:right w:val="single" w:sz="4" w:space="0" w:color="F2F2F2" w:themeColor="background1" w:themeShade="F2"/>
            </w:tcBorders>
            <w:tcMar>
              <w:top w:w="75" w:type="dxa"/>
              <w:left w:w="75" w:type="dxa"/>
              <w:bottom w:w="75" w:type="dxa"/>
              <w:right w:w="75" w:type="dxa"/>
            </w:tcMar>
            <w:vAlign w:val="center"/>
            <w:hideMark/>
          </w:tcPr>
          <w:p w14:paraId="0C839C48"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themeColor="text1"/>
                <w:sz w:val="20"/>
                <w:szCs w:val="20"/>
              </w:rPr>
              <w:t>northern</w:t>
            </w:r>
          </w:p>
        </w:tc>
        <w:tc>
          <w:tcPr>
            <w:tcW w:w="900" w:type="dxa"/>
            <w:tcBorders>
              <w:top w:val="single" w:sz="4" w:space="0" w:color="D9D9D9" w:themeColor="background1" w:themeShade="D9"/>
              <w:bottom w:val="single" w:sz="4" w:space="0" w:color="F2F2F2" w:themeColor="background1" w:themeShade="F2"/>
              <w:right w:val="single" w:sz="4" w:space="0" w:color="F2F2F2" w:themeColor="background1" w:themeShade="F2"/>
            </w:tcBorders>
            <w:vAlign w:val="center"/>
          </w:tcPr>
          <w:p w14:paraId="300F33AC"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sz w:val="20"/>
                <w:szCs w:val="20"/>
              </w:rPr>
              <w:t>2050s</w:t>
            </w:r>
          </w:p>
        </w:tc>
        <w:tc>
          <w:tcPr>
            <w:tcW w:w="2520" w:type="dxa"/>
            <w:tcBorders>
              <w:top w:val="single" w:sz="4" w:space="0" w:color="D9D9D9" w:themeColor="background1" w:themeShade="D9"/>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hideMark/>
          </w:tcPr>
          <w:p w14:paraId="523E2C31"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themeColor="text1"/>
                <w:sz w:val="20"/>
                <w:szCs w:val="20"/>
              </w:rPr>
              <w:t>14.6 [-1.3, 30.4]</w:t>
            </w:r>
          </w:p>
        </w:tc>
        <w:tc>
          <w:tcPr>
            <w:tcW w:w="3060" w:type="dxa"/>
            <w:tcBorders>
              <w:top w:val="single" w:sz="4" w:space="0" w:color="D9D9D9" w:themeColor="background1" w:themeShade="D9"/>
              <w:left w:val="single" w:sz="4" w:space="0" w:color="EAF1DD" w:themeColor="accent3" w:themeTint="33"/>
              <w:bottom w:val="single" w:sz="4" w:space="0" w:color="F2F2F2" w:themeColor="background1" w:themeShade="F2"/>
              <w:right w:val="single" w:sz="4" w:space="0" w:color="FFFFFF" w:themeColor="background1"/>
            </w:tcBorders>
            <w:tcMar>
              <w:top w:w="75" w:type="dxa"/>
              <w:left w:w="75" w:type="dxa"/>
              <w:bottom w:w="75" w:type="dxa"/>
              <w:right w:w="75" w:type="dxa"/>
            </w:tcMar>
            <w:vAlign w:val="center"/>
            <w:hideMark/>
          </w:tcPr>
          <w:p w14:paraId="3632446B"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themeColor="text1"/>
                <w:sz w:val="20"/>
                <w:szCs w:val="20"/>
              </w:rPr>
              <w:t>18.8 [2.9, 34.6]</w:t>
            </w:r>
          </w:p>
        </w:tc>
      </w:tr>
      <w:tr w:rsidR="00412B02" w:rsidRPr="00222AE8" w14:paraId="4AA6EC37" w14:textId="77777777" w:rsidTr="003B4AAE">
        <w:trPr>
          <w:trHeight w:val="20"/>
          <w:jc w:val="center"/>
        </w:trPr>
        <w:tc>
          <w:tcPr>
            <w:tcW w:w="1440" w:type="dxa"/>
            <w:vMerge/>
            <w:tcBorders>
              <w:bottom w:val="single" w:sz="4" w:space="0" w:color="D9D9D9" w:themeColor="background1" w:themeShade="D9"/>
              <w:right w:val="single" w:sz="4" w:space="0" w:color="F2F2F2" w:themeColor="background1" w:themeShade="F2"/>
            </w:tcBorders>
            <w:tcMar>
              <w:top w:w="75" w:type="dxa"/>
              <w:left w:w="75" w:type="dxa"/>
              <w:bottom w:w="75" w:type="dxa"/>
              <w:right w:w="75" w:type="dxa"/>
            </w:tcMar>
            <w:vAlign w:val="center"/>
            <w:hideMark/>
          </w:tcPr>
          <w:p w14:paraId="23E63567" w14:textId="77777777" w:rsidR="00412B02" w:rsidRPr="0069439E" w:rsidRDefault="00412B02" w:rsidP="003B4AAE">
            <w:pPr>
              <w:pStyle w:val="NormalWeb"/>
              <w:spacing w:before="0" w:beforeAutospacing="0" w:after="0" w:afterAutospacing="0"/>
              <w:jc w:val="center"/>
              <w:rPr>
                <w:color w:val="000000" w:themeColor="text1"/>
                <w:sz w:val="20"/>
                <w:szCs w:val="20"/>
              </w:rPr>
            </w:pPr>
          </w:p>
        </w:tc>
        <w:tc>
          <w:tcPr>
            <w:tcW w:w="900" w:type="dxa"/>
            <w:tcBorders>
              <w:top w:val="single" w:sz="4" w:space="0" w:color="F2F2F2" w:themeColor="background1" w:themeShade="F2"/>
              <w:bottom w:val="single" w:sz="4" w:space="0" w:color="D9D9D9" w:themeColor="background1" w:themeShade="D9"/>
              <w:right w:val="single" w:sz="4" w:space="0" w:color="F2F2F2" w:themeColor="background1" w:themeShade="F2"/>
            </w:tcBorders>
            <w:vAlign w:val="center"/>
          </w:tcPr>
          <w:p w14:paraId="519B7D72"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sz w:val="20"/>
                <w:szCs w:val="20"/>
              </w:rPr>
              <w:t>2080s</w:t>
            </w:r>
          </w:p>
        </w:tc>
        <w:tc>
          <w:tcPr>
            <w:tcW w:w="2520" w:type="dxa"/>
            <w:tcBorders>
              <w:top w:val="single" w:sz="4" w:space="0" w:color="F2F2F2" w:themeColor="background1" w:themeShade="F2"/>
              <w:left w:val="single" w:sz="4" w:space="0" w:color="F2F2F2" w:themeColor="background1" w:themeShade="F2"/>
              <w:bottom w:val="single" w:sz="4" w:space="0" w:color="D9D9D9" w:themeColor="background1" w:themeShade="D9"/>
              <w:right w:val="single" w:sz="4" w:space="0" w:color="EAF1DD" w:themeColor="accent3" w:themeTint="33"/>
            </w:tcBorders>
            <w:tcMar>
              <w:top w:w="75" w:type="dxa"/>
              <w:left w:w="75" w:type="dxa"/>
              <w:bottom w:w="75" w:type="dxa"/>
              <w:right w:w="75" w:type="dxa"/>
            </w:tcMar>
            <w:vAlign w:val="center"/>
            <w:hideMark/>
          </w:tcPr>
          <w:p w14:paraId="55284DC3"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themeColor="text1"/>
                <w:sz w:val="20"/>
                <w:szCs w:val="20"/>
              </w:rPr>
              <w:t>16.5 [0.6, 32.3]</w:t>
            </w:r>
          </w:p>
        </w:tc>
        <w:tc>
          <w:tcPr>
            <w:tcW w:w="3060" w:type="dxa"/>
            <w:tcBorders>
              <w:top w:val="single" w:sz="4" w:space="0" w:color="F2F2F2" w:themeColor="background1" w:themeShade="F2"/>
              <w:left w:val="single" w:sz="4" w:space="0" w:color="EAF1DD" w:themeColor="accent3" w:themeTint="33"/>
              <w:bottom w:val="single" w:sz="4" w:space="0" w:color="D9D9D9" w:themeColor="background1" w:themeShade="D9"/>
              <w:right w:val="single" w:sz="4" w:space="0" w:color="FFFFFF" w:themeColor="background1"/>
            </w:tcBorders>
            <w:tcMar>
              <w:top w:w="75" w:type="dxa"/>
              <w:left w:w="75" w:type="dxa"/>
              <w:bottom w:w="75" w:type="dxa"/>
              <w:right w:w="75" w:type="dxa"/>
            </w:tcMar>
            <w:vAlign w:val="center"/>
            <w:hideMark/>
          </w:tcPr>
          <w:p w14:paraId="063C1965"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themeColor="text1"/>
                <w:sz w:val="20"/>
                <w:szCs w:val="20"/>
              </w:rPr>
              <w:t>14.1 [-1.7, 30.0]</w:t>
            </w:r>
          </w:p>
        </w:tc>
      </w:tr>
      <w:tr w:rsidR="00412B02" w:rsidRPr="00222AE8" w14:paraId="48220DB0" w14:textId="77777777" w:rsidTr="003B4AAE">
        <w:trPr>
          <w:trHeight w:val="20"/>
          <w:jc w:val="center"/>
        </w:trPr>
        <w:tc>
          <w:tcPr>
            <w:tcW w:w="1440" w:type="dxa"/>
            <w:vMerge w:val="restart"/>
            <w:tcBorders>
              <w:top w:val="single" w:sz="4" w:space="0" w:color="D9D9D9" w:themeColor="background1" w:themeShade="D9"/>
              <w:right w:val="single" w:sz="4" w:space="0" w:color="F2F2F2" w:themeColor="background1" w:themeShade="F2"/>
            </w:tcBorders>
            <w:tcMar>
              <w:top w:w="75" w:type="dxa"/>
              <w:left w:w="75" w:type="dxa"/>
              <w:bottom w:w="75" w:type="dxa"/>
              <w:right w:w="75" w:type="dxa"/>
            </w:tcMar>
            <w:vAlign w:val="center"/>
            <w:hideMark/>
          </w:tcPr>
          <w:p w14:paraId="00C0E07D"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themeColor="text1"/>
                <w:sz w:val="20"/>
                <w:szCs w:val="20"/>
              </w:rPr>
              <w:t>central</w:t>
            </w:r>
          </w:p>
        </w:tc>
        <w:tc>
          <w:tcPr>
            <w:tcW w:w="900" w:type="dxa"/>
            <w:tcBorders>
              <w:top w:val="single" w:sz="4" w:space="0" w:color="D9D9D9" w:themeColor="background1" w:themeShade="D9"/>
              <w:bottom w:val="single" w:sz="4" w:space="0" w:color="F2F2F2" w:themeColor="background1" w:themeShade="F2"/>
              <w:right w:val="single" w:sz="4" w:space="0" w:color="F2F2F2" w:themeColor="background1" w:themeShade="F2"/>
            </w:tcBorders>
            <w:vAlign w:val="center"/>
          </w:tcPr>
          <w:p w14:paraId="0270BB1C"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sz w:val="20"/>
                <w:szCs w:val="20"/>
              </w:rPr>
              <w:t>2050s</w:t>
            </w:r>
          </w:p>
        </w:tc>
        <w:tc>
          <w:tcPr>
            <w:tcW w:w="2520" w:type="dxa"/>
            <w:tcBorders>
              <w:top w:val="single" w:sz="4" w:space="0" w:color="D9D9D9" w:themeColor="background1" w:themeShade="D9"/>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hideMark/>
          </w:tcPr>
          <w:p w14:paraId="39C6CE48"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themeColor="text1"/>
                <w:sz w:val="20"/>
                <w:szCs w:val="20"/>
              </w:rPr>
              <w:t>24.7 [22.6, 26.8]</w:t>
            </w:r>
          </w:p>
        </w:tc>
        <w:tc>
          <w:tcPr>
            <w:tcW w:w="3060" w:type="dxa"/>
            <w:tcBorders>
              <w:top w:val="single" w:sz="4" w:space="0" w:color="D9D9D9" w:themeColor="background1" w:themeShade="D9"/>
              <w:left w:val="single" w:sz="4" w:space="0" w:color="EAF1DD" w:themeColor="accent3" w:themeTint="33"/>
              <w:bottom w:val="single" w:sz="4" w:space="0" w:color="F2F2F2" w:themeColor="background1" w:themeShade="F2"/>
              <w:right w:val="single" w:sz="4" w:space="0" w:color="FFFFFF" w:themeColor="background1"/>
            </w:tcBorders>
            <w:tcMar>
              <w:top w:w="75" w:type="dxa"/>
              <w:left w:w="75" w:type="dxa"/>
              <w:bottom w:w="75" w:type="dxa"/>
              <w:right w:w="75" w:type="dxa"/>
            </w:tcMar>
            <w:vAlign w:val="center"/>
            <w:hideMark/>
          </w:tcPr>
          <w:p w14:paraId="1AE46C79"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themeColor="text1"/>
                <w:sz w:val="20"/>
                <w:szCs w:val="20"/>
              </w:rPr>
              <w:t>29.4 [27.2, 31.5]</w:t>
            </w:r>
          </w:p>
        </w:tc>
      </w:tr>
      <w:tr w:rsidR="00412B02" w:rsidRPr="00222AE8" w14:paraId="0E2C8B73" w14:textId="77777777" w:rsidTr="003B4AAE">
        <w:trPr>
          <w:trHeight w:val="20"/>
          <w:jc w:val="center"/>
        </w:trPr>
        <w:tc>
          <w:tcPr>
            <w:tcW w:w="1440" w:type="dxa"/>
            <w:vMerge/>
            <w:tcBorders>
              <w:bottom w:val="single" w:sz="4" w:space="0" w:color="D9D9D9" w:themeColor="background1" w:themeShade="D9"/>
              <w:right w:val="single" w:sz="4" w:space="0" w:color="F2F2F2" w:themeColor="background1" w:themeShade="F2"/>
            </w:tcBorders>
            <w:tcMar>
              <w:top w:w="75" w:type="dxa"/>
              <w:left w:w="75" w:type="dxa"/>
              <w:bottom w:w="75" w:type="dxa"/>
              <w:right w:w="75" w:type="dxa"/>
            </w:tcMar>
            <w:vAlign w:val="center"/>
            <w:hideMark/>
          </w:tcPr>
          <w:p w14:paraId="5D73E776" w14:textId="77777777" w:rsidR="00412B02" w:rsidRPr="0069439E" w:rsidRDefault="00412B02" w:rsidP="003B4AAE">
            <w:pPr>
              <w:pStyle w:val="NormalWeb"/>
              <w:spacing w:before="0" w:beforeAutospacing="0" w:after="0" w:afterAutospacing="0"/>
              <w:jc w:val="center"/>
              <w:rPr>
                <w:color w:val="000000" w:themeColor="text1"/>
                <w:sz w:val="20"/>
                <w:szCs w:val="20"/>
              </w:rPr>
            </w:pPr>
          </w:p>
        </w:tc>
        <w:tc>
          <w:tcPr>
            <w:tcW w:w="900" w:type="dxa"/>
            <w:tcBorders>
              <w:top w:val="single" w:sz="4" w:space="0" w:color="F2F2F2" w:themeColor="background1" w:themeShade="F2"/>
              <w:bottom w:val="single" w:sz="4" w:space="0" w:color="D9D9D9" w:themeColor="background1" w:themeShade="D9"/>
              <w:right w:val="single" w:sz="4" w:space="0" w:color="F2F2F2" w:themeColor="background1" w:themeShade="F2"/>
            </w:tcBorders>
            <w:vAlign w:val="center"/>
          </w:tcPr>
          <w:p w14:paraId="4283817E"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sz w:val="20"/>
                <w:szCs w:val="20"/>
              </w:rPr>
              <w:t>2080s</w:t>
            </w:r>
          </w:p>
        </w:tc>
        <w:tc>
          <w:tcPr>
            <w:tcW w:w="2520" w:type="dxa"/>
            <w:tcBorders>
              <w:top w:val="single" w:sz="4" w:space="0" w:color="F2F2F2" w:themeColor="background1" w:themeShade="F2"/>
              <w:left w:val="single" w:sz="4" w:space="0" w:color="F2F2F2" w:themeColor="background1" w:themeShade="F2"/>
              <w:bottom w:val="single" w:sz="4" w:space="0" w:color="D9D9D9" w:themeColor="background1" w:themeShade="D9"/>
              <w:right w:val="single" w:sz="4" w:space="0" w:color="EAF1DD" w:themeColor="accent3" w:themeTint="33"/>
            </w:tcBorders>
            <w:tcMar>
              <w:top w:w="75" w:type="dxa"/>
              <w:left w:w="75" w:type="dxa"/>
              <w:bottom w:w="75" w:type="dxa"/>
              <w:right w:w="75" w:type="dxa"/>
            </w:tcMar>
            <w:vAlign w:val="center"/>
            <w:hideMark/>
          </w:tcPr>
          <w:p w14:paraId="4A0BA0A1"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themeColor="text1"/>
                <w:sz w:val="20"/>
                <w:szCs w:val="20"/>
              </w:rPr>
              <w:t>28.3 [26.1, 30.4]</w:t>
            </w:r>
          </w:p>
        </w:tc>
        <w:tc>
          <w:tcPr>
            <w:tcW w:w="3060" w:type="dxa"/>
            <w:tcBorders>
              <w:top w:val="single" w:sz="4" w:space="0" w:color="F2F2F2" w:themeColor="background1" w:themeShade="F2"/>
              <w:left w:val="single" w:sz="4" w:space="0" w:color="EAF1DD" w:themeColor="accent3" w:themeTint="33"/>
              <w:bottom w:val="single" w:sz="4" w:space="0" w:color="D9D9D9" w:themeColor="background1" w:themeShade="D9"/>
              <w:right w:val="single" w:sz="4" w:space="0" w:color="FFFFFF" w:themeColor="background1"/>
            </w:tcBorders>
            <w:tcMar>
              <w:top w:w="75" w:type="dxa"/>
              <w:left w:w="75" w:type="dxa"/>
              <w:bottom w:w="75" w:type="dxa"/>
              <w:right w:w="75" w:type="dxa"/>
            </w:tcMar>
            <w:vAlign w:val="center"/>
            <w:hideMark/>
          </w:tcPr>
          <w:p w14:paraId="3B1E22DF"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themeColor="text1"/>
                <w:sz w:val="20"/>
                <w:szCs w:val="20"/>
              </w:rPr>
              <w:t>29.5 [27.4, 31.6]</w:t>
            </w:r>
          </w:p>
        </w:tc>
      </w:tr>
      <w:tr w:rsidR="00412B02" w:rsidRPr="00222AE8" w14:paraId="54096C0E" w14:textId="77777777" w:rsidTr="003B4AAE">
        <w:trPr>
          <w:trHeight w:val="20"/>
          <w:jc w:val="center"/>
        </w:trPr>
        <w:tc>
          <w:tcPr>
            <w:tcW w:w="1440" w:type="dxa"/>
            <w:vMerge w:val="restart"/>
            <w:tcBorders>
              <w:top w:val="single" w:sz="4" w:space="0" w:color="D9D9D9" w:themeColor="background1" w:themeShade="D9"/>
              <w:right w:val="single" w:sz="4" w:space="0" w:color="F2F2F2" w:themeColor="background1" w:themeShade="F2"/>
            </w:tcBorders>
            <w:tcMar>
              <w:top w:w="75" w:type="dxa"/>
              <w:left w:w="75" w:type="dxa"/>
              <w:bottom w:w="75" w:type="dxa"/>
              <w:right w:w="75" w:type="dxa"/>
            </w:tcMar>
            <w:vAlign w:val="center"/>
            <w:hideMark/>
          </w:tcPr>
          <w:p w14:paraId="5DEE645C"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themeColor="text1"/>
                <w:sz w:val="20"/>
                <w:szCs w:val="20"/>
              </w:rPr>
              <w:t>southern</w:t>
            </w:r>
          </w:p>
        </w:tc>
        <w:tc>
          <w:tcPr>
            <w:tcW w:w="900" w:type="dxa"/>
            <w:tcBorders>
              <w:top w:val="single" w:sz="4" w:space="0" w:color="D9D9D9" w:themeColor="background1" w:themeShade="D9"/>
              <w:bottom w:val="single" w:sz="4" w:space="0" w:color="F2F2F2" w:themeColor="background1" w:themeShade="F2"/>
              <w:right w:val="single" w:sz="4" w:space="0" w:color="F2F2F2" w:themeColor="background1" w:themeShade="F2"/>
            </w:tcBorders>
            <w:vAlign w:val="center"/>
          </w:tcPr>
          <w:p w14:paraId="1D8D165C"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sz w:val="20"/>
                <w:szCs w:val="20"/>
              </w:rPr>
              <w:t>2050s</w:t>
            </w:r>
          </w:p>
        </w:tc>
        <w:tc>
          <w:tcPr>
            <w:tcW w:w="2520" w:type="dxa"/>
            <w:tcBorders>
              <w:top w:val="single" w:sz="4" w:space="0" w:color="D9D9D9" w:themeColor="background1" w:themeShade="D9"/>
              <w:left w:val="single" w:sz="4" w:space="0" w:color="F2F2F2" w:themeColor="background1" w:themeShade="F2"/>
              <w:bottom w:val="single" w:sz="4" w:space="0" w:color="F2F2F2" w:themeColor="background1" w:themeShade="F2"/>
              <w:right w:val="single" w:sz="4" w:space="0" w:color="EAF1DD" w:themeColor="accent3" w:themeTint="33"/>
            </w:tcBorders>
            <w:tcMar>
              <w:top w:w="75" w:type="dxa"/>
              <w:left w:w="75" w:type="dxa"/>
              <w:bottom w:w="75" w:type="dxa"/>
              <w:right w:w="75" w:type="dxa"/>
            </w:tcMar>
            <w:vAlign w:val="center"/>
            <w:hideMark/>
          </w:tcPr>
          <w:p w14:paraId="489F8157"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themeColor="text1"/>
                <w:sz w:val="20"/>
                <w:szCs w:val="20"/>
              </w:rPr>
              <w:t>36.1 [25.5, 46.6]</w:t>
            </w:r>
          </w:p>
        </w:tc>
        <w:tc>
          <w:tcPr>
            <w:tcW w:w="3060" w:type="dxa"/>
            <w:tcBorders>
              <w:top w:val="single" w:sz="4" w:space="0" w:color="D9D9D9" w:themeColor="background1" w:themeShade="D9"/>
              <w:left w:val="single" w:sz="4" w:space="0" w:color="EAF1DD" w:themeColor="accent3" w:themeTint="33"/>
              <w:bottom w:val="single" w:sz="4" w:space="0" w:color="F2F2F2" w:themeColor="background1" w:themeShade="F2"/>
              <w:right w:val="single" w:sz="4" w:space="0" w:color="FFFFFF" w:themeColor="background1"/>
            </w:tcBorders>
            <w:tcMar>
              <w:top w:w="75" w:type="dxa"/>
              <w:left w:w="75" w:type="dxa"/>
              <w:bottom w:w="75" w:type="dxa"/>
              <w:right w:w="75" w:type="dxa"/>
            </w:tcMar>
            <w:vAlign w:val="center"/>
            <w:hideMark/>
          </w:tcPr>
          <w:p w14:paraId="2A31D01B"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themeColor="text1"/>
                <w:sz w:val="20"/>
                <w:szCs w:val="20"/>
              </w:rPr>
              <w:t>44.5 [33.9, 55.0]</w:t>
            </w:r>
          </w:p>
        </w:tc>
      </w:tr>
      <w:tr w:rsidR="00412B02" w:rsidRPr="00222AE8" w14:paraId="063653BD" w14:textId="77777777" w:rsidTr="003B4AAE">
        <w:trPr>
          <w:trHeight w:val="20"/>
          <w:jc w:val="center"/>
        </w:trPr>
        <w:tc>
          <w:tcPr>
            <w:tcW w:w="1440" w:type="dxa"/>
            <w:vMerge/>
            <w:tcBorders>
              <w:bottom w:val="single" w:sz="4" w:space="0" w:color="000000" w:themeColor="text1"/>
              <w:right w:val="single" w:sz="4" w:space="0" w:color="F2F2F2" w:themeColor="background1" w:themeShade="F2"/>
            </w:tcBorders>
            <w:tcMar>
              <w:top w:w="75" w:type="dxa"/>
              <w:left w:w="75" w:type="dxa"/>
              <w:bottom w:w="75" w:type="dxa"/>
              <w:right w:w="75" w:type="dxa"/>
            </w:tcMar>
            <w:vAlign w:val="center"/>
            <w:hideMark/>
          </w:tcPr>
          <w:p w14:paraId="08834389" w14:textId="77777777" w:rsidR="00412B02" w:rsidRPr="0069439E" w:rsidRDefault="00412B02" w:rsidP="003B4AAE">
            <w:pPr>
              <w:pStyle w:val="NormalWeb"/>
              <w:spacing w:before="0" w:beforeAutospacing="0" w:after="0" w:afterAutospacing="0"/>
              <w:jc w:val="center"/>
              <w:rPr>
                <w:color w:val="000000" w:themeColor="text1"/>
                <w:sz w:val="20"/>
                <w:szCs w:val="20"/>
              </w:rPr>
            </w:pPr>
          </w:p>
        </w:tc>
        <w:tc>
          <w:tcPr>
            <w:tcW w:w="900" w:type="dxa"/>
            <w:tcBorders>
              <w:top w:val="single" w:sz="4" w:space="0" w:color="F2F2F2" w:themeColor="background1" w:themeShade="F2"/>
              <w:bottom w:val="single" w:sz="4" w:space="0" w:color="000000" w:themeColor="text1"/>
              <w:right w:val="single" w:sz="4" w:space="0" w:color="F2F2F2" w:themeColor="background1" w:themeShade="F2"/>
            </w:tcBorders>
            <w:vAlign w:val="center"/>
          </w:tcPr>
          <w:p w14:paraId="2EC28835"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sz w:val="20"/>
                <w:szCs w:val="20"/>
              </w:rPr>
              <w:t>2080s</w:t>
            </w:r>
          </w:p>
        </w:tc>
        <w:tc>
          <w:tcPr>
            <w:tcW w:w="2520" w:type="dxa"/>
            <w:tcBorders>
              <w:top w:val="single" w:sz="4" w:space="0" w:color="F2F2F2" w:themeColor="background1" w:themeShade="F2"/>
              <w:left w:val="single" w:sz="4" w:space="0" w:color="F2F2F2" w:themeColor="background1" w:themeShade="F2"/>
              <w:bottom w:val="single" w:sz="4" w:space="0" w:color="000000" w:themeColor="text1"/>
              <w:right w:val="single" w:sz="4" w:space="0" w:color="EAF1DD" w:themeColor="accent3" w:themeTint="33"/>
            </w:tcBorders>
            <w:tcMar>
              <w:top w:w="75" w:type="dxa"/>
              <w:left w:w="75" w:type="dxa"/>
              <w:bottom w:w="75" w:type="dxa"/>
              <w:right w:w="75" w:type="dxa"/>
            </w:tcMar>
            <w:vAlign w:val="center"/>
            <w:hideMark/>
          </w:tcPr>
          <w:p w14:paraId="77F01DE3"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themeColor="text1"/>
                <w:sz w:val="20"/>
                <w:szCs w:val="20"/>
              </w:rPr>
              <w:t>37.8 [27.2, 48.4]</w:t>
            </w:r>
          </w:p>
        </w:tc>
        <w:tc>
          <w:tcPr>
            <w:tcW w:w="3060" w:type="dxa"/>
            <w:tcBorders>
              <w:top w:val="single" w:sz="4" w:space="0" w:color="F2F2F2" w:themeColor="background1" w:themeShade="F2"/>
              <w:left w:val="single" w:sz="4" w:space="0" w:color="EAF1DD" w:themeColor="accent3" w:themeTint="33"/>
              <w:bottom w:val="single" w:sz="4" w:space="0" w:color="000000" w:themeColor="text1"/>
              <w:right w:val="single" w:sz="4" w:space="0" w:color="FFFFFF" w:themeColor="background1"/>
            </w:tcBorders>
            <w:tcMar>
              <w:top w:w="75" w:type="dxa"/>
              <w:left w:w="75" w:type="dxa"/>
              <w:bottom w:w="75" w:type="dxa"/>
              <w:right w:w="75" w:type="dxa"/>
            </w:tcMar>
            <w:vAlign w:val="center"/>
            <w:hideMark/>
          </w:tcPr>
          <w:p w14:paraId="51B775FD" w14:textId="77777777" w:rsidR="00412B02" w:rsidRPr="0069439E" w:rsidRDefault="00412B02" w:rsidP="003B4AAE">
            <w:pPr>
              <w:pStyle w:val="NormalWeb"/>
              <w:spacing w:before="0" w:beforeAutospacing="0" w:after="0" w:afterAutospacing="0"/>
              <w:jc w:val="center"/>
              <w:rPr>
                <w:color w:val="000000" w:themeColor="text1"/>
                <w:sz w:val="20"/>
                <w:szCs w:val="20"/>
              </w:rPr>
            </w:pPr>
            <w:r>
              <w:rPr>
                <w:color w:val="000000" w:themeColor="text1"/>
                <w:sz w:val="20"/>
                <w:szCs w:val="20"/>
              </w:rPr>
              <w:t>47.0 [36.4, 57.6]</w:t>
            </w:r>
          </w:p>
        </w:tc>
      </w:tr>
    </w:tbl>
    <w:p w14:paraId="08194223" w14:textId="70C429CD" w:rsidR="00412B02" w:rsidRDefault="00412B02" w:rsidP="00412B02">
      <w:pPr>
        <w:jc w:val="both"/>
        <w:rPr>
          <w:b/>
          <w:bCs/>
          <w:sz w:val="22"/>
          <w:szCs w:val="22"/>
        </w:rPr>
      </w:pPr>
    </w:p>
    <w:p w14:paraId="308497FB" w14:textId="77777777" w:rsidR="00412B02" w:rsidRDefault="00412B02">
      <w:pPr>
        <w:rPr>
          <w:b/>
          <w:bCs/>
          <w:sz w:val="22"/>
          <w:szCs w:val="22"/>
        </w:rPr>
      </w:pPr>
      <w:r>
        <w:rPr>
          <w:b/>
          <w:bCs/>
          <w:sz w:val="22"/>
          <w:szCs w:val="22"/>
        </w:rPr>
        <w:br w:type="page"/>
      </w:r>
    </w:p>
    <w:p w14:paraId="2DF6D132" w14:textId="1CC93BD1" w:rsidR="00412B02" w:rsidRDefault="00412B02" w:rsidP="00412B02">
      <w:pPr>
        <w:jc w:val="both"/>
      </w:pPr>
      <w:r w:rsidRPr="00F675E6">
        <w:lastRenderedPageBreak/>
        <w:fldChar w:fldCharType="begin"/>
      </w:r>
      <w:r w:rsidRPr="00F675E6">
        <w:instrText xml:space="preserve"> INCLUDEPICTURE "https://lh6.googleusercontent.com/FH5mJii1_QVGXmEqLyzpbvliI0te33a1dnjtU44jXnaDd9GWUPSUI5_ny10EjQlaq-sj-3Eg5Ggfl1gj0QNOgqfbwHunEA4CuBg5VtdjIkYhnElO5uAzXlTldo83QSfij9gVD66NZnU=s0" \* MERGEFORMATINET </w:instrText>
      </w:r>
      <w:r w:rsidRPr="00F675E6">
        <w:fldChar w:fldCharType="separate"/>
      </w:r>
      <w:r w:rsidRPr="00F675E6">
        <w:rPr>
          <w:noProof/>
        </w:rPr>
        <w:drawing>
          <wp:inline distT="0" distB="0" distL="0" distR="0" wp14:anchorId="4CC7F4A5" wp14:editId="396DEE48">
            <wp:extent cx="5462953" cy="2715718"/>
            <wp:effectExtent l="0" t="0" r="0" b="2540"/>
            <wp:docPr id="14" name="Picture 1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phical user interfac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74858" cy="2721636"/>
                    </a:xfrm>
                    <a:prstGeom prst="rect">
                      <a:avLst/>
                    </a:prstGeom>
                    <a:noFill/>
                    <a:ln>
                      <a:noFill/>
                    </a:ln>
                  </pic:spPr>
                </pic:pic>
              </a:graphicData>
            </a:graphic>
          </wp:inline>
        </w:drawing>
      </w:r>
      <w:r w:rsidRPr="00F675E6">
        <w:fldChar w:fldCharType="end"/>
      </w:r>
    </w:p>
    <w:p w14:paraId="6F088DCD" w14:textId="3CA096B9" w:rsidR="00412B02" w:rsidRDefault="00412B02" w:rsidP="00412B02">
      <w:pPr>
        <w:jc w:val="both"/>
        <w:rPr>
          <w:sz w:val="22"/>
          <w:szCs w:val="22"/>
        </w:rPr>
      </w:pPr>
      <w:bookmarkStart w:id="64" w:name="_Toc88054004"/>
      <w:r w:rsidRPr="00412B02">
        <w:rPr>
          <w:b/>
          <w:bCs/>
          <w:sz w:val="22"/>
          <w:szCs w:val="22"/>
        </w:rPr>
        <w:t xml:space="preserve">Figure </w:t>
      </w:r>
      <w:r w:rsidRPr="00412B02">
        <w:rPr>
          <w:b/>
          <w:bCs/>
          <w:sz w:val="22"/>
          <w:szCs w:val="22"/>
        </w:rPr>
        <w:fldChar w:fldCharType="begin"/>
      </w:r>
      <w:r w:rsidRPr="00412B02">
        <w:rPr>
          <w:b/>
          <w:bCs/>
          <w:sz w:val="22"/>
          <w:szCs w:val="22"/>
        </w:rPr>
        <w:instrText xml:space="preserve"> SEQ Figure \* ARABIC </w:instrText>
      </w:r>
      <w:r w:rsidRPr="00412B02">
        <w:rPr>
          <w:b/>
          <w:bCs/>
          <w:sz w:val="22"/>
          <w:szCs w:val="22"/>
        </w:rPr>
        <w:fldChar w:fldCharType="separate"/>
      </w:r>
      <w:r>
        <w:rPr>
          <w:b/>
          <w:bCs/>
          <w:noProof/>
          <w:sz w:val="22"/>
          <w:szCs w:val="22"/>
        </w:rPr>
        <w:t>9</w:t>
      </w:r>
      <w:r w:rsidRPr="00412B02">
        <w:rPr>
          <w:b/>
          <w:bCs/>
          <w:sz w:val="22"/>
          <w:szCs w:val="22"/>
        </w:rPr>
        <w:fldChar w:fldCharType="end"/>
      </w:r>
      <w:r w:rsidRPr="00412B02">
        <w:rPr>
          <w:b/>
          <w:bCs/>
          <w:sz w:val="22"/>
          <w:szCs w:val="22"/>
        </w:rPr>
        <w:t>.</w:t>
      </w:r>
      <w:r w:rsidRPr="002977BC">
        <w:rPr>
          <w:sz w:val="22"/>
          <w:szCs w:val="22"/>
        </w:rPr>
        <w:t xml:space="preserve"> </w:t>
      </w:r>
      <w:r w:rsidRPr="00245476">
        <w:rPr>
          <w:b/>
          <w:bCs/>
          <w:sz w:val="22"/>
          <w:szCs w:val="22"/>
        </w:rPr>
        <w:t xml:space="preserve">Maps of </w:t>
      </w:r>
      <w:r>
        <w:rPr>
          <w:b/>
          <w:bCs/>
          <w:sz w:val="22"/>
          <w:szCs w:val="22"/>
        </w:rPr>
        <w:t>(</w:t>
      </w:r>
      <w:r w:rsidRPr="00245476">
        <w:rPr>
          <w:b/>
          <w:bCs/>
          <w:sz w:val="22"/>
          <w:szCs w:val="22"/>
        </w:rPr>
        <w:t>a) bud break decile 1</w:t>
      </w:r>
      <w:r>
        <w:rPr>
          <w:b/>
          <w:bCs/>
          <w:sz w:val="22"/>
          <w:szCs w:val="22"/>
        </w:rPr>
        <w:t xml:space="preserve">, </w:t>
      </w:r>
      <w:r w:rsidRPr="00245476">
        <w:rPr>
          <w:b/>
          <w:bCs/>
          <w:sz w:val="22"/>
          <w:szCs w:val="22"/>
        </w:rPr>
        <w:t>(b) bud break decile 10</w:t>
      </w:r>
      <w:r>
        <w:rPr>
          <w:b/>
          <w:bCs/>
          <w:sz w:val="22"/>
          <w:szCs w:val="22"/>
        </w:rPr>
        <w:t>, and</w:t>
      </w:r>
      <w:r w:rsidRPr="00245476">
        <w:rPr>
          <w:b/>
          <w:bCs/>
          <w:sz w:val="22"/>
          <w:szCs w:val="22"/>
        </w:rPr>
        <w:t xml:space="preserve"> (c) stacked deciles 1 through 10 as binary (presence-absence) predictions on current climate</w:t>
      </w:r>
      <w:r>
        <w:rPr>
          <w:b/>
          <w:bCs/>
          <w:sz w:val="22"/>
          <w:szCs w:val="22"/>
        </w:rPr>
        <w:t xml:space="preserve">; and (d) </w:t>
      </w:r>
      <w:r w:rsidRPr="00A30336">
        <w:rPr>
          <w:b/>
          <w:bCs/>
          <w:sz w:val="22"/>
          <w:szCs w:val="22"/>
        </w:rPr>
        <w:t xml:space="preserve">Percent of the landscape predicted to lose trait </w:t>
      </w:r>
      <w:r>
        <w:rPr>
          <w:b/>
          <w:bCs/>
          <w:sz w:val="22"/>
          <w:szCs w:val="22"/>
        </w:rPr>
        <w:t>variation</w:t>
      </w:r>
      <w:r w:rsidRPr="00A30336">
        <w:rPr>
          <w:b/>
          <w:bCs/>
          <w:sz w:val="22"/>
          <w:szCs w:val="22"/>
        </w:rPr>
        <w:t xml:space="preserve"> across three genetic provenances, two future time periods (2055, 2085), and two relative concentration pathways (RCP 4.5 and RCP 8.5).</w:t>
      </w:r>
      <w:r>
        <w:rPr>
          <w:b/>
          <w:bCs/>
          <w:sz w:val="22"/>
          <w:szCs w:val="22"/>
        </w:rPr>
        <w:t xml:space="preserve"> </w:t>
      </w:r>
      <w:r>
        <w:rPr>
          <w:sz w:val="22"/>
          <w:szCs w:val="22"/>
        </w:rPr>
        <w:t>In (a-c), g</w:t>
      </w:r>
      <w:r w:rsidRPr="00245476">
        <w:rPr>
          <w:sz w:val="22"/>
          <w:szCs w:val="22"/>
        </w:rPr>
        <w:t>reen represents suitable climatic conditions for the modeled trait decile (or deciles)</w:t>
      </w:r>
      <w:r>
        <w:rPr>
          <w:sz w:val="22"/>
          <w:szCs w:val="22"/>
        </w:rPr>
        <w:t xml:space="preserve"> and g</w:t>
      </w:r>
      <w:r w:rsidRPr="00245476">
        <w:rPr>
          <w:sz w:val="22"/>
          <w:szCs w:val="22"/>
        </w:rPr>
        <w:t xml:space="preserve">rey represents unsuitable climatic conditions for the modeled trait decile (or deciles). </w:t>
      </w:r>
      <w:r>
        <w:rPr>
          <w:sz w:val="22"/>
          <w:szCs w:val="22"/>
        </w:rPr>
        <w:t>In (d),</w:t>
      </w:r>
      <w:r w:rsidRPr="004600A4">
        <w:rPr>
          <w:sz w:val="22"/>
          <w:szCs w:val="22"/>
        </w:rPr>
        <w:t xml:space="preserve"> </w:t>
      </w:r>
      <w:r>
        <w:rPr>
          <w:sz w:val="22"/>
          <w:szCs w:val="22"/>
        </w:rPr>
        <w:t xml:space="preserve">“net” </w:t>
      </w:r>
      <w:r w:rsidRPr="004600A4">
        <w:rPr>
          <w:sz w:val="22"/>
          <w:szCs w:val="22"/>
        </w:rPr>
        <w:t xml:space="preserve">percent loss is </w:t>
      </w:r>
      <w:r>
        <w:rPr>
          <w:sz w:val="22"/>
          <w:szCs w:val="22"/>
        </w:rPr>
        <w:t>calculated as t</w:t>
      </w:r>
      <w:r w:rsidRPr="004600A4">
        <w:rPr>
          <w:sz w:val="22"/>
          <w:szCs w:val="22"/>
        </w:rPr>
        <w:t>he difference between percent loss and percent gain. Points represent average predictions from three Atmosphere and Ocean General Circulation/Climate models (AOGCMs) that capture “best”, “worst”, and “median” climate projections for this geographic region. Color represents genetic provenance</w:t>
      </w:r>
      <w:r>
        <w:rPr>
          <w:sz w:val="22"/>
          <w:szCs w:val="22"/>
        </w:rPr>
        <w:t xml:space="preserve"> of </w:t>
      </w:r>
      <w:r w:rsidRPr="00245476">
        <w:rPr>
          <w:i/>
          <w:iCs/>
          <w:sz w:val="22"/>
          <w:szCs w:val="22"/>
        </w:rPr>
        <w:t>P. angustifolia</w:t>
      </w:r>
      <w:r w:rsidRPr="004600A4">
        <w:rPr>
          <w:sz w:val="22"/>
          <w:szCs w:val="22"/>
        </w:rPr>
        <w:t>, as</w:t>
      </w:r>
      <w:r>
        <w:rPr>
          <w:sz w:val="22"/>
          <w:szCs w:val="22"/>
        </w:rPr>
        <w:t xml:space="preserve"> labelled</w:t>
      </w:r>
      <w:r w:rsidRPr="004600A4">
        <w:rPr>
          <w:sz w:val="22"/>
          <w:szCs w:val="22"/>
        </w:rPr>
        <w:t xml:space="preserve"> in </w:t>
      </w:r>
      <w:r>
        <w:rPr>
          <w:sz w:val="22"/>
          <w:szCs w:val="22"/>
        </w:rPr>
        <w:t>(c)</w:t>
      </w:r>
      <w:r w:rsidRPr="004600A4">
        <w:rPr>
          <w:sz w:val="22"/>
          <w:szCs w:val="22"/>
        </w:rPr>
        <w:t>.</w:t>
      </w:r>
      <w:r w:rsidRPr="00245476">
        <w:rPr>
          <w:sz w:val="22"/>
          <w:szCs w:val="22"/>
        </w:rPr>
        <w:t xml:space="preserve"> </w:t>
      </w:r>
      <w:r>
        <w:rPr>
          <w:sz w:val="22"/>
          <w:szCs w:val="22"/>
        </w:rPr>
        <w:t xml:space="preserve">Yellow green represents the southern provenance, green blue the central provenance, and blue purple the northern provenance. </w:t>
      </w:r>
      <w:r w:rsidRPr="004600A4">
        <w:rPr>
          <w:sz w:val="22"/>
          <w:szCs w:val="22"/>
        </w:rPr>
        <w:t>Line type (dashed or solid) represent RCP 4.5 and 8.5 respectively.</w:t>
      </w:r>
      <w:r>
        <w:rPr>
          <w:sz w:val="22"/>
          <w:szCs w:val="22"/>
        </w:rPr>
        <w:t xml:space="preserve"> </w:t>
      </w:r>
      <w:r w:rsidRPr="004600A4">
        <w:rPr>
          <w:sz w:val="22"/>
          <w:szCs w:val="22"/>
        </w:rPr>
        <w:t>For visual clarity, this map does not show occurrence data. These data</w:t>
      </w:r>
      <w:r>
        <w:rPr>
          <w:sz w:val="22"/>
          <w:szCs w:val="22"/>
        </w:rPr>
        <w:t>, with latitudes and longitudes,</w:t>
      </w:r>
      <w:r w:rsidRPr="004600A4">
        <w:rPr>
          <w:sz w:val="22"/>
          <w:szCs w:val="22"/>
        </w:rPr>
        <w:t xml:space="preserve"> can be found in the supplemental information.</w:t>
      </w:r>
      <w:bookmarkEnd w:id="64"/>
    </w:p>
    <w:p w14:paraId="77C30761" w14:textId="77777777" w:rsidR="00412B02" w:rsidRDefault="00412B02">
      <w:pPr>
        <w:rPr>
          <w:sz w:val="22"/>
          <w:szCs w:val="22"/>
        </w:rPr>
      </w:pPr>
      <w:r>
        <w:rPr>
          <w:sz w:val="22"/>
          <w:szCs w:val="22"/>
        </w:rPr>
        <w:br w:type="page"/>
      </w:r>
    </w:p>
    <w:p w14:paraId="05C0668D" w14:textId="2F70B8EA" w:rsidR="00412B02" w:rsidRDefault="00412B02" w:rsidP="00412B02">
      <w:pPr>
        <w:jc w:val="center"/>
        <w:rPr>
          <w:b/>
          <w:bCs/>
          <w:sz w:val="22"/>
          <w:szCs w:val="22"/>
        </w:rPr>
      </w:pPr>
      <w:r w:rsidRPr="00711288">
        <w:lastRenderedPageBreak/>
        <w:fldChar w:fldCharType="begin"/>
      </w:r>
      <w:r w:rsidRPr="00711288">
        <w:instrText xml:space="preserve"> INCLUDEPICTURE "https://lh3.googleusercontent.com/FENcUuSIwm7IM-zA7qqkNNPmIdKpoARElg-wWyR-DeAxDSF0pvXBNcv0WKrbrWlKfcOiGl0p9cHAdOTfTxmHA5PdWiEA3jjTQEEIyitx0JcDJX3FAvoisZT5hN9lgDDOJP3_as28X2o=s0" \* MERGEFORMATINET </w:instrText>
      </w:r>
      <w:r w:rsidRPr="00711288">
        <w:fldChar w:fldCharType="separate"/>
      </w:r>
      <w:r w:rsidRPr="00711288">
        <w:rPr>
          <w:noProof/>
        </w:rPr>
        <w:drawing>
          <wp:inline distT="0" distB="0" distL="0" distR="0" wp14:anchorId="1272C061" wp14:editId="4FA8A0BD">
            <wp:extent cx="3722915" cy="5022754"/>
            <wp:effectExtent l="0" t="0" r="0" b="0"/>
            <wp:docPr id="15" name="Picture 1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histogra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845" cy="5055038"/>
                    </a:xfrm>
                    <a:prstGeom prst="rect">
                      <a:avLst/>
                    </a:prstGeom>
                    <a:noFill/>
                    <a:ln>
                      <a:noFill/>
                    </a:ln>
                  </pic:spPr>
                </pic:pic>
              </a:graphicData>
            </a:graphic>
          </wp:inline>
        </w:drawing>
      </w:r>
      <w:r w:rsidRPr="00711288">
        <w:fldChar w:fldCharType="end"/>
      </w:r>
    </w:p>
    <w:p w14:paraId="27642663" w14:textId="77777777" w:rsidR="00412B02" w:rsidRDefault="00412B02" w:rsidP="00412B02">
      <w:pPr>
        <w:jc w:val="both"/>
        <w:rPr>
          <w:b/>
          <w:bCs/>
          <w:sz w:val="22"/>
          <w:szCs w:val="22"/>
        </w:rPr>
      </w:pPr>
    </w:p>
    <w:p w14:paraId="35CE0B9F" w14:textId="79010BD4" w:rsidR="00F201AC" w:rsidRDefault="00412B02" w:rsidP="00412B02">
      <w:pPr>
        <w:jc w:val="both"/>
        <w:rPr>
          <w:sz w:val="22"/>
          <w:szCs w:val="22"/>
        </w:rPr>
      </w:pPr>
      <w:bookmarkStart w:id="65" w:name="_Toc88054005"/>
      <w:r w:rsidRPr="00412B02">
        <w:rPr>
          <w:b/>
          <w:bCs/>
          <w:sz w:val="22"/>
          <w:szCs w:val="22"/>
        </w:rPr>
        <w:t xml:space="preserve">Figure </w:t>
      </w:r>
      <w:r w:rsidRPr="00412B02">
        <w:rPr>
          <w:b/>
          <w:bCs/>
          <w:sz w:val="22"/>
          <w:szCs w:val="22"/>
        </w:rPr>
        <w:fldChar w:fldCharType="begin"/>
      </w:r>
      <w:r w:rsidRPr="00412B02">
        <w:rPr>
          <w:b/>
          <w:bCs/>
          <w:sz w:val="22"/>
          <w:szCs w:val="22"/>
        </w:rPr>
        <w:instrText xml:space="preserve"> SEQ Figure \* ARABIC </w:instrText>
      </w:r>
      <w:r w:rsidRPr="00412B02">
        <w:rPr>
          <w:b/>
          <w:bCs/>
          <w:sz w:val="22"/>
          <w:szCs w:val="22"/>
        </w:rPr>
        <w:fldChar w:fldCharType="separate"/>
      </w:r>
      <w:r>
        <w:rPr>
          <w:b/>
          <w:bCs/>
          <w:noProof/>
          <w:sz w:val="22"/>
          <w:szCs w:val="22"/>
        </w:rPr>
        <w:t>10</w:t>
      </w:r>
      <w:r w:rsidRPr="00412B02">
        <w:rPr>
          <w:b/>
          <w:bCs/>
          <w:sz w:val="22"/>
          <w:szCs w:val="22"/>
        </w:rPr>
        <w:fldChar w:fldCharType="end"/>
      </w:r>
      <w:r w:rsidRPr="00412B02">
        <w:rPr>
          <w:b/>
          <w:bCs/>
          <w:sz w:val="22"/>
          <w:szCs w:val="22"/>
        </w:rPr>
        <w:t>.</w:t>
      </w:r>
      <w:r w:rsidRPr="002977BC">
        <w:rPr>
          <w:sz w:val="22"/>
          <w:szCs w:val="22"/>
        </w:rPr>
        <w:t xml:space="preserve"> </w:t>
      </w:r>
      <w:r>
        <w:rPr>
          <w:b/>
          <w:bCs/>
          <w:sz w:val="22"/>
          <w:szCs w:val="22"/>
        </w:rPr>
        <w:t>Predicted changes in phenological trait variation (decile richness) on the landscape (area) across the species range, three genetic provenances, two future time periods (2055 and 2085), and two relative concentration pathways (</w:t>
      </w:r>
      <w:r w:rsidR="007F1357">
        <w:rPr>
          <w:b/>
          <w:bCs/>
          <w:sz w:val="22"/>
          <w:szCs w:val="22"/>
        </w:rPr>
        <w:t>RCP</w:t>
      </w:r>
      <w:r>
        <w:rPr>
          <w:b/>
          <w:bCs/>
          <w:sz w:val="22"/>
          <w:szCs w:val="22"/>
        </w:rPr>
        <w:t xml:space="preserve"> 4.5 and 8.5). </w:t>
      </w:r>
      <w:r>
        <w:rPr>
          <w:sz w:val="22"/>
          <w:szCs w:val="22"/>
        </w:rPr>
        <w:t xml:space="preserve">The lighter color lines within each bar represents </w:t>
      </w:r>
      <w:r w:rsidR="007F1357">
        <w:rPr>
          <w:sz w:val="22"/>
          <w:szCs w:val="22"/>
        </w:rPr>
        <w:t>RCP</w:t>
      </w:r>
      <w:r>
        <w:rPr>
          <w:sz w:val="22"/>
          <w:szCs w:val="22"/>
        </w:rPr>
        <w:t xml:space="preserve"> 4.5 predictions while the darker color within each bar represents </w:t>
      </w:r>
      <w:r w:rsidR="007F1357">
        <w:rPr>
          <w:sz w:val="22"/>
          <w:szCs w:val="22"/>
        </w:rPr>
        <w:t>RCP</w:t>
      </w:r>
      <w:r>
        <w:rPr>
          <w:sz w:val="22"/>
          <w:szCs w:val="22"/>
        </w:rPr>
        <w:t xml:space="preserve"> 8.5 predictions. Lines across each bar represent the predictions made </w:t>
      </w:r>
      <w:r w:rsidRPr="004600A4">
        <w:rPr>
          <w:sz w:val="22"/>
          <w:szCs w:val="22"/>
        </w:rPr>
        <w:t xml:space="preserve">from </w:t>
      </w:r>
      <w:r>
        <w:rPr>
          <w:sz w:val="22"/>
          <w:szCs w:val="22"/>
        </w:rPr>
        <w:t xml:space="preserve">each of the </w:t>
      </w:r>
      <w:r w:rsidRPr="004600A4">
        <w:rPr>
          <w:sz w:val="22"/>
          <w:szCs w:val="22"/>
        </w:rPr>
        <w:t>three Atmosphere and Ocean General Circulation/Climate models (AOGCMs)</w:t>
      </w:r>
      <w:r>
        <w:rPr>
          <w:sz w:val="22"/>
          <w:szCs w:val="22"/>
        </w:rPr>
        <w:t xml:space="preserve"> for each time and </w:t>
      </w:r>
      <w:r w:rsidR="007F1357">
        <w:rPr>
          <w:sz w:val="22"/>
          <w:szCs w:val="22"/>
        </w:rPr>
        <w:t>RCP</w:t>
      </w:r>
      <w:r>
        <w:rPr>
          <w:sz w:val="22"/>
          <w:szCs w:val="22"/>
        </w:rPr>
        <w:t>. Zeros only represent no change in trait variation if there was variation to begin with (i.e., they do not represent area of unsuitable climatic conditions).</w:t>
      </w:r>
      <w:bookmarkEnd w:id="65"/>
    </w:p>
    <w:p w14:paraId="21A0C90C" w14:textId="77777777" w:rsidR="00F201AC" w:rsidRDefault="00F201AC">
      <w:pPr>
        <w:rPr>
          <w:sz w:val="22"/>
          <w:szCs w:val="22"/>
        </w:rPr>
      </w:pPr>
      <w:r>
        <w:rPr>
          <w:sz w:val="22"/>
          <w:szCs w:val="22"/>
        </w:rPr>
        <w:br w:type="page"/>
      </w:r>
    </w:p>
    <w:p w14:paraId="28DC6533" w14:textId="1EED7618" w:rsidR="00412B02" w:rsidRDefault="00884155" w:rsidP="00F201AC">
      <w:pPr>
        <w:jc w:val="center"/>
      </w:pPr>
      <w:r w:rsidRPr="00884155">
        <w:rPr>
          <w:noProof/>
        </w:rPr>
        <w:lastRenderedPageBreak/>
        <w:drawing>
          <wp:inline distT="0" distB="0" distL="0" distR="0" wp14:anchorId="16D82FE4" wp14:editId="46CBAF6F">
            <wp:extent cx="5486400" cy="2399665"/>
            <wp:effectExtent l="0" t="0" r="0" b="635"/>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a:blip r:embed="rId18"/>
                    <a:stretch>
                      <a:fillRect/>
                    </a:stretch>
                  </pic:blipFill>
                  <pic:spPr>
                    <a:xfrm>
                      <a:off x="0" y="0"/>
                      <a:ext cx="5486400" cy="2399665"/>
                    </a:xfrm>
                    <a:prstGeom prst="rect">
                      <a:avLst/>
                    </a:prstGeom>
                  </pic:spPr>
                </pic:pic>
              </a:graphicData>
            </a:graphic>
          </wp:inline>
        </w:drawing>
      </w:r>
    </w:p>
    <w:p w14:paraId="229E7336" w14:textId="412A5456" w:rsidR="00F201AC" w:rsidRPr="00C90343" w:rsidRDefault="00F201AC" w:rsidP="00F201AC">
      <w:pPr>
        <w:jc w:val="both"/>
        <w:rPr>
          <w:sz w:val="22"/>
          <w:szCs w:val="22"/>
        </w:rPr>
      </w:pPr>
      <w:bookmarkStart w:id="66" w:name="_Toc88054006"/>
      <w:r w:rsidRPr="00C90343">
        <w:rPr>
          <w:b/>
          <w:bCs/>
          <w:sz w:val="22"/>
          <w:szCs w:val="22"/>
        </w:rPr>
        <w:t xml:space="preserve">Figure </w:t>
      </w:r>
      <w:r w:rsidRPr="00C90343">
        <w:rPr>
          <w:b/>
          <w:bCs/>
          <w:sz w:val="22"/>
          <w:szCs w:val="22"/>
        </w:rPr>
        <w:fldChar w:fldCharType="begin"/>
      </w:r>
      <w:r w:rsidRPr="00C90343">
        <w:rPr>
          <w:b/>
          <w:bCs/>
          <w:sz w:val="22"/>
          <w:szCs w:val="22"/>
        </w:rPr>
        <w:instrText xml:space="preserve"> SEQ Figure \* ARABIC </w:instrText>
      </w:r>
      <w:r w:rsidRPr="00C90343">
        <w:rPr>
          <w:b/>
          <w:bCs/>
          <w:sz w:val="22"/>
          <w:szCs w:val="22"/>
        </w:rPr>
        <w:fldChar w:fldCharType="separate"/>
      </w:r>
      <w:r w:rsidRPr="00C90343">
        <w:rPr>
          <w:b/>
          <w:bCs/>
          <w:noProof/>
          <w:sz w:val="22"/>
          <w:szCs w:val="22"/>
        </w:rPr>
        <w:t>11</w:t>
      </w:r>
      <w:r w:rsidRPr="00C90343">
        <w:rPr>
          <w:b/>
          <w:bCs/>
          <w:sz w:val="22"/>
          <w:szCs w:val="22"/>
        </w:rPr>
        <w:fldChar w:fldCharType="end"/>
      </w:r>
      <w:r w:rsidRPr="00C90343">
        <w:rPr>
          <w:b/>
          <w:bCs/>
          <w:sz w:val="22"/>
          <w:szCs w:val="22"/>
        </w:rPr>
        <w:t>.</w:t>
      </w:r>
      <w:r w:rsidRPr="00C90343">
        <w:rPr>
          <w:sz w:val="22"/>
          <w:szCs w:val="22"/>
        </w:rPr>
        <w:t xml:space="preserve"> </w:t>
      </w:r>
      <w:r w:rsidR="00884155">
        <w:rPr>
          <w:b/>
          <w:bCs/>
          <w:sz w:val="22"/>
          <w:szCs w:val="22"/>
        </w:rPr>
        <w:t>Changes in similarity</w:t>
      </w:r>
      <w:r w:rsidRPr="00C90343">
        <w:rPr>
          <w:b/>
          <w:bCs/>
          <w:sz w:val="22"/>
          <w:szCs w:val="22"/>
        </w:rPr>
        <w:t xml:space="preserve"> for phenological trait distributions across time and relative concentration pathways as predicted by three Atmosphere and Ocean General Circulation/Climate models (AOGCMs). </w:t>
      </w:r>
      <w:r w:rsidRPr="00C90343">
        <w:rPr>
          <w:bCs/>
          <w:sz w:val="22"/>
          <w:szCs w:val="22"/>
        </w:rPr>
        <w:t>Each point represents a</w:t>
      </w:r>
      <w:r w:rsidR="00884155">
        <w:rPr>
          <w:bCs/>
          <w:sz w:val="22"/>
          <w:szCs w:val="22"/>
        </w:rPr>
        <w:t>n average</w:t>
      </w:r>
      <w:r w:rsidRPr="00C90343">
        <w:rPr>
          <w:bCs/>
          <w:sz w:val="22"/>
          <w:szCs w:val="22"/>
        </w:rPr>
        <w:t xml:space="preserve"> </w:t>
      </w:r>
      <w:r w:rsidR="00884155">
        <w:rPr>
          <w:bCs/>
          <w:sz w:val="22"/>
          <w:szCs w:val="22"/>
        </w:rPr>
        <w:t>similarity value</w:t>
      </w:r>
      <w:r w:rsidRPr="00C90343">
        <w:rPr>
          <w:bCs/>
          <w:sz w:val="22"/>
          <w:szCs w:val="22"/>
        </w:rPr>
        <w:t xml:space="preserve"> </w:t>
      </w:r>
      <w:r w:rsidR="00884155">
        <w:rPr>
          <w:bCs/>
          <w:sz w:val="22"/>
          <w:szCs w:val="22"/>
        </w:rPr>
        <w:t>for each</w:t>
      </w:r>
      <w:r w:rsidRPr="00C90343">
        <w:rPr>
          <w:bCs/>
          <w:sz w:val="22"/>
          <w:szCs w:val="22"/>
        </w:rPr>
        <w:t xml:space="preserve"> general circulation model abbreviated as “</w:t>
      </w:r>
      <w:proofErr w:type="spellStart"/>
      <w:r w:rsidRPr="00C90343">
        <w:rPr>
          <w:sz w:val="22"/>
          <w:szCs w:val="22"/>
        </w:rPr>
        <w:t>i</w:t>
      </w:r>
      <w:proofErr w:type="spellEnd"/>
      <w:r w:rsidRPr="00C90343">
        <w:rPr>
          <w:sz w:val="22"/>
          <w:szCs w:val="22"/>
        </w:rPr>
        <w:t>” (inm-cm4), “m” (</w:t>
      </w:r>
      <w:proofErr w:type="spellStart"/>
      <w:r w:rsidRPr="00C90343">
        <w:rPr>
          <w:sz w:val="22"/>
          <w:szCs w:val="22"/>
        </w:rPr>
        <w:t>mpi-esm-lr</w:t>
      </w:r>
      <w:proofErr w:type="spellEnd"/>
      <w:r w:rsidRPr="00C90343">
        <w:rPr>
          <w:sz w:val="22"/>
          <w:szCs w:val="22"/>
        </w:rPr>
        <w:t xml:space="preserve">), and “g” (gfdl-cm3). </w:t>
      </w:r>
      <w:r w:rsidR="00884155">
        <w:rPr>
          <w:sz w:val="22"/>
          <w:szCs w:val="22"/>
        </w:rPr>
        <w:t>Higher</w:t>
      </w:r>
      <w:r w:rsidRPr="00C90343">
        <w:rPr>
          <w:sz w:val="22"/>
          <w:szCs w:val="22"/>
        </w:rPr>
        <w:t xml:space="preserve"> </w:t>
      </w:r>
      <w:r w:rsidR="00884155">
        <w:rPr>
          <w:sz w:val="22"/>
          <w:szCs w:val="22"/>
        </w:rPr>
        <w:t xml:space="preserve">similarity </w:t>
      </w:r>
      <w:r w:rsidRPr="00C90343">
        <w:rPr>
          <w:sz w:val="22"/>
          <w:szCs w:val="22"/>
        </w:rPr>
        <w:t>represent</w:t>
      </w:r>
      <w:r w:rsidR="00884155">
        <w:rPr>
          <w:sz w:val="22"/>
          <w:szCs w:val="22"/>
        </w:rPr>
        <w:t>s a narrow range of phenological trait</w:t>
      </w:r>
      <w:r w:rsidRPr="00C90343">
        <w:rPr>
          <w:sz w:val="22"/>
          <w:szCs w:val="22"/>
        </w:rPr>
        <w:t xml:space="preserve"> </w:t>
      </w:r>
      <w:r w:rsidR="00884155">
        <w:rPr>
          <w:sz w:val="22"/>
          <w:szCs w:val="22"/>
        </w:rPr>
        <w:t>values. The yellow</w:t>
      </w:r>
      <w:r w:rsidRPr="00C90343">
        <w:rPr>
          <w:sz w:val="22"/>
          <w:szCs w:val="22"/>
        </w:rPr>
        <w:t xml:space="preserve"> lines </w:t>
      </w:r>
      <w:r w:rsidR="00884155">
        <w:rPr>
          <w:sz w:val="22"/>
          <w:szCs w:val="22"/>
        </w:rPr>
        <w:t>extend from the</w:t>
      </w:r>
      <w:r w:rsidRPr="00C90343">
        <w:rPr>
          <w:sz w:val="22"/>
          <w:szCs w:val="22"/>
        </w:rPr>
        <w:t xml:space="preserve"> baseline </w:t>
      </w:r>
      <w:r w:rsidR="00884155">
        <w:rPr>
          <w:sz w:val="22"/>
          <w:szCs w:val="22"/>
        </w:rPr>
        <w:t>similarity within each provenance as predicted on climate norms.</w:t>
      </w:r>
      <w:r w:rsidRPr="00C90343">
        <w:rPr>
          <w:sz w:val="22"/>
          <w:szCs w:val="22"/>
        </w:rPr>
        <w:t xml:space="preserve"> Values above the </w:t>
      </w:r>
      <w:r w:rsidR="00884155">
        <w:rPr>
          <w:sz w:val="22"/>
          <w:szCs w:val="22"/>
        </w:rPr>
        <w:t>yellow</w:t>
      </w:r>
      <w:r w:rsidRPr="00C90343">
        <w:rPr>
          <w:sz w:val="22"/>
          <w:szCs w:val="22"/>
        </w:rPr>
        <w:t xml:space="preserve"> line indicate that trait </w:t>
      </w:r>
      <w:r w:rsidR="00884155">
        <w:rPr>
          <w:sz w:val="22"/>
          <w:szCs w:val="22"/>
        </w:rPr>
        <w:t xml:space="preserve">values </w:t>
      </w:r>
      <w:r w:rsidRPr="00C90343">
        <w:rPr>
          <w:sz w:val="22"/>
          <w:szCs w:val="22"/>
        </w:rPr>
        <w:t xml:space="preserve">are becoming more </w:t>
      </w:r>
      <w:r w:rsidR="00884155">
        <w:rPr>
          <w:sz w:val="22"/>
          <w:szCs w:val="22"/>
        </w:rPr>
        <w:t>similar over time.</w:t>
      </w:r>
      <w:bookmarkEnd w:id="66"/>
    </w:p>
    <w:p w14:paraId="3E323D10" w14:textId="77777777" w:rsidR="00F201AC" w:rsidRDefault="00F201AC">
      <w:r>
        <w:br w:type="page"/>
      </w:r>
    </w:p>
    <w:p w14:paraId="7C6A2842" w14:textId="06B40856" w:rsidR="00F201AC" w:rsidRDefault="00884155" w:rsidP="00F201AC">
      <w:pPr>
        <w:jc w:val="center"/>
      </w:pPr>
      <w:r w:rsidRPr="00884155">
        <w:rPr>
          <w:noProof/>
        </w:rPr>
        <w:lastRenderedPageBreak/>
        <w:drawing>
          <wp:inline distT="0" distB="0" distL="0" distR="0" wp14:anchorId="43B07726" wp14:editId="3BF2D2A6">
            <wp:extent cx="5486400" cy="1781810"/>
            <wp:effectExtent l="0" t="0" r="0" b="0"/>
            <wp:docPr id="27" name="Picture 2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scatter chart&#10;&#10;Description automatically generated"/>
                    <pic:cNvPicPr/>
                  </pic:nvPicPr>
                  <pic:blipFill>
                    <a:blip r:embed="rId19"/>
                    <a:stretch>
                      <a:fillRect/>
                    </a:stretch>
                  </pic:blipFill>
                  <pic:spPr>
                    <a:xfrm>
                      <a:off x="0" y="0"/>
                      <a:ext cx="5486400" cy="1781810"/>
                    </a:xfrm>
                    <a:prstGeom prst="rect">
                      <a:avLst/>
                    </a:prstGeom>
                  </pic:spPr>
                </pic:pic>
              </a:graphicData>
            </a:graphic>
          </wp:inline>
        </w:drawing>
      </w:r>
    </w:p>
    <w:p w14:paraId="3FA05AC9" w14:textId="5165A749" w:rsidR="00F201AC" w:rsidRDefault="00F201AC" w:rsidP="00C90343">
      <w:pPr>
        <w:jc w:val="both"/>
        <w:rPr>
          <w:sz w:val="22"/>
          <w:szCs w:val="22"/>
        </w:rPr>
      </w:pPr>
      <w:bookmarkStart w:id="67" w:name="_Toc88054007"/>
      <w:r w:rsidRPr="00412B02">
        <w:rPr>
          <w:b/>
          <w:bCs/>
          <w:sz w:val="22"/>
          <w:szCs w:val="22"/>
        </w:rPr>
        <w:t xml:space="preserve">Figure </w:t>
      </w:r>
      <w:r w:rsidRPr="00412B02">
        <w:rPr>
          <w:b/>
          <w:bCs/>
          <w:sz w:val="22"/>
          <w:szCs w:val="22"/>
        </w:rPr>
        <w:fldChar w:fldCharType="begin"/>
      </w:r>
      <w:r w:rsidRPr="00412B02">
        <w:rPr>
          <w:b/>
          <w:bCs/>
          <w:sz w:val="22"/>
          <w:szCs w:val="22"/>
        </w:rPr>
        <w:instrText xml:space="preserve"> SEQ Figure \* ARABIC </w:instrText>
      </w:r>
      <w:r w:rsidRPr="00412B02">
        <w:rPr>
          <w:b/>
          <w:bCs/>
          <w:sz w:val="22"/>
          <w:szCs w:val="22"/>
        </w:rPr>
        <w:fldChar w:fldCharType="separate"/>
      </w:r>
      <w:r>
        <w:rPr>
          <w:b/>
          <w:bCs/>
          <w:noProof/>
          <w:sz w:val="22"/>
          <w:szCs w:val="22"/>
        </w:rPr>
        <w:t>12</w:t>
      </w:r>
      <w:r w:rsidRPr="00412B02">
        <w:rPr>
          <w:b/>
          <w:bCs/>
          <w:sz w:val="22"/>
          <w:szCs w:val="22"/>
        </w:rPr>
        <w:fldChar w:fldCharType="end"/>
      </w:r>
      <w:r w:rsidRPr="00412B02">
        <w:rPr>
          <w:b/>
          <w:bCs/>
          <w:sz w:val="22"/>
          <w:szCs w:val="22"/>
        </w:rPr>
        <w:t>.</w:t>
      </w:r>
      <w:r w:rsidRPr="002977BC">
        <w:rPr>
          <w:sz w:val="22"/>
          <w:szCs w:val="22"/>
        </w:rPr>
        <w:t xml:space="preserve"> </w:t>
      </w:r>
      <w:r w:rsidR="00884155">
        <w:rPr>
          <w:b/>
          <w:bCs/>
          <w:sz w:val="22"/>
          <w:szCs w:val="22"/>
        </w:rPr>
        <w:t xml:space="preserve">Average projected change in frequency of </w:t>
      </w:r>
      <w:r w:rsidR="000743B9">
        <w:rPr>
          <w:b/>
          <w:bCs/>
          <w:sz w:val="22"/>
          <w:szCs w:val="22"/>
        </w:rPr>
        <w:t xml:space="preserve">the </w:t>
      </w:r>
      <w:r w:rsidR="00884155">
        <w:rPr>
          <w:b/>
          <w:bCs/>
          <w:sz w:val="22"/>
          <w:szCs w:val="22"/>
        </w:rPr>
        <w:t>earliest 10%</w:t>
      </w:r>
      <w:r w:rsidR="000743B9">
        <w:rPr>
          <w:b/>
          <w:bCs/>
          <w:sz w:val="22"/>
          <w:szCs w:val="22"/>
        </w:rPr>
        <w:t xml:space="preserve"> (decile one)</w:t>
      </w:r>
      <w:r w:rsidR="00884155">
        <w:rPr>
          <w:b/>
          <w:bCs/>
          <w:sz w:val="22"/>
          <w:szCs w:val="22"/>
        </w:rPr>
        <w:t xml:space="preserve"> and latest 10%</w:t>
      </w:r>
      <w:r w:rsidR="000743B9">
        <w:rPr>
          <w:b/>
          <w:bCs/>
          <w:sz w:val="22"/>
          <w:szCs w:val="22"/>
        </w:rPr>
        <w:t xml:space="preserve"> (decile 10)</w:t>
      </w:r>
      <w:r w:rsidR="00884155">
        <w:rPr>
          <w:b/>
          <w:bCs/>
          <w:sz w:val="22"/>
          <w:szCs w:val="22"/>
        </w:rPr>
        <w:t xml:space="preserve"> o</w:t>
      </w:r>
      <w:r w:rsidR="000743B9">
        <w:rPr>
          <w:b/>
          <w:bCs/>
          <w:sz w:val="22"/>
          <w:szCs w:val="22"/>
        </w:rPr>
        <w:t xml:space="preserve">f bud breakers relative to the total landscape with at least a richness value of 1 (i.e., excluding unsuitable area) across genetic provenances. </w:t>
      </w:r>
      <w:r w:rsidR="000743B9">
        <w:rPr>
          <w:sz w:val="22"/>
          <w:szCs w:val="22"/>
        </w:rPr>
        <w:t xml:space="preserve">Empty symbols and dotted lines represent climate </w:t>
      </w:r>
      <w:r w:rsidR="00C52BD7">
        <w:rPr>
          <w:sz w:val="22"/>
          <w:szCs w:val="22"/>
        </w:rPr>
        <w:t>norms or</w:t>
      </w:r>
      <w:r w:rsidR="000743B9">
        <w:rPr>
          <w:sz w:val="22"/>
          <w:szCs w:val="22"/>
        </w:rPr>
        <w:t xml:space="preserve"> starting conditions and filled symbols represent frequencies at each </w:t>
      </w:r>
      <w:r w:rsidR="00C52BD7">
        <w:rPr>
          <w:sz w:val="22"/>
          <w:szCs w:val="22"/>
        </w:rPr>
        <w:t>time</w:t>
      </w:r>
      <w:r w:rsidR="000743B9">
        <w:rPr>
          <w:sz w:val="22"/>
          <w:szCs w:val="22"/>
        </w:rPr>
        <w:t xml:space="preserve"> averaged across AOGCMs. Circles represent decile 1 and triangles represent decile 10. Lighter shades represent RCP 4.5 and darker shades represent RCP 8.5.</w:t>
      </w:r>
      <w:bookmarkEnd w:id="67"/>
      <w:r w:rsidR="000743B9">
        <w:rPr>
          <w:sz w:val="22"/>
          <w:szCs w:val="22"/>
        </w:rPr>
        <w:t xml:space="preserve">  </w:t>
      </w:r>
    </w:p>
    <w:p w14:paraId="45A535C9" w14:textId="4873ECA0" w:rsidR="00F201AC" w:rsidRPr="00033C32" w:rsidRDefault="00F201AC" w:rsidP="00C90343">
      <w:pPr>
        <w:rPr>
          <w:sz w:val="22"/>
          <w:szCs w:val="22"/>
        </w:rPr>
      </w:pPr>
    </w:p>
    <w:p w14:paraId="70DDC0A2" w14:textId="77777777" w:rsidR="00F201AC" w:rsidRDefault="00F201AC" w:rsidP="00F201AC">
      <w:pPr>
        <w:jc w:val="center"/>
        <w:rPr>
          <w:b/>
          <w:bCs/>
          <w:sz w:val="22"/>
          <w:szCs w:val="22"/>
        </w:rPr>
      </w:pPr>
    </w:p>
    <w:p w14:paraId="297222EA" w14:textId="105AD7E6" w:rsidR="00236E6D" w:rsidRPr="003925DB" w:rsidRDefault="004C2071" w:rsidP="0033243D">
      <w:pPr>
        <w:pStyle w:val="Heading1"/>
      </w:pPr>
      <w:r w:rsidRPr="00DF7C87">
        <w:br w:type="page"/>
      </w:r>
      <w:bookmarkStart w:id="68" w:name="_Toc289175843"/>
      <w:bookmarkStart w:id="69" w:name="_Toc88056496"/>
      <w:r w:rsidR="00526151" w:rsidRPr="003925DB">
        <w:lastRenderedPageBreak/>
        <w:t>CONCLUSION</w:t>
      </w:r>
      <w:bookmarkEnd w:id="68"/>
      <w:bookmarkEnd w:id="69"/>
    </w:p>
    <w:p w14:paraId="34A99855" w14:textId="77777777" w:rsidR="0039782A" w:rsidRDefault="0039782A" w:rsidP="0039782A">
      <w:pPr>
        <w:ind w:firstLine="720"/>
      </w:pPr>
    </w:p>
    <w:p w14:paraId="07C20E70" w14:textId="41CB708D" w:rsidR="008F251D" w:rsidRPr="0039782A" w:rsidRDefault="00744836" w:rsidP="0039782A">
      <w:pPr>
        <w:spacing w:line="360" w:lineRule="auto"/>
        <w:ind w:firstLine="720"/>
        <w:jc w:val="both"/>
      </w:pPr>
      <w:r w:rsidRPr="002A5F38">
        <w:t xml:space="preserve">The findings of this dissertation </w:t>
      </w:r>
      <w:r w:rsidR="00695AD4">
        <w:t>confirm</w:t>
      </w:r>
      <w:r w:rsidRPr="002A5F38">
        <w:t xml:space="preserve"> that</w:t>
      </w:r>
      <w:r w:rsidR="00695AD4">
        <w:t xml:space="preserve"> plant</w:t>
      </w:r>
      <w:r w:rsidRPr="002A5F38">
        <w:t xml:space="preserve"> </w:t>
      </w:r>
      <w:r w:rsidRPr="002A5F38">
        <w:rPr>
          <w:color w:val="000000" w:themeColor="text1"/>
        </w:rPr>
        <w:t xml:space="preserve">populations </w:t>
      </w:r>
      <w:r w:rsidR="00695AD4">
        <w:rPr>
          <w:color w:val="000000" w:themeColor="text1"/>
        </w:rPr>
        <w:t xml:space="preserve">have evolved to </w:t>
      </w:r>
      <w:r w:rsidR="00695AD4" w:rsidRPr="002A5F38">
        <w:rPr>
          <w:color w:val="000000" w:themeColor="text1"/>
        </w:rPr>
        <w:t>differ in t</w:t>
      </w:r>
      <w:r w:rsidR="0039782A">
        <w:rPr>
          <w:color w:val="000000" w:themeColor="text1"/>
        </w:rPr>
        <w:t>h</w:t>
      </w:r>
      <w:r w:rsidR="00695AD4" w:rsidRPr="002A5F38">
        <w:rPr>
          <w:color w:val="000000" w:themeColor="text1"/>
        </w:rPr>
        <w:t>eir ability to maintain favorable water balance</w:t>
      </w:r>
      <w:r w:rsidR="00695AD4">
        <w:rPr>
          <w:color w:val="000000" w:themeColor="text1"/>
        </w:rPr>
        <w:t xml:space="preserve"> on</w:t>
      </w:r>
      <w:r w:rsidRPr="002A5F38">
        <w:rPr>
          <w:color w:val="000000" w:themeColor="text1"/>
        </w:rPr>
        <w:t xml:space="preserve"> landscapes with different hydrologic histories</w:t>
      </w:r>
      <w:r w:rsidR="00695AD4">
        <w:rPr>
          <w:color w:val="000000" w:themeColor="text1"/>
        </w:rPr>
        <w:t>. These differences should influence a population’s ability to cope</w:t>
      </w:r>
      <w:r w:rsidRPr="002A5F38">
        <w:rPr>
          <w:color w:val="000000" w:themeColor="text1"/>
        </w:rPr>
        <w:t xml:space="preserve"> with changing atmospheric demands for water</w:t>
      </w:r>
      <w:r w:rsidR="00695AD4">
        <w:rPr>
          <w:color w:val="000000" w:themeColor="text1"/>
        </w:rPr>
        <w:t xml:space="preserve"> that are expected with a warmer climate. Results also emphasize the large degree of error that is possible if ecologists continue to make projections of future suitable habitats by considering a species’ as un-varying in genetic diversity or functional trait variation across its’ geographic range. S</w:t>
      </w:r>
      <w:r w:rsidRPr="002A5F38">
        <w:rPr>
          <w:iCs/>
        </w:rPr>
        <w:t xml:space="preserve">pecies-range </w:t>
      </w:r>
      <w:r>
        <w:rPr>
          <w:iCs/>
        </w:rPr>
        <w:t xml:space="preserve">distribution </w:t>
      </w:r>
      <w:r w:rsidRPr="002A5F38">
        <w:rPr>
          <w:iCs/>
        </w:rPr>
        <w:t xml:space="preserve">models that </w:t>
      </w:r>
      <w:r w:rsidR="00695AD4">
        <w:rPr>
          <w:iCs/>
        </w:rPr>
        <w:t>did</w:t>
      </w:r>
      <w:r w:rsidRPr="002A5F38">
        <w:rPr>
          <w:iCs/>
        </w:rPr>
        <w:t xml:space="preserve"> not include genetic information </w:t>
      </w:r>
      <w:r w:rsidRPr="002A5F38">
        <w:t>provide</w:t>
      </w:r>
      <w:r w:rsidR="00695AD4">
        <w:t>d</w:t>
      </w:r>
      <w:r w:rsidRPr="002A5F38">
        <w:t xml:space="preserve"> </w:t>
      </w:r>
      <w:proofErr w:type="gramStart"/>
      <w:r w:rsidRPr="002A5F38">
        <w:t>overly</w:t>
      </w:r>
      <w:r>
        <w:t>-</w:t>
      </w:r>
      <w:r w:rsidRPr="002A5F38">
        <w:t>broad</w:t>
      </w:r>
      <w:proofErr w:type="gramEnd"/>
      <w:r w:rsidRPr="002A5F38">
        <w:t xml:space="preserve"> projections of suitable conditions compared to models that include </w:t>
      </w:r>
      <w:r>
        <w:t>population</w:t>
      </w:r>
      <w:r w:rsidRPr="002A5F38">
        <w:t xml:space="preserve"> genetic structure</w:t>
      </w:r>
      <w:r w:rsidR="00695AD4">
        <w:t>.</w:t>
      </w:r>
      <w:r>
        <w:t xml:space="preserve"> </w:t>
      </w:r>
      <w:r w:rsidR="00695AD4">
        <w:t>Furthermore</w:t>
      </w:r>
      <w:r>
        <w:t xml:space="preserve">, </w:t>
      </w:r>
      <w:r w:rsidRPr="002A5F38">
        <w:rPr>
          <w:color w:val="111111"/>
        </w:rPr>
        <w:t xml:space="preserve">a net loss of </w:t>
      </w:r>
      <w:r>
        <w:rPr>
          <w:color w:val="111111"/>
        </w:rPr>
        <w:t>trait</w:t>
      </w:r>
      <w:r w:rsidRPr="002A5F38">
        <w:rPr>
          <w:color w:val="111111"/>
        </w:rPr>
        <w:t xml:space="preserve"> variation in future climates </w:t>
      </w:r>
      <w:r w:rsidRPr="00B66B6E">
        <w:rPr>
          <w:color w:val="111111"/>
        </w:rPr>
        <w:t xml:space="preserve">is predicted across all populations of </w:t>
      </w:r>
      <w:r w:rsidRPr="00120E32">
        <w:rPr>
          <w:i/>
          <w:iCs/>
          <w:color w:val="111111"/>
        </w:rPr>
        <w:t>P. angustifolia</w:t>
      </w:r>
      <w:r w:rsidRPr="00B66B6E">
        <w:rPr>
          <w:color w:val="111111"/>
        </w:rPr>
        <w:t xml:space="preserve">, </w:t>
      </w:r>
      <w:r>
        <w:rPr>
          <w:color w:val="111111"/>
        </w:rPr>
        <w:t>with</w:t>
      </w:r>
      <w:r w:rsidRPr="00B66B6E">
        <w:rPr>
          <w:color w:val="111111"/>
        </w:rPr>
        <w:t xml:space="preserve"> the trailing</w:t>
      </w:r>
      <w:r>
        <w:rPr>
          <w:color w:val="111111"/>
        </w:rPr>
        <w:t>-</w:t>
      </w:r>
      <w:r w:rsidRPr="00B66B6E">
        <w:rPr>
          <w:color w:val="111111"/>
        </w:rPr>
        <w:t>edge population predicted to lose the most.</w:t>
      </w:r>
      <w:r>
        <w:rPr>
          <w:color w:val="111111"/>
        </w:rPr>
        <w:t xml:space="preserve"> </w:t>
      </w:r>
      <w:r w:rsidRPr="00B66B6E">
        <w:t xml:space="preserve">These ideas have broad implications for predicting population-level ecological and evolutionary responses to climate change as decreases to genetic variation reduce a species’ ability to adapt to novel conditions and have profound effects on ecosystem processes </w:t>
      </w:r>
      <w:r>
        <w:t>and</w:t>
      </w:r>
      <w:r w:rsidRPr="00B66B6E">
        <w:t xml:space="preserve"> ecological communities</w:t>
      </w:r>
      <w:r w:rsidR="00695AD4">
        <w:t>.</w:t>
      </w:r>
    </w:p>
    <w:p w14:paraId="0E0C1005" w14:textId="28008961" w:rsidR="00236E6D" w:rsidRPr="00DF7C87" w:rsidRDefault="003925DB" w:rsidP="005E54E2">
      <w:r>
        <w:br w:type="page"/>
      </w:r>
    </w:p>
    <w:p w14:paraId="07E7B036" w14:textId="654809A2" w:rsidR="00F201AC" w:rsidRDefault="009A1193" w:rsidP="009A1193">
      <w:pPr>
        <w:pStyle w:val="Heading1"/>
      </w:pPr>
      <w:bookmarkStart w:id="70" w:name="_Toc88056497"/>
      <w:r>
        <w:lastRenderedPageBreak/>
        <w:t>APPENDIX</w:t>
      </w:r>
      <w:r w:rsidR="003925DB" w:rsidRPr="009A1193">
        <w:t xml:space="preserve"> 4</w:t>
      </w:r>
      <w:bookmarkEnd w:id="70"/>
    </w:p>
    <w:p w14:paraId="17A682D7" w14:textId="77777777" w:rsidR="00F201AC" w:rsidRDefault="00F201AC">
      <w:pPr>
        <w:rPr>
          <w:b/>
          <w:bCs/>
          <w:caps/>
          <w:sz w:val="28"/>
        </w:rPr>
      </w:pPr>
      <w:r>
        <w:br w:type="page"/>
      </w:r>
    </w:p>
    <w:p w14:paraId="5CE8AD2A" w14:textId="1787D65B" w:rsidR="009A1193" w:rsidRDefault="00177B87" w:rsidP="00177B87">
      <w:pPr>
        <w:jc w:val="both"/>
        <w:rPr>
          <w:bCs/>
          <w:color w:val="000000"/>
          <w:sz w:val="22"/>
          <w:szCs w:val="22"/>
        </w:rPr>
      </w:pPr>
      <w:bookmarkStart w:id="71" w:name="_Toc88053994"/>
      <w:r w:rsidRPr="00177B87">
        <w:rPr>
          <w:b/>
          <w:bCs/>
          <w:sz w:val="22"/>
          <w:szCs w:val="22"/>
        </w:rPr>
        <w:lastRenderedPageBreak/>
        <w:t xml:space="preserve">Table </w:t>
      </w:r>
      <w:r w:rsidRPr="00177B87">
        <w:rPr>
          <w:b/>
          <w:bCs/>
          <w:sz w:val="22"/>
          <w:szCs w:val="22"/>
        </w:rPr>
        <w:fldChar w:fldCharType="begin"/>
      </w:r>
      <w:r w:rsidRPr="00177B87">
        <w:rPr>
          <w:b/>
          <w:bCs/>
          <w:sz w:val="22"/>
          <w:szCs w:val="22"/>
        </w:rPr>
        <w:instrText xml:space="preserve"> SEQ Table \* ARABIC </w:instrText>
      </w:r>
      <w:r w:rsidRPr="00177B87">
        <w:rPr>
          <w:b/>
          <w:bCs/>
          <w:sz w:val="22"/>
          <w:szCs w:val="22"/>
        </w:rPr>
        <w:fldChar w:fldCharType="separate"/>
      </w:r>
      <w:r w:rsidRPr="00177B87">
        <w:rPr>
          <w:b/>
          <w:bCs/>
          <w:noProof/>
          <w:sz w:val="22"/>
          <w:szCs w:val="22"/>
        </w:rPr>
        <w:t>8</w:t>
      </w:r>
      <w:r w:rsidRPr="00177B87">
        <w:rPr>
          <w:b/>
          <w:bCs/>
          <w:sz w:val="22"/>
          <w:szCs w:val="22"/>
        </w:rPr>
        <w:fldChar w:fldCharType="end"/>
      </w:r>
      <w:r w:rsidRPr="00177B87">
        <w:rPr>
          <w:b/>
          <w:bCs/>
          <w:sz w:val="22"/>
          <w:szCs w:val="22"/>
        </w:rPr>
        <w:t xml:space="preserve">: </w:t>
      </w:r>
      <w:r w:rsidRPr="00177B87">
        <w:rPr>
          <w:b/>
          <w:color w:val="000000"/>
          <w:sz w:val="22"/>
          <w:szCs w:val="22"/>
        </w:rPr>
        <w:t xml:space="preserve">Description of </w:t>
      </w:r>
      <w:r w:rsidR="00E24ED3">
        <w:rPr>
          <w:b/>
          <w:color w:val="000000"/>
          <w:sz w:val="22"/>
          <w:szCs w:val="22"/>
        </w:rPr>
        <w:t>mo</w:t>
      </w:r>
      <w:r w:rsidRPr="00177B87">
        <w:rPr>
          <w:b/>
          <w:color w:val="000000"/>
          <w:sz w:val="22"/>
          <w:szCs w:val="22"/>
        </w:rPr>
        <w:t xml:space="preserve">deling </w:t>
      </w:r>
      <w:r w:rsidR="00E24ED3">
        <w:rPr>
          <w:b/>
          <w:color w:val="000000"/>
          <w:sz w:val="22"/>
          <w:szCs w:val="22"/>
        </w:rPr>
        <w:t>e</w:t>
      </w:r>
      <w:r w:rsidRPr="00177B87">
        <w:rPr>
          <w:b/>
          <w:color w:val="000000"/>
          <w:sz w:val="22"/>
          <w:szCs w:val="22"/>
        </w:rPr>
        <w:t xml:space="preserve">xperiments that used only bioclimatic variables: </w:t>
      </w:r>
      <w:r w:rsidRPr="00177B87">
        <w:rPr>
          <w:bCs/>
          <w:color w:val="000000"/>
          <w:sz w:val="22"/>
          <w:szCs w:val="22"/>
        </w:rPr>
        <w:t xml:space="preserve">Building, </w:t>
      </w:r>
      <w:r w:rsidR="00E24ED3">
        <w:rPr>
          <w:bCs/>
          <w:color w:val="000000"/>
          <w:sz w:val="22"/>
          <w:szCs w:val="22"/>
        </w:rPr>
        <w:t>e</w:t>
      </w:r>
      <w:r w:rsidRPr="00177B87">
        <w:rPr>
          <w:bCs/>
          <w:color w:val="000000"/>
          <w:sz w:val="22"/>
          <w:szCs w:val="22"/>
        </w:rPr>
        <w:t>valuation</w:t>
      </w:r>
      <w:r w:rsidR="00E24ED3">
        <w:rPr>
          <w:bCs/>
          <w:color w:val="000000"/>
          <w:sz w:val="22"/>
          <w:szCs w:val="22"/>
        </w:rPr>
        <w:t xml:space="preserve">, </w:t>
      </w:r>
      <w:r w:rsidRPr="00177B87">
        <w:rPr>
          <w:bCs/>
          <w:color w:val="000000"/>
          <w:sz w:val="22"/>
          <w:szCs w:val="22"/>
        </w:rPr>
        <w:t xml:space="preserve">and </w:t>
      </w:r>
      <w:r w:rsidR="00E24ED3">
        <w:rPr>
          <w:bCs/>
          <w:color w:val="000000"/>
          <w:sz w:val="22"/>
          <w:szCs w:val="22"/>
        </w:rPr>
        <w:t>p</w:t>
      </w:r>
      <w:r w:rsidRPr="00177B87">
        <w:rPr>
          <w:bCs/>
          <w:color w:val="000000"/>
          <w:sz w:val="22"/>
          <w:szCs w:val="22"/>
        </w:rPr>
        <w:t>erformance.</w:t>
      </w:r>
      <w:bookmarkEnd w:id="71"/>
    </w:p>
    <w:tbl>
      <w:tblPr>
        <w:tblStyle w:val="TableGrid"/>
        <w:tblpPr w:leftFromText="180" w:rightFromText="180" w:vertAnchor="text" w:horzAnchor="margin" w:tblpY="10"/>
        <w:tblW w:w="0" w:type="auto"/>
        <w:tblLayout w:type="fixed"/>
        <w:tblCellMar>
          <w:top w:w="14" w:type="dxa"/>
          <w:bottom w:w="14" w:type="dxa"/>
        </w:tblCellMar>
        <w:tblLook w:val="04A0" w:firstRow="1" w:lastRow="0" w:firstColumn="1" w:lastColumn="0" w:noHBand="0" w:noVBand="1"/>
      </w:tblPr>
      <w:tblGrid>
        <w:gridCol w:w="1165"/>
        <w:gridCol w:w="1265"/>
        <w:gridCol w:w="1260"/>
        <w:gridCol w:w="990"/>
        <w:gridCol w:w="1530"/>
        <w:gridCol w:w="1080"/>
        <w:gridCol w:w="1080"/>
      </w:tblGrid>
      <w:tr w:rsidR="00552C58" w14:paraId="07F898EF" w14:textId="77777777" w:rsidTr="00552C58">
        <w:tc>
          <w:tcPr>
            <w:tcW w:w="1165" w:type="dxa"/>
            <w:tcBorders>
              <w:left w:val="single" w:sz="4" w:space="0" w:color="FFFFFF" w:themeColor="background1"/>
              <w:right w:val="single" w:sz="4" w:space="0" w:color="F2F2F2" w:themeColor="background1" w:themeShade="F2"/>
            </w:tcBorders>
            <w:vAlign w:val="center"/>
          </w:tcPr>
          <w:p w14:paraId="25B51A55" w14:textId="77777777" w:rsidR="00552C58" w:rsidRPr="00B42808" w:rsidRDefault="00552C58" w:rsidP="00552C58">
            <w:pPr>
              <w:pStyle w:val="NormalWeb"/>
              <w:jc w:val="center"/>
              <w:rPr>
                <w:b/>
                <w:bCs/>
                <w:sz w:val="20"/>
                <w:szCs w:val="20"/>
              </w:rPr>
            </w:pPr>
            <w:r w:rsidRPr="00B42808">
              <w:rPr>
                <w:b/>
                <w:bCs/>
                <w:sz w:val="20"/>
                <w:szCs w:val="20"/>
              </w:rPr>
              <w:t>Model Name</w:t>
            </w:r>
          </w:p>
        </w:tc>
        <w:tc>
          <w:tcPr>
            <w:tcW w:w="1265" w:type="dxa"/>
            <w:tcBorders>
              <w:left w:val="single" w:sz="4" w:space="0" w:color="F2F2F2" w:themeColor="background1" w:themeShade="F2"/>
              <w:right w:val="single" w:sz="4" w:space="0" w:color="F2F2F2" w:themeColor="background1" w:themeShade="F2"/>
            </w:tcBorders>
            <w:vAlign w:val="center"/>
          </w:tcPr>
          <w:p w14:paraId="2FC00606" w14:textId="77777777" w:rsidR="00552C58" w:rsidRPr="00B42808" w:rsidRDefault="00552C58" w:rsidP="00552C58">
            <w:pPr>
              <w:pStyle w:val="NormalWeb"/>
              <w:jc w:val="center"/>
              <w:rPr>
                <w:b/>
                <w:bCs/>
                <w:sz w:val="20"/>
                <w:szCs w:val="20"/>
              </w:rPr>
            </w:pPr>
            <w:r w:rsidRPr="00B42808">
              <w:rPr>
                <w:b/>
                <w:bCs/>
                <w:sz w:val="20"/>
                <w:szCs w:val="20"/>
              </w:rPr>
              <w:t>Training Extent</w:t>
            </w:r>
          </w:p>
        </w:tc>
        <w:tc>
          <w:tcPr>
            <w:tcW w:w="1260" w:type="dxa"/>
            <w:tcBorders>
              <w:left w:val="single" w:sz="4" w:space="0" w:color="F2F2F2" w:themeColor="background1" w:themeShade="F2"/>
              <w:right w:val="single" w:sz="4" w:space="0" w:color="F2F2F2" w:themeColor="background1" w:themeShade="F2"/>
            </w:tcBorders>
            <w:vAlign w:val="center"/>
          </w:tcPr>
          <w:p w14:paraId="74B3E82C" w14:textId="77777777" w:rsidR="00552C58" w:rsidRPr="00B42808" w:rsidRDefault="00552C58" w:rsidP="00552C58">
            <w:pPr>
              <w:pStyle w:val="NormalWeb"/>
              <w:jc w:val="center"/>
              <w:rPr>
                <w:b/>
                <w:bCs/>
                <w:sz w:val="20"/>
                <w:szCs w:val="20"/>
              </w:rPr>
            </w:pPr>
            <w:r w:rsidRPr="00B42808">
              <w:rPr>
                <w:b/>
                <w:bCs/>
                <w:sz w:val="20"/>
                <w:szCs w:val="20"/>
              </w:rPr>
              <w:t>Variable Selection</w:t>
            </w:r>
          </w:p>
        </w:tc>
        <w:tc>
          <w:tcPr>
            <w:tcW w:w="990" w:type="dxa"/>
            <w:tcBorders>
              <w:left w:val="single" w:sz="4" w:space="0" w:color="F2F2F2" w:themeColor="background1" w:themeShade="F2"/>
              <w:right w:val="single" w:sz="4" w:space="0" w:color="F2F2F2" w:themeColor="background1" w:themeShade="F2"/>
            </w:tcBorders>
            <w:vAlign w:val="center"/>
          </w:tcPr>
          <w:p w14:paraId="34DED194" w14:textId="77777777" w:rsidR="00552C58" w:rsidRPr="00B42808" w:rsidRDefault="00552C58" w:rsidP="00552C58">
            <w:pPr>
              <w:pStyle w:val="NormalWeb"/>
              <w:jc w:val="center"/>
              <w:rPr>
                <w:b/>
                <w:bCs/>
                <w:sz w:val="20"/>
                <w:szCs w:val="20"/>
              </w:rPr>
            </w:pPr>
            <w:proofErr w:type="spellStart"/>
            <w:r w:rsidRPr="00B42808">
              <w:rPr>
                <w:b/>
                <w:bCs/>
                <w:sz w:val="20"/>
                <w:szCs w:val="20"/>
              </w:rPr>
              <w:t>AUC</w:t>
            </w:r>
            <w:r w:rsidRPr="00B42808">
              <w:rPr>
                <w:b/>
                <w:bCs/>
                <w:sz w:val="20"/>
                <w:szCs w:val="20"/>
                <w:vertAlign w:val="subscript"/>
              </w:rPr>
              <w:t>train</w:t>
            </w:r>
            <w:proofErr w:type="spellEnd"/>
          </w:p>
        </w:tc>
        <w:tc>
          <w:tcPr>
            <w:tcW w:w="1530" w:type="dxa"/>
            <w:tcBorders>
              <w:left w:val="single" w:sz="4" w:space="0" w:color="F2F2F2" w:themeColor="background1" w:themeShade="F2"/>
              <w:right w:val="single" w:sz="4" w:space="0" w:color="F2F2F2" w:themeColor="background1" w:themeShade="F2"/>
            </w:tcBorders>
            <w:vAlign w:val="center"/>
          </w:tcPr>
          <w:p w14:paraId="631ADC53" w14:textId="77777777" w:rsidR="00552C58" w:rsidRPr="00B42808" w:rsidRDefault="00552C58" w:rsidP="00552C58">
            <w:pPr>
              <w:pStyle w:val="NormalWeb"/>
              <w:jc w:val="center"/>
              <w:rPr>
                <w:b/>
                <w:bCs/>
                <w:sz w:val="20"/>
                <w:szCs w:val="20"/>
              </w:rPr>
            </w:pPr>
            <w:proofErr w:type="spellStart"/>
            <w:r w:rsidRPr="00B42808">
              <w:rPr>
                <w:b/>
                <w:bCs/>
                <w:sz w:val="20"/>
                <w:szCs w:val="20"/>
              </w:rPr>
              <w:t>AUC</w:t>
            </w:r>
            <w:r w:rsidRPr="00B42808">
              <w:rPr>
                <w:b/>
                <w:bCs/>
                <w:sz w:val="20"/>
                <w:szCs w:val="20"/>
                <w:vertAlign w:val="subscript"/>
              </w:rPr>
              <w:t>test</w:t>
            </w:r>
            <w:proofErr w:type="spellEnd"/>
            <w:r w:rsidRPr="00B42808">
              <w:rPr>
                <w:b/>
                <w:bCs/>
                <w:sz w:val="20"/>
                <w:szCs w:val="20"/>
              </w:rPr>
              <w:t xml:space="preserve"> +/- </w:t>
            </w:r>
            <w:proofErr w:type="spellStart"/>
            <w:r w:rsidRPr="00B42808">
              <w:rPr>
                <w:b/>
                <w:bCs/>
                <w:sz w:val="20"/>
                <w:szCs w:val="20"/>
              </w:rPr>
              <w:t>sd</w:t>
            </w:r>
            <w:proofErr w:type="spellEnd"/>
          </w:p>
        </w:tc>
        <w:tc>
          <w:tcPr>
            <w:tcW w:w="1080" w:type="dxa"/>
            <w:tcBorders>
              <w:left w:val="single" w:sz="4" w:space="0" w:color="F2F2F2" w:themeColor="background1" w:themeShade="F2"/>
              <w:right w:val="single" w:sz="4" w:space="0" w:color="F2F2F2" w:themeColor="background1" w:themeShade="F2"/>
            </w:tcBorders>
            <w:vAlign w:val="center"/>
          </w:tcPr>
          <w:p w14:paraId="188359E2" w14:textId="77777777" w:rsidR="00552C58" w:rsidRPr="00B42808" w:rsidRDefault="00552C58" w:rsidP="00552C58">
            <w:pPr>
              <w:pStyle w:val="NormalWeb"/>
              <w:jc w:val="center"/>
              <w:rPr>
                <w:b/>
                <w:bCs/>
                <w:sz w:val="20"/>
                <w:szCs w:val="20"/>
              </w:rPr>
            </w:pPr>
            <w:r w:rsidRPr="00B42808">
              <w:rPr>
                <w:b/>
                <w:bCs/>
                <w:sz w:val="20"/>
                <w:szCs w:val="20"/>
              </w:rPr>
              <w:t>N train(test)</w:t>
            </w:r>
          </w:p>
        </w:tc>
        <w:tc>
          <w:tcPr>
            <w:tcW w:w="1080" w:type="dxa"/>
            <w:tcBorders>
              <w:left w:val="single" w:sz="4" w:space="0" w:color="F2F2F2" w:themeColor="background1" w:themeShade="F2"/>
              <w:right w:val="single" w:sz="4" w:space="0" w:color="FFFFFF" w:themeColor="background1"/>
            </w:tcBorders>
            <w:vAlign w:val="center"/>
          </w:tcPr>
          <w:p w14:paraId="021C0501" w14:textId="77777777" w:rsidR="00552C58" w:rsidRPr="00B42808" w:rsidRDefault="00552C58" w:rsidP="00552C58">
            <w:pPr>
              <w:pStyle w:val="NormalWeb"/>
              <w:jc w:val="center"/>
              <w:rPr>
                <w:b/>
                <w:bCs/>
                <w:sz w:val="20"/>
                <w:szCs w:val="20"/>
              </w:rPr>
            </w:pPr>
            <w:r w:rsidRPr="00B42808">
              <w:rPr>
                <w:b/>
                <w:bCs/>
                <w:sz w:val="20"/>
                <w:szCs w:val="20"/>
              </w:rPr>
              <w:t>Omission Rate</w:t>
            </w:r>
          </w:p>
        </w:tc>
      </w:tr>
      <w:tr w:rsidR="00552C58" w14:paraId="3FF47223" w14:textId="77777777" w:rsidTr="00552C58">
        <w:tc>
          <w:tcPr>
            <w:tcW w:w="1165" w:type="dxa"/>
            <w:tcBorders>
              <w:left w:val="single" w:sz="4" w:space="0" w:color="FFFFFF" w:themeColor="background1"/>
              <w:bottom w:val="single" w:sz="4" w:space="0" w:color="F2F2F2" w:themeColor="background1" w:themeShade="F2"/>
              <w:right w:val="single" w:sz="4" w:space="0" w:color="F2F2F2" w:themeColor="background1" w:themeShade="F2"/>
            </w:tcBorders>
            <w:vAlign w:val="center"/>
          </w:tcPr>
          <w:p w14:paraId="670FCAB0" w14:textId="77777777" w:rsidR="00552C58" w:rsidRPr="00B42808" w:rsidRDefault="00552C58" w:rsidP="00552C58">
            <w:pPr>
              <w:pStyle w:val="NormalWeb"/>
              <w:jc w:val="center"/>
              <w:rPr>
                <w:sz w:val="20"/>
                <w:szCs w:val="20"/>
              </w:rPr>
            </w:pPr>
            <w:r w:rsidRPr="00B42808">
              <w:rPr>
                <w:sz w:val="20"/>
                <w:szCs w:val="20"/>
              </w:rPr>
              <w:t>SR</w:t>
            </w:r>
            <w:r>
              <w:rPr>
                <w:sz w:val="20"/>
                <w:szCs w:val="20"/>
              </w:rPr>
              <w:t>-CO</w:t>
            </w:r>
          </w:p>
        </w:tc>
        <w:tc>
          <w:tcPr>
            <w:tcW w:w="1265"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3DFA5CE" w14:textId="77777777" w:rsidR="00552C58" w:rsidRPr="00B42808" w:rsidRDefault="00552C58" w:rsidP="00552C58">
            <w:pPr>
              <w:pStyle w:val="NormalWeb"/>
              <w:jc w:val="center"/>
              <w:rPr>
                <w:sz w:val="20"/>
                <w:szCs w:val="20"/>
              </w:rPr>
            </w:pPr>
            <w:r w:rsidRPr="00B42808">
              <w:rPr>
                <w:sz w:val="20"/>
                <w:szCs w:val="20"/>
              </w:rPr>
              <w:t>Species Range</w:t>
            </w:r>
          </w:p>
        </w:tc>
        <w:tc>
          <w:tcPr>
            <w:tcW w:w="126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5E8C5A0" w14:textId="77777777" w:rsidR="00552C58" w:rsidRPr="00B42808" w:rsidRDefault="00552C58" w:rsidP="00552C58">
            <w:pPr>
              <w:pStyle w:val="NormalWeb"/>
              <w:jc w:val="center"/>
              <w:rPr>
                <w:sz w:val="20"/>
                <w:szCs w:val="20"/>
              </w:rPr>
            </w:pPr>
            <w:r w:rsidRPr="00B42808">
              <w:rPr>
                <w:sz w:val="20"/>
                <w:szCs w:val="20"/>
              </w:rPr>
              <w:t>Range-Wide (RW)</w:t>
            </w:r>
          </w:p>
        </w:tc>
        <w:tc>
          <w:tcPr>
            <w:tcW w:w="99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DF25349" w14:textId="77777777" w:rsidR="00552C58" w:rsidRPr="00B42808" w:rsidRDefault="00552C58" w:rsidP="00552C58">
            <w:pPr>
              <w:pStyle w:val="NormalWeb"/>
              <w:jc w:val="center"/>
              <w:rPr>
                <w:sz w:val="20"/>
                <w:szCs w:val="20"/>
              </w:rPr>
            </w:pPr>
            <w:r w:rsidRPr="00B42808">
              <w:rPr>
                <w:sz w:val="20"/>
                <w:szCs w:val="20"/>
              </w:rPr>
              <w:t>0.</w:t>
            </w:r>
            <w:r>
              <w:rPr>
                <w:sz w:val="20"/>
                <w:szCs w:val="20"/>
              </w:rPr>
              <w:t>862</w:t>
            </w:r>
          </w:p>
        </w:tc>
        <w:tc>
          <w:tcPr>
            <w:tcW w:w="153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471C7EC" w14:textId="77777777" w:rsidR="00552C58" w:rsidRPr="00B42808" w:rsidRDefault="00552C58" w:rsidP="00552C58">
            <w:pPr>
              <w:pStyle w:val="NormalWeb"/>
              <w:jc w:val="center"/>
              <w:rPr>
                <w:sz w:val="20"/>
                <w:szCs w:val="20"/>
              </w:rPr>
            </w:pPr>
            <w:r w:rsidRPr="00B42808">
              <w:rPr>
                <w:sz w:val="20"/>
                <w:szCs w:val="20"/>
              </w:rPr>
              <w:t>0.</w:t>
            </w:r>
            <w:r>
              <w:rPr>
                <w:sz w:val="20"/>
                <w:szCs w:val="20"/>
              </w:rPr>
              <w:t>852</w:t>
            </w:r>
            <w:r w:rsidRPr="00B42808">
              <w:rPr>
                <w:sz w:val="20"/>
                <w:szCs w:val="20"/>
              </w:rPr>
              <w:t xml:space="preserve"> +/- 0.02</w:t>
            </w:r>
            <w:r>
              <w:rPr>
                <w:sz w:val="20"/>
                <w:szCs w:val="20"/>
              </w:rPr>
              <w:t>7</w:t>
            </w:r>
          </w:p>
        </w:tc>
        <w:tc>
          <w:tcPr>
            <w:tcW w:w="108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C0F8F9C" w14:textId="77777777" w:rsidR="00552C58" w:rsidRPr="00B42808" w:rsidRDefault="00552C58" w:rsidP="00552C58">
            <w:pPr>
              <w:pStyle w:val="NormalWeb"/>
              <w:jc w:val="center"/>
              <w:rPr>
                <w:sz w:val="20"/>
                <w:szCs w:val="20"/>
              </w:rPr>
            </w:pPr>
            <w:r w:rsidRPr="00B42808">
              <w:rPr>
                <w:sz w:val="20"/>
                <w:szCs w:val="20"/>
              </w:rPr>
              <w:t>75(31)</w:t>
            </w:r>
          </w:p>
        </w:tc>
        <w:tc>
          <w:tcPr>
            <w:tcW w:w="1080" w:type="dxa"/>
            <w:tcBorders>
              <w:left w:val="single" w:sz="4" w:space="0" w:color="F2F2F2" w:themeColor="background1" w:themeShade="F2"/>
              <w:bottom w:val="single" w:sz="4" w:space="0" w:color="F2F2F2" w:themeColor="background1" w:themeShade="F2"/>
              <w:right w:val="single" w:sz="4" w:space="0" w:color="FFFFFF" w:themeColor="background1"/>
            </w:tcBorders>
            <w:vAlign w:val="center"/>
          </w:tcPr>
          <w:p w14:paraId="0C053CA6" w14:textId="77777777" w:rsidR="00552C58" w:rsidRPr="00B42808" w:rsidRDefault="00552C58" w:rsidP="00552C58">
            <w:pPr>
              <w:pStyle w:val="NormalWeb"/>
              <w:jc w:val="center"/>
              <w:rPr>
                <w:sz w:val="20"/>
                <w:szCs w:val="20"/>
              </w:rPr>
            </w:pPr>
            <w:r w:rsidRPr="00B42808">
              <w:rPr>
                <w:sz w:val="20"/>
                <w:szCs w:val="20"/>
              </w:rPr>
              <w:t>0.</w:t>
            </w:r>
            <w:r>
              <w:rPr>
                <w:sz w:val="20"/>
                <w:szCs w:val="20"/>
              </w:rPr>
              <w:t>65</w:t>
            </w:r>
          </w:p>
        </w:tc>
      </w:tr>
      <w:tr w:rsidR="00552C58" w14:paraId="2CFBADAD" w14:textId="77777777" w:rsidTr="00552C58">
        <w:tc>
          <w:tcPr>
            <w:tcW w:w="1165"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1FCB8DA5" w14:textId="77777777" w:rsidR="00552C58" w:rsidRPr="00B42808" w:rsidRDefault="00552C58" w:rsidP="00552C58">
            <w:pPr>
              <w:pStyle w:val="NormalWeb"/>
              <w:jc w:val="center"/>
              <w:rPr>
                <w:sz w:val="20"/>
                <w:szCs w:val="20"/>
              </w:rPr>
            </w:pPr>
            <w:r w:rsidRPr="00B42808">
              <w:rPr>
                <w:sz w:val="20"/>
                <w:szCs w:val="20"/>
              </w:rPr>
              <w:t>P1-RW</w:t>
            </w:r>
            <w:r>
              <w:rPr>
                <w:sz w:val="20"/>
                <w:szCs w:val="20"/>
              </w:rPr>
              <w:t>-CO</w:t>
            </w:r>
          </w:p>
        </w:tc>
        <w:tc>
          <w:tcPr>
            <w:tcW w:w="1265"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5F05C01E" w14:textId="77777777" w:rsidR="00552C58" w:rsidRPr="00B42808" w:rsidRDefault="00552C58" w:rsidP="00552C58">
            <w:pPr>
              <w:pStyle w:val="NormalWeb"/>
              <w:jc w:val="center"/>
              <w:rPr>
                <w:sz w:val="20"/>
                <w:szCs w:val="20"/>
              </w:rPr>
            </w:pPr>
            <w:r w:rsidRPr="00B42808">
              <w:rPr>
                <w:sz w:val="20"/>
                <w:szCs w:val="20"/>
              </w:rPr>
              <w:t>P1</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AA81C2E" w14:textId="77777777" w:rsidR="00552C58" w:rsidRPr="00B42808" w:rsidRDefault="00552C58" w:rsidP="00552C58">
            <w:pPr>
              <w:pStyle w:val="NormalWeb"/>
              <w:jc w:val="center"/>
              <w:rPr>
                <w:sz w:val="20"/>
                <w:szCs w:val="20"/>
              </w:rPr>
            </w:pPr>
            <w:r w:rsidRPr="00B42808">
              <w:rPr>
                <w:sz w:val="20"/>
                <w:szCs w:val="20"/>
              </w:rPr>
              <w:t>RW</w:t>
            </w:r>
          </w:p>
        </w:tc>
        <w:tc>
          <w:tcPr>
            <w:tcW w:w="99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E4E1663" w14:textId="77777777" w:rsidR="00552C58" w:rsidRPr="00B42808" w:rsidRDefault="00552C58" w:rsidP="00552C58">
            <w:pPr>
              <w:pStyle w:val="NormalWeb"/>
              <w:jc w:val="center"/>
              <w:rPr>
                <w:sz w:val="20"/>
                <w:szCs w:val="20"/>
              </w:rPr>
            </w:pPr>
            <w:r w:rsidRPr="00B42808">
              <w:rPr>
                <w:sz w:val="20"/>
                <w:szCs w:val="20"/>
              </w:rPr>
              <w:t>0.9</w:t>
            </w:r>
            <w:r>
              <w:rPr>
                <w:sz w:val="20"/>
                <w:szCs w:val="20"/>
              </w:rPr>
              <w:t>87</w:t>
            </w:r>
          </w:p>
        </w:tc>
        <w:tc>
          <w:tcPr>
            <w:tcW w:w="15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4BD893D" w14:textId="77777777" w:rsidR="00552C58" w:rsidRPr="00B42808" w:rsidRDefault="00552C58" w:rsidP="00552C58">
            <w:pPr>
              <w:pStyle w:val="NormalWeb"/>
              <w:jc w:val="center"/>
              <w:rPr>
                <w:sz w:val="20"/>
                <w:szCs w:val="20"/>
              </w:rPr>
            </w:pPr>
            <w:r w:rsidRPr="00B42808">
              <w:rPr>
                <w:sz w:val="20"/>
                <w:szCs w:val="20"/>
              </w:rPr>
              <w:t>0</w:t>
            </w:r>
            <w:r>
              <w:rPr>
                <w:sz w:val="20"/>
                <w:szCs w:val="20"/>
              </w:rPr>
              <w:t>.</w:t>
            </w:r>
            <w:r w:rsidRPr="00B42808">
              <w:rPr>
                <w:sz w:val="20"/>
                <w:szCs w:val="20"/>
              </w:rPr>
              <w:t>9</w:t>
            </w:r>
            <w:r>
              <w:rPr>
                <w:sz w:val="20"/>
                <w:szCs w:val="20"/>
              </w:rPr>
              <w:t>48</w:t>
            </w:r>
            <w:r w:rsidRPr="00B42808">
              <w:rPr>
                <w:sz w:val="20"/>
                <w:szCs w:val="20"/>
              </w:rPr>
              <w:t xml:space="preserve"> +/- 0.0</w:t>
            </w:r>
            <w:r>
              <w:rPr>
                <w:sz w:val="20"/>
                <w:szCs w:val="20"/>
              </w:rPr>
              <w:t>15</w:t>
            </w:r>
          </w:p>
        </w:tc>
        <w:tc>
          <w:tcPr>
            <w:tcW w:w="108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646C89E" w14:textId="77777777" w:rsidR="00552C58" w:rsidRPr="00B42808" w:rsidRDefault="00552C58" w:rsidP="00552C58">
            <w:pPr>
              <w:pStyle w:val="NormalWeb"/>
              <w:jc w:val="center"/>
              <w:rPr>
                <w:sz w:val="20"/>
                <w:szCs w:val="20"/>
              </w:rPr>
            </w:pPr>
            <w:r w:rsidRPr="00B42808">
              <w:rPr>
                <w:sz w:val="20"/>
                <w:szCs w:val="20"/>
              </w:rPr>
              <w:t>9(3)</w:t>
            </w:r>
          </w:p>
        </w:tc>
        <w:tc>
          <w:tcPr>
            <w:tcW w:w="108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448B3EF9" w14:textId="77777777" w:rsidR="00552C58" w:rsidRPr="00B42808" w:rsidRDefault="00552C58" w:rsidP="00552C58">
            <w:pPr>
              <w:pStyle w:val="NormalWeb"/>
              <w:jc w:val="center"/>
              <w:rPr>
                <w:sz w:val="20"/>
                <w:szCs w:val="20"/>
              </w:rPr>
            </w:pPr>
            <w:r w:rsidRPr="00B42808">
              <w:rPr>
                <w:sz w:val="20"/>
                <w:szCs w:val="20"/>
              </w:rPr>
              <w:t>0</w:t>
            </w:r>
            <w:r>
              <w:rPr>
                <w:sz w:val="20"/>
                <w:szCs w:val="20"/>
              </w:rPr>
              <w:t>.333</w:t>
            </w:r>
          </w:p>
        </w:tc>
      </w:tr>
      <w:tr w:rsidR="00552C58" w14:paraId="3ECD594C" w14:textId="77777777" w:rsidTr="00552C58">
        <w:tc>
          <w:tcPr>
            <w:tcW w:w="1165"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4E4289CF" w14:textId="77777777" w:rsidR="00552C58" w:rsidRPr="00B42808" w:rsidRDefault="00552C58" w:rsidP="00552C58">
            <w:pPr>
              <w:pStyle w:val="NormalWeb"/>
              <w:jc w:val="center"/>
              <w:rPr>
                <w:sz w:val="20"/>
                <w:szCs w:val="20"/>
              </w:rPr>
            </w:pPr>
            <w:r w:rsidRPr="00B42808">
              <w:rPr>
                <w:sz w:val="20"/>
                <w:szCs w:val="20"/>
              </w:rPr>
              <w:t>P1-P1</w:t>
            </w:r>
            <w:r>
              <w:rPr>
                <w:sz w:val="20"/>
                <w:szCs w:val="20"/>
              </w:rPr>
              <w:t>-CO</w:t>
            </w:r>
          </w:p>
        </w:tc>
        <w:tc>
          <w:tcPr>
            <w:tcW w:w="1265"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9AD9A5F" w14:textId="77777777" w:rsidR="00552C58" w:rsidRPr="00B42808" w:rsidRDefault="00552C58" w:rsidP="00552C58">
            <w:pPr>
              <w:pStyle w:val="NormalWeb"/>
              <w:jc w:val="center"/>
              <w:rPr>
                <w:sz w:val="20"/>
                <w:szCs w:val="20"/>
              </w:rPr>
            </w:pPr>
            <w:r w:rsidRPr="00B42808">
              <w:rPr>
                <w:sz w:val="20"/>
                <w:szCs w:val="20"/>
              </w:rPr>
              <w:t>P1</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40815FD" w14:textId="77777777" w:rsidR="00552C58" w:rsidRPr="00B42808" w:rsidRDefault="00552C58" w:rsidP="00552C58">
            <w:pPr>
              <w:pStyle w:val="NormalWeb"/>
              <w:jc w:val="center"/>
              <w:rPr>
                <w:sz w:val="20"/>
                <w:szCs w:val="20"/>
              </w:rPr>
            </w:pPr>
            <w:r w:rsidRPr="00B42808">
              <w:rPr>
                <w:sz w:val="20"/>
                <w:szCs w:val="20"/>
              </w:rPr>
              <w:t>P1 Range</w:t>
            </w:r>
          </w:p>
        </w:tc>
        <w:tc>
          <w:tcPr>
            <w:tcW w:w="99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5405ED5" w14:textId="77777777" w:rsidR="00552C58" w:rsidRPr="00B42808" w:rsidRDefault="00552C58" w:rsidP="00552C58">
            <w:pPr>
              <w:pStyle w:val="NormalWeb"/>
              <w:jc w:val="center"/>
              <w:rPr>
                <w:sz w:val="20"/>
                <w:szCs w:val="20"/>
              </w:rPr>
            </w:pPr>
            <w:r w:rsidRPr="00B42808">
              <w:rPr>
                <w:sz w:val="20"/>
                <w:szCs w:val="20"/>
              </w:rPr>
              <w:t>0.9</w:t>
            </w:r>
            <w:r>
              <w:rPr>
                <w:sz w:val="20"/>
                <w:szCs w:val="20"/>
              </w:rPr>
              <w:t>83</w:t>
            </w:r>
          </w:p>
        </w:tc>
        <w:tc>
          <w:tcPr>
            <w:tcW w:w="15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182D5A4" w14:textId="77777777" w:rsidR="00552C58" w:rsidRPr="00B42808" w:rsidRDefault="00552C58" w:rsidP="00552C58">
            <w:pPr>
              <w:pStyle w:val="NormalWeb"/>
              <w:jc w:val="center"/>
              <w:rPr>
                <w:sz w:val="20"/>
                <w:szCs w:val="20"/>
              </w:rPr>
            </w:pPr>
            <w:r w:rsidRPr="00B42808">
              <w:rPr>
                <w:sz w:val="20"/>
                <w:szCs w:val="20"/>
              </w:rPr>
              <w:t>0.9</w:t>
            </w:r>
            <w:r>
              <w:rPr>
                <w:sz w:val="20"/>
                <w:szCs w:val="20"/>
              </w:rPr>
              <w:t>48</w:t>
            </w:r>
            <w:r w:rsidRPr="00B42808">
              <w:rPr>
                <w:sz w:val="20"/>
                <w:szCs w:val="20"/>
              </w:rPr>
              <w:t>+/- 0.</w:t>
            </w:r>
            <w:r>
              <w:rPr>
                <w:sz w:val="20"/>
                <w:szCs w:val="20"/>
              </w:rPr>
              <w:t>014</w:t>
            </w:r>
          </w:p>
        </w:tc>
        <w:tc>
          <w:tcPr>
            <w:tcW w:w="108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34ABA42" w14:textId="77777777" w:rsidR="00552C58" w:rsidRPr="00B42808" w:rsidRDefault="00552C58" w:rsidP="00552C58">
            <w:pPr>
              <w:pStyle w:val="NormalWeb"/>
              <w:jc w:val="center"/>
              <w:rPr>
                <w:sz w:val="20"/>
                <w:szCs w:val="20"/>
              </w:rPr>
            </w:pPr>
            <w:r w:rsidRPr="00B42808">
              <w:rPr>
                <w:sz w:val="20"/>
                <w:szCs w:val="20"/>
              </w:rPr>
              <w:t>9(3)</w:t>
            </w:r>
          </w:p>
        </w:tc>
        <w:tc>
          <w:tcPr>
            <w:tcW w:w="108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44D87355" w14:textId="77777777" w:rsidR="00552C58" w:rsidRPr="00B42808" w:rsidRDefault="00552C58" w:rsidP="00552C58">
            <w:pPr>
              <w:pStyle w:val="NormalWeb"/>
              <w:jc w:val="center"/>
              <w:rPr>
                <w:sz w:val="20"/>
                <w:szCs w:val="20"/>
              </w:rPr>
            </w:pPr>
            <w:r w:rsidRPr="00B42808">
              <w:rPr>
                <w:sz w:val="20"/>
                <w:szCs w:val="20"/>
              </w:rPr>
              <w:t>0</w:t>
            </w:r>
            <w:r>
              <w:rPr>
                <w:sz w:val="20"/>
                <w:szCs w:val="20"/>
              </w:rPr>
              <w:t>.667</w:t>
            </w:r>
          </w:p>
        </w:tc>
      </w:tr>
      <w:tr w:rsidR="00552C58" w14:paraId="73D4FF11" w14:textId="77777777" w:rsidTr="00552C58">
        <w:tc>
          <w:tcPr>
            <w:tcW w:w="1165"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66E79525" w14:textId="77777777" w:rsidR="00552C58" w:rsidRPr="00B42808" w:rsidRDefault="00552C58" w:rsidP="00552C58">
            <w:pPr>
              <w:pStyle w:val="NormalWeb"/>
              <w:jc w:val="center"/>
              <w:rPr>
                <w:sz w:val="20"/>
                <w:szCs w:val="20"/>
              </w:rPr>
            </w:pPr>
            <w:r w:rsidRPr="00B42808">
              <w:rPr>
                <w:sz w:val="20"/>
                <w:szCs w:val="20"/>
              </w:rPr>
              <w:t>P2-RW</w:t>
            </w:r>
            <w:r>
              <w:rPr>
                <w:sz w:val="20"/>
                <w:szCs w:val="20"/>
              </w:rPr>
              <w:t>-CO</w:t>
            </w:r>
          </w:p>
        </w:tc>
        <w:tc>
          <w:tcPr>
            <w:tcW w:w="1265"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5D5192CB" w14:textId="77777777" w:rsidR="00552C58" w:rsidRPr="00B42808" w:rsidRDefault="00552C58" w:rsidP="00552C58">
            <w:pPr>
              <w:pStyle w:val="NormalWeb"/>
              <w:jc w:val="center"/>
              <w:rPr>
                <w:sz w:val="20"/>
                <w:szCs w:val="20"/>
              </w:rPr>
            </w:pPr>
            <w:r w:rsidRPr="00B42808">
              <w:rPr>
                <w:sz w:val="20"/>
                <w:szCs w:val="20"/>
              </w:rPr>
              <w:t>P2</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D79543C" w14:textId="77777777" w:rsidR="00552C58" w:rsidRPr="00B42808" w:rsidRDefault="00552C58" w:rsidP="00552C58">
            <w:pPr>
              <w:pStyle w:val="NormalWeb"/>
              <w:jc w:val="center"/>
              <w:rPr>
                <w:sz w:val="20"/>
                <w:szCs w:val="20"/>
              </w:rPr>
            </w:pPr>
            <w:r w:rsidRPr="00B42808">
              <w:rPr>
                <w:sz w:val="20"/>
                <w:szCs w:val="20"/>
              </w:rPr>
              <w:t>RW</w:t>
            </w:r>
          </w:p>
        </w:tc>
        <w:tc>
          <w:tcPr>
            <w:tcW w:w="99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52A13725" w14:textId="77777777" w:rsidR="00552C58" w:rsidRPr="00B42808" w:rsidRDefault="00552C58" w:rsidP="00552C58">
            <w:pPr>
              <w:pStyle w:val="NormalWeb"/>
              <w:jc w:val="center"/>
              <w:rPr>
                <w:sz w:val="20"/>
                <w:szCs w:val="20"/>
              </w:rPr>
            </w:pPr>
            <w:r w:rsidRPr="00B42808">
              <w:rPr>
                <w:sz w:val="20"/>
                <w:szCs w:val="20"/>
              </w:rPr>
              <w:t>0.</w:t>
            </w:r>
            <w:r>
              <w:rPr>
                <w:sz w:val="20"/>
                <w:szCs w:val="20"/>
              </w:rPr>
              <w:t>874</w:t>
            </w:r>
          </w:p>
        </w:tc>
        <w:tc>
          <w:tcPr>
            <w:tcW w:w="15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DCD6CDF" w14:textId="77777777" w:rsidR="00552C58" w:rsidRPr="00B42808" w:rsidRDefault="00552C58" w:rsidP="00552C58">
            <w:pPr>
              <w:pStyle w:val="NormalWeb"/>
              <w:jc w:val="center"/>
              <w:rPr>
                <w:sz w:val="20"/>
                <w:szCs w:val="20"/>
              </w:rPr>
            </w:pPr>
            <w:r w:rsidRPr="00B42808">
              <w:rPr>
                <w:sz w:val="20"/>
                <w:szCs w:val="20"/>
              </w:rPr>
              <w:t>0.</w:t>
            </w:r>
            <w:r>
              <w:rPr>
                <w:sz w:val="20"/>
                <w:szCs w:val="20"/>
              </w:rPr>
              <w:t>68</w:t>
            </w:r>
            <w:r w:rsidRPr="00B42808">
              <w:rPr>
                <w:sz w:val="20"/>
                <w:szCs w:val="20"/>
              </w:rPr>
              <w:t xml:space="preserve"> +/- 0.0</w:t>
            </w:r>
            <w:r>
              <w:rPr>
                <w:sz w:val="20"/>
                <w:szCs w:val="20"/>
              </w:rPr>
              <w:t>65</w:t>
            </w:r>
          </w:p>
        </w:tc>
        <w:tc>
          <w:tcPr>
            <w:tcW w:w="108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CD6661B" w14:textId="77777777" w:rsidR="00552C58" w:rsidRPr="00B42808" w:rsidRDefault="00552C58" w:rsidP="00552C58">
            <w:pPr>
              <w:pStyle w:val="NormalWeb"/>
              <w:jc w:val="center"/>
              <w:rPr>
                <w:sz w:val="20"/>
                <w:szCs w:val="20"/>
              </w:rPr>
            </w:pPr>
            <w:r w:rsidRPr="00B42808">
              <w:rPr>
                <w:sz w:val="20"/>
                <w:szCs w:val="20"/>
              </w:rPr>
              <w:t>26(11)</w:t>
            </w:r>
          </w:p>
        </w:tc>
        <w:tc>
          <w:tcPr>
            <w:tcW w:w="108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6817CB09" w14:textId="77777777" w:rsidR="00552C58" w:rsidRPr="00B42808" w:rsidRDefault="00552C58" w:rsidP="00552C58">
            <w:pPr>
              <w:pStyle w:val="NormalWeb"/>
              <w:jc w:val="center"/>
              <w:rPr>
                <w:sz w:val="20"/>
                <w:szCs w:val="20"/>
              </w:rPr>
            </w:pPr>
            <w:r w:rsidRPr="00B42808">
              <w:rPr>
                <w:sz w:val="20"/>
                <w:szCs w:val="20"/>
              </w:rPr>
              <w:t>0.455</w:t>
            </w:r>
          </w:p>
        </w:tc>
      </w:tr>
      <w:tr w:rsidR="00552C58" w14:paraId="74D6B336" w14:textId="77777777" w:rsidTr="00552C58">
        <w:tc>
          <w:tcPr>
            <w:tcW w:w="1165"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4D4A3778" w14:textId="77777777" w:rsidR="00552C58" w:rsidRPr="00B42808" w:rsidRDefault="00552C58" w:rsidP="00552C58">
            <w:pPr>
              <w:pStyle w:val="NormalWeb"/>
              <w:jc w:val="center"/>
              <w:rPr>
                <w:sz w:val="20"/>
                <w:szCs w:val="20"/>
              </w:rPr>
            </w:pPr>
            <w:r w:rsidRPr="00B42808">
              <w:rPr>
                <w:sz w:val="20"/>
                <w:szCs w:val="20"/>
              </w:rPr>
              <w:t>P2-P2</w:t>
            </w:r>
            <w:r>
              <w:rPr>
                <w:sz w:val="20"/>
                <w:szCs w:val="20"/>
              </w:rPr>
              <w:t>-CO</w:t>
            </w:r>
          </w:p>
        </w:tc>
        <w:tc>
          <w:tcPr>
            <w:tcW w:w="1265"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33EE005" w14:textId="77777777" w:rsidR="00552C58" w:rsidRPr="00B42808" w:rsidRDefault="00552C58" w:rsidP="00552C58">
            <w:pPr>
              <w:pStyle w:val="NormalWeb"/>
              <w:jc w:val="center"/>
              <w:rPr>
                <w:sz w:val="20"/>
                <w:szCs w:val="20"/>
              </w:rPr>
            </w:pPr>
            <w:r w:rsidRPr="00B42808">
              <w:rPr>
                <w:sz w:val="20"/>
                <w:szCs w:val="20"/>
              </w:rPr>
              <w:t>P2</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E24E91A" w14:textId="77777777" w:rsidR="00552C58" w:rsidRPr="00B42808" w:rsidRDefault="00552C58" w:rsidP="00552C58">
            <w:pPr>
              <w:pStyle w:val="NormalWeb"/>
              <w:jc w:val="center"/>
              <w:rPr>
                <w:sz w:val="20"/>
                <w:szCs w:val="20"/>
              </w:rPr>
            </w:pPr>
            <w:r w:rsidRPr="00B42808">
              <w:rPr>
                <w:sz w:val="20"/>
                <w:szCs w:val="20"/>
              </w:rPr>
              <w:t>P2 Range</w:t>
            </w:r>
          </w:p>
        </w:tc>
        <w:tc>
          <w:tcPr>
            <w:tcW w:w="99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90F3049" w14:textId="77777777" w:rsidR="00552C58" w:rsidRPr="00B42808" w:rsidRDefault="00552C58" w:rsidP="00552C58">
            <w:pPr>
              <w:pStyle w:val="NormalWeb"/>
              <w:jc w:val="center"/>
              <w:rPr>
                <w:sz w:val="20"/>
                <w:szCs w:val="20"/>
              </w:rPr>
            </w:pPr>
            <w:r w:rsidRPr="00B42808">
              <w:rPr>
                <w:sz w:val="20"/>
                <w:szCs w:val="20"/>
              </w:rPr>
              <w:t>0.</w:t>
            </w:r>
            <w:r>
              <w:rPr>
                <w:sz w:val="20"/>
                <w:szCs w:val="20"/>
              </w:rPr>
              <w:t>875</w:t>
            </w:r>
          </w:p>
        </w:tc>
        <w:tc>
          <w:tcPr>
            <w:tcW w:w="15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6BC2FF2" w14:textId="77777777" w:rsidR="00552C58" w:rsidRPr="00B42808" w:rsidRDefault="00552C58" w:rsidP="00552C58">
            <w:pPr>
              <w:pStyle w:val="NormalWeb"/>
              <w:jc w:val="center"/>
              <w:rPr>
                <w:sz w:val="20"/>
                <w:szCs w:val="20"/>
              </w:rPr>
            </w:pPr>
            <w:r w:rsidRPr="00B42808">
              <w:rPr>
                <w:sz w:val="20"/>
                <w:szCs w:val="20"/>
              </w:rPr>
              <w:t>0.</w:t>
            </w:r>
            <w:r>
              <w:rPr>
                <w:sz w:val="20"/>
                <w:szCs w:val="20"/>
              </w:rPr>
              <w:t>72</w:t>
            </w:r>
            <w:r w:rsidRPr="00B42808">
              <w:rPr>
                <w:sz w:val="20"/>
                <w:szCs w:val="20"/>
              </w:rPr>
              <w:t xml:space="preserve"> +/- 0.05</w:t>
            </w:r>
            <w:r>
              <w:rPr>
                <w:sz w:val="20"/>
                <w:szCs w:val="20"/>
              </w:rPr>
              <w:t>8</w:t>
            </w:r>
          </w:p>
        </w:tc>
        <w:tc>
          <w:tcPr>
            <w:tcW w:w="108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C881F12" w14:textId="77777777" w:rsidR="00552C58" w:rsidRPr="00B42808" w:rsidRDefault="00552C58" w:rsidP="00552C58">
            <w:pPr>
              <w:pStyle w:val="NormalWeb"/>
              <w:jc w:val="center"/>
              <w:rPr>
                <w:sz w:val="20"/>
                <w:szCs w:val="20"/>
              </w:rPr>
            </w:pPr>
            <w:r w:rsidRPr="00B42808">
              <w:rPr>
                <w:sz w:val="20"/>
                <w:szCs w:val="20"/>
              </w:rPr>
              <w:t>26(11)</w:t>
            </w:r>
          </w:p>
        </w:tc>
        <w:tc>
          <w:tcPr>
            <w:tcW w:w="108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1D1CCC4F" w14:textId="77777777" w:rsidR="00552C58" w:rsidRPr="00B42808" w:rsidRDefault="00552C58" w:rsidP="00552C58">
            <w:pPr>
              <w:pStyle w:val="NormalWeb"/>
              <w:jc w:val="center"/>
              <w:rPr>
                <w:sz w:val="20"/>
                <w:szCs w:val="20"/>
              </w:rPr>
            </w:pPr>
            <w:r w:rsidRPr="00B42808">
              <w:rPr>
                <w:sz w:val="20"/>
                <w:szCs w:val="20"/>
              </w:rPr>
              <w:t>0.</w:t>
            </w:r>
            <w:r>
              <w:rPr>
                <w:sz w:val="20"/>
                <w:szCs w:val="20"/>
              </w:rPr>
              <w:t>182</w:t>
            </w:r>
          </w:p>
        </w:tc>
      </w:tr>
      <w:tr w:rsidR="00552C58" w14:paraId="03B51C59" w14:textId="77777777" w:rsidTr="00552C58">
        <w:tc>
          <w:tcPr>
            <w:tcW w:w="1165"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6BA60784" w14:textId="77777777" w:rsidR="00552C58" w:rsidRPr="00B42808" w:rsidRDefault="00552C58" w:rsidP="00552C58">
            <w:pPr>
              <w:pStyle w:val="NormalWeb"/>
              <w:jc w:val="center"/>
              <w:rPr>
                <w:sz w:val="20"/>
                <w:szCs w:val="20"/>
              </w:rPr>
            </w:pPr>
            <w:r w:rsidRPr="00B42808">
              <w:rPr>
                <w:sz w:val="20"/>
                <w:szCs w:val="20"/>
              </w:rPr>
              <w:t>P3-RW</w:t>
            </w:r>
            <w:r>
              <w:rPr>
                <w:sz w:val="20"/>
                <w:szCs w:val="20"/>
              </w:rPr>
              <w:t>-CO</w:t>
            </w:r>
          </w:p>
        </w:tc>
        <w:tc>
          <w:tcPr>
            <w:tcW w:w="1265"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5B7B382E" w14:textId="77777777" w:rsidR="00552C58" w:rsidRPr="00B42808" w:rsidRDefault="00552C58" w:rsidP="00552C58">
            <w:pPr>
              <w:pStyle w:val="NormalWeb"/>
              <w:jc w:val="center"/>
              <w:rPr>
                <w:sz w:val="20"/>
                <w:szCs w:val="20"/>
              </w:rPr>
            </w:pPr>
            <w:r w:rsidRPr="00B42808">
              <w:rPr>
                <w:sz w:val="20"/>
                <w:szCs w:val="20"/>
              </w:rPr>
              <w:t>P3</w:t>
            </w:r>
          </w:p>
        </w:tc>
        <w:tc>
          <w:tcPr>
            <w:tcW w:w="126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12725D6" w14:textId="77777777" w:rsidR="00552C58" w:rsidRPr="00B42808" w:rsidRDefault="00552C58" w:rsidP="00552C58">
            <w:pPr>
              <w:pStyle w:val="NormalWeb"/>
              <w:jc w:val="center"/>
              <w:rPr>
                <w:sz w:val="20"/>
                <w:szCs w:val="20"/>
              </w:rPr>
            </w:pPr>
            <w:r w:rsidRPr="00B42808">
              <w:rPr>
                <w:sz w:val="20"/>
                <w:szCs w:val="20"/>
              </w:rPr>
              <w:t>RW</w:t>
            </w:r>
          </w:p>
        </w:tc>
        <w:tc>
          <w:tcPr>
            <w:tcW w:w="99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5E35682" w14:textId="77777777" w:rsidR="00552C58" w:rsidRPr="00B42808" w:rsidRDefault="00552C58" w:rsidP="00552C58">
            <w:pPr>
              <w:pStyle w:val="NormalWeb"/>
              <w:jc w:val="center"/>
              <w:rPr>
                <w:sz w:val="20"/>
                <w:szCs w:val="20"/>
              </w:rPr>
            </w:pPr>
            <w:r w:rsidRPr="00B42808">
              <w:rPr>
                <w:sz w:val="20"/>
                <w:szCs w:val="20"/>
              </w:rPr>
              <w:t>0.</w:t>
            </w:r>
            <w:r>
              <w:rPr>
                <w:sz w:val="20"/>
                <w:szCs w:val="20"/>
              </w:rPr>
              <w:t>0.927</w:t>
            </w:r>
          </w:p>
        </w:tc>
        <w:tc>
          <w:tcPr>
            <w:tcW w:w="15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D7ABC47" w14:textId="77777777" w:rsidR="00552C58" w:rsidRPr="00B42808" w:rsidRDefault="00552C58" w:rsidP="00552C58">
            <w:pPr>
              <w:pStyle w:val="NormalWeb"/>
              <w:jc w:val="center"/>
              <w:rPr>
                <w:sz w:val="20"/>
                <w:szCs w:val="20"/>
              </w:rPr>
            </w:pPr>
            <w:r w:rsidRPr="00B42808">
              <w:rPr>
                <w:sz w:val="20"/>
                <w:szCs w:val="20"/>
              </w:rPr>
              <w:t>0.</w:t>
            </w:r>
            <w:r>
              <w:rPr>
                <w:sz w:val="20"/>
                <w:szCs w:val="20"/>
              </w:rPr>
              <w:t>862</w:t>
            </w:r>
            <w:r w:rsidRPr="00B42808">
              <w:rPr>
                <w:sz w:val="20"/>
                <w:szCs w:val="20"/>
              </w:rPr>
              <w:t xml:space="preserve"> +/- 0.0</w:t>
            </w:r>
            <w:r>
              <w:rPr>
                <w:sz w:val="20"/>
                <w:szCs w:val="20"/>
              </w:rPr>
              <w:t>28</w:t>
            </w:r>
          </w:p>
        </w:tc>
        <w:tc>
          <w:tcPr>
            <w:tcW w:w="108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5895BDCB" w14:textId="77777777" w:rsidR="00552C58" w:rsidRPr="00B42808" w:rsidRDefault="00552C58" w:rsidP="00552C58">
            <w:pPr>
              <w:pStyle w:val="NormalWeb"/>
              <w:jc w:val="center"/>
              <w:rPr>
                <w:sz w:val="20"/>
                <w:szCs w:val="20"/>
              </w:rPr>
            </w:pPr>
            <w:r w:rsidRPr="00B42808">
              <w:rPr>
                <w:sz w:val="20"/>
                <w:szCs w:val="20"/>
              </w:rPr>
              <w:t>40(17)</w:t>
            </w:r>
          </w:p>
        </w:tc>
        <w:tc>
          <w:tcPr>
            <w:tcW w:w="108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039EF1F6" w14:textId="77777777" w:rsidR="00552C58" w:rsidRPr="00B42808" w:rsidRDefault="00552C58" w:rsidP="00552C58">
            <w:pPr>
              <w:pStyle w:val="NormalWeb"/>
              <w:jc w:val="center"/>
              <w:rPr>
                <w:sz w:val="20"/>
                <w:szCs w:val="20"/>
              </w:rPr>
            </w:pPr>
            <w:r w:rsidRPr="00B42808">
              <w:rPr>
                <w:sz w:val="20"/>
                <w:szCs w:val="20"/>
              </w:rPr>
              <w:t>0.</w:t>
            </w:r>
            <w:r>
              <w:rPr>
                <w:sz w:val="20"/>
                <w:szCs w:val="20"/>
              </w:rPr>
              <w:t>294</w:t>
            </w:r>
          </w:p>
        </w:tc>
      </w:tr>
      <w:tr w:rsidR="00552C58" w14:paraId="34F6D550" w14:textId="77777777" w:rsidTr="00552C58">
        <w:tc>
          <w:tcPr>
            <w:tcW w:w="1165" w:type="dxa"/>
            <w:tcBorders>
              <w:top w:val="single" w:sz="4" w:space="0" w:color="F2F2F2" w:themeColor="background1" w:themeShade="F2"/>
              <w:left w:val="single" w:sz="4" w:space="0" w:color="FFFFFF" w:themeColor="background1"/>
              <w:right w:val="single" w:sz="4" w:space="0" w:color="F2F2F2" w:themeColor="background1" w:themeShade="F2"/>
            </w:tcBorders>
            <w:vAlign w:val="center"/>
          </w:tcPr>
          <w:p w14:paraId="560D3BBA" w14:textId="77777777" w:rsidR="00552C58" w:rsidRPr="00B42808" w:rsidRDefault="00552C58" w:rsidP="00552C58">
            <w:pPr>
              <w:pStyle w:val="NormalWeb"/>
              <w:jc w:val="center"/>
              <w:rPr>
                <w:sz w:val="20"/>
                <w:szCs w:val="20"/>
              </w:rPr>
            </w:pPr>
            <w:r w:rsidRPr="00B42808">
              <w:rPr>
                <w:sz w:val="20"/>
                <w:szCs w:val="20"/>
              </w:rPr>
              <w:t>P3-P3</w:t>
            </w:r>
            <w:r>
              <w:rPr>
                <w:sz w:val="20"/>
                <w:szCs w:val="20"/>
              </w:rPr>
              <w:t>-CO</w:t>
            </w:r>
          </w:p>
        </w:tc>
        <w:tc>
          <w:tcPr>
            <w:tcW w:w="1265"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54B92DA7" w14:textId="77777777" w:rsidR="00552C58" w:rsidRPr="00B42808" w:rsidRDefault="00552C58" w:rsidP="00552C58">
            <w:pPr>
              <w:pStyle w:val="NormalWeb"/>
              <w:jc w:val="center"/>
              <w:rPr>
                <w:sz w:val="20"/>
                <w:szCs w:val="20"/>
              </w:rPr>
            </w:pPr>
            <w:r w:rsidRPr="00B42808">
              <w:rPr>
                <w:sz w:val="20"/>
                <w:szCs w:val="20"/>
              </w:rPr>
              <w:t>P3</w:t>
            </w:r>
          </w:p>
        </w:tc>
        <w:tc>
          <w:tcPr>
            <w:tcW w:w="126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5F194CC3" w14:textId="77777777" w:rsidR="00552C58" w:rsidRPr="00B42808" w:rsidRDefault="00552C58" w:rsidP="00552C58">
            <w:pPr>
              <w:pStyle w:val="NormalWeb"/>
              <w:jc w:val="center"/>
              <w:rPr>
                <w:sz w:val="20"/>
                <w:szCs w:val="20"/>
              </w:rPr>
            </w:pPr>
            <w:r w:rsidRPr="00B42808">
              <w:rPr>
                <w:sz w:val="20"/>
                <w:szCs w:val="20"/>
              </w:rPr>
              <w:t>P3 Range</w:t>
            </w:r>
          </w:p>
        </w:tc>
        <w:tc>
          <w:tcPr>
            <w:tcW w:w="99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68A2C0A9" w14:textId="77777777" w:rsidR="00552C58" w:rsidRPr="00B42808" w:rsidRDefault="00552C58" w:rsidP="00552C58">
            <w:pPr>
              <w:pStyle w:val="NormalWeb"/>
              <w:jc w:val="center"/>
              <w:rPr>
                <w:sz w:val="20"/>
                <w:szCs w:val="20"/>
              </w:rPr>
            </w:pPr>
            <w:r w:rsidRPr="00B42808">
              <w:rPr>
                <w:sz w:val="20"/>
                <w:szCs w:val="20"/>
              </w:rPr>
              <w:t>0.9</w:t>
            </w:r>
            <w:r>
              <w:rPr>
                <w:sz w:val="20"/>
                <w:szCs w:val="20"/>
              </w:rPr>
              <w:t>42</w:t>
            </w:r>
          </w:p>
        </w:tc>
        <w:tc>
          <w:tcPr>
            <w:tcW w:w="153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46C5FBD8" w14:textId="77777777" w:rsidR="00552C58" w:rsidRPr="00B42808" w:rsidRDefault="00552C58" w:rsidP="00552C58">
            <w:pPr>
              <w:pStyle w:val="NormalWeb"/>
              <w:jc w:val="center"/>
              <w:rPr>
                <w:sz w:val="20"/>
                <w:szCs w:val="20"/>
              </w:rPr>
            </w:pPr>
            <w:r w:rsidRPr="00B42808">
              <w:rPr>
                <w:sz w:val="20"/>
                <w:szCs w:val="20"/>
              </w:rPr>
              <w:t>0.</w:t>
            </w:r>
            <w:r>
              <w:rPr>
                <w:sz w:val="20"/>
                <w:szCs w:val="20"/>
              </w:rPr>
              <w:t>892</w:t>
            </w:r>
            <w:r w:rsidRPr="00B42808">
              <w:rPr>
                <w:sz w:val="20"/>
                <w:szCs w:val="20"/>
              </w:rPr>
              <w:t xml:space="preserve"> +/- 0.0</w:t>
            </w:r>
            <w:r>
              <w:rPr>
                <w:sz w:val="20"/>
                <w:szCs w:val="20"/>
              </w:rPr>
              <w:t>21</w:t>
            </w:r>
          </w:p>
        </w:tc>
        <w:tc>
          <w:tcPr>
            <w:tcW w:w="108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345B6F40" w14:textId="77777777" w:rsidR="00552C58" w:rsidRPr="00B42808" w:rsidRDefault="00552C58" w:rsidP="00552C58">
            <w:pPr>
              <w:pStyle w:val="NormalWeb"/>
              <w:jc w:val="center"/>
              <w:rPr>
                <w:sz w:val="20"/>
                <w:szCs w:val="20"/>
              </w:rPr>
            </w:pPr>
            <w:r w:rsidRPr="00B42808">
              <w:rPr>
                <w:sz w:val="20"/>
                <w:szCs w:val="20"/>
              </w:rPr>
              <w:t>40(17)</w:t>
            </w:r>
          </w:p>
        </w:tc>
        <w:tc>
          <w:tcPr>
            <w:tcW w:w="1080" w:type="dxa"/>
            <w:tcBorders>
              <w:top w:val="single" w:sz="4" w:space="0" w:color="F2F2F2" w:themeColor="background1" w:themeShade="F2"/>
              <w:left w:val="single" w:sz="4" w:space="0" w:color="F2F2F2" w:themeColor="background1" w:themeShade="F2"/>
              <w:right w:val="single" w:sz="4" w:space="0" w:color="FFFFFF" w:themeColor="background1"/>
            </w:tcBorders>
            <w:vAlign w:val="center"/>
          </w:tcPr>
          <w:p w14:paraId="32C7C5AA" w14:textId="77777777" w:rsidR="00552C58" w:rsidRPr="00B42808" w:rsidRDefault="00552C58" w:rsidP="00552C58">
            <w:pPr>
              <w:pStyle w:val="NormalWeb"/>
              <w:jc w:val="center"/>
              <w:rPr>
                <w:sz w:val="20"/>
                <w:szCs w:val="20"/>
              </w:rPr>
            </w:pPr>
            <w:r w:rsidRPr="00B42808">
              <w:rPr>
                <w:sz w:val="20"/>
                <w:szCs w:val="20"/>
              </w:rPr>
              <w:t>0.</w:t>
            </w:r>
            <w:r>
              <w:rPr>
                <w:sz w:val="20"/>
                <w:szCs w:val="20"/>
              </w:rPr>
              <w:t>353</w:t>
            </w:r>
          </w:p>
        </w:tc>
      </w:tr>
    </w:tbl>
    <w:p w14:paraId="10E00472" w14:textId="7D1743B4" w:rsidR="00552C58" w:rsidRDefault="00552C58" w:rsidP="00177B87">
      <w:pPr>
        <w:jc w:val="both"/>
        <w:rPr>
          <w:bCs/>
          <w:color w:val="000000"/>
          <w:sz w:val="22"/>
          <w:szCs w:val="22"/>
        </w:rPr>
      </w:pPr>
    </w:p>
    <w:p w14:paraId="22E09E7A" w14:textId="77777777" w:rsidR="00552C58" w:rsidRPr="00177B87" w:rsidRDefault="00552C58" w:rsidP="00177B87">
      <w:pPr>
        <w:jc w:val="both"/>
        <w:rPr>
          <w:sz w:val="22"/>
          <w:szCs w:val="22"/>
        </w:rPr>
      </w:pPr>
    </w:p>
    <w:p w14:paraId="1BDF2972" w14:textId="760E3FD1" w:rsidR="00177B87" w:rsidRPr="00177B87" w:rsidRDefault="009A1193" w:rsidP="00177B87">
      <w:pPr>
        <w:jc w:val="both"/>
        <w:rPr>
          <w:color w:val="000000"/>
          <w:sz w:val="22"/>
          <w:szCs w:val="22"/>
        </w:rPr>
      </w:pPr>
      <w:r>
        <w:br w:type="page"/>
      </w:r>
      <w:bookmarkStart w:id="72" w:name="_Toc88053995"/>
      <w:r w:rsidR="00177B87" w:rsidRPr="00177B87">
        <w:rPr>
          <w:b/>
          <w:bCs/>
          <w:sz w:val="22"/>
          <w:szCs w:val="22"/>
        </w:rPr>
        <w:lastRenderedPageBreak/>
        <w:t xml:space="preserve">Table </w:t>
      </w:r>
      <w:r w:rsidR="00177B87" w:rsidRPr="00177B87">
        <w:rPr>
          <w:b/>
          <w:bCs/>
          <w:sz w:val="22"/>
          <w:szCs w:val="22"/>
        </w:rPr>
        <w:fldChar w:fldCharType="begin"/>
      </w:r>
      <w:r w:rsidR="00177B87" w:rsidRPr="00177B87">
        <w:rPr>
          <w:b/>
          <w:bCs/>
          <w:sz w:val="22"/>
          <w:szCs w:val="22"/>
        </w:rPr>
        <w:instrText xml:space="preserve"> SEQ Table \* ARABIC </w:instrText>
      </w:r>
      <w:r w:rsidR="00177B87" w:rsidRPr="00177B87">
        <w:rPr>
          <w:b/>
          <w:bCs/>
          <w:sz w:val="22"/>
          <w:szCs w:val="22"/>
        </w:rPr>
        <w:fldChar w:fldCharType="separate"/>
      </w:r>
      <w:r w:rsidR="00177B87">
        <w:rPr>
          <w:b/>
          <w:bCs/>
          <w:noProof/>
          <w:sz w:val="22"/>
          <w:szCs w:val="22"/>
        </w:rPr>
        <w:t>9</w:t>
      </w:r>
      <w:r w:rsidR="00177B87" w:rsidRPr="00177B87">
        <w:rPr>
          <w:b/>
          <w:bCs/>
          <w:sz w:val="22"/>
          <w:szCs w:val="22"/>
        </w:rPr>
        <w:fldChar w:fldCharType="end"/>
      </w:r>
      <w:r w:rsidR="00177B87" w:rsidRPr="00177B87">
        <w:rPr>
          <w:b/>
          <w:bCs/>
          <w:sz w:val="22"/>
          <w:szCs w:val="22"/>
        </w:rPr>
        <w:t xml:space="preserve">: </w:t>
      </w:r>
      <w:r w:rsidR="00177B87" w:rsidRPr="00177B87">
        <w:rPr>
          <w:b/>
          <w:bCs/>
          <w:color w:val="000000"/>
          <w:sz w:val="22"/>
          <w:szCs w:val="22"/>
        </w:rPr>
        <w:t xml:space="preserve">Percent </w:t>
      </w:r>
      <w:r w:rsidR="00E24ED3">
        <w:rPr>
          <w:b/>
          <w:bCs/>
          <w:color w:val="000000"/>
          <w:sz w:val="22"/>
          <w:szCs w:val="22"/>
        </w:rPr>
        <w:t>c</w:t>
      </w:r>
      <w:r w:rsidR="00177B87" w:rsidRPr="00177B87">
        <w:rPr>
          <w:b/>
          <w:bCs/>
          <w:color w:val="000000"/>
          <w:sz w:val="22"/>
          <w:szCs w:val="22"/>
        </w:rPr>
        <w:t xml:space="preserve">ontribution (%) of </w:t>
      </w:r>
      <w:r w:rsidR="00E24ED3">
        <w:rPr>
          <w:b/>
          <w:bCs/>
          <w:color w:val="000000"/>
          <w:sz w:val="22"/>
          <w:szCs w:val="22"/>
        </w:rPr>
        <w:t>e</w:t>
      </w:r>
      <w:r w:rsidR="00177B87" w:rsidRPr="00177B87">
        <w:rPr>
          <w:b/>
          <w:bCs/>
          <w:color w:val="000000"/>
          <w:sz w:val="22"/>
          <w:szCs w:val="22"/>
        </w:rPr>
        <w:t xml:space="preserve">nvironmental </w:t>
      </w:r>
      <w:r w:rsidR="00E24ED3">
        <w:rPr>
          <w:b/>
          <w:bCs/>
          <w:color w:val="000000"/>
          <w:sz w:val="22"/>
          <w:szCs w:val="22"/>
        </w:rPr>
        <w:t>v</w:t>
      </w:r>
      <w:r w:rsidR="00177B87" w:rsidRPr="00177B87">
        <w:rPr>
          <w:b/>
          <w:bCs/>
          <w:color w:val="000000"/>
          <w:sz w:val="22"/>
          <w:szCs w:val="22"/>
        </w:rPr>
        <w:t xml:space="preserve">ariables to </w:t>
      </w:r>
      <w:r w:rsidR="00DE413C">
        <w:rPr>
          <w:b/>
          <w:bCs/>
          <w:color w:val="000000"/>
          <w:sz w:val="22"/>
          <w:szCs w:val="22"/>
        </w:rPr>
        <w:t>SDM</w:t>
      </w:r>
      <w:r w:rsidR="00177B87" w:rsidRPr="00177B87">
        <w:rPr>
          <w:b/>
          <w:bCs/>
          <w:color w:val="000000"/>
          <w:sz w:val="22"/>
          <w:szCs w:val="22"/>
        </w:rPr>
        <w:t>s.</w:t>
      </w:r>
      <w:r w:rsidR="00177B87" w:rsidRPr="00EB76F9">
        <w:rPr>
          <w:color w:val="000000"/>
          <w:sz w:val="22"/>
          <w:szCs w:val="22"/>
        </w:rPr>
        <w:t xml:space="preserve"> The lower panel represents models built with only bioclimatic variables. </w:t>
      </w:r>
      <w:r w:rsidR="00177B87" w:rsidRPr="009011B9">
        <w:rPr>
          <w:sz w:val="22"/>
          <w:szCs w:val="22"/>
        </w:rPr>
        <w:t>Blank cells</w:t>
      </w:r>
      <w:r w:rsidR="00177B87" w:rsidRPr="004815FD">
        <w:rPr>
          <w:sz w:val="22"/>
          <w:szCs w:val="22"/>
        </w:rPr>
        <w:t xml:space="preserve"> indicate that variable was not included in final models while zeros indicate that the variable was included but contributed nothing to final models. Variable abbreviations represent: </w:t>
      </w:r>
      <w:proofErr w:type="spellStart"/>
      <w:r w:rsidR="00177B87" w:rsidRPr="004815FD">
        <w:rPr>
          <w:sz w:val="22"/>
          <w:szCs w:val="22"/>
        </w:rPr>
        <w:t>ahm</w:t>
      </w:r>
      <w:proofErr w:type="spellEnd"/>
      <w:r w:rsidR="00177B87" w:rsidRPr="004815FD">
        <w:rPr>
          <w:sz w:val="22"/>
          <w:szCs w:val="22"/>
        </w:rPr>
        <w:t xml:space="preserve"> (annual heat moisture index), </w:t>
      </w:r>
      <w:proofErr w:type="spellStart"/>
      <w:r w:rsidR="00177B87" w:rsidRPr="004815FD">
        <w:rPr>
          <w:sz w:val="22"/>
          <w:szCs w:val="22"/>
        </w:rPr>
        <w:t>cmd</w:t>
      </w:r>
      <w:proofErr w:type="spellEnd"/>
      <w:r w:rsidR="00177B87" w:rsidRPr="004815FD">
        <w:rPr>
          <w:sz w:val="22"/>
          <w:szCs w:val="22"/>
        </w:rPr>
        <w:t xml:space="preserve"> (</w:t>
      </w:r>
      <w:proofErr w:type="spellStart"/>
      <w:r w:rsidR="00177B87" w:rsidRPr="004815FD">
        <w:rPr>
          <w:sz w:val="22"/>
          <w:szCs w:val="22"/>
        </w:rPr>
        <w:t>Hargreave's</w:t>
      </w:r>
      <w:proofErr w:type="spellEnd"/>
      <w:r w:rsidR="00177B87" w:rsidRPr="004815FD">
        <w:rPr>
          <w:sz w:val="22"/>
          <w:szCs w:val="22"/>
        </w:rPr>
        <w:t xml:space="preserve"> climatic moisture index), dd_0 (degree-days below 0°C), mar (mean annual solar radiation (MJ m-2 d-1)), </w:t>
      </w:r>
      <w:proofErr w:type="spellStart"/>
      <w:r w:rsidR="00177B87" w:rsidRPr="004815FD">
        <w:rPr>
          <w:sz w:val="22"/>
          <w:szCs w:val="22"/>
        </w:rPr>
        <w:t>nffd</w:t>
      </w:r>
      <w:proofErr w:type="spellEnd"/>
      <w:r w:rsidR="00177B87" w:rsidRPr="004815FD">
        <w:rPr>
          <w:sz w:val="22"/>
          <w:szCs w:val="22"/>
        </w:rPr>
        <w:t xml:space="preserve"> (number of frost-free days), pas (precipitation as snow (mm)), </w:t>
      </w:r>
      <w:proofErr w:type="spellStart"/>
      <w:r w:rsidR="00177B87" w:rsidRPr="004815FD">
        <w:rPr>
          <w:sz w:val="22"/>
          <w:szCs w:val="22"/>
        </w:rPr>
        <w:t>ppt_sm</w:t>
      </w:r>
      <w:proofErr w:type="spellEnd"/>
      <w:r w:rsidR="00177B87" w:rsidRPr="004815FD">
        <w:rPr>
          <w:sz w:val="22"/>
          <w:szCs w:val="22"/>
        </w:rPr>
        <w:t xml:space="preserve"> (summer (Jun to Aug) precipitation (mm)), </w:t>
      </w:r>
      <w:proofErr w:type="spellStart"/>
      <w:r w:rsidR="00177B87" w:rsidRPr="004815FD">
        <w:rPr>
          <w:sz w:val="22"/>
          <w:szCs w:val="22"/>
        </w:rPr>
        <w:t>ppt_wt</w:t>
      </w:r>
      <w:proofErr w:type="spellEnd"/>
      <w:r w:rsidR="00177B87" w:rsidRPr="004815FD">
        <w:rPr>
          <w:sz w:val="22"/>
          <w:szCs w:val="22"/>
        </w:rPr>
        <w:t xml:space="preserve"> (winter (Dec to Feb) precipitation (mm)), rh (mean annual relative humidity (%)), td (difference between MCMT and MWMT, continentality (°C)</w:t>
      </w:r>
      <w:r w:rsidR="00EA60D9">
        <w:rPr>
          <w:sz w:val="22"/>
          <w:szCs w:val="22"/>
        </w:rPr>
        <w:t>).</w:t>
      </w:r>
      <w:bookmarkEnd w:id="72"/>
    </w:p>
    <w:tbl>
      <w:tblPr>
        <w:tblStyle w:val="TableGrid"/>
        <w:tblW w:w="7470" w:type="dxa"/>
        <w:tblInd w:w="578" w:type="dxa"/>
        <w:tblLayout w:type="fixed"/>
        <w:tblCellMar>
          <w:top w:w="14" w:type="dxa"/>
          <w:left w:w="72" w:type="dxa"/>
          <w:bottom w:w="14" w:type="dxa"/>
          <w:right w:w="72" w:type="dxa"/>
        </w:tblCellMar>
        <w:tblLook w:val="04A0" w:firstRow="1" w:lastRow="0" w:firstColumn="1" w:lastColumn="0" w:noHBand="0" w:noVBand="1"/>
      </w:tblPr>
      <w:tblGrid>
        <w:gridCol w:w="1170"/>
        <w:gridCol w:w="630"/>
        <w:gridCol w:w="540"/>
        <w:gridCol w:w="630"/>
        <w:gridCol w:w="540"/>
        <w:gridCol w:w="630"/>
        <w:gridCol w:w="540"/>
        <w:gridCol w:w="810"/>
        <w:gridCol w:w="810"/>
        <w:gridCol w:w="630"/>
        <w:gridCol w:w="540"/>
      </w:tblGrid>
      <w:tr w:rsidR="00177B87" w14:paraId="454953BA" w14:textId="77777777" w:rsidTr="00552C58">
        <w:trPr>
          <w:trHeight w:val="377"/>
        </w:trPr>
        <w:tc>
          <w:tcPr>
            <w:tcW w:w="1170" w:type="dxa"/>
            <w:vMerge w:val="restart"/>
            <w:tcBorders>
              <w:left w:val="single" w:sz="4" w:space="0" w:color="FFFFFF" w:themeColor="background1"/>
              <w:right w:val="single" w:sz="4" w:space="0" w:color="F2F2F2" w:themeColor="background1" w:themeShade="F2"/>
            </w:tcBorders>
            <w:vAlign w:val="center"/>
          </w:tcPr>
          <w:p w14:paraId="5B45BAB4" w14:textId="77777777" w:rsidR="00177B87" w:rsidRPr="00B42808" w:rsidRDefault="00177B87" w:rsidP="003B4AAE">
            <w:pPr>
              <w:pStyle w:val="NormalWeb"/>
              <w:jc w:val="center"/>
              <w:rPr>
                <w:b/>
                <w:bCs/>
                <w:sz w:val="20"/>
                <w:szCs w:val="20"/>
              </w:rPr>
            </w:pPr>
            <w:r w:rsidRPr="00B42808">
              <w:rPr>
                <w:b/>
                <w:bCs/>
                <w:sz w:val="20"/>
                <w:szCs w:val="20"/>
              </w:rPr>
              <w:t>Model Name</w:t>
            </w:r>
          </w:p>
        </w:tc>
        <w:tc>
          <w:tcPr>
            <w:tcW w:w="6300" w:type="dxa"/>
            <w:gridSpan w:val="10"/>
            <w:tcBorders>
              <w:left w:val="single" w:sz="4" w:space="0" w:color="F2F2F2" w:themeColor="background1" w:themeShade="F2"/>
              <w:right w:val="single" w:sz="4" w:space="0" w:color="FFFFFF" w:themeColor="background1"/>
            </w:tcBorders>
            <w:vAlign w:val="center"/>
          </w:tcPr>
          <w:p w14:paraId="1D185F63" w14:textId="77777777" w:rsidR="00177B87" w:rsidRPr="00B42808" w:rsidRDefault="00177B87" w:rsidP="003B4AAE">
            <w:pPr>
              <w:pStyle w:val="NormalWeb"/>
              <w:jc w:val="center"/>
              <w:rPr>
                <w:b/>
                <w:bCs/>
                <w:sz w:val="20"/>
                <w:szCs w:val="20"/>
              </w:rPr>
            </w:pPr>
            <w:r>
              <w:rPr>
                <w:b/>
                <w:bCs/>
                <w:sz w:val="20"/>
                <w:szCs w:val="20"/>
              </w:rPr>
              <w:t>Climatic Variables (</w:t>
            </w:r>
            <w:proofErr w:type="spellStart"/>
            <w:r>
              <w:rPr>
                <w:b/>
                <w:bCs/>
                <w:sz w:val="20"/>
                <w:szCs w:val="20"/>
              </w:rPr>
              <w:t>AdaptWest</w:t>
            </w:r>
            <w:proofErr w:type="spellEnd"/>
            <w:r>
              <w:rPr>
                <w:b/>
                <w:bCs/>
                <w:sz w:val="20"/>
                <w:szCs w:val="20"/>
              </w:rPr>
              <w:t xml:space="preserve"> Project)</w:t>
            </w:r>
          </w:p>
        </w:tc>
      </w:tr>
      <w:tr w:rsidR="00177B87" w14:paraId="7212DDEC" w14:textId="77777777" w:rsidTr="00552C58">
        <w:tc>
          <w:tcPr>
            <w:tcW w:w="1170" w:type="dxa"/>
            <w:vMerge/>
            <w:tcBorders>
              <w:left w:val="single" w:sz="4" w:space="0" w:color="FFFFFF" w:themeColor="background1"/>
              <w:right w:val="single" w:sz="4" w:space="0" w:color="F2F2F2" w:themeColor="background1" w:themeShade="F2"/>
            </w:tcBorders>
            <w:vAlign w:val="center"/>
          </w:tcPr>
          <w:p w14:paraId="291DDDF0" w14:textId="77777777" w:rsidR="00177B87" w:rsidRPr="00B42808" w:rsidRDefault="00177B87" w:rsidP="003B4AAE">
            <w:pPr>
              <w:pStyle w:val="NormalWeb"/>
              <w:jc w:val="center"/>
              <w:rPr>
                <w:b/>
                <w:bCs/>
                <w:sz w:val="20"/>
                <w:szCs w:val="20"/>
              </w:rPr>
            </w:pPr>
          </w:p>
        </w:tc>
        <w:tc>
          <w:tcPr>
            <w:tcW w:w="630" w:type="dxa"/>
            <w:tcBorders>
              <w:left w:val="single" w:sz="4" w:space="0" w:color="F2F2F2" w:themeColor="background1" w:themeShade="F2"/>
              <w:right w:val="single" w:sz="4" w:space="0" w:color="F2F2F2" w:themeColor="background1" w:themeShade="F2"/>
            </w:tcBorders>
            <w:vAlign w:val="center"/>
          </w:tcPr>
          <w:p w14:paraId="79D81215" w14:textId="77777777" w:rsidR="00177B87" w:rsidRPr="00B42808" w:rsidRDefault="00177B87" w:rsidP="003B4AAE">
            <w:pPr>
              <w:pStyle w:val="NormalWeb"/>
              <w:jc w:val="center"/>
              <w:rPr>
                <w:b/>
                <w:bCs/>
                <w:sz w:val="20"/>
                <w:szCs w:val="20"/>
              </w:rPr>
            </w:pPr>
            <w:proofErr w:type="spellStart"/>
            <w:r>
              <w:rPr>
                <w:b/>
                <w:bCs/>
                <w:sz w:val="20"/>
                <w:szCs w:val="20"/>
              </w:rPr>
              <w:t>ahm</w:t>
            </w:r>
            <w:proofErr w:type="spellEnd"/>
          </w:p>
        </w:tc>
        <w:tc>
          <w:tcPr>
            <w:tcW w:w="540" w:type="dxa"/>
            <w:tcBorders>
              <w:left w:val="single" w:sz="4" w:space="0" w:color="F2F2F2" w:themeColor="background1" w:themeShade="F2"/>
              <w:right w:val="single" w:sz="4" w:space="0" w:color="F2F2F2" w:themeColor="background1" w:themeShade="F2"/>
            </w:tcBorders>
            <w:vAlign w:val="center"/>
          </w:tcPr>
          <w:p w14:paraId="713A9DEC" w14:textId="77777777" w:rsidR="00177B87" w:rsidRPr="00B42808" w:rsidRDefault="00177B87" w:rsidP="003B4AAE">
            <w:pPr>
              <w:pStyle w:val="NormalWeb"/>
              <w:jc w:val="center"/>
              <w:rPr>
                <w:b/>
                <w:bCs/>
                <w:sz w:val="20"/>
                <w:szCs w:val="20"/>
              </w:rPr>
            </w:pPr>
            <w:proofErr w:type="spellStart"/>
            <w:r>
              <w:rPr>
                <w:b/>
                <w:bCs/>
                <w:sz w:val="20"/>
                <w:szCs w:val="20"/>
              </w:rPr>
              <w:t>cmd</w:t>
            </w:r>
            <w:proofErr w:type="spellEnd"/>
          </w:p>
        </w:tc>
        <w:tc>
          <w:tcPr>
            <w:tcW w:w="630" w:type="dxa"/>
            <w:tcBorders>
              <w:left w:val="single" w:sz="4" w:space="0" w:color="F2F2F2" w:themeColor="background1" w:themeShade="F2"/>
              <w:right w:val="single" w:sz="4" w:space="0" w:color="F2F2F2" w:themeColor="background1" w:themeShade="F2"/>
            </w:tcBorders>
            <w:vAlign w:val="center"/>
          </w:tcPr>
          <w:p w14:paraId="70C94EF5" w14:textId="77777777" w:rsidR="00177B87" w:rsidRPr="00B42808" w:rsidRDefault="00177B87" w:rsidP="003B4AAE">
            <w:pPr>
              <w:pStyle w:val="NormalWeb"/>
              <w:jc w:val="center"/>
              <w:rPr>
                <w:b/>
                <w:bCs/>
                <w:sz w:val="20"/>
                <w:szCs w:val="20"/>
              </w:rPr>
            </w:pPr>
            <w:r>
              <w:rPr>
                <w:b/>
                <w:bCs/>
                <w:sz w:val="20"/>
                <w:szCs w:val="20"/>
              </w:rPr>
              <w:t>dd_0</w:t>
            </w:r>
          </w:p>
        </w:tc>
        <w:tc>
          <w:tcPr>
            <w:tcW w:w="540" w:type="dxa"/>
            <w:tcBorders>
              <w:left w:val="single" w:sz="4" w:space="0" w:color="F2F2F2" w:themeColor="background1" w:themeShade="F2"/>
              <w:right w:val="single" w:sz="4" w:space="0" w:color="F2F2F2" w:themeColor="background1" w:themeShade="F2"/>
            </w:tcBorders>
            <w:vAlign w:val="center"/>
          </w:tcPr>
          <w:p w14:paraId="75E70051" w14:textId="77777777" w:rsidR="00177B87" w:rsidRPr="00B42808" w:rsidRDefault="00177B87" w:rsidP="003B4AAE">
            <w:pPr>
              <w:pStyle w:val="NormalWeb"/>
              <w:jc w:val="center"/>
              <w:rPr>
                <w:b/>
                <w:bCs/>
                <w:sz w:val="20"/>
                <w:szCs w:val="20"/>
              </w:rPr>
            </w:pPr>
            <w:r>
              <w:rPr>
                <w:b/>
                <w:bCs/>
                <w:sz w:val="20"/>
                <w:szCs w:val="20"/>
              </w:rPr>
              <w:t>mar</w:t>
            </w:r>
          </w:p>
        </w:tc>
        <w:tc>
          <w:tcPr>
            <w:tcW w:w="630" w:type="dxa"/>
            <w:tcBorders>
              <w:left w:val="single" w:sz="4" w:space="0" w:color="F2F2F2" w:themeColor="background1" w:themeShade="F2"/>
              <w:right w:val="single" w:sz="4" w:space="0" w:color="F2F2F2" w:themeColor="background1" w:themeShade="F2"/>
            </w:tcBorders>
            <w:vAlign w:val="center"/>
          </w:tcPr>
          <w:p w14:paraId="3A04123F" w14:textId="77777777" w:rsidR="00177B87" w:rsidRPr="00B42808" w:rsidRDefault="00177B87" w:rsidP="003B4AAE">
            <w:pPr>
              <w:pStyle w:val="NormalWeb"/>
              <w:jc w:val="center"/>
              <w:rPr>
                <w:b/>
                <w:bCs/>
                <w:sz w:val="20"/>
                <w:szCs w:val="20"/>
              </w:rPr>
            </w:pPr>
            <w:proofErr w:type="spellStart"/>
            <w:r>
              <w:rPr>
                <w:b/>
                <w:bCs/>
                <w:sz w:val="20"/>
                <w:szCs w:val="20"/>
              </w:rPr>
              <w:t>nnfd</w:t>
            </w:r>
            <w:proofErr w:type="spellEnd"/>
          </w:p>
        </w:tc>
        <w:tc>
          <w:tcPr>
            <w:tcW w:w="540" w:type="dxa"/>
            <w:tcBorders>
              <w:left w:val="single" w:sz="4" w:space="0" w:color="F2F2F2" w:themeColor="background1" w:themeShade="F2"/>
              <w:right w:val="single" w:sz="4" w:space="0" w:color="FFFFFF" w:themeColor="background1"/>
            </w:tcBorders>
            <w:vAlign w:val="center"/>
          </w:tcPr>
          <w:p w14:paraId="493CC73D" w14:textId="77777777" w:rsidR="00177B87" w:rsidRPr="00B42808" w:rsidRDefault="00177B87" w:rsidP="003B4AAE">
            <w:pPr>
              <w:pStyle w:val="NormalWeb"/>
              <w:jc w:val="center"/>
              <w:rPr>
                <w:b/>
                <w:bCs/>
                <w:sz w:val="20"/>
                <w:szCs w:val="20"/>
              </w:rPr>
            </w:pPr>
            <w:r>
              <w:rPr>
                <w:b/>
                <w:bCs/>
                <w:sz w:val="20"/>
                <w:szCs w:val="20"/>
              </w:rPr>
              <w:t>pas</w:t>
            </w:r>
          </w:p>
        </w:tc>
        <w:tc>
          <w:tcPr>
            <w:tcW w:w="810" w:type="dxa"/>
            <w:tcBorders>
              <w:left w:val="single" w:sz="4" w:space="0" w:color="F2F2F2" w:themeColor="background1" w:themeShade="F2"/>
              <w:right w:val="single" w:sz="4" w:space="0" w:color="F2F2F2" w:themeColor="background1" w:themeShade="F2"/>
            </w:tcBorders>
            <w:vAlign w:val="center"/>
          </w:tcPr>
          <w:p w14:paraId="3BB44C85" w14:textId="77777777" w:rsidR="00177B87" w:rsidRDefault="00177B87" w:rsidP="003B4AAE">
            <w:pPr>
              <w:pStyle w:val="NormalWeb"/>
              <w:jc w:val="center"/>
              <w:rPr>
                <w:b/>
                <w:bCs/>
                <w:sz w:val="20"/>
                <w:szCs w:val="20"/>
              </w:rPr>
            </w:pPr>
            <w:proofErr w:type="spellStart"/>
            <w:r>
              <w:rPr>
                <w:b/>
                <w:bCs/>
                <w:sz w:val="20"/>
                <w:szCs w:val="20"/>
              </w:rPr>
              <w:t>ppt_sm</w:t>
            </w:r>
            <w:proofErr w:type="spellEnd"/>
          </w:p>
        </w:tc>
        <w:tc>
          <w:tcPr>
            <w:tcW w:w="810" w:type="dxa"/>
            <w:tcBorders>
              <w:left w:val="single" w:sz="4" w:space="0" w:color="F2F2F2" w:themeColor="background1" w:themeShade="F2"/>
              <w:right w:val="single" w:sz="4" w:space="0" w:color="F2F2F2" w:themeColor="background1" w:themeShade="F2"/>
            </w:tcBorders>
            <w:vAlign w:val="center"/>
          </w:tcPr>
          <w:p w14:paraId="0EE87099" w14:textId="77777777" w:rsidR="00177B87" w:rsidRDefault="00177B87" w:rsidP="003B4AAE">
            <w:pPr>
              <w:pStyle w:val="NormalWeb"/>
              <w:jc w:val="center"/>
              <w:rPr>
                <w:b/>
                <w:bCs/>
                <w:sz w:val="20"/>
                <w:szCs w:val="20"/>
              </w:rPr>
            </w:pPr>
            <w:proofErr w:type="spellStart"/>
            <w:r>
              <w:rPr>
                <w:b/>
                <w:bCs/>
                <w:sz w:val="20"/>
                <w:szCs w:val="20"/>
              </w:rPr>
              <w:t>ppt_wt</w:t>
            </w:r>
            <w:proofErr w:type="spellEnd"/>
          </w:p>
        </w:tc>
        <w:tc>
          <w:tcPr>
            <w:tcW w:w="630" w:type="dxa"/>
            <w:tcBorders>
              <w:left w:val="single" w:sz="4" w:space="0" w:color="F2F2F2" w:themeColor="background1" w:themeShade="F2"/>
              <w:right w:val="single" w:sz="4" w:space="0" w:color="FFFFFF" w:themeColor="background1"/>
            </w:tcBorders>
            <w:vAlign w:val="center"/>
          </w:tcPr>
          <w:p w14:paraId="06344EBD" w14:textId="77777777" w:rsidR="00177B87" w:rsidRDefault="00177B87" w:rsidP="003B4AAE">
            <w:pPr>
              <w:pStyle w:val="NormalWeb"/>
              <w:jc w:val="center"/>
              <w:rPr>
                <w:b/>
                <w:bCs/>
                <w:sz w:val="20"/>
                <w:szCs w:val="20"/>
              </w:rPr>
            </w:pPr>
            <w:r>
              <w:rPr>
                <w:b/>
                <w:bCs/>
                <w:sz w:val="20"/>
                <w:szCs w:val="20"/>
              </w:rPr>
              <w:t>rh</w:t>
            </w:r>
          </w:p>
        </w:tc>
        <w:tc>
          <w:tcPr>
            <w:tcW w:w="540" w:type="dxa"/>
            <w:tcBorders>
              <w:left w:val="single" w:sz="4" w:space="0" w:color="F2F2F2" w:themeColor="background1" w:themeShade="F2"/>
              <w:right w:val="single" w:sz="4" w:space="0" w:color="FFFFFF" w:themeColor="background1"/>
            </w:tcBorders>
            <w:vAlign w:val="center"/>
          </w:tcPr>
          <w:p w14:paraId="1FBD6222" w14:textId="77777777" w:rsidR="00177B87" w:rsidRDefault="00177B87" w:rsidP="003B4AAE">
            <w:pPr>
              <w:pStyle w:val="NormalWeb"/>
              <w:jc w:val="center"/>
              <w:rPr>
                <w:b/>
                <w:bCs/>
                <w:sz w:val="20"/>
                <w:szCs w:val="20"/>
              </w:rPr>
            </w:pPr>
            <w:r>
              <w:rPr>
                <w:b/>
                <w:bCs/>
                <w:sz w:val="20"/>
                <w:szCs w:val="20"/>
              </w:rPr>
              <w:t>td</w:t>
            </w:r>
          </w:p>
        </w:tc>
      </w:tr>
      <w:tr w:rsidR="00177B87" w14:paraId="770FE44F" w14:textId="77777777" w:rsidTr="00552C58">
        <w:tc>
          <w:tcPr>
            <w:tcW w:w="1170" w:type="dxa"/>
            <w:tcBorders>
              <w:left w:val="single" w:sz="4" w:space="0" w:color="FFFFFF" w:themeColor="background1"/>
              <w:bottom w:val="single" w:sz="4" w:space="0" w:color="F2F2F2" w:themeColor="background1" w:themeShade="F2"/>
              <w:right w:val="single" w:sz="4" w:space="0" w:color="F2F2F2" w:themeColor="background1" w:themeShade="F2"/>
            </w:tcBorders>
            <w:vAlign w:val="center"/>
          </w:tcPr>
          <w:p w14:paraId="58D88F85" w14:textId="1A14F915" w:rsidR="00177B87" w:rsidRPr="00B42808" w:rsidRDefault="00177B87" w:rsidP="003B4AAE">
            <w:pPr>
              <w:pStyle w:val="NormalWeb"/>
              <w:jc w:val="center"/>
              <w:rPr>
                <w:sz w:val="20"/>
                <w:szCs w:val="20"/>
              </w:rPr>
            </w:pPr>
            <w:r w:rsidRPr="00B42808">
              <w:rPr>
                <w:sz w:val="20"/>
                <w:szCs w:val="20"/>
              </w:rPr>
              <w:t>SR</w:t>
            </w:r>
            <w:r>
              <w:rPr>
                <w:sz w:val="20"/>
                <w:szCs w:val="20"/>
              </w:rPr>
              <w:t>-CO</w:t>
            </w:r>
          </w:p>
        </w:tc>
        <w:tc>
          <w:tcPr>
            <w:tcW w:w="63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706CF64" w14:textId="77777777" w:rsidR="00177B87" w:rsidRPr="00B42808" w:rsidRDefault="00177B87" w:rsidP="003B4AAE">
            <w:pPr>
              <w:pStyle w:val="NormalWeb"/>
              <w:jc w:val="center"/>
              <w:rPr>
                <w:sz w:val="20"/>
                <w:szCs w:val="20"/>
              </w:rPr>
            </w:pPr>
            <w:r>
              <w:rPr>
                <w:sz w:val="20"/>
                <w:szCs w:val="20"/>
              </w:rPr>
              <w:t>1.9</w:t>
            </w:r>
          </w:p>
        </w:tc>
        <w:tc>
          <w:tcPr>
            <w:tcW w:w="54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B4EDC49" w14:textId="77777777" w:rsidR="00177B87" w:rsidRPr="00B42808" w:rsidRDefault="00177B87" w:rsidP="003B4AAE">
            <w:pPr>
              <w:pStyle w:val="NormalWeb"/>
              <w:jc w:val="center"/>
              <w:rPr>
                <w:sz w:val="20"/>
                <w:szCs w:val="20"/>
              </w:rPr>
            </w:pPr>
            <w:r>
              <w:rPr>
                <w:sz w:val="20"/>
                <w:szCs w:val="20"/>
              </w:rPr>
              <w:t>14.8</w:t>
            </w:r>
          </w:p>
        </w:tc>
        <w:tc>
          <w:tcPr>
            <w:tcW w:w="63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B65B5C3" w14:textId="77777777" w:rsidR="00177B87" w:rsidRPr="00B42808" w:rsidRDefault="00177B87" w:rsidP="003B4AAE">
            <w:pPr>
              <w:pStyle w:val="NormalWeb"/>
              <w:jc w:val="center"/>
              <w:rPr>
                <w:sz w:val="20"/>
                <w:szCs w:val="20"/>
              </w:rPr>
            </w:pPr>
          </w:p>
        </w:tc>
        <w:tc>
          <w:tcPr>
            <w:tcW w:w="54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57FABA21" w14:textId="77777777" w:rsidR="00177B87" w:rsidRPr="00B42808" w:rsidRDefault="00177B87" w:rsidP="003B4AAE">
            <w:pPr>
              <w:pStyle w:val="NormalWeb"/>
              <w:jc w:val="center"/>
              <w:rPr>
                <w:sz w:val="20"/>
                <w:szCs w:val="20"/>
              </w:rPr>
            </w:pPr>
          </w:p>
        </w:tc>
        <w:tc>
          <w:tcPr>
            <w:tcW w:w="63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8C357FC" w14:textId="77777777" w:rsidR="00177B87" w:rsidRPr="00B42808" w:rsidRDefault="00177B87" w:rsidP="003B4AAE">
            <w:pPr>
              <w:pStyle w:val="NormalWeb"/>
              <w:jc w:val="center"/>
              <w:rPr>
                <w:sz w:val="20"/>
                <w:szCs w:val="20"/>
              </w:rPr>
            </w:pPr>
          </w:p>
        </w:tc>
        <w:tc>
          <w:tcPr>
            <w:tcW w:w="540" w:type="dxa"/>
            <w:tcBorders>
              <w:left w:val="single" w:sz="4" w:space="0" w:color="F2F2F2" w:themeColor="background1" w:themeShade="F2"/>
              <w:bottom w:val="single" w:sz="4" w:space="0" w:color="F2F2F2" w:themeColor="background1" w:themeShade="F2"/>
              <w:right w:val="single" w:sz="4" w:space="0" w:color="FFFFFF" w:themeColor="background1"/>
            </w:tcBorders>
            <w:vAlign w:val="center"/>
          </w:tcPr>
          <w:p w14:paraId="091329C7" w14:textId="77777777" w:rsidR="00177B87" w:rsidRPr="00B42808" w:rsidRDefault="00177B87" w:rsidP="003B4AAE">
            <w:pPr>
              <w:pStyle w:val="NormalWeb"/>
              <w:jc w:val="center"/>
              <w:rPr>
                <w:sz w:val="20"/>
                <w:szCs w:val="20"/>
              </w:rPr>
            </w:pPr>
          </w:p>
        </w:tc>
        <w:tc>
          <w:tcPr>
            <w:tcW w:w="81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F3678DB" w14:textId="77777777" w:rsidR="00177B87" w:rsidRPr="00B42808" w:rsidRDefault="00177B87" w:rsidP="003B4AAE">
            <w:pPr>
              <w:pStyle w:val="NormalWeb"/>
              <w:jc w:val="center"/>
              <w:rPr>
                <w:sz w:val="20"/>
                <w:szCs w:val="20"/>
              </w:rPr>
            </w:pPr>
          </w:p>
        </w:tc>
        <w:tc>
          <w:tcPr>
            <w:tcW w:w="810" w:type="dxa"/>
            <w:tcBorders>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7C740ED" w14:textId="77777777" w:rsidR="00177B87" w:rsidRPr="00B42808" w:rsidRDefault="00177B87" w:rsidP="003B4AAE">
            <w:pPr>
              <w:pStyle w:val="NormalWeb"/>
              <w:jc w:val="center"/>
              <w:rPr>
                <w:sz w:val="20"/>
                <w:szCs w:val="20"/>
              </w:rPr>
            </w:pPr>
          </w:p>
        </w:tc>
        <w:tc>
          <w:tcPr>
            <w:tcW w:w="630" w:type="dxa"/>
            <w:tcBorders>
              <w:left w:val="single" w:sz="4" w:space="0" w:color="F2F2F2" w:themeColor="background1" w:themeShade="F2"/>
              <w:bottom w:val="single" w:sz="4" w:space="0" w:color="F2F2F2" w:themeColor="background1" w:themeShade="F2"/>
              <w:right w:val="single" w:sz="4" w:space="0" w:color="FFFFFF" w:themeColor="background1"/>
            </w:tcBorders>
            <w:vAlign w:val="center"/>
          </w:tcPr>
          <w:p w14:paraId="221295FF" w14:textId="77777777" w:rsidR="00177B87" w:rsidRPr="00B42808" w:rsidRDefault="00177B87" w:rsidP="003B4AAE">
            <w:pPr>
              <w:pStyle w:val="NormalWeb"/>
              <w:jc w:val="center"/>
              <w:rPr>
                <w:sz w:val="20"/>
                <w:szCs w:val="20"/>
              </w:rPr>
            </w:pPr>
          </w:p>
        </w:tc>
        <w:tc>
          <w:tcPr>
            <w:tcW w:w="540" w:type="dxa"/>
            <w:tcBorders>
              <w:left w:val="single" w:sz="4" w:space="0" w:color="F2F2F2" w:themeColor="background1" w:themeShade="F2"/>
              <w:bottom w:val="single" w:sz="4" w:space="0" w:color="F2F2F2" w:themeColor="background1" w:themeShade="F2"/>
              <w:right w:val="single" w:sz="4" w:space="0" w:color="FFFFFF" w:themeColor="background1"/>
            </w:tcBorders>
            <w:vAlign w:val="center"/>
          </w:tcPr>
          <w:p w14:paraId="3E111F91" w14:textId="77777777" w:rsidR="00177B87" w:rsidRPr="00B42808" w:rsidRDefault="00177B87" w:rsidP="003B4AAE">
            <w:pPr>
              <w:pStyle w:val="NormalWeb"/>
              <w:jc w:val="center"/>
              <w:rPr>
                <w:sz w:val="20"/>
                <w:szCs w:val="20"/>
              </w:rPr>
            </w:pPr>
            <w:r>
              <w:rPr>
                <w:sz w:val="20"/>
                <w:szCs w:val="20"/>
              </w:rPr>
              <w:t>12.4</w:t>
            </w:r>
          </w:p>
        </w:tc>
      </w:tr>
      <w:tr w:rsidR="00177B87" w14:paraId="6AE4A5D5" w14:textId="77777777" w:rsidTr="00552C58">
        <w:tc>
          <w:tcPr>
            <w:tcW w:w="1170"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37B6983F" w14:textId="08ED611F" w:rsidR="00177B87" w:rsidRPr="00B42808" w:rsidRDefault="00177B87" w:rsidP="003B4AAE">
            <w:pPr>
              <w:pStyle w:val="NormalWeb"/>
              <w:jc w:val="center"/>
              <w:rPr>
                <w:sz w:val="20"/>
                <w:szCs w:val="20"/>
              </w:rPr>
            </w:pPr>
            <w:r w:rsidRPr="00B42808">
              <w:rPr>
                <w:sz w:val="20"/>
                <w:szCs w:val="20"/>
              </w:rPr>
              <w:t>P1-RW</w:t>
            </w:r>
            <w:r>
              <w:rPr>
                <w:sz w:val="20"/>
                <w:szCs w:val="20"/>
              </w:rPr>
              <w:t>-CO</w:t>
            </w: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2FB71F0" w14:textId="77777777" w:rsidR="00177B87" w:rsidRPr="00B42808" w:rsidRDefault="00177B87" w:rsidP="003B4AAE">
            <w:pPr>
              <w:pStyle w:val="NormalWeb"/>
              <w:jc w:val="center"/>
              <w:rPr>
                <w:sz w:val="20"/>
                <w:szCs w:val="20"/>
              </w:rPr>
            </w:pPr>
            <w:r>
              <w:rPr>
                <w:sz w:val="20"/>
                <w:szCs w:val="20"/>
              </w:rPr>
              <w:t>41.6</w:t>
            </w: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34F0836" w14:textId="77777777" w:rsidR="00177B87" w:rsidRPr="00B42808" w:rsidRDefault="00177B87" w:rsidP="003B4AAE">
            <w:pPr>
              <w:pStyle w:val="NormalWeb"/>
              <w:jc w:val="center"/>
              <w:rPr>
                <w:sz w:val="20"/>
                <w:szCs w:val="20"/>
              </w:rPr>
            </w:pPr>
            <w:r>
              <w:rPr>
                <w:sz w:val="20"/>
                <w:szCs w:val="20"/>
              </w:rPr>
              <w:t>1.4</w:t>
            </w: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9FADB8D" w14:textId="77777777" w:rsidR="00177B87" w:rsidRPr="00B42808" w:rsidRDefault="00177B87" w:rsidP="003B4AAE">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7C5AB8E" w14:textId="77777777" w:rsidR="00177B87" w:rsidRPr="00B42808" w:rsidRDefault="00177B87" w:rsidP="003B4AAE">
            <w:pPr>
              <w:pStyle w:val="NormalWeb"/>
              <w:jc w:val="center"/>
              <w:rPr>
                <w:sz w:val="20"/>
                <w:szCs w:val="20"/>
              </w:rPr>
            </w:pP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5533FD3" w14:textId="77777777" w:rsidR="00177B87" w:rsidRPr="00B42808" w:rsidRDefault="00177B87" w:rsidP="003B4AAE">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45C4684E" w14:textId="77777777" w:rsidR="00177B87" w:rsidRPr="00B42808" w:rsidRDefault="00177B87" w:rsidP="003B4AAE">
            <w:pPr>
              <w:pStyle w:val="NormalWeb"/>
              <w:jc w:val="center"/>
              <w:rPr>
                <w:sz w:val="20"/>
                <w:szCs w:val="20"/>
              </w:rPr>
            </w:pPr>
          </w:p>
        </w:tc>
        <w:tc>
          <w:tcPr>
            <w:tcW w:w="8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AE24C55" w14:textId="77777777" w:rsidR="00177B87" w:rsidRPr="00B42808" w:rsidRDefault="00177B87" w:rsidP="003B4AAE">
            <w:pPr>
              <w:pStyle w:val="NormalWeb"/>
              <w:jc w:val="center"/>
              <w:rPr>
                <w:sz w:val="20"/>
                <w:szCs w:val="20"/>
              </w:rPr>
            </w:pPr>
          </w:p>
        </w:tc>
        <w:tc>
          <w:tcPr>
            <w:tcW w:w="8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697241B" w14:textId="77777777" w:rsidR="00177B87" w:rsidRPr="00B42808" w:rsidRDefault="00177B87" w:rsidP="003B4AAE">
            <w:pPr>
              <w:pStyle w:val="NormalWeb"/>
              <w:jc w:val="center"/>
              <w:rPr>
                <w:sz w:val="20"/>
                <w:szCs w:val="20"/>
              </w:rPr>
            </w:pP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1F5107BD" w14:textId="77777777" w:rsidR="00177B87" w:rsidRPr="00B42808" w:rsidRDefault="00177B87" w:rsidP="003B4AAE">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02A28EBE" w14:textId="77777777" w:rsidR="00177B87" w:rsidRPr="00B42808" w:rsidRDefault="00177B87" w:rsidP="003B4AAE">
            <w:pPr>
              <w:pStyle w:val="NormalWeb"/>
              <w:jc w:val="center"/>
              <w:rPr>
                <w:sz w:val="20"/>
                <w:szCs w:val="20"/>
              </w:rPr>
            </w:pPr>
            <w:r>
              <w:rPr>
                <w:sz w:val="20"/>
                <w:szCs w:val="20"/>
              </w:rPr>
              <w:t>0.8</w:t>
            </w:r>
          </w:p>
        </w:tc>
      </w:tr>
      <w:tr w:rsidR="00177B87" w14:paraId="6416C74E" w14:textId="77777777" w:rsidTr="00552C58">
        <w:tc>
          <w:tcPr>
            <w:tcW w:w="1170"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60BACDF8" w14:textId="0C02A889" w:rsidR="00177B87" w:rsidRPr="00B42808" w:rsidRDefault="00177B87" w:rsidP="003B4AAE">
            <w:pPr>
              <w:pStyle w:val="NormalWeb"/>
              <w:jc w:val="center"/>
              <w:rPr>
                <w:sz w:val="20"/>
                <w:szCs w:val="20"/>
              </w:rPr>
            </w:pPr>
            <w:r w:rsidRPr="00B42808">
              <w:rPr>
                <w:sz w:val="20"/>
                <w:szCs w:val="20"/>
              </w:rPr>
              <w:t>P1-P1</w:t>
            </w:r>
            <w:r>
              <w:rPr>
                <w:sz w:val="20"/>
                <w:szCs w:val="20"/>
              </w:rPr>
              <w:t>-CO</w:t>
            </w: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97C8B04" w14:textId="77777777" w:rsidR="00177B87" w:rsidRPr="00B42808" w:rsidRDefault="00177B87" w:rsidP="003B4AAE">
            <w:pPr>
              <w:pStyle w:val="NormalWeb"/>
              <w:jc w:val="center"/>
              <w:rPr>
                <w:sz w:val="20"/>
                <w:szCs w:val="20"/>
              </w:rPr>
            </w:pPr>
            <w:r>
              <w:rPr>
                <w:sz w:val="20"/>
                <w:szCs w:val="20"/>
              </w:rPr>
              <w:t>19.8</w:t>
            </w: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9EE162F" w14:textId="77777777" w:rsidR="00177B87" w:rsidRPr="00B42808" w:rsidRDefault="00177B87" w:rsidP="003B4AAE">
            <w:pPr>
              <w:pStyle w:val="NormalWeb"/>
              <w:jc w:val="center"/>
              <w:rPr>
                <w:sz w:val="20"/>
                <w:szCs w:val="20"/>
              </w:rPr>
            </w:pP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DD5DB1E" w14:textId="77777777" w:rsidR="00177B87" w:rsidRPr="00B42808" w:rsidRDefault="00177B87" w:rsidP="003B4AAE">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0440A22" w14:textId="77777777" w:rsidR="00177B87" w:rsidRPr="00B42808" w:rsidRDefault="00177B87" w:rsidP="003B4AAE">
            <w:pPr>
              <w:pStyle w:val="NormalWeb"/>
              <w:jc w:val="center"/>
              <w:rPr>
                <w:sz w:val="20"/>
                <w:szCs w:val="20"/>
              </w:rPr>
            </w:pP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D457420" w14:textId="77777777" w:rsidR="00177B87" w:rsidRPr="00B42808" w:rsidRDefault="00177B87" w:rsidP="003B4AAE">
            <w:pPr>
              <w:pStyle w:val="NormalWeb"/>
              <w:jc w:val="center"/>
              <w:rPr>
                <w:sz w:val="20"/>
                <w:szCs w:val="20"/>
              </w:rPr>
            </w:pPr>
            <w:r>
              <w:rPr>
                <w:sz w:val="20"/>
                <w:szCs w:val="20"/>
              </w:rPr>
              <w:t>26.5</w:t>
            </w: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0C84A4D4" w14:textId="77777777" w:rsidR="00177B87" w:rsidRPr="00B42808" w:rsidRDefault="00177B87" w:rsidP="003B4AAE">
            <w:pPr>
              <w:pStyle w:val="NormalWeb"/>
              <w:jc w:val="center"/>
              <w:rPr>
                <w:sz w:val="20"/>
                <w:szCs w:val="20"/>
              </w:rPr>
            </w:pPr>
          </w:p>
        </w:tc>
        <w:tc>
          <w:tcPr>
            <w:tcW w:w="8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57B40B24" w14:textId="77777777" w:rsidR="00177B87" w:rsidRPr="00B42808" w:rsidRDefault="00177B87" w:rsidP="003B4AAE">
            <w:pPr>
              <w:pStyle w:val="NormalWeb"/>
              <w:jc w:val="center"/>
              <w:rPr>
                <w:sz w:val="20"/>
                <w:szCs w:val="20"/>
              </w:rPr>
            </w:pPr>
          </w:p>
        </w:tc>
        <w:tc>
          <w:tcPr>
            <w:tcW w:w="8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11C51C6" w14:textId="77777777" w:rsidR="00177B87" w:rsidRPr="00B42808" w:rsidRDefault="00177B87" w:rsidP="003B4AAE">
            <w:pPr>
              <w:pStyle w:val="NormalWeb"/>
              <w:jc w:val="center"/>
              <w:rPr>
                <w:sz w:val="20"/>
                <w:szCs w:val="20"/>
              </w:rPr>
            </w:pP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2679EFC6" w14:textId="77777777" w:rsidR="00177B87" w:rsidRPr="00B42808" w:rsidRDefault="00177B87" w:rsidP="003B4AAE">
            <w:pPr>
              <w:pStyle w:val="NormalWeb"/>
              <w:jc w:val="center"/>
              <w:rPr>
                <w:sz w:val="20"/>
                <w:szCs w:val="20"/>
              </w:rPr>
            </w:pPr>
            <w:r>
              <w:rPr>
                <w:sz w:val="20"/>
                <w:szCs w:val="20"/>
              </w:rPr>
              <w:t>20.9</w:t>
            </w: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2EF0466A" w14:textId="77777777" w:rsidR="00177B87" w:rsidRPr="00B42808" w:rsidRDefault="00177B87" w:rsidP="003B4AAE">
            <w:pPr>
              <w:pStyle w:val="NormalWeb"/>
              <w:jc w:val="center"/>
              <w:rPr>
                <w:sz w:val="20"/>
                <w:szCs w:val="20"/>
              </w:rPr>
            </w:pPr>
          </w:p>
        </w:tc>
      </w:tr>
      <w:tr w:rsidR="00177B87" w14:paraId="48879AA0" w14:textId="77777777" w:rsidTr="00552C58">
        <w:tc>
          <w:tcPr>
            <w:tcW w:w="1170"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58E8DDA4" w14:textId="5D083A2D" w:rsidR="00177B87" w:rsidRPr="00B42808" w:rsidRDefault="00177B87" w:rsidP="003B4AAE">
            <w:pPr>
              <w:pStyle w:val="NormalWeb"/>
              <w:jc w:val="center"/>
              <w:rPr>
                <w:sz w:val="20"/>
                <w:szCs w:val="20"/>
              </w:rPr>
            </w:pPr>
            <w:r w:rsidRPr="00B42808">
              <w:rPr>
                <w:sz w:val="20"/>
                <w:szCs w:val="20"/>
              </w:rPr>
              <w:t>P2-RW</w:t>
            </w:r>
            <w:r>
              <w:rPr>
                <w:sz w:val="20"/>
                <w:szCs w:val="20"/>
              </w:rPr>
              <w:t>-CO</w:t>
            </w: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88BC267" w14:textId="77777777" w:rsidR="00177B87" w:rsidRPr="00B42808" w:rsidRDefault="00177B87" w:rsidP="003B4AAE">
            <w:pPr>
              <w:pStyle w:val="NormalWeb"/>
              <w:jc w:val="center"/>
              <w:rPr>
                <w:sz w:val="20"/>
                <w:szCs w:val="20"/>
              </w:rPr>
            </w:pPr>
            <w:r>
              <w:rPr>
                <w:sz w:val="20"/>
                <w:szCs w:val="20"/>
              </w:rPr>
              <w:t>0.9</w:t>
            </w: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4ADE3DA" w14:textId="77777777" w:rsidR="00177B87" w:rsidRPr="00B42808" w:rsidRDefault="00177B87" w:rsidP="003B4AAE">
            <w:pPr>
              <w:pStyle w:val="NormalWeb"/>
              <w:jc w:val="center"/>
              <w:rPr>
                <w:sz w:val="20"/>
                <w:szCs w:val="20"/>
              </w:rPr>
            </w:pPr>
            <w:r>
              <w:rPr>
                <w:sz w:val="20"/>
                <w:szCs w:val="20"/>
              </w:rPr>
              <w:t>22.4</w:t>
            </w: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3E0AF48B" w14:textId="77777777" w:rsidR="00177B87" w:rsidRPr="00B42808" w:rsidRDefault="00177B87" w:rsidP="003B4AAE">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55443E0" w14:textId="77777777" w:rsidR="00177B87" w:rsidRPr="00B42808" w:rsidRDefault="00177B87" w:rsidP="003B4AAE">
            <w:pPr>
              <w:pStyle w:val="NormalWeb"/>
              <w:jc w:val="center"/>
              <w:rPr>
                <w:sz w:val="20"/>
                <w:szCs w:val="20"/>
              </w:rPr>
            </w:pP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4CBCB7E0" w14:textId="77777777" w:rsidR="00177B87" w:rsidRPr="00B42808" w:rsidRDefault="00177B87" w:rsidP="003B4AAE">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7EE6DB7F" w14:textId="77777777" w:rsidR="00177B87" w:rsidRPr="00B42808" w:rsidRDefault="00177B87" w:rsidP="003B4AAE">
            <w:pPr>
              <w:pStyle w:val="NormalWeb"/>
              <w:jc w:val="center"/>
              <w:rPr>
                <w:sz w:val="20"/>
                <w:szCs w:val="20"/>
              </w:rPr>
            </w:pPr>
          </w:p>
        </w:tc>
        <w:tc>
          <w:tcPr>
            <w:tcW w:w="8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97F9025" w14:textId="77777777" w:rsidR="00177B87" w:rsidRPr="00B42808" w:rsidRDefault="00177B87" w:rsidP="003B4AAE">
            <w:pPr>
              <w:pStyle w:val="NormalWeb"/>
              <w:jc w:val="center"/>
              <w:rPr>
                <w:sz w:val="20"/>
                <w:szCs w:val="20"/>
              </w:rPr>
            </w:pPr>
          </w:p>
        </w:tc>
        <w:tc>
          <w:tcPr>
            <w:tcW w:w="8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DC9C2C5" w14:textId="77777777" w:rsidR="00177B87" w:rsidRPr="00B42808" w:rsidRDefault="00177B87" w:rsidP="003B4AAE">
            <w:pPr>
              <w:pStyle w:val="NormalWeb"/>
              <w:jc w:val="center"/>
              <w:rPr>
                <w:sz w:val="20"/>
                <w:szCs w:val="20"/>
              </w:rPr>
            </w:pP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3041C5A0" w14:textId="77777777" w:rsidR="00177B87" w:rsidRPr="00B42808" w:rsidRDefault="00177B87" w:rsidP="003B4AAE">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66475E98" w14:textId="77777777" w:rsidR="00177B87" w:rsidRPr="00B42808" w:rsidRDefault="00177B87" w:rsidP="003B4AAE">
            <w:pPr>
              <w:pStyle w:val="NormalWeb"/>
              <w:jc w:val="center"/>
              <w:rPr>
                <w:sz w:val="20"/>
                <w:szCs w:val="20"/>
              </w:rPr>
            </w:pPr>
            <w:r>
              <w:rPr>
                <w:sz w:val="20"/>
                <w:szCs w:val="20"/>
              </w:rPr>
              <w:t>2.6</w:t>
            </w:r>
          </w:p>
        </w:tc>
      </w:tr>
      <w:tr w:rsidR="00177B87" w14:paraId="1966799A" w14:textId="77777777" w:rsidTr="00552C58">
        <w:tc>
          <w:tcPr>
            <w:tcW w:w="1170"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1543C73E" w14:textId="1FACC936" w:rsidR="00177B87" w:rsidRPr="00B42808" w:rsidRDefault="00177B87" w:rsidP="003B4AAE">
            <w:pPr>
              <w:pStyle w:val="NormalWeb"/>
              <w:jc w:val="center"/>
              <w:rPr>
                <w:sz w:val="20"/>
                <w:szCs w:val="20"/>
              </w:rPr>
            </w:pPr>
            <w:r w:rsidRPr="00B42808">
              <w:rPr>
                <w:sz w:val="20"/>
                <w:szCs w:val="20"/>
              </w:rPr>
              <w:t>P2-P2</w:t>
            </w:r>
            <w:r>
              <w:rPr>
                <w:sz w:val="20"/>
                <w:szCs w:val="20"/>
              </w:rPr>
              <w:t>-CO</w:t>
            </w: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43F4434" w14:textId="77777777" w:rsidR="00177B87" w:rsidRPr="00B42808" w:rsidRDefault="00177B87" w:rsidP="003B4AAE">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A285EF2" w14:textId="77777777" w:rsidR="00177B87" w:rsidRPr="00B42808" w:rsidRDefault="00177B87" w:rsidP="003B4AAE">
            <w:pPr>
              <w:pStyle w:val="NormalWeb"/>
              <w:jc w:val="center"/>
              <w:rPr>
                <w:sz w:val="20"/>
                <w:szCs w:val="20"/>
              </w:rPr>
            </w:pP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9CF64E0" w14:textId="77777777" w:rsidR="00177B87" w:rsidRPr="00B42808" w:rsidRDefault="00177B87" w:rsidP="003B4AAE">
            <w:pPr>
              <w:pStyle w:val="NormalWeb"/>
              <w:jc w:val="center"/>
              <w:rPr>
                <w:sz w:val="20"/>
                <w:szCs w:val="20"/>
              </w:rPr>
            </w:pPr>
            <w:r>
              <w:rPr>
                <w:sz w:val="20"/>
                <w:szCs w:val="20"/>
              </w:rPr>
              <w:t>4.5</w:t>
            </w: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45D9BA0" w14:textId="77777777" w:rsidR="00177B87" w:rsidRPr="00B42808" w:rsidRDefault="00177B87" w:rsidP="003B4AAE">
            <w:pPr>
              <w:pStyle w:val="NormalWeb"/>
              <w:jc w:val="center"/>
              <w:rPr>
                <w:sz w:val="20"/>
                <w:szCs w:val="20"/>
              </w:rPr>
            </w:pP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6281015" w14:textId="77777777" w:rsidR="00177B87" w:rsidRPr="00B42808" w:rsidRDefault="00177B87" w:rsidP="003B4AAE">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29FDCFFE" w14:textId="77777777" w:rsidR="00177B87" w:rsidRPr="00B42808" w:rsidRDefault="00177B87" w:rsidP="003B4AAE">
            <w:pPr>
              <w:pStyle w:val="NormalWeb"/>
              <w:jc w:val="center"/>
              <w:rPr>
                <w:sz w:val="20"/>
                <w:szCs w:val="20"/>
              </w:rPr>
            </w:pPr>
            <w:r>
              <w:rPr>
                <w:sz w:val="20"/>
                <w:szCs w:val="20"/>
              </w:rPr>
              <w:t>18.5</w:t>
            </w:r>
          </w:p>
        </w:tc>
        <w:tc>
          <w:tcPr>
            <w:tcW w:w="8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9211F5D" w14:textId="77777777" w:rsidR="00177B87" w:rsidRPr="00B42808" w:rsidRDefault="00177B87" w:rsidP="003B4AAE">
            <w:pPr>
              <w:pStyle w:val="NormalWeb"/>
              <w:jc w:val="center"/>
              <w:rPr>
                <w:sz w:val="20"/>
                <w:szCs w:val="20"/>
              </w:rPr>
            </w:pPr>
            <w:r>
              <w:rPr>
                <w:sz w:val="20"/>
                <w:szCs w:val="20"/>
              </w:rPr>
              <w:t>2.6</w:t>
            </w:r>
          </w:p>
        </w:tc>
        <w:tc>
          <w:tcPr>
            <w:tcW w:w="8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56BCEF53" w14:textId="77777777" w:rsidR="00177B87" w:rsidRPr="00B42808" w:rsidRDefault="00177B87" w:rsidP="003B4AAE">
            <w:pPr>
              <w:pStyle w:val="NormalWeb"/>
              <w:jc w:val="center"/>
              <w:rPr>
                <w:sz w:val="20"/>
                <w:szCs w:val="20"/>
              </w:rPr>
            </w:pP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29363A5D" w14:textId="77777777" w:rsidR="00177B87" w:rsidRPr="00B42808" w:rsidRDefault="00177B87" w:rsidP="003B4AAE">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2069DB40" w14:textId="77777777" w:rsidR="00177B87" w:rsidRPr="00B42808" w:rsidRDefault="00177B87" w:rsidP="003B4AAE">
            <w:pPr>
              <w:pStyle w:val="NormalWeb"/>
              <w:jc w:val="center"/>
              <w:rPr>
                <w:sz w:val="20"/>
                <w:szCs w:val="20"/>
              </w:rPr>
            </w:pPr>
          </w:p>
        </w:tc>
      </w:tr>
      <w:tr w:rsidR="00177B87" w14:paraId="037B51D5" w14:textId="77777777" w:rsidTr="00552C58">
        <w:tc>
          <w:tcPr>
            <w:tcW w:w="1170"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2F2F2" w:themeColor="background1" w:themeShade="F2"/>
            </w:tcBorders>
            <w:vAlign w:val="center"/>
          </w:tcPr>
          <w:p w14:paraId="0B53BA1A" w14:textId="42AFCF92" w:rsidR="00177B87" w:rsidRPr="00B42808" w:rsidRDefault="00177B87" w:rsidP="003B4AAE">
            <w:pPr>
              <w:pStyle w:val="NormalWeb"/>
              <w:jc w:val="center"/>
              <w:rPr>
                <w:sz w:val="20"/>
                <w:szCs w:val="20"/>
              </w:rPr>
            </w:pPr>
            <w:r w:rsidRPr="00B42808">
              <w:rPr>
                <w:sz w:val="20"/>
                <w:szCs w:val="20"/>
              </w:rPr>
              <w:t>P3-RW</w:t>
            </w:r>
            <w:r>
              <w:rPr>
                <w:sz w:val="20"/>
                <w:szCs w:val="20"/>
              </w:rPr>
              <w:t>-CO</w:t>
            </w: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61730EB" w14:textId="77777777" w:rsidR="00177B87" w:rsidRPr="00B42808" w:rsidRDefault="00177B87" w:rsidP="003B4AAE">
            <w:pPr>
              <w:pStyle w:val="NormalWeb"/>
              <w:jc w:val="center"/>
              <w:rPr>
                <w:sz w:val="20"/>
                <w:szCs w:val="20"/>
              </w:rPr>
            </w:pPr>
            <w:r>
              <w:rPr>
                <w:sz w:val="20"/>
                <w:szCs w:val="20"/>
              </w:rPr>
              <w:t>4.8</w:t>
            </w: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62BC670F" w14:textId="77777777" w:rsidR="00177B87" w:rsidRPr="00B42808" w:rsidRDefault="00177B87" w:rsidP="003B4AAE">
            <w:pPr>
              <w:pStyle w:val="NormalWeb"/>
              <w:jc w:val="center"/>
              <w:rPr>
                <w:sz w:val="20"/>
                <w:szCs w:val="20"/>
              </w:rPr>
            </w:pPr>
            <w:r>
              <w:rPr>
                <w:sz w:val="20"/>
                <w:szCs w:val="20"/>
              </w:rPr>
              <w:t>13.8</w:t>
            </w: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70CA936C" w14:textId="77777777" w:rsidR="00177B87" w:rsidRPr="00B42808" w:rsidRDefault="00177B87" w:rsidP="003B4AAE">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2686826F" w14:textId="77777777" w:rsidR="00177B87" w:rsidRPr="00B42808" w:rsidRDefault="00177B87" w:rsidP="003B4AAE">
            <w:pPr>
              <w:pStyle w:val="NormalWeb"/>
              <w:jc w:val="center"/>
              <w:rPr>
                <w:sz w:val="20"/>
                <w:szCs w:val="20"/>
              </w:rPr>
            </w:pP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11469AE4" w14:textId="77777777" w:rsidR="00177B87" w:rsidRPr="00B42808" w:rsidRDefault="00177B87" w:rsidP="003B4AAE">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5CB0EA01" w14:textId="77777777" w:rsidR="00177B87" w:rsidRPr="00B42808" w:rsidRDefault="00177B87" w:rsidP="003B4AAE">
            <w:pPr>
              <w:pStyle w:val="NormalWeb"/>
              <w:jc w:val="center"/>
              <w:rPr>
                <w:sz w:val="20"/>
                <w:szCs w:val="20"/>
              </w:rPr>
            </w:pPr>
          </w:p>
        </w:tc>
        <w:tc>
          <w:tcPr>
            <w:tcW w:w="8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0A0E05A7" w14:textId="77777777" w:rsidR="00177B87" w:rsidRPr="00B42808" w:rsidRDefault="00177B87" w:rsidP="003B4AAE">
            <w:pPr>
              <w:pStyle w:val="NormalWeb"/>
              <w:jc w:val="center"/>
              <w:rPr>
                <w:sz w:val="20"/>
                <w:szCs w:val="20"/>
              </w:rPr>
            </w:pPr>
          </w:p>
        </w:tc>
        <w:tc>
          <w:tcPr>
            <w:tcW w:w="81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center"/>
          </w:tcPr>
          <w:p w14:paraId="56FB909D" w14:textId="77777777" w:rsidR="00177B87" w:rsidRPr="00B42808" w:rsidRDefault="00177B87" w:rsidP="003B4AAE">
            <w:pPr>
              <w:pStyle w:val="NormalWeb"/>
              <w:jc w:val="center"/>
              <w:rPr>
                <w:sz w:val="20"/>
                <w:szCs w:val="20"/>
              </w:rPr>
            </w:pPr>
          </w:p>
        </w:tc>
        <w:tc>
          <w:tcPr>
            <w:tcW w:w="63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0BE7B2AD" w14:textId="77777777" w:rsidR="00177B87" w:rsidRPr="00B42808" w:rsidRDefault="00177B87" w:rsidP="003B4AAE">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FFFFF" w:themeColor="background1"/>
            </w:tcBorders>
            <w:vAlign w:val="center"/>
          </w:tcPr>
          <w:p w14:paraId="52BE4FF1" w14:textId="77777777" w:rsidR="00177B87" w:rsidRPr="00B42808" w:rsidRDefault="00177B87" w:rsidP="003B4AAE">
            <w:pPr>
              <w:pStyle w:val="NormalWeb"/>
              <w:jc w:val="center"/>
              <w:rPr>
                <w:sz w:val="20"/>
                <w:szCs w:val="20"/>
              </w:rPr>
            </w:pPr>
            <w:r>
              <w:rPr>
                <w:sz w:val="20"/>
                <w:szCs w:val="20"/>
              </w:rPr>
              <w:t>13.8</w:t>
            </w:r>
          </w:p>
        </w:tc>
      </w:tr>
      <w:tr w:rsidR="00177B87" w14:paraId="39CA8ABD" w14:textId="77777777" w:rsidTr="00552C58">
        <w:tc>
          <w:tcPr>
            <w:tcW w:w="1170" w:type="dxa"/>
            <w:tcBorders>
              <w:top w:val="single" w:sz="4" w:space="0" w:color="F2F2F2" w:themeColor="background1" w:themeShade="F2"/>
              <w:left w:val="single" w:sz="4" w:space="0" w:color="FFFFFF" w:themeColor="background1"/>
              <w:right w:val="single" w:sz="4" w:space="0" w:color="F2F2F2" w:themeColor="background1" w:themeShade="F2"/>
            </w:tcBorders>
            <w:vAlign w:val="center"/>
          </w:tcPr>
          <w:p w14:paraId="2CFF05F0" w14:textId="6DBADB4B" w:rsidR="00177B87" w:rsidRPr="00B42808" w:rsidRDefault="00177B87" w:rsidP="003B4AAE">
            <w:pPr>
              <w:pStyle w:val="NormalWeb"/>
              <w:jc w:val="center"/>
              <w:rPr>
                <w:sz w:val="20"/>
                <w:szCs w:val="20"/>
              </w:rPr>
            </w:pPr>
            <w:r w:rsidRPr="00B42808">
              <w:rPr>
                <w:sz w:val="20"/>
                <w:szCs w:val="20"/>
              </w:rPr>
              <w:t>P3-P3</w:t>
            </w:r>
            <w:r>
              <w:rPr>
                <w:sz w:val="20"/>
                <w:szCs w:val="20"/>
              </w:rPr>
              <w:t>-CO</w:t>
            </w:r>
          </w:p>
        </w:tc>
        <w:tc>
          <w:tcPr>
            <w:tcW w:w="63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4E938C72" w14:textId="77777777" w:rsidR="00177B87" w:rsidRPr="00B42808" w:rsidRDefault="00177B87" w:rsidP="003B4AAE">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0D7FDD77" w14:textId="77777777" w:rsidR="00177B87" w:rsidRPr="00B42808" w:rsidRDefault="00177B87" w:rsidP="003B4AAE">
            <w:pPr>
              <w:pStyle w:val="NormalWeb"/>
              <w:jc w:val="center"/>
              <w:rPr>
                <w:sz w:val="20"/>
                <w:szCs w:val="20"/>
              </w:rPr>
            </w:pPr>
            <w:r>
              <w:rPr>
                <w:sz w:val="20"/>
                <w:szCs w:val="20"/>
              </w:rPr>
              <w:t>13.2</w:t>
            </w:r>
          </w:p>
        </w:tc>
        <w:tc>
          <w:tcPr>
            <w:tcW w:w="63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7D5FCEDB" w14:textId="77777777" w:rsidR="00177B87" w:rsidRPr="00B42808" w:rsidRDefault="00177B87" w:rsidP="003B4AAE">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5F8FA357" w14:textId="77777777" w:rsidR="00177B87" w:rsidRPr="00B42808" w:rsidRDefault="00177B87" w:rsidP="003B4AAE">
            <w:pPr>
              <w:pStyle w:val="NormalWeb"/>
              <w:jc w:val="center"/>
              <w:rPr>
                <w:sz w:val="20"/>
                <w:szCs w:val="20"/>
              </w:rPr>
            </w:pPr>
            <w:r>
              <w:rPr>
                <w:sz w:val="20"/>
                <w:szCs w:val="20"/>
              </w:rPr>
              <w:t>4.6</w:t>
            </w:r>
          </w:p>
        </w:tc>
        <w:tc>
          <w:tcPr>
            <w:tcW w:w="63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247A1D25" w14:textId="77777777" w:rsidR="00177B87" w:rsidRPr="00B42808" w:rsidRDefault="00177B87" w:rsidP="003B4AAE">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right w:val="single" w:sz="4" w:space="0" w:color="FFFFFF" w:themeColor="background1"/>
            </w:tcBorders>
            <w:vAlign w:val="center"/>
          </w:tcPr>
          <w:p w14:paraId="7BBCD46D" w14:textId="77777777" w:rsidR="00177B87" w:rsidRPr="00B42808" w:rsidRDefault="00177B87" w:rsidP="003B4AAE">
            <w:pPr>
              <w:pStyle w:val="NormalWeb"/>
              <w:jc w:val="center"/>
              <w:rPr>
                <w:sz w:val="20"/>
                <w:szCs w:val="20"/>
              </w:rPr>
            </w:pPr>
          </w:p>
        </w:tc>
        <w:tc>
          <w:tcPr>
            <w:tcW w:w="81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162E5E73" w14:textId="77777777" w:rsidR="00177B87" w:rsidRPr="00B42808" w:rsidRDefault="00177B87" w:rsidP="003B4AAE">
            <w:pPr>
              <w:pStyle w:val="NormalWeb"/>
              <w:jc w:val="center"/>
              <w:rPr>
                <w:sz w:val="20"/>
                <w:szCs w:val="20"/>
              </w:rPr>
            </w:pPr>
          </w:p>
        </w:tc>
        <w:tc>
          <w:tcPr>
            <w:tcW w:w="810" w:type="dxa"/>
            <w:tcBorders>
              <w:top w:val="single" w:sz="4" w:space="0" w:color="F2F2F2" w:themeColor="background1" w:themeShade="F2"/>
              <w:left w:val="single" w:sz="4" w:space="0" w:color="F2F2F2" w:themeColor="background1" w:themeShade="F2"/>
              <w:right w:val="single" w:sz="4" w:space="0" w:color="F2F2F2" w:themeColor="background1" w:themeShade="F2"/>
            </w:tcBorders>
            <w:vAlign w:val="center"/>
          </w:tcPr>
          <w:p w14:paraId="0BEA1734" w14:textId="77777777" w:rsidR="00177B87" w:rsidRPr="00B42808" w:rsidRDefault="00177B87" w:rsidP="003B4AAE">
            <w:pPr>
              <w:pStyle w:val="NormalWeb"/>
              <w:jc w:val="center"/>
              <w:rPr>
                <w:sz w:val="20"/>
                <w:szCs w:val="20"/>
              </w:rPr>
            </w:pPr>
            <w:r>
              <w:rPr>
                <w:sz w:val="20"/>
                <w:szCs w:val="20"/>
              </w:rPr>
              <w:t>10.6</w:t>
            </w:r>
          </w:p>
        </w:tc>
        <w:tc>
          <w:tcPr>
            <w:tcW w:w="630" w:type="dxa"/>
            <w:tcBorders>
              <w:top w:val="single" w:sz="4" w:space="0" w:color="F2F2F2" w:themeColor="background1" w:themeShade="F2"/>
              <w:left w:val="single" w:sz="4" w:space="0" w:color="F2F2F2" w:themeColor="background1" w:themeShade="F2"/>
              <w:right w:val="single" w:sz="4" w:space="0" w:color="FFFFFF" w:themeColor="background1"/>
            </w:tcBorders>
            <w:vAlign w:val="center"/>
          </w:tcPr>
          <w:p w14:paraId="2E88ECED" w14:textId="77777777" w:rsidR="00177B87" w:rsidRPr="00B42808" w:rsidRDefault="00177B87" w:rsidP="003B4AAE">
            <w:pPr>
              <w:pStyle w:val="NormalWeb"/>
              <w:jc w:val="center"/>
              <w:rPr>
                <w:sz w:val="20"/>
                <w:szCs w:val="20"/>
              </w:rPr>
            </w:pPr>
          </w:p>
        </w:tc>
        <w:tc>
          <w:tcPr>
            <w:tcW w:w="540" w:type="dxa"/>
            <w:tcBorders>
              <w:top w:val="single" w:sz="4" w:space="0" w:color="F2F2F2" w:themeColor="background1" w:themeShade="F2"/>
              <w:left w:val="single" w:sz="4" w:space="0" w:color="F2F2F2" w:themeColor="background1" w:themeShade="F2"/>
              <w:right w:val="single" w:sz="4" w:space="0" w:color="FFFFFF" w:themeColor="background1"/>
            </w:tcBorders>
            <w:vAlign w:val="center"/>
          </w:tcPr>
          <w:p w14:paraId="55F5FB11" w14:textId="77777777" w:rsidR="00177B87" w:rsidRPr="00B42808" w:rsidRDefault="00177B87" w:rsidP="003B4AAE">
            <w:pPr>
              <w:pStyle w:val="NormalWeb"/>
              <w:jc w:val="center"/>
              <w:rPr>
                <w:sz w:val="20"/>
                <w:szCs w:val="20"/>
              </w:rPr>
            </w:pPr>
            <w:r>
              <w:rPr>
                <w:sz w:val="20"/>
                <w:szCs w:val="20"/>
              </w:rPr>
              <w:t>9.6</w:t>
            </w:r>
          </w:p>
        </w:tc>
      </w:tr>
    </w:tbl>
    <w:p w14:paraId="21257881" w14:textId="19125F9F" w:rsidR="00177B87" w:rsidRDefault="00177B87" w:rsidP="00177B87">
      <w:pPr>
        <w:jc w:val="both"/>
      </w:pPr>
    </w:p>
    <w:p w14:paraId="7A45479D" w14:textId="46091F27" w:rsidR="009A1193" w:rsidRPr="00552C58" w:rsidRDefault="00177B87">
      <w:r>
        <w:br w:type="page"/>
      </w:r>
    </w:p>
    <w:p w14:paraId="2D6360DA" w14:textId="54EA3518" w:rsidR="009A1193" w:rsidRDefault="009A1193" w:rsidP="009A1193">
      <w:r w:rsidRPr="009A1193">
        <w:lastRenderedPageBreak/>
        <w:fldChar w:fldCharType="begin"/>
      </w:r>
      <w:r w:rsidRPr="009A1193">
        <w:instrText xml:space="preserve"> INCLUDEPICTURE "https://lh3.googleusercontent.com/d_DBbnsW0CQaTMaGRJcA_ltS4E2eEAVdNNDphyTVazY4xRZZ4JYkj-NO1SC0mMZ9mYe4cf42DTUkPTVf9Gjy7ExTvYhbGPWPCQa3NMPSyJkxItXWx2R0a0obVgxNmcc67GAMoeyU6_U=s0" \* MERGEFORMATINET </w:instrText>
      </w:r>
      <w:r w:rsidRPr="009A1193">
        <w:fldChar w:fldCharType="separate"/>
      </w:r>
      <w:r w:rsidRPr="009A1193">
        <w:rPr>
          <w:noProof/>
        </w:rPr>
        <w:drawing>
          <wp:inline distT="0" distB="0" distL="0" distR="0" wp14:anchorId="4D075562" wp14:editId="587F094C">
            <wp:extent cx="5392615" cy="2453855"/>
            <wp:effectExtent l="0" t="0" r="5080"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983" b="37287"/>
                    <a:stretch/>
                  </pic:blipFill>
                  <pic:spPr bwMode="auto">
                    <a:xfrm>
                      <a:off x="0" y="0"/>
                      <a:ext cx="5404916" cy="2459452"/>
                    </a:xfrm>
                    <a:prstGeom prst="rect">
                      <a:avLst/>
                    </a:prstGeom>
                    <a:noFill/>
                    <a:ln>
                      <a:noFill/>
                    </a:ln>
                    <a:extLst>
                      <a:ext uri="{53640926-AAD7-44D8-BBD7-CCE9431645EC}">
                        <a14:shadowObscured xmlns:a14="http://schemas.microsoft.com/office/drawing/2010/main"/>
                      </a:ext>
                    </a:extLst>
                  </pic:spPr>
                </pic:pic>
              </a:graphicData>
            </a:graphic>
          </wp:inline>
        </w:drawing>
      </w:r>
      <w:r w:rsidRPr="009A1193">
        <w:fldChar w:fldCharType="end"/>
      </w:r>
    </w:p>
    <w:p w14:paraId="05DBE1E1" w14:textId="6B8E8EAA" w:rsidR="0008749E" w:rsidRPr="0015553B" w:rsidRDefault="009A1193" w:rsidP="00C90343">
      <w:pPr>
        <w:pStyle w:val="Caption"/>
        <w:jc w:val="both"/>
        <w:rPr>
          <w:sz w:val="22"/>
          <w:szCs w:val="22"/>
        </w:rPr>
      </w:pPr>
      <w:bookmarkStart w:id="73" w:name="_Toc88054008"/>
      <w:r w:rsidRPr="0015553B">
        <w:rPr>
          <w:sz w:val="22"/>
          <w:szCs w:val="22"/>
        </w:rPr>
        <w:t xml:space="preserve">Figure </w:t>
      </w:r>
      <w:r w:rsidRPr="0015553B">
        <w:rPr>
          <w:sz w:val="22"/>
          <w:szCs w:val="22"/>
        </w:rPr>
        <w:fldChar w:fldCharType="begin"/>
      </w:r>
      <w:r w:rsidRPr="0015553B">
        <w:rPr>
          <w:sz w:val="22"/>
          <w:szCs w:val="22"/>
        </w:rPr>
        <w:instrText xml:space="preserve"> SEQ Figure \* ARABIC </w:instrText>
      </w:r>
      <w:r w:rsidRPr="0015553B">
        <w:rPr>
          <w:sz w:val="22"/>
          <w:szCs w:val="22"/>
        </w:rPr>
        <w:fldChar w:fldCharType="separate"/>
      </w:r>
      <w:r w:rsidR="00F201AC">
        <w:rPr>
          <w:noProof/>
          <w:sz w:val="22"/>
          <w:szCs w:val="22"/>
        </w:rPr>
        <w:t>13</w:t>
      </w:r>
      <w:r w:rsidRPr="0015553B">
        <w:rPr>
          <w:sz w:val="22"/>
          <w:szCs w:val="22"/>
        </w:rPr>
        <w:fldChar w:fldCharType="end"/>
      </w:r>
      <w:r w:rsidRPr="0015553B">
        <w:rPr>
          <w:sz w:val="22"/>
          <w:szCs w:val="22"/>
        </w:rPr>
        <w:t xml:space="preserve">. A comprehensive representation of all 17 populations from which biomass was calculated (a), and field sites within six populations used for stomatal measurements (b) represented on the </w:t>
      </w:r>
      <w:proofErr w:type="spellStart"/>
      <w:r w:rsidRPr="0015553B">
        <w:rPr>
          <w:sz w:val="22"/>
          <w:szCs w:val="22"/>
        </w:rPr>
        <w:t>Budyko</w:t>
      </w:r>
      <w:proofErr w:type="spellEnd"/>
      <w:r w:rsidRPr="0015553B">
        <w:rPr>
          <w:sz w:val="22"/>
          <w:szCs w:val="22"/>
        </w:rPr>
        <w:t xml:space="preserve"> Theoretical Model.</w:t>
      </w:r>
      <w:r w:rsidRPr="0015553B">
        <w:rPr>
          <w:b w:val="0"/>
          <w:bCs w:val="0"/>
          <w:sz w:val="22"/>
          <w:szCs w:val="22"/>
        </w:rPr>
        <w:t xml:space="preserve"> Colors represent population membership to each provenance, as in main figures in chapter 1 (yellow= provenance 1, green= provenance 2, </w:t>
      </w:r>
      <w:r w:rsidR="00B0461C" w:rsidRPr="0015553B">
        <w:rPr>
          <w:b w:val="0"/>
          <w:bCs w:val="0"/>
          <w:sz w:val="22"/>
          <w:szCs w:val="22"/>
        </w:rPr>
        <w:t>purple</w:t>
      </w:r>
      <w:r w:rsidRPr="0015553B">
        <w:rPr>
          <w:b w:val="0"/>
          <w:bCs w:val="0"/>
          <w:sz w:val="22"/>
          <w:szCs w:val="22"/>
        </w:rPr>
        <w:t xml:space="preserve">= provenance 3). Each symbol </w:t>
      </w:r>
      <w:r w:rsidR="00B0461C" w:rsidRPr="0015553B">
        <w:rPr>
          <w:b w:val="0"/>
          <w:bCs w:val="0"/>
          <w:sz w:val="22"/>
          <w:szCs w:val="22"/>
        </w:rPr>
        <w:t>represents a u</w:t>
      </w:r>
      <w:r w:rsidRPr="0015553B">
        <w:rPr>
          <w:b w:val="0"/>
          <w:bCs w:val="0"/>
          <w:sz w:val="22"/>
          <w:szCs w:val="22"/>
        </w:rPr>
        <w:t xml:space="preserve">nique river </w:t>
      </w:r>
      <w:r w:rsidR="00B0461C" w:rsidRPr="0015553B">
        <w:rPr>
          <w:b w:val="0"/>
          <w:bCs w:val="0"/>
          <w:sz w:val="22"/>
          <w:szCs w:val="22"/>
        </w:rPr>
        <w:t>population,</w:t>
      </w:r>
      <w:r w:rsidRPr="0015553B">
        <w:rPr>
          <w:b w:val="0"/>
          <w:bCs w:val="0"/>
          <w:sz w:val="22"/>
          <w:szCs w:val="22"/>
        </w:rPr>
        <w:t xml:space="preserve"> </w:t>
      </w:r>
      <w:r w:rsidR="00B0461C" w:rsidRPr="0015553B">
        <w:rPr>
          <w:b w:val="0"/>
          <w:bCs w:val="0"/>
          <w:sz w:val="22"/>
          <w:szCs w:val="22"/>
        </w:rPr>
        <w:t>a</w:t>
      </w:r>
      <w:r w:rsidRPr="0015553B">
        <w:rPr>
          <w:b w:val="0"/>
          <w:bCs w:val="0"/>
          <w:sz w:val="22"/>
          <w:szCs w:val="22"/>
        </w:rPr>
        <w:t>nd e</w:t>
      </w:r>
      <w:r w:rsidR="00B0461C" w:rsidRPr="0015553B">
        <w:rPr>
          <w:b w:val="0"/>
          <w:bCs w:val="0"/>
          <w:sz w:val="22"/>
          <w:szCs w:val="22"/>
        </w:rPr>
        <w:t>a</w:t>
      </w:r>
      <w:r w:rsidRPr="0015553B">
        <w:rPr>
          <w:b w:val="0"/>
          <w:bCs w:val="0"/>
          <w:sz w:val="22"/>
          <w:szCs w:val="22"/>
        </w:rPr>
        <w:t>ch point represents a uniq</w:t>
      </w:r>
      <w:r w:rsidR="00B0461C" w:rsidRPr="0015553B">
        <w:rPr>
          <w:b w:val="0"/>
          <w:bCs w:val="0"/>
          <w:sz w:val="22"/>
          <w:szCs w:val="22"/>
        </w:rPr>
        <w:t>u</w:t>
      </w:r>
      <w:r w:rsidRPr="0015553B">
        <w:rPr>
          <w:b w:val="0"/>
          <w:bCs w:val="0"/>
          <w:sz w:val="22"/>
          <w:szCs w:val="22"/>
        </w:rPr>
        <w:t>e sampling location for that population. River abbreviations are ordered alphabetically as follows: BL = Blue River, Arizon</w:t>
      </w:r>
      <w:r w:rsidR="00B0461C" w:rsidRPr="0015553B">
        <w:rPr>
          <w:b w:val="0"/>
          <w:bCs w:val="0"/>
          <w:sz w:val="22"/>
          <w:szCs w:val="22"/>
        </w:rPr>
        <w:t>a</w:t>
      </w:r>
      <w:r w:rsidRPr="0015553B">
        <w:rPr>
          <w:b w:val="0"/>
          <w:bCs w:val="0"/>
          <w:sz w:val="22"/>
          <w:szCs w:val="22"/>
        </w:rPr>
        <w:t>; DOL= Dolores River, Colorado; GSD= Great Sand Dunes, Color</w:t>
      </w:r>
      <w:r w:rsidR="00B0461C" w:rsidRPr="0015553B">
        <w:rPr>
          <w:b w:val="0"/>
          <w:bCs w:val="0"/>
          <w:sz w:val="22"/>
          <w:szCs w:val="22"/>
        </w:rPr>
        <w:t>a</w:t>
      </w:r>
      <w:r w:rsidRPr="0015553B">
        <w:rPr>
          <w:b w:val="0"/>
          <w:bCs w:val="0"/>
          <w:sz w:val="22"/>
          <w:szCs w:val="22"/>
        </w:rPr>
        <w:t xml:space="preserve">do, GVR= Gros </w:t>
      </w:r>
      <w:proofErr w:type="spellStart"/>
      <w:r w:rsidRPr="0015553B">
        <w:rPr>
          <w:b w:val="0"/>
          <w:bCs w:val="0"/>
          <w:sz w:val="22"/>
          <w:szCs w:val="22"/>
        </w:rPr>
        <w:t>Ventre</w:t>
      </w:r>
      <w:proofErr w:type="spellEnd"/>
      <w:r w:rsidRPr="0015553B">
        <w:rPr>
          <w:b w:val="0"/>
          <w:bCs w:val="0"/>
          <w:sz w:val="22"/>
          <w:szCs w:val="22"/>
        </w:rPr>
        <w:t xml:space="preserve"> River, Wyoming; IC= Indian Creek, Utah; LEX= Lexington River, Nevada; LOG= Logan River, Utah; </w:t>
      </w:r>
      <w:r w:rsidR="00B0461C" w:rsidRPr="0015553B">
        <w:rPr>
          <w:b w:val="0"/>
          <w:bCs w:val="0"/>
          <w:sz w:val="22"/>
          <w:szCs w:val="22"/>
        </w:rPr>
        <w:t>OC = Oak Creek, Arizona; OGC = Ogden Canyon, Utah; PK= Park Creek, Utah; SC = Snake Creek, Nevada; SHO= Shoshone River, Wyoming; SJ= San Juan River, Colorado; SMIG = San Miguel River, Colorado; SNR= Snake River, Wyoming; WR = Weber River, Utah; YEL= Yellowstone River, Wyoming.</w:t>
      </w:r>
      <w:bookmarkEnd w:id="73"/>
    </w:p>
    <w:p w14:paraId="4D080427" w14:textId="479422B6" w:rsidR="0008749E" w:rsidRPr="0008749E" w:rsidRDefault="0008749E" w:rsidP="0008749E">
      <w:pPr>
        <w:rPr>
          <w:iCs/>
          <w:sz w:val="22"/>
          <w:szCs w:val="22"/>
        </w:rPr>
      </w:pPr>
      <w:r>
        <w:rPr>
          <w:iCs/>
          <w:sz w:val="22"/>
          <w:szCs w:val="22"/>
        </w:rPr>
        <w:br w:type="page"/>
      </w:r>
    </w:p>
    <w:p w14:paraId="5ED59AAE" w14:textId="3ECF3019" w:rsidR="0008749E" w:rsidRDefault="0008749E" w:rsidP="0008749E">
      <w:pPr>
        <w:jc w:val="center"/>
      </w:pPr>
      <w:r>
        <w:lastRenderedPageBreak/>
        <w:fldChar w:fldCharType="begin"/>
      </w:r>
      <w:r>
        <w:instrText xml:space="preserve"> INCLUDEPICTURE "https://lh6.googleusercontent.com/mBdQu9mND_RBTQeYpfi9jgTo8KIkmrAjSeegpPSyYQCQ4-bfa25SazYINaJnsrTUTEaDcAhJ2uwMUgQxQukwbO0nvYKAgWmcE8-0SBO_hnAXEjkiuwk5WG6rlo4MKuRu5BaSlT7Ly-8=s0" \* MERGEFORMATINET </w:instrText>
      </w:r>
      <w:r>
        <w:fldChar w:fldCharType="separate"/>
      </w:r>
      <w:r>
        <w:rPr>
          <w:noProof/>
        </w:rPr>
        <w:drawing>
          <wp:inline distT="0" distB="0" distL="0" distR="0" wp14:anchorId="28192A20" wp14:editId="3A76B620">
            <wp:extent cx="2960914" cy="2440385"/>
            <wp:effectExtent l="0" t="0" r="0" b="0"/>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31738"/>
                    <a:stretch/>
                  </pic:blipFill>
                  <pic:spPr bwMode="auto">
                    <a:xfrm>
                      <a:off x="0" y="0"/>
                      <a:ext cx="2984996" cy="2460234"/>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5A99AB41" w14:textId="3585FB67" w:rsidR="002977BC" w:rsidRDefault="0008749E" w:rsidP="00C90343">
      <w:pPr>
        <w:pStyle w:val="Caption"/>
        <w:jc w:val="both"/>
        <w:rPr>
          <w:b w:val="0"/>
          <w:bCs w:val="0"/>
          <w:sz w:val="22"/>
          <w:szCs w:val="22"/>
        </w:rPr>
      </w:pPr>
      <w:bookmarkStart w:id="74" w:name="_Toc88054009"/>
      <w:r w:rsidRPr="0008749E">
        <w:rPr>
          <w:sz w:val="22"/>
          <w:szCs w:val="22"/>
        </w:rPr>
        <w:t xml:space="preserve">Figure </w:t>
      </w:r>
      <w:r w:rsidRPr="0008749E">
        <w:rPr>
          <w:sz w:val="22"/>
          <w:szCs w:val="22"/>
        </w:rPr>
        <w:fldChar w:fldCharType="begin"/>
      </w:r>
      <w:r w:rsidRPr="0008749E">
        <w:rPr>
          <w:sz w:val="22"/>
          <w:szCs w:val="22"/>
        </w:rPr>
        <w:instrText xml:space="preserve"> SEQ Figure \* ARABIC </w:instrText>
      </w:r>
      <w:r w:rsidRPr="0008749E">
        <w:rPr>
          <w:sz w:val="22"/>
          <w:szCs w:val="22"/>
        </w:rPr>
        <w:fldChar w:fldCharType="separate"/>
      </w:r>
      <w:r w:rsidR="00CE7350">
        <w:rPr>
          <w:noProof/>
          <w:sz w:val="22"/>
          <w:szCs w:val="22"/>
        </w:rPr>
        <w:t>14</w:t>
      </w:r>
      <w:r w:rsidRPr="0008749E">
        <w:rPr>
          <w:sz w:val="22"/>
          <w:szCs w:val="22"/>
        </w:rPr>
        <w:fldChar w:fldCharType="end"/>
      </w:r>
      <w:r w:rsidRPr="0008749E">
        <w:rPr>
          <w:sz w:val="22"/>
          <w:szCs w:val="22"/>
        </w:rPr>
        <w:t>. The s</w:t>
      </w:r>
      <w:r>
        <w:rPr>
          <w:sz w:val="22"/>
          <w:szCs w:val="22"/>
        </w:rPr>
        <w:t xml:space="preserve">lope of the regression line between oxygen and hydrogen isotope compositions of stem water differ among genetic provenances of P. angustifolia. </w:t>
      </w:r>
      <w:r w:rsidRPr="000E2CFF">
        <w:rPr>
          <w:b w:val="0"/>
          <w:bCs w:val="0"/>
          <w:sz w:val="22"/>
          <w:szCs w:val="22"/>
        </w:rPr>
        <w:t>LMWL (black line): slope =7.00, r</w:t>
      </w:r>
      <w:r w:rsidRPr="000E2CFF">
        <w:rPr>
          <w:b w:val="0"/>
          <w:bCs w:val="0"/>
          <w:sz w:val="22"/>
          <w:szCs w:val="22"/>
          <w:vertAlign w:val="superscript"/>
        </w:rPr>
        <w:t>2</w:t>
      </w:r>
      <w:r w:rsidRPr="000E2CFF">
        <w:rPr>
          <w:b w:val="0"/>
          <w:bCs w:val="0"/>
          <w:sz w:val="22"/>
          <w:szCs w:val="22"/>
        </w:rPr>
        <w:t>= 0.98; all stems (dark green line</w:t>
      </w:r>
      <w:r w:rsidR="000E2CFF" w:rsidRPr="000E2CFF">
        <w:rPr>
          <w:b w:val="0"/>
          <w:bCs w:val="0"/>
          <w:sz w:val="22"/>
          <w:szCs w:val="22"/>
        </w:rPr>
        <w:t>), as represented in figure 4: n=12, slope=5.6, r</w:t>
      </w:r>
      <w:r w:rsidR="000E2CFF" w:rsidRPr="000E2CFF">
        <w:rPr>
          <w:b w:val="0"/>
          <w:bCs w:val="0"/>
          <w:sz w:val="22"/>
          <w:szCs w:val="22"/>
          <w:vertAlign w:val="superscript"/>
        </w:rPr>
        <w:t>2</w:t>
      </w:r>
      <w:r w:rsidR="000E2CFF" w:rsidRPr="000E2CFF">
        <w:rPr>
          <w:b w:val="0"/>
          <w:bCs w:val="0"/>
          <w:sz w:val="22"/>
          <w:szCs w:val="22"/>
        </w:rPr>
        <w:t>= 0.77; Provenance 1: N=4, slope = 3.5, r</w:t>
      </w:r>
      <w:r w:rsidR="000E2CFF" w:rsidRPr="000E2CFF">
        <w:rPr>
          <w:b w:val="0"/>
          <w:bCs w:val="0"/>
          <w:sz w:val="22"/>
          <w:szCs w:val="22"/>
          <w:vertAlign w:val="superscript"/>
        </w:rPr>
        <w:t>2</w:t>
      </w:r>
      <w:r w:rsidR="000E2CFF" w:rsidRPr="000E2CFF">
        <w:rPr>
          <w:b w:val="0"/>
          <w:bCs w:val="0"/>
          <w:sz w:val="22"/>
          <w:szCs w:val="22"/>
        </w:rPr>
        <w:t>= 0.89; Provenance 2: N=4, slope =10.4, r</w:t>
      </w:r>
      <w:r w:rsidR="000E2CFF" w:rsidRPr="000E2CFF">
        <w:rPr>
          <w:b w:val="0"/>
          <w:bCs w:val="0"/>
          <w:sz w:val="22"/>
          <w:szCs w:val="22"/>
          <w:vertAlign w:val="superscript"/>
        </w:rPr>
        <w:t>2</w:t>
      </w:r>
      <w:r w:rsidR="000E2CFF" w:rsidRPr="000E2CFF">
        <w:rPr>
          <w:b w:val="0"/>
          <w:bCs w:val="0"/>
          <w:sz w:val="22"/>
          <w:szCs w:val="22"/>
        </w:rPr>
        <w:t>= 0.95; Provenance 3: N=4, slope =3.9, r</w:t>
      </w:r>
      <w:r w:rsidR="000E2CFF" w:rsidRPr="000E2CFF">
        <w:rPr>
          <w:b w:val="0"/>
          <w:bCs w:val="0"/>
          <w:sz w:val="22"/>
          <w:szCs w:val="22"/>
          <w:vertAlign w:val="superscript"/>
        </w:rPr>
        <w:t>2</w:t>
      </w:r>
      <w:r w:rsidR="000E2CFF" w:rsidRPr="000E2CFF">
        <w:rPr>
          <w:b w:val="0"/>
          <w:bCs w:val="0"/>
          <w:sz w:val="22"/>
          <w:szCs w:val="22"/>
        </w:rPr>
        <w:t>= 0.96.</w:t>
      </w:r>
      <w:bookmarkEnd w:id="74"/>
      <w:r w:rsidR="000E2CFF" w:rsidRPr="000E2CFF">
        <w:rPr>
          <w:b w:val="0"/>
          <w:bCs w:val="0"/>
          <w:sz w:val="22"/>
          <w:szCs w:val="22"/>
        </w:rPr>
        <w:t xml:space="preserve"> </w:t>
      </w:r>
    </w:p>
    <w:p w14:paraId="73098C7C" w14:textId="77777777" w:rsidR="002977BC" w:rsidRDefault="002977BC">
      <w:pPr>
        <w:rPr>
          <w:sz w:val="22"/>
          <w:szCs w:val="22"/>
        </w:rPr>
      </w:pPr>
      <w:r>
        <w:rPr>
          <w:b/>
          <w:bCs/>
          <w:sz w:val="22"/>
          <w:szCs w:val="22"/>
        </w:rPr>
        <w:br w:type="page"/>
      </w:r>
    </w:p>
    <w:p w14:paraId="77FF30CD" w14:textId="2D906819" w:rsidR="002977BC" w:rsidRDefault="002977BC" w:rsidP="002977BC">
      <w:r>
        <w:lastRenderedPageBreak/>
        <w:fldChar w:fldCharType="begin"/>
      </w:r>
      <w:r>
        <w:instrText xml:space="preserve"> INCLUDEPICTURE "https://lh5.googleusercontent.com/cg1EayLe2E1NhcAMpVsYU6yVA1uQLxQwOFywz1Gjt5HJ8fsT44fF5odohzwydG2aw-pEJEj6HFNR-UqU11sF7Jwr-du49e3oRJcIsfxSWYliqeYzg3CbAacXM6QRsWGQw6FCExYhz1I=s0" \* MERGEFORMATINET </w:instrText>
      </w:r>
      <w:r>
        <w:fldChar w:fldCharType="separate"/>
      </w:r>
      <w:r>
        <w:rPr>
          <w:noProof/>
        </w:rPr>
        <w:drawing>
          <wp:inline distT="0" distB="0" distL="0" distR="0" wp14:anchorId="652282C2" wp14:editId="09A64479">
            <wp:extent cx="5205046" cy="2965063"/>
            <wp:effectExtent l="0" t="0" r="2540" b="0"/>
            <wp:docPr id="11" name="Picture 1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scatter chart&#10;&#10;Description automatically generated"/>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28118"/>
                    <a:stretch/>
                  </pic:blipFill>
                  <pic:spPr bwMode="auto">
                    <a:xfrm>
                      <a:off x="0" y="0"/>
                      <a:ext cx="5215640" cy="2971098"/>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170EEBF6" w14:textId="086CD697" w:rsidR="002977BC" w:rsidRPr="0015553B" w:rsidRDefault="002977BC" w:rsidP="00C90343">
      <w:pPr>
        <w:jc w:val="both"/>
        <w:rPr>
          <w:b/>
          <w:bCs/>
          <w:sz w:val="22"/>
          <w:szCs w:val="22"/>
        </w:rPr>
      </w:pPr>
      <w:bookmarkStart w:id="75" w:name="_Toc88054010"/>
      <w:r w:rsidRPr="0015553B">
        <w:rPr>
          <w:b/>
          <w:bCs/>
          <w:sz w:val="22"/>
          <w:szCs w:val="22"/>
        </w:rPr>
        <w:t xml:space="preserve">Figure </w:t>
      </w:r>
      <w:r w:rsidRPr="0015553B">
        <w:rPr>
          <w:b/>
          <w:bCs/>
          <w:sz w:val="22"/>
          <w:szCs w:val="22"/>
        </w:rPr>
        <w:fldChar w:fldCharType="begin"/>
      </w:r>
      <w:r w:rsidRPr="0015553B">
        <w:rPr>
          <w:b/>
          <w:bCs/>
          <w:sz w:val="22"/>
          <w:szCs w:val="22"/>
        </w:rPr>
        <w:instrText xml:space="preserve"> SEQ Figure \* ARABIC </w:instrText>
      </w:r>
      <w:r w:rsidRPr="0015553B">
        <w:rPr>
          <w:b/>
          <w:bCs/>
          <w:sz w:val="22"/>
          <w:szCs w:val="22"/>
        </w:rPr>
        <w:fldChar w:fldCharType="separate"/>
      </w:r>
      <w:r w:rsidR="00CE7350">
        <w:rPr>
          <w:b/>
          <w:bCs/>
          <w:noProof/>
          <w:sz w:val="22"/>
          <w:szCs w:val="22"/>
        </w:rPr>
        <w:t>15</w:t>
      </w:r>
      <w:r w:rsidRPr="0015553B">
        <w:rPr>
          <w:b/>
          <w:bCs/>
          <w:sz w:val="22"/>
          <w:szCs w:val="22"/>
        </w:rPr>
        <w:fldChar w:fldCharType="end"/>
      </w:r>
      <w:r w:rsidRPr="0015553B">
        <w:rPr>
          <w:b/>
          <w:bCs/>
          <w:sz w:val="22"/>
          <w:szCs w:val="22"/>
        </w:rPr>
        <w:t xml:space="preserve">. Standardized slopes (b’) compared between greenhouse biomass measurements and (a) mean annual dryness index, and (b) mean annual temperature. </w:t>
      </w:r>
      <w:r w:rsidRPr="0015553B">
        <w:rPr>
          <w:sz w:val="22"/>
          <w:szCs w:val="22"/>
        </w:rPr>
        <w:t>All variables have been centered and scaled (z-transformed). Full models include (a) evaporative index, and (b) precipitation as factors and both models included genetic provenance as a random effect.</w:t>
      </w:r>
      <w:bookmarkEnd w:id="75"/>
      <w:r w:rsidRPr="0015553B">
        <w:rPr>
          <w:sz w:val="22"/>
          <w:szCs w:val="22"/>
        </w:rPr>
        <w:t xml:space="preserve"> </w:t>
      </w:r>
    </w:p>
    <w:p w14:paraId="4A794681" w14:textId="527106F1" w:rsidR="00CE7350" w:rsidRDefault="00CE7350">
      <w:pPr>
        <w:rPr>
          <w:b/>
          <w:bCs/>
        </w:rPr>
      </w:pPr>
      <w:r>
        <w:rPr>
          <w:b/>
          <w:bCs/>
        </w:rPr>
        <w:br w:type="page"/>
      </w:r>
    </w:p>
    <w:p w14:paraId="55242C35" w14:textId="31A9F091" w:rsidR="002977BC" w:rsidRDefault="00CE7350" w:rsidP="00CE7350">
      <w:pPr>
        <w:jc w:val="center"/>
        <w:rPr>
          <w:b/>
          <w:bCs/>
        </w:rPr>
      </w:pPr>
      <w:r w:rsidRPr="00EB76F9">
        <w:rPr>
          <w:noProof/>
          <w:sz w:val="22"/>
          <w:szCs w:val="22"/>
        </w:rPr>
        <w:lastRenderedPageBreak/>
        <w:drawing>
          <wp:inline distT="0" distB="0" distL="0" distR="0" wp14:anchorId="2656A6F6" wp14:editId="654FE2D0">
            <wp:extent cx="3528025" cy="2583543"/>
            <wp:effectExtent l="0" t="0" r="3175" b="0"/>
            <wp:docPr id="18"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23"/>
                    <a:stretch>
                      <a:fillRect/>
                    </a:stretch>
                  </pic:blipFill>
                  <pic:spPr>
                    <a:xfrm>
                      <a:off x="0" y="0"/>
                      <a:ext cx="3540473" cy="2592659"/>
                    </a:xfrm>
                    <a:prstGeom prst="rect">
                      <a:avLst/>
                    </a:prstGeom>
                  </pic:spPr>
                </pic:pic>
              </a:graphicData>
            </a:graphic>
          </wp:inline>
        </w:drawing>
      </w:r>
    </w:p>
    <w:p w14:paraId="21329C8F" w14:textId="4C190FEE" w:rsidR="00CE7350" w:rsidRDefault="00CE7350" w:rsidP="00C90343">
      <w:pPr>
        <w:jc w:val="both"/>
        <w:rPr>
          <w:sz w:val="22"/>
          <w:szCs w:val="22"/>
        </w:rPr>
      </w:pPr>
      <w:bookmarkStart w:id="76" w:name="_Toc88054011"/>
      <w:r w:rsidRPr="00CE7350">
        <w:rPr>
          <w:b/>
          <w:bCs/>
          <w:sz w:val="22"/>
          <w:szCs w:val="22"/>
        </w:rPr>
        <w:t xml:space="preserve">Figure </w:t>
      </w:r>
      <w:r w:rsidRPr="00CE7350">
        <w:rPr>
          <w:b/>
          <w:bCs/>
          <w:sz w:val="22"/>
          <w:szCs w:val="22"/>
        </w:rPr>
        <w:fldChar w:fldCharType="begin"/>
      </w:r>
      <w:r w:rsidRPr="00CE7350">
        <w:rPr>
          <w:b/>
          <w:bCs/>
          <w:sz w:val="22"/>
          <w:szCs w:val="22"/>
        </w:rPr>
        <w:instrText xml:space="preserve"> SEQ Figure \* ARABIC </w:instrText>
      </w:r>
      <w:r w:rsidRPr="00CE7350">
        <w:rPr>
          <w:b/>
          <w:bCs/>
          <w:sz w:val="22"/>
          <w:szCs w:val="22"/>
        </w:rPr>
        <w:fldChar w:fldCharType="separate"/>
      </w:r>
      <w:r>
        <w:rPr>
          <w:b/>
          <w:bCs/>
          <w:noProof/>
          <w:sz w:val="22"/>
          <w:szCs w:val="22"/>
        </w:rPr>
        <w:t>16</w:t>
      </w:r>
      <w:r w:rsidRPr="00CE7350">
        <w:rPr>
          <w:b/>
          <w:bCs/>
          <w:sz w:val="22"/>
          <w:szCs w:val="22"/>
        </w:rPr>
        <w:fldChar w:fldCharType="end"/>
      </w:r>
      <w:r w:rsidRPr="00CE7350">
        <w:rPr>
          <w:b/>
          <w:bCs/>
          <w:sz w:val="22"/>
          <w:szCs w:val="22"/>
        </w:rPr>
        <w:t>. Test area under the curve of the receiver-operating characteristic values (AUC) +/- standard error for models.</w:t>
      </w:r>
      <w:r w:rsidRPr="00CE7350">
        <w:rPr>
          <w:sz w:val="22"/>
          <w:szCs w:val="22"/>
        </w:rPr>
        <w:t xml:space="preserve"> Color represents geographic training extent of </w:t>
      </w:r>
      <w:proofErr w:type="gramStart"/>
      <w:r w:rsidRPr="00CE7350">
        <w:rPr>
          <w:sz w:val="22"/>
          <w:szCs w:val="22"/>
        </w:rPr>
        <w:t>model,</w:t>
      </w:r>
      <w:proofErr w:type="gramEnd"/>
      <w:r w:rsidRPr="00CE7350">
        <w:rPr>
          <w:sz w:val="22"/>
          <w:szCs w:val="22"/>
        </w:rPr>
        <w:t xml:space="preserve"> symbol fill represents the variable selection method (closed = range-wide variable selection (RW); open = genetic provenance variable selection). Diamonds represent models built with bioclimatic variables only and circles represent values from full models</w:t>
      </w:r>
      <w:r w:rsidR="00CD2B89">
        <w:rPr>
          <w:sz w:val="22"/>
          <w:szCs w:val="22"/>
        </w:rPr>
        <w:t>.</w:t>
      </w:r>
      <w:bookmarkEnd w:id="76"/>
    </w:p>
    <w:p w14:paraId="556962BA" w14:textId="77777777" w:rsidR="00CE7350" w:rsidRDefault="00CE7350">
      <w:pPr>
        <w:rPr>
          <w:sz w:val="22"/>
          <w:szCs w:val="22"/>
        </w:rPr>
      </w:pPr>
      <w:r>
        <w:rPr>
          <w:sz w:val="22"/>
          <w:szCs w:val="22"/>
        </w:rPr>
        <w:br w:type="page"/>
      </w:r>
    </w:p>
    <w:p w14:paraId="44CC0280" w14:textId="523D76BA" w:rsidR="00CE7350" w:rsidRDefault="00CE7350" w:rsidP="00CE7350">
      <w:pPr>
        <w:spacing w:line="276" w:lineRule="auto"/>
        <w:rPr>
          <w:sz w:val="22"/>
          <w:szCs w:val="22"/>
        </w:rPr>
      </w:pPr>
      <w:r w:rsidRPr="00EB76F9">
        <w:rPr>
          <w:noProof/>
        </w:rPr>
        <w:lastRenderedPageBreak/>
        <w:drawing>
          <wp:inline distT="0" distB="0" distL="0" distR="0" wp14:anchorId="1AD9B111" wp14:editId="6411CC0F">
            <wp:extent cx="5486400" cy="2326640"/>
            <wp:effectExtent l="0" t="0" r="0" b="0"/>
            <wp:docPr id="19" name="Picture 19" descr="A picture containing text, crossword puzz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crossword puzzle&#10;&#10;Description automatically generated"/>
                    <pic:cNvPicPr/>
                  </pic:nvPicPr>
                  <pic:blipFill rotWithShape="1">
                    <a:blip r:embed="rId24"/>
                    <a:srcRect b="11204"/>
                    <a:stretch/>
                  </pic:blipFill>
                  <pic:spPr bwMode="auto">
                    <a:xfrm>
                      <a:off x="0" y="0"/>
                      <a:ext cx="5486400" cy="2326640"/>
                    </a:xfrm>
                    <a:prstGeom prst="rect">
                      <a:avLst/>
                    </a:prstGeom>
                    <a:ln>
                      <a:noFill/>
                    </a:ln>
                    <a:extLst>
                      <a:ext uri="{53640926-AAD7-44D8-BBD7-CCE9431645EC}">
                        <a14:shadowObscured xmlns:a14="http://schemas.microsoft.com/office/drawing/2010/main"/>
                      </a:ext>
                    </a:extLst>
                  </pic:spPr>
                </pic:pic>
              </a:graphicData>
            </a:graphic>
          </wp:inline>
        </w:drawing>
      </w:r>
    </w:p>
    <w:p w14:paraId="2A424556" w14:textId="449FA998" w:rsidR="00CE7350" w:rsidRDefault="00CE7350" w:rsidP="00CE7350">
      <w:pPr>
        <w:jc w:val="both"/>
        <w:rPr>
          <w:sz w:val="22"/>
          <w:szCs w:val="22"/>
        </w:rPr>
      </w:pPr>
      <w:bookmarkStart w:id="77" w:name="_Toc88054012"/>
      <w:r w:rsidRPr="00CE7350">
        <w:rPr>
          <w:b/>
          <w:bCs/>
          <w:sz w:val="22"/>
          <w:szCs w:val="22"/>
        </w:rPr>
        <w:t xml:space="preserve">Figure </w:t>
      </w:r>
      <w:r w:rsidRPr="00CE7350">
        <w:rPr>
          <w:b/>
          <w:bCs/>
          <w:sz w:val="22"/>
          <w:szCs w:val="22"/>
        </w:rPr>
        <w:fldChar w:fldCharType="begin"/>
      </w:r>
      <w:r w:rsidRPr="00CE7350">
        <w:rPr>
          <w:b/>
          <w:bCs/>
          <w:sz w:val="22"/>
          <w:szCs w:val="22"/>
        </w:rPr>
        <w:instrText xml:space="preserve"> SEQ Figure \* ARABIC </w:instrText>
      </w:r>
      <w:r w:rsidRPr="00CE7350">
        <w:rPr>
          <w:b/>
          <w:bCs/>
          <w:sz w:val="22"/>
          <w:szCs w:val="22"/>
        </w:rPr>
        <w:fldChar w:fldCharType="separate"/>
      </w:r>
      <w:r>
        <w:rPr>
          <w:b/>
          <w:bCs/>
          <w:noProof/>
          <w:sz w:val="22"/>
          <w:szCs w:val="22"/>
        </w:rPr>
        <w:t>17</w:t>
      </w:r>
      <w:r w:rsidRPr="00CE7350">
        <w:rPr>
          <w:b/>
          <w:bCs/>
          <w:sz w:val="22"/>
          <w:szCs w:val="22"/>
        </w:rPr>
        <w:fldChar w:fldCharType="end"/>
      </w:r>
      <w:r w:rsidRPr="00CE7350">
        <w:rPr>
          <w:b/>
          <w:bCs/>
          <w:sz w:val="22"/>
          <w:szCs w:val="22"/>
        </w:rPr>
        <w:t xml:space="preserve">. Test </w:t>
      </w:r>
      <w:r w:rsidR="001E1D29">
        <w:rPr>
          <w:b/>
          <w:bCs/>
          <w:sz w:val="22"/>
          <w:szCs w:val="22"/>
        </w:rPr>
        <w:t>p</w:t>
      </w:r>
      <w:r w:rsidRPr="00CE7350">
        <w:rPr>
          <w:b/>
          <w:bCs/>
          <w:sz w:val="22"/>
          <w:szCs w:val="22"/>
        </w:rPr>
        <w:t xml:space="preserve">ercent contribution of environmental variables to different </w:t>
      </w:r>
      <w:r w:rsidR="00DE413C">
        <w:rPr>
          <w:b/>
          <w:bCs/>
          <w:sz w:val="22"/>
          <w:szCs w:val="22"/>
        </w:rPr>
        <w:t>SDM</w:t>
      </w:r>
      <w:r w:rsidRPr="00CE7350">
        <w:rPr>
          <w:b/>
          <w:bCs/>
          <w:sz w:val="22"/>
          <w:szCs w:val="22"/>
        </w:rPr>
        <w:t xml:space="preserve">s. Panel (a) </w:t>
      </w:r>
      <w:r w:rsidRPr="00CE7350">
        <w:rPr>
          <w:sz w:val="22"/>
          <w:szCs w:val="22"/>
        </w:rPr>
        <w:t xml:space="preserve">represents model experiments using only bioclimatic variables, and </w:t>
      </w:r>
      <w:r w:rsidRPr="00CE7350">
        <w:rPr>
          <w:b/>
          <w:bCs/>
          <w:sz w:val="22"/>
          <w:szCs w:val="22"/>
        </w:rPr>
        <w:t xml:space="preserve">panel (b) </w:t>
      </w:r>
      <w:r w:rsidRPr="00CE7350">
        <w:rPr>
          <w:sz w:val="22"/>
          <w:szCs w:val="22"/>
        </w:rPr>
        <w:t xml:space="preserve">represents model experiments using both bioclimatic + hydrological variables (y-axis); </w:t>
      </w:r>
      <w:r w:rsidRPr="00CE7350">
        <w:rPr>
          <w:b/>
          <w:bCs/>
          <w:sz w:val="22"/>
          <w:szCs w:val="22"/>
        </w:rPr>
        <w:t xml:space="preserve">panel (c) </w:t>
      </w:r>
      <w:r w:rsidRPr="00CE7350">
        <w:rPr>
          <w:sz w:val="22"/>
          <w:szCs w:val="22"/>
        </w:rPr>
        <w:t>shows the average percent (%) contributions of variable type (bioclimatic (C) or hydrologic (E)) +/- se based on the seven full models represented in panel b, significant at p=0.07 using an unpaired two-tailed t-test. The percent contribution (%) of environmental variables</w:t>
      </w:r>
      <w:r w:rsidRPr="00CE7350">
        <w:rPr>
          <w:b/>
          <w:bCs/>
          <w:sz w:val="22"/>
          <w:szCs w:val="22"/>
        </w:rPr>
        <w:t xml:space="preserve"> </w:t>
      </w:r>
      <w:r w:rsidRPr="00CE7350">
        <w:rPr>
          <w:sz w:val="22"/>
          <w:szCs w:val="22"/>
        </w:rPr>
        <w:t xml:space="preserve">(x-axis) is represented in grey scale, where the gradient of light grey to black represents 0-50% contribution in </w:t>
      </w:r>
      <w:r w:rsidRPr="00CE7350">
        <w:rPr>
          <w:b/>
          <w:bCs/>
          <w:sz w:val="22"/>
          <w:szCs w:val="22"/>
        </w:rPr>
        <w:t xml:space="preserve">panel (a) </w:t>
      </w:r>
      <w:r w:rsidRPr="00CE7350">
        <w:rPr>
          <w:sz w:val="22"/>
          <w:szCs w:val="22"/>
        </w:rPr>
        <w:t xml:space="preserve">and 0-60% contribution in </w:t>
      </w:r>
      <w:r w:rsidRPr="00CE7350">
        <w:rPr>
          <w:b/>
          <w:bCs/>
          <w:sz w:val="22"/>
          <w:szCs w:val="22"/>
        </w:rPr>
        <w:t>panel (b)</w:t>
      </w:r>
      <w:r w:rsidRPr="00CE7350">
        <w:rPr>
          <w:sz w:val="22"/>
          <w:szCs w:val="22"/>
        </w:rPr>
        <w:t>;</w:t>
      </w:r>
      <w:r w:rsidRPr="00CE7350">
        <w:rPr>
          <w:b/>
          <w:bCs/>
          <w:sz w:val="22"/>
          <w:szCs w:val="22"/>
        </w:rPr>
        <w:t xml:space="preserve"> </w:t>
      </w:r>
      <w:r w:rsidRPr="00CE7350">
        <w:rPr>
          <w:sz w:val="22"/>
          <w:szCs w:val="22"/>
        </w:rPr>
        <w:t xml:space="preserve">Exact values are </w:t>
      </w:r>
      <w:r w:rsidRPr="00050135">
        <w:rPr>
          <w:sz w:val="22"/>
          <w:szCs w:val="22"/>
        </w:rPr>
        <w:t>given in</w:t>
      </w:r>
      <w:r w:rsidRPr="00050135">
        <w:rPr>
          <w:b/>
          <w:bCs/>
          <w:sz w:val="22"/>
          <w:szCs w:val="22"/>
        </w:rPr>
        <w:t xml:space="preserve"> </w:t>
      </w:r>
      <w:r w:rsidR="00050135" w:rsidRPr="00050135">
        <w:rPr>
          <w:sz w:val="22"/>
          <w:szCs w:val="22"/>
        </w:rPr>
        <w:t>Table 9</w:t>
      </w:r>
      <w:r w:rsidRPr="00050135">
        <w:rPr>
          <w:sz w:val="22"/>
          <w:szCs w:val="22"/>
        </w:rPr>
        <w:t>.</w:t>
      </w:r>
      <w:r w:rsidRPr="00050135">
        <w:rPr>
          <w:b/>
          <w:bCs/>
          <w:sz w:val="22"/>
          <w:szCs w:val="22"/>
        </w:rPr>
        <w:t xml:space="preserve"> </w:t>
      </w:r>
      <w:r w:rsidRPr="00050135">
        <w:rPr>
          <w:sz w:val="22"/>
          <w:szCs w:val="22"/>
        </w:rPr>
        <w:t xml:space="preserve">In </w:t>
      </w:r>
      <w:r w:rsidRPr="00050135">
        <w:rPr>
          <w:b/>
          <w:bCs/>
          <w:sz w:val="22"/>
          <w:szCs w:val="22"/>
        </w:rPr>
        <w:t>panels</w:t>
      </w:r>
      <w:r w:rsidRPr="00CE7350">
        <w:rPr>
          <w:b/>
          <w:bCs/>
          <w:sz w:val="22"/>
          <w:szCs w:val="22"/>
        </w:rPr>
        <w:t xml:space="preserve"> (a) and (b)</w:t>
      </w:r>
      <w:r w:rsidRPr="00CE7350">
        <w:rPr>
          <w:sz w:val="22"/>
          <w:szCs w:val="22"/>
        </w:rPr>
        <w:t>,</w:t>
      </w:r>
      <w:r w:rsidRPr="00CE7350">
        <w:rPr>
          <w:b/>
          <w:bCs/>
          <w:sz w:val="22"/>
          <w:szCs w:val="22"/>
        </w:rPr>
        <w:t xml:space="preserve"> </w:t>
      </w:r>
      <w:r w:rsidRPr="00CE7350">
        <w:rPr>
          <w:sz w:val="22"/>
          <w:szCs w:val="22"/>
        </w:rPr>
        <w:t>blank white squares represent variables not selected for inclusion in the model experiment. Each model experiment is represented by color (training extent), symbol (variable inclusion), and symbol fill (variable selection method)</w:t>
      </w:r>
      <w:r w:rsidR="008E3DA3">
        <w:rPr>
          <w:sz w:val="22"/>
          <w:szCs w:val="22"/>
        </w:rPr>
        <w:t xml:space="preserve">. </w:t>
      </w:r>
      <w:r w:rsidRPr="00CE7350">
        <w:rPr>
          <w:sz w:val="22"/>
          <w:szCs w:val="22"/>
        </w:rPr>
        <w:t xml:space="preserve">Environmental variable abbreviations, in alphabetical order, represent: </w:t>
      </w:r>
      <w:proofErr w:type="spellStart"/>
      <w:r w:rsidRPr="00CE7350">
        <w:rPr>
          <w:sz w:val="22"/>
          <w:szCs w:val="22"/>
        </w:rPr>
        <w:t>ahm</w:t>
      </w:r>
      <w:proofErr w:type="spellEnd"/>
      <w:r w:rsidRPr="00CE7350">
        <w:rPr>
          <w:sz w:val="22"/>
          <w:szCs w:val="22"/>
        </w:rPr>
        <w:t xml:space="preserve"> (annual heat moisture index), </w:t>
      </w:r>
      <w:proofErr w:type="spellStart"/>
      <w:r w:rsidRPr="00CE7350">
        <w:rPr>
          <w:sz w:val="22"/>
          <w:szCs w:val="22"/>
        </w:rPr>
        <w:t>cmd</w:t>
      </w:r>
      <w:proofErr w:type="spellEnd"/>
      <w:r w:rsidRPr="00CE7350">
        <w:rPr>
          <w:sz w:val="22"/>
          <w:szCs w:val="22"/>
        </w:rPr>
        <w:t xml:space="preserve"> (</w:t>
      </w:r>
      <w:proofErr w:type="spellStart"/>
      <w:r w:rsidRPr="00CE7350">
        <w:rPr>
          <w:sz w:val="22"/>
          <w:szCs w:val="22"/>
        </w:rPr>
        <w:t>Hargreave's</w:t>
      </w:r>
      <w:proofErr w:type="spellEnd"/>
      <w:r w:rsidRPr="00CE7350">
        <w:rPr>
          <w:sz w:val="22"/>
          <w:szCs w:val="22"/>
        </w:rPr>
        <w:t xml:space="preserve"> climatic moisture index), dd_0 (degree-days below 0°C), </w:t>
      </w:r>
      <w:proofErr w:type="spellStart"/>
      <w:r w:rsidRPr="00CE7350">
        <w:rPr>
          <w:sz w:val="22"/>
          <w:szCs w:val="22"/>
        </w:rPr>
        <w:t>eref</w:t>
      </w:r>
      <w:proofErr w:type="spellEnd"/>
      <w:r w:rsidRPr="00CE7350">
        <w:rPr>
          <w:sz w:val="22"/>
          <w:szCs w:val="22"/>
        </w:rPr>
        <w:t xml:space="preserve"> (</w:t>
      </w:r>
      <w:proofErr w:type="spellStart"/>
      <w:r w:rsidRPr="00CE7350">
        <w:rPr>
          <w:sz w:val="22"/>
          <w:szCs w:val="22"/>
        </w:rPr>
        <w:t>Hargreave's</w:t>
      </w:r>
      <w:proofErr w:type="spellEnd"/>
      <w:r w:rsidRPr="00CE7350">
        <w:rPr>
          <w:sz w:val="22"/>
          <w:szCs w:val="22"/>
        </w:rPr>
        <w:t xml:space="preserve"> reference evaporation), map (mean annual precipitation (mm)), mar (mean annual solar radiation (MJ m-2 d-1)), </w:t>
      </w:r>
      <w:proofErr w:type="spellStart"/>
      <w:r w:rsidRPr="00CE7350">
        <w:rPr>
          <w:sz w:val="22"/>
          <w:szCs w:val="22"/>
        </w:rPr>
        <w:t>mcmt</w:t>
      </w:r>
      <w:proofErr w:type="spellEnd"/>
      <w:r w:rsidRPr="00CE7350">
        <w:rPr>
          <w:sz w:val="22"/>
          <w:szCs w:val="22"/>
        </w:rPr>
        <w:t xml:space="preserve"> (mean temperature of the coldest month (°C)), </w:t>
      </w:r>
      <w:proofErr w:type="spellStart"/>
      <w:r w:rsidRPr="00CE7350">
        <w:rPr>
          <w:sz w:val="22"/>
          <w:szCs w:val="22"/>
        </w:rPr>
        <w:t>msp</w:t>
      </w:r>
      <w:proofErr w:type="spellEnd"/>
      <w:r w:rsidRPr="00CE7350">
        <w:rPr>
          <w:sz w:val="22"/>
          <w:szCs w:val="22"/>
        </w:rPr>
        <w:t xml:space="preserve"> (mean summer (May to Sep) precipitation (mm)), </w:t>
      </w:r>
      <w:proofErr w:type="spellStart"/>
      <w:r w:rsidRPr="00CE7350">
        <w:rPr>
          <w:sz w:val="22"/>
          <w:szCs w:val="22"/>
        </w:rPr>
        <w:t>nffd</w:t>
      </w:r>
      <w:proofErr w:type="spellEnd"/>
      <w:r w:rsidRPr="00CE7350">
        <w:rPr>
          <w:sz w:val="22"/>
          <w:szCs w:val="22"/>
        </w:rPr>
        <w:t xml:space="preserve"> (number of frost-free days), pas (precipitation as snow (mm)), </w:t>
      </w:r>
      <w:proofErr w:type="spellStart"/>
      <w:r w:rsidRPr="00CE7350">
        <w:rPr>
          <w:sz w:val="22"/>
          <w:szCs w:val="22"/>
        </w:rPr>
        <w:t>ppt_sm</w:t>
      </w:r>
      <w:proofErr w:type="spellEnd"/>
      <w:r w:rsidRPr="00CE7350">
        <w:rPr>
          <w:sz w:val="22"/>
          <w:szCs w:val="22"/>
        </w:rPr>
        <w:t xml:space="preserve"> (summer (Jun to Aug) precipitation (mm)), </w:t>
      </w:r>
      <w:proofErr w:type="spellStart"/>
      <w:r w:rsidRPr="00CE7350">
        <w:rPr>
          <w:sz w:val="22"/>
          <w:szCs w:val="22"/>
        </w:rPr>
        <w:t>ppt_wt</w:t>
      </w:r>
      <w:proofErr w:type="spellEnd"/>
      <w:r w:rsidRPr="00CE7350">
        <w:rPr>
          <w:sz w:val="22"/>
          <w:szCs w:val="22"/>
        </w:rPr>
        <w:t xml:space="preserve"> (winter (Dec to Feb) precipitation (mm)), rh (mean annual relative humidity (%)), td (difference between MCMT and MWMT, continentality (°C)), and in panel </w:t>
      </w:r>
      <w:r w:rsidRPr="00CE7350">
        <w:rPr>
          <w:b/>
          <w:bCs/>
          <w:sz w:val="22"/>
          <w:szCs w:val="22"/>
        </w:rPr>
        <w:t>(b)</w:t>
      </w:r>
      <w:r w:rsidRPr="00CE7350">
        <w:rPr>
          <w:sz w:val="22"/>
          <w:szCs w:val="22"/>
        </w:rPr>
        <w:t xml:space="preserve"> </w:t>
      </w:r>
      <w:proofErr w:type="spellStart"/>
      <w:r w:rsidRPr="00CE7350">
        <w:rPr>
          <w:sz w:val="22"/>
          <w:szCs w:val="22"/>
        </w:rPr>
        <w:t>dist</w:t>
      </w:r>
      <w:proofErr w:type="spellEnd"/>
      <w:r w:rsidRPr="00CE7350">
        <w:rPr>
          <w:sz w:val="22"/>
          <w:szCs w:val="22"/>
        </w:rPr>
        <w:t xml:space="preserve"> (distance to nearest stream), </w:t>
      </w:r>
      <w:proofErr w:type="spellStart"/>
      <w:r w:rsidRPr="00CE7350">
        <w:rPr>
          <w:sz w:val="22"/>
          <w:szCs w:val="22"/>
        </w:rPr>
        <w:t>q_ma</w:t>
      </w:r>
      <w:proofErr w:type="spellEnd"/>
      <w:r w:rsidRPr="00CE7350">
        <w:rPr>
          <w:sz w:val="22"/>
          <w:szCs w:val="22"/>
        </w:rPr>
        <w:t xml:space="preserve"> (mean annual streamflow), </w:t>
      </w:r>
      <w:proofErr w:type="spellStart"/>
      <w:r w:rsidRPr="00CE7350">
        <w:rPr>
          <w:sz w:val="22"/>
          <w:szCs w:val="22"/>
        </w:rPr>
        <w:t>strmord</w:t>
      </w:r>
      <w:proofErr w:type="spellEnd"/>
      <w:r w:rsidRPr="00CE7350">
        <w:rPr>
          <w:sz w:val="22"/>
          <w:szCs w:val="22"/>
        </w:rPr>
        <w:t xml:space="preserve"> (Strahler stream order), and </w:t>
      </w:r>
      <w:proofErr w:type="spellStart"/>
      <w:r w:rsidRPr="00CE7350">
        <w:rPr>
          <w:sz w:val="22"/>
          <w:szCs w:val="22"/>
        </w:rPr>
        <w:t>v_ma</w:t>
      </w:r>
      <w:proofErr w:type="spellEnd"/>
      <w:r w:rsidRPr="00CE7350">
        <w:rPr>
          <w:sz w:val="22"/>
          <w:szCs w:val="22"/>
        </w:rPr>
        <w:t xml:space="preserve"> (mean annual stream velocity).</w:t>
      </w:r>
      <w:bookmarkEnd w:id="77"/>
    </w:p>
    <w:p w14:paraId="3F5EA140" w14:textId="77777777" w:rsidR="00CE7350" w:rsidRDefault="00CE7350">
      <w:pPr>
        <w:rPr>
          <w:sz w:val="22"/>
          <w:szCs w:val="22"/>
        </w:rPr>
      </w:pPr>
      <w:r>
        <w:rPr>
          <w:sz w:val="22"/>
          <w:szCs w:val="22"/>
        </w:rPr>
        <w:br w:type="page"/>
      </w:r>
    </w:p>
    <w:p w14:paraId="044BC86A" w14:textId="367DF89B" w:rsidR="00CE7350" w:rsidRPr="00CE7350" w:rsidRDefault="00CE7350" w:rsidP="00CE7350">
      <w:pPr>
        <w:jc w:val="center"/>
        <w:rPr>
          <w:sz w:val="22"/>
          <w:szCs w:val="22"/>
        </w:rPr>
      </w:pPr>
      <w:r w:rsidRPr="00EB76F9">
        <w:rPr>
          <w:noProof/>
        </w:rPr>
        <w:lastRenderedPageBreak/>
        <w:drawing>
          <wp:inline distT="0" distB="0" distL="0" distR="0" wp14:anchorId="19B71599" wp14:editId="1FC44668">
            <wp:extent cx="4111586" cy="2235200"/>
            <wp:effectExtent l="0" t="0" r="3810" b="0"/>
            <wp:docPr id="20" name="Picture 20"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bar chart, histogram&#10;&#10;Description automatically generated"/>
                    <pic:cNvPicPr/>
                  </pic:nvPicPr>
                  <pic:blipFill>
                    <a:blip r:embed="rId25"/>
                    <a:stretch>
                      <a:fillRect/>
                    </a:stretch>
                  </pic:blipFill>
                  <pic:spPr>
                    <a:xfrm>
                      <a:off x="0" y="0"/>
                      <a:ext cx="4118130" cy="2238758"/>
                    </a:xfrm>
                    <a:prstGeom prst="rect">
                      <a:avLst/>
                    </a:prstGeom>
                  </pic:spPr>
                </pic:pic>
              </a:graphicData>
            </a:graphic>
          </wp:inline>
        </w:drawing>
      </w:r>
    </w:p>
    <w:p w14:paraId="5F7EBB99" w14:textId="313063C2" w:rsidR="00CE7350" w:rsidRDefault="00CE7350" w:rsidP="00C90343">
      <w:pPr>
        <w:jc w:val="both"/>
        <w:rPr>
          <w:sz w:val="22"/>
          <w:szCs w:val="22"/>
        </w:rPr>
      </w:pPr>
      <w:bookmarkStart w:id="78" w:name="_Toc88054013"/>
      <w:r w:rsidRPr="00CE7350">
        <w:rPr>
          <w:b/>
          <w:bCs/>
          <w:sz w:val="22"/>
          <w:szCs w:val="22"/>
        </w:rPr>
        <w:t xml:space="preserve">Figure </w:t>
      </w:r>
      <w:r w:rsidRPr="00CE7350">
        <w:rPr>
          <w:b/>
          <w:bCs/>
          <w:sz w:val="22"/>
          <w:szCs w:val="22"/>
        </w:rPr>
        <w:fldChar w:fldCharType="begin"/>
      </w:r>
      <w:r w:rsidRPr="00CE7350">
        <w:rPr>
          <w:b/>
          <w:bCs/>
          <w:sz w:val="22"/>
          <w:szCs w:val="22"/>
        </w:rPr>
        <w:instrText xml:space="preserve"> SEQ Figure \* ARABIC </w:instrText>
      </w:r>
      <w:r w:rsidRPr="00CE7350">
        <w:rPr>
          <w:b/>
          <w:bCs/>
          <w:sz w:val="22"/>
          <w:szCs w:val="22"/>
        </w:rPr>
        <w:fldChar w:fldCharType="separate"/>
      </w:r>
      <w:r w:rsidRPr="00CE7350">
        <w:rPr>
          <w:b/>
          <w:bCs/>
          <w:noProof/>
          <w:sz w:val="22"/>
          <w:szCs w:val="22"/>
        </w:rPr>
        <w:t>18</w:t>
      </w:r>
      <w:r w:rsidRPr="00CE7350">
        <w:rPr>
          <w:b/>
          <w:bCs/>
          <w:sz w:val="22"/>
          <w:szCs w:val="22"/>
        </w:rPr>
        <w:fldChar w:fldCharType="end"/>
      </w:r>
      <w:r w:rsidRPr="00CE7350">
        <w:rPr>
          <w:b/>
          <w:bCs/>
          <w:sz w:val="22"/>
          <w:szCs w:val="22"/>
        </w:rPr>
        <w:t xml:space="preserve">. Models built with bioclimatic variables only: Comparison of species </w:t>
      </w:r>
      <w:r w:rsidR="00DE413C">
        <w:rPr>
          <w:b/>
          <w:bCs/>
          <w:sz w:val="22"/>
          <w:szCs w:val="22"/>
        </w:rPr>
        <w:t>SDM</w:t>
      </w:r>
      <w:r w:rsidRPr="00CE7350">
        <w:rPr>
          <w:b/>
          <w:bCs/>
          <w:sz w:val="22"/>
          <w:szCs w:val="22"/>
        </w:rPr>
        <w:t xml:space="preserve">s to provenance </w:t>
      </w:r>
      <w:r w:rsidR="00DE413C">
        <w:rPr>
          <w:b/>
          <w:bCs/>
          <w:sz w:val="22"/>
          <w:szCs w:val="22"/>
        </w:rPr>
        <w:t>SDM</w:t>
      </w:r>
      <w:r w:rsidRPr="00CE7350">
        <w:rPr>
          <w:b/>
          <w:bCs/>
          <w:sz w:val="22"/>
          <w:szCs w:val="22"/>
        </w:rPr>
        <w:t xml:space="preserve">s (P1, P2, P3) across two methods of variable selection (RW and P; closed and open symbols). </w:t>
      </w:r>
      <w:r w:rsidRPr="00CE7350">
        <w:rPr>
          <w:sz w:val="22"/>
          <w:szCs w:val="22"/>
        </w:rPr>
        <w:t>Panel</w:t>
      </w:r>
      <w:r w:rsidRPr="00CE7350">
        <w:rPr>
          <w:b/>
          <w:bCs/>
          <w:sz w:val="22"/>
          <w:szCs w:val="22"/>
        </w:rPr>
        <w:t xml:space="preserve"> (a) </w:t>
      </w:r>
      <w:r w:rsidRPr="00CE7350">
        <w:rPr>
          <w:sz w:val="22"/>
          <w:szCs w:val="22"/>
        </w:rPr>
        <w:t xml:space="preserve">represents the percent difference (spatial disagreement) between predictions of suitable distribution made by the range-wide species model and respective provenance models. Positive values indicate that the range-wide model predicts broader suitable distribution than the provenance model. Panel </w:t>
      </w:r>
      <w:r w:rsidRPr="00CE7350">
        <w:rPr>
          <w:b/>
          <w:bCs/>
          <w:sz w:val="22"/>
          <w:szCs w:val="22"/>
        </w:rPr>
        <w:t>(b)</w:t>
      </w:r>
      <w:r w:rsidRPr="00CE7350">
        <w:rPr>
          <w:sz w:val="22"/>
          <w:szCs w:val="22"/>
        </w:rPr>
        <w:t xml:space="preserve"> represents spatial agreement between model predictions of suitable distribution. This value is not considering model agreement on “unsuitable” distribution.</w:t>
      </w:r>
      <w:bookmarkEnd w:id="78"/>
    </w:p>
    <w:p w14:paraId="435DE4D5" w14:textId="77777777" w:rsidR="00CE7350" w:rsidRDefault="00CE7350">
      <w:pPr>
        <w:rPr>
          <w:sz w:val="22"/>
          <w:szCs w:val="22"/>
        </w:rPr>
      </w:pPr>
      <w:r>
        <w:rPr>
          <w:sz w:val="22"/>
          <w:szCs w:val="22"/>
        </w:rPr>
        <w:br w:type="page"/>
      </w:r>
    </w:p>
    <w:p w14:paraId="39F03050" w14:textId="4F511ABE" w:rsidR="00CE7350" w:rsidRDefault="00CE7350" w:rsidP="00CE7350">
      <w:pPr>
        <w:spacing w:line="276" w:lineRule="auto"/>
        <w:jc w:val="center"/>
        <w:rPr>
          <w:b/>
          <w:bCs/>
          <w:sz w:val="22"/>
          <w:szCs w:val="22"/>
        </w:rPr>
      </w:pPr>
      <w:r w:rsidRPr="00EB76F9">
        <w:rPr>
          <w:noProof/>
        </w:rPr>
        <w:lastRenderedPageBreak/>
        <w:drawing>
          <wp:inline distT="0" distB="0" distL="0" distR="0" wp14:anchorId="4529AD52" wp14:editId="6AEB058B">
            <wp:extent cx="3356382" cy="2801257"/>
            <wp:effectExtent l="0" t="0" r="0" b="5715"/>
            <wp:docPr id="21" name="Picture 2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bar chart&#10;&#10;Description automatically generated"/>
                    <pic:cNvPicPr/>
                  </pic:nvPicPr>
                  <pic:blipFill>
                    <a:blip r:embed="rId26"/>
                    <a:stretch>
                      <a:fillRect/>
                    </a:stretch>
                  </pic:blipFill>
                  <pic:spPr>
                    <a:xfrm>
                      <a:off x="0" y="0"/>
                      <a:ext cx="3388016" cy="2827659"/>
                    </a:xfrm>
                    <a:prstGeom prst="rect">
                      <a:avLst/>
                    </a:prstGeom>
                  </pic:spPr>
                </pic:pic>
              </a:graphicData>
            </a:graphic>
          </wp:inline>
        </w:drawing>
      </w:r>
    </w:p>
    <w:p w14:paraId="57331386" w14:textId="0D397983" w:rsidR="00CE7350" w:rsidRPr="008E3DA3" w:rsidRDefault="00CE7350" w:rsidP="00C90343">
      <w:pPr>
        <w:jc w:val="both"/>
        <w:rPr>
          <w:sz w:val="22"/>
          <w:szCs w:val="22"/>
        </w:rPr>
      </w:pPr>
      <w:bookmarkStart w:id="79" w:name="_Toc88054014"/>
      <w:r w:rsidRPr="00CE7350">
        <w:rPr>
          <w:b/>
          <w:bCs/>
          <w:sz w:val="22"/>
          <w:szCs w:val="22"/>
        </w:rPr>
        <w:t xml:space="preserve">Figure </w:t>
      </w:r>
      <w:r w:rsidRPr="00CE7350">
        <w:rPr>
          <w:b/>
          <w:bCs/>
          <w:sz w:val="22"/>
          <w:szCs w:val="22"/>
        </w:rPr>
        <w:fldChar w:fldCharType="begin"/>
      </w:r>
      <w:r w:rsidRPr="00CE7350">
        <w:rPr>
          <w:b/>
          <w:bCs/>
          <w:sz w:val="22"/>
          <w:szCs w:val="22"/>
        </w:rPr>
        <w:instrText xml:space="preserve"> SEQ Figure \* ARABIC </w:instrText>
      </w:r>
      <w:r w:rsidRPr="00CE7350">
        <w:rPr>
          <w:b/>
          <w:bCs/>
          <w:sz w:val="22"/>
          <w:szCs w:val="22"/>
        </w:rPr>
        <w:fldChar w:fldCharType="separate"/>
      </w:r>
      <w:r w:rsidRPr="00CE7350">
        <w:rPr>
          <w:b/>
          <w:bCs/>
          <w:noProof/>
          <w:sz w:val="22"/>
          <w:szCs w:val="22"/>
        </w:rPr>
        <w:t>19</w:t>
      </w:r>
      <w:r w:rsidRPr="00CE7350">
        <w:rPr>
          <w:b/>
          <w:bCs/>
          <w:sz w:val="22"/>
          <w:szCs w:val="22"/>
        </w:rPr>
        <w:fldChar w:fldCharType="end"/>
      </w:r>
      <w:r w:rsidRPr="00CE7350">
        <w:rPr>
          <w:b/>
          <w:bCs/>
          <w:sz w:val="22"/>
          <w:szCs w:val="22"/>
        </w:rPr>
        <w:t xml:space="preserve">. Comparisons of area predicted suitable by variable type. </w:t>
      </w:r>
      <w:r w:rsidRPr="00CE7350">
        <w:rPr>
          <w:sz w:val="22"/>
          <w:szCs w:val="22"/>
        </w:rPr>
        <w:t>Stacked bars represent 100% of suitable distribution predicted within each model experiment’s training extent (represented by color). Lighter shades of color (bottom) represent the percentage of the landscape predicted suitable by both model types, medium shades of color (middle) represent the percentage of the landscape predicted suitable by only the bioclimatic models, and the darker shades (top) represent the percentage of suitable landscape predicted only by the full models. As in earlier figures, color represents model training extent, symbols represent variable type (bioclimatic only = diamond; full = circle), and symbol fill represents variable selection (range-wide = closed, provenance = open).</w:t>
      </w:r>
      <w:bookmarkEnd w:id="79"/>
      <w:r w:rsidRPr="00CE7350">
        <w:rPr>
          <w:sz w:val="22"/>
          <w:szCs w:val="22"/>
        </w:rPr>
        <w:t xml:space="preserve"> </w:t>
      </w:r>
    </w:p>
    <w:p w14:paraId="27712713" w14:textId="77777777" w:rsidR="008E3DA3" w:rsidRDefault="00236E6D">
      <w:r w:rsidRPr="00DF7C87">
        <w:br w:type="page"/>
      </w:r>
    </w:p>
    <w:p w14:paraId="5F13D1E2" w14:textId="284F74EB" w:rsidR="008E3DA3" w:rsidRDefault="008E3DA3" w:rsidP="008E3DA3">
      <w:pPr>
        <w:jc w:val="center"/>
      </w:pPr>
      <w:r w:rsidRPr="007C62FB">
        <w:lastRenderedPageBreak/>
        <w:fldChar w:fldCharType="begin"/>
      </w:r>
      <w:r w:rsidRPr="007C62FB">
        <w:instrText xml:space="preserve"> INCLUDEPICTURE "https://lh4.googleusercontent.com/ReGmcBj98LOu3WhpO6CQGjTNr5FhLUvUqge2dIzuOvLyv_qpv6JsBhDGHgJmt2eeb-xvh6zigXIxF6YNTLiexkeCtrOVpYfUXhqKW3KkE6xtVq7lXBUu9V2wy0BErol6GnfRkpmkPy0=s0" \* MERGEFORMATINET </w:instrText>
      </w:r>
      <w:r w:rsidRPr="007C62FB">
        <w:fldChar w:fldCharType="separate"/>
      </w:r>
      <w:r w:rsidRPr="007C62FB">
        <w:rPr>
          <w:noProof/>
        </w:rPr>
        <w:drawing>
          <wp:inline distT="0" distB="0" distL="0" distR="0" wp14:anchorId="0B451A17" wp14:editId="79B77F6D">
            <wp:extent cx="3472542" cy="4754711"/>
            <wp:effectExtent l="0" t="0" r="0" b="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91032" cy="4780028"/>
                    </a:xfrm>
                    <a:prstGeom prst="rect">
                      <a:avLst/>
                    </a:prstGeom>
                    <a:noFill/>
                    <a:ln>
                      <a:noFill/>
                    </a:ln>
                  </pic:spPr>
                </pic:pic>
              </a:graphicData>
            </a:graphic>
          </wp:inline>
        </w:drawing>
      </w:r>
      <w:r w:rsidRPr="007C62FB">
        <w:fldChar w:fldCharType="end"/>
      </w:r>
    </w:p>
    <w:p w14:paraId="5EA0957A" w14:textId="2EFC092C" w:rsidR="008E3DA3" w:rsidRDefault="008E3DA3" w:rsidP="00C90343">
      <w:pPr>
        <w:jc w:val="both"/>
        <w:rPr>
          <w:sz w:val="22"/>
          <w:szCs w:val="22"/>
        </w:rPr>
      </w:pPr>
      <w:bookmarkStart w:id="80" w:name="_Toc88054015"/>
      <w:r w:rsidRPr="00CE7350">
        <w:rPr>
          <w:b/>
          <w:bCs/>
          <w:sz w:val="22"/>
          <w:szCs w:val="22"/>
        </w:rPr>
        <w:t xml:space="preserve">Figure </w:t>
      </w:r>
      <w:r w:rsidRPr="00CE7350">
        <w:rPr>
          <w:b/>
          <w:bCs/>
          <w:sz w:val="22"/>
          <w:szCs w:val="22"/>
        </w:rPr>
        <w:fldChar w:fldCharType="begin"/>
      </w:r>
      <w:r w:rsidRPr="00CE7350">
        <w:rPr>
          <w:b/>
          <w:bCs/>
          <w:sz w:val="22"/>
          <w:szCs w:val="22"/>
        </w:rPr>
        <w:instrText xml:space="preserve"> SEQ Figure \* ARABIC </w:instrText>
      </w:r>
      <w:r w:rsidRPr="00CE7350">
        <w:rPr>
          <w:b/>
          <w:bCs/>
          <w:sz w:val="22"/>
          <w:szCs w:val="22"/>
        </w:rPr>
        <w:fldChar w:fldCharType="separate"/>
      </w:r>
      <w:r>
        <w:rPr>
          <w:b/>
          <w:bCs/>
          <w:noProof/>
          <w:sz w:val="22"/>
          <w:szCs w:val="22"/>
        </w:rPr>
        <w:t>20</w:t>
      </w:r>
      <w:r w:rsidRPr="00CE7350">
        <w:rPr>
          <w:b/>
          <w:bCs/>
          <w:sz w:val="22"/>
          <w:szCs w:val="22"/>
        </w:rPr>
        <w:fldChar w:fldCharType="end"/>
      </w:r>
      <w:r w:rsidRPr="00CE7350">
        <w:rPr>
          <w:b/>
          <w:bCs/>
          <w:sz w:val="22"/>
          <w:szCs w:val="22"/>
        </w:rPr>
        <w:t xml:space="preserve">. </w:t>
      </w:r>
      <w:r w:rsidRPr="006D679E">
        <w:rPr>
          <w:b/>
          <w:bCs/>
          <w:sz w:val="22"/>
          <w:szCs w:val="22"/>
        </w:rPr>
        <w:t>Model performance and environmental variable contributions to bud break decile distribution models.</w:t>
      </w:r>
      <w:r w:rsidRPr="004600A4">
        <w:rPr>
          <w:sz w:val="22"/>
          <w:szCs w:val="22"/>
        </w:rPr>
        <w:t xml:space="preserve"> </w:t>
      </w:r>
      <w:r w:rsidRPr="004600A4">
        <w:rPr>
          <w:b/>
          <w:bCs/>
          <w:sz w:val="22"/>
          <w:szCs w:val="22"/>
        </w:rPr>
        <w:t>(a)</w:t>
      </w:r>
      <w:r w:rsidRPr="004600A4">
        <w:rPr>
          <w:sz w:val="22"/>
          <w:szCs w:val="22"/>
        </w:rPr>
        <w:t xml:space="preserve"> represents the average test area under the receiver operating characteristic curve (AUC) +/- standard deviation from 5-fold cross-validation of decile models. </w:t>
      </w:r>
      <w:r w:rsidRPr="004600A4">
        <w:rPr>
          <w:color w:val="000000" w:themeColor="text1"/>
          <w:sz w:val="22"/>
          <w:szCs w:val="22"/>
        </w:rPr>
        <w:t xml:space="preserve">An AUC value of 1 indicates perfect discriminatory ability, while a value of 0.5 indicates random predictions. Panels </w:t>
      </w:r>
      <w:r w:rsidRPr="004600A4">
        <w:rPr>
          <w:b/>
          <w:bCs/>
          <w:color w:val="000000" w:themeColor="text1"/>
          <w:sz w:val="22"/>
          <w:szCs w:val="22"/>
        </w:rPr>
        <w:t>(b-f)</w:t>
      </w:r>
      <w:r w:rsidRPr="004600A4">
        <w:rPr>
          <w:color w:val="000000" w:themeColor="text1"/>
          <w:sz w:val="22"/>
          <w:szCs w:val="22"/>
        </w:rPr>
        <w:t xml:space="preserve"> represent the percent contributions of each environmental variable to the predictions made by decile models: </w:t>
      </w:r>
      <w:r w:rsidRPr="004600A4">
        <w:rPr>
          <w:b/>
          <w:bCs/>
          <w:sz w:val="22"/>
          <w:szCs w:val="22"/>
        </w:rPr>
        <w:t xml:space="preserve">(b) </w:t>
      </w:r>
      <w:r w:rsidRPr="004600A4">
        <w:rPr>
          <w:sz w:val="22"/>
          <w:szCs w:val="22"/>
        </w:rPr>
        <w:t>Strahler</w:t>
      </w:r>
      <w:r w:rsidRPr="004600A4">
        <w:rPr>
          <w:b/>
          <w:bCs/>
          <w:sz w:val="22"/>
          <w:szCs w:val="22"/>
        </w:rPr>
        <w:t xml:space="preserve"> </w:t>
      </w:r>
      <w:r w:rsidRPr="004600A4">
        <w:rPr>
          <w:sz w:val="22"/>
          <w:szCs w:val="22"/>
        </w:rPr>
        <w:t xml:space="preserve">stream order, </w:t>
      </w:r>
      <w:r w:rsidRPr="004600A4">
        <w:rPr>
          <w:b/>
          <w:bCs/>
          <w:sz w:val="22"/>
          <w:szCs w:val="22"/>
        </w:rPr>
        <w:t>(c)</w:t>
      </w:r>
      <w:r w:rsidRPr="004600A4">
        <w:rPr>
          <w:sz w:val="22"/>
          <w:szCs w:val="22"/>
        </w:rPr>
        <w:t xml:space="preserve"> </w:t>
      </w:r>
      <w:proofErr w:type="spellStart"/>
      <w:r w:rsidRPr="004600A4">
        <w:rPr>
          <w:sz w:val="22"/>
          <w:szCs w:val="22"/>
        </w:rPr>
        <w:t>Hargreave’s</w:t>
      </w:r>
      <w:proofErr w:type="spellEnd"/>
      <w:r w:rsidRPr="004600A4">
        <w:rPr>
          <w:sz w:val="22"/>
          <w:szCs w:val="22"/>
        </w:rPr>
        <w:t xml:space="preserve"> climatic moisture index in mm, </w:t>
      </w:r>
      <w:r w:rsidRPr="004600A4">
        <w:rPr>
          <w:b/>
          <w:bCs/>
          <w:sz w:val="22"/>
          <w:szCs w:val="22"/>
        </w:rPr>
        <w:t>(d)</w:t>
      </w:r>
      <w:r w:rsidRPr="004600A4">
        <w:rPr>
          <w:sz w:val="22"/>
          <w:szCs w:val="22"/>
        </w:rPr>
        <w:t xml:space="preserve"> winter precipitation in mm, </w:t>
      </w:r>
      <w:r w:rsidRPr="004600A4">
        <w:rPr>
          <w:b/>
          <w:bCs/>
          <w:sz w:val="22"/>
          <w:szCs w:val="22"/>
        </w:rPr>
        <w:t>(e)</w:t>
      </w:r>
      <w:r w:rsidRPr="004600A4">
        <w:rPr>
          <w:sz w:val="22"/>
          <w:szCs w:val="22"/>
        </w:rPr>
        <w:t xml:space="preserve"> percent relative humidity, and </w:t>
      </w:r>
      <w:r w:rsidRPr="004600A4">
        <w:rPr>
          <w:b/>
          <w:bCs/>
          <w:sz w:val="22"/>
          <w:szCs w:val="22"/>
        </w:rPr>
        <w:t>(f)</w:t>
      </w:r>
      <w:r w:rsidRPr="004600A4">
        <w:rPr>
          <w:sz w:val="22"/>
          <w:szCs w:val="22"/>
        </w:rPr>
        <w:t xml:space="preserve"> continentality, measured as the difference between mean temperature of the coldest and warmest months in degrees Celsius. Note the different scales of y-axes. Solid lines represent significant linear relationships at a threshold of p=0.05.</w:t>
      </w:r>
      <w:bookmarkEnd w:id="80"/>
      <w:r w:rsidRPr="004600A4">
        <w:rPr>
          <w:sz w:val="22"/>
          <w:szCs w:val="22"/>
        </w:rPr>
        <w:t xml:space="preserve"> </w:t>
      </w:r>
    </w:p>
    <w:p w14:paraId="15F8AC56" w14:textId="77777777" w:rsidR="008E3DA3" w:rsidRDefault="008E3DA3">
      <w:pPr>
        <w:rPr>
          <w:sz w:val="22"/>
          <w:szCs w:val="22"/>
        </w:rPr>
      </w:pPr>
      <w:r>
        <w:rPr>
          <w:sz w:val="22"/>
          <w:szCs w:val="22"/>
        </w:rPr>
        <w:br w:type="page"/>
      </w:r>
    </w:p>
    <w:p w14:paraId="76658068" w14:textId="07A6DD35" w:rsidR="008E3DA3" w:rsidRPr="004600A4" w:rsidRDefault="008E3DA3" w:rsidP="008E3DA3">
      <w:pPr>
        <w:jc w:val="both"/>
        <w:rPr>
          <w:color w:val="000000" w:themeColor="text1"/>
          <w:sz w:val="22"/>
          <w:szCs w:val="22"/>
        </w:rPr>
      </w:pPr>
      <w:r w:rsidRPr="007C62FB">
        <w:lastRenderedPageBreak/>
        <w:fldChar w:fldCharType="begin"/>
      </w:r>
      <w:r w:rsidRPr="007C62FB">
        <w:instrText xml:space="preserve"> INCLUDEPICTURE "https://lh3.googleusercontent.com/-cdfP1-EGAHHNxhjL6jUvrITm5wZ_RhKZJE84ojPP-nSg-L0SE3ZsweP4_scVMfyk--GJyxo0DpLmsKPzwYZlA6POY558Q6az0BPx-yKgM_DI71UeDwiosZl_x0-2kA_GzU2-Pg2GM4=s0" \* MERGEFORMATINET </w:instrText>
      </w:r>
      <w:r w:rsidRPr="007C62FB">
        <w:fldChar w:fldCharType="separate"/>
      </w:r>
      <w:r w:rsidRPr="007C62FB">
        <w:rPr>
          <w:noProof/>
        </w:rPr>
        <w:drawing>
          <wp:inline distT="0" distB="0" distL="0" distR="0" wp14:anchorId="2780F753" wp14:editId="199CE00E">
            <wp:extent cx="5943600" cy="1370330"/>
            <wp:effectExtent l="0" t="0" r="0" b="1270"/>
            <wp:docPr id="23" name="Picture 2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1370330"/>
                    </a:xfrm>
                    <a:prstGeom prst="rect">
                      <a:avLst/>
                    </a:prstGeom>
                    <a:noFill/>
                    <a:ln>
                      <a:noFill/>
                    </a:ln>
                  </pic:spPr>
                </pic:pic>
              </a:graphicData>
            </a:graphic>
          </wp:inline>
        </w:drawing>
      </w:r>
      <w:r w:rsidRPr="007C62FB">
        <w:fldChar w:fldCharType="end"/>
      </w:r>
    </w:p>
    <w:p w14:paraId="59194347" w14:textId="4F39AF97" w:rsidR="008E3DA3" w:rsidRDefault="008E3DA3" w:rsidP="008E3DA3">
      <w:pPr>
        <w:jc w:val="both"/>
        <w:rPr>
          <w:sz w:val="22"/>
          <w:szCs w:val="22"/>
        </w:rPr>
      </w:pPr>
      <w:bookmarkStart w:id="81" w:name="_Toc88054016"/>
      <w:r w:rsidRPr="00CE7350">
        <w:rPr>
          <w:b/>
          <w:bCs/>
          <w:sz w:val="22"/>
          <w:szCs w:val="22"/>
        </w:rPr>
        <w:t xml:space="preserve">Figure </w:t>
      </w:r>
      <w:r w:rsidRPr="00CE7350">
        <w:rPr>
          <w:b/>
          <w:bCs/>
          <w:sz w:val="22"/>
          <w:szCs w:val="22"/>
        </w:rPr>
        <w:fldChar w:fldCharType="begin"/>
      </w:r>
      <w:r w:rsidRPr="00CE7350">
        <w:rPr>
          <w:b/>
          <w:bCs/>
          <w:sz w:val="22"/>
          <w:szCs w:val="22"/>
        </w:rPr>
        <w:instrText xml:space="preserve"> SEQ Figure \* ARABIC </w:instrText>
      </w:r>
      <w:r w:rsidRPr="00CE7350">
        <w:rPr>
          <w:b/>
          <w:bCs/>
          <w:sz w:val="22"/>
          <w:szCs w:val="22"/>
        </w:rPr>
        <w:fldChar w:fldCharType="separate"/>
      </w:r>
      <w:r>
        <w:rPr>
          <w:b/>
          <w:bCs/>
          <w:noProof/>
          <w:sz w:val="22"/>
          <w:szCs w:val="22"/>
        </w:rPr>
        <w:t>21</w:t>
      </w:r>
      <w:r w:rsidRPr="00CE7350">
        <w:rPr>
          <w:b/>
          <w:bCs/>
          <w:sz w:val="22"/>
          <w:szCs w:val="22"/>
        </w:rPr>
        <w:fldChar w:fldCharType="end"/>
      </w:r>
      <w:r w:rsidRPr="00CE7350">
        <w:rPr>
          <w:b/>
          <w:bCs/>
          <w:sz w:val="22"/>
          <w:szCs w:val="22"/>
        </w:rPr>
        <w:t xml:space="preserve">. </w:t>
      </w:r>
      <w:r w:rsidRPr="007C62FB">
        <w:rPr>
          <w:sz w:val="22"/>
          <w:szCs w:val="22"/>
        </w:rPr>
        <w:t>Relationship between bud break day and the environmental variables used in distribution models.</w:t>
      </w:r>
      <w:r w:rsidRPr="004600A4">
        <w:rPr>
          <w:sz w:val="22"/>
          <w:szCs w:val="22"/>
        </w:rPr>
        <w:t xml:space="preserve"> </w:t>
      </w:r>
      <w:r w:rsidRPr="004600A4">
        <w:rPr>
          <w:b/>
          <w:bCs/>
          <w:sz w:val="22"/>
          <w:szCs w:val="22"/>
        </w:rPr>
        <w:t xml:space="preserve">(a) </w:t>
      </w:r>
      <w:r w:rsidRPr="004600A4">
        <w:rPr>
          <w:sz w:val="22"/>
          <w:szCs w:val="22"/>
        </w:rPr>
        <w:t xml:space="preserve">Strahler stream order, </w:t>
      </w:r>
      <w:r w:rsidRPr="004600A4">
        <w:rPr>
          <w:b/>
          <w:bCs/>
          <w:sz w:val="22"/>
          <w:szCs w:val="22"/>
        </w:rPr>
        <w:t>(b)</w:t>
      </w:r>
      <w:r w:rsidRPr="004600A4">
        <w:rPr>
          <w:sz w:val="22"/>
          <w:szCs w:val="22"/>
        </w:rPr>
        <w:t xml:space="preserve"> </w:t>
      </w:r>
      <w:proofErr w:type="spellStart"/>
      <w:r w:rsidRPr="004600A4">
        <w:rPr>
          <w:sz w:val="22"/>
          <w:szCs w:val="22"/>
        </w:rPr>
        <w:t>Hargreave’s</w:t>
      </w:r>
      <w:proofErr w:type="spellEnd"/>
      <w:r w:rsidRPr="004600A4">
        <w:rPr>
          <w:sz w:val="22"/>
          <w:szCs w:val="22"/>
        </w:rPr>
        <w:t xml:space="preserve"> climatic moisture index in mm, </w:t>
      </w:r>
      <w:r w:rsidRPr="004600A4">
        <w:rPr>
          <w:b/>
          <w:bCs/>
          <w:sz w:val="22"/>
          <w:szCs w:val="22"/>
        </w:rPr>
        <w:t>(c)</w:t>
      </w:r>
      <w:r w:rsidRPr="004600A4">
        <w:rPr>
          <w:sz w:val="22"/>
          <w:szCs w:val="22"/>
        </w:rPr>
        <w:t xml:space="preserve"> winter precipitation in mm, </w:t>
      </w:r>
      <w:r w:rsidRPr="004600A4">
        <w:rPr>
          <w:b/>
          <w:bCs/>
          <w:sz w:val="22"/>
          <w:szCs w:val="22"/>
        </w:rPr>
        <w:t>(d)</w:t>
      </w:r>
      <w:r w:rsidRPr="004600A4">
        <w:rPr>
          <w:sz w:val="22"/>
          <w:szCs w:val="22"/>
        </w:rPr>
        <w:t xml:space="preserve"> percent relative humidity, </w:t>
      </w:r>
      <w:r w:rsidRPr="004600A4">
        <w:rPr>
          <w:b/>
          <w:bCs/>
          <w:sz w:val="22"/>
          <w:szCs w:val="22"/>
        </w:rPr>
        <w:t>(e)</w:t>
      </w:r>
      <w:r w:rsidRPr="004600A4">
        <w:rPr>
          <w:sz w:val="22"/>
          <w:szCs w:val="22"/>
        </w:rPr>
        <w:t xml:space="preserve"> continentality, measured as the difference between mean temperature of the coldest and warmest months in degrees Celsius. The greyscale represents the distribution of bud break day values sorted into ten deciles. Solid lines represent significant linear relationships at a threshold of p=0.05.</w:t>
      </w:r>
      <w:bookmarkEnd w:id="81"/>
      <w:r w:rsidRPr="004600A4">
        <w:rPr>
          <w:sz w:val="22"/>
          <w:szCs w:val="22"/>
        </w:rPr>
        <w:t xml:space="preserve"> </w:t>
      </w:r>
    </w:p>
    <w:p w14:paraId="7312120A" w14:textId="77777777" w:rsidR="008E3DA3" w:rsidRDefault="008E3DA3">
      <w:pPr>
        <w:rPr>
          <w:sz w:val="22"/>
          <w:szCs w:val="22"/>
        </w:rPr>
      </w:pPr>
      <w:r>
        <w:rPr>
          <w:sz w:val="22"/>
          <w:szCs w:val="22"/>
        </w:rPr>
        <w:br w:type="page"/>
      </w:r>
    </w:p>
    <w:p w14:paraId="318B7CA6" w14:textId="0F48835F" w:rsidR="008E3DA3" w:rsidRDefault="008E3DA3" w:rsidP="008E3DA3">
      <w:pPr>
        <w:jc w:val="both"/>
        <w:rPr>
          <w:sz w:val="22"/>
          <w:szCs w:val="22"/>
        </w:rPr>
      </w:pPr>
      <w:r w:rsidRPr="00312EEA">
        <w:lastRenderedPageBreak/>
        <w:fldChar w:fldCharType="begin"/>
      </w:r>
      <w:r w:rsidRPr="00312EEA">
        <w:instrText xml:space="preserve"> INCLUDEPICTURE "https://lh6.googleusercontent.com/Jfo8yAZY3YkbECibsCLMrf8aVlXyvAyHBCMP6NngY0XpAIm37xIseZVM1PD2LbKdQ92MLVgBZxtgSiwHEXwxUMJRcYW2W_SwzINsg7XkxxOYmrX2xD9qU8fZNcFtZjmLkHljyGWv7rA=s0" \* MERGEFORMATINET </w:instrText>
      </w:r>
      <w:r w:rsidRPr="00312EEA">
        <w:fldChar w:fldCharType="separate"/>
      </w:r>
      <w:r w:rsidRPr="00312EEA">
        <w:rPr>
          <w:noProof/>
        </w:rPr>
        <w:drawing>
          <wp:inline distT="0" distB="0" distL="0" distR="0" wp14:anchorId="6BE48796" wp14:editId="3932688C">
            <wp:extent cx="4172989" cy="3968351"/>
            <wp:effectExtent l="0" t="0" r="5715" b="0"/>
            <wp:docPr id="24" name="Picture 2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scatter chart&#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81249" cy="3976206"/>
                    </a:xfrm>
                    <a:prstGeom prst="rect">
                      <a:avLst/>
                    </a:prstGeom>
                    <a:noFill/>
                    <a:ln>
                      <a:noFill/>
                    </a:ln>
                  </pic:spPr>
                </pic:pic>
              </a:graphicData>
            </a:graphic>
          </wp:inline>
        </w:drawing>
      </w:r>
      <w:r w:rsidRPr="00312EEA">
        <w:fldChar w:fldCharType="end"/>
      </w:r>
    </w:p>
    <w:p w14:paraId="23F86327" w14:textId="4423BE11" w:rsidR="008E3DA3" w:rsidRDefault="008E3DA3" w:rsidP="00C90343">
      <w:pPr>
        <w:jc w:val="both"/>
        <w:rPr>
          <w:sz w:val="22"/>
          <w:szCs w:val="22"/>
        </w:rPr>
      </w:pPr>
      <w:bookmarkStart w:id="82" w:name="_Toc88054017"/>
      <w:r w:rsidRPr="00CE7350">
        <w:rPr>
          <w:b/>
          <w:bCs/>
          <w:sz w:val="22"/>
          <w:szCs w:val="22"/>
        </w:rPr>
        <w:t xml:space="preserve">Figure </w:t>
      </w:r>
      <w:r w:rsidRPr="00CE7350">
        <w:rPr>
          <w:b/>
          <w:bCs/>
          <w:sz w:val="22"/>
          <w:szCs w:val="22"/>
        </w:rPr>
        <w:fldChar w:fldCharType="begin"/>
      </w:r>
      <w:r w:rsidRPr="00CE7350">
        <w:rPr>
          <w:b/>
          <w:bCs/>
          <w:sz w:val="22"/>
          <w:szCs w:val="22"/>
        </w:rPr>
        <w:instrText xml:space="preserve"> SEQ Figure \* ARABIC </w:instrText>
      </w:r>
      <w:r w:rsidRPr="00CE7350">
        <w:rPr>
          <w:b/>
          <w:bCs/>
          <w:sz w:val="22"/>
          <w:szCs w:val="22"/>
        </w:rPr>
        <w:fldChar w:fldCharType="separate"/>
      </w:r>
      <w:r>
        <w:rPr>
          <w:b/>
          <w:bCs/>
          <w:noProof/>
          <w:sz w:val="22"/>
          <w:szCs w:val="22"/>
        </w:rPr>
        <w:t>22</w:t>
      </w:r>
      <w:r w:rsidRPr="00CE7350">
        <w:rPr>
          <w:b/>
          <w:bCs/>
          <w:sz w:val="22"/>
          <w:szCs w:val="22"/>
        </w:rPr>
        <w:fldChar w:fldCharType="end"/>
      </w:r>
      <w:r w:rsidRPr="00CE7350">
        <w:rPr>
          <w:b/>
          <w:bCs/>
          <w:sz w:val="22"/>
          <w:szCs w:val="22"/>
        </w:rPr>
        <w:t xml:space="preserve">. </w:t>
      </w:r>
      <w:r>
        <w:rPr>
          <w:b/>
          <w:bCs/>
          <w:sz w:val="22"/>
          <w:szCs w:val="22"/>
        </w:rPr>
        <w:t xml:space="preserve">Principal </w:t>
      </w:r>
      <w:r w:rsidR="0097746A">
        <w:rPr>
          <w:b/>
          <w:bCs/>
          <w:sz w:val="22"/>
          <w:szCs w:val="22"/>
        </w:rPr>
        <w:t>c</w:t>
      </w:r>
      <w:r>
        <w:rPr>
          <w:b/>
          <w:bCs/>
          <w:sz w:val="22"/>
          <w:szCs w:val="22"/>
        </w:rPr>
        <w:t xml:space="preserve">oordinate </w:t>
      </w:r>
      <w:r w:rsidR="0097746A">
        <w:rPr>
          <w:b/>
          <w:bCs/>
          <w:sz w:val="22"/>
          <w:szCs w:val="22"/>
        </w:rPr>
        <w:t>a</w:t>
      </w:r>
      <w:r>
        <w:rPr>
          <w:b/>
          <w:bCs/>
          <w:sz w:val="22"/>
          <w:szCs w:val="22"/>
        </w:rPr>
        <w:t xml:space="preserve">xes 1 and 2 of the five environmental variables used in distribution models. </w:t>
      </w:r>
      <w:r>
        <w:rPr>
          <w:sz w:val="22"/>
          <w:szCs w:val="22"/>
        </w:rPr>
        <w:t xml:space="preserve">Different symbols represent different climatic scenarios (time, </w:t>
      </w:r>
      <w:r w:rsidR="00A00A8B">
        <w:rPr>
          <w:sz w:val="22"/>
          <w:szCs w:val="22"/>
        </w:rPr>
        <w:t>RCP</w:t>
      </w:r>
      <w:r>
        <w:rPr>
          <w:sz w:val="22"/>
          <w:szCs w:val="22"/>
        </w:rPr>
        <w:t xml:space="preserve">, </w:t>
      </w:r>
      <w:r w:rsidR="00A00A8B">
        <w:rPr>
          <w:sz w:val="22"/>
          <w:szCs w:val="22"/>
        </w:rPr>
        <w:t>AOGCM</w:t>
      </w:r>
      <w:r>
        <w:rPr>
          <w:sz w:val="22"/>
          <w:szCs w:val="22"/>
        </w:rPr>
        <w:t>); Color represents genetic provenance (purple= northern; teal= central; green= southern).</w:t>
      </w:r>
      <w:bookmarkEnd w:id="82"/>
    </w:p>
    <w:p w14:paraId="415D9000" w14:textId="77777777" w:rsidR="008E3DA3" w:rsidRDefault="008E3DA3">
      <w:pPr>
        <w:rPr>
          <w:sz w:val="22"/>
          <w:szCs w:val="22"/>
        </w:rPr>
      </w:pPr>
      <w:r>
        <w:rPr>
          <w:sz w:val="22"/>
          <w:szCs w:val="22"/>
        </w:rPr>
        <w:br w:type="page"/>
      </w:r>
    </w:p>
    <w:p w14:paraId="52E459EE" w14:textId="2FB8A450" w:rsidR="008E3DA3" w:rsidRDefault="008E3DA3" w:rsidP="008E3DA3">
      <w:pPr>
        <w:jc w:val="center"/>
      </w:pPr>
      <w:r>
        <w:rPr>
          <w:noProof/>
          <w:sz w:val="22"/>
          <w:szCs w:val="22"/>
        </w:rPr>
        <w:lastRenderedPageBreak/>
        <w:drawing>
          <wp:inline distT="0" distB="0" distL="0" distR="0" wp14:anchorId="3E41247D" wp14:editId="6421A295">
            <wp:extent cx="3587262" cy="695073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30">
                      <a:extLst>
                        <a:ext uri="{28A0092B-C50C-407E-A947-70E740481C1C}">
                          <a14:useLocalDpi xmlns:a14="http://schemas.microsoft.com/office/drawing/2010/main" val="0"/>
                        </a:ext>
                      </a:extLst>
                    </a:blip>
                    <a:srcRect l="17515" t="732" r="17610" b="2135"/>
                    <a:stretch/>
                  </pic:blipFill>
                  <pic:spPr bwMode="auto">
                    <a:xfrm>
                      <a:off x="0" y="0"/>
                      <a:ext cx="3591681" cy="6959300"/>
                    </a:xfrm>
                    <a:prstGeom prst="rect">
                      <a:avLst/>
                    </a:prstGeom>
                    <a:ln>
                      <a:noFill/>
                    </a:ln>
                    <a:extLst>
                      <a:ext uri="{53640926-AAD7-44D8-BBD7-CCE9431645EC}">
                        <a14:shadowObscured xmlns:a14="http://schemas.microsoft.com/office/drawing/2010/main"/>
                      </a:ext>
                    </a:extLst>
                  </pic:spPr>
                </pic:pic>
              </a:graphicData>
            </a:graphic>
          </wp:inline>
        </w:drawing>
      </w:r>
    </w:p>
    <w:p w14:paraId="18B10F9C" w14:textId="48AE0653" w:rsidR="00825933" w:rsidRPr="00646B73" w:rsidRDefault="008E3DA3" w:rsidP="00646B73">
      <w:pPr>
        <w:jc w:val="both"/>
        <w:rPr>
          <w:sz w:val="22"/>
          <w:szCs w:val="22"/>
        </w:rPr>
      </w:pPr>
      <w:bookmarkStart w:id="83" w:name="_Toc88054018"/>
      <w:r w:rsidRPr="00CE7350">
        <w:rPr>
          <w:b/>
          <w:bCs/>
          <w:sz w:val="22"/>
          <w:szCs w:val="22"/>
        </w:rPr>
        <w:t xml:space="preserve">Figure </w:t>
      </w:r>
      <w:r w:rsidRPr="00CE7350">
        <w:rPr>
          <w:b/>
          <w:bCs/>
          <w:sz w:val="22"/>
          <w:szCs w:val="22"/>
        </w:rPr>
        <w:fldChar w:fldCharType="begin"/>
      </w:r>
      <w:r w:rsidRPr="00CE7350">
        <w:rPr>
          <w:b/>
          <w:bCs/>
          <w:sz w:val="22"/>
          <w:szCs w:val="22"/>
        </w:rPr>
        <w:instrText xml:space="preserve"> SEQ Figure \* ARABIC </w:instrText>
      </w:r>
      <w:r w:rsidRPr="00CE7350">
        <w:rPr>
          <w:b/>
          <w:bCs/>
          <w:sz w:val="22"/>
          <w:szCs w:val="22"/>
        </w:rPr>
        <w:fldChar w:fldCharType="separate"/>
      </w:r>
      <w:r>
        <w:rPr>
          <w:b/>
          <w:bCs/>
          <w:noProof/>
          <w:sz w:val="22"/>
          <w:szCs w:val="22"/>
        </w:rPr>
        <w:t>23</w:t>
      </w:r>
      <w:r w:rsidRPr="00CE7350">
        <w:rPr>
          <w:b/>
          <w:bCs/>
          <w:sz w:val="22"/>
          <w:szCs w:val="22"/>
        </w:rPr>
        <w:fldChar w:fldCharType="end"/>
      </w:r>
      <w:r w:rsidRPr="00CE7350">
        <w:rPr>
          <w:b/>
          <w:bCs/>
          <w:sz w:val="22"/>
          <w:szCs w:val="22"/>
        </w:rPr>
        <w:t xml:space="preserve">. </w:t>
      </w:r>
      <w:r>
        <w:rPr>
          <w:b/>
          <w:bCs/>
          <w:sz w:val="22"/>
          <w:szCs w:val="22"/>
        </w:rPr>
        <w:t>Maps of richness loss and gain by two future time periods (2050s and 2080s), two emissions scenarios (</w:t>
      </w:r>
      <w:r w:rsidR="007F1357">
        <w:rPr>
          <w:b/>
          <w:bCs/>
          <w:sz w:val="22"/>
          <w:szCs w:val="22"/>
        </w:rPr>
        <w:t>RCP</w:t>
      </w:r>
      <w:r>
        <w:rPr>
          <w:b/>
          <w:bCs/>
          <w:sz w:val="22"/>
          <w:szCs w:val="22"/>
        </w:rPr>
        <w:t xml:space="preserve"> 4.5 and </w:t>
      </w:r>
      <w:r w:rsidR="007F1357">
        <w:rPr>
          <w:b/>
          <w:bCs/>
          <w:sz w:val="22"/>
          <w:szCs w:val="22"/>
        </w:rPr>
        <w:t>RCP</w:t>
      </w:r>
      <w:r>
        <w:rPr>
          <w:b/>
          <w:bCs/>
          <w:sz w:val="22"/>
          <w:szCs w:val="22"/>
        </w:rPr>
        <w:t xml:space="preserve"> 8.5), and three </w:t>
      </w:r>
      <w:r w:rsidRPr="000613CB">
        <w:rPr>
          <w:b/>
          <w:bCs/>
          <w:sz w:val="22"/>
          <w:szCs w:val="22"/>
        </w:rPr>
        <w:t>Atmosphere and Ocean General Circulation/Climate models (AOGCMs</w:t>
      </w:r>
      <w:r>
        <w:rPr>
          <w:b/>
          <w:bCs/>
          <w:sz w:val="22"/>
          <w:szCs w:val="22"/>
        </w:rPr>
        <w:t xml:space="preserve">; inm-cm4, </w:t>
      </w:r>
      <w:proofErr w:type="spellStart"/>
      <w:r>
        <w:rPr>
          <w:b/>
          <w:bCs/>
          <w:sz w:val="22"/>
          <w:szCs w:val="22"/>
        </w:rPr>
        <w:t>mpi-esm-lr</w:t>
      </w:r>
      <w:proofErr w:type="spellEnd"/>
      <w:r>
        <w:rPr>
          <w:b/>
          <w:bCs/>
          <w:sz w:val="22"/>
          <w:szCs w:val="22"/>
        </w:rPr>
        <w:t xml:space="preserve">, and gfdl-cm3). </w:t>
      </w:r>
      <w:r w:rsidRPr="000613CB">
        <w:rPr>
          <w:sz w:val="22"/>
          <w:szCs w:val="22"/>
        </w:rPr>
        <w:t>Areas predicted to gain trait richness are represented in blue. Areas predicted to lose trait richness are represented in red. Grey areas are areas where no change in richness is predicted</w:t>
      </w:r>
      <w:r w:rsidR="00646B73">
        <w:rPr>
          <w:sz w:val="22"/>
          <w:szCs w:val="22"/>
        </w:rPr>
        <w:t>.</w:t>
      </w:r>
      <w:bookmarkEnd w:id="83"/>
    </w:p>
    <w:p w14:paraId="307DF7D1" w14:textId="77777777" w:rsidR="00236E6D" w:rsidRPr="00DF7C87" w:rsidRDefault="00526151" w:rsidP="005E54E2">
      <w:pPr>
        <w:pStyle w:val="Heading1"/>
        <w:rPr>
          <w:szCs w:val="28"/>
        </w:rPr>
      </w:pPr>
      <w:bookmarkStart w:id="84" w:name="_Toc289175845"/>
      <w:bookmarkStart w:id="85" w:name="_Toc88056498"/>
      <w:r w:rsidRPr="00DF7C87">
        <w:rPr>
          <w:szCs w:val="28"/>
        </w:rPr>
        <w:lastRenderedPageBreak/>
        <w:t>VITA</w:t>
      </w:r>
      <w:bookmarkEnd w:id="84"/>
      <w:bookmarkEnd w:id="85"/>
    </w:p>
    <w:p w14:paraId="6B98CC63" w14:textId="77777777" w:rsidR="003D63DF" w:rsidRPr="00DF7C87" w:rsidRDefault="003D63DF" w:rsidP="005E54E2"/>
    <w:p w14:paraId="6EC16E1A" w14:textId="59D72F27" w:rsidR="0080059B" w:rsidRPr="00AA1A72" w:rsidRDefault="0080059B" w:rsidP="00646B73">
      <w:pPr>
        <w:spacing w:line="360" w:lineRule="auto"/>
        <w:jc w:val="both"/>
        <w:rPr>
          <w:color w:val="000000" w:themeColor="text1"/>
        </w:rPr>
      </w:pPr>
      <w:r w:rsidRPr="00FD2B50">
        <w:rPr>
          <w:color w:val="000000" w:themeColor="text1"/>
        </w:rPr>
        <w:t>Shannon Lee Jo-Ann Bayliss graduated from the University of Virginia in 2012 with a Bachelor of Science degree in Environmental Sciences and a minor in Art History. She earned her Master of Science in Biology from California State University, Northridge in 2016</w:t>
      </w:r>
      <w:r>
        <w:rPr>
          <w:color w:val="000000" w:themeColor="text1"/>
        </w:rPr>
        <w:t xml:space="preserve"> working with Dr. Casey </w:t>
      </w:r>
      <w:proofErr w:type="spellStart"/>
      <w:r>
        <w:rPr>
          <w:color w:val="000000" w:themeColor="text1"/>
        </w:rPr>
        <w:t>terHorst</w:t>
      </w:r>
      <w:proofErr w:type="spellEnd"/>
      <w:r>
        <w:rPr>
          <w:color w:val="000000" w:themeColor="text1"/>
        </w:rPr>
        <w:t xml:space="preserve"> studying the relationship between genetic diversity and ecosystem function </w:t>
      </w:r>
      <w:r w:rsidR="00AA1A72">
        <w:rPr>
          <w:color w:val="000000" w:themeColor="text1"/>
        </w:rPr>
        <w:t>of</w:t>
      </w:r>
      <w:r>
        <w:rPr>
          <w:color w:val="000000" w:themeColor="text1"/>
        </w:rPr>
        <w:t xml:space="preserve"> </w:t>
      </w:r>
      <w:r w:rsidR="00AA1A72">
        <w:rPr>
          <w:color w:val="000000" w:themeColor="text1"/>
        </w:rPr>
        <w:t xml:space="preserve">the </w:t>
      </w:r>
      <w:r>
        <w:rPr>
          <w:color w:val="000000" w:themeColor="text1"/>
        </w:rPr>
        <w:t>algal symbionts of coral reefs.</w:t>
      </w:r>
      <w:r w:rsidR="00AA1A72">
        <w:rPr>
          <w:color w:val="000000" w:themeColor="text1"/>
        </w:rPr>
        <w:t xml:space="preserve"> </w:t>
      </w:r>
      <w:r w:rsidR="00AA1A72" w:rsidRPr="00FD2B50">
        <w:rPr>
          <w:color w:val="000000" w:themeColor="text1"/>
        </w:rPr>
        <w:t>Her interest in science writing led her to pursue a degree in Communication and Information with a concentration in Journalism and Electronic Media</w:t>
      </w:r>
      <w:r w:rsidR="00AA1A72">
        <w:rPr>
          <w:color w:val="000000" w:themeColor="text1"/>
        </w:rPr>
        <w:t xml:space="preserve"> at the University of Tennessee. Her 2021 master’s thesis was influenced by her love of music and her doctoral research. It is titled: </w:t>
      </w:r>
      <w:r w:rsidR="00AA1A72" w:rsidRPr="00AA1A72">
        <w:rPr>
          <w:i/>
          <w:iCs/>
          <w:color w:val="000000" w:themeColor="text1"/>
        </w:rPr>
        <w:t>Unearthing Tree Symbolism in Song: A Sentiment Analysis.</w:t>
      </w:r>
      <w:r w:rsidR="00AA1A72">
        <w:rPr>
          <w:color w:val="000000" w:themeColor="text1"/>
        </w:rPr>
        <w:t xml:space="preserve"> </w:t>
      </w:r>
      <w:r w:rsidR="00AA1A72" w:rsidRPr="00FD2B50">
        <w:rPr>
          <w:color w:val="000000" w:themeColor="text1"/>
        </w:rPr>
        <w:t>She will graduate from the University of Tennessee, Knoxville in 2021</w:t>
      </w:r>
      <w:r w:rsidR="00AA1A72">
        <w:rPr>
          <w:color w:val="000000" w:themeColor="text1"/>
        </w:rPr>
        <w:t xml:space="preserve"> with a doctorate in</w:t>
      </w:r>
      <w:r w:rsidRPr="00FD2B50">
        <w:rPr>
          <w:color w:val="000000" w:themeColor="text1"/>
        </w:rPr>
        <w:t xml:space="preserve"> Ecology and Evolutionary </w:t>
      </w:r>
      <w:r w:rsidR="00AA1A72">
        <w:rPr>
          <w:color w:val="000000" w:themeColor="text1"/>
        </w:rPr>
        <w:t>B</w:t>
      </w:r>
      <w:r w:rsidRPr="00FD2B50">
        <w:rPr>
          <w:color w:val="000000" w:themeColor="text1"/>
        </w:rPr>
        <w:t>iology</w:t>
      </w:r>
      <w:r w:rsidR="00AA1A72">
        <w:rPr>
          <w:color w:val="000000" w:themeColor="text1"/>
        </w:rPr>
        <w:t>.</w:t>
      </w:r>
    </w:p>
    <w:p w14:paraId="5FE5EC65" w14:textId="73F1C289" w:rsidR="003D63DF" w:rsidRPr="00DF7C87" w:rsidRDefault="003D63DF" w:rsidP="00EF0E32">
      <w:pPr>
        <w:spacing w:line="276" w:lineRule="auto"/>
      </w:pPr>
    </w:p>
    <w:sectPr w:rsidR="003D63DF" w:rsidRPr="00DF7C87"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08743" w14:textId="77777777" w:rsidR="002B166B" w:rsidRDefault="002B166B" w:rsidP="005E54E2">
      <w:r>
        <w:separator/>
      </w:r>
    </w:p>
    <w:p w14:paraId="1291FB78" w14:textId="77777777" w:rsidR="002B166B" w:rsidRDefault="002B166B" w:rsidP="005E54E2"/>
    <w:p w14:paraId="0568F42D" w14:textId="77777777" w:rsidR="002B166B" w:rsidRDefault="002B166B" w:rsidP="005E54E2"/>
    <w:p w14:paraId="266C2410" w14:textId="77777777" w:rsidR="002B166B" w:rsidRDefault="002B166B" w:rsidP="005E54E2"/>
  </w:endnote>
  <w:endnote w:type="continuationSeparator" w:id="0">
    <w:p w14:paraId="0C7E0DC5" w14:textId="77777777" w:rsidR="002B166B" w:rsidRDefault="002B166B" w:rsidP="005E54E2">
      <w:r>
        <w:continuationSeparator/>
      </w:r>
    </w:p>
    <w:p w14:paraId="5AE3073F" w14:textId="77777777" w:rsidR="002B166B" w:rsidRDefault="002B166B" w:rsidP="005E54E2"/>
    <w:p w14:paraId="5299DD11" w14:textId="77777777" w:rsidR="002B166B" w:rsidRDefault="002B166B" w:rsidP="005E54E2"/>
    <w:p w14:paraId="73C2C591" w14:textId="77777777" w:rsidR="002B166B" w:rsidRDefault="002B166B"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6FBF5" w14:textId="77777777" w:rsidR="00387656" w:rsidRDefault="00387656">
    <w:pPr>
      <w:pStyle w:val="Footer"/>
      <w:jc w:val="right"/>
    </w:pPr>
    <w:r>
      <w:fldChar w:fldCharType="begin"/>
    </w:r>
    <w:r>
      <w:instrText xml:space="preserve"> PAGE   \* MERGEFORMAT </w:instrText>
    </w:r>
    <w:r>
      <w:fldChar w:fldCharType="separate"/>
    </w:r>
    <w:r w:rsidR="00394464">
      <w:rPr>
        <w:noProof/>
      </w:rPr>
      <w:t>13</w:t>
    </w:r>
    <w:r>
      <w:rPr>
        <w:noProof/>
      </w:rPr>
      <w:fldChar w:fldCharType="end"/>
    </w:r>
  </w:p>
  <w:p w14:paraId="397CC22B" w14:textId="77777777" w:rsidR="008F60C3" w:rsidRDefault="008F60C3"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131EA" w14:textId="77777777" w:rsidR="002B166B" w:rsidRDefault="002B166B" w:rsidP="005E54E2">
      <w:r>
        <w:separator/>
      </w:r>
    </w:p>
    <w:p w14:paraId="2ED4B227" w14:textId="77777777" w:rsidR="002B166B" w:rsidRDefault="002B166B" w:rsidP="005E54E2"/>
    <w:p w14:paraId="30C35B55" w14:textId="77777777" w:rsidR="002B166B" w:rsidRDefault="002B166B" w:rsidP="005E54E2"/>
    <w:p w14:paraId="5193AB90" w14:textId="77777777" w:rsidR="002B166B" w:rsidRDefault="002B166B" w:rsidP="005E54E2"/>
  </w:footnote>
  <w:footnote w:type="continuationSeparator" w:id="0">
    <w:p w14:paraId="39D6C5D1" w14:textId="77777777" w:rsidR="002B166B" w:rsidRDefault="002B166B" w:rsidP="005E54E2">
      <w:r>
        <w:continuationSeparator/>
      </w:r>
    </w:p>
    <w:p w14:paraId="7F6FA802" w14:textId="77777777" w:rsidR="002B166B" w:rsidRDefault="002B166B" w:rsidP="005E54E2"/>
    <w:p w14:paraId="798D40B2" w14:textId="77777777" w:rsidR="002B166B" w:rsidRDefault="002B166B" w:rsidP="005E54E2"/>
    <w:p w14:paraId="3AF7E320" w14:textId="77777777" w:rsidR="002B166B" w:rsidRDefault="002B166B" w:rsidP="005E54E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5"/>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1A42"/>
    <w:rsid w:val="000033A9"/>
    <w:rsid w:val="00003F6A"/>
    <w:rsid w:val="000117D7"/>
    <w:rsid w:val="00014A3E"/>
    <w:rsid w:val="000156E9"/>
    <w:rsid w:val="000166A9"/>
    <w:rsid w:val="00022BB2"/>
    <w:rsid w:val="0003672C"/>
    <w:rsid w:val="00050135"/>
    <w:rsid w:val="00057004"/>
    <w:rsid w:val="00060A6A"/>
    <w:rsid w:val="00063197"/>
    <w:rsid w:val="000631D0"/>
    <w:rsid w:val="000639E6"/>
    <w:rsid w:val="0006662E"/>
    <w:rsid w:val="00066637"/>
    <w:rsid w:val="00071FB8"/>
    <w:rsid w:val="000743B9"/>
    <w:rsid w:val="00076A95"/>
    <w:rsid w:val="00084D83"/>
    <w:rsid w:val="0008749E"/>
    <w:rsid w:val="000A2706"/>
    <w:rsid w:val="000A508B"/>
    <w:rsid w:val="000B5C42"/>
    <w:rsid w:val="000D0B9C"/>
    <w:rsid w:val="000E2CFF"/>
    <w:rsid w:val="0010217F"/>
    <w:rsid w:val="00111949"/>
    <w:rsid w:val="00120E32"/>
    <w:rsid w:val="0015553B"/>
    <w:rsid w:val="00155C4B"/>
    <w:rsid w:val="00160114"/>
    <w:rsid w:val="00177B87"/>
    <w:rsid w:val="001854FB"/>
    <w:rsid w:val="00193642"/>
    <w:rsid w:val="001A325F"/>
    <w:rsid w:val="001A52D6"/>
    <w:rsid w:val="001B1034"/>
    <w:rsid w:val="001C39F6"/>
    <w:rsid w:val="001C66FE"/>
    <w:rsid w:val="001D4908"/>
    <w:rsid w:val="001D6904"/>
    <w:rsid w:val="001E1D29"/>
    <w:rsid w:val="001F43C1"/>
    <w:rsid w:val="001F522F"/>
    <w:rsid w:val="001F6B3B"/>
    <w:rsid w:val="0021070A"/>
    <w:rsid w:val="00215C1D"/>
    <w:rsid w:val="0022210F"/>
    <w:rsid w:val="00236E6D"/>
    <w:rsid w:val="002429E5"/>
    <w:rsid w:val="002442BE"/>
    <w:rsid w:val="00246AF3"/>
    <w:rsid w:val="00246C7B"/>
    <w:rsid w:val="00247580"/>
    <w:rsid w:val="00261B12"/>
    <w:rsid w:val="00280CEF"/>
    <w:rsid w:val="0028757A"/>
    <w:rsid w:val="00287E43"/>
    <w:rsid w:val="002977BC"/>
    <w:rsid w:val="002A12F0"/>
    <w:rsid w:val="002A3264"/>
    <w:rsid w:val="002A5F38"/>
    <w:rsid w:val="002B166B"/>
    <w:rsid w:val="002C418D"/>
    <w:rsid w:val="002E0C33"/>
    <w:rsid w:val="002E2492"/>
    <w:rsid w:val="002E48B7"/>
    <w:rsid w:val="002E5F14"/>
    <w:rsid w:val="002F3237"/>
    <w:rsid w:val="002F6C76"/>
    <w:rsid w:val="00304BD0"/>
    <w:rsid w:val="003050D2"/>
    <w:rsid w:val="00307D77"/>
    <w:rsid w:val="003114A7"/>
    <w:rsid w:val="00313E9E"/>
    <w:rsid w:val="003150D5"/>
    <w:rsid w:val="003206F1"/>
    <w:rsid w:val="00320F78"/>
    <w:rsid w:val="003221FB"/>
    <w:rsid w:val="00324241"/>
    <w:rsid w:val="0033243D"/>
    <w:rsid w:val="00334400"/>
    <w:rsid w:val="003348A6"/>
    <w:rsid w:val="0035768F"/>
    <w:rsid w:val="00360B3C"/>
    <w:rsid w:val="0036251E"/>
    <w:rsid w:val="00373919"/>
    <w:rsid w:val="00374E5B"/>
    <w:rsid w:val="003761F7"/>
    <w:rsid w:val="0038177C"/>
    <w:rsid w:val="003836EB"/>
    <w:rsid w:val="00387024"/>
    <w:rsid w:val="00387656"/>
    <w:rsid w:val="003925DB"/>
    <w:rsid w:val="00394464"/>
    <w:rsid w:val="0039782A"/>
    <w:rsid w:val="003C070F"/>
    <w:rsid w:val="003C1575"/>
    <w:rsid w:val="003C7FC5"/>
    <w:rsid w:val="003D07F7"/>
    <w:rsid w:val="003D5275"/>
    <w:rsid w:val="003D63DF"/>
    <w:rsid w:val="003D737F"/>
    <w:rsid w:val="003F21A1"/>
    <w:rsid w:val="003F7474"/>
    <w:rsid w:val="00404616"/>
    <w:rsid w:val="00406F6E"/>
    <w:rsid w:val="004077F8"/>
    <w:rsid w:val="00407B6A"/>
    <w:rsid w:val="00412B02"/>
    <w:rsid w:val="00414400"/>
    <w:rsid w:val="004146CC"/>
    <w:rsid w:val="00421CD4"/>
    <w:rsid w:val="00422932"/>
    <w:rsid w:val="00423EA7"/>
    <w:rsid w:val="00427833"/>
    <w:rsid w:val="004335E8"/>
    <w:rsid w:val="0044196E"/>
    <w:rsid w:val="00474210"/>
    <w:rsid w:val="00474295"/>
    <w:rsid w:val="00480B96"/>
    <w:rsid w:val="004815FD"/>
    <w:rsid w:val="0048303E"/>
    <w:rsid w:val="0049004B"/>
    <w:rsid w:val="004920F6"/>
    <w:rsid w:val="00497636"/>
    <w:rsid w:val="004A67E8"/>
    <w:rsid w:val="004B4C00"/>
    <w:rsid w:val="004C01B0"/>
    <w:rsid w:val="004C2071"/>
    <w:rsid w:val="004C3D65"/>
    <w:rsid w:val="004D30B5"/>
    <w:rsid w:val="004D4372"/>
    <w:rsid w:val="004D6472"/>
    <w:rsid w:val="005049EE"/>
    <w:rsid w:val="005059B2"/>
    <w:rsid w:val="005218CC"/>
    <w:rsid w:val="00526151"/>
    <w:rsid w:val="00526CAD"/>
    <w:rsid w:val="005418F2"/>
    <w:rsid w:val="00552C58"/>
    <w:rsid w:val="00583A04"/>
    <w:rsid w:val="00585C7F"/>
    <w:rsid w:val="00597AD2"/>
    <w:rsid w:val="00597D3F"/>
    <w:rsid w:val="005A0ECC"/>
    <w:rsid w:val="005A0ED6"/>
    <w:rsid w:val="005B79E9"/>
    <w:rsid w:val="005C1A52"/>
    <w:rsid w:val="005C4872"/>
    <w:rsid w:val="005E4912"/>
    <w:rsid w:val="005E54E2"/>
    <w:rsid w:val="005E6942"/>
    <w:rsid w:val="005E6F1F"/>
    <w:rsid w:val="005F44D1"/>
    <w:rsid w:val="00611B90"/>
    <w:rsid w:val="006155E2"/>
    <w:rsid w:val="00621129"/>
    <w:rsid w:val="00633916"/>
    <w:rsid w:val="006363CE"/>
    <w:rsid w:val="00641D2B"/>
    <w:rsid w:val="00646B73"/>
    <w:rsid w:val="00652687"/>
    <w:rsid w:val="006528C8"/>
    <w:rsid w:val="00662659"/>
    <w:rsid w:val="00662D3E"/>
    <w:rsid w:val="00665C7E"/>
    <w:rsid w:val="00670D86"/>
    <w:rsid w:val="00672DDD"/>
    <w:rsid w:val="006734E6"/>
    <w:rsid w:val="00676C91"/>
    <w:rsid w:val="006803C0"/>
    <w:rsid w:val="006808FB"/>
    <w:rsid w:val="00690B77"/>
    <w:rsid w:val="00695AD4"/>
    <w:rsid w:val="006C4000"/>
    <w:rsid w:val="006C621F"/>
    <w:rsid w:val="006C651A"/>
    <w:rsid w:val="006D363B"/>
    <w:rsid w:val="006D5EE8"/>
    <w:rsid w:val="006E56E8"/>
    <w:rsid w:val="006E5B01"/>
    <w:rsid w:val="006F5AA4"/>
    <w:rsid w:val="00711200"/>
    <w:rsid w:val="007146A3"/>
    <w:rsid w:val="00715568"/>
    <w:rsid w:val="0072397F"/>
    <w:rsid w:val="00727250"/>
    <w:rsid w:val="00731922"/>
    <w:rsid w:val="00731ACB"/>
    <w:rsid w:val="007368AD"/>
    <w:rsid w:val="0074133D"/>
    <w:rsid w:val="00744836"/>
    <w:rsid w:val="00745DF6"/>
    <w:rsid w:val="0075196D"/>
    <w:rsid w:val="0075558C"/>
    <w:rsid w:val="00761EFA"/>
    <w:rsid w:val="00764873"/>
    <w:rsid w:val="007671F0"/>
    <w:rsid w:val="007778DD"/>
    <w:rsid w:val="00781055"/>
    <w:rsid w:val="00787617"/>
    <w:rsid w:val="00791819"/>
    <w:rsid w:val="00796693"/>
    <w:rsid w:val="007A0F41"/>
    <w:rsid w:val="007A378F"/>
    <w:rsid w:val="007C7591"/>
    <w:rsid w:val="007D1C7E"/>
    <w:rsid w:val="007D5CD5"/>
    <w:rsid w:val="007E32B1"/>
    <w:rsid w:val="007E4F36"/>
    <w:rsid w:val="007E5AD3"/>
    <w:rsid w:val="007F0173"/>
    <w:rsid w:val="007F1357"/>
    <w:rsid w:val="007F6AE9"/>
    <w:rsid w:val="0080059B"/>
    <w:rsid w:val="00801D8C"/>
    <w:rsid w:val="008142DF"/>
    <w:rsid w:val="008161B3"/>
    <w:rsid w:val="008216C2"/>
    <w:rsid w:val="00825933"/>
    <w:rsid w:val="00826D54"/>
    <w:rsid w:val="008315EA"/>
    <w:rsid w:val="00834CBF"/>
    <w:rsid w:val="00836F89"/>
    <w:rsid w:val="00845373"/>
    <w:rsid w:val="00846459"/>
    <w:rsid w:val="0085757D"/>
    <w:rsid w:val="00863435"/>
    <w:rsid w:val="00864954"/>
    <w:rsid w:val="0086552A"/>
    <w:rsid w:val="00872827"/>
    <w:rsid w:val="0087349A"/>
    <w:rsid w:val="008748D3"/>
    <w:rsid w:val="0087532D"/>
    <w:rsid w:val="00884155"/>
    <w:rsid w:val="00884346"/>
    <w:rsid w:val="008865B6"/>
    <w:rsid w:val="008949E3"/>
    <w:rsid w:val="00895DF4"/>
    <w:rsid w:val="008A7971"/>
    <w:rsid w:val="008B0A19"/>
    <w:rsid w:val="008B1A4D"/>
    <w:rsid w:val="008C10BF"/>
    <w:rsid w:val="008D0A54"/>
    <w:rsid w:val="008D41B9"/>
    <w:rsid w:val="008D589C"/>
    <w:rsid w:val="008E3DA3"/>
    <w:rsid w:val="008E7085"/>
    <w:rsid w:val="008F251D"/>
    <w:rsid w:val="008F60C3"/>
    <w:rsid w:val="009011B9"/>
    <w:rsid w:val="00904969"/>
    <w:rsid w:val="00911272"/>
    <w:rsid w:val="009167CA"/>
    <w:rsid w:val="009254D6"/>
    <w:rsid w:val="0092669B"/>
    <w:rsid w:val="0093163E"/>
    <w:rsid w:val="0093207D"/>
    <w:rsid w:val="00936436"/>
    <w:rsid w:val="009476E8"/>
    <w:rsid w:val="0095258D"/>
    <w:rsid w:val="00966BAC"/>
    <w:rsid w:val="00975E37"/>
    <w:rsid w:val="0097746A"/>
    <w:rsid w:val="009962C2"/>
    <w:rsid w:val="009A1193"/>
    <w:rsid w:val="009A2ABE"/>
    <w:rsid w:val="009A6A2F"/>
    <w:rsid w:val="009C755C"/>
    <w:rsid w:val="009C780F"/>
    <w:rsid w:val="009D0B67"/>
    <w:rsid w:val="009D794C"/>
    <w:rsid w:val="009E6EB7"/>
    <w:rsid w:val="00A00A8B"/>
    <w:rsid w:val="00A07D99"/>
    <w:rsid w:val="00A1793F"/>
    <w:rsid w:val="00A25353"/>
    <w:rsid w:val="00A34F5F"/>
    <w:rsid w:val="00A46A68"/>
    <w:rsid w:val="00A50EE9"/>
    <w:rsid w:val="00A50F5A"/>
    <w:rsid w:val="00A51466"/>
    <w:rsid w:val="00A746DE"/>
    <w:rsid w:val="00A847CB"/>
    <w:rsid w:val="00A86F48"/>
    <w:rsid w:val="00AA1A72"/>
    <w:rsid w:val="00AA3E0C"/>
    <w:rsid w:val="00AB6429"/>
    <w:rsid w:val="00AC19ED"/>
    <w:rsid w:val="00AD0A33"/>
    <w:rsid w:val="00AD31BE"/>
    <w:rsid w:val="00AE0982"/>
    <w:rsid w:val="00AE52FE"/>
    <w:rsid w:val="00AE7BF3"/>
    <w:rsid w:val="00AF19D4"/>
    <w:rsid w:val="00AF3ADA"/>
    <w:rsid w:val="00B0461C"/>
    <w:rsid w:val="00B051C3"/>
    <w:rsid w:val="00B07524"/>
    <w:rsid w:val="00B113E7"/>
    <w:rsid w:val="00B35B7C"/>
    <w:rsid w:val="00B36790"/>
    <w:rsid w:val="00B53C15"/>
    <w:rsid w:val="00B66B6E"/>
    <w:rsid w:val="00B703DF"/>
    <w:rsid w:val="00B7746D"/>
    <w:rsid w:val="00B86742"/>
    <w:rsid w:val="00B90095"/>
    <w:rsid w:val="00B903AE"/>
    <w:rsid w:val="00BB6419"/>
    <w:rsid w:val="00BD2603"/>
    <w:rsid w:val="00BD3522"/>
    <w:rsid w:val="00BD43E6"/>
    <w:rsid w:val="00BD5875"/>
    <w:rsid w:val="00C0799A"/>
    <w:rsid w:val="00C11D0D"/>
    <w:rsid w:val="00C13BCE"/>
    <w:rsid w:val="00C26544"/>
    <w:rsid w:val="00C30D60"/>
    <w:rsid w:val="00C509C3"/>
    <w:rsid w:val="00C50A17"/>
    <w:rsid w:val="00C52BD7"/>
    <w:rsid w:val="00C70EAE"/>
    <w:rsid w:val="00C83B65"/>
    <w:rsid w:val="00C90343"/>
    <w:rsid w:val="00CA2489"/>
    <w:rsid w:val="00CB496F"/>
    <w:rsid w:val="00CC7116"/>
    <w:rsid w:val="00CD18BC"/>
    <w:rsid w:val="00CD2B89"/>
    <w:rsid w:val="00CD341E"/>
    <w:rsid w:val="00CD50B5"/>
    <w:rsid w:val="00CD73A9"/>
    <w:rsid w:val="00CE3A3E"/>
    <w:rsid w:val="00CE4D4B"/>
    <w:rsid w:val="00CE7350"/>
    <w:rsid w:val="00CF5C0D"/>
    <w:rsid w:val="00D0219B"/>
    <w:rsid w:val="00D06F12"/>
    <w:rsid w:val="00D21EF3"/>
    <w:rsid w:val="00D35D51"/>
    <w:rsid w:val="00D3715E"/>
    <w:rsid w:val="00D41205"/>
    <w:rsid w:val="00D46790"/>
    <w:rsid w:val="00D6504C"/>
    <w:rsid w:val="00D677AA"/>
    <w:rsid w:val="00D72DB8"/>
    <w:rsid w:val="00D73F4D"/>
    <w:rsid w:val="00D82E57"/>
    <w:rsid w:val="00D867FB"/>
    <w:rsid w:val="00D91C27"/>
    <w:rsid w:val="00DB321E"/>
    <w:rsid w:val="00DB79A5"/>
    <w:rsid w:val="00DC50EC"/>
    <w:rsid w:val="00DC5925"/>
    <w:rsid w:val="00DC60FA"/>
    <w:rsid w:val="00DD00DE"/>
    <w:rsid w:val="00DD6545"/>
    <w:rsid w:val="00DE23AF"/>
    <w:rsid w:val="00DE413C"/>
    <w:rsid w:val="00DF11A9"/>
    <w:rsid w:val="00DF3B9A"/>
    <w:rsid w:val="00DF7C87"/>
    <w:rsid w:val="00E010A1"/>
    <w:rsid w:val="00E07CC9"/>
    <w:rsid w:val="00E17598"/>
    <w:rsid w:val="00E24ED3"/>
    <w:rsid w:val="00E41BDE"/>
    <w:rsid w:val="00E443E3"/>
    <w:rsid w:val="00E459DC"/>
    <w:rsid w:val="00E579B9"/>
    <w:rsid w:val="00E633BE"/>
    <w:rsid w:val="00E635E9"/>
    <w:rsid w:val="00E865F7"/>
    <w:rsid w:val="00E91953"/>
    <w:rsid w:val="00EA22B9"/>
    <w:rsid w:val="00EA464C"/>
    <w:rsid w:val="00EA5199"/>
    <w:rsid w:val="00EA60D9"/>
    <w:rsid w:val="00ED2AD6"/>
    <w:rsid w:val="00ED7A05"/>
    <w:rsid w:val="00EE1463"/>
    <w:rsid w:val="00EE334C"/>
    <w:rsid w:val="00EF0E32"/>
    <w:rsid w:val="00F02153"/>
    <w:rsid w:val="00F058DF"/>
    <w:rsid w:val="00F063AE"/>
    <w:rsid w:val="00F15675"/>
    <w:rsid w:val="00F201AC"/>
    <w:rsid w:val="00F21250"/>
    <w:rsid w:val="00F2398D"/>
    <w:rsid w:val="00F26C23"/>
    <w:rsid w:val="00F36563"/>
    <w:rsid w:val="00F4724C"/>
    <w:rsid w:val="00F634A3"/>
    <w:rsid w:val="00F70716"/>
    <w:rsid w:val="00F710F9"/>
    <w:rsid w:val="00F71ADC"/>
    <w:rsid w:val="00F73571"/>
    <w:rsid w:val="00F7620F"/>
    <w:rsid w:val="00F86902"/>
    <w:rsid w:val="00F87F40"/>
    <w:rsid w:val="00FA0AE4"/>
    <w:rsid w:val="00FA75A5"/>
    <w:rsid w:val="00FB4DBA"/>
    <w:rsid w:val="00FB667E"/>
    <w:rsid w:val="00FC5A1B"/>
    <w:rsid w:val="00FD7A36"/>
    <w:rsid w:val="00FE552D"/>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97C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749E"/>
    <w:rPr>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161B3"/>
    <w:pPr>
      <w:spacing w:before="100" w:beforeAutospacing="1" w:after="100" w:afterAutospacing="1"/>
    </w:pPr>
  </w:style>
  <w:style w:type="character" w:styleId="FollowedHyperlink">
    <w:name w:val="FollowedHyperlink"/>
    <w:basedOn w:val="DefaultParagraphFont"/>
    <w:semiHidden/>
    <w:unhideWhenUsed/>
    <w:rsid w:val="001A52D6"/>
    <w:rPr>
      <w:color w:val="800080" w:themeColor="followedHyperlink"/>
      <w:u w:val="single"/>
    </w:rPr>
  </w:style>
  <w:style w:type="paragraph" w:customStyle="1" w:styleId="Style1">
    <w:name w:val="Style1"/>
    <w:basedOn w:val="Caption"/>
    <w:qFormat/>
    <w:rsid w:val="002977BC"/>
    <w:rPr>
      <w:sz w:val="22"/>
    </w:rPr>
  </w:style>
  <w:style w:type="paragraph" w:customStyle="1" w:styleId="Default">
    <w:name w:val="Default"/>
    <w:rsid w:val="00412B02"/>
    <w:pPr>
      <w:autoSpaceDE w:val="0"/>
      <w:autoSpaceDN w:val="0"/>
      <w:adjustRightInd w:val="0"/>
    </w:pPr>
    <w:rPr>
      <w:rFonts w:ascii="Arial" w:eastAsiaTheme="minorHAnsi" w:hAnsi="Arial" w:cs="Arial"/>
      <w:color w:val="000000"/>
      <w:sz w:val="24"/>
      <w:szCs w:val="24"/>
    </w:rPr>
  </w:style>
  <w:style w:type="paragraph" w:styleId="Bibliography">
    <w:name w:val="Bibliography"/>
    <w:basedOn w:val="Normal"/>
    <w:next w:val="Normal"/>
    <w:uiPriority w:val="37"/>
    <w:semiHidden/>
    <w:unhideWhenUsed/>
    <w:rsid w:val="00412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0127">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51576488">
      <w:bodyDiv w:val="1"/>
      <w:marLeft w:val="0"/>
      <w:marRight w:val="0"/>
      <w:marTop w:val="0"/>
      <w:marBottom w:val="0"/>
      <w:divBdr>
        <w:top w:val="none" w:sz="0" w:space="0" w:color="auto"/>
        <w:left w:val="none" w:sz="0" w:space="0" w:color="auto"/>
        <w:bottom w:val="none" w:sz="0" w:space="0" w:color="auto"/>
        <w:right w:val="none" w:sz="0" w:space="0" w:color="auto"/>
      </w:divBdr>
    </w:div>
    <w:div w:id="1395931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footer" Target="footer1.xml"/><Relationship Id="rId12" Type="http://schemas.openxmlformats.org/officeDocument/2006/relationships/image" Target="media/image5.tiff"/><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tiff"/><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97742-0548-4767-8F5D-70395DAC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C:\Users\asherm10\Documents\multipart-te.dotx</Template>
  <TotalTime>0</TotalTime>
  <Pages>119</Pages>
  <Words>104056</Words>
  <Characters>604570</Characters>
  <Application>Microsoft Office Word</Application>
  <DocSecurity>0</DocSecurity>
  <Lines>12091</Lines>
  <Paragraphs>4428</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704198</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2021-11-16T18:14:00Z</dcterms:created>
  <dcterms:modified xsi:type="dcterms:W3CDTF">2021-11-17T21:56:00Z</dcterms:modified>
</cp:coreProperties>
</file>