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11E47" w14:textId="26E2C841" w:rsidR="003D07F7" w:rsidRPr="006242D3" w:rsidRDefault="00864248">
      <w:pPr>
        <w:jc w:val="center"/>
        <w:rPr>
          <w:rFonts w:asciiTheme="majorHAnsi" w:hAnsiTheme="majorHAnsi" w:cs="Times New Roman"/>
          <w:b/>
          <w:lang w:val="en-CA"/>
        </w:rPr>
      </w:pPr>
      <w:r w:rsidRPr="006242D3">
        <w:rPr>
          <w:rFonts w:asciiTheme="majorHAnsi" w:hAnsiTheme="majorHAnsi" w:cs="Times New Roman"/>
          <w:b/>
          <w:lang w:val="en-CA"/>
        </w:rPr>
        <w:t>Transforming Harm: The Crises of Opioids, Conjunctural Politics, and Struggles for Care in Southern Appalachia</w:t>
      </w:r>
    </w:p>
    <w:p w14:paraId="24536595" w14:textId="77777777" w:rsidR="00236E6D" w:rsidRPr="006242D3" w:rsidRDefault="00236E6D">
      <w:pPr>
        <w:jc w:val="center"/>
        <w:rPr>
          <w:rFonts w:asciiTheme="majorHAnsi" w:hAnsiTheme="majorHAnsi" w:cs="Times New Roman"/>
        </w:rPr>
      </w:pPr>
    </w:p>
    <w:p w14:paraId="2E6CCC2A" w14:textId="77777777" w:rsidR="00236E6D" w:rsidRPr="006242D3" w:rsidRDefault="00236E6D">
      <w:pPr>
        <w:jc w:val="center"/>
        <w:rPr>
          <w:rFonts w:asciiTheme="majorHAnsi" w:hAnsiTheme="majorHAnsi" w:cs="Times New Roman"/>
        </w:rPr>
      </w:pPr>
    </w:p>
    <w:p w14:paraId="1EE1223B" w14:textId="77777777" w:rsidR="00236E6D" w:rsidRPr="006242D3" w:rsidRDefault="00236E6D">
      <w:pPr>
        <w:jc w:val="center"/>
        <w:rPr>
          <w:rFonts w:asciiTheme="majorHAnsi" w:hAnsiTheme="majorHAnsi" w:cs="Times New Roman"/>
        </w:rPr>
      </w:pPr>
    </w:p>
    <w:p w14:paraId="3DEAE309" w14:textId="77777777" w:rsidR="00236E6D" w:rsidRPr="006242D3" w:rsidRDefault="00236E6D">
      <w:pPr>
        <w:jc w:val="center"/>
        <w:rPr>
          <w:rFonts w:asciiTheme="majorHAnsi" w:hAnsiTheme="majorHAnsi" w:cs="Times New Roman"/>
        </w:rPr>
      </w:pPr>
    </w:p>
    <w:p w14:paraId="7714B38C" w14:textId="77777777" w:rsidR="00236E6D" w:rsidRPr="006242D3" w:rsidRDefault="00236E6D">
      <w:pPr>
        <w:jc w:val="center"/>
        <w:rPr>
          <w:rFonts w:asciiTheme="majorHAnsi" w:hAnsiTheme="majorHAnsi" w:cs="Times New Roman"/>
        </w:rPr>
      </w:pPr>
    </w:p>
    <w:p w14:paraId="7038F58C" w14:textId="77777777" w:rsidR="00236E6D" w:rsidRPr="006242D3" w:rsidRDefault="00236E6D">
      <w:pPr>
        <w:jc w:val="center"/>
        <w:rPr>
          <w:rFonts w:asciiTheme="majorHAnsi" w:hAnsiTheme="majorHAnsi" w:cs="Times New Roman"/>
        </w:rPr>
      </w:pPr>
    </w:p>
    <w:p w14:paraId="5430E715" w14:textId="77777777" w:rsidR="00236E6D" w:rsidRPr="006242D3" w:rsidRDefault="00236E6D">
      <w:pPr>
        <w:jc w:val="center"/>
        <w:rPr>
          <w:rFonts w:asciiTheme="majorHAnsi" w:hAnsiTheme="majorHAnsi" w:cs="Times New Roman"/>
        </w:rPr>
      </w:pPr>
    </w:p>
    <w:p w14:paraId="731DE7C5" w14:textId="77777777" w:rsidR="009D2AA9" w:rsidRPr="006242D3" w:rsidRDefault="009D2AA9">
      <w:pPr>
        <w:jc w:val="center"/>
        <w:rPr>
          <w:rFonts w:asciiTheme="majorHAnsi" w:hAnsiTheme="majorHAnsi" w:cs="Times New Roman"/>
        </w:rPr>
      </w:pPr>
    </w:p>
    <w:p w14:paraId="5D5153EB" w14:textId="77777777" w:rsidR="009D2AA9" w:rsidRPr="006242D3" w:rsidRDefault="009D2AA9">
      <w:pPr>
        <w:jc w:val="center"/>
        <w:rPr>
          <w:rFonts w:asciiTheme="majorHAnsi" w:hAnsiTheme="majorHAnsi" w:cs="Times New Roman"/>
        </w:rPr>
      </w:pPr>
    </w:p>
    <w:p w14:paraId="140D592E" w14:textId="77777777" w:rsidR="009D2AA9" w:rsidRPr="006242D3" w:rsidRDefault="009D2AA9">
      <w:pPr>
        <w:jc w:val="center"/>
        <w:rPr>
          <w:rFonts w:asciiTheme="majorHAnsi" w:hAnsiTheme="majorHAnsi" w:cs="Times New Roman"/>
        </w:rPr>
      </w:pPr>
    </w:p>
    <w:p w14:paraId="5F230862" w14:textId="77777777" w:rsidR="00236E6D" w:rsidRPr="006242D3" w:rsidRDefault="00236E6D">
      <w:pPr>
        <w:jc w:val="center"/>
        <w:rPr>
          <w:rFonts w:asciiTheme="majorHAnsi" w:hAnsiTheme="majorHAnsi" w:cs="Times New Roman"/>
        </w:rPr>
      </w:pPr>
    </w:p>
    <w:p w14:paraId="5E058D2A" w14:textId="77777777" w:rsidR="00236E6D" w:rsidRPr="006242D3" w:rsidRDefault="00236E6D">
      <w:pPr>
        <w:jc w:val="center"/>
        <w:rPr>
          <w:rFonts w:asciiTheme="majorHAnsi" w:hAnsiTheme="majorHAnsi" w:cs="Times New Roman"/>
        </w:rPr>
      </w:pPr>
    </w:p>
    <w:p w14:paraId="16055DE0" w14:textId="3806083A" w:rsidR="00236E6D" w:rsidRPr="006242D3" w:rsidRDefault="009C755C">
      <w:pPr>
        <w:jc w:val="center"/>
        <w:rPr>
          <w:rFonts w:asciiTheme="majorHAnsi" w:hAnsiTheme="majorHAnsi" w:cs="Times New Roman"/>
        </w:rPr>
      </w:pPr>
      <w:r w:rsidRPr="006242D3">
        <w:rPr>
          <w:rFonts w:asciiTheme="majorHAnsi" w:hAnsiTheme="majorHAnsi" w:cs="Times New Roman"/>
        </w:rPr>
        <w:t xml:space="preserve">A </w:t>
      </w:r>
      <w:r w:rsidR="00274E57">
        <w:rPr>
          <w:rFonts w:asciiTheme="majorHAnsi" w:hAnsiTheme="majorHAnsi" w:cs="Times New Roman"/>
        </w:rPr>
        <w:t>Dissertation</w:t>
      </w:r>
      <w:r w:rsidRPr="006242D3">
        <w:rPr>
          <w:rFonts w:asciiTheme="majorHAnsi" w:hAnsiTheme="majorHAnsi" w:cs="Times New Roman"/>
        </w:rPr>
        <w:t xml:space="preserve"> Presented for</w:t>
      </w:r>
      <w:r w:rsidR="008865B6" w:rsidRPr="006242D3">
        <w:rPr>
          <w:rFonts w:asciiTheme="majorHAnsi" w:hAnsiTheme="majorHAnsi" w:cs="Times New Roman"/>
        </w:rPr>
        <w:t xml:space="preserve"> the</w:t>
      </w:r>
    </w:p>
    <w:p w14:paraId="66EF1724" w14:textId="32D64CB8" w:rsidR="009C755C" w:rsidRPr="006242D3" w:rsidRDefault="00864248">
      <w:pPr>
        <w:jc w:val="center"/>
        <w:rPr>
          <w:rFonts w:asciiTheme="majorHAnsi" w:hAnsiTheme="majorHAnsi" w:cs="Times New Roman"/>
        </w:rPr>
      </w:pPr>
      <w:r w:rsidRPr="006242D3">
        <w:rPr>
          <w:rFonts w:asciiTheme="majorHAnsi" w:hAnsiTheme="majorHAnsi" w:cs="Times New Roman"/>
        </w:rPr>
        <w:t>Doctor of Philosophy</w:t>
      </w:r>
    </w:p>
    <w:p w14:paraId="7D57A5D4" w14:textId="77777777" w:rsidR="009C755C" w:rsidRPr="006242D3" w:rsidRDefault="009C755C">
      <w:pPr>
        <w:jc w:val="center"/>
        <w:rPr>
          <w:rFonts w:asciiTheme="majorHAnsi" w:hAnsiTheme="majorHAnsi" w:cs="Times New Roman"/>
        </w:rPr>
      </w:pPr>
      <w:r w:rsidRPr="006242D3">
        <w:rPr>
          <w:rFonts w:asciiTheme="majorHAnsi" w:hAnsiTheme="majorHAnsi" w:cs="Times New Roman"/>
        </w:rPr>
        <w:t>Degree</w:t>
      </w:r>
    </w:p>
    <w:p w14:paraId="2681A97B" w14:textId="77777777" w:rsidR="009C755C" w:rsidRPr="006242D3" w:rsidRDefault="009C755C">
      <w:pPr>
        <w:jc w:val="center"/>
        <w:rPr>
          <w:rFonts w:asciiTheme="majorHAnsi" w:hAnsiTheme="majorHAnsi" w:cs="Times New Roman"/>
        </w:rPr>
      </w:pPr>
      <w:r w:rsidRPr="006242D3">
        <w:rPr>
          <w:rFonts w:asciiTheme="majorHAnsi" w:hAnsiTheme="majorHAnsi" w:cs="Times New Roman"/>
        </w:rPr>
        <w:t>The University of Tennessee, Knoxville</w:t>
      </w:r>
    </w:p>
    <w:p w14:paraId="574FAA13" w14:textId="77777777" w:rsidR="00236E6D" w:rsidRPr="006242D3" w:rsidRDefault="00236E6D">
      <w:pPr>
        <w:jc w:val="center"/>
        <w:rPr>
          <w:rFonts w:asciiTheme="majorHAnsi" w:hAnsiTheme="majorHAnsi" w:cs="Times New Roman"/>
        </w:rPr>
      </w:pPr>
    </w:p>
    <w:p w14:paraId="263C854D" w14:textId="77777777" w:rsidR="00236E6D" w:rsidRPr="006242D3" w:rsidRDefault="00236E6D">
      <w:pPr>
        <w:jc w:val="center"/>
        <w:rPr>
          <w:rFonts w:asciiTheme="majorHAnsi" w:hAnsiTheme="majorHAnsi" w:cs="Times New Roman"/>
        </w:rPr>
      </w:pPr>
    </w:p>
    <w:p w14:paraId="7AD2B21C" w14:textId="77777777" w:rsidR="00236E6D" w:rsidRPr="006242D3" w:rsidRDefault="00236E6D">
      <w:pPr>
        <w:jc w:val="center"/>
        <w:rPr>
          <w:rFonts w:asciiTheme="majorHAnsi" w:hAnsiTheme="majorHAnsi" w:cs="Times New Roman"/>
        </w:rPr>
      </w:pPr>
    </w:p>
    <w:p w14:paraId="0007E5E5" w14:textId="77777777" w:rsidR="00236E6D" w:rsidRPr="006242D3" w:rsidRDefault="00236E6D">
      <w:pPr>
        <w:jc w:val="center"/>
        <w:rPr>
          <w:rFonts w:asciiTheme="majorHAnsi" w:hAnsiTheme="majorHAnsi" w:cs="Times New Roman"/>
        </w:rPr>
      </w:pPr>
    </w:p>
    <w:p w14:paraId="4A0B3046" w14:textId="77777777" w:rsidR="00236E6D" w:rsidRPr="006242D3" w:rsidRDefault="00236E6D">
      <w:pPr>
        <w:jc w:val="center"/>
        <w:rPr>
          <w:rFonts w:asciiTheme="majorHAnsi" w:hAnsiTheme="majorHAnsi" w:cs="Times New Roman"/>
        </w:rPr>
      </w:pPr>
    </w:p>
    <w:p w14:paraId="2A47BC1C" w14:textId="77777777" w:rsidR="00236E6D" w:rsidRPr="006242D3" w:rsidRDefault="00236E6D">
      <w:pPr>
        <w:jc w:val="center"/>
        <w:rPr>
          <w:rFonts w:asciiTheme="majorHAnsi" w:hAnsiTheme="majorHAnsi" w:cs="Times New Roman"/>
        </w:rPr>
      </w:pPr>
    </w:p>
    <w:p w14:paraId="1D0834A6" w14:textId="77777777" w:rsidR="00236E6D" w:rsidRPr="006242D3" w:rsidRDefault="00236E6D">
      <w:pPr>
        <w:jc w:val="center"/>
        <w:rPr>
          <w:rFonts w:asciiTheme="majorHAnsi" w:hAnsiTheme="majorHAnsi" w:cs="Times New Roman"/>
        </w:rPr>
      </w:pPr>
    </w:p>
    <w:p w14:paraId="5ED879CD" w14:textId="77777777" w:rsidR="00236E6D" w:rsidRPr="006242D3" w:rsidRDefault="00236E6D">
      <w:pPr>
        <w:jc w:val="center"/>
        <w:rPr>
          <w:rFonts w:asciiTheme="majorHAnsi" w:hAnsiTheme="majorHAnsi" w:cs="Times New Roman"/>
        </w:rPr>
      </w:pPr>
    </w:p>
    <w:p w14:paraId="31C5A1D6" w14:textId="77777777" w:rsidR="00236E6D" w:rsidRPr="006242D3" w:rsidRDefault="00236E6D">
      <w:pPr>
        <w:jc w:val="center"/>
        <w:rPr>
          <w:rFonts w:asciiTheme="majorHAnsi" w:hAnsiTheme="majorHAnsi" w:cs="Times New Roman"/>
        </w:rPr>
      </w:pPr>
    </w:p>
    <w:p w14:paraId="05DE6BF5" w14:textId="77777777" w:rsidR="009D2AA9" w:rsidRPr="006242D3" w:rsidRDefault="009D2AA9">
      <w:pPr>
        <w:jc w:val="center"/>
        <w:rPr>
          <w:rFonts w:asciiTheme="majorHAnsi" w:hAnsiTheme="majorHAnsi" w:cs="Times New Roman"/>
        </w:rPr>
      </w:pPr>
    </w:p>
    <w:p w14:paraId="40E047FB" w14:textId="77777777" w:rsidR="009D2AA9" w:rsidRPr="006242D3" w:rsidRDefault="009D2AA9">
      <w:pPr>
        <w:jc w:val="center"/>
        <w:rPr>
          <w:rFonts w:asciiTheme="majorHAnsi" w:hAnsiTheme="majorHAnsi" w:cs="Times New Roman"/>
        </w:rPr>
      </w:pPr>
    </w:p>
    <w:p w14:paraId="773647F0" w14:textId="77777777" w:rsidR="009D2AA9" w:rsidRPr="006242D3" w:rsidRDefault="009D2AA9">
      <w:pPr>
        <w:jc w:val="center"/>
        <w:rPr>
          <w:rFonts w:asciiTheme="majorHAnsi" w:hAnsiTheme="majorHAnsi" w:cs="Times New Roman"/>
        </w:rPr>
      </w:pPr>
    </w:p>
    <w:p w14:paraId="7872C7A2" w14:textId="77777777" w:rsidR="009D2AA9" w:rsidRPr="006242D3" w:rsidRDefault="009D2AA9">
      <w:pPr>
        <w:jc w:val="center"/>
        <w:rPr>
          <w:rFonts w:asciiTheme="majorHAnsi" w:hAnsiTheme="majorHAnsi" w:cs="Times New Roman"/>
        </w:rPr>
      </w:pPr>
    </w:p>
    <w:p w14:paraId="66617F05" w14:textId="77777777" w:rsidR="009D2AA9" w:rsidRPr="006242D3" w:rsidRDefault="009D2AA9">
      <w:pPr>
        <w:jc w:val="center"/>
        <w:rPr>
          <w:rFonts w:asciiTheme="majorHAnsi" w:hAnsiTheme="majorHAnsi" w:cs="Times New Roman"/>
        </w:rPr>
      </w:pPr>
    </w:p>
    <w:p w14:paraId="4552D5AE" w14:textId="77777777" w:rsidR="009D2AA9" w:rsidRPr="006242D3" w:rsidRDefault="009D2AA9">
      <w:pPr>
        <w:jc w:val="center"/>
        <w:rPr>
          <w:rFonts w:asciiTheme="majorHAnsi" w:hAnsiTheme="majorHAnsi" w:cs="Times New Roman"/>
        </w:rPr>
      </w:pPr>
    </w:p>
    <w:p w14:paraId="15DC5F83" w14:textId="77777777" w:rsidR="009D2AA9" w:rsidRPr="006242D3" w:rsidRDefault="009D2AA9">
      <w:pPr>
        <w:jc w:val="center"/>
        <w:rPr>
          <w:rFonts w:asciiTheme="majorHAnsi" w:hAnsiTheme="majorHAnsi" w:cs="Times New Roman"/>
        </w:rPr>
      </w:pPr>
    </w:p>
    <w:p w14:paraId="4248DC43" w14:textId="77777777" w:rsidR="009D2AA9" w:rsidRPr="006242D3" w:rsidRDefault="009D2AA9">
      <w:pPr>
        <w:jc w:val="center"/>
        <w:rPr>
          <w:rFonts w:asciiTheme="majorHAnsi" w:hAnsiTheme="majorHAnsi" w:cs="Times New Roman"/>
        </w:rPr>
      </w:pPr>
    </w:p>
    <w:p w14:paraId="0036CE9C" w14:textId="77777777" w:rsidR="009D2AA9" w:rsidRPr="006242D3" w:rsidRDefault="009D2AA9">
      <w:pPr>
        <w:jc w:val="center"/>
        <w:rPr>
          <w:rFonts w:asciiTheme="majorHAnsi" w:hAnsiTheme="majorHAnsi" w:cs="Times New Roman"/>
        </w:rPr>
      </w:pPr>
    </w:p>
    <w:p w14:paraId="51A0E919" w14:textId="77777777" w:rsidR="009D2AA9" w:rsidRPr="006242D3" w:rsidRDefault="009D2AA9">
      <w:pPr>
        <w:jc w:val="center"/>
        <w:rPr>
          <w:rFonts w:asciiTheme="majorHAnsi" w:hAnsiTheme="majorHAnsi" w:cs="Times New Roman"/>
        </w:rPr>
      </w:pPr>
    </w:p>
    <w:p w14:paraId="251B474A" w14:textId="77777777" w:rsidR="009D2AA9" w:rsidRPr="006242D3" w:rsidRDefault="009D2AA9">
      <w:pPr>
        <w:jc w:val="center"/>
        <w:rPr>
          <w:rFonts w:asciiTheme="majorHAnsi" w:hAnsiTheme="majorHAnsi" w:cs="Times New Roman"/>
        </w:rPr>
      </w:pPr>
    </w:p>
    <w:p w14:paraId="228AB6A1" w14:textId="77777777" w:rsidR="009D2AA9" w:rsidRPr="006242D3" w:rsidRDefault="009D2AA9">
      <w:pPr>
        <w:jc w:val="center"/>
        <w:rPr>
          <w:rFonts w:asciiTheme="majorHAnsi" w:hAnsiTheme="majorHAnsi" w:cs="Times New Roman"/>
        </w:rPr>
      </w:pPr>
    </w:p>
    <w:p w14:paraId="3E8D02AC" w14:textId="77777777" w:rsidR="00236E6D" w:rsidRPr="006242D3" w:rsidRDefault="00236E6D">
      <w:pPr>
        <w:jc w:val="center"/>
        <w:rPr>
          <w:rFonts w:asciiTheme="majorHAnsi" w:hAnsiTheme="majorHAnsi" w:cs="Times New Roman"/>
        </w:rPr>
      </w:pPr>
    </w:p>
    <w:p w14:paraId="42AC6590" w14:textId="77777777" w:rsidR="00236E6D" w:rsidRPr="006242D3" w:rsidRDefault="00236E6D">
      <w:pPr>
        <w:jc w:val="center"/>
        <w:rPr>
          <w:rFonts w:asciiTheme="majorHAnsi" w:hAnsiTheme="majorHAnsi" w:cs="Times New Roman"/>
        </w:rPr>
      </w:pPr>
    </w:p>
    <w:p w14:paraId="6AC1206C" w14:textId="1691E8B6" w:rsidR="00236E6D" w:rsidRPr="006242D3" w:rsidRDefault="00864248">
      <w:pPr>
        <w:jc w:val="center"/>
        <w:rPr>
          <w:rFonts w:asciiTheme="majorHAnsi" w:hAnsiTheme="majorHAnsi" w:cs="Times New Roman"/>
        </w:rPr>
      </w:pPr>
      <w:r w:rsidRPr="006242D3">
        <w:rPr>
          <w:rFonts w:asciiTheme="majorHAnsi" w:hAnsiTheme="majorHAnsi" w:cs="Times New Roman"/>
        </w:rPr>
        <w:t>Kyra Martinez</w:t>
      </w:r>
    </w:p>
    <w:p w14:paraId="0E05CAA5" w14:textId="0573E40F" w:rsidR="009C755C" w:rsidRPr="006242D3" w:rsidRDefault="00274E57">
      <w:pPr>
        <w:jc w:val="center"/>
        <w:rPr>
          <w:rFonts w:asciiTheme="majorHAnsi" w:hAnsiTheme="majorHAnsi" w:cs="Times New Roman"/>
        </w:rPr>
      </w:pPr>
      <w:r>
        <w:rPr>
          <w:rFonts w:asciiTheme="majorHAnsi" w:hAnsiTheme="majorHAnsi" w:cs="Times New Roman"/>
        </w:rPr>
        <w:t xml:space="preserve">May </w:t>
      </w:r>
      <w:r w:rsidR="00206090" w:rsidRPr="006242D3">
        <w:rPr>
          <w:rFonts w:asciiTheme="majorHAnsi" w:hAnsiTheme="majorHAnsi" w:cs="Times New Roman"/>
        </w:rPr>
        <w:t>202</w:t>
      </w:r>
      <w:r w:rsidR="00864248" w:rsidRPr="006242D3">
        <w:rPr>
          <w:rFonts w:asciiTheme="majorHAnsi" w:hAnsiTheme="majorHAnsi" w:cs="Times New Roman"/>
        </w:rPr>
        <w:t>3</w:t>
      </w:r>
    </w:p>
    <w:p w14:paraId="0F3BD5A4" w14:textId="77777777" w:rsidR="00236E6D" w:rsidRPr="006242D3" w:rsidRDefault="00236E6D">
      <w:pPr>
        <w:jc w:val="center"/>
        <w:rPr>
          <w:rFonts w:asciiTheme="majorHAnsi" w:hAnsiTheme="majorHAnsi" w:cs="Times New Roman"/>
        </w:rPr>
      </w:pPr>
    </w:p>
    <w:p w14:paraId="057FA2D0" w14:textId="77777777" w:rsidR="00236E6D" w:rsidRPr="006242D3" w:rsidRDefault="00236E6D">
      <w:pPr>
        <w:jc w:val="center"/>
        <w:rPr>
          <w:rFonts w:asciiTheme="majorHAnsi" w:hAnsiTheme="majorHAnsi" w:cs="Times New Roman"/>
        </w:rPr>
      </w:pPr>
    </w:p>
    <w:p w14:paraId="0C95BBD0" w14:textId="174B49B8" w:rsidR="00236E6D" w:rsidRPr="006242D3" w:rsidRDefault="003D07F7" w:rsidP="00D91C27">
      <w:pPr>
        <w:jc w:val="center"/>
        <w:rPr>
          <w:rFonts w:asciiTheme="majorHAnsi" w:hAnsiTheme="majorHAnsi" w:cs="Times New Roman"/>
        </w:rPr>
      </w:pPr>
      <w:r w:rsidRPr="006242D3">
        <w:rPr>
          <w:rFonts w:asciiTheme="majorHAnsi" w:hAnsiTheme="majorHAnsi" w:cs="Times New Roman"/>
        </w:rPr>
        <w:t>Copyright © 20</w:t>
      </w:r>
      <w:r w:rsidR="00206090" w:rsidRPr="006242D3">
        <w:rPr>
          <w:rFonts w:asciiTheme="majorHAnsi" w:hAnsiTheme="majorHAnsi" w:cs="Times New Roman"/>
        </w:rPr>
        <w:t>2</w:t>
      </w:r>
      <w:r w:rsidR="00864248" w:rsidRPr="006242D3">
        <w:rPr>
          <w:rFonts w:asciiTheme="majorHAnsi" w:hAnsiTheme="majorHAnsi" w:cs="Times New Roman"/>
        </w:rPr>
        <w:t xml:space="preserve">3 </w:t>
      </w:r>
      <w:r w:rsidR="00236E6D" w:rsidRPr="006242D3">
        <w:rPr>
          <w:rFonts w:asciiTheme="majorHAnsi" w:hAnsiTheme="majorHAnsi" w:cs="Times New Roman"/>
        </w:rPr>
        <w:t xml:space="preserve">by </w:t>
      </w:r>
      <w:r w:rsidR="00864248" w:rsidRPr="006242D3">
        <w:rPr>
          <w:rFonts w:asciiTheme="majorHAnsi" w:hAnsiTheme="majorHAnsi" w:cs="Times New Roman"/>
        </w:rPr>
        <w:t>Kyra Martinez</w:t>
      </w:r>
      <w:r w:rsidR="008865B6" w:rsidRPr="006242D3">
        <w:rPr>
          <w:rFonts w:asciiTheme="majorHAnsi" w:hAnsiTheme="majorHAnsi" w:cs="Times New Roman"/>
        </w:rPr>
        <w:t xml:space="preserve"> </w:t>
      </w:r>
    </w:p>
    <w:p w14:paraId="6752E184" w14:textId="77777777" w:rsidR="00236E6D" w:rsidRPr="006242D3" w:rsidRDefault="00236E6D">
      <w:pPr>
        <w:jc w:val="center"/>
        <w:rPr>
          <w:rFonts w:asciiTheme="majorHAnsi" w:hAnsiTheme="majorHAnsi" w:cs="Times New Roman"/>
        </w:rPr>
      </w:pPr>
      <w:r w:rsidRPr="006242D3">
        <w:rPr>
          <w:rFonts w:asciiTheme="majorHAnsi" w:hAnsiTheme="majorHAnsi" w:cs="Times New Roman"/>
        </w:rPr>
        <w:t>All rights reserved.</w:t>
      </w:r>
    </w:p>
    <w:p w14:paraId="71A285AD" w14:textId="77777777" w:rsidR="00236E6D" w:rsidRPr="006242D3" w:rsidRDefault="00236E6D">
      <w:pPr>
        <w:jc w:val="center"/>
        <w:rPr>
          <w:rFonts w:asciiTheme="majorHAnsi" w:hAnsiTheme="majorHAnsi" w:cs="Times New Roman"/>
        </w:rPr>
      </w:pPr>
    </w:p>
    <w:p w14:paraId="02EF404D" w14:textId="77777777" w:rsidR="00236E6D" w:rsidRPr="006242D3" w:rsidRDefault="00236E6D">
      <w:pPr>
        <w:jc w:val="center"/>
        <w:rPr>
          <w:rFonts w:asciiTheme="majorHAnsi" w:hAnsiTheme="majorHAnsi" w:cs="Times New Roman"/>
        </w:rPr>
      </w:pPr>
    </w:p>
    <w:p w14:paraId="2F828697" w14:textId="77777777" w:rsidR="00236E6D" w:rsidRPr="006242D3" w:rsidRDefault="00236E6D">
      <w:pPr>
        <w:jc w:val="center"/>
        <w:rPr>
          <w:rFonts w:asciiTheme="majorHAnsi" w:hAnsiTheme="majorHAnsi" w:cs="Times New Roman"/>
        </w:rPr>
      </w:pPr>
    </w:p>
    <w:p w14:paraId="3D7226AD" w14:textId="77777777" w:rsidR="00236E6D" w:rsidRPr="006242D3" w:rsidRDefault="00236E6D">
      <w:pPr>
        <w:jc w:val="center"/>
        <w:rPr>
          <w:rFonts w:asciiTheme="majorHAnsi" w:hAnsiTheme="majorHAnsi" w:cs="Times New Roman"/>
        </w:rPr>
      </w:pPr>
    </w:p>
    <w:p w14:paraId="5F4280D4" w14:textId="77777777" w:rsidR="00236E6D" w:rsidRPr="006242D3" w:rsidRDefault="00236E6D">
      <w:pPr>
        <w:jc w:val="center"/>
        <w:rPr>
          <w:rFonts w:asciiTheme="majorHAnsi" w:hAnsiTheme="majorHAnsi" w:cs="Times New Roman"/>
        </w:rPr>
      </w:pPr>
    </w:p>
    <w:p w14:paraId="155537E2" w14:textId="77777777" w:rsidR="00236E6D" w:rsidRPr="006242D3" w:rsidRDefault="00236E6D">
      <w:pPr>
        <w:jc w:val="center"/>
        <w:rPr>
          <w:rFonts w:asciiTheme="majorHAnsi" w:hAnsiTheme="majorHAnsi" w:cs="Times New Roman"/>
        </w:rPr>
      </w:pPr>
    </w:p>
    <w:p w14:paraId="014D9E0A" w14:textId="77777777" w:rsidR="00236E6D" w:rsidRPr="006242D3" w:rsidRDefault="00236E6D">
      <w:pPr>
        <w:jc w:val="center"/>
        <w:rPr>
          <w:rFonts w:asciiTheme="majorHAnsi" w:hAnsiTheme="majorHAnsi" w:cs="Times New Roman"/>
        </w:rPr>
      </w:pPr>
    </w:p>
    <w:p w14:paraId="19B49D4F" w14:textId="77777777" w:rsidR="00236E6D" w:rsidRPr="006242D3" w:rsidRDefault="00236E6D">
      <w:pPr>
        <w:jc w:val="center"/>
        <w:rPr>
          <w:rFonts w:asciiTheme="majorHAnsi" w:hAnsiTheme="majorHAnsi" w:cs="Times New Roman"/>
        </w:rPr>
      </w:pPr>
    </w:p>
    <w:p w14:paraId="4103919A" w14:textId="77777777" w:rsidR="00236E6D" w:rsidRPr="006242D3" w:rsidRDefault="00236E6D">
      <w:pPr>
        <w:jc w:val="center"/>
        <w:rPr>
          <w:rFonts w:asciiTheme="majorHAnsi" w:hAnsiTheme="majorHAnsi" w:cs="Times New Roman"/>
        </w:rPr>
      </w:pPr>
    </w:p>
    <w:p w14:paraId="40F5A53D" w14:textId="77777777" w:rsidR="00236E6D" w:rsidRPr="006242D3" w:rsidRDefault="00236E6D">
      <w:pPr>
        <w:jc w:val="center"/>
        <w:rPr>
          <w:rFonts w:asciiTheme="majorHAnsi" w:hAnsiTheme="majorHAnsi" w:cs="Times New Roman"/>
        </w:rPr>
      </w:pPr>
    </w:p>
    <w:p w14:paraId="2AD0E0B1" w14:textId="77777777" w:rsidR="00236E6D" w:rsidRPr="006242D3" w:rsidRDefault="00236E6D">
      <w:pPr>
        <w:jc w:val="center"/>
        <w:rPr>
          <w:rFonts w:asciiTheme="majorHAnsi" w:hAnsiTheme="majorHAnsi" w:cs="Times New Roman"/>
        </w:rPr>
      </w:pPr>
    </w:p>
    <w:p w14:paraId="2A489D60" w14:textId="77777777" w:rsidR="00236E6D" w:rsidRPr="006242D3" w:rsidRDefault="00236E6D">
      <w:pPr>
        <w:jc w:val="center"/>
        <w:rPr>
          <w:rFonts w:asciiTheme="majorHAnsi" w:hAnsiTheme="majorHAnsi" w:cs="Times New Roman"/>
        </w:rPr>
      </w:pPr>
    </w:p>
    <w:p w14:paraId="3ECA32C2" w14:textId="77777777" w:rsidR="00236E6D" w:rsidRPr="006242D3" w:rsidRDefault="00236E6D">
      <w:pPr>
        <w:jc w:val="center"/>
        <w:rPr>
          <w:rFonts w:asciiTheme="majorHAnsi" w:hAnsiTheme="majorHAnsi" w:cs="Times New Roman"/>
        </w:rPr>
      </w:pPr>
    </w:p>
    <w:p w14:paraId="6E0A0FDF" w14:textId="77777777" w:rsidR="00236E6D" w:rsidRPr="006242D3" w:rsidRDefault="00236E6D">
      <w:pPr>
        <w:jc w:val="center"/>
        <w:rPr>
          <w:rFonts w:asciiTheme="majorHAnsi" w:hAnsiTheme="majorHAnsi" w:cs="Times New Roman"/>
        </w:rPr>
      </w:pPr>
    </w:p>
    <w:p w14:paraId="130FBE39" w14:textId="77777777" w:rsidR="009D2AA9" w:rsidRPr="006242D3" w:rsidRDefault="009D2AA9" w:rsidP="009D2AA9">
      <w:pPr>
        <w:rPr>
          <w:rFonts w:asciiTheme="majorHAnsi" w:hAnsiTheme="majorHAnsi" w:cs="Times New Roman"/>
        </w:rPr>
      </w:pPr>
    </w:p>
    <w:p w14:paraId="5E014CDF" w14:textId="77777777" w:rsidR="009D2AA9" w:rsidRPr="006242D3" w:rsidRDefault="009D2AA9" w:rsidP="009D2AA9">
      <w:pPr>
        <w:rPr>
          <w:rFonts w:asciiTheme="majorHAnsi" w:hAnsiTheme="majorHAnsi" w:cs="Times New Roman"/>
        </w:rPr>
      </w:pPr>
    </w:p>
    <w:p w14:paraId="72EF01BE" w14:textId="77777777" w:rsidR="009D2AA9" w:rsidRPr="006242D3" w:rsidRDefault="009D2AA9" w:rsidP="009D2AA9">
      <w:pPr>
        <w:rPr>
          <w:rFonts w:asciiTheme="majorHAnsi" w:hAnsiTheme="majorHAnsi" w:cs="Times New Roman"/>
        </w:rPr>
      </w:pPr>
    </w:p>
    <w:p w14:paraId="5622C418" w14:textId="77777777" w:rsidR="009D2AA9" w:rsidRPr="006242D3" w:rsidRDefault="009D2AA9" w:rsidP="009D2AA9">
      <w:pPr>
        <w:rPr>
          <w:rFonts w:asciiTheme="majorHAnsi" w:hAnsiTheme="majorHAnsi" w:cs="Times New Roman"/>
        </w:rPr>
      </w:pPr>
    </w:p>
    <w:p w14:paraId="0EC9A01E" w14:textId="77777777" w:rsidR="009D2AA9" w:rsidRPr="006242D3" w:rsidRDefault="009D2AA9" w:rsidP="009D2AA9">
      <w:pPr>
        <w:rPr>
          <w:rFonts w:asciiTheme="majorHAnsi" w:hAnsiTheme="majorHAnsi" w:cs="Times New Roman"/>
        </w:rPr>
      </w:pPr>
    </w:p>
    <w:p w14:paraId="681058BE" w14:textId="77777777" w:rsidR="009D2AA9" w:rsidRPr="006242D3" w:rsidRDefault="009D2AA9" w:rsidP="009D2AA9">
      <w:pPr>
        <w:rPr>
          <w:rFonts w:asciiTheme="majorHAnsi" w:hAnsiTheme="majorHAnsi" w:cs="Times New Roman"/>
        </w:rPr>
      </w:pPr>
    </w:p>
    <w:p w14:paraId="5629538E" w14:textId="77777777" w:rsidR="009D2AA9" w:rsidRPr="006242D3" w:rsidRDefault="009D2AA9" w:rsidP="009D2AA9">
      <w:pPr>
        <w:rPr>
          <w:rFonts w:asciiTheme="majorHAnsi" w:hAnsiTheme="majorHAnsi" w:cs="Times New Roman"/>
        </w:rPr>
      </w:pPr>
    </w:p>
    <w:p w14:paraId="0A7742F5" w14:textId="77777777" w:rsidR="009D2AA9" w:rsidRPr="006242D3" w:rsidRDefault="009D2AA9" w:rsidP="009D2AA9">
      <w:pPr>
        <w:rPr>
          <w:rFonts w:asciiTheme="majorHAnsi" w:hAnsiTheme="majorHAnsi" w:cs="Times New Roman"/>
        </w:rPr>
      </w:pPr>
    </w:p>
    <w:p w14:paraId="1C5078B6" w14:textId="77777777" w:rsidR="009D2AA9" w:rsidRPr="006242D3" w:rsidRDefault="009D2AA9" w:rsidP="009D2AA9">
      <w:pPr>
        <w:rPr>
          <w:rFonts w:asciiTheme="majorHAnsi" w:hAnsiTheme="majorHAnsi" w:cs="Times New Roman"/>
        </w:rPr>
      </w:pPr>
    </w:p>
    <w:p w14:paraId="5633B170" w14:textId="77777777" w:rsidR="009D2AA9" w:rsidRPr="006242D3" w:rsidRDefault="009D2AA9" w:rsidP="009D2AA9">
      <w:pPr>
        <w:rPr>
          <w:rFonts w:asciiTheme="majorHAnsi" w:hAnsiTheme="majorHAnsi" w:cs="Times New Roman"/>
        </w:rPr>
      </w:pPr>
    </w:p>
    <w:p w14:paraId="182AEEEE" w14:textId="77777777" w:rsidR="009D2AA9" w:rsidRPr="006242D3" w:rsidRDefault="009D2AA9" w:rsidP="009D2AA9">
      <w:pPr>
        <w:rPr>
          <w:rFonts w:asciiTheme="majorHAnsi" w:hAnsiTheme="majorHAnsi" w:cs="Times New Roman"/>
        </w:rPr>
      </w:pPr>
    </w:p>
    <w:p w14:paraId="421CE0C0" w14:textId="77777777" w:rsidR="009D2AA9" w:rsidRPr="006242D3" w:rsidRDefault="009D2AA9" w:rsidP="009D2AA9">
      <w:pPr>
        <w:rPr>
          <w:rFonts w:asciiTheme="majorHAnsi" w:hAnsiTheme="majorHAnsi" w:cs="Times New Roman"/>
        </w:rPr>
      </w:pPr>
    </w:p>
    <w:p w14:paraId="68E6F9BE" w14:textId="77777777" w:rsidR="009D2AA9" w:rsidRPr="006242D3" w:rsidRDefault="009D2AA9" w:rsidP="009D2AA9">
      <w:pPr>
        <w:rPr>
          <w:rFonts w:asciiTheme="majorHAnsi" w:hAnsiTheme="majorHAnsi" w:cs="Times New Roman"/>
        </w:rPr>
      </w:pPr>
    </w:p>
    <w:p w14:paraId="0007DF9E" w14:textId="77777777" w:rsidR="009D2AA9" w:rsidRPr="006242D3" w:rsidRDefault="009D2AA9" w:rsidP="009D2AA9">
      <w:pPr>
        <w:rPr>
          <w:rFonts w:asciiTheme="majorHAnsi" w:hAnsiTheme="majorHAnsi" w:cs="Times New Roman"/>
        </w:rPr>
      </w:pPr>
    </w:p>
    <w:p w14:paraId="491A71F6" w14:textId="77777777" w:rsidR="009D2AA9" w:rsidRPr="006242D3" w:rsidRDefault="009D2AA9" w:rsidP="009D2AA9">
      <w:pPr>
        <w:rPr>
          <w:rFonts w:asciiTheme="majorHAnsi" w:hAnsiTheme="majorHAnsi" w:cs="Times New Roman"/>
        </w:rPr>
      </w:pPr>
    </w:p>
    <w:p w14:paraId="1692C1BD" w14:textId="77777777" w:rsidR="009D2AA9" w:rsidRPr="006242D3" w:rsidRDefault="009D2AA9" w:rsidP="009D2AA9">
      <w:pPr>
        <w:rPr>
          <w:rFonts w:asciiTheme="majorHAnsi" w:hAnsiTheme="majorHAnsi" w:cs="Times New Roman"/>
        </w:rPr>
      </w:pPr>
    </w:p>
    <w:p w14:paraId="171F28D5" w14:textId="77777777" w:rsidR="009D2AA9" w:rsidRPr="006242D3" w:rsidRDefault="009D2AA9" w:rsidP="009D2AA9">
      <w:pPr>
        <w:rPr>
          <w:rFonts w:asciiTheme="majorHAnsi" w:hAnsiTheme="majorHAnsi" w:cs="Times New Roman"/>
        </w:rPr>
      </w:pPr>
    </w:p>
    <w:p w14:paraId="216E3D8F" w14:textId="77777777" w:rsidR="009D2AA9" w:rsidRPr="006242D3" w:rsidRDefault="009D2AA9" w:rsidP="009D2AA9">
      <w:pPr>
        <w:rPr>
          <w:rFonts w:asciiTheme="majorHAnsi" w:hAnsiTheme="majorHAnsi" w:cs="Times New Roman"/>
        </w:rPr>
      </w:pPr>
    </w:p>
    <w:p w14:paraId="1D3C6A0C" w14:textId="77777777" w:rsidR="009D2AA9" w:rsidRPr="006242D3" w:rsidRDefault="009D2AA9" w:rsidP="009D2AA9">
      <w:pPr>
        <w:rPr>
          <w:rFonts w:asciiTheme="majorHAnsi" w:hAnsiTheme="majorHAnsi" w:cs="Times New Roman"/>
        </w:rPr>
      </w:pPr>
    </w:p>
    <w:p w14:paraId="31BD12B2" w14:textId="77777777" w:rsidR="009D2AA9" w:rsidRPr="006242D3" w:rsidRDefault="009D2AA9" w:rsidP="009D2AA9">
      <w:pPr>
        <w:rPr>
          <w:rFonts w:asciiTheme="majorHAnsi" w:hAnsiTheme="majorHAnsi" w:cs="Times New Roman"/>
        </w:rPr>
      </w:pPr>
    </w:p>
    <w:p w14:paraId="3D830351" w14:textId="77777777" w:rsidR="009D2AA9" w:rsidRPr="006242D3" w:rsidRDefault="009D2AA9" w:rsidP="009D2AA9">
      <w:pPr>
        <w:rPr>
          <w:rFonts w:asciiTheme="majorHAnsi" w:hAnsiTheme="majorHAnsi" w:cs="Times New Roman"/>
        </w:rPr>
      </w:pPr>
    </w:p>
    <w:p w14:paraId="66230D4B" w14:textId="77777777" w:rsidR="009D2AA9" w:rsidRPr="006242D3" w:rsidRDefault="009D2AA9" w:rsidP="009D2AA9">
      <w:pPr>
        <w:rPr>
          <w:rFonts w:asciiTheme="majorHAnsi" w:hAnsiTheme="majorHAnsi" w:cs="Times New Roman"/>
        </w:rPr>
      </w:pPr>
    </w:p>
    <w:p w14:paraId="69C1F266" w14:textId="77777777" w:rsidR="009D2AA9" w:rsidRPr="006242D3" w:rsidRDefault="009D2AA9" w:rsidP="009D2AA9">
      <w:pPr>
        <w:rPr>
          <w:rFonts w:asciiTheme="majorHAnsi" w:hAnsiTheme="majorHAnsi" w:cs="Times New Roman"/>
        </w:rPr>
      </w:pPr>
    </w:p>
    <w:p w14:paraId="507D326F" w14:textId="77777777" w:rsidR="009D2AA9" w:rsidRPr="006242D3" w:rsidRDefault="009D2AA9" w:rsidP="009D2AA9">
      <w:pPr>
        <w:rPr>
          <w:rFonts w:asciiTheme="majorHAnsi" w:hAnsiTheme="majorHAnsi" w:cs="Times New Roman"/>
        </w:rPr>
      </w:pPr>
    </w:p>
    <w:p w14:paraId="6E049E12" w14:textId="77777777" w:rsidR="009D2AA9" w:rsidRPr="006242D3" w:rsidRDefault="009D2AA9" w:rsidP="009D2AA9">
      <w:pPr>
        <w:rPr>
          <w:rFonts w:asciiTheme="majorHAnsi" w:hAnsiTheme="majorHAnsi" w:cs="Times New Roman"/>
        </w:rPr>
      </w:pPr>
    </w:p>
    <w:p w14:paraId="4230F8E6" w14:textId="77777777" w:rsidR="009D2AA9" w:rsidRPr="006242D3" w:rsidRDefault="009D2AA9" w:rsidP="009D2AA9">
      <w:pPr>
        <w:rPr>
          <w:rFonts w:asciiTheme="majorHAnsi" w:hAnsiTheme="majorHAnsi" w:cs="Times New Roman"/>
        </w:rPr>
      </w:pPr>
    </w:p>
    <w:p w14:paraId="6BC959CE" w14:textId="77777777" w:rsidR="009D2AA9" w:rsidRPr="006242D3" w:rsidRDefault="009D2AA9" w:rsidP="009D2AA9">
      <w:pPr>
        <w:rPr>
          <w:rFonts w:asciiTheme="majorHAnsi" w:hAnsiTheme="majorHAnsi" w:cs="Times New Roman"/>
        </w:rPr>
      </w:pPr>
    </w:p>
    <w:p w14:paraId="26873444" w14:textId="77777777" w:rsidR="00CD73A9" w:rsidRPr="006242D3" w:rsidRDefault="00CD73A9" w:rsidP="009D2AA9">
      <w:pPr>
        <w:jc w:val="center"/>
        <w:rPr>
          <w:rFonts w:asciiTheme="majorHAnsi" w:hAnsiTheme="majorHAnsi" w:cs="Times New Roman"/>
          <w:b/>
        </w:rPr>
      </w:pPr>
      <w:r w:rsidRPr="006242D3">
        <w:rPr>
          <w:rFonts w:asciiTheme="majorHAnsi" w:hAnsiTheme="majorHAnsi" w:cs="Times New Roman"/>
          <w:b/>
        </w:rPr>
        <w:lastRenderedPageBreak/>
        <w:t>ACKNOWLEDGEMENTS</w:t>
      </w:r>
    </w:p>
    <w:p w14:paraId="2BECD511" w14:textId="77777777" w:rsidR="00CD73A9" w:rsidRPr="006242D3" w:rsidRDefault="00CD73A9">
      <w:pPr>
        <w:jc w:val="center"/>
        <w:rPr>
          <w:rFonts w:asciiTheme="majorHAnsi" w:hAnsiTheme="majorHAnsi" w:cs="Times New Roman"/>
        </w:rPr>
      </w:pPr>
    </w:p>
    <w:p w14:paraId="0D68D32A" w14:textId="77777777" w:rsidR="00A0642B" w:rsidRDefault="0054194B" w:rsidP="00A0642B">
      <w:pPr>
        <w:ind w:firstLine="720"/>
        <w:rPr>
          <w:rFonts w:asciiTheme="majorHAnsi" w:hAnsiTheme="majorHAnsi" w:cs="Times New Roman"/>
        </w:rPr>
      </w:pPr>
      <w:r>
        <w:rPr>
          <w:rFonts w:asciiTheme="majorHAnsi" w:hAnsiTheme="majorHAnsi" w:cs="Times New Roman"/>
        </w:rPr>
        <w:t>First and foremost, I would like to thank my daughter, Olivia</w:t>
      </w:r>
      <w:r w:rsidR="00897991">
        <w:rPr>
          <w:rFonts w:asciiTheme="majorHAnsi" w:hAnsiTheme="majorHAnsi" w:cs="Times New Roman"/>
        </w:rPr>
        <w:t xml:space="preserve">. There are no words to express how </w:t>
      </w:r>
      <w:r w:rsidR="00AF1995">
        <w:rPr>
          <w:rFonts w:asciiTheme="majorHAnsi" w:hAnsiTheme="majorHAnsi" w:cs="Times New Roman"/>
        </w:rPr>
        <w:t xml:space="preserve">much I have appreciated your </w:t>
      </w:r>
      <w:r w:rsidR="00874255">
        <w:rPr>
          <w:rFonts w:asciiTheme="majorHAnsi" w:hAnsiTheme="majorHAnsi" w:cs="Times New Roman"/>
        </w:rPr>
        <w:t>quick wit, dark humor,</w:t>
      </w:r>
      <w:r w:rsidR="00AF1995">
        <w:rPr>
          <w:rFonts w:asciiTheme="majorHAnsi" w:hAnsiTheme="majorHAnsi" w:cs="Times New Roman"/>
        </w:rPr>
        <w:t xml:space="preserve"> </w:t>
      </w:r>
      <w:r w:rsidR="00C13FD5">
        <w:rPr>
          <w:rFonts w:asciiTheme="majorHAnsi" w:hAnsiTheme="majorHAnsi" w:cs="Times New Roman"/>
        </w:rPr>
        <w:t xml:space="preserve">and </w:t>
      </w:r>
      <w:r w:rsidR="006858ED">
        <w:rPr>
          <w:rFonts w:asciiTheme="majorHAnsi" w:hAnsiTheme="majorHAnsi" w:cs="Times New Roman"/>
        </w:rPr>
        <w:t>mischief-making</w:t>
      </w:r>
      <w:r w:rsidR="00874255">
        <w:rPr>
          <w:rFonts w:asciiTheme="majorHAnsi" w:hAnsiTheme="majorHAnsi" w:cs="Times New Roman"/>
        </w:rPr>
        <w:t xml:space="preserve"> on this journey. </w:t>
      </w:r>
      <w:r w:rsidR="00CD419C">
        <w:rPr>
          <w:rFonts w:asciiTheme="majorHAnsi" w:hAnsiTheme="majorHAnsi" w:cs="Times New Roman"/>
        </w:rPr>
        <w:t>I would</w:t>
      </w:r>
      <w:r w:rsidR="00D8486B">
        <w:rPr>
          <w:rFonts w:asciiTheme="majorHAnsi" w:hAnsiTheme="majorHAnsi" w:cs="Times New Roman"/>
        </w:rPr>
        <w:t xml:space="preserve"> also</w:t>
      </w:r>
      <w:r w:rsidR="00CD419C">
        <w:rPr>
          <w:rFonts w:asciiTheme="majorHAnsi" w:hAnsiTheme="majorHAnsi" w:cs="Times New Roman"/>
        </w:rPr>
        <w:t xml:space="preserve"> like</w:t>
      </w:r>
      <w:r w:rsidR="00D8486B">
        <w:rPr>
          <w:rFonts w:asciiTheme="majorHAnsi" w:hAnsiTheme="majorHAnsi" w:cs="Times New Roman"/>
        </w:rPr>
        <w:t xml:space="preserve"> to thank my advisor, Dr.</w:t>
      </w:r>
      <w:r w:rsidR="00CD419C">
        <w:rPr>
          <w:rFonts w:asciiTheme="majorHAnsi" w:hAnsiTheme="majorHAnsi" w:cs="Times New Roman"/>
        </w:rPr>
        <w:t xml:space="preserve"> </w:t>
      </w:r>
      <w:r w:rsidR="00CD419C" w:rsidRPr="001C0A51">
        <w:rPr>
          <w:rFonts w:ascii="Cambria" w:hAnsi="Cambria"/>
          <w:sz w:val="23"/>
          <w:szCs w:val="23"/>
        </w:rPr>
        <w:t>Michelle Brown</w:t>
      </w:r>
      <w:r w:rsidR="00625940">
        <w:rPr>
          <w:rFonts w:ascii="Cambria" w:hAnsi="Cambria"/>
          <w:sz w:val="23"/>
          <w:szCs w:val="23"/>
        </w:rPr>
        <w:t xml:space="preserve">. Without your </w:t>
      </w:r>
      <w:r w:rsidR="009C36E4">
        <w:rPr>
          <w:rFonts w:ascii="Cambria" w:hAnsi="Cambria"/>
          <w:sz w:val="23"/>
          <w:szCs w:val="23"/>
        </w:rPr>
        <w:t>guidance, insight,</w:t>
      </w:r>
      <w:r w:rsidR="001B1BC9">
        <w:rPr>
          <w:rFonts w:ascii="Cambria" w:hAnsi="Cambria"/>
          <w:sz w:val="23"/>
          <w:szCs w:val="23"/>
        </w:rPr>
        <w:t xml:space="preserve"> and, most of all, </w:t>
      </w:r>
      <w:r w:rsidR="00625940">
        <w:rPr>
          <w:rFonts w:ascii="Cambria" w:hAnsi="Cambria"/>
          <w:sz w:val="23"/>
          <w:szCs w:val="23"/>
        </w:rPr>
        <w:t>your</w:t>
      </w:r>
      <w:r w:rsidR="001B1BC9">
        <w:rPr>
          <w:rFonts w:ascii="Cambria" w:hAnsi="Cambria"/>
          <w:sz w:val="23"/>
          <w:szCs w:val="23"/>
        </w:rPr>
        <w:t xml:space="preserve"> kindness and compassion</w:t>
      </w:r>
      <w:r w:rsidR="00625940">
        <w:rPr>
          <w:rFonts w:ascii="Cambria" w:hAnsi="Cambria"/>
          <w:sz w:val="23"/>
          <w:szCs w:val="23"/>
        </w:rPr>
        <w:t>, I would not have made it</w:t>
      </w:r>
      <w:r w:rsidR="009C36E4">
        <w:rPr>
          <w:rFonts w:ascii="Cambria" w:hAnsi="Cambria"/>
          <w:sz w:val="23"/>
          <w:szCs w:val="23"/>
        </w:rPr>
        <w:t xml:space="preserve">. As well, thank you to my committee members Dr(s). </w:t>
      </w:r>
      <w:r w:rsidR="00CD419C" w:rsidRPr="001C0A51">
        <w:rPr>
          <w:rFonts w:ascii="Cambria" w:hAnsi="Cambria"/>
          <w:sz w:val="23"/>
          <w:szCs w:val="23"/>
        </w:rPr>
        <w:t xml:space="preserve">Tyler Wall, Christina Ergas, and Travis </w:t>
      </w:r>
      <w:proofErr w:type="spellStart"/>
      <w:r w:rsidR="00CD419C" w:rsidRPr="001C0A51">
        <w:rPr>
          <w:rFonts w:ascii="Cambria" w:hAnsi="Cambria"/>
          <w:sz w:val="23"/>
          <w:szCs w:val="23"/>
        </w:rPr>
        <w:t>Linnemann</w:t>
      </w:r>
      <w:proofErr w:type="spellEnd"/>
      <w:r w:rsidR="00625940">
        <w:rPr>
          <w:rFonts w:asciiTheme="majorHAnsi" w:hAnsiTheme="majorHAnsi" w:cs="Times New Roman"/>
        </w:rPr>
        <w:t xml:space="preserve"> for each of your support. And last, but not least, I would like to thank my family and friends.</w:t>
      </w:r>
      <w:r w:rsidR="00682031">
        <w:rPr>
          <w:rFonts w:asciiTheme="majorHAnsi" w:hAnsiTheme="majorHAnsi" w:cs="Times New Roman"/>
        </w:rPr>
        <w:t xml:space="preserve"> </w:t>
      </w:r>
    </w:p>
    <w:p w14:paraId="541E0341" w14:textId="77777777" w:rsidR="00A0642B" w:rsidRDefault="00A0642B" w:rsidP="00A0642B">
      <w:pPr>
        <w:rPr>
          <w:rFonts w:asciiTheme="majorHAnsi" w:hAnsiTheme="majorHAnsi" w:cs="Times New Roman"/>
        </w:rPr>
      </w:pPr>
    </w:p>
    <w:p w14:paraId="0D50EE6B" w14:textId="77777777" w:rsidR="00A0642B" w:rsidRDefault="00A0642B" w:rsidP="00A0642B">
      <w:pPr>
        <w:rPr>
          <w:rFonts w:asciiTheme="majorHAnsi" w:hAnsiTheme="majorHAnsi" w:cs="Times New Roman"/>
        </w:rPr>
      </w:pPr>
    </w:p>
    <w:p w14:paraId="23D60C68" w14:textId="77777777" w:rsidR="00A0642B" w:rsidRDefault="00A0642B" w:rsidP="00A0642B">
      <w:pPr>
        <w:rPr>
          <w:rFonts w:asciiTheme="majorHAnsi" w:hAnsiTheme="majorHAnsi" w:cs="Times New Roman"/>
        </w:rPr>
      </w:pPr>
    </w:p>
    <w:p w14:paraId="528473AA" w14:textId="77777777" w:rsidR="00A0642B" w:rsidRDefault="00A0642B" w:rsidP="00A0642B">
      <w:pPr>
        <w:rPr>
          <w:rFonts w:asciiTheme="majorHAnsi" w:hAnsiTheme="majorHAnsi" w:cs="Times New Roman"/>
        </w:rPr>
      </w:pPr>
    </w:p>
    <w:p w14:paraId="4447994E" w14:textId="77777777" w:rsidR="00A0642B" w:rsidRDefault="00A0642B" w:rsidP="00A0642B">
      <w:pPr>
        <w:rPr>
          <w:rFonts w:asciiTheme="majorHAnsi" w:hAnsiTheme="majorHAnsi" w:cs="Times New Roman"/>
        </w:rPr>
      </w:pPr>
    </w:p>
    <w:p w14:paraId="6AF0A4E5" w14:textId="77777777" w:rsidR="00A0642B" w:rsidRDefault="00A0642B" w:rsidP="00A0642B">
      <w:pPr>
        <w:rPr>
          <w:rFonts w:asciiTheme="majorHAnsi" w:hAnsiTheme="majorHAnsi" w:cs="Times New Roman"/>
        </w:rPr>
      </w:pPr>
    </w:p>
    <w:p w14:paraId="456A8D7D" w14:textId="77777777" w:rsidR="00A0642B" w:rsidRDefault="00A0642B" w:rsidP="00A0642B">
      <w:pPr>
        <w:rPr>
          <w:rFonts w:asciiTheme="majorHAnsi" w:hAnsiTheme="majorHAnsi" w:cs="Times New Roman"/>
        </w:rPr>
      </w:pPr>
    </w:p>
    <w:p w14:paraId="3629721B" w14:textId="77777777" w:rsidR="00A0642B" w:rsidRDefault="00A0642B" w:rsidP="00A0642B">
      <w:pPr>
        <w:rPr>
          <w:rFonts w:asciiTheme="majorHAnsi" w:hAnsiTheme="majorHAnsi" w:cs="Times New Roman"/>
        </w:rPr>
      </w:pPr>
    </w:p>
    <w:p w14:paraId="253D0AF6" w14:textId="77777777" w:rsidR="00A0642B" w:rsidRDefault="00A0642B" w:rsidP="00A0642B">
      <w:pPr>
        <w:rPr>
          <w:rFonts w:asciiTheme="majorHAnsi" w:hAnsiTheme="majorHAnsi" w:cs="Times New Roman"/>
        </w:rPr>
      </w:pPr>
    </w:p>
    <w:p w14:paraId="7E48DCD4" w14:textId="77777777" w:rsidR="00A0642B" w:rsidRDefault="00A0642B" w:rsidP="00A0642B">
      <w:pPr>
        <w:rPr>
          <w:rFonts w:asciiTheme="majorHAnsi" w:hAnsiTheme="majorHAnsi" w:cs="Times New Roman"/>
        </w:rPr>
      </w:pPr>
    </w:p>
    <w:p w14:paraId="314D6A9A" w14:textId="77777777" w:rsidR="00A0642B" w:rsidRDefault="00A0642B" w:rsidP="00A0642B">
      <w:pPr>
        <w:rPr>
          <w:rFonts w:asciiTheme="majorHAnsi" w:hAnsiTheme="majorHAnsi" w:cs="Times New Roman"/>
        </w:rPr>
      </w:pPr>
    </w:p>
    <w:p w14:paraId="773202AA" w14:textId="77777777" w:rsidR="00A0642B" w:rsidRDefault="00A0642B" w:rsidP="00A0642B">
      <w:pPr>
        <w:rPr>
          <w:rFonts w:asciiTheme="majorHAnsi" w:hAnsiTheme="majorHAnsi" w:cs="Times New Roman"/>
        </w:rPr>
      </w:pPr>
    </w:p>
    <w:p w14:paraId="48E8981D" w14:textId="77777777" w:rsidR="00A0642B" w:rsidRDefault="00A0642B" w:rsidP="00A0642B">
      <w:pPr>
        <w:rPr>
          <w:rFonts w:asciiTheme="majorHAnsi" w:hAnsiTheme="majorHAnsi" w:cs="Times New Roman"/>
        </w:rPr>
      </w:pPr>
    </w:p>
    <w:p w14:paraId="57A7D7BF" w14:textId="77777777" w:rsidR="00A0642B" w:rsidRDefault="00A0642B" w:rsidP="00A0642B">
      <w:pPr>
        <w:rPr>
          <w:rFonts w:asciiTheme="majorHAnsi" w:hAnsiTheme="majorHAnsi" w:cs="Times New Roman"/>
        </w:rPr>
      </w:pPr>
    </w:p>
    <w:p w14:paraId="701D7DDD" w14:textId="77777777" w:rsidR="00A0642B" w:rsidRDefault="00A0642B" w:rsidP="00A0642B">
      <w:pPr>
        <w:rPr>
          <w:rFonts w:asciiTheme="majorHAnsi" w:hAnsiTheme="majorHAnsi" w:cs="Times New Roman"/>
        </w:rPr>
      </w:pPr>
    </w:p>
    <w:p w14:paraId="0196E554" w14:textId="77777777" w:rsidR="00A0642B" w:rsidRDefault="00A0642B" w:rsidP="00A0642B">
      <w:pPr>
        <w:rPr>
          <w:rFonts w:asciiTheme="majorHAnsi" w:hAnsiTheme="majorHAnsi" w:cs="Times New Roman"/>
        </w:rPr>
      </w:pPr>
    </w:p>
    <w:p w14:paraId="631465FF" w14:textId="77777777" w:rsidR="00A0642B" w:rsidRDefault="00A0642B" w:rsidP="00A0642B">
      <w:pPr>
        <w:rPr>
          <w:rFonts w:asciiTheme="majorHAnsi" w:hAnsiTheme="majorHAnsi" w:cs="Times New Roman"/>
        </w:rPr>
      </w:pPr>
    </w:p>
    <w:p w14:paraId="17C36C7C" w14:textId="77777777" w:rsidR="00A0642B" w:rsidRDefault="00A0642B" w:rsidP="00A0642B">
      <w:pPr>
        <w:rPr>
          <w:rFonts w:asciiTheme="majorHAnsi" w:hAnsiTheme="majorHAnsi" w:cs="Times New Roman"/>
        </w:rPr>
      </w:pPr>
    </w:p>
    <w:p w14:paraId="2B2F899F" w14:textId="77777777" w:rsidR="00A0642B" w:rsidRDefault="00A0642B" w:rsidP="00A0642B">
      <w:pPr>
        <w:rPr>
          <w:rFonts w:asciiTheme="majorHAnsi" w:hAnsiTheme="majorHAnsi" w:cs="Times New Roman"/>
        </w:rPr>
      </w:pPr>
    </w:p>
    <w:p w14:paraId="4DFBEE4F" w14:textId="77777777" w:rsidR="00A0642B" w:rsidRDefault="00A0642B" w:rsidP="00A0642B">
      <w:pPr>
        <w:rPr>
          <w:rFonts w:asciiTheme="majorHAnsi" w:hAnsiTheme="majorHAnsi" w:cs="Times New Roman"/>
        </w:rPr>
      </w:pPr>
    </w:p>
    <w:p w14:paraId="495FAF26" w14:textId="77777777" w:rsidR="00A0642B" w:rsidRDefault="00A0642B" w:rsidP="00A0642B">
      <w:pPr>
        <w:rPr>
          <w:rFonts w:asciiTheme="majorHAnsi" w:hAnsiTheme="majorHAnsi" w:cs="Times New Roman"/>
        </w:rPr>
      </w:pPr>
    </w:p>
    <w:p w14:paraId="7A69F744" w14:textId="77777777" w:rsidR="00A0642B" w:rsidRDefault="00A0642B" w:rsidP="00A0642B">
      <w:pPr>
        <w:rPr>
          <w:rFonts w:asciiTheme="majorHAnsi" w:hAnsiTheme="majorHAnsi" w:cs="Times New Roman"/>
        </w:rPr>
      </w:pPr>
    </w:p>
    <w:p w14:paraId="6FCF2AC8" w14:textId="77777777" w:rsidR="00A0642B" w:rsidRDefault="00A0642B" w:rsidP="00A0642B">
      <w:pPr>
        <w:rPr>
          <w:rFonts w:asciiTheme="majorHAnsi" w:hAnsiTheme="majorHAnsi" w:cs="Times New Roman"/>
        </w:rPr>
      </w:pPr>
    </w:p>
    <w:p w14:paraId="5A1B94B5" w14:textId="77777777" w:rsidR="00A0642B" w:rsidRDefault="00A0642B" w:rsidP="00A0642B">
      <w:pPr>
        <w:rPr>
          <w:rFonts w:asciiTheme="majorHAnsi" w:hAnsiTheme="majorHAnsi" w:cs="Times New Roman"/>
        </w:rPr>
      </w:pPr>
    </w:p>
    <w:p w14:paraId="00645954" w14:textId="77777777" w:rsidR="00A0642B" w:rsidRDefault="00A0642B" w:rsidP="00A0642B">
      <w:pPr>
        <w:rPr>
          <w:rFonts w:asciiTheme="majorHAnsi" w:hAnsiTheme="majorHAnsi" w:cs="Times New Roman"/>
        </w:rPr>
      </w:pPr>
    </w:p>
    <w:p w14:paraId="362FA22F" w14:textId="77777777" w:rsidR="00A0642B" w:rsidRDefault="00A0642B" w:rsidP="00A0642B">
      <w:pPr>
        <w:rPr>
          <w:rFonts w:asciiTheme="majorHAnsi" w:hAnsiTheme="majorHAnsi" w:cs="Times New Roman"/>
        </w:rPr>
      </w:pPr>
    </w:p>
    <w:p w14:paraId="2A5E3394" w14:textId="77777777" w:rsidR="00A0642B" w:rsidRDefault="00A0642B" w:rsidP="00A0642B">
      <w:pPr>
        <w:rPr>
          <w:rFonts w:asciiTheme="majorHAnsi" w:hAnsiTheme="majorHAnsi" w:cs="Times New Roman"/>
        </w:rPr>
      </w:pPr>
    </w:p>
    <w:p w14:paraId="3F9F9189" w14:textId="77777777" w:rsidR="00A0642B" w:rsidRDefault="00A0642B" w:rsidP="00A0642B">
      <w:pPr>
        <w:rPr>
          <w:rFonts w:asciiTheme="majorHAnsi" w:hAnsiTheme="majorHAnsi" w:cs="Times New Roman"/>
        </w:rPr>
      </w:pPr>
    </w:p>
    <w:p w14:paraId="29F1F100" w14:textId="77777777" w:rsidR="00A0642B" w:rsidRDefault="00A0642B" w:rsidP="00A0642B">
      <w:pPr>
        <w:rPr>
          <w:rFonts w:asciiTheme="majorHAnsi" w:hAnsiTheme="majorHAnsi" w:cs="Times New Roman"/>
        </w:rPr>
      </w:pPr>
    </w:p>
    <w:p w14:paraId="606F2DD1" w14:textId="77777777" w:rsidR="00A0642B" w:rsidRDefault="00A0642B" w:rsidP="00A0642B">
      <w:pPr>
        <w:rPr>
          <w:rFonts w:asciiTheme="majorHAnsi" w:hAnsiTheme="majorHAnsi" w:cs="Times New Roman"/>
        </w:rPr>
      </w:pPr>
    </w:p>
    <w:p w14:paraId="385B972F" w14:textId="77777777" w:rsidR="00A0642B" w:rsidRDefault="00A0642B" w:rsidP="00A0642B">
      <w:pPr>
        <w:rPr>
          <w:rFonts w:asciiTheme="majorHAnsi" w:hAnsiTheme="majorHAnsi" w:cs="Times New Roman"/>
        </w:rPr>
      </w:pPr>
    </w:p>
    <w:p w14:paraId="579AC0DF" w14:textId="77777777" w:rsidR="00A0642B" w:rsidRDefault="00A0642B" w:rsidP="00A0642B">
      <w:pPr>
        <w:rPr>
          <w:rFonts w:asciiTheme="majorHAnsi" w:hAnsiTheme="majorHAnsi" w:cs="Times New Roman"/>
        </w:rPr>
      </w:pPr>
    </w:p>
    <w:p w14:paraId="0565EB93" w14:textId="77777777" w:rsidR="00A0642B" w:rsidRDefault="00A0642B" w:rsidP="00A0642B">
      <w:pPr>
        <w:rPr>
          <w:rFonts w:asciiTheme="majorHAnsi" w:hAnsiTheme="majorHAnsi" w:cs="Times New Roman"/>
        </w:rPr>
      </w:pPr>
    </w:p>
    <w:p w14:paraId="08D2FC27" w14:textId="77777777" w:rsidR="00A0642B" w:rsidRDefault="00A0642B" w:rsidP="00A0642B">
      <w:pPr>
        <w:rPr>
          <w:rFonts w:asciiTheme="majorHAnsi" w:hAnsiTheme="majorHAnsi" w:cs="Times New Roman"/>
        </w:rPr>
      </w:pPr>
    </w:p>
    <w:p w14:paraId="6E40471F" w14:textId="77777777" w:rsidR="00A0642B" w:rsidRDefault="00A0642B" w:rsidP="00A0642B">
      <w:pPr>
        <w:rPr>
          <w:rFonts w:asciiTheme="majorHAnsi" w:hAnsiTheme="majorHAnsi" w:cs="Times New Roman"/>
        </w:rPr>
      </w:pPr>
    </w:p>
    <w:p w14:paraId="37B6C824" w14:textId="58C08F24" w:rsidR="00236E6D" w:rsidRPr="009C36E4" w:rsidRDefault="00236E6D" w:rsidP="00A0642B">
      <w:pPr>
        <w:jc w:val="center"/>
        <w:rPr>
          <w:rFonts w:ascii="Cambria" w:hAnsi="Cambria"/>
          <w:sz w:val="23"/>
          <w:szCs w:val="23"/>
        </w:rPr>
      </w:pPr>
      <w:r w:rsidRPr="006242D3">
        <w:rPr>
          <w:rFonts w:asciiTheme="majorHAnsi" w:hAnsiTheme="majorHAnsi" w:cs="Times New Roman"/>
          <w:b/>
          <w:bCs/>
        </w:rPr>
        <w:lastRenderedPageBreak/>
        <w:t>ABSTRACT</w:t>
      </w:r>
    </w:p>
    <w:p w14:paraId="7A28D42F" w14:textId="77777777" w:rsidR="00236E6D" w:rsidRPr="006242D3" w:rsidRDefault="00236E6D">
      <w:pPr>
        <w:rPr>
          <w:rFonts w:asciiTheme="majorHAnsi" w:hAnsiTheme="majorHAnsi" w:cs="Times New Roman"/>
        </w:rPr>
      </w:pPr>
    </w:p>
    <w:p w14:paraId="2A1F394B" w14:textId="77777777" w:rsidR="00864248" w:rsidRPr="006242D3" w:rsidRDefault="00864248" w:rsidP="00A0642B">
      <w:pPr>
        <w:ind w:firstLine="720"/>
        <w:rPr>
          <w:rFonts w:asciiTheme="majorHAnsi" w:hAnsiTheme="majorHAnsi" w:cs="Times New Roman"/>
        </w:rPr>
      </w:pPr>
      <w:r w:rsidRPr="006242D3">
        <w:rPr>
          <w:rFonts w:asciiTheme="majorHAnsi" w:hAnsiTheme="majorHAnsi" w:cs="Times New Roman"/>
        </w:rPr>
        <w:t>The impact of the current opioid crisis on Southern Appalachia has catalyzed shifts towards public health-based harm reduction in the United States (US) regime of criminalized drug prohibition. Engaging a vital issue of debate—whether or not these shifts are significantly altering the "war on drugs"—my dissertation uses a conjunctural perspective to examine how the state is mobilizing harm reduction to violently reconfigure and resolve the structural contradictions condensed within the opioid crisis under a pretense of care. By locating present struggles over harm reduction in Southern Appalachia within longer movements, moments, and histories of mutual aid organizing, I identify key sites of potential rupture from which to point towards abolitionist alternatives.  </w:t>
      </w:r>
    </w:p>
    <w:p w14:paraId="286F4C3B" w14:textId="77777777" w:rsidR="00864248" w:rsidRPr="006242D3" w:rsidRDefault="00864248" w:rsidP="00864248">
      <w:pPr>
        <w:jc w:val="center"/>
        <w:rPr>
          <w:rFonts w:asciiTheme="majorHAnsi" w:hAnsiTheme="majorHAnsi" w:cs="Times New Roman"/>
        </w:rPr>
      </w:pPr>
    </w:p>
    <w:p w14:paraId="48AEE8BF" w14:textId="77777777" w:rsidR="00864248" w:rsidRPr="006242D3" w:rsidRDefault="00864248" w:rsidP="00864248">
      <w:pPr>
        <w:jc w:val="center"/>
        <w:rPr>
          <w:rFonts w:asciiTheme="majorHAnsi" w:hAnsiTheme="majorHAnsi" w:cs="Times New Roman"/>
        </w:rPr>
      </w:pPr>
    </w:p>
    <w:p w14:paraId="6EBDDCF3" w14:textId="77777777" w:rsidR="00864248" w:rsidRPr="006242D3" w:rsidRDefault="00864248" w:rsidP="00864248">
      <w:pPr>
        <w:jc w:val="center"/>
        <w:rPr>
          <w:rFonts w:asciiTheme="majorHAnsi" w:hAnsiTheme="majorHAnsi" w:cs="Times New Roman"/>
        </w:rPr>
      </w:pPr>
    </w:p>
    <w:p w14:paraId="14D6783A" w14:textId="77777777" w:rsidR="00864248" w:rsidRPr="006242D3" w:rsidRDefault="00864248" w:rsidP="00864248">
      <w:pPr>
        <w:jc w:val="center"/>
        <w:rPr>
          <w:rFonts w:asciiTheme="majorHAnsi" w:hAnsiTheme="majorHAnsi" w:cs="Times New Roman"/>
        </w:rPr>
      </w:pPr>
    </w:p>
    <w:p w14:paraId="59CF77A0" w14:textId="77777777" w:rsidR="00864248" w:rsidRPr="006242D3" w:rsidRDefault="00864248" w:rsidP="00864248">
      <w:pPr>
        <w:jc w:val="center"/>
        <w:rPr>
          <w:rFonts w:asciiTheme="majorHAnsi" w:hAnsiTheme="majorHAnsi" w:cs="Times New Roman"/>
        </w:rPr>
      </w:pPr>
    </w:p>
    <w:p w14:paraId="67FFD2C1" w14:textId="77777777" w:rsidR="00864248" w:rsidRPr="006242D3" w:rsidRDefault="00864248" w:rsidP="00864248">
      <w:pPr>
        <w:jc w:val="center"/>
        <w:rPr>
          <w:rFonts w:asciiTheme="majorHAnsi" w:hAnsiTheme="majorHAnsi" w:cs="Times New Roman"/>
        </w:rPr>
      </w:pPr>
    </w:p>
    <w:p w14:paraId="64D76364" w14:textId="77777777" w:rsidR="00864248" w:rsidRPr="006242D3" w:rsidRDefault="00864248" w:rsidP="00864248">
      <w:pPr>
        <w:jc w:val="center"/>
        <w:rPr>
          <w:rFonts w:asciiTheme="majorHAnsi" w:hAnsiTheme="majorHAnsi" w:cs="Times New Roman"/>
        </w:rPr>
      </w:pPr>
    </w:p>
    <w:p w14:paraId="272A19A3" w14:textId="77777777" w:rsidR="00864248" w:rsidRPr="006242D3" w:rsidRDefault="00864248" w:rsidP="00864248">
      <w:pPr>
        <w:jc w:val="center"/>
        <w:rPr>
          <w:rFonts w:asciiTheme="majorHAnsi" w:hAnsiTheme="majorHAnsi" w:cs="Times New Roman"/>
        </w:rPr>
      </w:pPr>
    </w:p>
    <w:p w14:paraId="770BCBC7" w14:textId="77777777" w:rsidR="00864248" w:rsidRPr="006242D3" w:rsidRDefault="00864248" w:rsidP="00864248">
      <w:pPr>
        <w:jc w:val="center"/>
        <w:rPr>
          <w:rFonts w:asciiTheme="majorHAnsi" w:hAnsiTheme="majorHAnsi" w:cs="Times New Roman"/>
        </w:rPr>
      </w:pPr>
    </w:p>
    <w:p w14:paraId="772984D0" w14:textId="77777777" w:rsidR="00864248" w:rsidRPr="006242D3" w:rsidRDefault="00864248" w:rsidP="00864248">
      <w:pPr>
        <w:jc w:val="center"/>
        <w:rPr>
          <w:rFonts w:asciiTheme="majorHAnsi" w:hAnsiTheme="majorHAnsi" w:cs="Times New Roman"/>
        </w:rPr>
      </w:pPr>
    </w:p>
    <w:p w14:paraId="377CB85E" w14:textId="77777777" w:rsidR="00864248" w:rsidRPr="006242D3" w:rsidRDefault="00864248" w:rsidP="00864248">
      <w:pPr>
        <w:jc w:val="center"/>
        <w:rPr>
          <w:rFonts w:asciiTheme="majorHAnsi" w:hAnsiTheme="majorHAnsi" w:cs="Times New Roman"/>
        </w:rPr>
      </w:pPr>
    </w:p>
    <w:p w14:paraId="5D90C53B" w14:textId="77777777" w:rsidR="00864248" w:rsidRPr="006242D3" w:rsidRDefault="00864248" w:rsidP="00864248">
      <w:pPr>
        <w:jc w:val="center"/>
        <w:rPr>
          <w:rFonts w:asciiTheme="majorHAnsi" w:hAnsiTheme="majorHAnsi" w:cs="Times New Roman"/>
        </w:rPr>
      </w:pPr>
    </w:p>
    <w:p w14:paraId="7FEC8B7B" w14:textId="77777777" w:rsidR="00864248" w:rsidRPr="006242D3" w:rsidRDefault="00864248" w:rsidP="00864248">
      <w:pPr>
        <w:jc w:val="center"/>
        <w:rPr>
          <w:rFonts w:asciiTheme="majorHAnsi" w:hAnsiTheme="majorHAnsi" w:cs="Times New Roman"/>
        </w:rPr>
      </w:pPr>
    </w:p>
    <w:p w14:paraId="6A81F58C" w14:textId="77777777" w:rsidR="00864248" w:rsidRPr="006242D3" w:rsidRDefault="00864248" w:rsidP="00864248">
      <w:pPr>
        <w:jc w:val="center"/>
        <w:rPr>
          <w:rFonts w:asciiTheme="majorHAnsi" w:hAnsiTheme="majorHAnsi" w:cs="Times New Roman"/>
        </w:rPr>
      </w:pPr>
    </w:p>
    <w:p w14:paraId="5E6E652A" w14:textId="77777777" w:rsidR="00864248" w:rsidRPr="006242D3" w:rsidRDefault="00864248" w:rsidP="00864248">
      <w:pPr>
        <w:jc w:val="center"/>
        <w:rPr>
          <w:rFonts w:asciiTheme="majorHAnsi" w:hAnsiTheme="majorHAnsi" w:cs="Times New Roman"/>
        </w:rPr>
      </w:pPr>
    </w:p>
    <w:p w14:paraId="4AF79547" w14:textId="77777777" w:rsidR="00864248" w:rsidRPr="006242D3" w:rsidRDefault="00864248" w:rsidP="00864248">
      <w:pPr>
        <w:jc w:val="center"/>
        <w:rPr>
          <w:rFonts w:asciiTheme="majorHAnsi" w:hAnsiTheme="majorHAnsi" w:cs="Times New Roman"/>
        </w:rPr>
      </w:pPr>
    </w:p>
    <w:p w14:paraId="3EA0AA09" w14:textId="77777777" w:rsidR="00864248" w:rsidRPr="006242D3" w:rsidRDefault="00864248" w:rsidP="00864248">
      <w:pPr>
        <w:jc w:val="center"/>
        <w:rPr>
          <w:rFonts w:asciiTheme="majorHAnsi" w:hAnsiTheme="majorHAnsi" w:cs="Times New Roman"/>
        </w:rPr>
      </w:pPr>
    </w:p>
    <w:p w14:paraId="27DB02B8" w14:textId="77777777" w:rsidR="00864248" w:rsidRPr="006242D3" w:rsidRDefault="00864248" w:rsidP="00864248">
      <w:pPr>
        <w:jc w:val="center"/>
        <w:rPr>
          <w:rFonts w:asciiTheme="majorHAnsi" w:hAnsiTheme="majorHAnsi" w:cs="Times New Roman"/>
        </w:rPr>
      </w:pPr>
    </w:p>
    <w:p w14:paraId="712A864E" w14:textId="77777777" w:rsidR="00864248" w:rsidRPr="006242D3" w:rsidRDefault="00864248" w:rsidP="00864248">
      <w:pPr>
        <w:jc w:val="center"/>
        <w:rPr>
          <w:rFonts w:asciiTheme="majorHAnsi" w:hAnsiTheme="majorHAnsi" w:cs="Times New Roman"/>
        </w:rPr>
      </w:pPr>
    </w:p>
    <w:p w14:paraId="559C108A" w14:textId="77777777" w:rsidR="00864248" w:rsidRPr="006242D3" w:rsidRDefault="00864248" w:rsidP="00864248">
      <w:pPr>
        <w:jc w:val="center"/>
        <w:rPr>
          <w:rFonts w:asciiTheme="majorHAnsi" w:hAnsiTheme="majorHAnsi" w:cs="Times New Roman"/>
        </w:rPr>
      </w:pPr>
    </w:p>
    <w:p w14:paraId="4F35E377" w14:textId="77777777" w:rsidR="00864248" w:rsidRPr="006242D3" w:rsidRDefault="00864248" w:rsidP="00864248">
      <w:pPr>
        <w:jc w:val="center"/>
        <w:rPr>
          <w:rFonts w:asciiTheme="majorHAnsi" w:hAnsiTheme="majorHAnsi" w:cs="Times New Roman"/>
        </w:rPr>
      </w:pPr>
    </w:p>
    <w:p w14:paraId="5B882187" w14:textId="77777777" w:rsidR="00864248" w:rsidRPr="006242D3" w:rsidRDefault="00864248" w:rsidP="00864248">
      <w:pPr>
        <w:jc w:val="center"/>
        <w:rPr>
          <w:rFonts w:asciiTheme="majorHAnsi" w:hAnsiTheme="majorHAnsi" w:cs="Times New Roman"/>
        </w:rPr>
      </w:pPr>
    </w:p>
    <w:p w14:paraId="5D2A741B" w14:textId="77777777" w:rsidR="00864248" w:rsidRPr="006242D3" w:rsidRDefault="00864248" w:rsidP="00864248">
      <w:pPr>
        <w:jc w:val="center"/>
        <w:rPr>
          <w:rFonts w:asciiTheme="majorHAnsi" w:hAnsiTheme="majorHAnsi" w:cs="Times New Roman"/>
        </w:rPr>
      </w:pPr>
    </w:p>
    <w:p w14:paraId="00CC229B" w14:textId="77777777" w:rsidR="00864248" w:rsidRPr="006242D3" w:rsidRDefault="00864248" w:rsidP="00864248">
      <w:pPr>
        <w:jc w:val="center"/>
        <w:rPr>
          <w:rFonts w:asciiTheme="majorHAnsi" w:hAnsiTheme="majorHAnsi" w:cs="Times New Roman"/>
        </w:rPr>
      </w:pPr>
    </w:p>
    <w:p w14:paraId="7CCCFDF6" w14:textId="77777777" w:rsidR="00864248" w:rsidRPr="006242D3" w:rsidRDefault="00864248" w:rsidP="00864248">
      <w:pPr>
        <w:jc w:val="center"/>
        <w:rPr>
          <w:rFonts w:asciiTheme="majorHAnsi" w:hAnsiTheme="majorHAnsi" w:cs="Times New Roman"/>
        </w:rPr>
      </w:pPr>
    </w:p>
    <w:p w14:paraId="7860E0FA" w14:textId="77777777" w:rsidR="00864248" w:rsidRPr="006242D3" w:rsidRDefault="00864248" w:rsidP="00864248">
      <w:pPr>
        <w:jc w:val="center"/>
        <w:rPr>
          <w:rFonts w:asciiTheme="majorHAnsi" w:hAnsiTheme="majorHAnsi" w:cs="Times New Roman"/>
        </w:rPr>
      </w:pPr>
    </w:p>
    <w:p w14:paraId="20F6101A" w14:textId="77777777" w:rsidR="00864248" w:rsidRDefault="00864248" w:rsidP="00864248">
      <w:pPr>
        <w:jc w:val="center"/>
        <w:rPr>
          <w:rFonts w:asciiTheme="majorHAnsi" w:hAnsiTheme="majorHAnsi" w:cs="Times New Roman"/>
        </w:rPr>
      </w:pPr>
    </w:p>
    <w:p w14:paraId="02868583" w14:textId="77777777" w:rsidR="00405A2C" w:rsidRPr="006242D3" w:rsidRDefault="00405A2C" w:rsidP="00864248">
      <w:pPr>
        <w:jc w:val="center"/>
        <w:rPr>
          <w:rFonts w:asciiTheme="majorHAnsi" w:hAnsiTheme="majorHAnsi" w:cs="Times New Roman"/>
        </w:rPr>
      </w:pPr>
    </w:p>
    <w:p w14:paraId="2516F73C" w14:textId="77777777" w:rsidR="00864248" w:rsidRPr="006242D3" w:rsidRDefault="00864248" w:rsidP="00864248">
      <w:pPr>
        <w:rPr>
          <w:rFonts w:asciiTheme="majorHAnsi" w:hAnsiTheme="majorHAnsi" w:cs="Times New Roman"/>
        </w:rPr>
      </w:pPr>
    </w:p>
    <w:p w14:paraId="49BEC4E8" w14:textId="51117088" w:rsidR="00236E6D" w:rsidRPr="000E6098" w:rsidRDefault="003F7FED" w:rsidP="00864248">
      <w:pPr>
        <w:rPr>
          <w:rFonts w:asciiTheme="majorHAnsi" w:hAnsiTheme="majorHAnsi" w:cs="Times New Roman"/>
          <w:b/>
          <w:bCs/>
        </w:rPr>
      </w:pPr>
      <w:r w:rsidRPr="006242D3">
        <w:rPr>
          <w:rFonts w:asciiTheme="majorHAnsi" w:hAnsiTheme="majorHAnsi" w:cs="Times New Roman"/>
          <w:b/>
          <w:bCs/>
        </w:rPr>
        <w:t xml:space="preserve"> </w:t>
      </w:r>
    </w:p>
    <w:sdt>
      <w:sdtPr>
        <w:rPr>
          <w:sz w:val="24"/>
        </w:rPr>
        <w:id w:val="607165129"/>
        <w:docPartObj>
          <w:docPartGallery w:val="Table of Contents"/>
          <w:docPartUnique/>
        </w:docPartObj>
      </w:sdtPr>
      <w:sdtEndPr>
        <w:rPr>
          <w:rFonts w:cs="Times New Roman"/>
          <w:b w:val="0"/>
          <w:bCs/>
          <w:caps w:val="0"/>
          <w:noProof/>
        </w:rPr>
      </w:sdtEndPr>
      <w:sdtContent>
        <w:p w14:paraId="07E5EE93" w14:textId="77777777" w:rsidR="00E91931" w:rsidRPr="001F5B7F" w:rsidRDefault="00E91931" w:rsidP="00A0642B">
          <w:pPr>
            <w:pStyle w:val="TOCHeading"/>
            <w:rPr>
              <w:sz w:val="24"/>
            </w:rPr>
          </w:pPr>
          <w:r w:rsidRPr="001F5B7F">
            <w:rPr>
              <w:sz w:val="24"/>
            </w:rPr>
            <w:t>Table of Contents</w:t>
          </w:r>
        </w:p>
        <w:p w14:paraId="1AFE26B1" w14:textId="77777777" w:rsidR="00D83B30" w:rsidRPr="00274E57" w:rsidRDefault="00D83B30" w:rsidP="00D83B30">
          <w:pPr>
            <w:rPr>
              <w:rFonts w:asciiTheme="majorHAnsi" w:hAnsiTheme="majorHAnsi" w:cs="Times New Roman"/>
            </w:rPr>
          </w:pPr>
        </w:p>
        <w:p w14:paraId="6DB1D008" w14:textId="59BF93E3" w:rsidR="00405A2C" w:rsidRPr="00405A2C" w:rsidRDefault="00E91931">
          <w:pPr>
            <w:pStyle w:val="TOC1"/>
            <w:tabs>
              <w:tab w:val="right" w:leader="dot" w:pos="8630"/>
            </w:tabs>
            <w:rPr>
              <w:rFonts w:ascii="Cambria" w:eastAsiaTheme="minorEastAsia" w:hAnsi="Cambria" w:cstheme="minorBidi"/>
              <w:noProof/>
              <w:kern w:val="2"/>
              <w14:ligatures w14:val="standardContextual"/>
            </w:rPr>
          </w:pPr>
          <w:r w:rsidRPr="00405A2C">
            <w:rPr>
              <w:rFonts w:asciiTheme="majorHAnsi" w:hAnsiTheme="majorHAnsi" w:cs="Times New Roman"/>
            </w:rPr>
            <w:fldChar w:fldCharType="begin"/>
          </w:r>
          <w:r w:rsidRPr="00405A2C">
            <w:rPr>
              <w:rFonts w:asciiTheme="majorHAnsi" w:hAnsiTheme="majorHAnsi" w:cs="Times New Roman"/>
            </w:rPr>
            <w:instrText xml:space="preserve"> TOC \o "1-3" \h \z \u </w:instrText>
          </w:r>
          <w:r w:rsidRPr="00405A2C">
            <w:rPr>
              <w:rFonts w:asciiTheme="majorHAnsi" w:hAnsiTheme="majorHAnsi" w:cs="Times New Roman"/>
            </w:rPr>
            <w:fldChar w:fldCharType="separate"/>
          </w:r>
          <w:hyperlink w:anchor="_Toc133884497" w:history="1">
            <w:r w:rsidR="00A0642B">
              <w:rPr>
                <w:rStyle w:val="Hyperlink"/>
                <w:rFonts w:ascii="Cambria" w:hAnsi="Cambria"/>
                <w:noProof/>
              </w:rPr>
              <w:t>CHAPTER ONE: INTRODUCTION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_Toc133884497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w:t>
            </w:r>
            <w:r w:rsidR="00405A2C" w:rsidRPr="00405A2C">
              <w:rPr>
                <w:rFonts w:ascii="Cambria" w:hAnsi="Cambria"/>
                <w:noProof/>
                <w:webHidden/>
              </w:rPr>
              <w:fldChar w:fldCharType="end"/>
            </w:r>
          </w:hyperlink>
        </w:p>
        <w:p w14:paraId="5986C68E" w14:textId="2DF60F51"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498" w:history="1">
            <w:r w:rsidR="00405A2C" w:rsidRPr="00405A2C">
              <w:rPr>
                <w:rStyle w:val="Hyperlink"/>
                <w:rFonts w:ascii="Cambria" w:hAnsi="Cambria"/>
                <w:noProof/>
              </w:rPr>
              <w:t>Conjunctural Questions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_Toc133884498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5</w:t>
            </w:r>
            <w:r w:rsidR="00405A2C" w:rsidRPr="00405A2C">
              <w:rPr>
                <w:rFonts w:ascii="Cambria" w:hAnsi="Cambria"/>
                <w:noProof/>
                <w:webHidden/>
              </w:rPr>
              <w:fldChar w:fldCharType="end"/>
            </w:r>
          </w:hyperlink>
        </w:p>
        <w:p w14:paraId="227C14F9" w14:textId="1D2CCF11"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499" w:history="1">
            <w:r w:rsidR="00405A2C" w:rsidRPr="00405A2C">
              <w:rPr>
                <w:rStyle w:val="Hyperlink"/>
                <w:rFonts w:ascii="Cambria" w:hAnsi="Cambria"/>
                <w:noProof/>
              </w:rPr>
              <w:t>The New “Champions” of Needle-Exchange?</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_Toc133884499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6</w:t>
            </w:r>
            <w:r w:rsidR="00405A2C" w:rsidRPr="00405A2C">
              <w:rPr>
                <w:rFonts w:ascii="Cambria" w:hAnsi="Cambria"/>
                <w:noProof/>
                <w:webHidden/>
              </w:rPr>
              <w:fldChar w:fldCharType="end"/>
            </w:r>
          </w:hyperlink>
        </w:p>
        <w:p w14:paraId="0D3D50B4" w14:textId="12156C07"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500" w:history="1">
            <w:r w:rsidR="00405A2C" w:rsidRPr="00405A2C">
              <w:rPr>
                <w:rStyle w:val="Hyperlink"/>
                <w:rFonts w:ascii="Cambria" w:hAnsi="Cambria"/>
                <w:noProof/>
              </w:rPr>
              <w:t>Care and Containment</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_Toc133884500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8</w:t>
            </w:r>
            <w:r w:rsidR="00405A2C" w:rsidRPr="00405A2C">
              <w:rPr>
                <w:rFonts w:ascii="Cambria" w:hAnsi="Cambria"/>
                <w:noProof/>
                <w:webHidden/>
              </w:rPr>
              <w:fldChar w:fldCharType="end"/>
            </w:r>
          </w:hyperlink>
        </w:p>
        <w:p w14:paraId="044DBE5E" w14:textId="394773D8"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501" w:history="1">
            <w:r w:rsidR="00405A2C" w:rsidRPr="00405A2C">
              <w:rPr>
                <w:rStyle w:val="Hyperlink"/>
                <w:rFonts w:ascii="Cambria" w:hAnsi="Cambria"/>
                <w:noProof/>
              </w:rPr>
              <w:t>A Note on Method</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_Toc133884501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10</w:t>
            </w:r>
            <w:r w:rsidR="00405A2C" w:rsidRPr="00405A2C">
              <w:rPr>
                <w:rFonts w:ascii="Cambria" w:hAnsi="Cambria"/>
                <w:noProof/>
                <w:webHidden/>
              </w:rPr>
              <w:fldChar w:fldCharType="end"/>
            </w:r>
          </w:hyperlink>
        </w:p>
        <w:p w14:paraId="358CDFBC" w14:textId="0FCB8E00"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02" w:history="1">
            <w:r w:rsidR="00405A2C" w:rsidRPr="00405A2C">
              <w:rPr>
                <w:rStyle w:val="Hyperlink"/>
                <w:rFonts w:ascii="Cambria" w:hAnsi="Cambria"/>
                <w:noProof/>
              </w:rPr>
              <w:t>Chapter Layout</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_Toc133884502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12</w:t>
            </w:r>
            <w:r w:rsidR="00405A2C" w:rsidRPr="00405A2C">
              <w:rPr>
                <w:rFonts w:ascii="Cambria" w:hAnsi="Cambria"/>
                <w:noProof/>
                <w:webHidden/>
              </w:rPr>
              <w:fldChar w:fldCharType="end"/>
            </w:r>
          </w:hyperlink>
        </w:p>
        <w:p w14:paraId="787002FD" w14:textId="2C75702D"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03" w:history="1">
            <w:r w:rsidR="00405A2C" w:rsidRPr="00405A2C">
              <w:rPr>
                <w:rStyle w:val="Hyperlink"/>
                <w:rFonts w:ascii="Cambria" w:hAnsi="Cambria"/>
                <w:noProof/>
              </w:rPr>
              <w:t>Thinking the Crisis Conjuncturally</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_Toc133884503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13</w:t>
            </w:r>
            <w:r w:rsidR="00405A2C" w:rsidRPr="00405A2C">
              <w:rPr>
                <w:rFonts w:ascii="Cambria" w:hAnsi="Cambria"/>
                <w:noProof/>
                <w:webHidden/>
              </w:rPr>
              <w:fldChar w:fldCharType="end"/>
            </w:r>
          </w:hyperlink>
        </w:p>
        <w:p w14:paraId="7C2F9FFD" w14:textId="486A41E5"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04" w:history="1">
            <w:r w:rsidR="00405A2C" w:rsidRPr="00405A2C">
              <w:rPr>
                <w:rStyle w:val="Hyperlink"/>
                <w:rFonts w:ascii="Cambria" w:hAnsi="Cambria"/>
                <w:noProof/>
              </w:rPr>
              <w:t>Carcerality and Public Health</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_Toc133884504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17</w:t>
            </w:r>
            <w:r w:rsidR="00405A2C" w:rsidRPr="00405A2C">
              <w:rPr>
                <w:rFonts w:ascii="Cambria" w:hAnsi="Cambria"/>
                <w:noProof/>
                <w:webHidden/>
              </w:rPr>
              <w:fldChar w:fldCharType="end"/>
            </w:r>
          </w:hyperlink>
        </w:p>
        <w:p w14:paraId="4A19A552" w14:textId="14184DED"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05" w:history="1">
            <w:r w:rsidR="00A0642B">
              <w:rPr>
                <w:rStyle w:val="Hyperlink"/>
                <w:rFonts w:ascii="Cambria" w:hAnsi="Cambria"/>
                <w:noProof/>
              </w:rPr>
              <w:t>CHAPTER TWO: CONTEXTS, CONCEPT, AND CRISES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_Toc133884505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24</w:t>
            </w:r>
            <w:r w:rsidR="00405A2C" w:rsidRPr="00405A2C">
              <w:rPr>
                <w:rFonts w:ascii="Cambria" w:hAnsi="Cambria"/>
                <w:noProof/>
                <w:webHidden/>
              </w:rPr>
              <w:fldChar w:fldCharType="end"/>
            </w:r>
          </w:hyperlink>
        </w:p>
        <w:p w14:paraId="54E810BB" w14:textId="1E778783"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06" w:history="1">
            <w:r w:rsidR="00405A2C" w:rsidRPr="00405A2C">
              <w:rPr>
                <w:rStyle w:val="Hyperlink"/>
                <w:rFonts w:ascii="Cambria" w:hAnsi="Cambria"/>
                <w:noProof/>
              </w:rPr>
              <w:t>Ambivalence</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_Toc133884506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24</w:t>
            </w:r>
            <w:r w:rsidR="00405A2C" w:rsidRPr="00405A2C">
              <w:rPr>
                <w:rFonts w:ascii="Cambria" w:hAnsi="Cambria"/>
                <w:noProof/>
                <w:webHidden/>
              </w:rPr>
              <w:fldChar w:fldCharType="end"/>
            </w:r>
          </w:hyperlink>
        </w:p>
        <w:p w14:paraId="65D6BCE2" w14:textId="3CE79891"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507" w:history="1">
            <w:r w:rsidR="00405A2C" w:rsidRPr="00405A2C">
              <w:rPr>
                <w:rStyle w:val="Hyperlink"/>
                <w:rFonts w:ascii="Cambria" w:hAnsi="Cambria"/>
                <w:noProof/>
              </w:rPr>
              <w:t>Addiction and the Addict</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_Toc133884507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27</w:t>
            </w:r>
            <w:r w:rsidR="00405A2C" w:rsidRPr="00405A2C">
              <w:rPr>
                <w:rFonts w:ascii="Cambria" w:hAnsi="Cambria"/>
                <w:noProof/>
                <w:webHidden/>
              </w:rPr>
              <w:fldChar w:fldCharType="end"/>
            </w:r>
          </w:hyperlink>
        </w:p>
        <w:p w14:paraId="7A1919F7" w14:textId="6F6FAE1B" w:rsidR="00405A2C" w:rsidRPr="00405A2C" w:rsidRDefault="00405A2C">
          <w:pPr>
            <w:pStyle w:val="TOC3"/>
            <w:tabs>
              <w:tab w:val="right" w:leader="dot" w:pos="8630"/>
            </w:tabs>
            <w:rPr>
              <w:rFonts w:ascii="Cambria" w:eastAsiaTheme="minorEastAsia" w:hAnsi="Cambria" w:cstheme="minorBidi"/>
              <w:noProof/>
              <w:kern w:val="2"/>
              <w14:ligatures w14:val="standardContextual"/>
            </w:rPr>
          </w:pPr>
          <w:hyperlink w:anchor="_Toc133884508" w:history="1">
            <w:r w:rsidRPr="00405A2C">
              <w:rPr>
                <w:rStyle w:val="Hyperlink"/>
                <w:rFonts w:ascii="Cambria" w:hAnsi="Cambria"/>
                <w:noProof/>
              </w:rPr>
              <w:t>Addiction and Social Contagion</w:t>
            </w:r>
            <w:r w:rsidRPr="00405A2C">
              <w:rPr>
                <w:rFonts w:ascii="Cambria" w:hAnsi="Cambria"/>
                <w:noProof/>
                <w:webHidden/>
              </w:rPr>
              <w:tab/>
            </w:r>
            <w:r w:rsidRPr="00405A2C">
              <w:rPr>
                <w:rFonts w:ascii="Cambria" w:hAnsi="Cambria"/>
                <w:noProof/>
                <w:webHidden/>
              </w:rPr>
              <w:fldChar w:fldCharType="begin"/>
            </w:r>
            <w:r w:rsidRPr="00405A2C">
              <w:rPr>
                <w:rFonts w:ascii="Cambria" w:hAnsi="Cambria"/>
                <w:noProof/>
                <w:webHidden/>
              </w:rPr>
              <w:instrText xml:space="preserve"> PAGEREF _Toc133884508 \h </w:instrText>
            </w:r>
            <w:r w:rsidRPr="00405A2C">
              <w:rPr>
                <w:rFonts w:ascii="Cambria" w:hAnsi="Cambria"/>
                <w:noProof/>
                <w:webHidden/>
              </w:rPr>
            </w:r>
            <w:r w:rsidRPr="00405A2C">
              <w:rPr>
                <w:rFonts w:ascii="Cambria" w:hAnsi="Cambria"/>
                <w:noProof/>
                <w:webHidden/>
              </w:rPr>
              <w:fldChar w:fldCharType="separate"/>
            </w:r>
            <w:r w:rsidRPr="00405A2C">
              <w:rPr>
                <w:rFonts w:ascii="Cambria" w:hAnsi="Cambria"/>
                <w:noProof/>
                <w:webHidden/>
              </w:rPr>
              <w:t>28</w:t>
            </w:r>
            <w:r w:rsidRPr="00405A2C">
              <w:rPr>
                <w:rFonts w:ascii="Cambria" w:hAnsi="Cambria"/>
                <w:noProof/>
                <w:webHidden/>
              </w:rPr>
              <w:fldChar w:fldCharType="end"/>
            </w:r>
          </w:hyperlink>
        </w:p>
        <w:p w14:paraId="760E2DF3" w14:textId="369031BB"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0" w:history="1">
            <w:r w:rsidR="00405A2C" w:rsidRPr="00405A2C">
              <w:rPr>
                <w:rStyle w:val="Hyperlink"/>
                <w:rFonts w:ascii="Cambria" w:hAnsi="Cambria"/>
                <w:noProof/>
              </w:rPr>
              <w:t>The Divided Addict</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_Toc133884510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29</w:t>
            </w:r>
            <w:r w:rsidR="00405A2C" w:rsidRPr="00405A2C">
              <w:rPr>
                <w:rFonts w:ascii="Cambria" w:hAnsi="Cambria"/>
                <w:noProof/>
                <w:webHidden/>
              </w:rPr>
              <w:fldChar w:fldCharType="end"/>
            </w:r>
          </w:hyperlink>
        </w:p>
        <w:p w14:paraId="1905B2EC" w14:textId="6093C541"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1" w:history="1">
            <w:r w:rsidR="00405A2C" w:rsidRPr="00405A2C">
              <w:rPr>
                <w:rStyle w:val="Hyperlink"/>
                <w:rFonts w:ascii="Cambria" w:hAnsi="Cambria"/>
                <w:noProof/>
              </w:rPr>
              <w:t>Harm Reduction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_Toc133884511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31</w:t>
            </w:r>
            <w:r w:rsidR="00405A2C" w:rsidRPr="00405A2C">
              <w:rPr>
                <w:rFonts w:ascii="Cambria" w:hAnsi="Cambria"/>
                <w:noProof/>
                <w:webHidden/>
              </w:rPr>
              <w:fldChar w:fldCharType="end"/>
            </w:r>
          </w:hyperlink>
        </w:p>
        <w:p w14:paraId="0AADD417" w14:textId="1C078D86"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2" w:history="1">
            <w:r w:rsidR="00405A2C" w:rsidRPr="00405A2C">
              <w:rPr>
                <w:rStyle w:val="Hyperlink"/>
                <w:rFonts w:ascii="Cambria" w:hAnsi="Cambria"/>
                <w:noProof/>
              </w:rPr>
              <w:t>The Crises of Opioids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_Toc133884512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39</w:t>
            </w:r>
            <w:r w:rsidR="00405A2C" w:rsidRPr="00405A2C">
              <w:rPr>
                <w:rFonts w:ascii="Cambria" w:hAnsi="Cambria"/>
                <w:noProof/>
                <w:webHidden/>
              </w:rPr>
              <w:fldChar w:fldCharType="end"/>
            </w:r>
          </w:hyperlink>
        </w:p>
        <w:p w14:paraId="49AE2D5A" w14:textId="1990180C"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3" w:history="1">
            <w:r w:rsidR="00405A2C" w:rsidRPr="00405A2C">
              <w:rPr>
                <w:rStyle w:val="Hyperlink"/>
                <w:rFonts w:ascii="Cambria" w:hAnsi="Cambria"/>
                <w:noProof/>
              </w:rPr>
              <w:t>Mobilizing Addiction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_Toc133884513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42</w:t>
            </w:r>
            <w:r w:rsidR="00405A2C" w:rsidRPr="00405A2C">
              <w:rPr>
                <w:rFonts w:ascii="Cambria" w:hAnsi="Cambria"/>
                <w:noProof/>
                <w:webHidden/>
              </w:rPr>
              <w:fldChar w:fldCharType="end"/>
            </w:r>
          </w:hyperlink>
        </w:p>
        <w:p w14:paraId="3A0EBBF9" w14:textId="666392B0"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4" w:history="1">
            <w:r w:rsidR="00405A2C" w:rsidRPr="00405A2C">
              <w:rPr>
                <w:rStyle w:val="Hyperlink"/>
                <w:rFonts w:ascii="Cambria" w:hAnsi="Cambria"/>
                <w:noProof/>
              </w:rPr>
              <w:t>The Past and Present of Harm Reduction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_Toc133884514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44</w:t>
            </w:r>
            <w:r w:rsidR="00405A2C" w:rsidRPr="00405A2C">
              <w:rPr>
                <w:rFonts w:ascii="Cambria" w:hAnsi="Cambria"/>
                <w:noProof/>
                <w:webHidden/>
              </w:rPr>
              <w:fldChar w:fldCharType="end"/>
            </w:r>
          </w:hyperlink>
        </w:p>
        <w:p w14:paraId="624E16F9" w14:textId="633E0333"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15" w:history="1">
            <w:r w:rsidR="00A0642B">
              <w:rPr>
                <w:rStyle w:val="Hyperlink"/>
                <w:rFonts w:ascii="Cambria" w:hAnsi="Cambria"/>
                <w:noProof/>
              </w:rPr>
              <w:t>CHAPTER THREE: REARTICULATING THE OPIOID CRISIS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_Toc133884515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47</w:t>
            </w:r>
            <w:r w:rsidR="00405A2C" w:rsidRPr="00405A2C">
              <w:rPr>
                <w:rFonts w:ascii="Cambria" w:hAnsi="Cambria"/>
                <w:noProof/>
                <w:webHidden/>
              </w:rPr>
              <w:fldChar w:fldCharType="end"/>
            </w:r>
          </w:hyperlink>
        </w:p>
        <w:p w14:paraId="68D42E4A" w14:textId="0846BFE5" w:rsidR="00405A2C" w:rsidRPr="00405A2C" w:rsidRDefault="003B3E1D">
          <w:pPr>
            <w:pStyle w:val="TOC3"/>
            <w:tabs>
              <w:tab w:val="right" w:leader="dot" w:pos="8630"/>
            </w:tabs>
            <w:rPr>
              <w:rFonts w:ascii="Cambria" w:eastAsiaTheme="minorEastAsia" w:hAnsi="Cambria" w:cstheme="minorBidi"/>
              <w:noProof/>
              <w:kern w:val="2"/>
              <w14:ligatures w14:val="standardContextual"/>
            </w:rPr>
          </w:pPr>
          <w:hyperlink w:anchor="_Toc133884516" w:history="1">
            <w:r w:rsidR="00405A2C" w:rsidRPr="00405A2C">
              <w:rPr>
                <w:rStyle w:val="Hyperlink"/>
                <w:rFonts w:ascii="Cambria" w:hAnsi="Cambria"/>
                <w:noProof/>
              </w:rPr>
              <w:t>Articulating Appalachia at Ground Zero</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_Toc133884516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49</w:t>
            </w:r>
            <w:r w:rsidR="00405A2C" w:rsidRPr="00405A2C">
              <w:rPr>
                <w:rFonts w:ascii="Cambria" w:hAnsi="Cambria"/>
                <w:noProof/>
                <w:webHidden/>
              </w:rPr>
              <w:fldChar w:fldCharType="end"/>
            </w:r>
          </w:hyperlink>
        </w:p>
        <w:p w14:paraId="2F00B2F0" w14:textId="4D036571"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7" w:history="1">
            <w:r w:rsidR="00405A2C" w:rsidRPr="00405A2C">
              <w:rPr>
                <w:rStyle w:val="Hyperlink"/>
                <w:rFonts w:ascii="Cambria" w:hAnsi="Cambria"/>
                <w:noProof/>
              </w:rPr>
              <w:t>Experimenting with Addiction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_Toc133884517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54</w:t>
            </w:r>
            <w:r w:rsidR="00405A2C" w:rsidRPr="00405A2C">
              <w:rPr>
                <w:rFonts w:ascii="Cambria" w:hAnsi="Cambria"/>
                <w:noProof/>
                <w:webHidden/>
              </w:rPr>
              <w:fldChar w:fldCharType="end"/>
            </w:r>
          </w:hyperlink>
        </w:p>
        <w:p w14:paraId="48DD63CC" w14:textId="7A50AA67"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18" w:history="1">
            <w:r w:rsidR="00A0642B">
              <w:rPr>
                <w:rStyle w:val="Hyperlink"/>
                <w:rFonts w:ascii="Cambria" w:hAnsi="Cambria"/>
                <w:noProof/>
              </w:rPr>
              <w:t>CHAPTER FOUR: WHAT KIND OF CRISIS IS THIS?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_Toc133884518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60</w:t>
            </w:r>
            <w:r w:rsidR="00405A2C" w:rsidRPr="00405A2C">
              <w:rPr>
                <w:rFonts w:ascii="Cambria" w:hAnsi="Cambria"/>
                <w:noProof/>
                <w:webHidden/>
              </w:rPr>
              <w:fldChar w:fldCharType="end"/>
            </w:r>
          </w:hyperlink>
        </w:p>
        <w:p w14:paraId="704A754E" w14:textId="653A3174"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19" w:history="1">
            <w:r w:rsidR="00405A2C" w:rsidRPr="00405A2C">
              <w:rPr>
                <w:rStyle w:val="Hyperlink"/>
                <w:rFonts w:ascii="Cambria" w:hAnsi="Cambria"/>
                <w:noProof/>
              </w:rPr>
              <w:t>Re/Contextualizing Southern Appalachia</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_Toc133884519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63</w:t>
            </w:r>
            <w:r w:rsidR="00405A2C" w:rsidRPr="00405A2C">
              <w:rPr>
                <w:rFonts w:ascii="Cambria" w:hAnsi="Cambria"/>
                <w:noProof/>
                <w:webHidden/>
              </w:rPr>
              <w:fldChar w:fldCharType="end"/>
            </w:r>
          </w:hyperlink>
        </w:p>
        <w:p w14:paraId="73831643" w14:textId="64B7359F"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0" w:history="1">
            <w:r w:rsidR="00405A2C" w:rsidRPr="00405A2C">
              <w:rPr>
                <w:rStyle w:val="Hyperlink"/>
                <w:rFonts w:ascii="Cambria" w:hAnsi="Cambria"/>
                <w:noProof/>
              </w:rPr>
              <w:t>Emergency Orders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_Toc133884520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65</w:t>
            </w:r>
            <w:r w:rsidR="00405A2C" w:rsidRPr="00405A2C">
              <w:rPr>
                <w:rFonts w:ascii="Cambria" w:hAnsi="Cambria"/>
                <w:noProof/>
                <w:webHidden/>
              </w:rPr>
              <w:fldChar w:fldCharType="end"/>
            </w:r>
          </w:hyperlink>
        </w:p>
        <w:p w14:paraId="06F9FBF5" w14:textId="53E541ED"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1" w:history="1">
            <w:r w:rsidR="00405A2C" w:rsidRPr="00405A2C">
              <w:rPr>
                <w:rStyle w:val="Hyperlink"/>
                <w:rFonts w:ascii="Cambria" w:hAnsi="Cambria"/>
                <w:noProof/>
              </w:rPr>
              <w:t>Appalachian Geographies of Harm Reduction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_Toc133884521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70</w:t>
            </w:r>
            <w:r w:rsidR="00405A2C" w:rsidRPr="00405A2C">
              <w:rPr>
                <w:rFonts w:ascii="Cambria" w:hAnsi="Cambria"/>
                <w:noProof/>
                <w:webHidden/>
              </w:rPr>
              <w:fldChar w:fldCharType="end"/>
            </w:r>
          </w:hyperlink>
        </w:p>
        <w:p w14:paraId="3F43A3F8" w14:textId="70C81F3B"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22" w:history="1">
            <w:r w:rsidR="00A0642B">
              <w:rPr>
                <w:rStyle w:val="Hyperlink"/>
                <w:rFonts w:ascii="Cambria" w:hAnsi="Cambria"/>
                <w:noProof/>
              </w:rPr>
              <w:t>CHAPTER FIVE: MAPPING GROUND ZERO</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_Toc133884522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79</w:t>
            </w:r>
            <w:r w:rsidR="00405A2C" w:rsidRPr="00405A2C">
              <w:rPr>
                <w:rFonts w:ascii="Cambria" w:hAnsi="Cambria"/>
                <w:noProof/>
                <w:webHidden/>
              </w:rPr>
              <w:fldChar w:fldCharType="end"/>
            </w:r>
          </w:hyperlink>
        </w:p>
        <w:p w14:paraId="20F64341" w14:textId="261330F7"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3" w:history="1">
            <w:r w:rsidR="00405A2C" w:rsidRPr="00405A2C">
              <w:rPr>
                <w:rStyle w:val="Hyperlink"/>
                <w:rFonts w:ascii="Cambria" w:hAnsi="Cambria"/>
                <w:noProof/>
              </w:rPr>
              <w:t>Prisons and Pill Mills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_Toc133884523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82</w:t>
            </w:r>
            <w:r w:rsidR="00405A2C" w:rsidRPr="00405A2C">
              <w:rPr>
                <w:rFonts w:ascii="Cambria" w:hAnsi="Cambria"/>
                <w:noProof/>
                <w:webHidden/>
              </w:rPr>
              <w:fldChar w:fldCharType="end"/>
            </w:r>
          </w:hyperlink>
        </w:p>
        <w:p w14:paraId="227EC625" w14:textId="552F4DAC"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4" w:history="1">
            <w:r w:rsidR="00405A2C" w:rsidRPr="00405A2C">
              <w:rPr>
                <w:rStyle w:val="Hyperlink"/>
                <w:rFonts w:ascii="Cambria" w:hAnsi="Cambria"/>
                <w:noProof/>
              </w:rPr>
              <w:t>Conjunctural Contestations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_Toc133884524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86</w:t>
            </w:r>
            <w:r w:rsidR="00405A2C" w:rsidRPr="00405A2C">
              <w:rPr>
                <w:rFonts w:ascii="Cambria" w:hAnsi="Cambria"/>
                <w:noProof/>
                <w:webHidden/>
              </w:rPr>
              <w:fldChar w:fldCharType="end"/>
            </w:r>
          </w:hyperlink>
        </w:p>
        <w:p w14:paraId="74842F63" w14:textId="2CA1F4DC"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5" w:history="1">
            <w:r w:rsidR="00405A2C" w:rsidRPr="00405A2C">
              <w:rPr>
                <w:rStyle w:val="Hyperlink"/>
                <w:rFonts w:ascii="Cambria" w:hAnsi="Cambria"/>
                <w:noProof/>
              </w:rPr>
              <w:t>Surveilling Disease</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_Toc133884525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88</w:t>
            </w:r>
            <w:r w:rsidR="00405A2C" w:rsidRPr="00405A2C">
              <w:rPr>
                <w:rFonts w:ascii="Cambria" w:hAnsi="Cambria"/>
                <w:noProof/>
                <w:webHidden/>
              </w:rPr>
              <w:fldChar w:fldCharType="end"/>
            </w:r>
          </w:hyperlink>
        </w:p>
        <w:p w14:paraId="0E1AE0C7" w14:textId="5A4838E0"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6" w:history="1">
            <w:r w:rsidR="00405A2C" w:rsidRPr="00405A2C">
              <w:rPr>
                <w:rStyle w:val="Hyperlink"/>
                <w:rFonts w:ascii="Cambria" w:hAnsi="Cambria"/>
                <w:noProof/>
              </w:rPr>
              <w:t>Social Contagion and Securitization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_Toc133884526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92</w:t>
            </w:r>
            <w:r w:rsidR="00405A2C" w:rsidRPr="00405A2C">
              <w:rPr>
                <w:rFonts w:ascii="Cambria" w:hAnsi="Cambria"/>
                <w:noProof/>
                <w:webHidden/>
              </w:rPr>
              <w:fldChar w:fldCharType="end"/>
            </w:r>
          </w:hyperlink>
        </w:p>
        <w:p w14:paraId="382DF6DA" w14:textId="546F4D70"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7" w:history="1">
            <w:r w:rsidR="00405A2C" w:rsidRPr="00405A2C">
              <w:rPr>
                <w:rStyle w:val="Hyperlink"/>
                <w:rFonts w:ascii="Cambria" w:hAnsi="Cambria"/>
                <w:noProof/>
              </w:rPr>
              <w:t>Bait and Switch</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_Toc133884527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95</w:t>
            </w:r>
            <w:r w:rsidR="00405A2C" w:rsidRPr="00405A2C">
              <w:rPr>
                <w:rFonts w:ascii="Cambria" w:hAnsi="Cambria"/>
                <w:noProof/>
                <w:webHidden/>
              </w:rPr>
              <w:fldChar w:fldCharType="end"/>
            </w:r>
          </w:hyperlink>
        </w:p>
        <w:p w14:paraId="5663EAC0" w14:textId="07B8CCB5"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8" w:history="1">
            <w:r w:rsidR="00405A2C" w:rsidRPr="00405A2C">
              <w:rPr>
                <w:rStyle w:val="Hyperlink"/>
                <w:rFonts w:ascii="Cambria" w:hAnsi="Cambria"/>
                <w:noProof/>
              </w:rPr>
              <w:t>Arresting Harm Reduction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_Toc133884528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99</w:t>
            </w:r>
            <w:r w:rsidR="00405A2C" w:rsidRPr="00405A2C">
              <w:rPr>
                <w:rFonts w:ascii="Cambria" w:hAnsi="Cambria"/>
                <w:noProof/>
                <w:webHidden/>
              </w:rPr>
              <w:fldChar w:fldCharType="end"/>
            </w:r>
          </w:hyperlink>
        </w:p>
        <w:p w14:paraId="5231B49F" w14:textId="757D6348"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29" w:history="1">
            <w:r w:rsidR="00405A2C" w:rsidRPr="00405A2C">
              <w:rPr>
                <w:rStyle w:val="Hyperlink"/>
                <w:rFonts w:ascii="Cambria" w:hAnsi="Cambria"/>
                <w:noProof/>
              </w:rPr>
              <w:t>Good Samaritan Laws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_Toc133884529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101</w:t>
            </w:r>
            <w:r w:rsidR="00405A2C" w:rsidRPr="00405A2C">
              <w:rPr>
                <w:rFonts w:ascii="Cambria" w:hAnsi="Cambria"/>
                <w:noProof/>
                <w:webHidden/>
              </w:rPr>
              <w:fldChar w:fldCharType="end"/>
            </w:r>
          </w:hyperlink>
        </w:p>
        <w:p w14:paraId="57EB0EAD" w14:textId="474DAD68"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30" w:history="1">
            <w:r w:rsidR="00A0642B">
              <w:rPr>
                <w:rStyle w:val="Hyperlink"/>
                <w:rFonts w:ascii="Cambria" w:hAnsi="Cambria"/>
                <w:noProof/>
              </w:rPr>
              <w:t>CHAPTER SIX: VIOLENT RESOLUTIONS: REDISTRIBUTING HARM</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_Toc133884530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105</w:t>
            </w:r>
            <w:r w:rsidR="00405A2C" w:rsidRPr="00405A2C">
              <w:rPr>
                <w:rFonts w:ascii="Cambria" w:hAnsi="Cambria"/>
                <w:noProof/>
                <w:webHidden/>
              </w:rPr>
              <w:fldChar w:fldCharType="end"/>
            </w:r>
          </w:hyperlink>
        </w:p>
        <w:p w14:paraId="6F9EF7A9" w14:textId="47235C1B"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31" w:history="1">
            <w:r w:rsidR="00405A2C" w:rsidRPr="00405A2C">
              <w:rPr>
                <w:rStyle w:val="Hyperlink"/>
                <w:rFonts w:ascii="Cambria" w:hAnsi="Cambria"/>
                <w:noProof/>
              </w:rPr>
              <w:t>Activist Thresholds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_Toc133884531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114</w:t>
            </w:r>
            <w:r w:rsidR="00405A2C" w:rsidRPr="00405A2C">
              <w:rPr>
                <w:rFonts w:ascii="Cambria" w:hAnsi="Cambria"/>
                <w:noProof/>
                <w:webHidden/>
              </w:rPr>
              <w:fldChar w:fldCharType="end"/>
            </w:r>
          </w:hyperlink>
        </w:p>
        <w:p w14:paraId="408FEF0D" w14:textId="73F73186"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32" w:history="1">
            <w:r w:rsidR="00405A2C" w:rsidRPr="00405A2C">
              <w:rPr>
                <w:rStyle w:val="Hyperlink"/>
                <w:rFonts w:ascii="Cambria" w:hAnsi="Cambria"/>
                <w:noProof/>
              </w:rPr>
              <w:t>AIDS ACTIVISM AND ACT UP</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_Toc133884532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117</w:t>
            </w:r>
            <w:r w:rsidR="00405A2C" w:rsidRPr="00405A2C">
              <w:rPr>
                <w:rFonts w:ascii="Cambria" w:hAnsi="Cambria"/>
                <w:noProof/>
                <w:webHidden/>
              </w:rPr>
              <w:fldChar w:fldCharType="end"/>
            </w:r>
          </w:hyperlink>
        </w:p>
        <w:p w14:paraId="6CD2ABD9" w14:textId="5904C4E8"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33" w:history="1">
            <w:r w:rsidR="00405A2C" w:rsidRPr="00405A2C">
              <w:rPr>
                <w:rStyle w:val="Hyperlink"/>
                <w:rFonts w:ascii="Cambria" w:hAnsi="Cambria"/>
                <w:noProof/>
              </w:rPr>
              <w:t>Histories of Abolition Medicine</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_Toc133884533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119</w:t>
            </w:r>
            <w:r w:rsidR="00405A2C" w:rsidRPr="00405A2C">
              <w:rPr>
                <w:rFonts w:ascii="Cambria" w:hAnsi="Cambria"/>
                <w:noProof/>
                <w:webHidden/>
              </w:rPr>
              <w:fldChar w:fldCharType="end"/>
            </w:r>
          </w:hyperlink>
        </w:p>
        <w:p w14:paraId="691793C6" w14:textId="50B40877"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34" w:history="1">
            <w:r w:rsidR="00405A2C" w:rsidRPr="00405A2C">
              <w:rPr>
                <w:rStyle w:val="Hyperlink"/>
                <w:rFonts w:ascii="Cambria" w:hAnsi="Cambria"/>
                <w:noProof/>
              </w:rPr>
              <w:t>Coalitional Activism</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_Toc133884534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123</w:t>
            </w:r>
            <w:r w:rsidR="00405A2C" w:rsidRPr="00405A2C">
              <w:rPr>
                <w:rFonts w:ascii="Cambria" w:hAnsi="Cambria"/>
                <w:noProof/>
                <w:webHidden/>
              </w:rPr>
              <w:fldChar w:fldCharType="end"/>
            </w:r>
          </w:hyperlink>
        </w:p>
        <w:p w14:paraId="488CFB28" w14:textId="43BD6E35" w:rsidR="00405A2C" w:rsidRPr="00405A2C" w:rsidRDefault="003B3E1D">
          <w:pPr>
            <w:pStyle w:val="TOC2"/>
            <w:tabs>
              <w:tab w:val="right" w:leader="dot" w:pos="8630"/>
            </w:tabs>
            <w:rPr>
              <w:rFonts w:ascii="Cambria" w:eastAsiaTheme="minorEastAsia" w:hAnsi="Cambria" w:cstheme="minorBidi"/>
              <w:noProof/>
              <w:kern w:val="2"/>
              <w14:ligatures w14:val="standardContextual"/>
            </w:rPr>
          </w:pPr>
          <w:hyperlink w:anchor="_Toc133884535" w:history="1">
            <w:r w:rsidR="00405A2C" w:rsidRPr="00405A2C">
              <w:rPr>
                <w:rStyle w:val="Hyperlink"/>
                <w:rFonts w:ascii="Cambria" w:hAnsi="Cambria"/>
                <w:noProof/>
              </w:rPr>
              <w:t>Conclusion</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_Toc133884535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127</w:t>
            </w:r>
            <w:r w:rsidR="00405A2C" w:rsidRPr="00405A2C">
              <w:rPr>
                <w:rFonts w:ascii="Cambria" w:hAnsi="Cambria"/>
                <w:noProof/>
                <w:webHidden/>
              </w:rPr>
              <w:fldChar w:fldCharType="end"/>
            </w:r>
          </w:hyperlink>
        </w:p>
        <w:p w14:paraId="638BFA68" w14:textId="723CDE4F"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36" w:history="1">
            <w:r w:rsidR="00A0642B">
              <w:rPr>
                <w:rStyle w:val="Hyperlink"/>
                <w:rFonts w:ascii="Cambria" w:hAnsi="Cambria"/>
                <w:noProof/>
              </w:rPr>
              <w:t>CONCLUSION: THE NEEDLE IN THE HAYSTACK</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_Toc133884536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130</w:t>
            </w:r>
            <w:r w:rsidR="00405A2C" w:rsidRPr="00405A2C">
              <w:rPr>
                <w:rFonts w:ascii="Cambria" w:hAnsi="Cambria"/>
                <w:noProof/>
                <w:webHidden/>
              </w:rPr>
              <w:fldChar w:fldCharType="end"/>
            </w:r>
          </w:hyperlink>
        </w:p>
        <w:p w14:paraId="0C124F8F" w14:textId="45F0F512"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37" w:history="1">
            <w:r w:rsidR="00A0642B">
              <w:rPr>
                <w:rStyle w:val="Hyperlink"/>
                <w:rFonts w:ascii="Cambria" w:hAnsi="Cambria"/>
                <w:noProof/>
              </w:rPr>
              <w:t>LIST OF REFERENCES</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_Toc133884537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137</w:t>
            </w:r>
            <w:r w:rsidR="00405A2C" w:rsidRPr="00405A2C">
              <w:rPr>
                <w:rFonts w:ascii="Cambria" w:hAnsi="Cambria"/>
                <w:noProof/>
                <w:webHidden/>
              </w:rPr>
              <w:fldChar w:fldCharType="end"/>
            </w:r>
          </w:hyperlink>
        </w:p>
        <w:p w14:paraId="3582EA61" w14:textId="666E43B8"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38" w:history="1">
            <w:r w:rsidR="00A0642B">
              <w:rPr>
                <w:rStyle w:val="Hyperlink"/>
                <w:rFonts w:ascii="Cambria" w:hAnsi="Cambria"/>
                <w:noProof/>
              </w:rPr>
              <w:t>APPENDIX</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_Toc133884538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174</w:t>
            </w:r>
            <w:r w:rsidR="00405A2C" w:rsidRPr="00405A2C">
              <w:rPr>
                <w:rFonts w:ascii="Cambria" w:hAnsi="Cambria"/>
                <w:noProof/>
                <w:webHidden/>
              </w:rPr>
              <w:fldChar w:fldCharType="end"/>
            </w:r>
          </w:hyperlink>
        </w:p>
        <w:p w14:paraId="7A666560" w14:textId="40B222B2" w:rsidR="00405A2C" w:rsidRPr="00405A2C" w:rsidRDefault="003B3E1D">
          <w:pPr>
            <w:pStyle w:val="TOC1"/>
            <w:tabs>
              <w:tab w:val="right" w:leader="dot" w:pos="8630"/>
            </w:tabs>
            <w:rPr>
              <w:rFonts w:ascii="Cambria" w:eastAsiaTheme="minorEastAsia" w:hAnsi="Cambria" w:cstheme="minorBidi"/>
              <w:noProof/>
              <w:kern w:val="2"/>
              <w14:ligatures w14:val="standardContextual"/>
            </w:rPr>
          </w:pPr>
          <w:hyperlink w:anchor="_Toc133884539" w:history="1">
            <w:r w:rsidR="00A0642B">
              <w:rPr>
                <w:rStyle w:val="Hyperlink"/>
                <w:rFonts w:ascii="Cambria" w:hAnsi="Cambria"/>
                <w:noProof/>
              </w:rPr>
              <w:t>VITA</w:t>
            </w:r>
            <w:r w:rsidR="00405A2C" w:rsidRPr="00405A2C">
              <w:rPr>
                <w:rFonts w:ascii="Cambria" w:hAnsi="Cambria"/>
                <w:noProof/>
                <w:webHidden/>
              </w:rPr>
              <w:tab/>
            </w:r>
            <w:r w:rsidR="00405A2C" w:rsidRPr="00405A2C">
              <w:rPr>
                <w:rFonts w:ascii="Cambria" w:hAnsi="Cambria"/>
                <w:noProof/>
                <w:webHidden/>
              </w:rPr>
              <w:fldChar w:fldCharType="begin"/>
            </w:r>
            <w:r w:rsidR="00405A2C" w:rsidRPr="00405A2C">
              <w:rPr>
                <w:rFonts w:ascii="Cambria" w:hAnsi="Cambria"/>
                <w:noProof/>
                <w:webHidden/>
              </w:rPr>
              <w:instrText xml:space="preserve"> PAGEREF _Toc133884539 \h </w:instrText>
            </w:r>
            <w:r w:rsidR="00405A2C" w:rsidRPr="00405A2C">
              <w:rPr>
                <w:rFonts w:ascii="Cambria" w:hAnsi="Cambria"/>
                <w:noProof/>
                <w:webHidden/>
              </w:rPr>
            </w:r>
            <w:r w:rsidR="00405A2C" w:rsidRPr="00405A2C">
              <w:rPr>
                <w:rFonts w:ascii="Cambria" w:hAnsi="Cambria"/>
                <w:noProof/>
                <w:webHidden/>
              </w:rPr>
              <w:fldChar w:fldCharType="separate"/>
            </w:r>
            <w:r w:rsidR="00405A2C" w:rsidRPr="00405A2C">
              <w:rPr>
                <w:rFonts w:ascii="Cambria" w:hAnsi="Cambria"/>
                <w:noProof/>
                <w:webHidden/>
              </w:rPr>
              <w:t>176</w:t>
            </w:r>
            <w:r w:rsidR="00405A2C" w:rsidRPr="00405A2C">
              <w:rPr>
                <w:rFonts w:ascii="Cambria" w:hAnsi="Cambria"/>
                <w:noProof/>
                <w:webHidden/>
              </w:rPr>
              <w:fldChar w:fldCharType="end"/>
            </w:r>
          </w:hyperlink>
        </w:p>
        <w:p w14:paraId="2C8BCA51" w14:textId="0C57EF4F" w:rsidR="00405A2C" w:rsidRPr="001F5B7F" w:rsidRDefault="00E91931" w:rsidP="00405A2C">
          <w:pPr>
            <w:rPr>
              <w:rFonts w:asciiTheme="majorHAnsi" w:hAnsiTheme="majorHAnsi" w:cs="Times New Roman"/>
              <w:bCs/>
              <w:noProof/>
            </w:rPr>
          </w:pPr>
          <w:r w:rsidRPr="00405A2C">
            <w:rPr>
              <w:rFonts w:asciiTheme="majorHAnsi" w:hAnsiTheme="majorHAnsi" w:cs="Times New Roman"/>
              <w:b/>
              <w:bCs/>
              <w:noProof/>
            </w:rPr>
            <w:lastRenderedPageBreak/>
            <w:fldChar w:fldCharType="end"/>
          </w:r>
        </w:p>
      </w:sdtContent>
    </w:sdt>
    <w:p w14:paraId="4C19374E" w14:textId="0CB6AE69" w:rsidR="00236E6D" w:rsidRPr="00405A2C" w:rsidRDefault="00236E6D" w:rsidP="001F5B7F">
      <w:pPr>
        <w:jc w:val="center"/>
        <w:rPr>
          <w:rFonts w:asciiTheme="majorHAnsi" w:hAnsiTheme="majorHAnsi" w:cs="Times New Roman"/>
          <w:bCs/>
          <w:noProof/>
        </w:rPr>
      </w:pPr>
      <w:r w:rsidRPr="006242D3">
        <w:rPr>
          <w:rFonts w:asciiTheme="majorHAnsi" w:hAnsiTheme="majorHAnsi" w:cs="Times New Roman"/>
          <w:b/>
        </w:rPr>
        <w:t>LIST OF FIGURES</w:t>
      </w:r>
    </w:p>
    <w:p w14:paraId="7E6B7609" w14:textId="77777777" w:rsidR="00236E6D" w:rsidRPr="006242D3" w:rsidRDefault="00236E6D">
      <w:pPr>
        <w:numPr>
          <w:ilvl w:val="12"/>
          <w:numId w:val="0"/>
        </w:numPr>
        <w:rPr>
          <w:rFonts w:asciiTheme="majorHAnsi" w:hAnsiTheme="majorHAnsi" w:cs="Times New Roman"/>
        </w:rPr>
      </w:pPr>
    </w:p>
    <w:p w14:paraId="7B9C3B24" w14:textId="77777777" w:rsidR="00236E6D" w:rsidRPr="006242D3"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heme="majorHAnsi" w:hAnsiTheme="majorHAnsi" w:cs="Times New Roman"/>
        </w:rPr>
      </w:pPr>
    </w:p>
    <w:p w14:paraId="3395C84B" w14:textId="7066E07C" w:rsidR="003E2944" w:rsidRDefault="00665C7E">
      <w:pPr>
        <w:pStyle w:val="TableofFigures"/>
        <w:tabs>
          <w:tab w:val="right" w:leader="dot" w:pos="8630"/>
        </w:tabs>
        <w:rPr>
          <w:rFonts w:asciiTheme="majorHAnsi" w:hAnsiTheme="majorHAnsi" w:cs="Times New Roman"/>
          <w:noProof/>
        </w:rPr>
      </w:pPr>
      <w:r w:rsidRPr="006242D3">
        <w:rPr>
          <w:rFonts w:asciiTheme="majorHAnsi" w:hAnsiTheme="majorHAnsi" w:cs="Times New Roman"/>
        </w:rPr>
        <w:fldChar w:fldCharType="begin"/>
      </w:r>
      <w:r w:rsidR="00304BD0" w:rsidRPr="006242D3">
        <w:rPr>
          <w:rFonts w:asciiTheme="majorHAnsi" w:hAnsiTheme="majorHAnsi" w:cs="Times New Roman"/>
        </w:rPr>
        <w:instrText xml:space="preserve"> TOC \h \z \c "Figure" </w:instrText>
      </w:r>
      <w:r w:rsidRPr="006242D3">
        <w:rPr>
          <w:rFonts w:asciiTheme="majorHAnsi" w:hAnsiTheme="majorHAnsi" w:cs="Times New Roman"/>
        </w:rPr>
        <w:fldChar w:fldCharType="separate"/>
      </w:r>
      <w:hyperlink w:anchor="_Toc428278255" w:history="1">
        <w:r w:rsidR="003E2944" w:rsidRPr="006242D3">
          <w:rPr>
            <w:rStyle w:val="Hyperlink"/>
            <w:rFonts w:asciiTheme="majorHAnsi" w:hAnsiTheme="majorHAnsi" w:cs="Times New Roman"/>
            <w:noProof/>
          </w:rPr>
          <w:t xml:space="preserve">Figure </w:t>
        </w:r>
        <w:r w:rsidR="000943AA">
          <w:rPr>
            <w:rStyle w:val="Hyperlink"/>
            <w:rFonts w:asciiTheme="majorHAnsi" w:hAnsiTheme="majorHAnsi" w:cs="Times New Roman"/>
            <w:noProof/>
          </w:rPr>
          <w:t>1</w:t>
        </w:r>
        <w:r w:rsidR="003E2944" w:rsidRPr="006242D3">
          <w:rPr>
            <w:rStyle w:val="Hyperlink"/>
            <w:rFonts w:asciiTheme="majorHAnsi" w:hAnsiTheme="majorHAnsi" w:cs="Times New Roman"/>
            <w:noProof/>
          </w:rPr>
          <w:t xml:space="preserve">.1. </w:t>
        </w:r>
        <w:r w:rsidR="000943AA">
          <w:rPr>
            <w:rStyle w:val="Hyperlink"/>
            <w:rFonts w:asciiTheme="majorHAnsi" w:hAnsiTheme="majorHAnsi" w:cs="Times New Roman"/>
            <w:noProof/>
          </w:rPr>
          <w:t>Senator Helms Political Cartoon</w:t>
        </w:r>
        <w:r w:rsidR="003E2944" w:rsidRPr="006242D3">
          <w:rPr>
            <w:rFonts w:asciiTheme="majorHAnsi" w:hAnsiTheme="majorHAnsi" w:cs="Times New Roman"/>
            <w:noProof/>
            <w:webHidden/>
          </w:rPr>
          <w:tab/>
        </w:r>
        <w:r w:rsidR="000943AA">
          <w:rPr>
            <w:rFonts w:asciiTheme="majorHAnsi" w:hAnsiTheme="majorHAnsi" w:cs="Times New Roman"/>
            <w:noProof/>
            <w:webHidden/>
          </w:rPr>
          <w:t>4</w:t>
        </w:r>
      </w:hyperlink>
    </w:p>
    <w:p w14:paraId="06B5FA6B" w14:textId="189F628C" w:rsidR="000943AA" w:rsidRPr="006242D3" w:rsidRDefault="003B3E1D" w:rsidP="000943AA">
      <w:pPr>
        <w:pStyle w:val="TableofFigures"/>
        <w:tabs>
          <w:tab w:val="right" w:leader="dot" w:pos="8630"/>
        </w:tabs>
        <w:rPr>
          <w:rFonts w:asciiTheme="majorHAnsi" w:eastAsiaTheme="minorEastAsia" w:hAnsiTheme="majorHAnsi" w:cs="Times New Roman"/>
          <w:noProof/>
        </w:rPr>
      </w:pPr>
      <w:hyperlink w:anchor="_Toc428278255" w:history="1">
        <w:r w:rsidR="000943AA" w:rsidRPr="006242D3">
          <w:rPr>
            <w:rStyle w:val="Hyperlink"/>
            <w:rFonts w:asciiTheme="majorHAnsi" w:hAnsiTheme="majorHAnsi" w:cs="Times New Roman"/>
            <w:noProof/>
          </w:rPr>
          <w:t xml:space="preserve">Figure </w:t>
        </w:r>
        <w:r w:rsidR="000943AA">
          <w:rPr>
            <w:rStyle w:val="Hyperlink"/>
            <w:rFonts w:asciiTheme="majorHAnsi" w:hAnsiTheme="majorHAnsi" w:cs="Times New Roman"/>
            <w:noProof/>
          </w:rPr>
          <w:t>1</w:t>
        </w:r>
        <w:r w:rsidR="000943AA" w:rsidRPr="006242D3">
          <w:rPr>
            <w:rStyle w:val="Hyperlink"/>
            <w:rFonts w:asciiTheme="majorHAnsi" w:hAnsiTheme="majorHAnsi" w:cs="Times New Roman"/>
            <w:noProof/>
          </w:rPr>
          <w:t>.</w:t>
        </w:r>
        <w:r w:rsidR="007E4DC2">
          <w:rPr>
            <w:rStyle w:val="Hyperlink"/>
            <w:rFonts w:asciiTheme="majorHAnsi" w:hAnsiTheme="majorHAnsi" w:cs="Times New Roman"/>
            <w:noProof/>
          </w:rPr>
          <w:t>2</w:t>
        </w:r>
        <w:r w:rsidR="000943AA" w:rsidRPr="006242D3">
          <w:rPr>
            <w:rStyle w:val="Hyperlink"/>
            <w:rFonts w:asciiTheme="majorHAnsi" w:hAnsiTheme="majorHAnsi" w:cs="Times New Roman"/>
            <w:noProof/>
          </w:rPr>
          <w:t xml:space="preserve">. </w:t>
        </w:r>
        <w:r w:rsidR="007E4DC2">
          <w:rPr>
            <w:rStyle w:val="Hyperlink"/>
            <w:rFonts w:asciiTheme="majorHAnsi" w:hAnsiTheme="majorHAnsi" w:cs="Times New Roman"/>
            <w:noProof/>
          </w:rPr>
          <w:t>Indiana Governor Mike Pence</w:t>
        </w:r>
        <w:r w:rsidR="000943AA" w:rsidRPr="006242D3">
          <w:rPr>
            <w:rFonts w:asciiTheme="majorHAnsi" w:hAnsiTheme="majorHAnsi" w:cs="Times New Roman"/>
            <w:noProof/>
            <w:webHidden/>
          </w:rPr>
          <w:tab/>
        </w:r>
      </w:hyperlink>
      <w:r w:rsidR="00405A2C">
        <w:rPr>
          <w:rFonts w:asciiTheme="majorHAnsi" w:hAnsiTheme="majorHAnsi" w:cs="Times New Roman"/>
          <w:noProof/>
        </w:rPr>
        <w:t>7</w:t>
      </w:r>
    </w:p>
    <w:p w14:paraId="0E54A0C8" w14:textId="43AB84BF" w:rsidR="000943AA" w:rsidRPr="006242D3" w:rsidRDefault="003B3E1D" w:rsidP="000943AA">
      <w:pPr>
        <w:pStyle w:val="TableofFigures"/>
        <w:tabs>
          <w:tab w:val="right" w:leader="dot" w:pos="8630"/>
        </w:tabs>
        <w:rPr>
          <w:rFonts w:asciiTheme="majorHAnsi" w:eastAsiaTheme="minorEastAsia" w:hAnsiTheme="majorHAnsi" w:cs="Times New Roman"/>
          <w:noProof/>
        </w:rPr>
      </w:pPr>
      <w:hyperlink w:anchor="_Toc428278255" w:history="1">
        <w:r w:rsidR="000943AA" w:rsidRPr="006242D3">
          <w:rPr>
            <w:rStyle w:val="Hyperlink"/>
            <w:rFonts w:asciiTheme="majorHAnsi" w:hAnsiTheme="majorHAnsi" w:cs="Times New Roman"/>
            <w:noProof/>
          </w:rPr>
          <w:t xml:space="preserve">Figure </w:t>
        </w:r>
        <w:r w:rsidR="000943AA">
          <w:rPr>
            <w:rStyle w:val="Hyperlink"/>
            <w:rFonts w:asciiTheme="majorHAnsi" w:hAnsiTheme="majorHAnsi" w:cs="Times New Roman"/>
            <w:noProof/>
          </w:rPr>
          <w:t>1</w:t>
        </w:r>
        <w:r w:rsidR="000943AA" w:rsidRPr="006242D3">
          <w:rPr>
            <w:rStyle w:val="Hyperlink"/>
            <w:rFonts w:asciiTheme="majorHAnsi" w:hAnsiTheme="majorHAnsi" w:cs="Times New Roman"/>
            <w:noProof/>
          </w:rPr>
          <w:t>.</w:t>
        </w:r>
        <w:r w:rsidR="002C5A31">
          <w:rPr>
            <w:rStyle w:val="Hyperlink"/>
            <w:rFonts w:asciiTheme="majorHAnsi" w:hAnsiTheme="majorHAnsi" w:cs="Times New Roman"/>
            <w:noProof/>
          </w:rPr>
          <w:t>3</w:t>
        </w:r>
        <w:r w:rsidR="000943AA" w:rsidRPr="006242D3">
          <w:rPr>
            <w:rStyle w:val="Hyperlink"/>
            <w:rFonts w:asciiTheme="majorHAnsi" w:hAnsiTheme="majorHAnsi" w:cs="Times New Roman"/>
            <w:noProof/>
          </w:rPr>
          <w:t xml:space="preserve">. </w:t>
        </w:r>
        <w:r w:rsidR="00C3290E">
          <w:rPr>
            <w:rStyle w:val="Hyperlink"/>
            <w:rFonts w:asciiTheme="majorHAnsi" w:hAnsiTheme="majorHAnsi" w:cs="Times New Roman"/>
            <w:noProof/>
          </w:rPr>
          <w:t>Purdue Pharmaceuticals Anti-Story</w:t>
        </w:r>
        <w:r w:rsidR="000943AA" w:rsidRPr="006242D3">
          <w:rPr>
            <w:rFonts w:asciiTheme="majorHAnsi" w:hAnsiTheme="majorHAnsi" w:cs="Times New Roman"/>
            <w:noProof/>
            <w:webHidden/>
          </w:rPr>
          <w:tab/>
        </w:r>
        <w:r w:rsidR="00405A2C">
          <w:rPr>
            <w:rFonts w:asciiTheme="majorHAnsi" w:hAnsiTheme="majorHAnsi" w:cs="Times New Roman"/>
            <w:noProof/>
            <w:webHidden/>
          </w:rPr>
          <w:t>21</w:t>
        </w:r>
      </w:hyperlink>
    </w:p>
    <w:p w14:paraId="5FA8DE30" w14:textId="60677C9A" w:rsidR="000943AA" w:rsidRPr="006242D3" w:rsidRDefault="003B3E1D" w:rsidP="000943AA">
      <w:pPr>
        <w:pStyle w:val="TableofFigures"/>
        <w:tabs>
          <w:tab w:val="right" w:leader="dot" w:pos="8630"/>
        </w:tabs>
        <w:rPr>
          <w:rFonts w:asciiTheme="majorHAnsi" w:eastAsiaTheme="minorEastAsia" w:hAnsiTheme="majorHAnsi" w:cs="Times New Roman"/>
          <w:noProof/>
        </w:rPr>
      </w:pPr>
      <w:hyperlink w:anchor="_Toc428278255" w:history="1">
        <w:r w:rsidR="000943AA" w:rsidRPr="006242D3">
          <w:rPr>
            <w:rStyle w:val="Hyperlink"/>
            <w:rFonts w:asciiTheme="majorHAnsi" w:hAnsiTheme="majorHAnsi" w:cs="Times New Roman"/>
            <w:noProof/>
          </w:rPr>
          <w:t xml:space="preserve">Figure </w:t>
        </w:r>
        <w:r w:rsidR="002C5A31">
          <w:rPr>
            <w:rStyle w:val="Hyperlink"/>
            <w:rFonts w:asciiTheme="majorHAnsi" w:hAnsiTheme="majorHAnsi" w:cs="Times New Roman"/>
            <w:noProof/>
          </w:rPr>
          <w:t>2</w:t>
        </w:r>
        <w:r w:rsidR="000943AA" w:rsidRPr="006242D3">
          <w:rPr>
            <w:rStyle w:val="Hyperlink"/>
            <w:rFonts w:asciiTheme="majorHAnsi" w:hAnsiTheme="majorHAnsi" w:cs="Times New Roman"/>
            <w:noProof/>
          </w:rPr>
          <w:t xml:space="preserve">.1. </w:t>
        </w:r>
        <w:r w:rsidR="00C3290E">
          <w:rPr>
            <w:rStyle w:val="Hyperlink"/>
            <w:rFonts w:asciiTheme="majorHAnsi" w:hAnsiTheme="majorHAnsi" w:cs="Times New Roman"/>
            <w:noProof/>
          </w:rPr>
          <w:t>Opium Den Article</w:t>
        </w:r>
        <w:r w:rsidR="000943AA" w:rsidRPr="006242D3">
          <w:rPr>
            <w:rFonts w:asciiTheme="majorHAnsi" w:hAnsiTheme="majorHAnsi" w:cs="Times New Roman"/>
            <w:noProof/>
            <w:webHidden/>
          </w:rPr>
          <w:tab/>
        </w:r>
        <w:r w:rsidR="00405A2C">
          <w:rPr>
            <w:rFonts w:asciiTheme="majorHAnsi" w:hAnsiTheme="majorHAnsi" w:cs="Times New Roman"/>
            <w:noProof/>
            <w:webHidden/>
          </w:rPr>
          <w:t>26</w:t>
        </w:r>
      </w:hyperlink>
    </w:p>
    <w:p w14:paraId="6C60C6DA" w14:textId="0BF6EEA0" w:rsidR="000943AA" w:rsidRPr="006242D3" w:rsidRDefault="003B3E1D" w:rsidP="000943AA">
      <w:pPr>
        <w:pStyle w:val="TableofFigures"/>
        <w:tabs>
          <w:tab w:val="right" w:leader="dot" w:pos="8630"/>
        </w:tabs>
        <w:rPr>
          <w:rFonts w:asciiTheme="majorHAnsi" w:eastAsiaTheme="minorEastAsia" w:hAnsiTheme="majorHAnsi" w:cs="Times New Roman"/>
          <w:noProof/>
        </w:rPr>
      </w:pPr>
      <w:hyperlink w:anchor="_Toc428278255" w:history="1">
        <w:r w:rsidR="000943AA" w:rsidRPr="006242D3">
          <w:rPr>
            <w:rStyle w:val="Hyperlink"/>
            <w:rFonts w:asciiTheme="majorHAnsi" w:hAnsiTheme="majorHAnsi" w:cs="Times New Roman"/>
            <w:noProof/>
          </w:rPr>
          <w:t xml:space="preserve">Figure </w:t>
        </w:r>
        <w:r w:rsidR="002C5A31">
          <w:rPr>
            <w:rStyle w:val="Hyperlink"/>
            <w:rFonts w:asciiTheme="majorHAnsi" w:hAnsiTheme="majorHAnsi" w:cs="Times New Roman"/>
            <w:noProof/>
          </w:rPr>
          <w:t>2</w:t>
        </w:r>
        <w:r w:rsidR="000943AA" w:rsidRPr="006242D3">
          <w:rPr>
            <w:rStyle w:val="Hyperlink"/>
            <w:rFonts w:asciiTheme="majorHAnsi" w:hAnsiTheme="majorHAnsi" w:cs="Times New Roman"/>
            <w:noProof/>
          </w:rPr>
          <w:t>.</w:t>
        </w:r>
        <w:r w:rsidR="002C5A31">
          <w:rPr>
            <w:rStyle w:val="Hyperlink"/>
            <w:rFonts w:asciiTheme="majorHAnsi" w:hAnsiTheme="majorHAnsi" w:cs="Times New Roman"/>
            <w:noProof/>
          </w:rPr>
          <w:t>2</w:t>
        </w:r>
        <w:r w:rsidR="000943AA" w:rsidRPr="006242D3">
          <w:rPr>
            <w:rStyle w:val="Hyperlink"/>
            <w:rFonts w:asciiTheme="majorHAnsi" w:hAnsiTheme="majorHAnsi" w:cs="Times New Roman"/>
            <w:noProof/>
          </w:rPr>
          <w:t xml:space="preserve">. </w:t>
        </w:r>
        <w:r w:rsidR="00C3290E">
          <w:rPr>
            <w:rStyle w:val="Hyperlink"/>
            <w:rFonts w:asciiTheme="majorHAnsi" w:hAnsiTheme="majorHAnsi" w:cs="Times New Roman"/>
            <w:noProof/>
          </w:rPr>
          <w:t>Three Waves of the Opioid Crisis</w:t>
        </w:r>
        <w:r w:rsidR="000943AA" w:rsidRPr="006242D3">
          <w:rPr>
            <w:rFonts w:asciiTheme="majorHAnsi" w:hAnsiTheme="majorHAnsi" w:cs="Times New Roman"/>
            <w:noProof/>
            <w:webHidden/>
          </w:rPr>
          <w:tab/>
        </w:r>
        <w:r w:rsidR="00405A2C">
          <w:rPr>
            <w:rFonts w:asciiTheme="majorHAnsi" w:hAnsiTheme="majorHAnsi" w:cs="Times New Roman"/>
            <w:noProof/>
            <w:webHidden/>
          </w:rPr>
          <w:t>41</w:t>
        </w:r>
      </w:hyperlink>
    </w:p>
    <w:p w14:paraId="57B99D38" w14:textId="7D57442F" w:rsidR="000943AA" w:rsidRPr="006242D3" w:rsidRDefault="003B3E1D" w:rsidP="000943AA">
      <w:pPr>
        <w:pStyle w:val="TableofFigures"/>
        <w:tabs>
          <w:tab w:val="right" w:leader="dot" w:pos="8630"/>
        </w:tabs>
        <w:rPr>
          <w:rFonts w:asciiTheme="majorHAnsi" w:eastAsiaTheme="minorEastAsia" w:hAnsiTheme="majorHAnsi" w:cs="Times New Roman"/>
          <w:noProof/>
        </w:rPr>
      </w:pPr>
      <w:hyperlink w:anchor="_Toc428278255" w:history="1">
        <w:r w:rsidR="000943AA" w:rsidRPr="006242D3">
          <w:rPr>
            <w:rStyle w:val="Hyperlink"/>
            <w:rFonts w:asciiTheme="majorHAnsi" w:hAnsiTheme="majorHAnsi" w:cs="Times New Roman"/>
            <w:noProof/>
          </w:rPr>
          <w:t xml:space="preserve">Figure </w:t>
        </w:r>
        <w:r w:rsidR="002C5A31">
          <w:rPr>
            <w:rStyle w:val="Hyperlink"/>
            <w:rFonts w:asciiTheme="majorHAnsi" w:hAnsiTheme="majorHAnsi" w:cs="Times New Roman"/>
            <w:noProof/>
          </w:rPr>
          <w:t>3</w:t>
        </w:r>
        <w:r w:rsidR="000943AA" w:rsidRPr="006242D3">
          <w:rPr>
            <w:rStyle w:val="Hyperlink"/>
            <w:rFonts w:asciiTheme="majorHAnsi" w:hAnsiTheme="majorHAnsi" w:cs="Times New Roman"/>
            <w:noProof/>
          </w:rPr>
          <w:t xml:space="preserve">.1. </w:t>
        </w:r>
        <w:r w:rsidR="002C5A31">
          <w:rPr>
            <w:rStyle w:val="Hyperlink"/>
            <w:rFonts w:asciiTheme="majorHAnsi" w:hAnsiTheme="majorHAnsi" w:cs="Times New Roman"/>
            <w:noProof/>
          </w:rPr>
          <w:t>CDC Map of Vulnerable Counties</w:t>
        </w:r>
        <w:r w:rsidR="000943AA" w:rsidRPr="006242D3">
          <w:rPr>
            <w:rFonts w:asciiTheme="majorHAnsi" w:hAnsiTheme="majorHAnsi" w:cs="Times New Roman"/>
            <w:noProof/>
            <w:webHidden/>
          </w:rPr>
          <w:tab/>
        </w:r>
        <w:r w:rsidR="00405A2C">
          <w:rPr>
            <w:rFonts w:asciiTheme="majorHAnsi" w:hAnsiTheme="majorHAnsi" w:cs="Times New Roman"/>
            <w:noProof/>
            <w:webHidden/>
          </w:rPr>
          <w:t>51</w:t>
        </w:r>
      </w:hyperlink>
    </w:p>
    <w:p w14:paraId="1521B553" w14:textId="039AED69" w:rsidR="002C5A31" w:rsidRDefault="003B3E1D" w:rsidP="002C5A31">
      <w:pPr>
        <w:pStyle w:val="TableofFigures"/>
        <w:tabs>
          <w:tab w:val="right" w:leader="dot" w:pos="8630"/>
        </w:tabs>
        <w:rPr>
          <w:rFonts w:asciiTheme="majorHAnsi"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C5A31">
          <w:rPr>
            <w:rStyle w:val="Hyperlink"/>
            <w:rFonts w:asciiTheme="majorHAnsi" w:hAnsiTheme="majorHAnsi" w:cs="Times New Roman"/>
            <w:noProof/>
          </w:rPr>
          <w:t>3</w:t>
        </w:r>
        <w:r w:rsidR="002C5A31" w:rsidRPr="006242D3">
          <w:rPr>
            <w:rStyle w:val="Hyperlink"/>
            <w:rFonts w:asciiTheme="majorHAnsi" w:hAnsiTheme="majorHAnsi" w:cs="Times New Roman"/>
            <w:noProof/>
          </w:rPr>
          <w:t>.</w:t>
        </w:r>
        <w:r w:rsidR="002C5A31">
          <w:rPr>
            <w:rStyle w:val="Hyperlink"/>
            <w:rFonts w:asciiTheme="majorHAnsi" w:hAnsiTheme="majorHAnsi" w:cs="Times New Roman"/>
            <w:noProof/>
          </w:rPr>
          <w:t>2</w:t>
        </w:r>
        <w:r w:rsidR="002C5A31" w:rsidRPr="006242D3">
          <w:rPr>
            <w:rStyle w:val="Hyperlink"/>
            <w:rFonts w:asciiTheme="majorHAnsi" w:hAnsiTheme="majorHAnsi" w:cs="Times New Roman"/>
            <w:noProof/>
          </w:rPr>
          <w:t xml:space="preserve">. </w:t>
        </w:r>
        <w:r w:rsidR="002C5A31">
          <w:rPr>
            <w:rStyle w:val="Hyperlink"/>
            <w:rFonts w:asciiTheme="majorHAnsi" w:hAnsiTheme="majorHAnsi" w:cs="Times New Roman"/>
            <w:noProof/>
          </w:rPr>
          <w:t>Photograp</w:t>
        </w:r>
        <w:r w:rsidR="002131BE">
          <w:rPr>
            <w:rStyle w:val="Hyperlink"/>
            <w:rFonts w:asciiTheme="majorHAnsi" w:hAnsiTheme="majorHAnsi" w:cs="Times New Roman"/>
            <w:noProof/>
          </w:rPr>
          <w:t>h</w:t>
        </w:r>
        <w:r w:rsidR="002C5A31">
          <w:rPr>
            <w:rStyle w:val="Hyperlink"/>
            <w:rFonts w:asciiTheme="majorHAnsi" w:hAnsiTheme="majorHAnsi" w:cs="Times New Roman"/>
            <w:noProof/>
          </w:rPr>
          <w:t xml:space="preserve"> of Narco</w:t>
        </w:r>
        <w:r w:rsidR="002C5A31" w:rsidRPr="006242D3">
          <w:rPr>
            <w:rFonts w:asciiTheme="majorHAnsi" w:hAnsiTheme="majorHAnsi" w:cs="Times New Roman"/>
            <w:noProof/>
            <w:webHidden/>
          </w:rPr>
          <w:tab/>
        </w:r>
        <w:r w:rsidR="00405A2C">
          <w:rPr>
            <w:rFonts w:asciiTheme="majorHAnsi" w:hAnsiTheme="majorHAnsi" w:cs="Times New Roman"/>
            <w:noProof/>
            <w:webHidden/>
          </w:rPr>
          <w:t>56</w:t>
        </w:r>
      </w:hyperlink>
    </w:p>
    <w:p w14:paraId="4935EDEB" w14:textId="42C90178" w:rsidR="002C5A31" w:rsidRPr="006242D3" w:rsidRDefault="003B3E1D" w:rsidP="002C5A31">
      <w:pPr>
        <w:pStyle w:val="TableofFigures"/>
        <w:tabs>
          <w:tab w:val="right" w:leader="dot" w:pos="8630"/>
        </w:tabs>
        <w:rPr>
          <w:rFonts w:asciiTheme="majorHAnsi" w:eastAsiaTheme="minorEastAsia"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C5A31">
          <w:rPr>
            <w:rStyle w:val="Hyperlink"/>
            <w:rFonts w:asciiTheme="majorHAnsi" w:hAnsiTheme="majorHAnsi" w:cs="Times New Roman"/>
            <w:noProof/>
          </w:rPr>
          <w:t>4</w:t>
        </w:r>
        <w:r w:rsidR="002C5A31" w:rsidRPr="006242D3">
          <w:rPr>
            <w:rStyle w:val="Hyperlink"/>
            <w:rFonts w:asciiTheme="majorHAnsi" w:hAnsiTheme="majorHAnsi" w:cs="Times New Roman"/>
            <w:noProof/>
          </w:rPr>
          <w:t>.</w:t>
        </w:r>
        <w:r w:rsidR="002C5A31">
          <w:rPr>
            <w:rStyle w:val="Hyperlink"/>
            <w:rFonts w:asciiTheme="majorHAnsi" w:hAnsiTheme="majorHAnsi" w:cs="Times New Roman"/>
            <w:noProof/>
          </w:rPr>
          <w:t>1</w:t>
        </w:r>
        <w:r w:rsidR="002C5A31" w:rsidRPr="006242D3">
          <w:rPr>
            <w:rStyle w:val="Hyperlink"/>
            <w:rFonts w:asciiTheme="majorHAnsi" w:hAnsiTheme="majorHAnsi" w:cs="Times New Roman"/>
            <w:noProof/>
          </w:rPr>
          <w:t xml:space="preserve">. </w:t>
        </w:r>
        <w:r w:rsidR="002C5A31">
          <w:rPr>
            <w:rStyle w:val="Hyperlink"/>
            <w:rFonts w:asciiTheme="majorHAnsi" w:hAnsiTheme="majorHAnsi" w:cs="Times New Roman"/>
            <w:noProof/>
          </w:rPr>
          <w:t>White House Ceremony</w:t>
        </w:r>
        <w:r w:rsidR="002C5A31" w:rsidRPr="006242D3">
          <w:rPr>
            <w:rFonts w:asciiTheme="majorHAnsi" w:hAnsiTheme="majorHAnsi" w:cs="Times New Roman"/>
            <w:noProof/>
            <w:webHidden/>
          </w:rPr>
          <w:tab/>
        </w:r>
      </w:hyperlink>
      <w:r w:rsidR="00405A2C">
        <w:rPr>
          <w:rFonts w:asciiTheme="majorHAnsi" w:hAnsiTheme="majorHAnsi" w:cs="Times New Roman"/>
          <w:noProof/>
        </w:rPr>
        <w:t>68</w:t>
      </w:r>
    </w:p>
    <w:p w14:paraId="34F53620" w14:textId="6D7C1050" w:rsidR="002C5A31" w:rsidRPr="006242D3" w:rsidRDefault="003B3E1D" w:rsidP="002C5A31">
      <w:pPr>
        <w:pStyle w:val="TableofFigures"/>
        <w:tabs>
          <w:tab w:val="right" w:leader="dot" w:pos="8630"/>
        </w:tabs>
        <w:rPr>
          <w:rFonts w:asciiTheme="majorHAnsi" w:eastAsiaTheme="minorEastAsia"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131BE">
          <w:rPr>
            <w:rStyle w:val="Hyperlink"/>
            <w:rFonts w:asciiTheme="majorHAnsi" w:hAnsiTheme="majorHAnsi" w:cs="Times New Roman"/>
            <w:noProof/>
          </w:rPr>
          <w:t>4</w:t>
        </w:r>
        <w:r w:rsidR="002C5A31" w:rsidRPr="006242D3">
          <w:rPr>
            <w:rStyle w:val="Hyperlink"/>
            <w:rFonts w:asciiTheme="majorHAnsi" w:hAnsiTheme="majorHAnsi" w:cs="Times New Roman"/>
            <w:noProof/>
          </w:rPr>
          <w:t>.</w:t>
        </w:r>
        <w:r w:rsidR="002131BE">
          <w:rPr>
            <w:rStyle w:val="Hyperlink"/>
            <w:rFonts w:asciiTheme="majorHAnsi" w:hAnsiTheme="majorHAnsi" w:cs="Times New Roman"/>
            <w:noProof/>
          </w:rPr>
          <w:t>2</w:t>
        </w:r>
        <w:r w:rsidR="002C5A31" w:rsidRPr="006242D3">
          <w:rPr>
            <w:rStyle w:val="Hyperlink"/>
            <w:rFonts w:asciiTheme="majorHAnsi" w:hAnsiTheme="majorHAnsi" w:cs="Times New Roman"/>
            <w:noProof/>
          </w:rPr>
          <w:t>.</w:t>
        </w:r>
        <w:r w:rsidR="002131BE">
          <w:rPr>
            <w:rStyle w:val="Hyperlink"/>
            <w:rFonts w:asciiTheme="majorHAnsi" w:hAnsiTheme="majorHAnsi" w:cs="Times New Roman"/>
            <w:noProof/>
          </w:rPr>
          <w:t xml:space="preserve"> Photograph of Mobile Needle-Exchange</w:t>
        </w:r>
        <w:r w:rsidR="002C5A31" w:rsidRPr="006242D3">
          <w:rPr>
            <w:rFonts w:asciiTheme="majorHAnsi" w:hAnsiTheme="majorHAnsi" w:cs="Times New Roman"/>
            <w:noProof/>
            <w:webHidden/>
          </w:rPr>
          <w:tab/>
        </w:r>
        <w:r w:rsidR="00405A2C">
          <w:rPr>
            <w:rFonts w:asciiTheme="majorHAnsi" w:hAnsiTheme="majorHAnsi" w:cs="Times New Roman"/>
            <w:noProof/>
            <w:webHidden/>
          </w:rPr>
          <w:t>76</w:t>
        </w:r>
      </w:hyperlink>
    </w:p>
    <w:p w14:paraId="3E2A36BA" w14:textId="1919CB23" w:rsidR="002C5A31" w:rsidRPr="006242D3" w:rsidRDefault="003B3E1D" w:rsidP="002C5A31">
      <w:pPr>
        <w:pStyle w:val="TableofFigures"/>
        <w:tabs>
          <w:tab w:val="right" w:leader="dot" w:pos="8630"/>
        </w:tabs>
        <w:rPr>
          <w:rFonts w:asciiTheme="majorHAnsi" w:eastAsiaTheme="minorEastAsia"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131BE">
          <w:rPr>
            <w:rStyle w:val="Hyperlink"/>
            <w:rFonts w:asciiTheme="majorHAnsi" w:hAnsiTheme="majorHAnsi" w:cs="Times New Roman"/>
            <w:noProof/>
          </w:rPr>
          <w:t>5</w:t>
        </w:r>
        <w:r w:rsidR="002C5A31" w:rsidRPr="006242D3">
          <w:rPr>
            <w:rStyle w:val="Hyperlink"/>
            <w:rFonts w:asciiTheme="majorHAnsi" w:hAnsiTheme="majorHAnsi" w:cs="Times New Roman"/>
            <w:noProof/>
          </w:rPr>
          <w:t xml:space="preserve">.1. </w:t>
        </w:r>
        <w:r w:rsidR="002131BE">
          <w:rPr>
            <w:rStyle w:val="Hyperlink"/>
            <w:rFonts w:asciiTheme="majorHAnsi" w:hAnsiTheme="majorHAnsi" w:cs="Times New Roman"/>
            <w:noProof/>
          </w:rPr>
          <w:t>Result of Appalachian Region Takedown</w:t>
        </w:r>
        <w:r w:rsidR="002C5A31" w:rsidRPr="006242D3">
          <w:rPr>
            <w:rFonts w:asciiTheme="majorHAnsi" w:hAnsiTheme="majorHAnsi" w:cs="Times New Roman"/>
            <w:noProof/>
            <w:webHidden/>
          </w:rPr>
          <w:tab/>
        </w:r>
        <w:r w:rsidR="00405A2C">
          <w:rPr>
            <w:rFonts w:asciiTheme="majorHAnsi" w:hAnsiTheme="majorHAnsi" w:cs="Times New Roman"/>
            <w:noProof/>
            <w:webHidden/>
          </w:rPr>
          <w:t>83</w:t>
        </w:r>
      </w:hyperlink>
    </w:p>
    <w:p w14:paraId="748253E3" w14:textId="06B9F377" w:rsidR="002C5A31" w:rsidRPr="006242D3" w:rsidRDefault="003B3E1D" w:rsidP="002C5A31">
      <w:pPr>
        <w:pStyle w:val="TableofFigures"/>
        <w:tabs>
          <w:tab w:val="right" w:leader="dot" w:pos="8630"/>
        </w:tabs>
        <w:rPr>
          <w:rFonts w:asciiTheme="majorHAnsi" w:eastAsiaTheme="minorEastAsia"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131BE">
          <w:rPr>
            <w:rStyle w:val="Hyperlink"/>
            <w:rFonts w:asciiTheme="majorHAnsi" w:hAnsiTheme="majorHAnsi" w:cs="Times New Roman"/>
            <w:noProof/>
          </w:rPr>
          <w:t>6</w:t>
        </w:r>
        <w:r w:rsidR="002C5A31" w:rsidRPr="006242D3">
          <w:rPr>
            <w:rStyle w:val="Hyperlink"/>
            <w:rFonts w:asciiTheme="majorHAnsi" w:hAnsiTheme="majorHAnsi" w:cs="Times New Roman"/>
            <w:noProof/>
          </w:rPr>
          <w:t>.</w:t>
        </w:r>
        <w:r w:rsidR="002131BE">
          <w:rPr>
            <w:rStyle w:val="Hyperlink"/>
            <w:rFonts w:asciiTheme="majorHAnsi" w:hAnsiTheme="majorHAnsi" w:cs="Times New Roman"/>
            <w:noProof/>
          </w:rPr>
          <w:t>1</w:t>
        </w:r>
        <w:r w:rsidR="002C5A31" w:rsidRPr="006242D3">
          <w:rPr>
            <w:rStyle w:val="Hyperlink"/>
            <w:rFonts w:asciiTheme="majorHAnsi" w:hAnsiTheme="majorHAnsi" w:cs="Times New Roman"/>
            <w:noProof/>
          </w:rPr>
          <w:t xml:space="preserve">. </w:t>
        </w:r>
        <w:r w:rsidR="002131BE">
          <w:rPr>
            <w:rStyle w:val="Hyperlink"/>
            <w:rFonts w:asciiTheme="majorHAnsi" w:hAnsiTheme="majorHAnsi" w:cs="Times New Roman"/>
            <w:noProof/>
          </w:rPr>
          <w:t>Vito Russo “Why We Fight Speech”</w:t>
        </w:r>
        <w:r w:rsidR="002C5A31" w:rsidRPr="006242D3">
          <w:rPr>
            <w:rFonts w:asciiTheme="majorHAnsi" w:hAnsiTheme="majorHAnsi" w:cs="Times New Roman"/>
            <w:noProof/>
            <w:webHidden/>
          </w:rPr>
          <w:tab/>
        </w:r>
        <w:r w:rsidR="002131BE">
          <w:rPr>
            <w:rFonts w:asciiTheme="majorHAnsi" w:hAnsiTheme="majorHAnsi" w:cs="Times New Roman"/>
            <w:noProof/>
            <w:webHidden/>
          </w:rPr>
          <w:t>1</w:t>
        </w:r>
        <w:r w:rsidR="00405A2C">
          <w:rPr>
            <w:rFonts w:asciiTheme="majorHAnsi" w:hAnsiTheme="majorHAnsi" w:cs="Times New Roman"/>
            <w:noProof/>
            <w:webHidden/>
          </w:rPr>
          <w:t>06</w:t>
        </w:r>
      </w:hyperlink>
    </w:p>
    <w:p w14:paraId="46D90EE5" w14:textId="7396809A" w:rsidR="002C5A31" w:rsidRPr="006242D3" w:rsidRDefault="003B3E1D" w:rsidP="002C5A31">
      <w:pPr>
        <w:pStyle w:val="TableofFigures"/>
        <w:tabs>
          <w:tab w:val="right" w:leader="dot" w:pos="8630"/>
        </w:tabs>
        <w:rPr>
          <w:rFonts w:asciiTheme="majorHAnsi" w:eastAsiaTheme="minorEastAsia" w:hAnsiTheme="majorHAnsi" w:cs="Times New Roman"/>
          <w:noProof/>
        </w:rPr>
      </w:pPr>
      <w:hyperlink w:anchor="_Toc428278255" w:history="1">
        <w:r w:rsidR="002C5A31" w:rsidRPr="006242D3">
          <w:rPr>
            <w:rStyle w:val="Hyperlink"/>
            <w:rFonts w:asciiTheme="majorHAnsi" w:hAnsiTheme="majorHAnsi" w:cs="Times New Roman"/>
            <w:noProof/>
          </w:rPr>
          <w:t xml:space="preserve">Figure </w:t>
        </w:r>
        <w:r w:rsidR="002131BE">
          <w:rPr>
            <w:rStyle w:val="Hyperlink"/>
            <w:rFonts w:asciiTheme="majorHAnsi" w:hAnsiTheme="majorHAnsi" w:cs="Times New Roman"/>
            <w:noProof/>
          </w:rPr>
          <w:t>6</w:t>
        </w:r>
        <w:r w:rsidR="002C5A31" w:rsidRPr="006242D3">
          <w:rPr>
            <w:rStyle w:val="Hyperlink"/>
            <w:rFonts w:asciiTheme="majorHAnsi" w:hAnsiTheme="majorHAnsi" w:cs="Times New Roman"/>
            <w:noProof/>
          </w:rPr>
          <w:t>.</w:t>
        </w:r>
        <w:r w:rsidR="002131BE">
          <w:rPr>
            <w:rStyle w:val="Hyperlink"/>
            <w:rFonts w:asciiTheme="majorHAnsi" w:hAnsiTheme="majorHAnsi" w:cs="Times New Roman"/>
            <w:noProof/>
          </w:rPr>
          <w:t>2</w:t>
        </w:r>
        <w:r w:rsidR="002C5A31" w:rsidRPr="006242D3">
          <w:rPr>
            <w:rStyle w:val="Hyperlink"/>
            <w:rFonts w:asciiTheme="majorHAnsi" w:hAnsiTheme="majorHAnsi" w:cs="Times New Roman"/>
            <w:noProof/>
          </w:rPr>
          <w:t xml:space="preserve">. </w:t>
        </w:r>
        <w:r w:rsidR="002131BE">
          <w:rPr>
            <w:rStyle w:val="Hyperlink"/>
            <w:rFonts w:asciiTheme="majorHAnsi" w:hAnsiTheme="majorHAnsi" w:cs="Times New Roman"/>
            <w:noProof/>
          </w:rPr>
          <w:t>PAIN at the Guggenheim Museum</w:t>
        </w:r>
        <w:r w:rsidR="002C5A31" w:rsidRPr="006242D3">
          <w:rPr>
            <w:rFonts w:asciiTheme="majorHAnsi" w:hAnsiTheme="majorHAnsi" w:cs="Times New Roman"/>
            <w:noProof/>
            <w:webHidden/>
          </w:rPr>
          <w:tab/>
        </w:r>
        <w:r w:rsidR="002131BE">
          <w:rPr>
            <w:rFonts w:asciiTheme="majorHAnsi" w:hAnsiTheme="majorHAnsi" w:cs="Times New Roman"/>
            <w:noProof/>
            <w:webHidden/>
          </w:rPr>
          <w:t>1</w:t>
        </w:r>
        <w:r w:rsidR="00405A2C">
          <w:rPr>
            <w:rFonts w:asciiTheme="majorHAnsi" w:hAnsiTheme="majorHAnsi" w:cs="Times New Roman"/>
            <w:noProof/>
            <w:webHidden/>
          </w:rPr>
          <w:t>13</w:t>
        </w:r>
      </w:hyperlink>
    </w:p>
    <w:p w14:paraId="00CF39FC" w14:textId="0BE44B12" w:rsidR="002131BE" w:rsidRPr="006242D3" w:rsidRDefault="003B3E1D" w:rsidP="002131BE">
      <w:pPr>
        <w:pStyle w:val="TableofFigures"/>
        <w:tabs>
          <w:tab w:val="right" w:leader="dot" w:pos="8630"/>
        </w:tabs>
        <w:rPr>
          <w:rFonts w:asciiTheme="majorHAnsi" w:eastAsiaTheme="minorEastAsia" w:hAnsiTheme="majorHAnsi" w:cs="Times New Roman"/>
          <w:noProof/>
        </w:rPr>
      </w:pPr>
      <w:hyperlink w:anchor="_Toc428278255" w:history="1">
        <w:r w:rsidR="002131BE" w:rsidRPr="006242D3">
          <w:rPr>
            <w:rStyle w:val="Hyperlink"/>
            <w:rFonts w:asciiTheme="majorHAnsi" w:hAnsiTheme="majorHAnsi" w:cs="Times New Roman"/>
            <w:noProof/>
          </w:rPr>
          <w:t xml:space="preserve">Figure </w:t>
        </w:r>
        <w:r w:rsidR="002131BE">
          <w:rPr>
            <w:rStyle w:val="Hyperlink"/>
            <w:rFonts w:asciiTheme="majorHAnsi" w:hAnsiTheme="majorHAnsi" w:cs="Times New Roman"/>
            <w:noProof/>
          </w:rPr>
          <w:t>6</w:t>
        </w:r>
        <w:r w:rsidR="002131BE" w:rsidRPr="006242D3">
          <w:rPr>
            <w:rStyle w:val="Hyperlink"/>
            <w:rFonts w:asciiTheme="majorHAnsi" w:hAnsiTheme="majorHAnsi" w:cs="Times New Roman"/>
            <w:noProof/>
          </w:rPr>
          <w:t>.</w:t>
        </w:r>
        <w:r w:rsidR="002131BE">
          <w:rPr>
            <w:rStyle w:val="Hyperlink"/>
            <w:rFonts w:asciiTheme="majorHAnsi" w:hAnsiTheme="majorHAnsi" w:cs="Times New Roman"/>
            <w:noProof/>
          </w:rPr>
          <w:t>3</w:t>
        </w:r>
        <w:r w:rsidR="002131BE" w:rsidRPr="006242D3">
          <w:rPr>
            <w:rStyle w:val="Hyperlink"/>
            <w:rFonts w:asciiTheme="majorHAnsi" w:hAnsiTheme="majorHAnsi" w:cs="Times New Roman"/>
            <w:noProof/>
          </w:rPr>
          <w:t xml:space="preserve">. </w:t>
        </w:r>
        <w:r w:rsidR="002131BE">
          <w:rPr>
            <w:rStyle w:val="Hyperlink"/>
            <w:rFonts w:asciiTheme="majorHAnsi" w:hAnsiTheme="majorHAnsi" w:cs="Times New Roman"/>
            <w:noProof/>
          </w:rPr>
          <w:t>Young Lords Political Cartoon</w:t>
        </w:r>
        <w:r w:rsidR="002131BE" w:rsidRPr="006242D3">
          <w:rPr>
            <w:rFonts w:asciiTheme="majorHAnsi" w:hAnsiTheme="majorHAnsi" w:cs="Times New Roman"/>
            <w:noProof/>
            <w:webHidden/>
          </w:rPr>
          <w:tab/>
        </w:r>
        <w:r w:rsidR="002131BE">
          <w:rPr>
            <w:rFonts w:asciiTheme="majorHAnsi" w:hAnsiTheme="majorHAnsi" w:cs="Times New Roman"/>
            <w:noProof/>
            <w:webHidden/>
          </w:rPr>
          <w:t>12</w:t>
        </w:r>
        <w:r w:rsidR="00405A2C">
          <w:rPr>
            <w:rFonts w:asciiTheme="majorHAnsi" w:hAnsiTheme="majorHAnsi" w:cs="Times New Roman"/>
            <w:noProof/>
            <w:webHidden/>
          </w:rPr>
          <w:t>2</w:t>
        </w:r>
      </w:hyperlink>
    </w:p>
    <w:p w14:paraId="17572F15" w14:textId="77777777" w:rsidR="000943AA" w:rsidRPr="000943AA" w:rsidRDefault="000943AA" w:rsidP="000943AA">
      <w:pPr>
        <w:rPr>
          <w:rFonts w:eastAsiaTheme="minorEastAsia"/>
        </w:rPr>
      </w:pPr>
    </w:p>
    <w:p w14:paraId="1431B499" w14:textId="69950D73" w:rsidR="00405A2C" w:rsidRPr="00405A2C" w:rsidRDefault="00665C7E" w:rsidP="00405A2C">
      <w:pPr>
        <w:numPr>
          <w:ilvl w:val="12"/>
          <w:numId w:val="0"/>
        </w:numPr>
        <w:rPr>
          <w:rFonts w:asciiTheme="majorHAnsi" w:hAnsiTheme="majorHAnsi" w:cs="Times New Roman"/>
        </w:rPr>
        <w:sectPr w:rsidR="00405A2C" w:rsidRPr="00405A2C" w:rsidSect="008A4E30">
          <w:headerReference w:type="even" r:id="rId8"/>
          <w:footerReference w:type="even" r:id="rId9"/>
          <w:footerReference w:type="default" r:id="rId10"/>
          <w:pgSz w:w="12240" w:h="15840" w:code="1"/>
          <w:pgMar w:top="1440" w:right="1800" w:bottom="1872" w:left="1800" w:header="720" w:footer="1440" w:gutter="0"/>
          <w:pgNumType w:fmt="lowerRoman" w:start="1"/>
          <w:cols w:space="720"/>
          <w:noEndnote/>
          <w:titlePg/>
        </w:sectPr>
      </w:pPr>
      <w:r w:rsidRPr="006242D3">
        <w:rPr>
          <w:rFonts w:asciiTheme="majorHAnsi" w:hAnsiTheme="majorHAnsi" w:cs="Times New Roman"/>
        </w:rPr>
        <w:fldChar w:fldCharType="end"/>
      </w:r>
    </w:p>
    <w:p w14:paraId="1BDEEA75" w14:textId="2FD246D3" w:rsidR="004F08CE" w:rsidRPr="00A0642B" w:rsidRDefault="00C3290E" w:rsidP="00A0642B">
      <w:pPr>
        <w:pStyle w:val="Heading1"/>
      </w:pPr>
      <w:bookmarkStart w:id="0" w:name="_Toc420995890"/>
      <w:bookmarkStart w:id="1" w:name="_Toc422997477"/>
      <w:bookmarkStart w:id="2" w:name="_Toc427156460"/>
      <w:bookmarkStart w:id="3" w:name="_Toc133884497"/>
      <w:r w:rsidRPr="00A0642B">
        <w:lastRenderedPageBreak/>
        <w:t xml:space="preserve">Chapter One: </w:t>
      </w:r>
      <w:r w:rsidR="00EE334C" w:rsidRPr="00A0642B">
        <w:t>Introduction</w:t>
      </w:r>
      <w:bookmarkEnd w:id="0"/>
      <w:bookmarkEnd w:id="1"/>
      <w:bookmarkEnd w:id="2"/>
      <w:bookmarkEnd w:id="3"/>
    </w:p>
    <w:p w14:paraId="76C56D78" w14:textId="33F61D32" w:rsidR="004F08CE" w:rsidRPr="000E6098" w:rsidRDefault="00864248" w:rsidP="000943AA">
      <w:pPr>
        <w:numPr>
          <w:ilvl w:val="12"/>
          <w:numId w:val="0"/>
        </w:numPr>
        <w:spacing w:line="480" w:lineRule="auto"/>
        <w:ind w:firstLine="720"/>
        <w:rPr>
          <w:rFonts w:ascii="Cambria" w:hAnsi="Cambria" w:cs="Times New Roman"/>
        </w:rPr>
      </w:pPr>
      <w:r w:rsidRPr="000E6098">
        <w:rPr>
          <w:rFonts w:ascii="Cambria" w:hAnsi="Cambria" w:cs="Times New Roman"/>
        </w:rPr>
        <w:t>In late October 1988, archconservative North Carolina senator Jesse Helms (R) introduced a rider into the Public Health and Welfare Act that, for nearly three decades, would effectively prohibit federal funds from being used to facilitate and/or research needle exchange programs (NEPs) in the US. Although expressly forbidden by both House and Senate rules from using appropriation riders to enact or amend legislation, Congressional lawmakers frequently attach them to “must-pass bills” in order to obtain majority support for otherwise divisive legislation with minimal debate under the threat of a government shutdown. Within the context of President Ronald Reagan’s broader war on drugs, the rider received nearly unanimous support and what opposition it did receive was easily dispelled by the inclusion of a provision that would allow for the Surgeon General of the Public Health Service (PHS) to lift the ban if NEPs could be proven empirically effective at reducing rates of human immunodeficiency virus (HIV) and intravenous drug use (IDU). However, despite this provision, Helms’ tireless efforts to equate support for NEPs with federal endorsement of drug ab/use ensured that long after sufficient evidence of their efficacy emerged, voting in favor of them was considered political heresy.</w:t>
      </w:r>
    </w:p>
    <w:p w14:paraId="4E857FB8" w14:textId="4596CF3B" w:rsidR="00864248" w:rsidRPr="000E6098" w:rsidRDefault="00864248" w:rsidP="00864248">
      <w:pPr>
        <w:numPr>
          <w:ilvl w:val="12"/>
          <w:numId w:val="0"/>
        </w:numPr>
        <w:spacing w:line="480" w:lineRule="auto"/>
        <w:ind w:firstLine="720"/>
        <w:rPr>
          <w:rFonts w:ascii="Cambria" w:hAnsi="Cambria" w:cs="Times New Roman"/>
        </w:rPr>
      </w:pPr>
      <w:r w:rsidRPr="000E6098">
        <w:rPr>
          <w:rFonts w:ascii="Cambria" w:hAnsi="Cambria" w:cs="Times New Roman"/>
        </w:rPr>
        <w:t xml:space="preserve">A “patron saint of the religious right,” Helms’ hostility towards NEPs was deeply rooted in his belief that HIV/AIDS was “divine retribution” for the “deliberate, disgusting, and revolting conduct” of “homosexuals, intravenous drug users [IDUs], and the sexually promiscuous” (Congressional Record 1988, 27754). Aside from punitive measures such as quarantine, branding, and compulsory [HIV] screening, the only morally permissible cure for the virus, he argued, was total abstinence (ibid, 1988). Sweepingly repressive in his </w:t>
      </w:r>
      <w:r w:rsidRPr="000E6098">
        <w:rPr>
          <w:rFonts w:ascii="Cambria" w:hAnsi="Cambria" w:cs="Times New Roman"/>
        </w:rPr>
        <w:lastRenderedPageBreak/>
        <w:t>fervor to punish anything he found “obscene,” Helms was an enthusiast for censorship and cultural regulation. Only a year before the NEP rider became law, in 1987, he spearheaded the passage of an amendment to the appropriations bill for the Departments of Labor, Health and Human Services (HHS), and Education, prohibiting the Federal Centers for Disease Control and Prevention (CDC) from funding all “HIV/AIDS education, information, and/or prevention materials and activities [deemed to] promote or encourage, directly or indirectly, homosexual sexual activities.” Later revising it to add “the intravenous use of illegal drugs” during one of his many sermonizing Senate floor tirade</w:t>
      </w:r>
      <w:r w:rsidR="00274E57">
        <w:rPr>
          <w:rFonts w:ascii="Cambria" w:hAnsi="Cambria" w:cs="Times New Roman"/>
        </w:rPr>
        <w:t>s (</w:t>
      </w:r>
      <w:r w:rsidR="007E4DC2">
        <w:rPr>
          <w:rFonts w:ascii="Cambria" w:hAnsi="Cambria" w:cs="Times New Roman"/>
        </w:rPr>
        <w:t>s</w:t>
      </w:r>
      <w:r w:rsidR="00274E57">
        <w:rPr>
          <w:rFonts w:ascii="Cambria" w:hAnsi="Cambria" w:cs="Times New Roman"/>
        </w:rPr>
        <w:t>ee</w:t>
      </w:r>
      <w:r w:rsidR="007E4DC2">
        <w:rPr>
          <w:rFonts w:ascii="Cambria" w:hAnsi="Cambria" w:cs="Times New Roman"/>
        </w:rPr>
        <w:t xml:space="preserve"> </w:t>
      </w:r>
      <w:r w:rsidR="00274E57">
        <w:rPr>
          <w:rFonts w:ascii="Cambria" w:hAnsi="Cambria" w:cs="Times New Roman"/>
        </w:rPr>
        <w:t>Figure 1.1</w:t>
      </w:r>
      <w:r w:rsidR="007E4DC2">
        <w:rPr>
          <w:rFonts w:ascii="Cambria" w:hAnsi="Cambria" w:cs="Times New Roman"/>
        </w:rPr>
        <w:t>.</w:t>
      </w:r>
      <w:r w:rsidR="00274E57">
        <w:rPr>
          <w:rFonts w:ascii="Cambria" w:hAnsi="Cambria" w:cs="Times New Roman"/>
        </w:rPr>
        <w:t>)</w:t>
      </w:r>
      <w:r w:rsidRPr="000E6098">
        <w:rPr>
          <w:rFonts w:ascii="Cambria" w:hAnsi="Cambria" w:cs="Times New Roman"/>
        </w:rPr>
        <w:t>, Helms recast the banning of NEPs together with these materials as safeguarding “public health,” warning that to vote against these measures would be analogous to saying Congress was not only willing to “proselytize…dangerous lifestyles[s]” but subsidize them on the taxpayers’ dole (Congressional Record 1988, 27754; Helms quoted in Hunt-Ferguson, 2017: 123).</w:t>
      </w:r>
    </w:p>
    <w:p w14:paraId="7281A3B0" w14:textId="77777777" w:rsidR="00864248" w:rsidRDefault="00864248" w:rsidP="00864248">
      <w:pPr>
        <w:numPr>
          <w:ilvl w:val="12"/>
          <w:numId w:val="0"/>
        </w:numPr>
        <w:spacing w:line="480" w:lineRule="auto"/>
        <w:ind w:firstLine="720"/>
        <w:rPr>
          <w:rFonts w:ascii="Cambria" w:hAnsi="Cambria" w:cs="Times New Roman"/>
        </w:rPr>
      </w:pPr>
      <w:r w:rsidRPr="000E6098">
        <w:rPr>
          <w:rFonts w:ascii="Cambria" w:hAnsi="Cambria" w:cs="Times New Roman"/>
        </w:rPr>
        <w:t xml:space="preserve">Of the many politicians in the 1980s and 90s to espouse such views of HIV/AIDS, Helms’ particular blend of preaching, politics, and “Old Southern” rhetoric consolidated his influence over federal disease control and, by proxy, federal drug control policy. Despite his eagerness to use HIV/AIDS “for ideological mobilization against deviance,” like other antiliberal mythologists, Helms “backed away from the most panic-inspiring estimates” of the illness” by arguing that “infection [would] not spread to the general population” (Sontag, 1988: </w:t>
      </w:r>
      <w:proofErr w:type="spellStart"/>
      <w:r w:rsidRPr="000E6098">
        <w:rPr>
          <w:rFonts w:ascii="Cambria" w:hAnsi="Cambria" w:cs="Times New Roman"/>
        </w:rPr>
        <w:t>n.p</w:t>
      </w:r>
      <w:proofErr w:type="spellEnd"/>
      <w:r w:rsidRPr="000E6098">
        <w:rPr>
          <w:rFonts w:ascii="Cambria" w:hAnsi="Cambria" w:cs="Times New Roman"/>
        </w:rPr>
        <w:t xml:space="preserve">.). For HIV/AIDS, he argued, was a targeted “plague” which had been turned into a grossly overstated “hoax” by the media, leftists at the lectern, “colluding politicians,” and the “homosexual lobby” to “feed the appetite of a movement” that aimed to </w:t>
      </w:r>
      <w:r w:rsidRPr="000E6098">
        <w:rPr>
          <w:rFonts w:ascii="Cambria" w:hAnsi="Cambria" w:cs="Times New Roman"/>
        </w:rPr>
        <w:lastRenderedPageBreak/>
        <w:t>“irreparably change…the moral and social fabric of [the] [n]</w:t>
      </w:r>
      <w:proofErr w:type="spellStart"/>
      <w:r w:rsidRPr="000E6098">
        <w:rPr>
          <w:rFonts w:ascii="Cambria" w:hAnsi="Cambria" w:cs="Times New Roman"/>
        </w:rPr>
        <w:t>ation</w:t>
      </w:r>
      <w:proofErr w:type="spellEnd"/>
      <w:r w:rsidRPr="000E6098">
        <w:rPr>
          <w:rFonts w:ascii="Cambria" w:hAnsi="Cambria" w:cs="Times New Roman"/>
        </w:rPr>
        <w:t xml:space="preserve">” (Helms quoted in Hunt-Ferguson, 2017: 109).  </w:t>
      </w:r>
    </w:p>
    <w:p w14:paraId="33C69036" w14:textId="2F38D476" w:rsidR="00274E57" w:rsidRDefault="002131BE" w:rsidP="002131BE">
      <w:pPr>
        <w:numPr>
          <w:ilvl w:val="12"/>
          <w:numId w:val="0"/>
        </w:numPr>
        <w:spacing w:line="480" w:lineRule="auto"/>
        <w:ind w:firstLine="720"/>
        <w:rPr>
          <w:rFonts w:ascii="Cambria" w:hAnsi="Cambria" w:cs="Times New Roman"/>
        </w:rPr>
      </w:pPr>
      <w:r w:rsidRPr="000E6098">
        <w:rPr>
          <w:rFonts w:ascii="Cambria" w:hAnsi="Cambria" w:cs="Times New Roman"/>
        </w:rPr>
        <w:t xml:space="preserve">Skillfully invoking the rural idyll as evidence that HIV/AIDS was neither a national “crisis” nor an “emergency” that required immediate legislative response, he remarked: “Bottom line, Greensboro, NC, Indianapolis, IN, or rural Texas will never have an AIDS outbreak such as New York or San Francisco.” This was an erroneous assertion even for the time. Rates of HIV/AIDS were not only on the rise in rural regions of the US but Helms’ construction of rurality as a morally virtuous counterpoint to the immorality of urban life in the Northeast and West “foist[ed] a smokescreen” that obscure[ed] from public view” the inherent interconnections between them and obstructed the possibilities of mobilizing a collective response (Anglin, 1997: 177; Esparza, 2019: </w:t>
      </w:r>
      <w:proofErr w:type="spellStart"/>
      <w:r w:rsidRPr="000E6098">
        <w:rPr>
          <w:rFonts w:ascii="Cambria" w:hAnsi="Cambria" w:cs="Times New Roman"/>
        </w:rPr>
        <w:t>n.p</w:t>
      </w:r>
      <w:proofErr w:type="spellEnd"/>
      <w:r w:rsidRPr="000E6098">
        <w:rPr>
          <w:rFonts w:ascii="Cambria" w:hAnsi="Cambria" w:cs="Times New Roman"/>
        </w:rPr>
        <w:t>.; Massey, 1995: 183). Speaking to Helms’ censorship of “lifesaving [AIDS] information,” Lori Behrman, a spokesperson for the Gay Men’s Health Crisis, argued: “this…[legislation] sets a [deadly] precedent that will come to haunt everyone at a later date.” And so, it did, as would the NEP rider. After its passage in 1988, the fight to repeal the ban would be continuously waged through the appropriations process for the next twenty years</w:t>
      </w:r>
      <w:r>
        <w:rPr>
          <w:rFonts w:ascii="Cambria" w:hAnsi="Cambria" w:cs="Times New Roman"/>
        </w:rPr>
        <w:t>.</w:t>
      </w:r>
    </w:p>
    <w:p w14:paraId="3BF65FD7" w14:textId="77777777" w:rsidR="00274E57" w:rsidRDefault="00274E57" w:rsidP="00864248">
      <w:pPr>
        <w:numPr>
          <w:ilvl w:val="12"/>
          <w:numId w:val="0"/>
        </w:numPr>
        <w:spacing w:line="480" w:lineRule="auto"/>
        <w:rPr>
          <w:rFonts w:ascii="Cambria" w:hAnsi="Cambria" w:cs="Times New Roman"/>
        </w:rPr>
      </w:pPr>
    </w:p>
    <w:p w14:paraId="4A606144" w14:textId="6E803C4D" w:rsidR="00864248" w:rsidRPr="000E6098" w:rsidRDefault="00864248" w:rsidP="00864248">
      <w:pPr>
        <w:numPr>
          <w:ilvl w:val="12"/>
          <w:numId w:val="0"/>
        </w:numPr>
        <w:spacing w:line="480" w:lineRule="auto"/>
        <w:rPr>
          <w:rFonts w:ascii="Cambria" w:hAnsi="Cambria" w:cs="Times New Roman"/>
        </w:rPr>
      </w:pPr>
      <w:r w:rsidRPr="000E6098">
        <w:rPr>
          <w:rFonts w:ascii="Cambria" w:eastAsia="Georgia" w:hAnsi="Cambria" w:cs="Georgia"/>
          <w:noProof/>
        </w:rPr>
        <w:lastRenderedPageBreak/>
        <w:drawing>
          <wp:inline distT="0" distB="0" distL="0" distR="0" wp14:anchorId="48964491" wp14:editId="47D14C69">
            <wp:extent cx="5410200" cy="36830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10200" cy="3683000"/>
                    </a:xfrm>
                    <a:prstGeom prst="rect">
                      <a:avLst/>
                    </a:prstGeom>
                  </pic:spPr>
                </pic:pic>
              </a:graphicData>
            </a:graphic>
          </wp:inline>
        </w:drawing>
      </w:r>
    </w:p>
    <w:p w14:paraId="00675E2D" w14:textId="77777777" w:rsidR="00495A8D" w:rsidRPr="000E6098" w:rsidRDefault="00495A8D" w:rsidP="00495A8D">
      <w:pPr>
        <w:numPr>
          <w:ilvl w:val="12"/>
          <w:numId w:val="0"/>
        </w:numPr>
        <w:spacing w:line="480" w:lineRule="auto"/>
        <w:rPr>
          <w:rFonts w:ascii="Cambria" w:hAnsi="Cambria" w:cs="Times New Roman"/>
        </w:rPr>
      </w:pPr>
      <w:r>
        <w:rPr>
          <w:rFonts w:ascii="Cambria" w:hAnsi="Cambria" w:cs="Times New Roman"/>
        </w:rPr>
        <w:t xml:space="preserve">Figure 1.1. Political Cartoon </w:t>
      </w:r>
    </w:p>
    <w:p w14:paraId="3CF68937" w14:textId="0FFD3CB3" w:rsidR="004F08CE" w:rsidRPr="000E6098" w:rsidRDefault="00274E57" w:rsidP="004F08CE">
      <w:pPr>
        <w:numPr>
          <w:ilvl w:val="12"/>
          <w:numId w:val="0"/>
        </w:numPr>
        <w:spacing w:line="360" w:lineRule="auto"/>
        <w:rPr>
          <w:rFonts w:ascii="Cambria" w:hAnsi="Cambria" w:cs="Times New Roman"/>
        </w:rPr>
      </w:pPr>
      <w:r>
        <w:rPr>
          <w:rFonts w:ascii="Cambria" w:hAnsi="Cambria" w:cs="Times New Roman"/>
        </w:rPr>
        <w:t>Figure 1.1</w:t>
      </w:r>
      <w:r w:rsidR="007E4DC2">
        <w:rPr>
          <w:rFonts w:ascii="Cambria" w:hAnsi="Cambria" w:cs="Times New Roman"/>
        </w:rPr>
        <w:t>.</w:t>
      </w:r>
      <w:r>
        <w:rPr>
          <w:rFonts w:ascii="Cambria" w:hAnsi="Cambria" w:cs="Times New Roman"/>
        </w:rPr>
        <w:t xml:space="preserve"> depicts a political cartoon drawn by Etta Hulme and published in the Fort Worth Star Telegram in 1995. </w:t>
      </w:r>
      <w:r w:rsidR="000943AA">
        <w:rPr>
          <w:rFonts w:ascii="Cambria" w:hAnsi="Cambria" w:cs="Times New Roman"/>
        </w:rPr>
        <w:t>This</w:t>
      </w:r>
      <w:r>
        <w:rPr>
          <w:rFonts w:ascii="Cambria" w:hAnsi="Cambria" w:cs="Times New Roman"/>
        </w:rPr>
        <w:t xml:space="preserve"> cartoon </w:t>
      </w:r>
      <w:r w:rsidR="000943AA">
        <w:rPr>
          <w:rFonts w:ascii="Cambria" w:hAnsi="Cambria" w:cs="Times New Roman"/>
        </w:rPr>
        <w:t>throws into sharp relief the</w:t>
      </w:r>
      <w:r>
        <w:rPr>
          <w:rFonts w:ascii="Cambria" w:hAnsi="Cambria" w:cs="Times New Roman"/>
        </w:rPr>
        <w:t xml:space="preserve"> cultural politics of victimhood </w:t>
      </w:r>
      <w:r w:rsidR="000943AA">
        <w:rPr>
          <w:rFonts w:ascii="Cambria" w:hAnsi="Cambria" w:cs="Times New Roman"/>
        </w:rPr>
        <w:t>underlying</w:t>
      </w:r>
      <w:r>
        <w:rPr>
          <w:rFonts w:ascii="Cambria" w:hAnsi="Cambria" w:cs="Times New Roman"/>
        </w:rPr>
        <w:t xml:space="preserve"> Senator Jesse Helms’ willingness to proselytize the harms</w:t>
      </w:r>
      <w:r w:rsidR="000943AA">
        <w:rPr>
          <w:rFonts w:ascii="Cambria" w:hAnsi="Cambria" w:cs="Times New Roman"/>
        </w:rPr>
        <w:t xml:space="preserve"> associated</w:t>
      </w:r>
      <w:r>
        <w:rPr>
          <w:rFonts w:ascii="Cambria" w:hAnsi="Cambria" w:cs="Times New Roman"/>
        </w:rPr>
        <w:t xml:space="preserve"> </w:t>
      </w:r>
      <w:r w:rsidR="000943AA">
        <w:rPr>
          <w:rFonts w:ascii="Cambria" w:hAnsi="Cambria" w:cs="Times New Roman"/>
        </w:rPr>
        <w:t xml:space="preserve">with smoking through tobacco subsidies while fiercely refusing to finance AIDS programs. </w:t>
      </w:r>
    </w:p>
    <w:p w14:paraId="04BA966B" w14:textId="77777777" w:rsidR="00274E57" w:rsidRDefault="00274E57" w:rsidP="000943AA">
      <w:pPr>
        <w:numPr>
          <w:ilvl w:val="12"/>
          <w:numId w:val="0"/>
        </w:numPr>
        <w:spacing w:line="480" w:lineRule="auto"/>
        <w:rPr>
          <w:rFonts w:ascii="Cambria" w:hAnsi="Cambria" w:cs="Times New Roman"/>
        </w:rPr>
      </w:pPr>
    </w:p>
    <w:p w14:paraId="7DD0458F" w14:textId="77777777" w:rsidR="000943AA" w:rsidRDefault="000943AA" w:rsidP="000943AA">
      <w:pPr>
        <w:numPr>
          <w:ilvl w:val="12"/>
          <w:numId w:val="0"/>
        </w:numPr>
        <w:spacing w:line="480" w:lineRule="auto"/>
        <w:rPr>
          <w:rFonts w:ascii="Cambria" w:hAnsi="Cambria" w:cs="Times New Roman"/>
        </w:rPr>
      </w:pPr>
    </w:p>
    <w:p w14:paraId="17AAD149" w14:textId="77777777" w:rsidR="00274E57" w:rsidRDefault="00274E57" w:rsidP="00864248">
      <w:pPr>
        <w:numPr>
          <w:ilvl w:val="12"/>
          <w:numId w:val="0"/>
        </w:numPr>
        <w:spacing w:line="480" w:lineRule="auto"/>
        <w:ind w:firstLine="720"/>
        <w:rPr>
          <w:rFonts w:ascii="Cambria" w:hAnsi="Cambria" w:cs="Times New Roman"/>
        </w:rPr>
      </w:pPr>
    </w:p>
    <w:p w14:paraId="174382D8" w14:textId="77777777" w:rsidR="00274E57" w:rsidRDefault="00274E57" w:rsidP="00864248">
      <w:pPr>
        <w:numPr>
          <w:ilvl w:val="12"/>
          <w:numId w:val="0"/>
        </w:numPr>
        <w:spacing w:line="480" w:lineRule="auto"/>
        <w:ind w:firstLine="720"/>
        <w:rPr>
          <w:rFonts w:ascii="Cambria" w:hAnsi="Cambria" w:cs="Times New Roman"/>
        </w:rPr>
      </w:pPr>
    </w:p>
    <w:p w14:paraId="44F74A3D" w14:textId="77777777" w:rsidR="00274E57" w:rsidRDefault="00274E57" w:rsidP="00864248">
      <w:pPr>
        <w:numPr>
          <w:ilvl w:val="12"/>
          <w:numId w:val="0"/>
        </w:numPr>
        <w:spacing w:line="480" w:lineRule="auto"/>
        <w:ind w:firstLine="720"/>
        <w:rPr>
          <w:rFonts w:ascii="Cambria" w:hAnsi="Cambria" w:cs="Times New Roman"/>
        </w:rPr>
      </w:pPr>
    </w:p>
    <w:p w14:paraId="745A3ADB" w14:textId="77777777" w:rsidR="002131BE" w:rsidRDefault="002131BE" w:rsidP="000943AA">
      <w:pPr>
        <w:numPr>
          <w:ilvl w:val="12"/>
          <w:numId w:val="0"/>
        </w:numPr>
        <w:spacing w:line="480" w:lineRule="auto"/>
        <w:ind w:firstLine="720"/>
        <w:rPr>
          <w:rFonts w:ascii="Cambria" w:hAnsi="Cambria" w:cs="Times New Roman"/>
        </w:rPr>
      </w:pPr>
    </w:p>
    <w:p w14:paraId="1B04A8A3" w14:textId="3AA55929" w:rsidR="000943AA" w:rsidRPr="000E6098" w:rsidRDefault="00864248" w:rsidP="000943AA">
      <w:pPr>
        <w:numPr>
          <w:ilvl w:val="12"/>
          <w:numId w:val="0"/>
        </w:numPr>
        <w:spacing w:line="480" w:lineRule="auto"/>
        <w:ind w:firstLine="720"/>
        <w:rPr>
          <w:rFonts w:ascii="Cambria" w:hAnsi="Cambria" w:cs="Times New Roman"/>
        </w:rPr>
      </w:pPr>
      <w:r w:rsidRPr="000E6098">
        <w:rPr>
          <w:rFonts w:ascii="Cambria" w:hAnsi="Cambria" w:cs="Times New Roman"/>
        </w:rPr>
        <w:lastRenderedPageBreak/>
        <w:t>Remaining intact throughout the presidencies of George Bush Sr., George W. Bush, and Bill Clinton, it was not until late December 2009, under the Administration of President Barack Obama, that Democratic legislators were able to successfully repeal it as part of their national HIV/AIDS strategy by “sneaking” it into the appropriations bill during eleventh-hour budget negotiations (</w:t>
      </w:r>
      <w:proofErr w:type="spellStart"/>
      <w:r w:rsidRPr="000E6098">
        <w:rPr>
          <w:rFonts w:ascii="Cambria" w:hAnsi="Cambria" w:cs="Times New Roman"/>
        </w:rPr>
        <w:t>Egelko</w:t>
      </w:r>
      <w:proofErr w:type="spellEnd"/>
      <w:r w:rsidRPr="000E6098">
        <w:rPr>
          <w:rFonts w:ascii="Cambria" w:hAnsi="Cambria" w:cs="Times New Roman"/>
        </w:rPr>
        <w:t xml:space="preserve">, 2009: </w:t>
      </w:r>
      <w:proofErr w:type="spellStart"/>
      <w:r w:rsidRPr="000E6098">
        <w:rPr>
          <w:rFonts w:ascii="Cambria" w:hAnsi="Cambria" w:cs="Times New Roman"/>
        </w:rPr>
        <w:t>n.p</w:t>
      </w:r>
      <w:proofErr w:type="spellEnd"/>
      <w:r w:rsidRPr="000E6098">
        <w:rPr>
          <w:rFonts w:ascii="Cambria" w:hAnsi="Cambria" w:cs="Times New Roman"/>
        </w:rPr>
        <w:t>.). However, once Republicans regained control of the House in 2011, they used the same method to quickly reinstate the ban. And it would remain in place until late December 2015 when, to the surprise of many, they would spearhead its partial repeal</w:t>
      </w:r>
      <w:r w:rsidR="000943AA">
        <w:rPr>
          <w:rFonts w:ascii="Cambria" w:hAnsi="Cambria" w:cs="Times New Roman"/>
        </w:rPr>
        <w:t>.</w:t>
      </w:r>
    </w:p>
    <w:p w14:paraId="6F76984B" w14:textId="7478CC9D" w:rsidR="004F08CE" w:rsidRPr="007E4DC2" w:rsidRDefault="00864248" w:rsidP="00C3290E">
      <w:pPr>
        <w:pStyle w:val="Heading3"/>
      </w:pPr>
      <w:bookmarkStart w:id="4" w:name="_Toc133884498"/>
      <w:r w:rsidRPr="007E4DC2">
        <w:t>Conjunctural Questions</w:t>
      </w:r>
      <w:bookmarkEnd w:id="4"/>
    </w:p>
    <w:p w14:paraId="1831E28C" w14:textId="793C1E29" w:rsidR="000E6098" w:rsidRPr="000E6098" w:rsidRDefault="00864248" w:rsidP="000943AA">
      <w:pPr>
        <w:numPr>
          <w:ilvl w:val="12"/>
          <w:numId w:val="0"/>
        </w:numPr>
        <w:spacing w:line="480" w:lineRule="auto"/>
        <w:ind w:firstLine="720"/>
        <w:rPr>
          <w:rFonts w:ascii="Cambria" w:hAnsi="Cambria" w:cs="Times New Roman"/>
        </w:rPr>
      </w:pPr>
      <w:r w:rsidRPr="000E6098">
        <w:rPr>
          <w:rFonts w:ascii="Cambria" w:hAnsi="Cambria" w:cs="Times New Roman"/>
        </w:rPr>
        <w:t>This dissertation will engage a key issue of contemporary debate: The incorporation of harm reduction (HR) programs, such as NEPs, into the ongoing war on drugs. Engaging a conjunctural approach, which has historically operated in the work of scholars like Stuart Hall, Doreen Massey, and Lawrence Grossberg to “define the scale and scope of activist political analysis,” my primary aim is to trace public health-based HR programs to their roots within radical, non-carceral practice(s) of mutual aid in order to illuminate how they are being rearticulated within the contemporary historical moment as a form of state violence (Grayson &amp; Little, 2016: 63). Specifically, I will focus on how the core values and philosophy of HR is being violently reconfigured by the state to “resolve” the structural contradictions that the opioid crisis has exposed from what politicians, journalists, scholars, and medical experts alike have referred to as “ground zero,” Southern Appalachia. Arguing that the state’s use of HR mutes its radical potential, I seek to lay out these contradictions in an effort to point towards a future otherwise: One grounded in radical care and abolitionist freedom-making practices.</w:t>
      </w:r>
    </w:p>
    <w:p w14:paraId="37A0E082" w14:textId="19208F63" w:rsidR="004F08CE" w:rsidRPr="007E4DC2" w:rsidRDefault="00864248" w:rsidP="00C3290E">
      <w:pPr>
        <w:pStyle w:val="Heading3"/>
      </w:pPr>
      <w:bookmarkStart w:id="5" w:name="_Toc133884499"/>
      <w:r w:rsidRPr="007E4DC2">
        <w:lastRenderedPageBreak/>
        <w:t>The New “Champions” of Needle-Exchange?</w:t>
      </w:r>
      <w:bookmarkEnd w:id="5"/>
    </w:p>
    <w:p w14:paraId="7288A03F" w14:textId="2F24E95D" w:rsidR="000943AA" w:rsidRDefault="00864248" w:rsidP="002131BE">
      <w:pPr>
        <w:numPr>
          <w:ilvl w:val="12"/>
          <w:numId w:val="0"/>
        </w:numPr>
        <w:spacing w:line="480" w:lineRule="auto"/>
        <w:ind w:firstLine="720"/>
        <w:rPr>
          <w:rFonts w:ascii="Cambria" w:hAnsi="Cambria" w:cs="Times New Roman"/>
        </w:rPr>
      </w:pPr>
      <w:r w:rsidRPr="000E6098">
        <w:rPr>
          <w:rFonts w:ascii="Cambria" w:hAnsi="Cambria" w:cs="Times New Roman"/>
        </w:rPr>
        <w:t xml:space="preserve">Introduced by Republican legislators Senate Majority Leader Mitch McConnell (R-KY), (then) Head of the House Appropriations Committee Congressman Harold (Hal) Rogers (R-KY), and Congresswoman Shelly Moore Capito (R-WV), the 2015 repeal of the NEP ban actually came as less of a shock than one might imagine. Despite their longtime opposition to NEPs, their decision followed in the wake of a 2015 outbreak of HIV among intravenous drug users (IDUs) in rural Scott County, Indiana. After 181 people who either lived and/or injected drugs in the county tested positive for HIV between November of 2014 and August of 2015, “staunchly conservative” (former) Governor Mike Pence had been forced to implement what he referred to an NEP to stem the outbreak (Peters et al., 2016: </w:t>
      </w:r>
      <w:proofErr w:type="spellStart"/>
      <w:r w:rsidRPr="000E6098">
        <w:rPr>
          <w:rFonts w:ascii="Cambria" w:hAnsi="Cambria" w:cs="Times New Roman"/>
        </w:rPr>
        <w:t>n.p</w:t>
      </w:r>
      <w:proofErr w:type="spellEnd"/>
      <w:r w:rsidRPr="000E6098">
        <w:rPr>
          <w:rFonts w:ascii="Cambria" w:hAnsi="Cambria" w:cs="Times New Roman"/>
        </w:rPr>
        <w:t xml:space="preserve">.; Schwarz &amp; Smith, 2015: </w:t>
      </w:r>
      <w:proofErr w:type="spellStart"/>
      <w:r w:rsidRPr="000E6098">
        <w:rPr>
          <w:rFonts w:ascii="Cambria" w:hAnsi="Cambria" w:cs="Times New Roman"/>
        </w:rPr>
        <w:t>n.p</w:t>
      </w:r>
      <w:proofErr w:type="spellEnd"/>
      <w:r w:rsidRPr="000E6098">
        <w:rPr>
          <w:rFonts w:ascii="Cambria" w:hAnsi="Cambria" w:cs="Times New Roman"/>
        </w:rPr>
        <w:t xml:space="preserve">.; </w:t>
      </w:r>
      <w:proofErr w:type="spellStart"/>
      <w:r w:rsidRPr="000E6098">
        <w:rPr>
          <w:rFonts w:ascii="Cambria" w:hAnsi="Cambria" w:cs="Times New Roman"/>
        </w:rPr>
        <w:t>Demko</w:t>
      </w:r>
      <w:proofErr w:type="spellEnd"/>
      <w:r w:rsidRPr="000E6098">
        <w:rPr>
          <w:rFonts w:ascii="Cambria" w:hAnsi="Cambria" w:cs="Times New Roman"/>
        </w:rPr>
        <w:t xml:space="preserve">, 2016: </w:t>
      </w:r>
      <w:proofErr w:type="spellStart"/>
      <w:r w:rsidRPr="000E6098">
        <w:rPr>
          <w:rFonts w:ascii="Cambria" w:hAnsi="Cambria" w:cs="Times New Roman"/>
        </w:rPr>
        <w:t>n.p</w:t>
      </w:r>
      <w:proofErr w:type="spellEnd"/>
      <w:r w:rsidRPr="000E6098">
        <w:rPr>
          <w:rFonts w:ascii="Cambria" w:hAnsi="Cambria" w:cs="Times New Roman"/>
        </w:rPr>
        <w:t>.</w:t>
      </w:r>
      <w:r w:rsidR="007E4DC2">
        <w:rPr>
          <w:rFonts w:ascii="Cambria" w:hAnsi="Cambria" w:cs="Times New Roman"/>
        </w:rPr>
        <w:t>; see Figure 1.2.</w:t>
      </w:r>
      <w:r w:rsidRPr="000E6098">
        <w:rPr>
          <w:rFonts w:ascii="Cambria" w:hAnsi="Cambria" w:cs="Times New Roman"/>
        </w:rPr>
        <w:t xml:space="preserve">). Pence was initially reluctant to lift the NEP ban and “waited more than two months” before, after some “arm-twisting” from local physician Dr. Will Cooke, national public health authorities, the police, and some prayers, he finally agreed to allow a short-term, 30-day exchange when the outbreak was traced back to the intravenous use of a liquified form of the opioid antagonist </w:t>
      </w:r>
      <w:proofErr w:type="spellStart"/>
      <w:r w:rsidRPr="000E6098">
        <w:rPr>
          <w:rFonts w:ascii="Cambria" w:hAnsi="Cambria" w:cs="Times New Roman"/>
        </w:rPr>
        <w:t>oxymorphone</w:t>
      </w:r>
      <w:proofErr w:type="spellEnd"/>
      <w:r w:rsidRPr="000E6098">
        <w:rPr>
          <w:rFonts w:ascii="Cambria" w:hAnsi="Cambria" w:cs="Times New Roman"/>
        </w:rPr>
        <w:t xml:space="preserve"> or </w:t>
      </w:r>
      <w:proofErr w:type="spellStart"/>
      <w:r w:rsidRPr="000E6098">
        <w:rPr>
          <w:rFonts w:ascii="Cambria" w:hAnsi="Cambria" w:cs="Times New Roman"/>
        </w:rPr>
        <w:t>Opana</w:t>
      </w:r>
      <w:proofErr w:type="spellEnd"/>
      <w:r w:rsidRPr="000E6098">
        <w:rPr>
          <w:rFonts w:ascii="Cambria" w:hAnsi="Cambria" w:cs="Times New Roman"/>
        </w:rPr>
        <w:t xml:space="preserve"> (</w:t>
      </w:r>
      <w:proofErr w:type="spellStart"/>
      <w:r w:rsidRPr="000E6098">
        <w:rPr>
          <w:rFonts w:ascii="Cambria" w:hAnsi="Cambria" w:cs="Times New Roman"/>
        </w:rPr>
        <w:t>Demki</w:t>
      </w:r>
      <w:proofErr w:type="spellEnd"/>
      <w:r w:rsidRPr="000E6098">
        <w:rPr>
          <w:rFonts w:ascii="Cambria" w:hAnsi="Cambria" w:cs="Times New Roman"/>
        </w:rPr>
        <w:t xml:space="preserve">, 2016: </w:t>
      </w:r>
      <w:proofErr w:type="spellStart"/>
      <w:r w:rsidRPr="000E6098">
        <w:rPr>
          <w:rFonts w:ascii="Cambria" w:hAnsi="Cambria" w:cs="Times New Roman"/>
        </w:rPr>
        <w:t>n.p</w:t>
      </w:r>
      <w:proofErr w:type="spellEnd"/>
      <w:r w:rsidRPr="000E6098">
        <w:rPr>
          <w:rFonts w:ascii="Cambria" w:hAnsi="Cambria" w:cs="Times New Roman"/>
        </w:rPr>
        <w:t xml:space="preserve">.; Rich &amp; </w:t>
      </w:r>
      <w:proofErr w:type="spellStart"/>
      <w:r w:rsidRPr="000E6098">
        <w:rPr>
          <w:rFonts w:ascii="Cambria" w:hAnsi="Cambria" w:cs="Times New Roman"/>
        </w:rPr>
        <w:t>Adashi</w:t>
      </w:r>
      <w:proofErr w:type="spellEnd"/>
      <w:r w:rsidRPr="000E6098">
        <w:rPr>
          <w:rFonts w:ascii="Cambria" w:hAnsi="Cambria" w:cs="Times New Roman"/>
        </w:rPr>
        <w:t>, 2015: 23).</w:t>
      </w:r>
    </w:p>
    <w:p w14:paraId="5DC0BDB1" w14:textId="77777777" w:rsidR="000943AA" w:rsidRDefault="000943AA" w:rsidP="000943AA">
      <w:pPr>
        <w:numPr>
          <w:ilvl w:val="12"/>
          <w:numId w:val="0"/>
        </w:numPr>
        <w:spacing w:line="480" w:lineRule="auto"/>
        <w:rPr>
          <w:rFonts w:ascii="Cambria" w:hAnsi="Cambria" w:cs="Times New Roman"/>
        </w:rPr>
      </w:pPr>
    </w:p>
    <w:p w14:paraId="694C9196" w14:textId="1314B0E9" w:rsidR="000943AA" w:rsidRDefault="00864248" w:rsidP="000943AA">
      <w:pPr>
        <w:numPr>
          <w:ilvl w:val="12"/>
          <w:numId w:val="0"/>
        </w:numPr>
        <w:spacing w:line="360" w:lineRule="auto"/>
        <w:jc w:val="center"/>
        <w:rPr>
          <w:rFonts w:ascii="Cambria" w:hAnsi="Cambria" w:cs="Times New Roman"/>
        </w:rPr>
      </w:pPr>
      <w:r w:rsidRPr="000E6098">
        <w:rPr>
          <w:rFonts w:ascii="Cambria" w:eastAsia="Georgia" w:hAnsi="Cambria" w:cs="Georgia"/>
          <w:noProof/>
        </w:rPr>
        <w:lastRenderedPageBreak/>
        <w:drawing>
          <wp:inline distT="0" distB="0" distL="0" distR="0" wp14:anchorId="5A14D416" wp14:editId="5A6E523E">
            <wp:extent cx="5736087" cy="3565003"/>
            <wp:effectExtent l="0" t="0" r="4445" b="3810"/>
            <wp:docPr id="5" name="Picture 5"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and ti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91235" cy="3661428"/>
                    </a:xfrm>
                    <a:prstGeom prst="rect">
                      <a:avLst/>
                    </a:prstGeom>
                  </pic:spPr>
                </pic:pic>
              </a:graphicData>
            </a:graphic>
          </wp:inline>
        </w:drawing>
      </w:r>
    </w:p>
    <w:p w14:paraId="0968ACDC" w14:textId="77777777" w:rsidR="00495A8D" w:rsidRPr="000E6098" w:rsidRDefault="00495A8D" w:rsidP="00495A8D">
      <w:pPr>
        <w:numPr>
          <w:ilvl w:val="12"/>
          <w:numId w:val="0"/>
        </w:numPr>
        <w:spacing w:line="480" w:lineRule="auto"/>
        <w:rPr>
          <w:rFonts w:ascii="Cambria" w:hAnsi="Cambria" w:cs="Times New Roman"/>
        </w:rPr>
      </w:pPr>
      <w:r>
        <w:rPr>
          <w:rFonts w:ascii="Cambria" w:hAnsi="Cambria" w:cs="Times New Roman"/>
        </w:rPr>
        <w:t>Figure 1.2. Indiana Governor Mike Pence</w:t>
      </w:r>
    </w:p>
    <w:p w14:paraId="1FF4366F" w14:textId="063084FD" w:rsidR="000943AA" w:rsidRDefault="000943AA" w:rsidP="000943AA">
      <w:pPr>
        <w:numPr>
          <w:ilvl w:val="12"/>
          <w:numId w:val="0"/>
        </w:numPr>
        <w:spacing w:line="360" w:lineRule="auto"/>
        <w:rPr>
          <w:rFonts w:ascii="Cambria" w:hAnsi="Cambria" w:cs="Times New Roman"/>
        </w:rPr>
      </w:pPr>
      <w:r>
        <w:rPr>
          <w:rFonts w:ascii="Cambria" w:hAnsi="Cambria" w:cs="Times New Roman"/>
        </w:rPr>
        <w:t>Figure 1.2</w:t>
      </w:r>
      <w:r w:rsidR="007E4DC2">
        <w:rPr>
          <w:rFonts w:ascii="Cambria" w:hAnsi="Cambria" w:cs="Times New Roman"/>
        </w:rPr>
        <w:t>.</w:t>
      </w:r>
      <w:r>
        <w:rPr>
          <w:rFonts w:ascii="Cambria" w:hAnsi="Cambria" w:cs="Times New Roman"/>
        </w:rPr>
        <w:t xml:space="preserve"> depicts former Indiana Governor Mike Pence at a news conference on March 26, </w:t>
      </w:r>
      <w:r w:rsidR="007E4DC2">
        <w:rPr>
          <w:rFonts w:ascii="Cambria" w:hAnsi="Cambria" w:cs="Times New Roman"/>
        </w:rPr>
        <w:t>2015, declaring</w:t>
      </w:r>
      <w:r>
        <w:rPr>
          <w:rFonts w:ascii="Cambria" w:hAnsi="Cambria" w:cs="Times New Roman"/>
        </w:rPr>
        <w:t xml:space="preserve"> the Scott Country HIV “outbreak” a public health emergency and approv</w:t>
      </w:r>
      <w:r w:rsidR="007E4DC2">
        <w:rPr>
          <w:rFonts w:ascii="Cambria" w:hAnsi="Cambria" w:cs="Times New Roman"/>
        </w:rPr>
        <w:t>ing</w:t>
      </w:r>
      <w:r>
        <w:rPr>
          <w:rFonts w:ascii="Cambria" w:hAnsi="Cambria" w:cs="Times New Roman"/>
        </w:rPr>
        <w:t xml:space="preserve"> the implementation of a short-term needle-exchange program (NEP). </w:t>
      </w:r>
    </w:p>
    <w:p w14:paraId="1EA50596" w14:textId="77777777" w:rsidR="000943AA" w:rsidRDefault="000943AA" w:rsidP="000E6098">
      <w:pPr>
        <w:numPr>
          <w:ilvl w:val="12"/>
          <w:numId w:val="0"/>
        </w:numPr>
        <w:spacing w:line="480" w:lineRule="auto"/>
        <w:ind w:firstLine="720"/>
        <w:rPr>
          <w:rFonts w:ascii="Cambria" w:hAnsi="Cambria" w:cs="Times New Roman"/>
        </w:rPr>
      </w:pPr>
    </w:p>
    <w:p w14:paraId="53EE27F5" w14:textId="77777777" w:rsidR="000943AA" w:rsidRDefault="000943AA" w:rsidP="000E6098">
      <w:pPr>
        <w:numPr>
          <w:ilvl w:val="12"/>
          <w:numId w:val="0"/>
        </w:numPr>
        <w:spacing w:line="480" w:lineRule="auto"/>
        <w:ind w:firstLine="720"/>
        <w:rPr>
          <w:rFonts w:ascii="Cambria" w:hAnsi="Cambria" w:cs="Times New Roman"/>
        </w:rPr>
      </w:pPr>
    </w:p>
    <w:p w14:paraId="292B0115" w14:textId="77777777" w:rsidR="000943AA" w:rsidRDefault="000943AA" w:rsidP="000E6098">
      <w:pPr>
        <w:numPr>
          <w:ilvl w:val="12"/>
          <w:numId w:val="0"/>
        </w:numPr>
        <w:spacing w:line="480" w:lineRule="auto"/>
        <w:ind w:firstLine="720"/>
        <w:rPr>
          <w:rFonts w:ascii="Cambria" w:hAnsi="Cambria" w:cs="Times New Roman"/>
        </w:rPr>
      </w:pPr>
    </w:p>
    <w:p w14:paraId="2DACD324" w14:textId="77777777" w:rsidR="000943AA" w:rsidRDefault="000943AA" w:rsidP="007E4DC2">
      <w:pPr>
        <w:numPr>
          <w:ilvl w:val="12"/>
          <w:numId w:val="0"/>
        </w:numPr>
        <w:spacing w:line="480" w:lineRule="auto"/>
        <w:rPr>
          <w:rFonts w:ascii="Cambria" w:hAnsi="Cambria" w:cs="Times New Roman"/>
        </w:rPr>
      </w:pPr>
    </w:p>
    <w:p w14:paraId="299D6887" w14:textId="77777777" w:rsidR="007E4DC2" w:rsidRDefault="007E4DC2" w:rsidP="007E4DC2">
      <w:pPr>
        <w:numPr>
          <w:ilvl w:val="12"/>
          <w:numId w:val="0"/>
        </w:numPr>
        <w:spacing w:line="480" w:lineRule="auto"/>
        <w:rPr>
          <w:rFonts w:ascii="Cambria" w:hAnsi="Cambria" w:cs="Times New Roman"/>
        </w:rPr>
      </w:pPr>
    </w:p>
    <w:p w14:paraId="038F2750" w14:textId="77777777" w:rsidR="000943AA" w:rsidRDefault="000943AA" w:rsidP="000E6098">
      <w:pPr>
        <w:numPr>
          <w:ilvl w:val="12"/>
          <w:numId w:val="0"/>
        </w:numPr>
        <w:spacing w:line="480" w:lineRule="auto"/>
        <w:ind w:firstLine="720"/>
        <w:rPr>
          <w:rFonts w:ascii="Cambria" w:hAnsi="Cambria" w:cs="Times New Roman"/>
        </w:rPr>
      </w:pPr>
    </w:p>
    <w:p w14:paraId="2F08AA39" w14:textId="77777777" w:rsidR="000943AA" w:rsidRDefault="000943AA" w:rsidP="000E6098">
      <w:pPr>
        <w:numPr>
          <w:ilvl w:val="12"/>
          <w:numId w:val="0"/>
        </w:numPr>
        <w:spacing w:line="480" w:lineRule="auto"/>
        <w:ind w:firstLine="720"/>
        <w:rPr>
          <w:rFonts w:ascii="Cambria" w:hAnsi="Cambria" w:cs="Times New Roman"/>
        </w:rPr>
      </w:pPr>
    </w:p>
    <w:p w14:paraId="395D0B6A" w14:textId="25E3CBA8" w:rsidR="00864248" w:rsidRPr="000E6098" w:rsidRDefault="00864248" w:rsidP="000E6098">
      <w:pPr>
        <w:numPr>
          <w:ilvl w:val="12"/>
          <w:numId w:val="0"/>
        </w:numPr>
        <w:spacing w:line="480" w:lineRule="auto"/>
        <w:ind w:firstLine="720"/>
        <w:rPr>
          <w:rFonts w:ascii="Cambria" w:hAnsi="Cambria" w:cs="Times New Roman"/>
        </w:rPr>
      </w:pPr>
      <w:r w:rsidRPr="000E6098">
        <w:rPr>
          <w:rFonts w:ascii="Cambria" w:hAnsi="Cambria" w:cs="Times New Roman"/>
        </w:rPr>
        <w:t xml:space="preserve">As cases continued to mount and the amnesty came to its end, Pence was so disagreeable over the NEP that, in the words of Representative Patrick Bauer (D-IN), he </w:t>
      </w:r>
      <w:r w:rsidRPr="000E6098">
        <w:rPr>
          <w:rFonts w:ascii="Cambria" w:hAnsi="Cambria" w:cs="Times New Roman"/>
        </w:rPr>
        <w:lastRenderedPageBreak/>
        <w:t xml:space="preserve">had to be “dragged, kicking and screaming” into signing legislation that would indefinitely although partially lift the ban state-wide (Peters et al., 2016: 229; </w:t>
      </w:r>
      <w:proofErr w:type="spellStart"/>
      <w:r w:rsidRPr="000E6098">
        <w:rPr>
          <w:rFonts w:ascii="Cambria" w:hAnsi="Cambria" w:cs="Times New Roman"/>
        </w:rPr>
        <w:t>Demko</w:t>
      </w:r>
      <w:proofErr w:type="spellEnd"/>
      <w:r w:rsidRPr="000E6098">
        <w:rPr>
          <w:rFonts w:ascii="Cambria" w:hAnsi="Cambria" w:cs="Times New Roman"/>
        </w:rPr>
        <w:t xml:space="preserve">, 2016: </w:t>
      </w:r>
      <w:proofErr w:type="spellStart"/>
      <w:r w:rsidRPr="000E6098">
        <w:rPr>
          <w:rFonts w:ascii="Cambria" w:hAnsi="Cambria" w:cs="Times New Roman"/>
        </w:rPr>
        <w:t>n.p</w:t>
      </w:r>
      <w:proofErr w:type="spellEnd"/>
      <w:r w:rsidRPr="000E6098">
        <w:rPr>
          <w:rFonts w:ascii="Cambria" w:hAnsi="Cambria" w:cs="Times New Roman"/>
        </w:rPr>
        <w:t xml:space="preserve">.; Knight, 2019: </w:t>
      </w:r>
      <w:proofErr w:type="spellStart"/>
      <w:r w:rsidRPr="000E6098">
        <w:rPr>
          <w:rFonts w:ascii="Cambria" w:hAnsi="Cambria" w:cs="Times New Roman"/>
        </w:rPr>
        <w:t>n.p</w:t>
      </w:r>
      <w:proofErr w:type="spellEnd"/>
      <w:r w:rsidRPr="000E6098">
        <w:rPr>
          <w:rFonts w:ascii="Cambria" w:hAnsi="Cambria" w:cs="Times New Roman"/>
        </w:rPr>
        <w:t xml:space="preserve">.). Notwithstanding Pence’s “feet dragging,” the NEP was effective, and the legislation had a “ripple effect” (Knight, 2019: </w:t>
      </w:r>
      <w:proofErr w:type="spellStart"/>
      <w:r w:rsidRPr="000E6098">
        <w:rPr>
          <w:rFonts w:ascii="Cambria" w:hAnsi="Cambria" w:cs="Times New Roman"/>
        </w:rPr>
        <w:t>n.p</w:t>
      </w:r>
      <w:proofErr w:type="spellEnd"/>
      <w:r w:rsidRPr="000E6098">
        <w:rPr>
          <w:rFonts w:ascii="Cambria" w:hAnsi="Cambria" w:cs="Times New Roman"/>
        </w:rPr>
        <w:t xml:space="preserve">.) Similarly facing rising rates of HIV among IDUs and leading the nation in viral hepatitis C (HCV) infections, Kentucky state legislators quickly followed suit, passing a 2015 “anti-heroin” bill that would again partially lift the NEP ban state-wide (Altman, 2015: </w:t>
      </w:r>
      <w:proofErr w:type="spellStart"/>
      <w:r w:rsidRPr="000E6098">
        <w:rPr>
          <w:rFonts w:ascii="Cambria" w:hAnsi="Cambria" w:cs="Times New Roman"/>
        </w:rPr>
        <w:t>n.p</w:t>
      </w:r>
      <w:proofErr w:type="spellEnd"/>
      <w:r w:rsidRPr="000E6098">
        <w:rPr>
          <w:rFonts w:ascii="Cambria" w:hAnsi="Cambria" w:cs="Times New Roman"/>
        </w:rPr>
        <w:t xml:space="preserve">.). Although incorporated into the bill as an “emergency clause” to ensure the repeal would be effective immediately, legislators admonished the use of NEPs as an “anti-drug policy,” stating that they were considered a public health-based response to the opioid crisis intended to “stem the spread of [infectious disease from intravenous drug use] and get heroin users into treatment” (Schreiner, 2015: </w:t>
      </w:r>
      <w:proofErr w:type="spellStart"/>
      <w:r w:rsidRPr="000E6098">
        <w:rPr>
          <w:rFonts w:ascii="Cambria" w:hAnsi="Cambria" w:cs="Times New Roman"/>
        </w:rPr>
        <w:t>n.p</w:t>
      </w:r>
      <w:proofErr w:type="spellEnd"/>
      <w:r w:rsidRPr="000E6098">
        <w:rPr>
          <w:rFonts w:ascii="Cambria" w:hAnsi="Cambria" w:cs="Times New Roman"/>
        </w:rPr>
        <w:t xml:space="preserve">.: italics added). The amnesty on the NEP ban was thus combined with a toughening of sentences for “high-volume [drug] dealers” as well as a broadening of “judicial discretion” to decide if so-called “low-level traffickers” should be imprisoned and/or mandated to attend a substance abuse treatment program (Patrick, 2015). </w:t>
      </w:r>
    </w:p>
    <w:p w14:paraId="1A3DCD9F" w14:textId="5383A4BA" w:rsidR="009E3A5A" w:rsidRPr="007E4DC2" w:rsidRDefault="009E3A5A" w:rsidP="00C3290E">
      <w:pPr>
        <w:pStyle w:val="Heading3"/>
      </w:pPr>
      <w:bookmarkStart w:id="6" w:name="_Toc133884500"/>
      <w:r w:rsidRPr="007E4DC2">
        <w:t>Care and Containment</w:t>
      </w:r>
      <w:bookmarkEnd w:id="6"/>
    </w:p>
    <w:p w14:paraId="4B37208E" w14:textId="77777777" w:rsidR="00864248" w:rsidRPr="000E6098" w:rsidRDefault="00864248" w:rsidP="00864248">
      <w:pPr>
        <w:spacing w:line="480" w:lineRule="auto"/>
        <w:ind w:firstLine="720"/>
        <w:rPr>
          <w:rFonts w:ascii="Cambria" w:hAnsi="Cambria" w:cs="Times New Roman"/>
        </w:rPr>
      </w:pPr>
      <w:r w:rsidRPr="000E6098">
        <w:rPr>
          <w:rFonts w:ascii="Cambria" w:hAnsi="Cambria" w:cs="Times New Roman"/>
        </w:rPr>
        <w:t xml:space="preserve">Rather than wrought by benevolence, McConnell, Rogers, and Capito’s repeal of the NEP ban was borne of a need for federal funding to support infectious disease control in otherwise destitute Appalachian counties in Kentucky and West Virginia. Their inaction as rates of viral hepatitis C (HCV) and HIV infections as well as drug-related overdose deaths continued to rise had begun to draw ire from their constituents. In Somerset, Kentucky, for example, activists angered by Hal Rogers (R-KY) decision to spearhead the ban’s 2011 reinstatement had joined forces with demonstrators in Washington DC to simultaneously </w:t>
      </w:r>
      <w:r w:rsidRPr="000E6098">
        <w:rPr>
          <w:rFonts w:ascii="Cambria" w:hAnsi="Cambria" w:cs="Times New Roman"/>
        </w:rPr>
        <w:lastRenderedPageBreak/>
        <w:t xml:space="preserve">occupy his congressional and personal offices in a 2012 bid to pressure legislators into repealing it once again (Graves, 2012: </w:t>
      </w:r>
      <w:proofErr w:type="spellStart"/>
      <w:r w:rsidRPr="000E6098">
        <w:rPr>
          <w:rFonts w:ascii="Cambria" w:hAnsi="Cambria" w:cs="Times New Roman"/>
        </w:rPr>
        <w:t>n.p</w:t>
      </w:r>
      <w:proofErr w:type="spellEnd"/>
      <w:r w:rsidRPr="000E6098">
        <w:rPr>
          <w:rFonts w:ascii="Cambria" w:hAnsi="Cambria" w:cs="Times New Roman"/>
        </w:rPr>
        <w:t xml:space="preserve">.). Although the action proved ineffectual at the time, fear that Kentucky counties with high rates of viral hepatitis C (HCV) infection and a striking resemblance to Scott County, Indiana could face a similar HIV outbreak forged once improbable alliances between activists, community-based organizations, substance abuse treatment providers, public health officials, state, local, and federal authorities in support of the ban’s repeal. </w:t>
      </w:r>
    </w:p>
    <w:p w14:paraId="09555EC3" w14:textId="16BFD44E" w:rsidR="000E6098" w:rsidRPr="000E6098" w:rsidRDefault="00864248" w:rsidP="007E4DC2">
      <w:pPr>
        <w:spacing w:line="480" w:lineRule="auto"/>
        <w:ind w:firstLine="720"/>
        <w:rPr>
          <w:rFonts w:ascii="Cambria" w:hAnsi="Cambria" w:cs="Times New Roman"/>
        </w:rPr>
      </w:pPr>
      <w:r w:rsidRPr="000E6098">
        <w:rPr>
          <w:rFonts w:ascii="Cambria" w:hAnsi="Cambria" w:cs="Times New Roman"/>
        </w:rPr>
        <w:t xml:space="preserve">Thus, despite there being a great deal of geographic variation in the opioid crisis at the national level, with rates of drug-related overdose deaths in New England and the Rust Belt rivalling those in Appalachia at certain points, it was ultimately the fear of the transmission of infectious diseases among IDUs in Appalachia, and specifically, Southern Appalachia, that precipitated federal shifts towards the incorporation of NEPs into public health policy (CDC, 2022). With rates of viral hepatitis C (HCV) infection more than tripling in Appalachian counties throughout Kentucky, Tennessee, West Virginia, and Virginia between 2006 and 2012, the CDC warned that in the absences of a swift response an outbreak of HIV akin to the one in Scott County was “likely [to] follow” (Callahan, 2016: </w:t>
      </w:r>
      <w:proofErr w:type="spellStart"/>
      <w:r w:rsidRPr="000E6098">
        <w:rPr>
          <w:rFonts w:ascii="Cambria" w:hAnsi="Cambria" w:cs="Times New Roman"/>
        </w:rPr>
        <w:t>n.p</w:t>
      </w:r>
      <w:proofErr w:type="spellEnd"/>
      <w:r w:rsidRPr="000E6098">
        <w:rPr>
          <w:rFonts w:ascii="Cambria" w:hAnsi="Cambria" w:cs="Times New Roman"/>
        </w:rPr>
        <w:t xml:space="preserve">.; CDC, 2015: </w:t>
      </w:r>
      <w:proofErr w:type="spellStart"/>
      <w:r w:rsidRPr="000E6098">
        <w:rPr>
          <w:rFonts w:ascii="Cambria" w:hAnsi="Cambria" w:cs="Times New Roman"/>
        </w:rPr>
        <w:t>n.p</w:t>
      </w:r>
      <w:proofErr w:type="spellEnd"/>
      <w:r w:rsidRPr="000E6098">
        <w:rPr>
          <w:rFonts w:ascii="Cambria" w:hAnsi="Cambria" w:cs="Times New Roman"/>
        </w:rPr>
        <w:t xml:space="preserve">.). However, just as the partial repeal of the ban in Kentucky and West Virginia left the regime of criminalized drug prohibition intact by refusing to decriminalize the possession of needles under existing paraphernalia laws and prohibiting public funds from being used to purchase them, so too did the federal repeal. According to the Consolidated Appropriations Act of 2016, no funds appropriated could be used to “purchase sterile needles or syringes for the hypodermic injection of any illegal drug” (Department of Health and Human Services, 2016: 1). Allowing federal funding to be used </w:t>
      </w:r>
      <w:r w:rsidRPr="000E6098">
        <w:rPr>
          <w:rFonts w:ascii="Cambria" w:hAnsi="Cambria" w:cs="Times New Roman"/>
        </w:rPr>
        <w:lastRenderedPageBreak/>
        <w:t>in support of NEPs while continuing to criminalize drug paraphernalia reveals the underlying intention of the ban’s reversal: To conceal the contradictions of criminalized drug prohibition through public-health based reforms that moderate its harm(s) while enabling the state to expand its carceral-surveillance apparatus under the guise of care.</w:t>
      </w:r>
    </w:p>
    <w:p w14:paraId="33ED2897" w14:textId="4FFE5EBB" w:rsidR="009E3A5A" w:rsidRPr="007E4DC2" w:rsidRDefault="009E3A5A" w:rsidP="00C3290E">
      <w:pPr>
        <w:pStyle w:val="Heading3"/>
      </w:pPr>
      <w:bookmarkStart w:id="7" w:name="_Toc133884501"/>
      <w:r w:rsidRPr="007E4DC2">
        <w:t>A Note on Method</w:t>
      </w:r>
      <w:bookmarkEnd w:id="7"/>
    </w:p>
    <w:p w14:paraId="698F6DD4" w14:textId="46CE416B" w:rsidR="00864248" w:rsidRPr="000E6098" w:rsidRDefault="00864248" w:rsidP="009E3A5A">
      <w:pPr>
        <w:spacing w:line="480" w:lineRule="auto"/>
        <w:ind w:firstLine="720"/>
        <w:rPr>
          <w:rFonts w:ascii="Cambria" w:hAnsi="Cambria" w:cs="Times New Roman"/>
        </w:rPr>
      </w:pPr>
      <w:r w:rsidRPr="000E6098">
        <w:rPr>
          <w:rFonts w:ascii="Cambria" w:hAnsi="Cambria" w:cs="Times New Roman"/>
        </w:rPr>
        <w:t xml:space="preserve">As a method of historical analysis, </w:t>
      </w:r>
      <w:proofErr w:type="spellStart"/>
      <w:r w:rsidRPr="000E6098">
        <w:rPr>
          <w:rFonts w:ascii="Cambria" w:hAnsi="Cambria" w:cs="Times New Roman"/>
        </w:rPr>
        <w:t>conjuncturalism</w:t>
      </w:r>
      <w:proofErr w:type="spellEnd"/>
      <w:r w:rsidRPr="000E6098">
        <w:rPr>
          <w:rFonts w:ascii="Cambria" w:hAnsi="Cambria" w:cs="Times New Roman"/>
        </w:rPr>
        <w:t xml:space="preserve"> requires that the analyst work across the past, present, and future. Therefore, throughout the duration of this project, I continually engaged in archival research. In order to illuminate how the opioid crisis is being articulated by the state through public health-based HR programs, I developed three databases. The first database is an archive of materials from the federal, state, and local levels related to disease, drug, and HR policies. It includes congressional and legislative records, presidential papers, news conferences, press releases, news articles, budgets, statistics, as well as other resources which illuminate the way political officials, policing authorities, and public health experts have/are framing HR</w:t>
      </w:r>
      <w:r w:rsidR="00F6487D">
        <w:rPr>
          <w:rFonts w:ascii="Cambria" w:hAnsi="Cambria" w:cs="Times New Roman"/>
        </w:rPr>
        <w:t xml:space="preserve"> as a response to the opioid crisis</w:t>
      </w:r>
      <w:r w:rsidRPr="000E6098">
        <w:rPr>
          <w:rFonts w:ascii="Cambria" w:hAnsi="Cambria" w:cs="Times New Roman"/>
        </w:rPr>
        <w:t>. The second database is an archive of materials related to public health-based HR, which can be broadly defined as the institutionalized use of these practices to reduce the “risks” associated with drug us</w:t>
      </w:r>
      <w:r w:rsidR="00F6487D">
        <w:rPr>
          <w:rFonts w:ascii="Cambria" w:hAnsi="Cambria" w:cs="Times New Roman"/>
        </w:rPr>
        <w:t>e. These programs are often administered in</w:t>
      </w:r>
      <w:r w:rsidRPr="000E6098">
        <w:rPr>
          <w:rFonts w:ascii="Cambria" w:hAnsi="Cambria" w:cs="Times New Roman"/>
        </w:rPr>
        <w:t xml:space="preserve"> collaboration with </w:t>
      </w:r>
      <w:r w:rsidR="00F6487D">
        <w:rPr>
          <w:rFonts w:ascii="Cambria" w:hAnsi="Cambria" w:cs="Times New Roman"/>
        </w:rPr>
        <w:t>state and local governmental</w:t>
      </w:r>
      <w:r w:rsidRPr="000E6098">
        <w:rPr>
          <w:rFonts w:ascii="Cambria" w:hAnsi="Cambria" w:cs="Times New Roman"/>
        </w:rPr>
        <w:t xml:space="preserve"> authorities. Materials in this database were collected from organizations at the federal, state, and local levels who research, operate, and/or advocate for HR as public health policy</w:t>
      </w:r>
      <w:r w:rsidR="00F6487D">
        <w:rPr>
          <w:rFonts w:ascii="Cambria" w:hAnsi="Cambria" w:cs="Times New Roman"/>
        </w:rPr>
        <w:t xml:space="preserve"> and</w:t>
      </w:r>
      <w:r w:rsidRPr="000E6098">
        <w:rPr>
          <w:rFonts w:ascii="Cambria" w:hAnsi="Cambria" w:cs="Times New Roman"/>
        </w:rPr>
        <w:t xml:space="preserve"> includes scientific studies, program evaluations, data, official reports, training guides, safety manuals</w:t>
      </w:r>
      <w:r w:rsidR="00AC018F">
        <w:rPr>
          <w:rFonts w:ascii="Cambria" w:hAnsi="Cambria" w:cs="Times New Roman"/>
        </w:rPr>
        <w:t xml:space="preserve">, webinars, fact sheets, infographics, </w:t>
      </w:r>
      <w:r w:rsidR="00586375">
        <w:rPr>
          <w:rFonts w:ascii="Cambria" w:hAnsi="Cambria" w:cs="Times New Roman"/>
        </w:rPr>
        <w:t>news articles, and a variety of other resources.</w:t>
      </w:r>
      <w:r w:rsidRPr="000E6098">
        <w:rPr>
          <w:rFonts w:ascii="Cambria" w:hAnsi="Cambria" w:cs="Times New Roman"/>
        </w:rPr>
        <w:t xml:space="preserve"> </w:t>
      </w:r>
    </w:p>
    <w:p w14:paraId="4D44C13C" w14:textId="26A471CF" w:rsidR="001B047A" w:rsidRDefault="00F6487D" w:rsidP="00864248">
      <w:pPr>
        <w:spacing w:line="480" w:lineRule="auto"/>
        <w:ind w:firstLine="720"/>
        <w:rPr>
          <w:rFonts w:ascii="Cambria" w:hAnsi="Cambria" w:cs="Times New Roman"/>
        </w:rPr>
      </w:pPr>
      <w:r>
        <w:rPr>
          <w:rFonts w:ascii="Cambria" w:hAnsi="Cambria" w:cs="Times New Roman"/>
        </w:rPr>
        <w:lastRenderedPageBreak/>
        <w:t>The</w:t>
      </w:r>
      <w:r w:rsidR="00864248" w:rsidRPr="000E6098">
        <w:rPr>
          <w:rFonts w:ascii="Cambria" w:hAnsi="Cambria" w:cs="Times New Roman"/>
        </w:rPr>
        <w:t xml:space="preserve"> third database is an </w:t>
      </w:r>
      <w:r>
        <w:rPr>
          <w:rFonts w:ascii="Cambria" w:hAnsi="Cambria" w:cs="Times New Roman"/>
        </w:rPr>
        <w:t xml:space="preserve">alternative </w:t>
      </w:r>
      <w:r w:rsidR="00864248" w:rsidRPr="000E6098">
        <w:rPr>
          <w:rFonts w:ascii="Cambria" w:hAnsi="Cambria" w:cs="Times New Roman"/>
        </w:rPr>
        <w:t xml:space="preserve">archive of materials related to liberatory HR, which can be broadly defined as a philosophy, practice, and politics of healing that “originated in self-advocacy” by socially marginalized groups, including drug users, sex workers, queer activists, and communities of color among others (Hassan, 2023: </w:t>
      </w:r>
      <w:proofErr w:type="spellStart"/>
      <w:r w:rsidR="00864248" w:rsidRPr="000E6098">
        <w:rPr>
          <w:rFonts w:ascii="Cambria" w:hAnsi="Cambria" w:cs="Times New Roman"/>
        </w:rPr>
        <w:t>n.p</w:t>
      </w:r>
      <w:proofErr w:type="spellEnd"/>
      <w:r w:rsidR="00864248" w:rsidRPr="000E6098">
        <w:rPr>
          <w:rFonts w:ascii="Cambria" w:hAnsi="Cambria" w:cs="Times New Roman"/>
        </w:rPr>
        <w:t xml:space="preserve">.). The materials in this database include resources from grassroots organizing spaces, such as street-based training manuals and/or field guides, HR “toolkits,” zines, flyers, safer drug-use guides, newsletters, social media posts, as well as scholarly research on the topic. In order to discern how practices of HR are being negotiated across these varying lines of struggle </w:t>
      </w:r>
      <w:r>
        <w:rPr>
          <w:rFonts w:ascii="Cambria" w:hAnsi="Cambria" w:cs="Times New Roman"/>
        </w:rPr>
        <w:t>as a</w:t>
      </w:r>
      <w:r w:rsidR="00864248" w:rsidRPr="000E6098">
        <w:rPr>
          <w:rFonts w:ascii="Cambria" w:hAnsi="Cambria" w:cs="Times New Roman"/>
        </w:rPr>
        <w:t xml:space="preserve"> response to the opioid crisis, I coded each database for key themes.</w:t>
      </w:r>
    </w:p>
    <w:p w14:paraId="70237095" w14:textId="58407A94" w:rsidR="00F6487D" w:rsidRPr="000E6098" w:rsidRDefault="00F6487D" w:rsidP="007E4DC2">
      <w:pPr>
        <w:spacing w:line="480" w:lineRule="auto"/>
        <w:ind w:firstLine="720"/>
        <w:rPr>
          <w:rFonts w:ascii="Cambria" w:hAnsi="Cambria" w:cs="Times New Roman"/>
        </w:rPr>
      </w:pPr>
      <w:r w:rsidRPr="00F6487D">
        <w:rPr>
          <w:rFonts w:ascii="Cambria" w:hAnsi="Cambria" w:cs="Times New Roman"/>
        </w:rPr>
        <w:t xml:space="preserve">This built archive </w:t>
      </w:r>
      <w:r>
        <w:rPr>
          <w:rFonts w:ascii="Cambria" w:hAnsi="Cambria" w:cs="Times New Roman"/>
        </w:rPr>
        <w:t xml:space="preserve">was key </w:t>
      </w:r>
      <w:r w:rsidR="00F955E4">
        <w:rPr>
          <w:rFonts w:ascii="Cambria" w:hAnsi="Cambria" w:cs="Times New Roman"/>
        </w:rPr>
        <w:t>to not only being able to</w:t>
      </w:r>
      <w:r w:rsidRPr="00F6487D">
        <w:rPr>
          <w:rFonts w:ascii="Cambria" w:hAnsi="Cambria" w:cs="Times New Roman"/>
        </w:rPr>
        <w:t xml:space="preserve"> </w:t>
      </w:r>
      <w:r w:rsidR="00F955E4">
        <w:rPr>
          <w:rFonts w:ascii="Cambria" w:hAnsi="Cambria" w:cs="Times New Roman"/>
        </w:rPr>
        <w:t>grasp</w:t>
      </w:r>
      <w:r w:rsidR="009E3A5A">
        <w:rPr>
          <w:rFonts w:ascii="Cambria" w:hAnsi="Cambria" w:cs="Times New Roman"/>
        </w:rPr>
        <w:t xml:space="preserve"> the</w:t>
      </w:r>
      <w:r w:rsidR="00A27855">
        <w:rPr>
          <w:rFonts w:ascii="Cambria" w:hAnsi="Cambria" w:cs="Times New Roman"/>
        </w:rPr>
        <w:t xml:space="preserve"> contentiou</w:t>
      </w:r>
      <w:r w:rsidR="00F955E4">
        <w:rPr>
          <w:rFonts w:ascii="Cambria" w:hAnsi="Cambria" w:cs="Times New Roman"/>
        </w:rPr>
        <w:t xml:space="preserve">s, </w:t>
      </w:r>
      <w:r w:rsidR="00B62342">
        <w:rPr>
          <w:rFonts w:ascii="Cambria" w:hAnsi="Cambria" w:cs="Times New Roman"/>
        </w:rPr>
        <w:t xml:space="preserve">and </w:t>
      </w:r>
      <w:r w:rsidR="00F955E4">
        <w:rPr>
          <w:rFonts w:ascii="Cambria" w:hAnsi="Cambria" w:cs="Times New Roman"/>
        </w:rPr>
        <w:t>ever-shifting</w:t>
      </w:r>
      <w:r w:rsidR="00B62342">
        <w:rPr>
          <w:rFonts w:ascii="Cambria" w:hAnsi="Cambria" w:cs="Times New Roman"/>
        </w:rPr>
        <w:t xml:space="preserve"> political</w:t>
      </w:r>
      <w:r w:rsidR="00F955E4">
        <w:rPr>
          <w:rFonts w:ascii="Cambria" w:hAnsi="Cambria" w:cs="Times New Roman"/>
        </w:rPr>
        <w:t xml:space="preserve"> </w:t>
      </w:r>
      <w:r w:rsidRPr="00F6487D">
        <w:rPr>
          <w:rFonts w:ascii="Cambria" w:hAnsi="Cambria" w:cs="Times New Roman"/>
        </w:rPr>
        <w:t>landscape</w:t>
      </w:r>
      <w:r w:rsidR="00F955E4">
        <w:rPr>
          <w:rFonts w:ascii="Cambria" w:hAnsi="Cambria" w:cs="Times New Roman"/>
        </w:rPr>
        <w:t xml:space="preserve"> </w:t>
      </w:r>
      <w:r w:rsidRPr="00F6487D">
        <w:rPr>
          <w:rFonts w:ascii="Cambria" w:hAnsi="Cambria" w:cs="Times New Roman"/>
        </w:rPr>
        <w:t xml:space="preserve">of </w:t>
      </w:r>
      <w:r>
        <w:rPr>
          <w:rFonts w:ascii="Cambria" w:hAnsi="Cambria" w:cs="Times New Roman"/>
        </w:rPr>
        <w:t>HR in the US and Southern Appalachia</w:t>
      </w:r>
      <w:r w:rsidR="009E3A5A">
        <w:rPr>
          <w:rFonts w:ascii="Cambria" w:hAnsi="Cambria" w:cs="Times New Roman"/>
        </w:rPr>
        <w:t xml:space="preserve"> </w:t>
      </w:r>
      <w:r w:rsidR="00F955E4">
        <w:rPr>
          <w:rFonts w:ascii="Cambria" w:hAnsi="Cambria" w:cs="Times New Roman"/>
        </w:rPr>
        <w:t>but</w:t>
      </w:r>
      <w:r w:rsidR="009E3A5A">
        <w:rPr>
          <w:rFonts w:ascii="Cambria" w:hAnsi="Cambria" w:cs="Times New Roman"/>
        </w:rPr>
        <w:t xml:space="preserve"> to analyzing the</w:t>
      </w:r>
      <w:r>
        <w:rPr>
          <w:rFonts w:ascii="Cambria" w:hAnsi="Cambria" w:cs="Times New Roman"/>
        </w:rPr>
        <w:t xml:space="preserve"> </w:t>
      </w:r>
      <w:r w:rsidR="00B62342">
        <w:rPr>
          <w:rFonts w:ascii="Cambria" w:hAnsi="Cambria" w:cs="Times New Roman"/>
        </w:rPr>
        <w:t>similarities and differences</w:t>
      </w:r>
      <w:r w:rsidR="00B935A4">
        <w:rPr>
          <w:rFonts w:ascii="Cambria" w:hAnsi="Cambria" w:cs="Times New Roman"/>
        </w:rPr>
        <w:t xml:space="preserve"> between</w:t>
      </w:r>
      <w:r w:rsidRPr="00F6487D">
        <w:rPr>
          <w:rFonts w:ascii="Cambria" w:hAnsi="Cambria" w:cs="Times New Roman"/>
        </w:rPr>
        <w:t xml:space="preserve"> </w:t>
      </w:r>
      <w:r>
        <w:rPr>
          <w:rFonts w:ascii="Cambria" w:hAnsi="Cambria" w:cs="Times New Roman"/>
        </w:rPr>
        <w:t>liberatory HR</w:t>
      </w:r>
      <w:r w:rsidR="00B62342">
        <w:rPr>
          <w:rFonts w:ascii="Cambria" w:hAnsi="Cambria" w:cs="Times New Roman"/>
        </w:rPr>
        <w:t xml:space="preserve"> practices</w:t>
      </w:r>
      <w:r w:rsidR="009E3A5A">
        <w:rPr>
          <w:rFonts w:ascii="Cambria" w:hAnsi="Cambria" w:cs="Times New Roman"/>
        </w:rPr>
        <w:t xml:space="preserve"> and </w:t>
      </w:r>
      <w:r w:rsidR="009E3A5A" w:rsidRPr="00F6487D">
        <w:rPr>
          <w:rFonts w:ascii="Cambria" w:hAnsi="Cambria" w:cs="Times New Roman"/>
        </w:rPr>
        <w:t xml:space="preserve">public health-based </w:t>
      </w:r>
      <w:r w:rsidR="009E3A5A">
        <w:rPr>
          <w:rFonts w:ascii="Cambria" w:hAnsi="Cambria" w:cs="Times New Roman"/>
        </w:rPr>
        <w:t>HR programs</w:t>
      </w:r>
      <w:r w:rsidRPr="00F6487D">
        <w:rPr>
          <w:rFonts w:ascii="Cambria" w:hAnsi="Cambria" w:cs="Times New Roman"/>
        </w:rPr>
        <w:t xml:space="preserve">. </w:t>
      </w:r>
      <w:r w:rsidR="00F577E5">
        <w:rPr>
          <w:rFonts w:ascii="Cambria" w:hAnsi="Cambria" w:cs="Times New Roman"/>
        </w:rPr>
        <w:t>Separating</w:t>
      </w:r>
      <w:r>
        <w:rPr>
          <w:rFonts w:ascii="Cambria" w:hAnsi="Cambria" w:cs="Times New Roman"/>
        </w:rPr>
        <w:t xml:space="preserve"> these archives into three</w:t>
      </w:r>
      <w:r w:rsidR="007857CC">
        <w:rPr>
          <w:rFonts w:ascii="Cambria" w:hAnsi="Cambria" w:cs="Times New Roman"/>
        </w:rPr>
        <w:t xml:space="preserve"> </w:t>
      </w:r>
      <w:r>
        <w:rPr>
          <w:rFonts w:ascii="Cambria" w:hAnsi="Cambria" w:cs="Times New Roman"/>
        </w:rPr>
        <w:t>databases</w:t>
      </w:r>
      <w:r w:rsidR="00F577E5">
        <w:rPr>
          <w:rFonts w:ascii="Cambria" w:hAnsi="Cambria" w:cs="Times New Roman"/>
        </w:rPr>
        <w:t xml:space="preserve"> </w:t>
      </w:r>
      <w:r w:rsidR="00B62342">
        <w:rPr>
          <w:rFonts w:ascii="Cambria" w:hAnsi="Cambria" w:cs="Times New Roman"/>
        </w:rPr>
        <w:t>allowed</w:t>
      </w:r>
      <w:r w:rsidR="0054648A">
        <w:rPr>
          <w:rFonts w:ascii="Cambria" w:hAnsi="Cambria" w:cs="Times New Roman"/>
        </w:rPr>
        <w:t xml:space="preserve"> me to</w:t>
      </w:r>
      <w:r w:rsidR="000310DD">
        <w:rPr>
          <w:rFonts w:ascii="Cambria" w:hAnsi="Cambria" w:cs="Times New Roman"/>
        </w:rPr>
        <w:t xml:space="preserve"> </w:t>
      </w:r>
      <w:r>
        <w:rPr>
          <w:rFonts w:ascii="Cambria" w:hAnsi="Cambria" w:cs="Times New Roman"/>
        </w:rPr>
        <w:t>establish a framework of thematic ideas</w:t>
      </w:r>
      <w:r w:rsidR="00D0653D">
        <w:rPr>
          <w:rFonts w:ascii="Cambria" w:hAnsi="Cambria" w:cs="Times New Roman"/>
        </w:rPr>
        <w:t xml:space="preserve"> </w:t>
      </w:r>
      <w:r w:rsidR="0054648A">
        <w:rPr>
          <w:rFonts w:ascii="Cambria" w:hAnsi="Cambria" w:cs="Times New Roman"/>
        </w:rPr>
        <w:t>for each whi</w:t>
      </w:r>
      <w:r w:rsidR="00B62342">
        <w:rPr>
          <w:rFonts w:ascii="Cambria" w:hAnsi="Cambria" w:cs="Times New Roman"/>
        </w:rPr>
        <w:t xml:space="preserve">le </w:t>
      </w:r>
      <w:r w:rsidR="00F92050">
        <w:rPr>
          <w:rFonts w:ascii="Cambria" w:hAnsi="Cambria" w:cs="Times New Roman"/>
        </w:rPr>
        <w:t xml:space="preserve">also continuously </w:t>
      </w:r>
      <w:r w:rsidR="0054648A">
        <w:rPr>
          <w:rFonts w:ascii="Cambria" w:hAnsi="Cambria" w:cs="Times New Roman"/>
        </w:rPr>
        <w:t>working across them</w:t>
      </w:r>
      <w:r w:rsidR="00125093">
        <w:rPr>
          <w:rFonts w:ascii="Cambria" w:hAnsi="Cambria" w:cs="Times New Roman"/>
        </w:rPr>
        <w:t>.</w:t>
      </w:r>
      <w:r w:rsidR="0032408C">
        <w:rPr>
          <w:rFonts w:ascii="Cambria" w:hAnsi="Cambria" w:cs="Times New Roman"/>
        </w:rPr>
        <w:t xml:space="preserve"> </w:t>
      </w:r>
      <w:r w:rsidR="001C66AF">
        <w:rPr>
          <w:rFonts w:ascii="Cambria" w:hAnsi="Cambria" w:cs="Times New Roman"/>
        </w:rPr>
        <w:t xml:space="preserve">Through a </w:t>
      </w:r>
      <w:r w:rsidR="00386CCC">
        <w:rPr>
          <w:rFonts w:ascii="Cambria" w:hAnsi="Cambria" w:cs="Times New Roman"/>
        </w:rPr>
        <w:t>close</w:t>
      </w:r>
      <w:r w:rsidR="0032408C">
        <w:rPr>
          <w:rFonts w:ascii="Cambria" w:hAnsi="Cambria" w:cs="Times New Roman"/>
        </w:rPr>
        <w:t xml:space="preserve"> analytic</w:t>
      </w:r>
      <w:r w:rsidR="00386CCC">
        <w:rPr>
          <w:rFonts w:ascii="Cambria" w:hAnsi="Cambria" w:cs="Times New Roman"/>
        </w:rPr>
        <w:t xml:space="preserve"> reading of</w:t>
      </w:r>
      <w:r w:rsidRPr="00F6487D">
        <w:rPr>
          <w:rFonts w:ascii="Cambria" w:hAnsi="Cambria" w:cs="Times New Roman"/>
        </w:rPr>
        <w:t xml:space="preserve"> </w:t>
      </w:r>
      <w:r w:rsidR="00CC6CF9">
        <w:rPr>
          <w:rFonts w:ascii="Cambria" w:hAnsi="Cambria" w:cs="Times New Roman"/>
        </w:rPr>
        <w:t xml:space="preserve">the </w:t>
      </w:r>
      <w:r w:rsidR="00D421C1">
        <w:rPr>
          <w:rFonts w:ascii="Cambria" w:hAnsi="Cambria" w:cs="Times New Roman"/>
        </w:rPr>
        <w:t xml:space="preserve">materials </w:t>
      </w:r>
      <w:r w:rsidR="00981A83">
        <w:rPr>
          <w:rFonts w:ascii="Cambria" w:hAnsi="Cambria" w:cs="Times New Roman"/>
        </w:rPr>
        <w:t>from the</w:t>
      </w:r>
      <w:r w:rsidR="00D421C1">
        <w:rPr>
          <w:rFonts w:ascii="Cambria" w:hAnsi="Cambria" w:cs="Times New Roman"/>
        </w:rPr>
        <w:t xml:space="preserve"> public health-based and liberatory HR databases</w:t>
      </w:r>
      <w:r w:rsidR="001C66AF">
        <w:rPr>
          <w:rFonts w:ascii="Cambria" w:hAnsi="Cambria" w:cs="Times New Roman"/>
        </w:rPr>
        <w:t xml:space="preserve">, I was able to </w:t>
      </w:r>
      <w:r w:rsidR="00CC6CF9">
        <w:rPr>
          <w:rFonts w:ascii="Cambria" w:hAnsi="Cambria" w:cs="Times New Roman"/>
        </w:rPr>
        <w:t xml:space="preserve">map the emergence of these programs </w:t>
      </w:r>
      <w:r w:rsidR="00981A83">
        <w:rPr>
          <w:rFonts w:ascii="Cambria" w:hAnsi="Cambria" w:cs="Times New Roman"/>
        </w:rPr>
        <w:t xml:space="preserve">through </w:t>
      </w:r>
      <w:r w:rsidRPr="00F6487D">
        <w:rPr>
          <w:rFonts w:ascii="Cambria" w:hAnsi="Cambria" w:cs="Times New Roman"/>
        </w:rPr>
        <w:t xml:space="preserve">federal, state, and local </w:t>
      </w:r>
      <w:r w:rsidR="00E05183">
        <w:rPr>
          <w:rFonts w:ascii="Cambria" w:hAnsi="Cambria" w:cs="Times New Roman"/>
        </w:rPr>
        <w:t>legislation, policies, and politics</w:t>
      </w:r>
      <w:r w:rsidR="00981A83">
        <w:rPr>
          <w:rFonts w:ascii="Cambria" w:hAnsi="Cambria" w:cs="Times New Roman"/>
        </w:rPr>
        <w:t xml:space="preserve"> over HR across multiple contexts.</w:t>
      </w:r>
      <w:r w:rsidR="00167060">
        <w:rPr>
          <w:rFonts w:ascii="Cambria" w:hAnsi="Cambria" w:cs="Times New Roman"/>
        </w:rPr>
        <w:t xml:space="preserve"> All three of these databases, taken together,</w:t>
      </w:r>
      <w:r w:rsidR="00D752AE">
        <w:rPr>
          <w:rFonts w:ascii="Cambria" w:hAnsi="Cambria" w:cs="Times New Roman"/>
        </w:rPr>
        <w:t xml:space="preserve"> </w:t>
      </w:r>
      <w:r w:rsidR="00F015E5">
        <w:rPr>
          <w:rFonts w:ascii="Cambria" w:hAnsi="Cambria" w:cs="Times New Roman"/>
        </w:rPr>
        <w:t>allowed</w:t>
      </w:r>
      <w:r w:rsidR="00D752AE">
        <w:rPr>
          <w:rFonts w:ascii="Cambria" w:hAnsi="Cambria" w:cs="Times New Roman"/>
        </w:rPr>
        <w:t xml:space="preserve"> me </w:t>
      </w:r>
      <w:r w:rsidR="00F015E5">
        <w:rPr>
          <w:rFonts w:ascii="Cambria" w:hAnsi="Cambria" w:cs="Times New Roman"/>
        </w:rPr>
        <w:t>to</w:t>
      </w:r>
      <w:r w:rsidR="0012321B">
        <w:rPr>
          <w:rFonts w:ascii="Cambria" w:hAnsi="Cambria" w:cs="Times New Roman"/>
        </w:rPr>
        <w:t xml:space="preserve"> </w:t>
      </w:r>
      <w:r w:rsidR="00A7369B">
        <w:rPr>
          <w:rFonts w:ascii="Cambria" w:hAnsi="Cambria" w:cs="Times New Roman"/>
        </w:rPr>
        <w:t xml:space="preserve">highlight </w:t>
      </w:r>
      <w:r w:rsidR="0014553E">
        <w:rPr>
          <w:rFonts w:ascii="Cambria" w:hAnsi="Cambria" w:cs="Times New Roman"/>
        </w:rPr>
        <w:t xml:space="preserve">how these practices, </w:t>
      </w:r>
      <w:r w:rsidR="0014628A">
        <w:rPr>
          <w:rFonts w:ascii="Cambria" w:hAnsi="Cambria" w:cs="Times New Roman"/>
        </w:rPr>
        <w:t>programs</w:t>
      </w:r>
      <w:r w:rsidR="0014553E">
        <w:rPr>
          <w:rFonts w:ascii="Cambria" w:hAnsi="Cambria" w:cs="Times New Roman"/>
        </w:rPr>
        <w:t>, and policies are articulated through</w:t>
      </w:r>
      <w:r w:rsidR="0014628A">
        <w:rPr>
          <w:rFonts w:ascii="Cambria" w:hAnsi="Cambria" w:cs="Times New Roman"/>
        </w:rPr>
        <w:t xml:space="preserve"> state-structured violence and neglect</w:t>
      </w:r>
      <w:r w:rsidR="00686D1E">
        <w:rPr>
          <w:rFonts w:ascii="Cambria" w:hAnsi="Cambria" w:cs="Times New Roman"/>
        </w:rPr>
        <w:t xml:space="preserve"> from “above” </w:t>
      </w:r>
      <w:r w:rsidR="0014553E">
        <w:rPr>
          <w:rFonts w:ascii="Cambria" w:hAnsi="Cambria" w:cs="Times New Roman"/>
        </w:rPr>
        <w:t>and</w:t>
      </w:r>
      <w:r w:rsidR="00686D1E">
        <w:rPr>
          <w:rFonts w:ascii="Cambria" w:hAnsi="Cambria" w:cs="Times New Roman"/>
        </w:rPr>
        <w:t xml:space="preserve"> “below.”</w:t>
      </w:r>
      <w:r w:rsidRPr="00F6487D">
        <w:rPr>
          <w:rFonts w:ascii="Cambria" w:hAnsi="Cambria" w:cs="Times New Roman"/>
        </w:rPr>
        <w:t xml:space="preserve">  </w:t>
      </w:r>
    </w:p>
    <w:p w14:paraId="61B5F8FB" w14:textId="3C66E3D7" w:rsidR="001B047A" w:rsidRPr="00C3290E" w:rsidRDefault="001B047A" w:rsidP="0030288C">
      <w:pPr>
        <w:pStyle w:val="Heading2"/>
      </w:pPr>
      <w:bookmarkStart w:id="8" w:name="_Toc133884502"/>
      <w:r w:rsidRPr="00C3290E">
        <w:t>Chapter Layout</w:t>
      </w:r>
      <w:bookmarkEnd w:id="8"/>
    </w:p>
    <w:p w14:paraId="22E2110B" w14:textId="6E6CC082" w:rsidR="001B047A" w:rsidRPr="001B047A" w:rsidRDefault="001B047A" w:rsidP="001B047A">
      <w:pPr>
        <w:spacing w:line="480" w:lineRule="auto"/>
        <w:ind w:firstLine="720"/>
        <w:rPr>
          <w:rFonts w:asciiTheme="majorHAnsi" w:hAnsiTheme="majorHAnsi"/>
        </w:rPr>
      </w:pPr>
      <w:r w:rsidRPr="001B047A">
        <w:rPr>
          <w:rFonts w:asciiTheme="majorHAnsi" w:hAnsiTheme="majorHAnsi"/>
        </w:rPr>
        <w:t xml:space="preserve">Chapter one will provide a brief overview </w:t>
      </w:r>
      <w:r w:rsidRPr="006242D3">
        <w:rPr>
          <w:rFonts w:asciiTheme="majorHAnsi" w:hAnsiTheme="majorHAnsi"/>
        </w:rPr>
        <w:t>of the history of</w:t>
      </w:r>
      <w:r w:rsidRPr="001B047A">
        <w:rPr>
          <w:rFonts w:asciiTheme="majorHAnsi" w:hAnsiTheme="majorHAnsi"/>
        </w:rPr>
        <w:t xml:space="preserve"> US drug control policy</w:t>
      </w:r>
      <w:r w:rsidRPr="006242D3">
        <w:rPr>
          <w:rFonts w:asciiTheme="majorHAnsi" w:hAnsiTheme="majorHAnsi"/>
        </w:rPr>
        <w:t>, the</w:t>
      </w:r>
      <w:r w:rsidRPr="001B047A">
        <w:rPr>
          <w:rFonts w:asciiTheme="majorHAnsi" w:hAnsiTheme="majorHAnsi"/>
        </w:rPr>
        <w:t xml:space="preserve"> concept of addiction, </w:t>
      </w:r>
      <w:r w:rsidRPr="006242D3">
        <w:rPr>
          <w:rFonts w:asciiTheme="majorHAnsi" w:hAnsiTheme="majorHAnsi"/>
        </w:rPr>
        <w:t>harm reduction</w:t>
      </w:r>
      <w:r w:rsidRPr="001B047A">
        <w:rPr>
          <w:rFonts w:asciiTheme="majorHAnsi" w:hAnsiTheme="majorHAnsi"/>
        </w:rPr>
        <w:t xml:space="preserve">, </w:t>
      </w:r>
      <w:r w:rsidRPr="006242D3">
        <w:rPr>
          <w:rFonts w:asciiTheme="majorHAnsi" w:hAnsiTheme="majorHAnsi"/>
        </w:rPr>
        <w:t xml:space="preserve">and the </w:t>
      </w:r>
      <w:r w:rsidRPr="001B047A">
        <w:rPr>
          <w:rFonts w:asciiTheme="majorHAnsi" w:hAnsiTheme="majorHAnsi"/>
        </w:rPr>
        <w:t xml:space="preserve">opioid crisis. </w:t>
      </w:r>
      <w:r w:rsidRPr="006242D3">
        <w:rPr>
          <w:rFonts w:asciiTheme="majorHAnsi" w:hAnsiTheme="majorHAnsi"/>
        </w:rPr>
        <w:t xml:space="preserve">Chapter two uses a </w:t>
      </w:r>
      <w:r w:rsidRPr="006242D3">
        <w:rPr>
          <w:rFonts w:asciiTheme="majorHAnsi" w:hAnsiTheme="majorHAnsi"/>
        </w:rPr>
        <w:lastRenderedPageBreak/>
        <w:t xml:space="preserve">conjunctural perspective to analyze key </w:t>
      </w:r>
      <w:r w:rsidRPr="001B047A">
        <w:rPr>
          <w:rFonts w:asciiTheme="majorHAnsi" w:hAnsiTheme="majorHAnsi"/>
        </w:rPr>
        <w:t>sites of struggle over public health-based HR</w:t>
      </w:r>
      <w:r w:rsidRPr="006242D3">
        <w:rPr>
          <w:rFonts w:asciiTheme="majorHAnsi" w:hAnsiTheme="majorHAnsi"/>
        </w:rPr>
        <w:t xml:space="preserve"> in </w:t>
      </w:r>
      <w:r w:rsidRPr="001B047A">
        <w:rPr>
          <w:rFonts w:asciiTheme="majorHAnsi" w:hAnsiTheme="majorHAnsi"/>
        </w:rPr>
        <w:t>Southern Appalachia</w:t>
      </w:r>
      <w:r w:rsidRPr="006242D3">
        <w:rPr>
          <w:rFonts w:asciiTheme="majorHAnsi" w:hAnsiTheme="majorHAnsi"/>
        </w:rPr>
        <w:t xml:space="preserve">, with the primary aim of understanding if support for these programs is altering the terrain of criminalized drug prohibition policies. </w:t>
      </w:r>
    </w:p>
    <w:p w14:paraId="72406515" w14:textId="59A6D0EE" w:rsidR="006242D3" w:rsidRPr="000E6098" w:rsidRDefault="001B047A" w:rsidP="000E6098">
      <w:pPr>
        <w:spacing w:line="480" w:lineRule="auto"/>
        <w:rPr>
          <w:rFonts w:asciiTheme="majorHAnsi" w:hAnsiTheme="majorHAnsi"/>
        </w:rPr>
      </w:pPr>
      <w:r w:rsidRPr="006242D3">
        <w:rPr>
          <w:rFonts w:asciiTheme="majorHAnsi" w:hAnsiTheme="majorHAnsi"/>
        </w:rPr>
        <w:t>Chapter three will analyze how the state is mobilizing public health-based HR within Southern Appalachia to “resolve” the multiple contradictions condensed within the opioid crisis. Chapter four will examine HR in relationship to long histories of queer, drug user, health activism as well as Black and Brown liberations struggle to grasp how it is being articulated by the state as a carceral resolution to the opioid crisis. In the concluding chapter, I will provide insight into the present landscape of public health-based HR in Southern Appalachia and suggest some sites for potential intervention.</w:t>
      </w:r>
      <w:r w:rsidR="006242D3" w:rsidRPr="006242D3">
        <w:rPr>
          <w:rFonts w:asciiTheme="majorHAnsi" w:hAnsiTheme="majorHAnsi"/>
        </w:rPr>
        <w:t> In the rest of this introduction, I will layout the key concepts and terms for thinking the opioid crisis from a conjunctural perspective as well as foreground a critique of public health.</w:t>
      </w:r>
    </w:p>
    <w:p w14:paraId="440DF23B" w14:textId="2B72CEBE" w:rsidR="006242D3" w:rsidRPr="00C3290E" w:rsidRDefault="006242D3" w:rsidP="0030288C">
      <w:pPr>
        <w:pStyle w:val="Heading2"/>
      </w:pPr>
      <w:bookmarkStart w:id="9" w:name="_Toc133884503"/>
      <w:r w:rsidRPr="00C3290E">
        <w:t xml:space="preserve">Thinking the Crisis </w:t>
      </w:r>
      <w:proofErr w:type="spellStart"/>
      <w:r w:rsidRPr="00C3290E">
        <w:t>Conjuncturally</w:t>
      </w:r>
      <w:bookmarkEnd w:id="9"/>
      <w:proofErr w:type="spellEnd"/>
    </w:p>
    <w:p w14:paraId="4B6CD67E" w14:textId="76D77E1C" w:rsidR="006242D3" w:rsidRPr="006242D3" w:rsidRDefault="006242D3" w:rsidP="006242D3">
      <w:pPr>
        <w:spacing w:line="480" w:lineRule="auto"/>
        <w:ind w:firstLine="720"/>
        <w:rPr>
          <w:rFonts w:asciiTheme="majorHAnsi" w:eastAsia="Georgia" w:hAnsiTheme="majorHAnsi" w:cs="Georgia"/>
        </w:rPr>
      </w:pPr>
      <w:r w:rsidRPr="006242D3">
        <w:rPr>
          <w:rFonts w:asciiTheme="majorHAnsi" w:eastAsia="Georgia" w:hAnsiTheme="majorHAnsi" w:cs="Georgia"/>
        </w:rPr>
        <w:t xml:space="preserve">Speaking at the University of Illinois Champaign-Urbana in the late 1990s, late political theorist Stuart Hall (1992: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reflected on the AIDS crisis, remarking: Against the urgency of people dying in the streets, what in God’s name is the point of cultural studies?” Although the question of AIDS, he argued, had brought the “ephemerality [of cultural studies] …how little it registers, how little [it had been] able to do anything or get anybody to do anything” into sharp relief, this was neither cause—nor the time—for despair. During moments of profound crisis, what cultural studies offers is the practice of </w:t>
      </w:r>
      <w:proofErr w:type="spellStart"/>
      <w:r w:rsidRPr="006242D3">
        <w:rPr>
          <w:rFonts w:asciiTheme="majorHAnsi" w:eastAsia="Georgia" w:hAnsiTheme="majorHAnsi" w:cs="Georgia"/>
        </w:rPr>
        <w:t>conjuncturalism</w:t>
      </w:r>
      <w:proofErr w:type="spellEnd"/>
      <w:r w:rsidRPr="006242D3">
        <w:rPr>
          <w:rFonts w:asciiTheme="majorHAnsi" w:eastAsia="Georgia" w:hAnsiTheme="majorHAnsi" w:cs="Georgia"/>
        </w:rPr>
        <w:t xml:space="preserve">, which enables the analyst to not just inhabit the always “irresolvable” tension between (abstract) theory and (concrete) politics but work from within it towards “exposing fault lines and suggesting tactical interventions” (Hall,1992: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Grossberg, 2010: 109; Grayson </w:t>
      </w:r>
      <w:r w:rsidRPr="006242D3">
        <w:rPr>
          <w:rFonts w:asciiTheme="majorHAnsi" w:eastAsia="Georgia" w:hAnsiTheme="majorHAnsi" w:cs="Georgia"/>
        </w:rPr>
        <w:lastRenderedPageBreak/>
        <w:t xml:space="preserve">&amp; Little, 2016: 66, 73). A conjunctural approach cannot provide the tools to </w:t>
      </w:r>
      <w:r w:rsidRPr="006242D3">
        <w:rPr>
          <w:rFonts w:asciiTheme="majorHAnsi" w:eastAsia="Georgia" w:hAnsiTheme="majorHAnsi" w:cs="Georgia"/>
          <w:i/>
          <w:iCs/>
        </w:rPr>
        <w:t>solve</w:t>
      </w:r>
      <w:r w:rsidRPr="006242D3">
        <w:rPr>
          <w:rFonts w:asciiTheme="majorHAnsi" w:eastAsia="Georgia" w:hAnsiTheme="majorHAnsi" w:cs="Georgia"/>
        </w:rPr>
        <w:t xml:space="preserve"> such complex crises as AIDS or, in our case opioids, but what it can provide is the ability to develop a “kind of meta-framing [for] the work that needs to be done” (Grayson &amp; Little, 2016: 63). According to Grayson and Little, conjunctural analysis thus:</w:t>
      </w:r>
    </w:p>
    <w:p w14:paraId="296D6C80" w14:textId="77777777" w:rsidR="006242D3" w:rsidRPr="006242D3" w:rsidRDefault="006242D3" w:rsidP="006242D3">
      <w:pPr>
        <w:spacing w:line="480" w:lineRule="auto"/>
        <w:ind w:firstLine="720"/>
        <w:rPr>
          <w:rFonts w:asciiTheme="majorHAnsi" w:eastAsia="Georgia" w:hAnsiTheme="majorHAnsi" w:cs="Georgia"/>
        </w:rPr>
      </w:pPr>
      <w:r w:rsidRPr="006242D3">
        <w:rPr>
          <w:rFonts w:asciiTheme="majorHAnsi" w:eastAsia="Georgia" w:hAnsiTheme="majorHAnsi" w:cs="Georgia"/>
        </w:rPr>
        <w:t xml:space="preserve"> </w:t>
      </w:r>
    </w:p>
    <w:p w14:paraId="65E84456" w14:textId="77777777" w:rsidR="006242D3" w:rsidRPr="006242D3" w:rsidRDefault="006242D3" w:rsidP="006242D3">
      <w:pPr>
        <w:spacing w:line="480" w:lineRule="auto"/>
        <w:ind w:left="720"/>
        <w:rPr>
          <w:rFonts w:asciiTheme="majorHAnsi" w:eastAsia="Georgia" w:hAnsiTheme="majorHAnsi" w:cs="Georgia"/>
        </w:rPr>
      </w:pPr>
      <w:r w:rsidRPr="006242D3">
        <w:rPr>
          <w:rFonts w:asciiTheme="majorHAnsi" w:eastAsia="Georgia" w:hAnsiTheme="majorHAnsi" w:cs="Georgia"/>
        </w:rPr>
        <w:t xml:space="preserve">“Enables a deeper perspective on [historical] change and challenges a narrower focus on the day-to-day dramas of the political mainstream; it looks to the organizations of power blocs, the relation between the cultural, economic, political, and social, and at the ideas and institutions that sustain them and the relationships between them. Ideally, it is a form of analysis that helps the left to respond to moments of crisis with innovative program[s] and alliances, and an understanding of the potential of current social and political forces (2016: </w:t>
      </w:r>
      <w:sdt>
        <w:sdtPr>
          <w:rPr>
            <w:rFonts w:asciiTheme="majorHAnsi" w:hAnsiTheme="majorHAnsi"/>
          </w:rPr>
          <w:tag w:val="goog_rdk_18"/>
          <w:id w:val="-389892672"/>
        </w:sdtPr>
        <w:sdtContent/>
      </w:sdt>
      <w:sdt>
        <w:sdtPr>
          <w:rPr>
            <w:rFonts w:asciiTheme="majorHAnsi" w:hAnsiTheme="majorHAnsi"/>
          </w:rPr>
          <w:tag w:val="goog_rdk_19"/>
          <w:id w:val="-360590341"/>
        </w:sdtPr>
        <w:sdtContent/>
      </w:sdt>
      <w:r w:rsidRPr="006242D3">
        <w:rPr>
          <w:rFonts w:asciiTheme="majorHAnsi" w:eastAsia="Georgia" w:hAnsiTheme="majorHAnsi" w:cs="Georgia"/>
        </w:rPr>
        <w:t xml:space="preserve">65)” </w:t>
      </w:r>
    </w:p>
    <w:p w14:paraId="1229C77F" w14:textId="77777777" w:rsidR="007E4DC2" w:rsidRDefault="007E4DC2" w:rsidP="007E4DC2">
      <w:pPr>
        <w:spacing w:line="480" w:lineRule="auto"/>
        <w:rPr>
          <w:rFonts w:asciiTheme="majorHAnsi" w:eastAsia="Georgia" w:hAnsiTheme="majorHAnsi" w:cs="Georgia"/>
        </w:rPr>
      </w:pPr>
    </w:p>
    <w:p w14:paraId="038F7030" w14:textId="3B2193A4" w:rsidR="006242D3" w:rsidRPr="006242D3" w:rsidRDefault="006242D3" w:rsidP="007E4DC2">
      <w:pPr>
        <w:spacing w:line="480" w:lineRule="auto"/>
        <w:ind w:firstLine="720"/>
        <w:rPr>
          <w:rFonts w:asciiTheme="majorHAnsi" w:eastAsia="Georgia" w:hAnsiTheme="majorHAnsi" w:cs="Georgia"/>
        </w:rPr>
      </w:pPr>
      <w:r w:rsidRPr="006242D3">
        <w:rPr>
          <w:rFonts w:asciiTheme="majorHAnsi" w:eastAsia="Georgia" w:hAnsiTheme="majorHAnsi" w:cs="Georgia"/>
        </w:rPr>
        <w:t xml:space="preserve">From the perspective of </w:t>
      </w:r>
      <w:proofErr w:type="spellStart"/>
      <w:r w:rsidRPr="006242D3">
        <w:rPr>
          <w:rFonts w:asciiTheme="majorHAnsi" w:eastAsia="Georgia" w:hAnsiTheme="majorHAnsi" w:cs="Georgia"/>
        </w:rPr>
        <w:t>conjuncturalism</w:t>
      </w:r>
      <w:proofErr w:type="spellEnd"/>
      <w:r w:rsidRPr="006242D3">
        <w:rPr>
          <w:rFonts w:asciiTheme="majorHAnsi" w:eastAsia="Georgia" w:hAnsiTheme="majorHAnsi" w:cs="Georgia"/>
        </w:rPr>
        <w:t xml:space="preserve">, crises are understood to be a “driving force of historical change” insofar as they arise when the multiple contradictions always at work within and across the many domains of society “exhaust their possibilities for renewal” and condense or “fuse in </w:t>
      </w:r>
      <w:proofErr w:type="spellStart"/>
      <w:r w:rsidRPr="006242D3">
        <w:rPr>
          <w:rFonts w:asciiTheme="majorHAnsi" w:eastAsia="Georgia" w:hAnsiTheme="majorHAnsi" w:cs="Georgia"/>
        </w:rPr>
        <w:t>ruptural</w:t>
      </w:r>
      <w:proofErr w:type="spellEnd"/>
      <w:r w:rsidRPr="006242D3">
        <w:rPr>
          <w:rFonts w:asciiTheme="majorHAnsi" w:eastAsia="Georgia" w:hAnsiTheme="majorHAnsi" w:cs="Georgia"/>
        </w:rPr>
        <w:t xml:space="preserve"> unity”—“reveal[</w:t>
      </w:r>
      <w:proofErr w:type="spellStart"/>
      <w:r w:rsidRPr="006242D3">
        <w:rPr>
          <w:rFonts w:asciiTheme="majorHAnsi" w:eastAsia="Georgia" w:hAnsiTheme="majorHAnsi" w:cs="Georgia"/>
        </w:rPr>
        <w:t>ing</w:t>
      </w:r>
      <w:proofErr w:type="spellEnd"/>
      <w:r w:rsidRPr="006242D3">
        <w:rPr>
          <w:rFonts w:asciiTheme="majorHAnsi" w:eastAsia="Georgia" w:hAnsiTheme="majorHAnsi" w:cs="Georgia"/>
        </w:rPr>
        <w:t xml:space="preserve">] themselves to have long been moving” in opposing directions (Grossberg, 2010: 39; Grayson and Little. 2019: 66; </w:t>
      </w:r>
      <w:proofErr w:type="spellStart"/>
      <w:r w:rsidRPr="006242D3">
        <w:rPr>
          <w:rFonts w:asciiTheme="majorHAnsi" w:eastAsia="Georgia" w:hAnsiTheme="majorHAnsi" w:cs="Georgia"/>
        </w:rPr>
        <w:t>Spielman</w:t>
      </w:r>
      <w:proofErr w:type="spellEnd"/>
      <w:r w:rsidRPr="006242D3">
        <w:rPr>
          <w:rFonts w:asciiTheme="majorHAnsi" w:eastAsia="Georgia" w:hAnsiTheme="majorHAnsi" w:cs="Georgia"/>
        </w:rPr>
        <w:t xml:space="preserve">, 2019: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Hall &amp; Massey, 2010: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While the concept of the conjuncture has a long history in Marxist political thought, its reworking within the cultural studies tradition was primarily inspired by the scholarship of Antonio Gramsci and Louis </w:t>
      </w:r>
      <w:proofErr w:type="spellStart"/>
      <w:r w:rsidRPr="006242D3">
        <w:rPr>
          <w:rFonts w:asciiTheme="majorHAnsi" w:eastAsia="Georgia" w:hAnsiTheme="majorHAnsi" w:cs="Georgia"/>
        </w:rPr>
        <w:t>Althusser</w:t>
      </w:r>
      <w:proofErr w:type="spellEnd"/>
      <w:r w:rsidRPr="006242D3">
        <w:rPr>
          <w:rFonts w:asciiTheme="majorHAnsi" w:eastAsia="Georgia" w:hAnsiTheme="majorHAnsi" w:cs="Georgia"/>
        </w:rPr>
        <w:t xml:space="preserve"> (</w:t>
      </w:r>
      <w:proofErr w:type="spellStart"/>
      <w:r w:rsidRPr="006242D3">
        <w:rPr>
          <w:rFonts w:asciiTheme="majorHAnsi" w:eastAsia="Georgia" w:hAnsiTheme="majorHAnsi" w:cs="Georgia"/>
        </w:rPr>
        <w:t>Grossberg</w:t>
      </w:r>
      <w:proofErr w:type="spellEnd"/>
      <w:r w:rsidRPr="006242D3">
        <w:rPr>
          <w:rFonts w:asciiTheme="majorHAnsi" w:eastAsia="Georgia" w:hAnsiTheme="majorHAnsi" w:cs="Georgia"/>
        </w:rPr>
        <w:t xml:space="preserve">, 2010: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As Gilbert (2019: 11) writes, Stuart Hall’s particular style of conjunctural analysis draws from Marx’s narrative historical account in the Eighteenth </w:t>
      </w:r>
      <w:r w:rsidRPr="006242D3">
        <w:rPr>
          <w:rFonts w:asciiTheme="majorHAnsi" w:eastAsia="Georgia" w:hAnsiTheme="majorHAnsi" w:cs="Georgia"/>
        </w:rPr>
        <w:lastRenderedPageBreak/>
        <w:t xml:space="preserve">Brumaire, Althusser’s critique of dialectical materialism, and Gramsci’s conjunctural politics to mediate between the propensity in critical scholarship towards overly abstract </w:t>
      </w:r>
      <w:proofErr w:type="spellStart"/>
      <w:r w:rsidRPr="006242D3">
        <w:rPr>
          <w:rFonts w:asciiTheme="majorHAnsi" w:eastAsia="Georgia" w:hAnsiTheme="majorHAnsi" w:cs="Georgia"/>
        </w:rPr>
        <w:t>theoreticism</w:t>
      </w:r>
      <w:proofErr w:type="spellEnd"/>
      <w:r w:rsidRPr="006242D3">
        <w:rPr>
          <w:rFonts w:asciiTheme="majorHAnsi" w:eastAsia="Georgia" w:hAnsiTheme="majorHAnsi" w:cs="Georgia"/>
        </w:rPr>
        <w:t xml:space="preserve"> and/or excessive particularism. </w:t>
      </w:r>
      <w:proofErr w:type="spellStart"/>
      <w:r w:rsidRPr="006242D3">
        <w:rPr>
          <w:rFonts w:asciiTheme="majorHAnsi" w:eastAsia="Georgia" w:hAnsiTheme="majorHAnsi" w:cs="Georgia"/>
        </w:rPr>
        <w:t>Conjuncturalism</w:t>
      </w:r>
      <w:proofErr w:type="spellEnd"/>
      <w:r w:rsidRPr="006242D3">
        <w:rPr>
          <w:rFonts w:asciiTheme="majorHAnsi" w:eastAsia="Georgia" w:hAnsiTheme="majorHAnsi" w:cs="Georgia"/>
        </w:rPr>
        <w:t xml:space="preserve"> thus provides a method of historical analysis that illuminates the ways general, structural tendencies relate to the particularities of…concrete events” through the lens of crisis (Davis, 2019: 52). </w:t>
      </w:r>
    </w:p>
    <w:p w14:paraId="09AFD038" w14:textId="2D615AF5" w:rsidR="00F6487D" w:rsidRPr="006242D3" w:rsidRDefault="006242D3" w:rsidP="00495A8D">
      <w:pPr>
        <w:spacing w:line="480" w:lineRule="auto"/>
        <w:ind w:firstLine="720"/>
        <w:rPr>
          <w:rFonts w:asciiTheme="majorHAnsi" w:eastAsia="Georgia" w:hAnsiTheme="majorHAnsi" w:cs="Georgia"/>
        </w:rPr>
      </w:pPr>
      <w:r w:rsidRPr="006242D3">
        <w:rPr>
          <w:rFonts w:asciiTheme="majorHAnsi" w:eastAsia="Georgia" w:hAnsiTheme="majorHAnsi" w:cs="Georgia"/>
        </w:rPr>
        <w:t xml:space="preserve">According to Hall (2010: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w:t>
      </w:r>
      <w:r w:rsidR="00F6487D">
        <w:rPr>
          <w:rFonts w:asciiTheme="majorHAnsi" w:eastAsia="Georgia" w:hAnsiTheme="majorHAnsi" w:cs="Georgia"/>
        </w:rPr>
        <w:t xml:space="preserve">a </w:t>
      </w:r>
      <w:r w:rsidRPr="006242D3">
        <w:rPr>
          <w:rFonts w:asciiTheme="majorHAnsi" w:eastAsia="Georgia" w:hAnsiTheme="majorHAnsi" w:cs="Georgia"/>
        </w:rPr>
        <w:t xml:space="preserve">conjuncture describes “the complex historically specific terrain of a crisis which affects—but in uneven ways—the…national-social formation as a whole.” </w:t>
      </w:r>
      <w:r w:rsidR="00F6487D">
        <w:rPr>
          <w:rFonts w:asciiTheme="majorHAnsi" w:eastAsia="Georgia" w:hAnsiTheme="majorHAnsi" w:cs="Georgia"/>
        </w:rPr>
        <w:t>Thus, conjunctural analysis describes a method of examining the crisis at its various levels of expression—political-economic, cultural, ideological, while also laying the groundwork for how to radically intervene and redirect the tides of social change. From this perspective, crises (or conjunctures) “</w:t>
      </w:r>
      <w:r w:rsidRPr="006242D3">
        <w:rPr>
          <w:rFonts w:asciiTheme="majorHAnsi" w:eastAsia="Georgia" w:hAnsiTheme="majorHAnsi" w:cs="Georgia"/>
        </w:rPr>
        <w:t xml:space="preserve">punctuate history” </w:t>
      </w:r>
      <w:r w:rsidR="00F6487D">
        <w:rPr>
          <w:rFonts w:asciiTheme="majorHAnsi" w:eastAsia="Georgia" w:hAnsiTheme="majorHAnsi" w:cs="Georgia"/>
        </w:rPr>
        <w:t xml:space="preserve">dialectically or </w:t>
      </w:r>
      <w:r w:rsidRPr="006242D3">
        <w:rPr>
          <w:rFonts w:asciiTheme="majorHAnsi" w:eastAsia="Georgia" w:hAnsiTheme="majorHAnsi" w:cs="Georgia"/>
        </w:rPr>
        <w:t xml:space="preserve">according to a </w:t>
      </w:r>
      <w:r w:rsidR="00F6487D">
        <w:rPr>
          <w:rFonts w:asciiTheme="majorHAnsi" w:eastAsia="Georgia" w:hAnsiTheme="majorHAnsi" w:cs="Georgia"/>
        </w:rPr>
        <w:t xml:space="preserve">“two-fold movement:” </w:t>
      </w:r>
      <w:r w:rsidRPr="006242D3">
        <w:rPr>
          <w:rFonts w:asciiTheme="majorHAnsi" w:eastAsia="Georgia" w:hAnsiTheme="majorHAnsi" w:cs="Georgia"/>
        </w:rPr>
        <w:t xml:space="preserve">First, multiple contradictions come together or “fuse in </w:t>
      </w:r>
      <w:proofErr w:type="spellStart"/>
      <w:r w:rsidRPr="006242D3">
        <w:rPr>
          <w:rFonts w:asciiTheme="majorHAnsi" w:eastAsia="Georgia" w:hAnsiTheme="majorHAnsi" w:cs="Georgia"/>
        </w:rPr>
        <w:t>ruptural</w:t>
      </w:r>
      <w:proofErr w:type="spellEnd"/>
      <w:r w:rsidRPr="006242D3">
        <w:rPr>
          <w:rFonts w:asciiTheme="majorHAnsi" w:eastAsia="Georgia" w:hAnsiTheme="majorHAnsi" w:cs="Georgia"/>
        </w:rPr>
        <w:t xml:space="preserve"> unity” to produce an organic (structural) crisis </w:t>
      </w:r>
      <w:r w:rsidR="00F6487D">
        <w:rPr>
          <w:rFonts w:asciiTheme="majorHAnsi" w:eastAsia="Georgia" w:hAnsiTheme="majorHAnsi" w:cs="Georgia"/>
        </w:rPr>
        <w:t>that</w:t>
      </w:r>
      <w:r w:rsidRPr="006242D3">
        <w:rPr>
          <w:rFonts w:asciiTheme="majorHAnsi" w:eastAsia="Georgia" w:hAnsiTheme="majorHAnsi" w:cs="Georgia"/>
        </w:rPr>
        <w:t xml:space="preserve"> casts the current conjuncture into decline</w:t>
      </w:r>
      <w:r w:rsidR="00F6487D">
        <w:rPr>
          <w:rFonts w:asciiTheme="majorHAnsi" w:eastAsia="Georgia" w:hAnsiTheme="majorHAnsi" w:cs="Georgia"/>
        </w:rPr>
        <w:t xml:space="preserve"> and, second, </w:t>
      </w:r>
      <w:r w:rsidRPr="006242D3">
        <w:rPr>
          <w:rFonts w:asciiTheme="majorHAnsi" w:eastAsia="Georgia" w:hAnsiTheme="majorHAnsi" w:cs="Georgia"/>
        </w:rPr>
        <w:t>a new conjuncture is established through the institution of “resolutions” that temporarily stabilize the crisis by “suspending” certain contradictions</w:t>
      </w:r>
      <w:r w:rsidR="00F6487D">
        <w:rPr>
          <w:rFonts w:asciiTheme="majorHAnsi" w:eastAsia="Georgia" w:hAnsiTheme="majorHAnsi" w:cs="Georgia"/>
        </w:rPr>
        <w:t xml:space="preserve"> (</w:t>
      </w:r>
      <w:proofErr w:type="spellStart"/>
      <w:r w:rsidR="00F6487D">
        <w:rPr>
          <w:rFonts w:asciiTheme="majorHAnsi" w:eastAsia="Georgia" w:hAnsiTheme="majorHAnsi" w:cs="Georgia"/>
        </w:rPr>
        <w:t>S</w:t>
      </w:r>
      <w:r w:rsidR="00F6487D" w:rsidRPr="006242D3">
        <w:rPr>
          <w:rFonts w:asciiTheme="majorHAnsi" w:eastAsia="Georgia" w:hAnsiTheme="majorHAnsi" w:cs="Georgia"/>
        </w:rPr>
        <w:t>pielman</w:t>
      </w:r>
      <w:proofErr w:type="spellEnd"/>
      <w:r w:rsidR="00F6487D" w:rsidRPr="006242D3">
        <w:rPr>
          <w:rFonts w:asciiTheme="majorHAnsi" w:eastAsia="Georgia" w:hAnsiTheme="majorHAnsi" w:cs="Georgia"/>
        </w:rPr>
        <w:t xml:space="preserve"> (2019: </w:t>
      </w:r>
      <w:proofErr w:type="spellStart"/>
      <w:r w:rsidR="00F6487D" w:rsidRPr="006242D3">
        <w:rPr>
          <w:rFonts w:asciiTheme="majorHAnsi" w:eastAsia="Georgia" w:hAnsiTheme="majorHAnsi" w:cs="Georgia"/>
        </w:rPr>
        <w:t>n.p</w:t>
      </w:r>
      <w:proofErr w:type="spellEnd"/>
      <w:r w:rsidR="00F6487D" w:rsidRPr="006242D3">
        <w:rPr>
          <w:rFonts w:asciiTheme="majorHAnsi" w:eastAsia="Georgia" w:hAnsiTheme="majorHAnsi" w:cs="Georgia"/>
        </w:rPr>
        <w:t>.)</w:t>
      </w:r>
      <w:r w:rsidR="00F6487D">
        <w:rPr>
          <w:rFonts w:asciiTheme="majorHAnsi" w:eastAsia="Georgia" w:hAnsiTheme="majorHAnsi" w:cs="Georgia"/>
        </w:rPr>
        <w:t xml:space="preserve">. However, change is never guaranteed. The crisis could be only temporary, or transform things but not deeply, and then be followed by a “return to ‘business-as-usual’” (Hall &amp; Massey, 2010: </w:t>
      </w:r>
      <w:proofErr w:type="spellStart"/>
      <w:r w:rsidR="00F6487D">
        <w:rPr>
          <w:rFonts w:asciiTheme="majorHAnsi" w:eastAsia="Georgia" w:hAnsiTheme="majorHAnsi" w:cs="Georgia"/>
        </w:rPr>
        <w:t>n.p</w:t>
      </w:r>
      <w:proofErr w:type="spellEnd"/>
      <w:r w:rsidR="00F6487D">
        <w:rPr>
          <w:rFonts w:asciiTheme="majorHAnsi" w:eastAsia="Georgia" w:hAnsiTheme="majorHAnsi" w:cs="Georgia"/>
        </w:rPr>
        <w:t xml:space="preserve">.). The opioid crisis indeed affects national-social formation as a whole, is driven by multiple forces and accumulated antagonisms, and it has opened up fissures and fault lines which “portend new potentialities, new conjunctures,” but the groundwork for change must be laid—it does not just happen (Wilson &amp; </w:t>
      </w:r>
      <w:proofErr w:type="spellStart"/>
      <w:r w:rsidR="00F6487D">
        <w:rPr>
          <w:rFonts w:asciiTheme="majorHAnsi" w:eastAsia="Georgia" w:hAnsiTheme="majorHAnsi" w:cs="Georgia"/>
        </w:rPr>
        <w:t>Yochim</w:t>
      </w:r>
      <w:proofErr w:type="spellEnd"/>
      <w:r w:rsidR="00F6487D">
        <w:rPr>
          <w:rFonts w:asciiTheme="majorHAnsi" w:eastAsia="Georgia" w:hAnsiTheme="majorHAnsi" w:cs="Georgia"/>
        </w:rPr>
        <w:t xml:space="preserve">, 2008: 7).   </w:t>
      </w:r>
    </w:p>
    <w:p w14:paraId="24D31ABA" w14:textId="05C124FD" w:rsidR="006242D3" w:rsidRDefault="006242D3" w:rsidP="00F6487D">
      <w:pPr>
        <w:spacing w:line="480" w:lineRule="auto"/>
        <w:ind w:firstLine="720"/>
        <w:rPr>
          <w:rFonts w:asciiTheme="majorHAnsi" w:eastAsia="Georgia" w:hAnsiTheme="majorHAnsi" w:cs="Georgia"/>
        </w:rPr>
      </w:pPr>
      <w:r w:rsidRPr="006242D3">
        <w:rPr>
          <w:rFonts w:asciiTheme="majorHAnsi" w:eastAsia="Georgia" w:hAnsiTheme="majorHAnsi" w:cs="Georgia"/>
        </w:rPr>
        <w:lastRenderedPageBreak/>
        <w:t xml:space="preserve">If crises </w:t>
      </w:r>
      <w:r w:rsidR="000E6098">
        <w:rPr>
          <w:rFonts w:asciiTheme="majorHAnsi" w:eastAsia="Georgia" w:hAnsiTheme="majorHAnsi" w:cs="Georgia"/>
        </w:rPr>
        <w:t>arise when</w:t>
      </w:r>
      <w:r w:rsidRPr="006242D3">
        <w:rPr>
          <w:rFonts w:asciiTheme="majorHAnsi" w:eastAsia="Georgia" w:hAnsiTheme="majorHAnsi" w:cs="Georgia"/>
        </w:rPr>
        <w:t xml:space="preserve"> the “resolutions” </w:t>
      </w:r>
      <w:r w:rsidR="000E6098">
        <w:rPr>
          <w:rFonts w:asciiTheme="majorHAnsi" w:eastAsia="Georgia" w:hAnsiTheme="majorHAnsi" w:cs="Georgia"/>
        </w:rPr>
        <w:t>stabilizing</w:t>
      </w:r>
      <w:r w:rsidRPr="006242D3">
        <w:rPr>
          <w:rFonts w:asciiTheme="majorHAnsi" w:eastAsia="Georgia" w:hAnsiTheme="majorHAnsi" w:cs="Georgia"/>
        </w:rPr>
        <w:t xml:space="preserve"> the present conjuncture can no longer “suspend” or defer </w:t>
      </w:r>
      <w:r w:rsidR="00F6487D">
        <w:rPr>
          <w:rFonts w:asciiTheme="majorHAnsi" w:eastAsia="Georgia" w:hAnsiTheme="majorHAnsi" w:cs="Georgia"/>
        </w:rPr>
        <w:t>those</w:t>
      </w:r>
      <w:r w:rsidRPr="006242D3">
        <w:rPr>
          <w:rFonts w:asciiTheme="majorHAnsi" w:eastAsia="Georgia" w:hAnsiTheme="majorHAnsi" w:cs="Georgia"/>
        </w:rPr>
        <w:t xml:space="preserve"> contradictions</w:t>
      </w:r>
      <w:r w:rsidR="00F6487D">
        <w:rPr>
          <w:rFonts w:asciiTheme="majorHAnsi" w:eastAsia="Georgia" w:hAnsiTheme="majorHAnsi" w:cs="Georgia"/>
        </w:rPr>
        <w:t xml:space="preserve"> and thus open it up to the possibilities of a “new” conjuncture, by analyzing the hegemonic and counter-hegemonic struggles the opioid crisis has given rise to we can chart ways to push it away “from a compromise end and towards a more radical rupture</w:t>
      </w:r>
      <w:proofErr w:type="gramStart"/>
      <w:r w:rsidR="00F6487D">
        <w:rPr>
          <w:rFonts w:asciiTheme="majorHAnsi" w:eastAsia="Georgia" w:hAnsiTheme="majorHAnsi" w:cs="Georgia"/>
        </w:rPr>
        <w:t>”(</w:t>
      </w:r>
      <w:proofErr w:type="spellStart"/>
      <w:proofErr w:type="gramEnd"/>
      <w:r w:rsidR="00F6487D">
        <w:rPr>
          <w:rFonts w:asciiTheme="majorHAnsi" w:eastAsia="Georgia" w:hAnsiTheme="majorHAnsi" w:cs="Georgia"/>
        </w:rPr>
        <w:t>Spielman</w:t>
      </w:r>
      <w:proofErr w:type="spellEnd"/>
      <w:r w:rsidR="00F6487D">
        <w:rPr>
          <w:rFonts w:asciiTheme="majorHAnsi" w:eastAsia="Georgia" w:hAnsiTheme="majorHAnsi" w:cs="Georgia"/>
        </w:rPr>
        <w:t xml:space="preserve">, 2019: </w:t>
      </w:r>
      <w:proofErr w:type="spellStart"/>
      <w:r w:rsidR="00F6487D">
        <w:rPr>
          <w:rFonts w:asciiTheme="majorHAnsi" w:eastAsia="Georgia" w:hAnsiTheme="majorHAnsi" w:cs="Georgia"/>
        </w:rPr>
        <w:t>n.p</w:t>
      </w:r>
      <w:proofErr w:type="spellEnd"/>
      <w:r w:rsidR="00F6487D">
        <w:rPr>
          <w:rFonts w:asciiTheme="majorHAnsi" w:eastAsia="Georgia" w:hAnsiTheme="majorHAnsi" w:cs="Georgia"/>
        </w:rPr>
        <w:t xml:space="preserve">.; Hall &amp; Massey, 2010: </w:t>
      </w:r>
      <w:proofErr w:type="spellStart"/>
      <w:r w:rsidR="00F6487D">
        <w:rPr>
          <w:rFonts w:asciiTheme="majorHAnsi" w:eastAsia="Georgia" w:hAnsiTheme="majorHAnsi" w:cs="Georgia"/>
        </w:rPr>
        <w:t>n.p</w:t>
      </w:r>
      <w:proofErr w:type="spellEnd"/>
      <w:r w:rsidR="00F6487D">
        <w:rPr>
          <w:rFonts w:asciiTheme="majorHAnsi" w:eastAsia="Georgia" w:hAnsiTheme="majorHAnsi" w:cs="Georgia"/>
        </w:rPr>
        <w:t xml:space="preserve">.).  A conjunctural approach will enable us to not only </w:t>
      </w:r>
      <w:r w:rsidR="000E6098">
        <w:rPr>
          <w:rFonts w:asciiTheme="majorHAnsi" w:eastAsia="Georgia" w:hAnsiTheme="majorHAnsi" w:cs="Georgia"/>
        </w:rPr>
        <w:t>locate</w:t>
      </w:r>
      <w:r w:rsidRPr="006242D3">
        <w:rPr>
          <w:rFonts w:asciiTheme="majorHAnsi" w:eastAsia="Georgia" w:hAnsiTheme="majorHAnsi" w:cs="Georgia"/>
        </w:rPr>
        <w:t xml:space="preserve"> </w:t>
      </w:r>
      <w:r w:rsidR="00F6487D">
        <w:rPr>
          <w:rFonts w:asciiTheme="majorHAnsi" w:eastAsia="Georgia" w:hAnsiTheme="majorHAnsi" w:cs="Georgia"/>
        </w:rPr>
        <w:t>the</w:t>
      </w:r>
      <w:r w:rsidRPr="006242D3">
        <w:rPr>
          <w:rFonts w:asciiTheme="majorHAnsi" w:eastAsia="Georgia" w:hAnsiTheme="majorHAnsi" w:cs="Georgia"/>
        </w:rPr>
        <w:t xml:space="preserve"> opioid crisis </w:t>
      </w:r>
      <w:r w:rsidR="00F6487D">
        <w:rPr>
          <w:rFonts w:asciiTheme="majorHAnsi" w:eastAsia="Georgia" w:hAnsiTheme="majorHAnsi" w:cs="Georgia"/>
        </w:rPr>
        <w:t xml:space="preserve">within </w:t>
      </w:r>
      <w:r w:rsidRPr="006242D3">
        <w:rPr>
          <w:rFonts w:asciiTheme="majorHAnsi" w:eastAsia="Georgia" w:hAnsiTheme="majorHAnsi" w:cs="Georgia"/>
        </w:rPr>
        <w:t>longer-term “movements, moments, and shifts</w:t>
      </w:r>
      <w:r w:rsidR="00F6487D">
        <w:rPr>
          <w:rFonts w:asciiTheme="majorHAnsi" w:eastAsia="Georgia" w:hAnsiTheme="majorHAnsi" w:cs="Georgia"/>
        </w:rPr>
        <w:t xml:space="preserve">,” but put those </w:t>
      </w:r>
      <w:r w:rsidRPr="006242D3">
        <w:rPr>
          <w:rFonts w:asciiTheme="majorHAnsi" w:eastAsia="Georgia" w:hAnsiTheme="majorHAnsi" w:cs="Georgia"/>
        </w:rPr>
        <w:t xml:space="preserve">histories to </w:t>
      </w:r>
      <w:r w:rsidR="00F6487D">
        <w:rPr>
          <w:rFonts w:asciiTheme="majorHAnsi" w:eastAsia="Georgia" w:hAnsiTheme="majorHAnsi" w:cs="Georgia"/>
        </w:rPr>
        <w:t>work to</w:t>
      </w:r>
      <w:r w:rsidRPr="006242D3">
        <w:rPr>
          <w:rFonts w:asciiTheme="majorHAnsi" w:eastAsia="Georgia" w:hAnsiTheme="majorHAnsi" w:cs="Georgia"/>
        </w:rPr>
        <w:t xml:space="preserve"> identify sites </w:t>
      </w:r>
      <w:r w:rsidR="000E6098">
        <w:rPr>
          <w:rFonts w:asciiTheme="majorHAnsi" w:eastAsia="Georgia" w:hAnsiTheme="majorHAnsi" w:cs="Georgia"/>
        </w:rPr>
        <w:t xml:space="preserve">of </w:t>
      </w:r>
      <w:r w:rsidR="00F6487D">
        <w:rPr>
          <w:rFonts w:asciiTheme="majorHAnsi" w:eastAsia="Georgia" w:hAnsiTheme="majorHAnsi" w:cs="Georgia"/>
        </w:rPr>
        <w:t xml:space="preserve">potential </w:t>
      </w:r>
      <w:r w:rsidR="000E6098">
        <w:rPr>
          <w:rFonts w:asciiTheme="majorHAnsi" w:eastAsia="Georgia" w:hAnsiTheme="majorHAnsi" w:cs="Georgia"/>
        </w:rPr>
        <w:t xml:space="preserve">rupture </w:t>
      </w:r>
      <w:r w:rsidR="00F6487D">
        <w:rPr>
          <w:rFonts w:asciiTheme="majorHAnsi" w:eastAsia="Georgia" w:hAnsiTheme="majorHAnsi" w:cs="Georgia"/>
        </w:rPr>
        <w:t>and strategic intervention</w:t>
      </w:r>
      <w:r w:rsidR="00F6487D" w:rsidRPr="006242D3">
        <w:rPr>
          <w:rFonts w:asciiTheme="majorHAnsi" w:eastAsia="Georgia" w:hAnsiTheme="majorHAnsi" w:cs="Georgia"/>
        </w:rPr>
        <w:t xml:space="preserve"> (</w:t>
      </w:r>
      <w:r w:rsidRPr="006242D3">
        <w:rPr>
          <w:rFonts w:asciiTheme="majorHAnsi" w:eastAsia="Georgia" w:hAnsiTheme="majorHAnsi" w:cs="Georgia"/>
        </w:rPr>
        <w:t xml:space="preserve">Grayson &amp; Little, 2016: 71). </w:t>
      </w:r>
      <w:r w:rsidR="00F6487D">
        <w:rPr>
          <w:rFonts w:asciiTheme="majorHAnsi" w:eastAsia="Georgia" w:hAnsiTheme="majorHAnsi" w:cs="Georgia"/>
        </w:rPr>
        <w:t xml:space="preserve">This approach will allow us to grasp the ways in which the state is actively producing the opioid crisis as a </w:t>
      </w:r>
      <w:r w:rsidRPr="006242D3">
        <w:rPr>
          <w:rFonts w:asciiTheme="majorHAnsi" w:eastAsia="Georgia" w:hAnsiTheme="majorHAnsi" w:cs="Georgia"/>
        </w:rPr>
        <w:t>public health emergenc</w:t>
      </w:r>
      <w:r w:rsidR="00F6487D">
        <w:rPr>
          <w:rFonts w:asciiTheme="majorHAnsi" w:eastAsia="Georgia" w:hAnsiTheme="majorHAnsi" w:cs="Georgia"/>
        </w:rPr>
        <w:t xml:space="preserve">y </w:t>
      </w:r>
      <w:r w:rsidR="00F6487D">
        <w:rPr>
          <w:rFonts w:asciiTheme="majorHAnsi" w:eastAsia="Georgia" w:hAnsiTheme="majorHAnsi" w:cs="Georgia"/>
          <w:i/>
          <w:iCs/>
        </w:rPr>
        <w:t xml:space="preserve">and </w:t>
      </w:r>
      <w:r w:rsidR="00F6487D">
        <w:rPr>
          <w:rFonts w:asciiTheme="majorHAnsi" w:eastAsia="Georgia" w:hAnsiTheme="majorHAnsi" w:cs="Georgia"/>
        </w:rPr>
        <w:t xml:space="preserve">a threat to national security in order to justify interventions that deepen its hold </w:t>
      </w:r>
      <w:r w:rsidR="00F6487D" w:rsidRPr="006242D3">
        <w:rPr>
          <w:rFonts w:asciiTheme="majorHAnsi" w:eastAsia="Georgia" w:hAnsiTheme="majorHAnsi" w:cs="Georgia"/>
        </w:rPr>
        <w:t>(</w:t>
      </w:r>
      <w:r w:rsidRPr="006242D3">
        <w:rPr>
          <w:rFonts w:asciiTheme="majorHAnsi" w:eastAsia="Georgia" w:hAnsiTheme="majorHAnsi" w:cs="Georgia"/>
        </w:rPr>
        <w:t xml:space="preserve">Pereira, 2021: 185). </w:t>
      </w:r>
    </w:p>
    <w:p w14:paraId="681D8291" w14:textId="7BF9D6C6" w:rsidR="00F6487D" w:rsidRPr="006242D3" w:rsidRDefault="00F6487D" w:rsidP="0000487F">
      <w:pPr>
        <w:spacing w:line="480" w:lineRule="auto"/>
        <w:ind w:firstLine="720"/>
        <w:rPr>
          <w:rFonts w:asciiTheme="majorHAnsi" w:eastAsia="Georgia" w:hAnsiTheme="majorHAnsi" w:cs="Georgia"/>
        </w:rPr>
      </w:pPr>
      <w:r>
        <w:rPr>
          <w:rFonts w:asciiTheme="majorHAnsi" w:eastAsia="Georgia" w:hAnsiTheme="majorHAnsi" w:cs="Georgia"/>
        </w:rPr>
        <w:t>To trouble the</w:t>
      </w:r>
      <w:r w:rsidR="000E6098">
        <w:rPr>
          <w:rFonts w:asciiTheme="majorHAnsi" w:eastAsia="Georgia" w:hAnsiTheme="majorHAnsi" w:cs="Georgia"/>
        </w:rPr>
        <w:t xml:space="preserve"> way</w:t>
      </w:r>
      <w:r w:rsidR="001A7B81">
        <w:rPr>
          <w:rFonts w:asciiTheme="majorHAnsi" w:eastAsia="Georgia" w:hAnsiTheme="majorHAnsi" w:cs="Georgia"/>
        </w:rPr>
        <w:t>s the</w:t>
      </w:r>
      <w:r w:rsidR="000E6098">
        <w:rPr>
          <w:rFonts w:asciiTheme="majorHAnsi" w:eastAsia="Georgia" w:hAnsiTheme="majorHAnsi" w:cs="Georgia"/>
        </w:rPr>
        <w:t xml:space="preserve"> state is producing the crisis</w:t>
      </w:r>
      <w:r>
        <w:rPr>
          <w:rFonts w:asciiTheme="majorHAnsi" w:eastAsia="Georgia" w:hAnsiTheme="majorHAnsi" w:cs="Georgia"/>
        </w:rPr>
        <w:t xml:space="preserve"> from a conjunctural perspective</w:t>
      </w:r>
      <w:r w:rsidR="000E6098">
        <w:rPr>
          <w:rFonts w:asciiTheme="majorHAnsi" w:eastAsia="Georgia" w:hAnsiTheme="majorHAnsi" w:cs="Georgia"/>
        </w:rPr>
        <w:t xml:space="preserve"> </w:t>
      </w:r>
      <w:r>
        <w:rPr>
          <w:rFonts w:asciiTheme="majorHAnsi" w:eastAsia="Georgia" w:hAnsiTheme="majorHAnsi" w:cs="Georgia"/>
        </w:rPr>
        <w:t>does not diminish or deny</w:t>
      </w:r>
      <w:r w:rsidR="000E6098">
        <w:rPr>
          <w:rFonts w:asciiTheme="majorHAnsi" w:eastAsia="Georgia" w:hAnsiTheme="majorHAnsi" w:cs="Georgia"/>
        </w:rPr>
        <w:t xml:space="preserve"> its </w:t>
      </w:r>
      <w:r w:rsidR="006242D3" w:rsidRPr="006242D3">
        <w:rPr>
          <w:rFonts w:asciiTheme="majorHAnsi" w:eastAsia="Georgia" w:hAnsiTheme="majorHAnsi" w:cs="Georgia"/>
        </w:rPr>
        <w:t xml:space="preserve">concrete or </w:t>
      </w:r>
      <w:r w:rsidR="006242D3" w:rsidRPr="006242D3">
        <w:rPr>
          <w:rFonts w:asciiTheme="majorHAnsi" w:eastAsia="Georgia" w:hAnsiTheme="majorHAnsi" w:cs="Georgia"/>
          <w:i/>
          <w:iCs/>
        </w:rPr>
        <w:t xml:space="preserve">lived </w:t>
      </w:r>
      <w:r>
        <w:rPr>
          <w:rFonts w:asciiTheme="majorHAnsi" w:eastAsia="Georgia" w:hAnsiTheme="majorHAnsi" w:cs="Georgia"/>
          <w:i/>
          <w:iCs/>
        </w:rPr>
        <w:t>realities</w:t>
      </w:r>
      <w:r w:rsidR="001A7B81">
        <w:rPr>
          <w:rFonts w:asciiTheme="majorHAnsi" w:eastAsia="Georgia" w:hAnsiTheme="majorHAnsi" w:cs="Georgia"/>
        </w:rPr>
        <w:t>.</w:t>
      </w:r>
      <w:r w:rsidR="006242D3" w:rsidRPr="006242D3">
        <w:rPr>
          <w:rFonts w:asciiTheme="majorHAnsi" w:eastAsia="Georgia" w:hAnsiTheme="majorHAnsi" w:cs="Georgia"/>
        </w:rPr>
        <w:t xml:space="preserve"> </w:t>
      </w:r>
      <w:r w:rsidR="0000487F">
        <w:rPr>
          <w:rFonts w:asciiTheme="majorHAnsi" w:eastAsia="Georgia" w:hAnsiTheme="majorHAnsi" w:cs="Georgia"/>
        </w:rPr>
        <w:t>Rather, it</w:t>
      </w:r>
      <w:r>
        <w:rPr>
          <w:rFonts w:asciiTheme="majorHAnsi" w:eastAsia="Georgia" w:hAnsiTheme="majorHAnsi" w:cs="Georgia"/>
        </w:rPr>
        <w:t xml:space="preserve"> allows </w:t>
      </w:r>
      <w:r w:rsidR="0000487F">
        <w:rPr>
          <w:rFonts w:asciiTheme="majorHAnsi" w:eastAsia="Georgia" w:hAnsiTheme="majorHAnsi" w:cs="Georgia"/>
        </w:rPr>
        <w:t xml:space="preserve">for </w:t>
      </w:r>
      <w:r>
        <w:rPr>
          <w:rFonts w:asciiTheme="majorHAnsi" w:eastAsia="Georgia" w:hAnsiTheme="majorHAnsi" w:cs="Georgia"/>
        </w:rPr>
        <w:t xml:space="preserve">us to </w:t>
      </w:r>
      <w:r w:rsidR="0000487F">
        <w:rPr>
          <w:rFonts w:asciiTheme="majorHAnsi" w:eastAsia="Georgia" w:hAnsiTheme="majorHAnsi" w:cs="Georgia"/>
        </w:rPr>
        <w:t xml:space="preserve">simultaneously </w:t>
      </w:r>
      <w:r>
        <w:rPr>
          <w:rFonts w:asciiTheme="majorHAnsi" w:eastAsia="Georgia" w:hAnsiTheme="majorHAnsi" w:cs="Georgia"/>
        </w:rPr>
        <w:t xml:space="preserve">appreciate the </w:t>
      </w:r>
      <w:r w:rsidR="0000487F">
        <w:rPr>
          <w:rFonts w:asciiTheme="majorHAnsi" w:eastAsia="Georgia" w:hAnsiTheme="majorHAnsi" w:cs="Georgia"/>
          <w:i/>
          <w:iCs/>
        </w:rPr>
        <w:t xml:space="preserve">necessity </w:t>
      </w:r>
      <w:r w:rsidR="0000487F">
        <w:rPr>
          <w:rFonts w:asciiTheme="majorHAnsi" w:eastAsia="Georgia" w:hAnsiTheme="majorHAnsi" w:cs="Georgia"/>
        </w:rPr>
        <w:t xml:space="preserve">of </w:t>
      </w:r>
      <w:r>
        <w:rPr>
          <w:rFonts w:asciiTheme="majorHAnsi" w:eastAsia="Georgia" w:hAnsiTheme="majorHAnsi" w:cs="Georgia"/>
        </w:rPr>
        <w:t xml:space="preserve">public health-based </w:t>
      </w:r>
      <w:r w:rsidR="0000487F">
        <w:rPr>
          <w:rFonts w:asciiTheme="majorHAnsi" w:eastAsia="Georgia" w:hAnsiTheme="majorHAnsi" w:cs="Georgia"/>
        </w:rPr>
        <w:t>responses to criminalized drug use</w:t>
      </w:r>
      <w:r>
        <w:rPr>
          <w:rFonts w:asciiTheme="majorHAnsi" w:eastAsia="Georgia" w:hAnsiTheme="majorHAnsi" w:cs="Georgia"/>
        </w:rPr>
        <w:t xml:space="preserve"> in the absence of</w:t>
      </w:r>
      <w:r w:rsidR="0000487F">
        <w:rPr>
          <w:rFonts w:asciiTheme="majorHAnsi" w:eastAsia="Georgia" w:hAnsiTheme="majorHAnsi" w:cs="Georgia"/>
        </w:rPr>
        <w:t xml:space="preserve"> </w:t>
      </w:r>
      <w:r>
        <w:rPr>
          <w:rFonts w:asciiTheme="majorHAnsi" w:eastAsia="Georgia" w:hAnsiTheme="majorHAnsi" w:cs="Georgia"/>
        </w:rPr>
        <w:t>alternative</w:t>
      </w:r>
      <w:r w:rsidR="0000487F">
        <w:rPr>
          <w:rFonts w:asciiTheme="majorHAnsi" w:eastAsia="Georgia" w:hAnsiTheme="majorHAnsi" w:cs="Georgia"/>
        </w:rPr>
        <w:t xml:space="preserve">s </w:t>
      </w:r>
      <w:r>
        <w:rPr>
          <w:rFonts w:asciiTheme="majorHAnsi" w:eastAsia="Georgia" w:hAnsiTheme="majorHAnsi" w:cs="Georgia"/>
        </w:rPr>
        <w:t>while</w:t>
      </w:r>
      <w:r w:rsidR="0000487F">
        <w:rPr>
          <w:rFonts w:asciiTheme="majorHAnsi" w:eastAsia="Georgia" w:hAnsiTheme="majorHAnsi" w:cs="Georgia"/>
        </w:rPr>
        <w:t xml:space="preserve"> also</w:t>
      </w:r>
      <w:r>
        <w:rPr>
          <w:rFonts w:asciiTheme="majorHAnsi" w:eastAsia="Georgia" w:hAnsiTheme="majorHAnsi" w:cs="Georgia"/>
        </w:rPr>
        <w:t xml:space="preserve"> </w:t>
      </w:r>
      <w:r w:rsidR="0000487F">
        <w:rPr>
          <w:rFonts w:asciiTheme="majorHAnsi" w:eastAsia="Georgia" w:hAnsiTheme="majorHAnsi" w:cs="Georgia"/>
        </w:rPr>
        <w:t>emphasizing</w:t>
      </w:r>
      <w:r>
        <w:rPr>
          <w:rFonts w:asciiTheme="majorHAnsi" w:eastAsia="Georgia" w:hAnsiTheme="majorHAnsi" w:cs="Georgia"/>
        </w:rPr>
        <w:t xml:space="preserve"> </w:t>
      </w:r>
      <w:r w:rsidR="0000487F">
        <w:rPr>
          <w:rFonts w:asciiTheme="majorHAnsi" w:eastAsia="Georgia" w:hAnsiTheme="majorHAnsi" w:cs="Georgia"/>
        </w:rPr>
        <w:t>the</w:t>
      </w:r>
      <w:r>
        <w:rPr>
          <w:rFonts w:asciiTheme="majorHAnsi" w:eastAsia="Georgia" w:hAnsiTheme="majorHAnsi" w:cs="Georgia"/>
        </w:rPr>
        <w:t xml:space="preserve"> urgency </w:t>
      </w:r>
      <w:r w:rsidR="0000487F">
        <w:rPr>
          <w:rFonts w:asciiTheme="majorHAnsi" w:eastAsia="Georgia" w:hAnsiTheme="majorHAnsi" w:cs="Georgia"/>
        </w:rPr>
        <w:t>of carceral abolition</w:t>
      </w:r>
      <w:r w:rsidR="006B3522">
        <w:rPr>
          <w:rFonts w:asciiTheme="majorHAnsi" w:eastAsia="Georgia" w:hAnsiTheme="majorHAnsi" w:cs="Georgia"/>
        </w:rPr>
        <w:t xml:space="preserve">. </w:t>
      </w:r>
      <w:r>
        <w:rPr>
          <w:rFonts w:asciiTheme="majorHAnsi" w:eastAsia="Georgia" w:hAnsiTheme="majorHAnsi" w:cs="Georgia"/>
        </w:rPr>
        <w:t>Given that the</w:t>
      </w:r>
      <w:r w:rsidR="00AB7F80">
        <w:rPr>
          <w:rFonts w:asciiTheme="majorHAnsi" w:eastAsia="Georgia" w:hAnsiTheme="majorHAnsi" w:cs="Georgia"/>
        </w:rPr>
        <w:t xml:space="preserve"> institution</w:t>
      </w:r>
      <w:r w:rsidR="00F63B4C">
        <w:rPr>
          <w:rFonts w:asciiTheme="majorHAnsi" w:eastAsia="Georgia" w:hAnsiTheme="majorHAnsi" w:cs="Georgia"/>
        </w:rPr>
        <w:t xml:space="preserve">, </w:t>
      </w:r>
      <w:r w:rsidR="001E7276">
        <w:rPr>
          <w:rFonts w:asciiTheme="majorHAnsi" w:eastAsia="Georgia" w:hAnsiTheme="majorHAnsi" w:cs="Georgia"/>
        </w:rPr>
        <w:t xml:space="preserve">discipline, and social force of </w:t>
      </w:r>
      <w:r w:rsidR="00823BF5">
        <w:rPr>
          <w:rFonts w:asciiTheme="majorHAnsi" w:eastAsia="Georgia" w:hAnsiTheme="majorHAnsi" w:cs="Georgia"/>
        </w:rPr>
        <w:t>public</w:t>
      </w:r>
      <w:r w:rsidR="006B3522">
        <w:rPr>
          <w:rFonts w:asciiTheme="majorHAnsi" w:eastAsia="Georgia" w:hAnsiTheme="majorHAnsi" w:cs="Georgia"/>
        </w:rPr>
        <w:t xml:space="preserve"> health is</w:t>
      </w:r>
      <w:r w:rsidR="00AC6A7B">
        <w:rPr>
          <w:rFonts w:asciiTheme="majorHAnsi" w:eastAsia="Georgia" w:hAnsiTheme="majorHAnsi" w:cs="Georgia"/>
        </w:rPr>
        <w:t xml:space="preserve"> deeply rooted</w:t>
      </w:r>
      <w:r w:rsidR="000E6098">
        <w:rPr>
          <w:rFonts w:asciiTheme="majorHAnsi" w:eastAsia="Georgia" w:hAnsiTheme="majorHAnsi" w:cs="Georgia"/>
        </w:rPr>
        <w:t xml:space="preserve"> within</w:t>
      </w:r>
      <w:r w:rsidR="005E6738">
        <w:rPr>
          <w:rFonts w:asciiTheme="majorHAnsi" w:eastAsia="Georgia" w:hAnsiTheme="majorHAnsi" w:cs="Georgia"/>
        </w:rPr>
        <w:t xml:space="preserve"> the</w:t>
      </w:r>
      <w:r w:rsidR="00E234D6">
        <w:rPr>
          <w:rFonts w:asciiTheme="majorHAnsi" w:eastAsia="Georgia" w:hAnsiTheme="majorHAnsi" w:cs="Georgia"/>
        </w:rPr>
        <w:t xml:space="preserve"> </w:t>
      </w:r>
      <w:r w:rsidR="006242D3" w:rsidRPr="006242D3">
        <w:rPr>
          <w:rFonts w:asciiTheme="majorHAnsi" w:eastAsia="Georgia" w:hAnsiTheme="majorHAnsi" w:cs="Georgia"/>
        </w:rPr>
        <w:t xml:space="preserve">legacies of </w:t>
      </w:r>
      <w:proofErr w:type="spellStart"/>
      <w:r w:rsidR="006242D3" w:rsidRPr="006242D3">
        <w:rPr>
          <w:rFonts w:asciiTheme="majorHAnsi" w:eastAsia="Georgia" w:hAnsiTheme="majorHAnsi" w:cs="Georgia"/>
        </w:rPr>
        <w:t>carcerality</w:t>
      </w:r>
      <w:proofErr w:type="spellEnd"/>
      <w:r w:rsidR="006242D3" w:rsidRPr="006242D3">
        <w:rPr>
          <w:rFonts w:asciiTheme="majorHAnsi" w:eastAsia="Georgia" w:hAnsiTheme="majorHAnsi" w:cs="Georgia"/>
        </w:rPr>
        <w:t>, colonialism, racism, and classism</w:t>
      </w:r>
      <w:r w:rsidR="005E6738">
        <w:rPr>
          <w:rFonts w:asciiTheme="majorHAnsi" w:eastAsia="Georgia" w:hAnsiTheme="majorHAnsi" w:cs="Georgia"/>
        </w:rPr>
        <w:t xml:space="preserve"> tha</w:t>
      </w:r>
      <w:r>
        <w:rPr>
          <w:rFonts w:asciiTheme="majorHAnsi" w:eastAsia="Georgia" w:hAnsiTheme="majorHAnsi" w:cs="Georgia"/>
        </w:rPr>
        <w:t xml:space="preserve">t </w:t>
      </w:r>
      <w:r w:rsidR="005E6738">
        <w:rPr>
          <w:rFonts w:asciiTheme="majorHAnsi" w:eastAsia="Georgia" w:hAnsiTheme="majorHAnsi" w:cs="Georgia"/>
        </w:rPr>
        <w:t xml:space="preserve">HR originated from within marginalized communities to dismantle, </w:t>
      </w:r>
      <w:r w:rsidR="00A70619">
        <w:rPr>
          <w:rFonts w:asciiTheme="majorHAnsi" w:eastAsia="Georgia" w:hAnsiTheme="majorHAnsi" w:cs="Georgia"/>
        </w:rPr>
        <w:t>the</w:t>
      </w:r>
      <w:r w:rsidR="001E7276">
        <w:rPr>
          <w:rFonts w:asciiTheme="majorHAnsi" w:eastAsia="Georgia" w:hAnsiTheme="majorHAnsi" w:cs="Georgia"/>
        </w:rPr>
        <w:t xml:space="preserve"> state’s</w:t>
      </w:r>
      <w:r w:rsidR="00880276">
        <w:rPr>
          <w:rFonts w:asciiTheme="majorHAnsi" w:eastAsia="Georgia" w:hAnsiTheme="majorHAnsi" w:cs="Georgia"/>
        </w:rPr>
        <w:t xml:space="preserve"> </w:t>
      </w:r>
      <w:r>
        <w:rPr>
          <w:rFonts w:asciiTheme="majorHAnsi" w:eastAsia="Georgia" w:hAnsiTheme="majorHAnsi" w:cs="Georgia"/>
        </w:rPr>
        <w:t>will to reform by incorporating</w:t>
      </w:r>
      <w:r w:rsidR="000D0F01">
        <w:rPr>
          <w:rFonts w:asciiTheme="majorHAnsi" w:eastAsia="Georgia" w:hAnsiTheme="majorHAnsi" w:cs="Georgia"/>
        </w:rPr>
        <w:t xml:space="preserve"> these</w:t>
      </w:r>
      <w:r w:rsidR="00E22E15">
        <w:rPr>
          <w:rFonts w:asciiTheme="majorHAnsi" w:eastAsia="Georgia" w:hAnsiTheme="majorHAnsi" w:cs="Georgia"/>
        </w:rPr>
        <w:t xml:space="preserve"> practices</w:t>
      </w:r>
      <w:r>
        <w:rPr>
          <w:rFonts w:asciiTheme="majorHAnsi" w:eastAsia="Georgia" w:hAnsiTheme="majorHAnsi" w:cs="Georgia"/>
        </w:rPr>
        <w:t xml:space="preserve"> into its already existing regime of criminalized drug prohibition is concerning </w:t>
      </w:r>
      <w:r w:rsidR="00B8590E" w:rsidRPr="006242D3">
        <w:rPr>
          <w:rFonts w:asciiTheme="majorHAnsi" w:eastAsia="Georgia" w:hAnsiTheme="majorHAnsi" w:cs="Georgia"/>
        </w:rPr>
        <w:t>(</w:t>
      </w:r>
      <w:proofErr w:type="spellStart"/>
      <w:r w:rsidR="00B8590E" w:rsidRPr="006242D3">
        <w:rPr>
          <w:rFonts w:asciiTheme="majorHAnsi" w:eastAsia="Georgia" w:hAnsiTheme="majorHAnsi" w:cs="Georgia"/>
        </w:rPr>
        <w:t>Lachapelle</w:t>
      </w:r>
      <w:proofErr w:type="spellEnd"/>
      <w:r w:rsidR="00B8590E" w:rsidRPr="006242D3">
        <w:rPr>
          <w:rFonts w:asciiTheme="majorHAnsi" w:eastAsia="Georgia" w:hAnsiTheme="majorHAnsi" w:cs="Georgia"/>
        </w:rPr>
        <w:t>, et al., 2022: 337</w:t>
      </w:r>
      <w:r w:rsidR="00B8590E">
        <w:rPr>
          <w:rFonts w:asciiTheme="majorHAnsi" w:eastAsia="Georgia" w:hAnsiTheme="majorHAnsi" w:cs="Georgia"/>
        </w:rPr>
        <w:t xml:space="preserve">; Hassan, 2023: </w:t>
      </w:r>
      <w:proofErr w:type="spellStart"/>
      <w:r w:rsidR="00B8590E">
        <w:rPr>
          <w:rFonts w:asciiTheme="majorHAnsi" w:eastAsia="Georgia" w:hAnsiTheme="majorHAnsi" w:cs="Georgia"/>
        </w:rPr>
        <w:t>n.p</w:t>
      </w:r>
      <w:proofErr w:type="spellEnd"/>
      <w:r w:rsidR="00B8590E">
        <w:rPr>
          <w:rFonts w:asciiTheme="majorHAnsi" w:eastAsia="Georgia" w:hAnsiTheme="majorHAnsi" w:cs="Georgia"/>
        </w:rPr>
        <w:t>.</w:t>
      </w:r>
      <w:r w:rsidR="00B8590E" w:rsidRPr="006242D3">
        <w:rPr>
          <w:rFonts w:asciiTheme="majorHAnsi" w:eastAsia="Georgia" w:hAnsiTheme="majorHAnsi" w:cs="Georgia"/>
        </w:rPr>
        <w:t xml:space="preserve">). </w:t>
      </w:r>
      <w:r w:rsidR="00DA5BF6">
        <w:rPr>
          <w:rFonts w:asciiTheme="majorHAnsi" w:eastAsia="Georgia" w:hAnsiTheme="majorHAnsi" w:cs="Georgia"/>
        </w:rPr>
        <w:t xml:space="preserve">The opioid crisis </w:t>
      </w:r>
      <w:r w:rsidR="000D0F01">
        <w:rPr>
          <w:rFonts w:asciiTheme="majorHAnsi" w:eastAsia="Georgia" w:hAnsiTheme="majorHAnsi" w:cs="Georgia"/>
        </w:rPr>
        <w:t xml:space="preserve">is not a crisis for the </w:t>
      </w:r>
      <w:r w:rsidR="00D62A63">
        <w:rPr>
          <w:rFonts w:asciiTheme="majorHAnsi" w:eastAsia="Georgia" w:hAnsiTheme="majorHAnsi" w:cs="Georgia"/>
        </w:rPr>
        <w:t>state</w:t>
      </w:r>
      <w:r w:rsidR="00031F4F">
        <w:rPr>
          <w:rFonts w:asciiTheme="majorHAnsi" w:eastAsia="Georgia" w:hAnsiTheme="majorHAnsi" w:cs="Georgia"/>
        </w:rPr>
        <w:t xml:space="preserve"> </w:t>
      </w:r>
      <w:r w:rsidR="000D0F01">
        <w:rPr>
          <w:rFonts w:asciiTheme="majorHAnsi" w:eastAsia="Georgia" w:hAnsiTheme="majorHAnsi" w:cs="Georgia"/>
        </w:rPr>
        <w:t>because it has</w:t>
      </w:r>
      <w:r>
        <w:rPr>
          <w:rFonts w:asciiTheme="majorHAnsi" w:eastAsia="Georgia" w:hAnsiTheme="majorHAnsi" w:cs="Georgia"/>
        </w:rPr>
        <w:t xml:space="preserve"> </w:t>
      </w:r>
      <w:r w:rsidR="0000487F">
        <w:rPr>
          <w:rFonts w:asciiTheme="majorHAnsi" w:eastAsia="Georgia" w:hAnsiTheme="majorHAnsi" w:cs="Georgia"/>
        </w:rPr>
        <w:t>become</w:t>
      </w:r>
      <w:r w:rsidR="000D0F01">
        <w:rPr>
          <w:rFonts w:asciiTheme="majorHAnsi" w:eastAsia="Georgia" w:hAnsiTheme="majorHAnsi" w:cs="Georgia"/>
        </w:rPr>
        <w:t xml:space="preserve"> “suddenly”</w:t>
      </w:r>
      <w:r>
        <w:rPr>
          <w:rFonts w:asciiTheme="majorHAnsi" w:eastAsia="Georgia" w:hAnsiTheme="majorHAnsi" w:cs="Georgia"/>
        </w:rPr>
        <w:t xml:space="preserve"> aware of the </w:t>
      </w:r>
      <w:proofErr w:type="spellStart"/>
      <w:r>
        <w:rPr>
          <w:rFonts w:asciiTheme="majorHAnsi" w:eastAsia="Georgia" w:hAnsiTheme="majorHAnsi" w:cs="Georgia"/>
        </w:rPr>
        <w:t>violences</w:t>
      </w:r>
      <w:proofErr w:type="spellEnd"/>
      <w:r>
        <w:rPr>
          <w:rFonts w:asciiTheme="majorHAnsi" w:eastAsia="Georgia" w:hAnsiTheme="majorHAnsi" w:cs="Georgia"/>
        </w:rPr>
        <w:t xml:space="preserve"> </w:t>
      </w:r>
      <w:r w:rsidR="0000487F">
        <w:rPr>
          <w:rFonts w:asciiTheme="majorHAnsi" w:eastAsia="Georgia" w:hAnsiTheme="majorHAnsi" w:cs="Georgia"/>
        </w:rPr>
        <w:t>inherent to</w:t>
      </w:r>
      <w:r>
        <w:rPr>
          <w:rFonts w:asciiTheme="majorHAnsi" w:eastAsia="Georgia" w:hAnsiTheme="majorHAnsi" w:cs="Georgia"/>
        </w:rPr>
        <w:t xml:space="preserve"> criminalized drug prohibitio</w:t>
      </w:r>
      <w:r w:rsidR="0000487F">
        <w:rPr>
          <w:rFonts w:asciiTheme="majorHAnsi" w:eastAsia="Georgia" w:hAnsiTheme="majorHAnsi" w:cs="Georgia"/>
        </w:rPr>
        <w:t xml:space="preserve">n, pharmaceutical </w:t>
      </w:r>
      <w:r>
        <w:rPr>
          <w:rFonts w:asciiTheme="majorHAnsi" w:eastAsia="Georgia" w:hAnsiTheme="majorHAnsi" w:cs="Georgia"/>
        </w:rPr>
        <w:t>deregulatio</w:t>
      </w:r>
      <w:r w:rsidR="0000487F">
        <w:rPr>
          <w:rFonts w:asciiTheme="majorHAnsi" w:eastAsia="Georgia" w:hAnsiTheme="majorHAnsi" w:cs="Georgia"/>
        </w:rPr>
        <w:t>n, or even</w:t>
      </w:r>
      <w:r>
        <w:rPr>
          <w:rFonts w:asciiTheme="majorHAnsi" w:eastAsia="Georgia" w:hAnsiTheme="majorHAnsi" w:cs="Georgia"/>
        </w:rPr>
        <w:t xml:space="preserve"> for-profit healthcare</w:t>
      </w:r>
      <w:r w:rsidR="0000487F">
        <w:rPr>
          <w:rFonts w:asciiTheme="majorHAnsi" w:eastAsia="Georgia" w:hAnsiTheme="majorHAnsi" w:cs="Georgia"/>
        </w:rPr>
        <w:t>. It</w:t>
      </w:r>
      <w:r>
        <w:rPr>
          <w:rFonts w:asciiTheme="majorHAnsi" w:eastAsia="Georgia" w:hAnsiTheme="majorHAnsi" w:cs="Georgia"/>
        </w:rPr>
        <w:t xml:space="preserve"> is a crisis for the state </w:t>
      </w:r>
      <w:r w:rsidR="0000487F">
        <w:rPr>
          <w:rFonts w:asciiTheme="majorHAnsi" w:eastAsia="Georgia" w:hAnsiTheme="majorHAnsi" w:cs="Georgia"/>
        </w:rPr>
        <w:t xml:space="preserve">because it has exposed the violent conditions that </w:t>
      </w:r>
      <w:r w:rsidR="0000487F">
        <w:rPr>
          <w:rFonts w:asciiTheme="majorHAnsi" w:eastAsia="Georgia" w:hAnsiTheme="majorHAnsi" w:cs="Georgia"/>
        </w:rPr>
        <w:lastRenderedPageBreak/>
        <w:t xml:space="preserve">underpin the normative operations of these systems. Support for public health-based HR among political elites long-opposed these policies is not mired within a desire to authentically reckon with these violent conditions, but a response—first and foremost—to the </w:t>
      </w:r>
      <w:r>
        <w:rPr>
          <w:rFonts w:asciiTheme="majorHAnsi" w:eastAsia="Georgia" w:hAnsiTheme="majorHAnsi" w:cs="Georgia"/>
        </w:rPr>
        <w:t>threat</w:t>
      </w:r>
      <w:r w:rsidR="0000487F">
        <w:rPr>
          <w:rFonts w:asciiTheme="majorHAnsi" w:eastAsia="Georgia" w:hAnsiTheme="majorHAnsi" w:cs="Georgia"/>
        </w:rPr>
        <w:t xml:space="preserve"> that the opioid crisis poses to the legitimacy of the systems that sustain their power. For example, one</w:t>
      </w:r>
      <w:r>
        <w:rPr>
          <w:rFonts w:asciiTheme="majorHAnsi" w:eastAsia="Georgia" w:hAnsiTheme="majorHAnsi" w:cs="Georgia"/>
        </w:rPr>
        <w:t xml:space="preserve"> finds it hard to believe that co</w:t>
      </w:r>
      <w:r w:rsidR="00A76163">
        <w:rPr>
          <w:rFonts w:asciiTheme="majorHAnsi" w:eastAsia="Georgia" w:hAnsiTheme="majorHAnsi" w:cs="Georgia"/>
        </w:rPr>
        <w:t>-architect</w:t>
      </w:r>
      <w:r w:rsidR="000F3569">
        <w:rPr>
          <w:rFonts w:asciiTheme="majorHAnsi" w:eastAsia="Georgia" w:hAnsiTheme="majorHAnsi" w:cs="Georgia"/>
        </w:rPr>
        <w:t>s</w:t>
      </w:r>
      <w:r w:rsidR="00A76163">
        <w:rPr>
          <w:rFonts w:asciiTheme="majorHAnsi" w:eastAsia="Georgia" w:hAnsiTheme="majorHAnsi" w:cs="Georgia"/>
        </w:rPr>
        <w:t xml:space="preserve"> of the NEP repeal</w:t>
      </w:r>
      <w:r w:rsidR="009537AB">
        <w:rPr>
          <w:rFonts w:asciiTheme="majorHAnsi" w:eastAsia="Georgia" w:hAnsiTheme="majorHAnsi" w:cs="Georgia"/>
        </w:rPr>
        <w:t>,</w:t>
      </w:r>
      <w:r w:rsidR="002E6E6F">
        <w:rPr>
          <w:rFonts w:asciiTheme="majorHAnsi" w:eastAsia="Georgia" w:hAnsiTheme="majorHAnsi" w:cs="Georgia"/>
        </w:rPr>
        <w:t xml:space="preserve"> Mitch McConnell</w:t>
      </w:r>
      <w:r w:rsidR="000B715E">
        <w:rPr>
          <w:rFonts w:asciiTheme="majorHAnsi" w:eastAsia="Georgia" w:hAnsiTheme="majorHAnsi" w:cs="Georgia"/>
        </w:rPr>
        <w:t xml:space="preserve"> (R-KY)</w:t>
      </w:r>
      <w:r w:rsidR="009537AB">
        <w:rPr>
          <w:rFonts w:asciiTheme="majorHAnsi" w:eastAsia="Georgia" w:hAnsiTheme="majorHAnsi" w:cs="Georgia"/>
        </w:rPr>
        <w:t xml:space="preserve"> and Hal Rogers (R-KY)</w:t>
      </w:r>
      <w:r>
        <w:rPr>
          <w:rFonts w:asciiTheme="majorHAnsi" w:eastAsia="Georgia" w:hAnsiTheme="majorHAnsi" w:cs="Georgia"/>
        </w:rPr>
        <w:t>,</w:t>
      </w:r>
      <w:r w:rsidR="00A76163">
        <w:rPr>
          <w:rFonts w:asciiTheme="majorHAnsi" w:eastAsia="Georgia" w:hAnsiTheme="majorHAnsi" w:cs="Georgia"/>
        </w:rPr>
        <w:t xml:space="preserve"> </w:t>
      </w:r>
      <w:r>
        <w:rPr>
          <w:rFonts w:asciiTheme="majorHAnsi" w:eastAsia="Georgia" w:hAnsiTheme="majorHAnsi" w:cs="Georgia"/>
        </w:rPr>
        <w:t xml:space="preserve">have </w:t>
      </w:r>
      <w:r w:rsidR="0000487F">
        <w:rPr>
          <w:rFonts w:asciiTheme="majorHAnsi" w:eastAsia="Georgia" w:hAnsiTheme="majorHAnsi" w:cs="Georgia"/>
        </w:rPr>
        <w:t>a</w:t>
      </w:r>
      <w:r>
        <w:rPr>
          <w:rFonts w:asciiTheme="majorHAnsi" w:eastAsia="Georgia" w:hAnsiTheme="majorHAnsi" w:cs="Georgia"/>
        </w:rPr>
        <w:t xml:space="preserve"> vested </w:t>
      </w:r>
      <w:r w:rsidR="00A76163">
        <w:rPr>
          <w:rFonts w:asciiTheme="majorHAnsi" w:eastAsia="Georgia" w:hAnsiTheme="majorHAnsi" w:cs="Georgia"/>
        </w:rPr>
        <w:t>interest in</w:t>
      </w:r>
      <w:r>
        <w:rPr>
          <w:rFonts w:asciiTheme="majorHAnsi" w:eastAsia="Georgia" w:hAnsiTheme="majorHAnsi" w:cs="Georgia"/>
        </w:rPr>
        <w:t xml:space="preserve"> rectifying the political-economic contradictions </w:t>
      </w:r>
      <w:r w:rsidR="0000487F">
        <w:rPr>
          <w:rFonts w:asciiTheme="majorHAnsi" w:eastAsia="Georgia" w:hAnsiTheme="majorHAnsi" w:cs="Georgia"/>
        </w:rPr>
        <w:t>expressed by the opioid crisis when</w:t>
      </w:r>
      <w:r>
        <w:rPr>
          <w:rFonts w:asciiTheme="majorHAnsi" w:eastAsia="Georgia" w:hAnsiTheme="majorHAnsi" w:cs="Georgia"/>
        </w:rPr>
        <w:t>,</w:t>
      </w:r>
      <w:r w:rsidR="00C423E1">
        <w:rPr>
          <w:rFonts w:asciiTheme="majorHAnsi" w:eastAsia="Georgia" w:hAnsiTheme="majorHAnsi" w:cs="Georgia"/>
        </w:rPr>
        <w:t xml:space="preserve"> in January of 2023</w:t>
      </w:r>
      <w:r>
        <w:rPr>
          <w:rFonts w:asciiTheme="majorHAnsi" w:eastAsia="Georgia" w:hAnsiTheme="majorHAnsi" w:cs="Georgia"/>
        </w:rPr>
        <w:t>,</w:t>
      </w:r>
      <w:r w:rsidR="00C423E1">
        <w:rPr>
          <w:rFonts w:asciiTheme="majorHAnsi" w:eastAsia="Georgia" w:hAnsiTheme="majorHAnsi" w:cs="Georgia"/>
        </w:rPr>
        <w:t xml:space="preserve"> the Republican Party of Kentucky accepted a $1 million donation</w:t>
      </w:r>
      <w:r>
        <w:rPr>
          <w:rFonts w:asciiTheme="majorHAnsi" w:eastAsia="Georgia" w:hAnsiTheme="majorHAnsi" w:cs="Georgia"/>
        </w:rPr>
        <w:t xml:space="preserve"> </w:t>
      </w:r>
      <w:r w:rsidR="0000487F">
        <w:rPr>
          <w:rFonts w:asciiTheme="majorHAnsi" w:eastAsia="Georgia" w:hAnsiTheme="majorHAnsi" w:cs="Georgia"/>
        </w:rPr>
        <w:t>for their building fund from the</w:t>
      </w:r>
      <w:r w:rsidR="00EA7033">
        <w:rPr>
          <w:rFonts w:asciiTheme="majorHAnsi" w:eastAsia="Georgia" w:hAnsiTheme="majorHAnsi" w:cs="Georgia"/>
        </w:rPr>
        <w:t xml:space="preserve"> pharmaceutical </w:t>
      </w:r>
      <w:r>
        <w:rPr>
          <w:rFonts w:asciiTheme="majorHAnsi" w:eastAsia="Georgia" w:hAnsiTheme="majorHAnsi" w:cs="Georgia"/>
        </w:rPr>
        <w:t>powerhous</w:t>
      </w:r>
      <w:r w:rsidR="0000487F">
        <w:rPr>
          <w:rFonts w:asciiTheme="majorHAnsi" w:eastAsia="Georgia" w:hAnsiTheme="majorHAnsi" w:cs="Georgia"/>
        </w:rPr>
        <w:t xml:space="preserve">e and known opioid dealer, </w:t>
      </w:r>
      <w:r>
        <w:rPr>
          <w:rFonts w:asciiTheme="majorHAnsi" w:eastAsia="Georgia" w:hAnsiTheme="majorHAnsi" w:cs="Georgia"/>
        </w:rPr>
        <w:t>Pfizer</w:t>
      </w:r>
      <w:r w:rsidR="0000487F">
        <w:rPr>
          <w:rFonts w:asciiTheme="majorHAnsi" w:eastAsia="Georgia" w:hAnsiTheme="majorHAnsi" w:cs="Georgia"/>
        </w:rPr>
        <w:t xml:space="preserve"> </w:t>
      </w:r>
      <w:r>
        <w:rPr>
          <w:rFonts w:asciiTheme="majorHAnsi" w:eastAsia="Georgia" w:hAnsiTheme="majorHAnsi" w:cs="Georgia"/>
        </w:rPr>
        <w:t xml:space="preserve">(Loftus, 2023: </w:t>
      </w:r>
      <w:proofErr w:type="spellStart"/>
      <w:r>
        <w:rPr>
          <w:rFonts w:asciiTheme="majorHAnsi" w:eastAsia="Georgia" w:hAnsiTheme="majorHAnsi" w:cs="Georgia"/>
        </w:rPr>
        <w:t>n.p</w:t>
      </w:r>
      <w:proofErr w:type="spellEnd"/>
      <w:r>
        <w:rPr>
          <w:rFonts w:asciiTheme="majorHAnsi" w:eastAsia="Georgia" w:hAnsiTheme="majorHAnsi" w:cs="Georgia"/>
        </w:rPr>
        <w:t xml:space="preserve">.). </w:t>
      </w:r>
      <w:r w:rsidR="0000487F">
        <w:rPr>
          <w:rFonts w:asciiTheme="majorHAnsi" w:eastAsia="Georgia" w:hAnsiTheme="majorHAnsi" w:cs="Georgia"/>
        </w:rPr>
        <w:t>Their turn towards</w:t>
      </w:r>
      <w:r>
        <w:rPr>
          <w:rFonts w:asciiTheme="majorHAnsi" w:eastAsia="Georgia" w:hAnsiTheme="majorHAnsi" w:cs="Georgia"/>
        </w:rPr>
        <w:t xml:space="preserve"> public health-based HR offered a front-facing way for them to</w:t>
      </w:r>
      <w:r w:rsidR="0000487F">
        <w:rPr>
          <w:rFonts w:asciiTheme="majorHAnsi" w:eastAsia="Georgia" w:hAnsiTheme="majorHAnsi" w:cs="Georgia"/>
        </w:rPr>
        <w:t xml:space="preserve"> continue conducting business-as-usual while</w:t>
      </w:r>
      <w:r>
        <w:rPr>
          <w:rFonts w:asciiTheme="majorHAnsi" w:eastAsia="Georgia" w:hAnsiTheme="majorHAnsi" w:cs="Georgia"/>
        </w:rPr>
        <w:t xml:space="preserve"> satiat</w:t>
      </w:r>
      <w:r w:rsidR="0000487F">
        <w:rPr>
          <w:rFonts w:asciiTheme="majorHAnsi" w:eastAsia="Georgia" w:hAnsiTheme="majorHAnsi" w:cs="Georgia"/>
        </w:rPr>
        <w:t>ing</w:t>
      </w:r>
      <w:r>
        <w:rPr>
          <w:rFonts w:asciiTheme="majorHAnsi" w:eastAsia="Georgia" w:hAnsiTheme="majorHAnsi" w:cs="Georgia"/>
        </w:rPr>
        <w:t xml:space="preserve"> the anger of their constituents</w:t>
      </w:r>
      <w:r w:rsidR="0000487F">
        <w:rPr>
          <w:rFonts w:asciiTheme="majorHAnsi" w:eastAsia="Georgia" w:hAnsiTheme="majorHAnsi" w:cs="Georgia"/>
        </w:rPr>
        <w:t xml:space="preserve"> over the opioid crisis</w:t>
      </w:r>
      <w:r>
        <w:rPr>
          <w:rFonts w:asciiTheme="majorHAnsi" w:eastAsia="Georgia" w:hAnsiTheme="majorHAnsi" w:cs="Georgia"/>
        </w:rPr>
        <w:t xml:space="preserve"> </w:t>
      </w:r>
      <w:r w:rsidR="0000487F">
        <w:rPr>
          <w:rFonts w:asciiTheme="majorHAnsi" w:eastAsia="Georgia" w:hAnsiTheme="majorHAnsi" w:cs="Georgia"/>
        </w:rPr>
        <w:t xml:space="preserve">by implementing largely </w:t>
      </w:r>
      <w:r>
        <w:rPr>
          <w:rFonts w:asciiTheme="majorHAnsi" w:eastAsia="Georgia" w:hAnsiTheme="majorHAnsi" w:cs="Georgia"/>
        </w:rPr>
        <w:t>symbolic legislative changes</w:t>
      </w:r>
      <w:r w:rsidR="0000487F">
        <w:rPr>
          <w:rFonts w:asciiTheme="majorHAnsi" w:eastAsia="Georgia" w:hAnsiTheme="majorHAnsi" w:cs="Georgia"/>
        </w:rPr>
        <w:t xml:space="preserve"> that rearticulate these </w:t>
      </w:r>
      <w:proofErr w:type="spellStart"/>
      <w:r w:rsidR="0000487F">
        <w:rPr>
          <w:rFonts w:asciiTheme="majorHAnsi" w:eastAsia="Georgia" w:hAnsiTheme="majorHAnsi" w:cs="Georgia"/>
        </w:rPr>
        <w:t>violences</w:t>
      </w:r>
      <w:proofErr w:type="spellEnd"/>
      <w:r w:rsidR="0000487F">
        <w:rPr>
          <w:rFonts w:asciiTheme="majorHAnsi" w:eastAsia="Georgia" w:hAnsiTheme="majorHAnsi" w:cs="Georgia"/>
        </w:rPr>
        <w:t xml:space="preserve"> through “new” channels.</w:t>
      </w:r>
    </w:p>
    <w:p w14:paraId="1C6DD6DC" w14:textId="29D4A8BB" w:rsidR="006242D3" w:rsidRPr="00C3290E" w:rsidRDefault="006242D3" w:rsidP="0030288C">
      <w:pPr>
        <w:pStyle w:val="Heading2"/>
      </w:pPr>
      <w:bookmarkStart w:id="10" w:name="_Toc133884504"/>
      <w:proofErr w:type="spellStart"/>
      <w:r w:rsidRPr="00C3290E">
        <w:t>Carcerality</w:t>
      </w:r>
      <w:proofErr w:type="spellEnd"/>
      <w:r w:rsidRPr="00C3290E">
        <w:t xml:space="preserve"> and Public Health</w:t>
      </w:r>
      <w:bookmarkEnd w:id="10"/>
    </w:p>
    <w:p w14:paraId="6A0F8C7E" w14:textId="6FFBC749" w:rsidR="0000487F" w:rsidRPr="006242D3" w:rsidRDefault="00F6487D" w:rsidP="0000487F">
      <w:pPr>
        <w:spacing w:line="480" w:lineRule="auto"/>
        <w:ind w:firstLine="720"/>
        <w:rPr>
          <w:rFonts w:asciiTheme="majorHAnsi" w:hAnsiTheme="majorHAnsi"/>
        </w:rPr>
      </w:pPr>
      <w:r>
        <w:rPr>
          <w:rFonts w:asciiTheme="majorHAnsi" w:hAnsiTheme="majorHAnsi"/>
        </w:rPr>
        <w:t>The hegemonic regime of criminalized drug prohibition has been destabilized by the opioid crisis. This is perhaps no more apparent than in this</w:t>
      </w:r>
      <w:r w:rsidRPr="006242D3">
        <w:rPr>
          <w:rFonts w:asciiTheme="majorHAnsi" w:hAnsiTheme="majorHAnsi"/>
        </w:rPr>
        <w:t xml:space="preserve"> “sudden</w:t>
      </w:r>
      <w:r>
        <w:rPr>
          <w:rFonts w:asciiTheme="majorHAnsi" w:hAnsiTheme="majorHAnsi"/>
        </w:rPr>
        <w:t>”</w:t>
      </w:r>
      <w:r w:rsidRPr="006242D3">
        <w:rPr>
          <w:rFonts w:asciiTheme="majorHAnsi" w:hAnsiTheme="majorHAnsi"/>
        </w:rPr>
        <w:t xml:space="preserve"> suppor</w:t>
      </w:r>
      <w:r>
        <w:rPr>
          <w:rFonts w:asciiTheme="majorHAnsi" w:hAnsiTheme="majorHAnsi"/>
        </w:rPr>
        <w:t>t</w:t>
      </w:r>
      <w:r w:rsidRPr="006242D3">
        <w:rPr>
          <w:rFonts w:asciiTheme="majorHAnsi" w:hAnsiTheme="majorHAnsi"/>
        </w:rPr>
        <w:t xml:space="preserve"> for public health-based HR by political elites who </w:t>
      </w:r>
      <w:r>
        <w:rPr>
          <w:rFonts w:asciiTheme="majorHAnsi" w:hAnsiTheme="majorHAnsi"/>
        </w:rPr>
        <w:t>have for decades</w:t>
      </w:r>
      <w:r w:rsidRPr="006242D3">
        <w:rPr>
          <w:rFonts w:asciiTheme="majorHAnsi" w:hAnsiTheme="majorHAnsi"/>
        </w:rPr>
        <w:t xml:space="preserve"> expressed </w:t>
      </w:r>
      <w:r w:rsidR="007E4DC2">
        <w:rPr>
          <w:rFonts w:asciiTheme="majorHAnsi" w:hAnsiTheme="majorHAnsi"/>
        </w:rPr>
        <w:t>fiery</w:t>
      </w:r>
      <w:r w:rsidRPr="006242D3">
        <w:rPr>
          <w:rFonts w:asciiTheme="majorHAnsi" w:hAnsiTheme="majorHAnsi"/>
        </w:rPr>
        <w:t xml:space="preserve"> opposition to these programs</w:t>
      </w:r>
      <w:r w:rsidR="007E4DC2">
        <w:rPr>
          <w:rFonts w:asciiTheme="majorHAnsi" w:hAnsiTheme="majorHAnsi"/>
        </w:rPr>
        <w:t xml:space="preserve"> despite extensive</w:t>
      </w:r>
      <w:r>
        <w:rPr>
          <w:rFonts w:asciiTheme="majorHAnsi" w:hAnsiTheme="majorHAnsi"/>
        </w:rPr>
        <w:t xml:space="preserve"> empirical </w:t>
      </w:r>
      <w:r w:rsidR="007E4DC2">
        <w:rPr>
          <w:rFonts w:asciiTheme="majorHAnsi" w:hAnsiTheme="majorHAnsi"/>
        </w:rPr>
        <w:t>evidence</w:t>
      </w:r>
      <w:r>
        <w:rPr>
          <w:rFonts w:asciiTheme="majorHAnsi" w:hAnsiTheme="majorHAnsi"/>
        </w:rPr>
        <w:t xml:space="preserve"> </w:t>
      </w:r>
      <w:r w:rsidR="007E4DC2">
        <w:rPr>
          <w:rFonts w:asciiTheme="majorHAnsi" w:hAnsiTheme="majorHAnsi"/>
        </w:rPr>
        <w:t>demonstrating their effectiveness at</w:t>
      </w:r>
      <w:r w:rsidRPr="006242D3">
        <w:rPr>
          <w:rFonts w:asciiTheme="majorHAnsi" w:hAnsiTheme="majorHAnsi"/>
        </w:rPr>
        <w:t xml:space="preserve"> reducing </w:t>
      </w:r>
      <w:r>
        <w:rPr>
          <w:rFonts w:asciiTheme="majorHAnsi" w:hAnsiTheme="majorHAnsi"/>
        </w:rPr>
        <w:t>the social, health, and legal</w:t>
      </w:r>
      <w:r w:rsidRPr="006242D3">
        <w:rPr>
          <w:rFonts w:asciiTheme="majorHAnsi" w:hAnsiTheme="majorHAnsi"/>
        </w:rPr>
        <w:t xml:space="preserve"> consequences</w:t>
      </w:r>
      <w:r w:rsidR="007E4DC2">
        <w:rPr>
          <w:rFonts w:asciiTheme="majorHAnsi" w:hAnsiTheme="majorHAnsi"/>
        </w:rPr>
        <w:t xml:space="preserve"> associated with </w:t>
      </w:r>
      <w:r>
        <w:rPr>
          <w:rFonts w:asciiTheme="majorHAnsi" w:hAnsiTheme="majorHAnsi"/>
        </w:rPr>
        <w:t>criminalized</w:t>
      </w:r>
      <w:r w:rsidRPr="006242D3">
        <w:rPr>
          <w:rFonts w:asciiTheme="majorHAnsi" w:hAnsiTheme="majorHAnsi"/>
        </w:rPr>
        <w:t xml:space="preserve"> drug use</w:t>
      </w:r>
      <w:r w:rsidR="007E4DC2">
        <w:rPr>
          <w:rFonts w:asciiTheme="majorHAnsi" w:hAnsiTheme="majorHAnsi"/>
        </w:rPr>
        <w:t xml:space="preserve">. </w:t>
      </w:r>
      <w:r w:rsidR="0000487F">
        <w:rPr>
          <w:rFonts w:asciiTheme="majorHAnsi" w:hAnsiTheme="majorHAnsi"/>
        </w:rPr>
        <w:t>While this compels us to ask what forces</w:t>
      </w:r>
      <w:r w:rsidRPr="006242D3">
        <w:rPr>
          <w:rFonts w:asciiTheme="majorHAnsi" w:hAnsiTheme="majorHAnsi"/>
        </w:rPr>
        <w:t xml:space="preserve"> have come together in </w:t>
      </w:r>
      <w:r w:rsidR="0000487F">
        <w:rPr>
          <w:rFonts w:asciiTheme="majorHAnsi" w:hAnsiTheme="majorHAnsi"/>
        </w:rPr>
        <w:t>the</w:t>
      </w:r>
      <w:r w:rsidRPr="006242D3">
        <w:rPr>
          <w:rFonts w:asciiTheme="majorHAnsi" w:hAnsiTheme="majorHAnsi"/>
        </w:rPr>
        <w:t xml:space="preserve"> </w:t>
      </w:r>
      <w:r w:rsidR="0000487F">
        <w:rPr>
          <w:rFonts w:asciiTheme="majorHAnsi" w:hAnsiTheme="majorHAnsi"/>
        </w:rPr>
        <w:t>present</w:t>
      </w:r>
      <w:r w:rsidRPr="006242D3">
        <w:rPr>
          <w:rFonts w:asciiTheme="majorHAnsi" w:hAnsiTheme="majorHAnsi"/>
        </w:rPr>
        <w:t xml:space="preserve"> historical moment</w:t>
      </w:r>
      <w:r>
        <w:rPr>
          <w:rFonts w:asciiTheme="majorHAnsi" w:hAnsiTheme="majorHAnsi"/>
        </w:rPr>
        <w:t xml:space="preserve"> </w:t>
      </w:r>
      <w:r w:rsidRPr="006242D3">
        <w:rPr>
          <w:rFonts w:asciiTheme="majorHAnsi" w:hAnsiTheme="majorHAnsi"/>
        </w:rPr>
        <w:t xml:space="preserve">to </w:t>
      </w:r>
      <w:r w:rsidR="007E4DC2">
        <w:rPr>
          <w:rFonts w:asciiTheme="majorHAnsi" w:hAnsiTheme="majorHAnsi"/>
        </w:rPr>
        <w:t>engender</w:t>
      </w:r>
      <w:r w:rsidR="0000487F">
        <w:rPr>
          <w:rFonts w:asciiTheme="majorHAnsi" w:hAnsiTheme="majorHAnsi"/>
        </w:rPr>
        <w:t xml:space="preserve"> this unprecedented </w:t>
      </w:r>
      <w:r w:rsidR="007E4DC2">
        <w:rPr>
          <w:rFonts w:asciiTheme="majorHAnsi" w:hAnsiTheme="majorHAnsi"/>
        </w:rPr>
        <w:t>support for</w:t>
      </w:r>
      <w:r>
        <w:rPr>
          <w:rFonts w:asciiTheme="majorHAnsi" w:hAnsiTheme="majorHAnsi"/>
        </w:rPr>
        <w:t xml:space="preserve"> </w:t>
      </w:r>
      <w:r w:rsidR="007E4DC2">
        <w:rPr>
          <w:rFonts w:asciiTheme="majorHAnsi" w:hAnsiTheme="majorHAnsi"/>
        </w:rPr>
        <w:t xml:space="preserve">public health-based </w:t>
      </w:r>
      <w:r w:rsidR="0000487F">
        <w:rPr>
          <w:rFonts w:asciiTheme="majorHAnsi" w:hAnsiTheme="majorHAnsi"/>
        </w:rPr>
        <w:t xml:space="preserve">approaches, we must also challenge the belief that these policies and programs meaningfully diverge punitive responses. While Netherland and Hansen (2017: </w:t>
      </w:r>
      <w:proofErr w:type="spellStart"/>
      <w:r w:rsidR="0000487F">
        <w:rPr>
          <w:rFonts w:asciiTheme="majorHAnsi" w:hAnsiTheme="majorHAnsi"/>
        </w:rPr>
        <w:t>n.p</w:t>
      </w:r>
      <w:proofErr w:type="spellEnd"/>
      <w:r w:rsidR="0000487F">
        <w:rPr>
          <w:rFonts w:asciiTheme="majorHAnsi" w:hAnsiTheme="majorHAnsi"/>
        </w:rPr>
        <w:t xml:space="preserve">.) argue that the impact of the </w:t>
      </w:r>
      <w:r w:rsidR="0000487F">
        <w:rPr>
          <w:rFonts w:asciiTheme="majorHAnsi" w:hAnsiTheme="majorHAnsi"/>
        </w:rPr>
        <w:lastRenderedPageBreak/>
        <w:t>opioid crisis on whites (and specifically suburban upper/middle class whites) has “carved out space” for a less punitive “white drug war” that focuses on treatment while leaving “intact more punitive systems that govern the drug use of people of color,” their recommendation of public health frameworks to counteract racially segregated drug control policy overlooks the oppressive origins of these interventions. We must be wary of how efforts, such as HR, are being mobilized by the state to restabilize the regime of criminalized drug prohibition through “more systematic and less obviously carceral mechanisms” that reproduce it</w:t>
      </w:r>
      <w:r w:rsidR="00C3290E">
        <w:rPr>
          <w:rFonts w:asciiTheme="majorHAnsi" w:hAnsiTheme="majorHAnsi"/>
        </w:rPr>
        <w:t>s</w:t>
      </w:r>
      <w:r w:rsidR="0000487F">
        <w:rPr>
          <w:rFonts w:asciiTheme="majorHAnsi" w:hAnsiTheme="majorHAnsi"/>
        </w:rPr>
        <w:t xml:space="preserve"> r</w:t>
      </w:r>
      <w:r w:rsidR="00C3290E">
        <w:rPr>
          <w:rFonts w:asciiTheme="majorHAnsi" w:hAnsiTheme="majorHAnsi"/>
        </w:rPr>
        <w:t xml:space="preserve">acial and class </w:t>
      </w:r>
      <w:proofErr w:type="spellStart"/>
      <w:r w:rsidR="00C3290E">
        <w:rPr>
          <w:rFonts w:asciiTheme="majorHAnsi" w:hAnsiTheme="majorHAnsi"/>
        </w:rPr>
        <w:t>violences</w:t>
      </w:r>
      <w:proofErr w:type="spellEnd"/>
      <w:r w:rsidR="00C3290E">
        <w:rPr>
          <w:rFonts w:asciiTheme="majorHAnsi" w:hAnsiTheme="majorHAnsi"/>
        </w:rPr>
        <w:t xml:space="preserve"> </w:t>
      </w:r>
      <w:r w:rsidR="0000487F">
        <w:rPr>
          <w:rFonts w:asciiTheme="majorHAnsi" w:hAnsiTheme="majorHAnsi"/>
        </w:rPr>
        <w:t xml:space="preserve">under the guise of care </w:t>
      </w:r>
      <w:r w:rsidR="0000487F" w:rsidRPr="006242D3">
        <w:rPr>
          <w:rFonts w:asciiTheme="majorHAnsi" w:eastAsia="Georgia" w:hAnsiTheme="majorHAnsi" w:cs="Georgia"/>
        </w:rPr>
        <w:t>(</w:t>
      </w:r>
      <w:proofErr w:type="spellStart"/>
      <w:r w:rsidR="0000487F" w:rsidRPr="006242D3">
        <w:rPr>
          <w:rFonts w:asciiTheme="majorHAnsi" w:eastAsia="Georgia" w:hAnsiTheme="majorHAnsi" w:cs="Georgia"/>
        </w:rPr>
        <w:t>Lachapelle</w:t>
      </w:r>
      <w:proofErr w:type="spellEnd"/>
      <w:r w:rsidR="0000487F" w:rsidRPr="006242D3">
        <w:rPr>
          <w:rFonts w:asciiTheme="majorHAnsi" w:eastAsia="Georgia" w:hAnsiTheme="majorHAnsi" w:cs="Georgia"/>
        </w:rPr>
        <w:t>, et al., 2022: 33</w:t>
      </w:r>
      <w:r w:rsidR="0000487F">
        <w:rPr>
          <w:rFonts w:asciiTheme="majorHAnsi" w:eastAsia="Georgia" w:hAnsiTheme="majorHAnsi" w:cs="Georgia"/>
        </w:rPr>
        <w:t xml:space="preserve">8). </w:t>
      </w:r>
      <w:r w:rsidR="0000487F">
        <w:rPr>
          <w:rFonts w:asciiTheme="majorHAnsi" w:hAnsiTheme="majorHAnsi"/>
        </w:rPr>
        <w:t xml:space="preserve"> </w:t>
      </w:r>
    </w:p>
    <w:p w14:paraId="6536A099" w14:textId="77777777" w:rsidR="00C3290E" w:rsidRDefault="0000487F" w:rsidP="00C3290E">
      <w:pPr>
        <w:spacing w:line="480" w:lineRule="auto"/>
        <w:ind w:firstLine="720"/>
        <w:rPr>
          <w:rFonts w:asciiTheme="majorHAnsi" w:hAnsiTheme="majorHAnsi"/>
        </w:rPr>
      </w:pPr>
      <w:r>
        <w:rPr>
          <w:rFonts w:asciiTheme="majorHAnsi" w:hAnsiTheme="majorHAnsi"/>
        </w:rPr>
        <w:t>This is not to say that the differences between public health and punitive responses to drug use is not</w:t>
      </w:r>
      <w:r w:rsidR="00F6487D">
        <w:rPr>
          <w:rFonts w:asciiTheme="majorHAnsi" w:hAnsiTheme="majorHAnsi"/>
        </w:rPr>
        <w:t xml:space="preserve"> </w:t>
      </w:r>
      <w:r>
        <w:rPr>
          <w:rFonts w:asciiTheme="majorHAnsi" w:hAnsiTheme="majorHAnsi"/>
        </w:rPr>
        <w:t xml:space="preserve">an </w:t>
      </w:r>
      <w:r w:rsidR="00F6487D">
        <w:rPr>
          <w:rFonts w:asciiTheme="majorHAnsi" w:hAnsiTheme="majorHAnsi"/>
        </w:rPr>
        <w:t>expression of</w:t>
      </w:r>
      <w:r w:rsidR="00F6487D" w:rsidRPr="006242D3">
        <w:rPr>
          <w:rFonts w:asciiTheme="majorHAnsi" w:hAnsiTheme="majorHAnsi"/>
        </w:rPr>
        <w:t xml:space="preserve"> </w:t>
      </w:r>
      <w:r w:rsidR="00F6487D">
        <w:rPr>
          <w:rFonts w:asciiTheme="majorHAnsi" w:hAnsiTheme="majorHAnsi"/>
        </w:rPr>
        <w:t>the racism inherent to</w:t>
      </w:r>
      <w:r w:rsidR="00F6487D" w:rsidRPr="006242D3">
        <w:rPr>
          <w:rFonts w:asciiTheme="majorHAnsi" w:hAnsiTheme="majorHAnsi"/>
        </w:rPr>
        <w:t xml:space="preserve"> </w:t>
      </w:r>
      <w:r w:rsidR="00C3290E">
        <w:rPr>
          <w:rFonts w:asciiTheme="majorHAnsi" w:hAnsiTheme="majorHAnsi"/>
        </w:rPr>
        <w:t xml:space="preserve">US </w:t>
      </w:r>
      <w:r w:rsidR="00F6487D" w:rsidRPr="006242D3">
        <w:rPr>
          <w:rFonts w:asciiTheme="majorHAnsi" w:hAnsiTheme="majorHAnsi"/>
        </w:rPr>
        <w:t xml:space="preserve">drug control policy; </w:t>
      </w:r>
      <w:r>
        <w:rPr>
          <w:rFonts w:asciiTheme="majorHAnsi" w:hAnsiTheme="majorHAnsi"/>
        </w:rPr>
        <w:t>it is</w:t>
      </w:r>
      <w:r w:rsidR="00F6487D">
        <w:rPr>
          <w:rFonts w:asciiTheme="majorHAnsi" w:hAnsiTheme="majorHAnsi"/>
        </w:rPr>
        <w:t>.</w:t>
      </w:r>
      <w:r>
        <w:rPr>
          <w:rFonts w:asciiTheme="majorHAnsi" w:hAnsiTheme="majorHAnsi"/>
        </w:rPr>
        <w:t xml:space="preserve"> The </w:t>
      </w:r>
      <w:r w:rsidR="00C3290E">
        <w:rPr>
          <w:rFonts w:asciiTheme="majorHAnsi" w:hAnsiTheme="majorHAnsi"/>
        </w:rPr>
        <w:t>racist motivations that drove the inception</w:t>
      </w:r>
      <w:r w:rsidR="00F6487D">
        <w:rPr>
          <w:rFonts w:asciiTheme="majorHAnsi" w:hAnsiTheme="majorHAnsi"/>
        </w:rPr>
        <w:t xml:space="preserve"> </w:t>
      </w:r>
      <w:r w:rsidR="00C3290E">
        <w:rPr>
          <w:rFonts w:asciiTheme="majorHAnsi" w:hAnsiTheme="majorHAnsi"/>
        </w:rPr>
        <w:t xml:space="preserve">of </w:t>
      </w:r>
      <w:r w:rsidR="00F6487D">
        <w:rPr>
          <w:rFonts w:asciiTheme="majorHAnsi" w:hAnsiTheme="majorHAnsi"/>
        </w:rPr>
        <w:t>criminalized drug prohibition</w:t>
      </w:r>
      <w:r>
        <w:rPr>
          <w:rFonts w:asciiTheme="majorHAnsi" w:hAnsiTheme="majorHAnsi"/>
        </w:rPr>
        <w:t xml:space="preserve"> will be discusse</w:t>
      </w:r>
      <w:r w:rsidR="00C3290E">
        <w:rPr>
          <w:rFonts w:asciiTheme="majorHAnsi" w:hAnsiTheme="majorHAnsi"/>
        </w:rPr>
        <w:t xml:space="preserve">d at length </w:t>
      </w:r>
      <w:r>
        <w:rPr>
          <w:rFonts w:asciiTheme="majorHAnsi" w:hAnsiTheme="majorHAnsi"/>
        </w:rPr>
        <w:t>in chapter one</w:t>
      </w:r>
      <w:r w:rsidR="00F6487D">
        <w:rPr>
          <w:rFonts w:asciiTheme="majorHAnsi" w:hAnsiTheme="majorHAnsi"/>
        </w:rPr>
        <w:t>,</w:t>
      </w:r>
      <w:r>
        <w:rPr>
          <w:rFonts w:asciiTheme="majorHAnsi" w:hAnsiTheme="majorHAnsi"/>
        </w:rPr>
        <w:t xml:space="preserve"> but</w:t>
      </w:r>
      <w:r w:rsidR="00F6487D">
        <w:rPr>
          <w:rFonts w:asciiTheme="majorHAnsi" w:hAnsiTheme="majorHAnsi"/>
        </w:rPr>
        <w:t xml:space="preserve"> </w:t>
      </w:r>
      <w:r>
        <w:rPr>
          <w:rFonts w:asciiTheme="majorHAnsi" w:hAnsiTheme="majorHAnsi"/>
        </w:rPr>
        <w:t>for now the</w:t>
      </w:r>
      <w:r w:rsidR="00F6487D">
        <w:rPr>
          <w:rFonts w:asciiTheme="majorHAnsi" w:hAnsiTheme="majorHAnsi"/>
        </w:rPr>
        <w:t xml:space="preserve"> aim is to </w:t>
      </w:r>
      <w:r>
        <w:rPr>
          <w:rFonts w:asciiTheme="majorHAnsi" w:hAnsiTheme="majorHAnsi"/>
        </w:rPr>
        <w:t xml:space="preserve">examine </w:t>
      </w:r>
      <w:r w:rsidR="00C3290E">
        <w:rPr>
          <w:rFonts w:asciiTheme="majorHAnsi" w:hAnsiTheme="majorHAnsi"/>
        </w:rPr>
        <w:t xml:space="preserve">the ways in which </w:t>
      </w:r>
      <w:r w:rsidR="00F6487D" w:rsidRPr="000E6098">
        <w:rPr>
          <w:rFonts w:asciiTheme="majorHAnsi" w:hAnsiTheme="majorHAnsi"/>
        </w:rPr>
        <w:t>public health</w:t>
      </w:r>
      <w:r w:rsidR="00F6487D">
        <w:rPr>
          <w:rFonts w:asciiTheme="majorHAnsi" w:hAnsiTheme="majorHAnsi"/>
        </w:rPr>
        <w:t>-base</w:t>
      </w:r>
      <w:r w:rsidR="00C3290E">
        <w:rPr>
          <w:rFonts w:asciiTheme="majorHAnsi" w:hAnsiTheme="majorHAnsi"/>
        </w:rPr>
        <w:t>d</w:t>
      </w:r>
      <w:r w:rsidR="00F6487D">
        <w:rPr>
          <w:rFonts w:asciiTheme="majorHAnsi" w:hAnsiTheme="majorHAnsi"/>
        </w:rPr>
        <w:t xml:space="preserve"> responses to the</w:t>
      </w:r>
      <w:r w:rsidR="00F6487D" w:rsidRPr="006242D3">
        <w:rPr>
          <w:rFonts w:asciiTheme="majorHAnsi" w:hAnsiTheme="majorHAnsi"/>
        </w:rPr>
        <w:t xml:space="preserve"> opioid crisis</w:t>
      </w:r>
      <w:r w:rsidR="00C3290E">
        <w:rPr>
          <w:rFonts w:asciiTheme="majorHAnsi" w:hAnsiTheme="majorHAnsi"/>
        </w:rPr>
        <w:t xml:space="preserve"> draw together systems of medical and punitive control, complicating the notion of a “gentler drug war” (Tiger, 2017: </w:t>
      </w:r>
      <w:proofErr w:type="spellStart"/>
      <w:r w:rsidR="00C3290E">
        <w:rPr>
          <w:rFonts w:asciiTheme="majorHAnsi" w:hAnsiTheme="majorHAnsi"/>
        </w:rPr>
        <w:t>n.p</w:t>
      </w:r>
      <w:proofErr w:type="spellEnd"/>
      <w:r w:rsidR="00C3290E">
        <w:rPr>
          <w:rFonts w:asciiTheme="majorHAnsi" w:hAnsiTheme="majorHAnsi"/>
        </w:rPr>
        <w:t xml:space="preserve">.). Although a cursory reading of national media on the opioid crisis appears to confirm dominant narratives that posit white upper/middle class drug users as victims who deserve “treatment” rather than criminals, Tiger (2017: </w:t>
      </w:r>
      <w:proofErr w:type="spellStart"/>
      <w:r w:rsidR="00C3290E">
        <w:rPr>
          <w:rFonts w:asciiTheme="majorHAnsi" w:hAnsiTheme="majorHAnsi"/>
        </w:rPr>
        <w:t>n.p</w:t>
      </w:r>
      <w:proofErr w:type="spellEnd"/>
      <w:r w:rsidR="00C3290E">
        <w:rPr>
          <w:rFonts w:asciiTheme="majorHAnsi" w:hAnsiTheme="majorHAnsi"/>
        </w:rPr>
        <w:t>.) importantly points out that this frame conceals the ways in which class figures prominently into who is “subjected to and exempted from punitive social control.” Tracing the “racial grammar” of the punitive methamphetamine imagination to “early eugenics and sociobiological family studies,” Linnemann’s (2016: 48, 53, 87) work not only illuminates how the</w:t>
      </w:r>
      <w:r w:rsidR="00F6487D">
        <w:rPr>
          <w:rFonts w:asciiTheme="majorHAnsi" w:hAnsiTheme="majorHAnsi"/>
        </w:rPr>
        <w:t xml:space="preserve"> </w:t>
      </w:r>
      <w:r w:rsidR="00F6487D" w:rsidRPr="006242D3">
        <w:rPr>
          <w:rFonts w:asciiTheme="majorHAnsi" w:hAnsiTheme="majorHAnsi"/>
        </w:rPr>
        <w:t>“specificall</w:t>
      </w:r>
      <w:r w:rsidR="00F6487D">
        <w:rPr>
          <w:rFonts w:asciiTheme="majorHAnsi" w:hAnsiTheme="majorHAnsi"/>
        </w:rPr>
        <w:t>y</w:t>
      </w:r>
      <w:r w:rsidR="00F6487D" w:rsidRPr="006242D3">
        <w:rPr>
          <w:rFonts w:asciiTheme="majorHAnsi" w:hAnsiTheme="majorHAnsi"/>
        </w:rPr>
        <w:t xml:space="preserve"> derelict</w:t>
      </w:r>
      <w:r w:rsidR="00F6487D">
        <w:rPr>
          <w:rFonts w:asciiTheme="majorHAnsi" w:hAnsiTheme="majorHAnsi"/>
        </w:rPr>
        <w:t>” form and shape of the so-called</w:t>
      </w:r>
      <w:r w:rsidR="00C3290E">
        <w:rPr>
          <w:rFonts w:asciiTheme="majorHAnsi" w:hAnsiTheme="majorHAnsi"/>
        </w:rPr>
        <w:t xml:space="preserve"> rural</w:t>
      </w:r>
      <w:r w:rsidR="00F6487D">
        <w:rPr>
          <w:rFonts w:asciiTheme="majorHAnsi" w:hAnsiTheme="majorHAnsi"/>
        </w:rPr>
        <w:t xml:space="preserve"> “white trash meth head” </w:t>
      </w:r>
      <w:r w:rsidR="00C3290E">
        <w:rPr>
          <w:rFonts w:asciiTheme="majorHAnsi" w:hAnsiTheme="majorHAnsi"/>
        </w:rPr>
        <w:t xml:space="preserve">carves out </w:t>
      </w:r>
      <w:r w:rsidR="00F6487D">
        <w:rPr>
          <w:rFonts w:asciiTheme="majorHAnsi" w:hAnsiTheme="majorHAnsi"/>
        </w:rPr>
        <w:lastRenderedPageBreak/>
        <w:t>“racial</w:t>
      </w:r>
      <w:r w:rsidR="00C3290E">
        <w:rPr>
          <w:rFonts w:asciiTheme="majorHAnsi" w:hAnsiTheme="majorHAnsi"/>
        </w:rPr>
        <w:t>…</w:t>
      </w:r>
      <w:r w:rsidR="00F6487D">
        <w:rPr>
          <w:rFonts w:asciiTheme="majorHAnsi" w:hAnsiTheme="majorHAnsi"/>
        </w:rPr>
        <w:t xml:space="preserve">distinctions </w:t>
      </w:r>
      <w:r w:rsidR="00C3290E">
        <w:rPr>
          <w:rFonts w:asciiTheme="majorHAnsi" w:hAnsiTheme="majorHAnsi"/>
        </w:rPr>
        <w:t>[from]</w:t>
      </w:r>
      <w:r w:rsidR="00F6487D">
        <w:rPr>
          <w:rFonts w:asciiTheme="majorHAnsi" w:hAnsiTheme="majorHAnsi"/>
        </w:rPr>
        <w:t xml:space="preserve"> relative homogeneit</w:t>
      </w:r>
      <w:r w:rsidR="00C3290E">
        <w:rPr>
          <w:rFonts w:asciiTheme="majorHAnsi" w:hAnsiTheme="majorHAnsi"/>
        </w:rPr>
        <w:t xml:space="preserve">y” but demonstrates how the boundaries of this privilege are obscured by class. </w:t>
      </w:r>
    </w:p>
    <w:p w14:paraId="1C48554A" w14:textId="17653B04" w:rsidR="00F6487D" w:rsidRDefault="00C3290E" w:rsidP="00C3290E">
      <w:pPr>
        <w:spacing w:line="480" w:lineRule="auto"/>
        <w:ind w:firstLine="720"/>
        <w:rPr>
          <w:rFonts w:asciiTheme="majorHAnsi" w:hAnsiTheme="majorHAnsi"/>
        </w:rPr>
      </w:pPr>
      <w:r>
        <w:rPr>
          <w:rFonts w:asciiTheme="majorHAnsi" w:hAnsiTheme="majorHAnsi"/>
        </w:rPr>
        <w:t>One cannot think public health-based approaches to the opioid crisis in Southern Appalachia without recourse to the 19</w:t>
      </w:r>
      <w:r w:rsidRPr="00C3290E">
        <w:rPr>
          <w:rFonts w:asciiTheme="majorHAnsi" w:hAnsiTheme="majorHAnsi"/>
          <w:vertAlign w:val="superscript"/>
        </w:rPr>
        <w:t>th</w:t>
      </w:r>
      <w:r>
        <w:rPr>
          <w:rFonts w:asciiTheme="majorHAnsi" w:hAnsiTheme="majorHAnsi"/>
        </w:rPr>
        <w:t xml:space="preserve"> century</w:t>
      </w:r>
      <w:r w:rsidR="00F6487D">
        <w:rPr>
          <w:rFonts w:asciiTheme="majorHAnsi" w:hAnsiTheme="majorHAnsi"/>
        </w:rPr>
        <w:t xml:space="preserve"> eugenics policies</w:t>
      </w:r>
      <w:r>
        <w:rPr>
          <w:rFonts w:asciiTheme="majorHAnsi" w:hAnsiTheme="majorHAnsi"/>
        </w:rPr>
        <w:t xml:space="preserve"> that mobilized this framework within the region to draw a distinction</w:t>
      </w:r>
      <w:r w:rsidR="00F6487D">
        <w:rPr>
          <w:rFonts w:asciiTheme="majorHAnsi" w:hAnsiTheme="majorHAnsi"/>
        </w:rPr>
        <w:t xml:space="preserve"> between “tainted and pure white people”</w:t>
      </w:r>
      <w:r>
        <w:rPr>
          <w:rFonts w:asciiTheme="majorHAnsi" w:hAnsiTheme="majorHAnsi"/>
        </w:rPr>
        <w:t xml:space="preserve"> </w:t>
      </w:r>
      <w:r w:rsidR="00F6487D">
        <w:rPr>
          <w:rFonts w:asciiTheme="majorHAnsi" w:hAnsiTheme="majorHAnsi"/>
        </w:rPr>
        <w:t xml:space="preserve">(Stubblefield, 2007:176). </w:t>
      </w:r>
      <w:r>
        <w:rPr>
          <w:rFonts w:asciiTheme="majorHAnsi" w:hAnsiTheme="majorHAnsi"/>
        </w:rPr>
        <w:t>By explicitly invoking public health to cast poor, rural whites</w:t>
      </w:r>
      <w:r w:rsidR="00F6487D">
        <w:rPr>
          <w:rFonts w:asciiTheme="majorHAnsi" w:hAnsiTheme="majorHAnsi"/>
        </w:rPr>
        <w:t xml:space="preserve"> as “defectives,” “feeble-minded,” and “moral degenerates</w:t>
      </w:r>
      <w:r>
        <w:rPr>
          <w:rFonts w:asciiTheme="majorHAnsi" w:hAnsiTheme="majorHAnsi"/>
        </w:rPr>
        <w:t xml:space="preserve">,” these policies not only operated to “justify” their compulsory sterilization but entrench a belief that the “state should be conservative in helping them survive” lest they “drain society of resources” </w:t>
      </w:r>
      <w:r w:rsidR="00F6487D">
        <w:rPr>
          <w:rFonts w:asciiTheme="majorHAnsi" w:hAnsiTheme="majorHAnsi"/>
        </w:rPr>
        <w:t>(</w:t>
      </w:r>
      <w:proofErr w:type="spellStart"/>
      <w:r w:rsidR="00F6487D">
        <w:rPr>
          <w:rFonts w:asciiTheme="majorHAnsi" w:hAnsiTheme="majorHAnsi"/>
        </w:rPr>
        <w:t>Speigel</w:t>
      </w:r>
      <w:proofErr w:type="spellEnd"/>
      <w:r w:rsidR="00F6487D">
        <w:rPr>
          <w:rFonts w:asciiTheme="majorHAnsi" w:hAnsiTheme="majorHAnsi"/>
        </w:rPr>
        <w:t xml:space="preserve">, 2019: </w:t>
      </w:r>
      <w:proofErr w:type="spellStart"/>
      <w:r w:rsidR="00F6487D">
        <w:rPr>
          <w:rFonts w:asciiTheme="majorHAnsi" w:hAnsiTheme="majorHAnsi"/>
        </w:rPr>
        <w:t>n.p</w:t>
      </w:r>
      <w:proofErr w:type="spellEnd"/>
      <w:r w:rsidR="00F6487D">
        <w:rPr>
          <w:rFonts w:asciiTheme="majorHAnsi" w:hAnsiTheme="majorHAnsi"/>
        </w:rPr>
        <w:t>.</w:t>
      </w:r>
      <w:r>
        <w:rPr>
          <w:rFonts w:asciiTheme="majorHAnsi" w:hAnsiTheme="majorHAnsi"/>
        </w:rPr>
        <w:t xml:space="preserve">; Willem, 2021: </w:t>
      </w:r>
      <w:proofErr w:type="spellStart"/>
      <w:r>
        <w:rPr>
          <w:rFonts w:asciiTheme="majorHAnsi" w:hAnsiTheme="majorHAnsi"/>
        </w:rPr>
        <w:t>n.p</w:t>
      </w:r>
      <w:proofErr w:type="spellEnd"/>
      <w:r>
        <w:rPr>
          <w:rFonts w:asciiTheme="majorHAnsi" w:hAnsiTheme="majorHAnsi"/>
        </w:rPr>
        <w:t>.</w:t>
      </w:r>
      <w:r w:rsidR="00F6487D">
        <w:rPr>
          <w:rFonts w:asciiTheme="majorHAnsi" w:hAnsiTheme="majorHAnsi"/>
        </w:rPr>
        <w:t xml:space="preserve">). </w:t>
      </w:r>
      <w:r>
        <w:rPr>
          <w:rFonts w:asciiTheme="majorHAnsi" w:hAnsiTheme="majorHAnsi"/>
        </w:rPr>
        <w:t xml:space="preserve">As </w:t>
      </w:r>
      <w:proofErr w:type="spellStart"/>
      <w:r>
        <w:rPr>
          <w:rFonts w:asciiTheme="majorHAnsi" w:hAnsiTheme="majorHAnsi"/>
        </w:rPr>
        <w:t>Catte</w:t>
      </w:r>
      <w:proofErr w:type="spellEnd"/>
      <w:r>
        <w:rPr>
          <w:rFonts w:asciiTheme="majorHAnsi" w:hAnsiTheme="majorHAnsi"/>
        </w:rPr>
        <w:t xml:space="preserve"> (quoted in Willem, 2021: </w:t>
      </w:r>
      <w:proofErr w:type="spellStart"/>
      <w:r>
        <w:rPr>
          <w:rFonts w:asciiTheme="majorHAnsi" w:hAnsiTheme="majorHAnsi"/>
        </w:rPr>
        <w:t>n.p</w:t>
      </w:r>
      <w:proofErr w:type="spellEnd"/>
      <w:r>
        <w:rPr>
          <w:rFonts w:asciiTheme="majorHAnsi" w:hAnsiTheme="majorHAnsi"/>
        </w:rPr>
        <w:t xml:space="preserve">.) argues, “eugenics is a tricky subject in terms of past and present,” thus it would be impossible to analyze the implications of public health-based responses to the opioid crisis in Southern Appalachia without recognizing that these logics continue to </w:t>
      </w:r>
      <w:r w:rsidR="00F6487D">
        <w:rPr>
          <w:rFonts w:asciiTheme="majorHAnsi" w:hAnsiTheme="majorHAnsi"/>
        </w:rPr>
        <w:t xml:space="preserve">permeate within and through the “institutions, assets, and landscapes” </w:t>
      </w:r>
      <w:r>
        <w:rPr>
          <w:rFonts w:asciiTheme="majorHAnsi" w:hAnsiTheme="majorHAnsi"/>
        </w:rPr>
        <w:t>that they helped create.</w:t>
      </w:r>
    </w:p>
    <w:p w14:paraId="34623C11" w14:textId="201D433E" w:rsidR="007E4DC2" w:rsidRPr="00C3290E" w:rsidRDefault="00C3290E" w:rsidP="00C3290E">
      <w:pPr>
        <w:numPr>
          <w:ilvl w:val="12"/>
          <w:numId w:val="0"/>
        </w:numPr>
        <w:spacing w:line="480" w:lineRule="auto"/>
        <w:ind w:firstLine="720"/>
        <w:rPr>
          <w:rFonts w:asciiTheme="majorHAnsi" w:hAnsiTheme="majorHAnsi"/>
        </w:rPr>
      </w:pPr>
      <w:r>
        <w:rPr>
          <w:rFonts w:asciiTheme="majorHAnsi" w:hAnsiTheme="majorHAnsi"/>
        </w:rPr>
        <w:t xml:space="preserve">Similar to the ways in which the racial grammar of methamphetamine obscures the boundaries of white racial privilege for so-called rural “meth heads,” the </w:t>
      </w:r>
      <w:r w:rsidR="007E4DC2">
        <w:rPr>
          <w:rFonts w:asciiTheme="majorHAnsi" w:hAnsiTheme="majorHAnsi"/>
        </w:rPr>
        <w:t xml:space="preserve">“hillbilly heroin addict” and/or </w:t>
      </w:r>
      <w:r w:rsidR="00F6487D">
        <w:rPr>
          <w:rFonts w:asciiTheme="majorHAnsi" w:hAnsiTheme="majorHAnsi"/>
        </w:rPr>
        <w:t>“</w:t>
      </w:r>
      <w:proofErr w:type="spellStart"/>
      <w:r w:rsidR="00F6487D">
        <w:rPr>
          <w:rFonts w:asciiTheme="majorHAnsi" w:hAnsiTheme="majorHAnsi"/>
        </w:rPr>
        <w:t>pillbilly</w:t>
      </w:r>
      <w:proofErr w:type="spellEnd"/>
      <w:r w:rsidR="00F6487D">
        <w:rPr>
          <w:rFonts w:asciiTheme="majorHAnsi" w:hAnsiTheme="majorHAnsi"/>
        </w:rPr>
        <w:t>”</w:t>
      </w:r>
      <w:r>
        <w:rPr>
          <w:rFonts w:asciiTheme="majorHAnsi" w:hAnsiTheme="majorHAnsi"/>
        </w:rPr>
        <w:t xml:space="preserve"> is distinguished from the “legitimate pain patient” in Southern Appalachia by this logic </w:t>
      </w:r>
      <w:r w:rsidR="00F6487D">
        <w:rPr>
          <w:rFonts w:asciiTheme="majorHAnsi" w:hAnsiTheme="majorHAnsi"/>
        </w:rPr>
        <w:t>(Linnemann, 2016: 48</w:t>
      </w:r>
      <w:r>
        <w:rPr>
          <w:rFonts w:asciiTheme="majorHAnsi" w:hAnsiTheme="majorHAnsi"/>
        </w:rPr>
        <w:t xml:space="preserve">; Armstrong, 2019: </w:t>
      </w:r>
      <w:proofErr w:type="spellStart"/>
      <w:r>
        <w:rPr>
          <w:rFonts w:asciiTheme="majorHAnsi" w:hAnsiTheme="majorHAnsi"/>
        </w:rPr>
        <w:t>n.p</w:t>
      </w:r>
      <w:proofErr w:type="spellEnd"/>
      <w:r>
        <w:rPr>
          <w:rFonts w:asciiTheme="majorHAnsi" w:hAnsiTheme="majorHAnsi"/>
        </w:rPr>
        <w:t>.</w:t>
      </w:r>
      <w:r w:rsidR="00F6487D">
        <w:rPr>
          <w:rFonts w:asciiTheme="majorHAnsi" w:hAnsiTheme="majorHAnsi"/>
        </w:rPr>
        <w:t xml:space="preserve">). </w:t>
      </w:r>
      <w:r>
        <w:rPr>
          <w:rFonts w:asciiTheme="majorHAnsi" w:hAnsiTheme="majorHAnsi"/>
        </w:rPr>
        <w:t xml:space="preserve">After concerns over OxyContin addiction and overdose deaths began to grow in the 1990s, the crisis management firm hired by Purdue Pharmaceuticals deployed this very racial grammar to saturate the media with an “anti-story” </w:t>
      </w:r>
      <w:r w:rsidR="0000487F">
        <w:rPr>
          <w:rFonts w:asciiTheme="majorHAnsi" w:hAnsiTheme="majorHAnsi"/>
        </w:rPr>
        <w:t>that mockingly</w:t>
      </w:r>
      <w:r>
        <w:rPr>
          <w:rFonts w:asciiTheme="majorHAnsi" w:hAnsiTheme="majorHAnsi"/>
        </w:rPr>
        <w:t xml:space="preserve"> condemned “</w:t>
      </w:r>
      <w:r w:rsidR="00F6487D">
        <w:rPr>
          <w:rFonts w:asciiTheme="majorHAnsi" w:hAnsiTheme="majorHAnsi"/>
        </w:rPr>
        <w:t>hillbilly heroin’ addict</w:t>
      </w:r>
      <w:r>
        <w:rPr>
          <w:rFonts w:asciiTheme="majorHAnsi" w:hAnsiTheme="majorHAnsi"/>
        </w:rPr>
        <w:t>s</w:t>
      </w:r>
      <w:r w:rsidR="00F6487D">
        <w:rPr>
          <w:rFonts w:asciiTheme="majorHAnsi" w:hAnsiTheme="majorHAnsi"/>
        </w:rPr>
        <w:t>”</w:t>
      </w:r>
      <w:r>
        <w:rPr>
          <w:rFonts w:asciiTheme="majorHAnsi" w:hAnsiTheme="majorHAnsi"/>
        </w:rPr>
        <w:t xml:space="preserve"> as the “real culprits” of the problem to deflect attention away from their aggressive marketing campaigns and weak federal regulation </w:t>
      </w:r>
      <w:r w:rsidR="00F6487D">
        <w:rPr>
          <w:rFonts w:asciiTheme="majorHAnsi" w:hAnsiTheme="majorHAnsi"/>
        </w:rPr>
        <w:t xml:space="preserve">(Armstrong, 2019: </w:t>
      </w:r>
      <w:proofErr w:type="spellStart"/>
      <w:r w:rsidR="00F6487D">
        <w:rPr>
          <w:rFonts w:asciiTheme="majorHAnsi" w:hAnsiTheme="majorHAnsi"/>
        </w:rPr>
        <w:t>n.p</w:t>
      </w:r>
      <w:proofErr w:type="spellEnd"/>
      <w:r w:rsidR="00F6487D">
        <w:rPr>
          <w:rFonts w:asciiTheme="majorHAnsi" w:hAnsiTheme="majorHAnsi"/>
        </w:rPr>
        <w:t>.).</w:t>
      </w:r>
      <w:r>
        <w:rPr>
          <w:rFonts w:asciiTheme="majorHAnsi" w:hAnsiTheme="majorHAnsi"/>
        </w:rPr>
        <w:t xml:space="preserve"> Published</w:t>
      </w:r>
      <w:r w:rsidR="0000487F">
        <w:rPr>
          <w:rFonts w:asciiTheme="majorHAnsi" w:hAnsiTheme="majorHAnsi"/>
        </w:rPr>
        <w:t xml:space="preserve"> by </w:t>
      </w:r>
      <w:r w:rsidR="0000487F">
        <w:rPr>
          <w:rFonts w:asciiTheme="majorHAnsi" w:hAnsiTheme="majorHAnsi"/>
        </w:rPr>
        <w:lastRenderedPageBreak/>
        <w:t>the New York Pos</w:t>
      </w:r>
      <w:r>
        <w:rPr>
          <w:rFonts w:asciiTheme="majorHAnsi" w:hAnsiTheme="majorHAnsi"/>
        </w:rPr>
        <w:t xml:space="preserve">t in August of 2021 </w:t>
      </w:r>
      <w:r w:rsidR="007E4DC2">
        <w:rPr>
          <w:rFonts w:asciiTheme="majorHAnsi" w:hAnsiTheme="majorHAnsi"/>
        </w:rPr>
        <w:t>(see Figure 1.3.</w:t>
      </w:r>
      <w:r>
        <w:rPr>
          <w:rFonts w:asciiTheme="majorHAnsi" w:hAnsiTheme="majorHAnsi"/>
        </w:rPr>
        <w:t xml:space="preserve">) the first of these articles charted Purdue’s path to gaining sympathetic coverage for so-called “legitimate pain patients” by demonizing “hillbilly heroin addicts” as responsible for imminent regulatory actions that would compromise access to the “prescription wonder drug” </w:t>
      </w:r>
      <w:r w:rsidR="007E4DC2">
        <w:rPr>
          <w:rFonts w:asciiTheme="majorHAnsi" w:hAnsiTheme="majorHAnsi"/>
        </w:rPr>
        <w:t>(</w:t>
      </w:r>
      <w:r>
        <w:rPr>
          <w:rFonts w:asciiTheme="majorHAnsi" w:hAnsiTheme="majorHAnsi"/>
        </w:rPr>
        <w:t>ibid</w:t>
      </w:r>
      <w:r w:rsidR="007E4DC2">
        <w:rPr>
          <w:rFonts w:asciiTheme="majorHAnsi" w:hAnsiTheme="majorHAnsi"/>
        </w:rPr>
        <w:t xml:space="preserve">, 2019: </w:t>
      </w:r>
      <w:proofErr w:type="spellStart"/>
      <w:r w:rsidR="007E4DC2">
        <w:rPr>
          <w:rFonts w:asciiTheme="majorHAnsi" w:hAnsiTheme="majorHAnsi"/>
        </w:rPr>
        <w:t>n.p</w:t>
      </w:r>
      <w:proofErr w:type="spellEnd"/>
      <w:r w:rsidR="007E4DC2">
        <w:rPr>
          <w:rFonts w:asciiTheme="majorHAnsi" w:hAnsiTheme="majorHAnsi"/>
        </w:rPr>
        <w:t xml:space="preserve">.). </w:t>
      </w:r>
      <w:r w:rsidR="007E4DC2">
        <w:rPr>
          <w:rFonts w:asciiTheme="majorHAnsi" w:hAnsiTheme="majorHAnsi" w:cs="Times New Roman"/>
        </w:rPr>
        <w:t>This</w:t>
      </w:r>
      <w:r w:rsidR="00F6487D">
        <w:rPr>
          <w:rFonts w:asciiTheme="majorHAnsi" w:hAnsiTheme="majorHAnsi" w:cs="Times New Roman"/>
        </w:rPr>
        <w:t xml:space="preserve"> narrative </w:t>
      </w:r>
      <w:r w:rsidR="007E4DC2">
        <w:rPr>
          <w:rFonts w:asciiTheme="majorHAnsi" w:hAnsiTheme="majorHAnsi" w:cs="Times New Roman"/>
        </w:rPr>
        <w:t>played upon a</w:t>
      </w:r>
      <w:r w:rsidR="00F6487D" w:rsidRPr="00F6487D">
        <w:rPr>
          <w:rFonts w:asciiTheme="majorHAnsi" w:hAnsiTheme="majorHAnsi" w:cs="Times New Roman"/>
        </w:rPr>
        <w:t xml:space="preserve"> distinction</w:t>
      </w:r>
      <w:r w:rsidR="00F6487D">
        <w:rPr>
          <w:rFonts w:asciiTheme="majorHAnsi" w:hAnsiTheme="majorHAnsi" w:cs="Times New Roman"/>
        </w:rPr>
        <w:t xml:space="preserve"> that, even within heroin culture,</w:t>
      </w:r>
      <w:r w:rsidR="00F6487D" w:rsidRPr="00F6487D">
        <w:rPr>
          <w:rFonts w:asciiTheme="majorHAnsi" w:hAnsiTheme="majorHAnsi" w:cs="Times New Roman"/>
        </w:rPr>
        <w:t xml:space="preserve"> </w:t>
      </w:r>
      <w:r>
        <w:rPr>
          <w:rFonts w:asciiTheme="majorHAnsi" w:hAnsiTheme="majorHAnsi" w:cs="Times New Roman"/>
        </w:rPr>
        <w:t xml:space="preserve">as </w:t>
      </w:r>
      <w:r w:rsidR="00F6487D" w:rsidRPr="00F6487D">
        <w:rPr>
          <w:rFonts w:asciiTheme="majorHAnsi" w:hAnsiTheme="majorHAnsi" w:cs="Times New Roman"/>
        </w:rPr>
        <w:t xml:space="preserve">Niemeyer (2009: </w:t>
      </w:r>
      <w:proofErr w:type="spellStart"/>
      <w:r w:rsidR="00F6487D" w:rsidRPr="00F6487D">
        <w:rPr>
          <w:rFonts w:asciiTheme="majorHAnsi" w:hAnsiTheme="majorHAnsi" w:cs="Times New Roman"/>
        </w:rPr>
        <w:t>n.p</w:t>
      </w:r>
      <w:proofErr w:type="spellEnd"/>
      <w:r w:rsidR="00F6487D" w:rsidRPr="00F6487D">
        <w:rPr>
          <w:rFonts w:asciiTheme="majorHAnsi" w:hAnsiTheme="majorHAnsi" w:cs="Times New Roman"/>
        </w:rPr>
        <w:t xml:space="preserve">.) writes, </w:t>
      </w:r>
      <w:r>
        <w:rPr>
          <w:rFonts w:asciiTheme="majorHAnsi" w:hAnsiTheme="majorHAnsi" w:cs="Times New Roman"/>
        </w:rPr>
        <w:t>separates the</w:t>
      </w:r>
      <w:r w:rsidRPr="00F6487D">
        <w:rPr>
          <w:rFonts w:asciiTheme="majorHAnsi" w:hAnsiTheme="majorHAnsi" w:cs="Times New Roman"/>
        </w:rPr>
        <w:t xml:space="preserve"> “junkie” </w:t>
      </w:r>
      <w:r>
        <w:rPr>
          <w:rFonts w:asciiTheme="majorHAnsi" w:hAnsiTheme="majorHAnsi" w:cs="Times New Roman"/>
        </w:rPr>
        <w:t>from</w:t>
      </w:r>
      <w:r w:rsidRPr="00F6487D">
        <w:rPr>
          <w:rFonts w:asciiTheme="majorHAnsi" w:hAnsiTheme="majorHAnsi" w:cs="Times New Roman"/>
        </w:rPr>
        <w:t xml:space="preserve"> the “addict</w:t>
      </w:r>
      <w:r>
        <w:rPr>
          <w:rFonts w:asciiTheme="majorHAnsi" w:hAnsiTheme="majorHAnsi" w:cs="Times New Roman"/>
        </w:rPr>
        <w:t>;” wherein the “junkie” is cast as the</w:t>
      </w:r>
      <w:r w:rsidR="00F6487D" w:rsidRPr="00F6487D">
        <w:rPr>
          <w:rFonts w:asciiTheme="majorHAnsi" w:hAnsiTheme="majorHAnsi" w:cs="Times New Roman"/>
        </w:rPr>
        <w:t xml:space="preserve"> </w:t>
      </w:r>
      <w:r>
        <w:rPr>
          <w:rFonts w:asciiTheme="majorHAnsi" w:hAnsiTheme="majorHAnsi" w:cs="Times New Roman"/>
        </w:rPr>
        <w:t>“</w:t>
      </w:r>
      <w:r w:rsidR="00F6487D" w:rsidRPr="00F6487D">
        <w:rPr>
          <w:rFonts w:asciiTheme="majorHAnsi" w:hAnsiTheme="majorHAnsi" w:cs="Times New Roman"/>
        </w:rPr>
        <w:t xml:space="preserve">noticeable… </w:t>
      </w:r>
      <w:r w:rsidR="00F6487D" w:rsidRPr="00F6487D">
        <w:rPr>
          <w:rFonts w:asciiTheme="majorHAnsi" w:hAnsiTheme="majorHAnsi" w:cs="Times New Roman"/>
          <w:i/>
        </w:rPr>
        <w:t>visible</w:t>
      </w:r>
      <w:r w:rsidR="00F6487D" w:rsidRPr="00F6487D">
        <w:rPr>
          <w:rFonts w:asciiTheme="majorHAnsi" w:hAnsiTheme="majorHAnsi" w:cs="Times New Roman"/>
        </w:rPr>
        <w:t xml:space="preserve"> side of heroin addiction…[</w:t>
      </w:r>
      <w:r>
        <w:rPr>
          <w:rFonts w:asciiTheme="majorHAnsi" w:hAnsiTheme="majorHAnsi" w:cs="Times New Roman"/>
        </w:rPr>
        <w:t>or the</w:t>
      </w:r>
      <w:r w:rsidR="00F6487D" w:rsidRPr="00F6487D">
        <w:rPr>
          <w:rFonts w:asciiTheme="majorHAnsi" w:hAnsiTheme="majorHAnsi" w:cs="Times New Roman"/>
        </w:rPr>
        <w:t>] out of control [side]…[</w:t>
      </w:r>
      <w:r>
        <w:rPr>
          <w:rFonts w:asciiTheme="majorHAnsi" w:hAnsiTheme="majorHAnsi" w:cs="Times New Roman"/>
        </w:rPr>
        <w:t>in contrast to</w:t>
      </w:r>
      <w:r w:rsidR="00F6487D" w:rsidRPr="00F6487D">
        <w:rPr>
          <w:rFonts w:asciiTheme="majorHAnsi" w:hAnsiTheme="majorHAnsi" w:cs="Times New Roman"/>
        </w:rPr>
        <w:t>] the stable heroin addict…[</w:t>
      </w:r>
      <w:r>
        <w:rPr>
          <w:rFonts w:asciiTheme="majorHAnsi" w:hAnsiTheme="majorHAnsi" w:cs="Times New Roman"/>
        </w:rPr>
        <w:t xml:space="preserve">who </w:t>
      </w:r>
      <w:r w:rsidR="00F6487D" w:rsidRPr="00F6487D">
        <w:rPr>
          <w:rFonts w:asciiTheme="majorHAnsi" w:hAnsiTheme="majorHAnsi" w:cs="Times New Roman"/>
        </w:rPr>
        <w:t xml:space="preserve">is] almost </w:t>
      </w:r>
      <w:r w:rsidR="00F6487D" w:rsidRPr="00F6487D">
        <w:rPr>
          <w:rFonts w:asciiTheme="majorHAnsi" w:hAnsiTheme="majorHAnsi" w:cs="Times New Roman"/>
          <w:i/>
        </w:rPr>
        <w:t>undetectable</w:t>
      </w:r>
      <w:r w:rsidR="00F6487D" w:rsidRPr="00F6487D">
        <w:rPr>
          <w:rFonts w:asciiTheme="majorHAnsi" w:hAnsiTheme="majorHAnsi" w:cs="Times New Roman"/>
        </w:rPr>
        <w:t>; [</w:t>
      </w:r>
      <w:r>
        <w:rPr>
          <w:rFonts w:asciiTheme="majorHAnsi" w:hAnsiTheme="majorHAnsi" w:cs="Times New Roman"/>
        </w:rPr>
        <w:t xml:space="preserve">and </w:t>
      </w:r>
      <w:r w:rsidR="00F6487D" w:rsidRPr="00F6487D">
        <w:rPr>
          <w:rFonts w:asciiTheme="majorHAnsi" w:hAnsiTheme="majorHAnsi" w:cs="Times New Roman"/>
        </w:rPr>
        <w:t xml:space="preserve">as long as] they have their drugs they will perform and remain a valuable asset to society.” </w:t>
      </w:r>
    </w:p>
    <w:p w14:paraId="3957FDE8" w14:textId="2FBFBC85" w:rsidR="00360BC6" w:rsidRDefault="00197CD6" w:rsidP="00AD37F8">
      <w:pPr>
        <w:numPr>
          <w:ilvl w:val="12"/>
          <w:numId w:val="0"/>
        </w:numPr>
        <w:spacing w:line="480" w:lineRule="auto"/>
        <w:jc w:val="center"/>
        <w:rPr>
          <w:rFonts w:asciiTheme="majorHAnsi" w:hAnsiTheme="majorHAnsi"/>
        </w:rPr>
      </w:pPr>
      <w:r>
        <w:rPr>
          <w:rFonts w:asciiTheme="majorHAnsi" w:hAnsiTheme="majorHAnsi"/>
          <w:noProof/>
        </w:rPr>
        <w:drawing>
          <wp:inline distT="0" distB="0" distL="0" distR="0" wp14:anchorId="69B00F5C" wp14:editId="01FF00DB">
            <wp:extent cx="4183576" cy="3958542"/>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44647" cy="4016328"/>
                    </a:xfrm>
                    <a:prstGeom prst="rect">
                      <a:avLst/>
                    </a:prstGeom>
                  </pic:spPr>
                </pic:pic>
              </a:graphicData>
            </a:graphic>
          </wp:inline>
        </w:drawing>
      </w:r>
    </w:p>
    <w:p w14:paraId="1CDE44B8" w14:textId="77777777" w:rsidR="00495A8D" w:rsidRDefault="00495A8D" w:rsidP="00495A8D">
      <w:pPr>
        <w:numPr>
          <w:ilvl w:val="12"/>
          <w:numId w:val="0"/>
        </w:numPr>
        <w:spacing w:line="480" w:lineRule="auto"/>
        <w:rPr>
          <w:rFonts w:asciiTheme="majorHAnsi" w:hAnsiTheme="majorHAnsi"/>
        </w:rPr>
      </w:pPr>
      <w:r>
        <w:rPr>
          <w:rFonts w:asciiTheme="majorHAnsi" w:hAnsiTheme="majorHAnsi" w:cs="Times New Roman"/>
        </w:rPr>
        <w:t>Figure 1.3. Purdue Pharmaceuticals “Anti-Story”</w:t>
      </w:r>
    </w:p>
    <w:p w14:paraId="47F90CBE" w14:textId="19775348" w:rsidR="00360BC6" w:rsidRDefault="007E4DC2" w:rsidP="00495A8D">
      <w:pPr>
        <w:numPr>
          <w:ilvl w:val="12"/>
          <w:numId w:val="0"/>
        </w:numPr>
        <w:spacing w:line="360" w:lineRule="auto"/>
        <w:rPr>
          <w:rFonts w:asciiTheme="majorHAnsi" w:hAnsiTheme="majorHAnsi"/>
        </w:rPr>
      </w:pPr>
      <w:r>
        <w:rPr>
          <w:rFonts w:asciiTheme="majorHAnsi" w:hAnsiTheme="majorHAnsi"/>
        </w:rPr>
        <w:lastRenderedPageBreak/>
        <w:t>Figure 1.3. depicts</w:t>
      </w:r>
      <w:r w:rsidR="0000487F">
        <w:rPr>
          <w:rFonts w:asciiTheme="majorHAnsi" w:hAnsiTheme="majorHAnsi"/>
        </w:rPr>
        <w:t xml:space="preserve"> the</w:t>
      </w:r>
      <w:r w:rsidR="00C3290E">
        <w:rPr>
          <w:rFonts w:asciiTheme="majorHAnsi" w:hAnsiTheme="majorHAnsi"/>
        </w:rPr>
        <w:t xml:space="preserve"> New York Post</w:t>
      </w:r>
      <w:r w:rsidR="0000487F">
        <w:rPr>
          <w:rFonts w:asciiTheme="majorHAnsi" w:hAnsiTheme="majorHAnsi"/>
        </w:rPr>
        <w:t xml:space="preserve"> opinion column</w:t>
      </w:r>
      <w:r w:rsidR="00C3290E">
        <w:rPr>
          <w:rFonts w:asciiTheme="majorHAnsi" w:hAnsiTheme="majorHAnsi"/>
        </w:rPr>
        <w:t xml:space="preserve"> that launched Purdue Pharmaceuticals “anti-story.” </w:t>
      </w:r>
      <w:r w:rsidR="0000487F">
        <w:rPr>
          <w:rFonts w:asciiTheme="majorHAnsi" w:hAnsiTheme="majorHAnsi"/>
        </w:rPr>
        <w:t xml:space="preserve"> </w:t>
      </w:r>
      <w:r>
        <w:rPr>
          <w:rFonts w:asciiTheme="majorHAnsi" w:hAnsiTheme="majorHAnsi"/>
        </w:rPr>
        <w:t xml:space="preserve"> </w:t>
      </w:r>
    </w:p>
    <w:p w14:paraId="735CD2D5" w14:textId="77777777" w:rsidR="00C3290E" w:rsidRDefault="00C3290E" w:rsidP="00F6487D">
      <w:pPr>
        <w:numPr>
          <w:ilvl w:val="12"/>
          <w:numId w:val="0"/>
        </w:numPr>
        <w:spacing w:line="480" w:lineRule="auto"/>
        <w:ind w:firstLine="720"/>
        <w:rPr>
          <w:rFonts w:asciiTheme="majorHAnsi" w:hAnsiTheme="majorHAnsi"/>
        </w:rPr>
      </w:pPr>
    </w:p>
    <w:p w14:paraId="6DCE6C0C" w14:textId="77777777" w:rsidR="00C3290E" w:rsidRDefault="00C3290E" w:rsidP="00F6487D">
      <w:pPr>
        <w:numPr>
          <w:ilvl w:val="12"/>
          <w:numId w:val="0"/>
        </w:numPr>
        <w:spacing w:line="480" w:lineRule="auto"/>
        <w:ind w:firstLine="720"/>
        <w:rPr>
          <w:rFonts w:asciiTheme="majorHAnsi" w:hAnsiTheme="majorHAnsi"/>
        </w:rPr>
      </w:pPr>
    </w:p>
    <w:p w14:paraId="4F889171" w14:textId="77777777" w:rsidR="00C3290E" w:rsidRDefault="00C3290E" w:rsidP="00F6487D">
      <w:pPr>
        <w:numPr>
          <w:ilvl w:val="12"/>
          <w:numId w:val="0"/>
        </w:numPr>
        <w:spacing w:line="480" w:lineRule="auto"/>
        <w:ind w:firstLine="720"/>
        <w:rPr>
          <w:rFonts w:asciiTheme="majorHAnsi" w:hAnsiTheme="majorHAnsi"/>
        </w:rPr>
      </w:pPr>
    </w:p>
    <w:p w14:paraId="531D32D7" w14:textId="77777777" w:rsidR="00C3290E" w:rsidRDefault="00C3290E" w:rsidP="00F6487D">
      <w:pPr>
        <w:numPr>
          <w:ilvl w:val="12"/>
          <w:numId w:val="0"/>
        </w:numPr>
        <w:spacing w:line="480" w:lineRule="auto"/>
        <w:ind w:firstLine="720"/>
        <w:rPr>
          <w:rFonts w:asciiTheme="majorHAnsi" w:hAnsiTheme="majorHAnsi"/>
        </w:rPr>
      </w:pPr>
    </w:p>
    <w:p w14:paraId="4745F799" w14:textId="77777777" w:rsidR="00C3290E" w:rsidRDefault="00C3290E" w:rsidP="00F6487D">
      <w:pPr>
        <w:numPr>
          <w:ilvl w:val="12"/>
          <w:numId w:val="0"/>
        </w:numPr>
        <w:spacing w:line="480" w:lineRule="auto"/>
        <w:ind w:firstLine="720"/>
        <w:rPr>
          <w:rFonts w:asciiTheme="majorHAnsi" w:hAnsiTheme="majorHAnsi"/>
        </w:rPr>
      </w:pPr>
    </w:p>
    <w:p w14:paraId="138E2997" w14:textId="77777777" w:rsidR="00405A2C" w:rsidRDefault="00405A2C" w:rsidP="00F6487D">
      <w:pPr>
        <w:numPr>
          <w:ilvl w:val="12"/>
          <w:numId w:val="0"/>
        </w:numPr>
        <w:spacing w:line="480" w:lineRule="auto"/>
        <w:ind w:firstLine="720"/>
        <w:rPr>
          <w:rFonts w:asciiTheme="majorHAnsi" w:hAnsiTheme="majorHAnsi"/>
        </w:rPr>
      </w:pPr>
    </w:p>
    <w:p w14:paraId="0180C0CD" w14:textId="77777777" w:rsidR="00C3290E" w:rsidRDefault="00C3290E" w:rsidP="00C3290E">
      <w:pPr>
        <w:numPr>
          <w:ilvl w:val="12"/>
          <w:numId w:val="0"/>
        </w:numPr>
        <w:spacing w:line="480" w:lineRule="auto"/>
        <w:rPr>
          <w:rFonts w:asciiTheme="majorHAnsi" w:hAnsiTheme="majorHAnsi"/>
        </w:rPr>
      </w:pPr>
    </w:p>
    <w:p w14:paraId="3F3699BB" w14:textId="69FBF206" w:rsidR="00343128" w:rsidRPr="00F6487D" w:rsidRDefault="00F6487D" w:rsidP="00C3290E">
      <w:pPr>
        <w:numPr>
          <w:ilvl w:val="12"/>
          <w:numId w:val="0"/>
        </w:numPr>
        <w:spacing w:line="480" w:lineRule="auto"/>
        <w:ind w:firstLine="720"/>
        <w:rPr>
          <w:rFonts w:asciiTheme="majorHAnsi" w:hAnsiTheme="majorHAnsi"/>
        </w:rPr>
      </w:pPr>
      <w:r>
        <w:rPr>
          <w:rFonts w:asciiTheme="majorHAnsi" w:hAnsiTheme="majorHAnsi"/>
        </w:rPr>
        <w:t xml:space="preserve">When the City of Huntington, West Virginia brought suit against the drug distributor AmerisourceBergen for sending 90 million doses of oxycodone and hydrocodone into the state between 2007 and 2012, emails were released featuring a rhyme about a “bevy of </w:t>
      </w:r>
      <w:proofErr w:type="spellStart"/>
      <w:r>
        <w:rPr>
          <w:rFonts w:asciiTheme="majorHAnsi" w:hAnsiTheme="majorHAnsi"/>
        </w:rPr>
        <w:t>pillbillies</w:t>
      </w:r>
      <w:proofErr w:type="spellEnd"/>
      <w:r>
        <w:rPr>
          <w:rFonts w:asciiTheme="majorHAnsi" w:hAnsiTheme="majorHAnsi"/>
        </w:rPr>
        <w:t>” and a poor mountaineer named Jed “who could barely keep his habit fed” and thus was venturing across state lines to get his “fix” (</w:t>
      </w:r>
      <w:proofErr w:type="spellStart"/>
      <w:r>
        <w:rPr>
          <w:rFonts w:asciiTheme="majorHAnsi" w:hAnsiTheme="majorHAnsi"/>
        </w:rPr>
        <w:t>McGrear</w:t>
      </w:r>
      <w:proofErr w:type="spellEnd"/>
      <w:r>
        <w:rPr>
          <w:rFonts w:asciiTheme="majorHAnsi" w:hAnsiTheme="majorHAnsi"/>
        </w:rPr>
        <w:t xml:space="preserve">, 2021: </w:t>
      </w:r>
      <w:proofErr w:type="spellStart"/>
      <w:r>
        <w:rPr>
          <w:rFonts w:asciiTheme="majorHAnsi" w:hAnsiTheme="majorHAnsi"/>
        </w:rPr>
        <w:t>n.p</w:t>
      </w:r>
      <w:proofErr w:type="spellEnd"/>
      <w:r>
        <w:rPr>
          <w:rFonts w:asciiTheme="majorHAnsi" w:hAnsiTheme="majorHAnsi"/>
        </w:rPr>
        <w:t xml:space="preserve">). And in another email, remarking on new drug regulations in Kentucky, referring to the state as </w:t>
      </w:r>
      <w:proofErr w:type="spellStart"/>
      <w:r>
        <w:rPr>
          <w:rFonts w:asciiTheme="majorHAnsi" w:hAnsiTheme="majorHAnsi"/>
        </w:rPr>
        <w:t>Oxycontinville</w:t>
      </w:r>
      <w:proofErr w:type="spellEnd"/>
      <w:r>
        <w:rPr>
          <w:rFonts w:asciiTheme="majorHAnsi" w:hAnsiTheme="majorHAnsi"/>
        </w:rPr>
        <w:t xml:space="preserve">, and saying: “One of the hillbilly’s [sic] must have learned how to read :-)” (ibid, 2021: </w:t>
      </w:r>
      <w:proofErr w:type="spellStart"/>
      <w:r>
        <w:rPr>
          <w:rFonts w:asciiTheme="majorHAnsi" w:hAnsiTheme="majorHAnsi"/>
        </w:rPr>
        <w:t>n.p</w:t>
      </w:r>
      <w:proofErr w:type="spellEnd"/>
      <w:r>
        <w:rPr>
          <w:rFonts w:asciiTheme="majorHAnsi" w:hAnsiTheme="majorHAnsi"/>
        </w:rPr>
        <w:t>.). The</w:t>
      </w:r>
      <w:r w:rsidR="00B30AC0" w:rsidRPr="00F6487D">
        <w:rPr>
          <w:rFonts w:asciiTheme="majorHAnsi" w:hAnsiTheme="majorHAnsi"/>
        </w:rPr>
        <w:t xml:space="preserve"> implementation of </w:t>
      </w:r>
      <w:r w:rsidR="008F48B9" w:rsidRPr="00F6487D">
        <w:rPr>
          <w:rFonts w:asciiTheme="majorHAnsi" w:hAnsiTheme="majorHAnsi"/>
        </w:rPr>
        <w:t xml:space="preserve">public health-based </w:t>
      </w:r>
      <w:r>
        <w:rPr>
          <w:rFonts w:asciiTheme="majorHAnsi" w:hAnsiTheme="majorHAnsi"/>
        </w:rPr>
        <w:t>HR</w:t>
      </w:r>
      <w:r w:rsidR="008F48B9" w:rsidRPr="00F6487D">
        <w:rPr>
          <w:rFonts w:asciiTheme="majorHAnsi" w:hAnsiTheme="majorHAnsi"/>
        </w:rPr>
        <w:t xml:space="preserve"> policies</w:t>
      </w:r>
      <w:r>
        <w:rPr>
          <w:rFonts w:asciiTheme="majorHAnsi" w:hAnsiTheme="majorHAnsi"/>
        </w:rPr>
        <w:t xml:space="preserve"> and the repeal of the NEP ban operates in the ambivalent space between care and control by mobilizing these practices to render the so-called “hillbilly heroin addict” </w:t>
      </w:r>
      <w:r w:rsidR="00F0086B" w:rsidRPr="00F6487D">
        <w:rPr>
          <w:rFonts w:asciiTheme="majorHAnsi" w:hAnsiTheme="majorHAnsi"/>
        </w:rPr>
        <w:t xml:space="preserve">undetectable on the </w:t>
      </w:r>
      <w:r w:rsidR="00D260C9" w:rsidRPr="00F6487D">
        <w:rPr>
          <w:rFonts w:asciiTheme="majorHAnsi" w:hAnsiTheme="majorHAnsi"/>
        </w:rPr>
        <w:t>street and</w:t>
      </w:r>
      <w:r w:rsidR="002D0CC4" w:rsidRPr="00F6487D">
        <w:rPr>
          <w:rFonts w:asciiTheme="majorHAnsi" w:hAnsiTheme="majorHAnsi"/>
        </w:rPr>
        <w:t xml:space="preserve"> allow them their drugs </w:t>
      </w:r>
      <w:r w:rsidR="00717351" w:rsidRPr="00F6487D">
        <w:rPr>
          <w:rFonts w:asciiTheme="majorHAnsi" w:hAnsiTheme="majorHAnsi"/>
        </w:rPr>
        <w:t xml:space="preserve">but </w:t>
      </w:r>
      <w:r w:rsidR="00BB778B" w:rsidRPr="00F6487D">
        <w:rPr>
          <w:rFonts w:asciiTheme="majorHAnsi" w:hAnsiTheme="majorHAnsi"/>
        </w:rPr>
        <w:t xml:space="preserve">only </w:t>
      </w:r>
      <w:r w:rsidR="00D260C9" w:rsidRPr="00F6487D">
        <w:rPr>
          <w:rFonts w:asciiTheme="majorHAnsi" w:hAnsiTheme="majorHAnsi"/>
        </w:rPr>
        <w:t xml:space="preserve">if they </w:t>
      </w:r>
      <w:r w:rsidR="008559CC" w:rsidRPr="00F6487D">
        <w:rPr>
          <w:rFonts w:asciiTheme="majorHAnsi" w:hAnsiTheme="majorHAnsi"/>
        </w:rPr>
        <w:t>consent</w:t>
      </w:r>
      <w:r w:rsidR="00D260C9" w:rsidRPr="00F6487D">
        <w:rPr>
          <w:rFonts w:asciiTheme="majorHAnsi" w:hAnsiTheme="majorHAnsi"/>
        </w:rPr>
        <w:t xml:space="preserve"> to be managed. The alternative</w:t>
      </w:r>
      <w:r w:rsidR="00717351" w:rsidRPr="00F6487D">
        <w:rPr>
          <w:rFonts w:asciiTheme="majorHAnsi" w:hAnsiTheme="majorHAnsi"/>
        </w:rPr>
        <w:t xml:space="preserve"> </w:t>
      </w:r>
      <w:r w:rsidR="00D260C9" w:rsidRPr="00F6487D">
        <w:rPr>
          <w:rFonts w:asciiTheme="majorHAnsi" w:hAnsiTheme="majorHAnsi"/>
        </w:rPr>
        <w:t xml:space="preserve">is always available, always a threat. </w:t>
      </w:r>
      <w:r w:rsidRPr="00F6487D">
        <w:rPr>
          <w:rFonts w:asciiTheme="majorHAnsi" w:hAnsiTheme="majorHAnsi"/>
        </w:rPr>
        <w:t>Recall that former Indiana Governor Mike Pence allowed</w:t>
      </w:r>
      <w:r>
        <w:rPr>
          <w:rFonts w:asciiTheme="majorHAnsi" w:hAnsiTheme="majorHAnsi"/>
        </w:rPr>
        <w:t xml:space="preserve"> for</w:t>
      </w:r>
      <w:r w:rsidRPr="00F6487D">
        <w:rPr>
          <w:rFonts w:asciiTheme="majorHAnsi" w:hAnsiTheme="majorHAnsi"/>
        </w:rPr>
        <w:t xml:space="preserve"> one of the nation’s worst HIV outbreaks in recent history to </w:t>
      </w:r>
      <w:r>
        <w:rPr>
          <w:rFonts w:asciiTheme="majorHAnsi" w:hAnsiTheme="majorHAnsi"/>
        </w:rPr>
        <w:t>go on</w:t>
      </w:r>
      <w:r w:rsidRPr="00F6487D">
        <w:rPr>
          <w:rFonts w:asciiTheme="majorHAnsi" w:hAnsiTheme="majorHAnsi"/>
        </w:rPr>
        <w:t xml:space="preserve"> unabated for months</w:t>
      </w:r>
      <w:r>
        <w:rPr>
          <w:rFonts w:asciiTheme="majorHAnsi" w:hAnsiTheme="majorHAnsi"/>
        </w:rPr>
        <w:t xml:space="preserve"> </w:t>
      </w:r>
      <w:r>
        <w:rPr>
          <w:rFonts w:asciiTheme="majorHAnsi" w:hAnsiTheme="majorHAnsi"/>
        </w:rPr>
        <w:lastRenderedPageBreak/>
        <w:t>in predominantly white, rural Scott County</w:t>
      </w:r>
      <w:r w:rsidRPr="00F6487D">
        <w:rPr>
          <w:rFonts w:asciiTheme="majorHAnsi" w:hAnsiTheme="majorHAnsi"/>
        </w:rPr>
        <w:t xml:space="preserve"> before reluctantly allowing </w:t>
      </w:r>
      <w:r>
        <w:rPr>
          <w:rFonts w:asciiTheme="majorHAnsi" w:hAnsiTheme="majorHAnsi"/>
        </w:rPr>
        <w:t>for the</w:t>
      </w:r>
      <w:r w:rsidRPr="00F6487D">
        <w:rPr>
          <w:rFonts w:asciiTheme="majorHAnsi" w:hAnsiTheme="majorHAnsi"/>
        </w:rPr>
        <w:t xml:space="preserve"> NEP that would</w:t>
      </w:r>
      <w:r>
        <w:rPr>
          <w:rFonts w:asciiTheme="majorHAnsi" w:hAnsiTheme="majorHAnsi"/>
        </w:rPr>
        <w:t xml:space="preserve"> eventually</w:t>
      </w:r>
      <w:r w:rsidRPr="00F6487D">
        <w:rPr>
          <w:rFonts w:asciiTheme="majorHAnsi" w:hAnsiTheme="majorHAnsi"/>
        </w:rPr>
        <w:t xml:space="preserve"> quell i</w:t>
      </w:r>
      <w:r>
        <w:rPr>
          <w:rFonts w:asciiTheme="majorHAnsi" w:hAnsiTheme="majorHAnsi"/>
        </w:rPr>
        <w:t>t to be implemented.</w:t>
      </w:r>
    </w:p>
    <w:p w14:paraId="426EC38B" w14:textId="009BB70A" w:rsidR="005F2B0B" w:rsidRPr="006242D3" w:rsidRDefault="0037379A" w:rsidP="00B65A10">
      <w:pPr>
        <w:spacing w:line="480" w:lineRule="auto"/>
        <w:ind w:firstLine="720"/>
        <w:rPr>
          <w:rFonts w:asciiTheme="majorHAnsi" w:hAnsiTheme="majorHAnsi"/>
        </w:rPr>
      </w:pPr>
      <w:r>
        <w:rPr>
          <w:rFonts w:asciiTheme="majorHAnsi" w:hAnsiTheme="majorHAnsi"/>
        </w:rPr>
        <w:t xml:space="preserve">  </w:t>
      </w:r>
      <w:r w:rsidR="006242D3" w:rsidRPr="006242D3">
        <w:rPr>
          <w:rFonts w:asciiTheme="majorHAnsi" w:hAnsiTheme="majorHAnsi"/>
        </w:rPr>
        <w:t xml:space="preserve">As </w:t>
      </w:r>
      <w:proofErr w:type="spellStart"/>
      <w:r w:rsidR="006242D3" w:rsidRPr="006242D3">
        <w:rPr>
          <w:rFonts w:asciiTheme="majorHAnsi" w:hAnsiTheme="majorHAnsi"/>
        </w:rPr>
        <w:t>Lachapelle</w:t>
      </w:r>
      <w:proofErr w:type="spellEnd"/>
      <w:r w:rsidR="006242D3" w:rsidRPr="006242D3">
        <w:rPr>
          <w:rFonts w:asciiTheme="majorHAnsi" w:hAnsiTheme="majorHAnsi"/>
        </w:rPr>
        <w:t xml:space="preserve"> et al. (2022: 337) argue, the “discipline, institution, and social force” of public health was developed to not only disguise ideologies of racialization “within a moral pursuit of health” but to deploy them “in service of…carceral and imperial ends.” While we will discuss </w:t>
      </w:r>
      <w:r w:rsidR="006242D3">
        <w:rPr>
          <w:rFonts w:asciiTheme="majorHAnsi" w:hAnsiTheme="majorHAnsi"/>
        </w:rPr>
        <w:t>the</w:t>
      </w:r>
      <w:r w:rsidR="006242D3" w:rsidRPr="006242D3">
        <w:rPr>
          <w:rFonts w:asciiTheme="majorHAnsi" w:hAnsiTheme="majorHAnsi"/>
        </w:rPr>
        <w:t xml:space="preserve"> history of public health interventions</w:t>
      </w:r>
      <w:r w:rsidR="006242D3">
        <w:rPr>
          <w:rFonts w:asciiTheme="majorHAnsi" w:hAnsiTheme="majorHAnsi"/>
        </w:rPr>
        <w:t xml:space="preserve"> into </w:t>
      </w:r>
      <w:r w:rsidR="006242D3" w:rsidRPr="006242D3">
        <w:rPr>
          <w:rFonts w:asciiTheme="majorHAnsi" w:hAnsiTheme="majorHAnsi"/>
        </w:rPr>
        <w:t xml:space="preserve">Southern Appalachia </w:t>
      </w:r>
      <w:r w:rsidR="006242D3">
        <w:rPr>
          <w:rFonts w:asciiTheme="majorHAnsi" w:hAnsiTheme="majorHAnsi"/>
        </w:rPr>
        <w:t>at length in</w:t>
      </w:r>
      <w:r w:rsidR="006242D3" w:rsidRPr="006242D3">
        <w:rPr>
          <w:rFonts w:asciiTheme="majorHAnsi" w:hAnsiTheme="majorHAnsi"/>
        </w:rPr>
        <w:t xml:space="preserve"> chapter three, </w:t>
      </w:r>
      <w:r w:rsidR="006242D3">
        <w:rPr>
          <w:rFonts w:asciiTheme="majorHAnsi" w:hAnsiTheme="majorHAnsi"/>
        </w:rPr>
        <w:t>it is important to take note of this fundamental</w:t>
      </w:r>
      <w:r w:rsidR="00F6487D">
        <w:rPr>
          <w:rFonts w:asciiTheme="majorHAnsi" w:hAnsiTheme="majorHAnsi"/>
        </w:rPr>
        <w:t xml:space="preserve"> entwinement of public health and </w:t>
      </w:r>
      <w:proofErr w:type="spellStart"/>
      <w:r w:rsidR="00F6487D">
        <w:rPr>
          <w:rFonts w:asciiTheme="majorHAnsi" w:hAnsiTheme="majorHAnsi"/>
        </w:rPr>
        <w:t>carcerality</w:t>
      </w:r>
      <w:proofErr w:type="spellEnd"/>
      <w:r w:rsidR="006242D3">
        <w:rPr>
          <w:rFonts w:asciiTheme="majorHAnsi" w:hAnsiTheme="majorHAnsi"/>
        </w:rPr>
        <w:t xml:space="preserve"> </w:t>
      </w:r>
      <w:r w:rsidR="00F6487D">
        <w:rPr>
          <w:rFonts w:asciiTheme="majorHAnsi" w:hAnsiTheme="majorHAnsi"/>
        </w:rPr>
        <w:t xml:space="preserve">to fully grasp the implications of HR programs. </w:t>
      </w:r>
      <w:r w:rsidR="006242D3">
        <w:rPr>
          <w:rFonts w:asciiTheme="majorHAnsi" w:hAnsiTheme="majorHAnsi"/>
        </w:rPr>
        <w:t>A c</w:t>
      </w:r>
      <w:r w:rsidR="006242D3" w:rsidRPr="006242D3">
        <w:rPr>
          <w:rFonts w:asciiTheme="majorHAnsi" w:hAnsiTheme="majorHAnsi"/>
        </w:rPr>
        <w:t xml:space="preserve">onjunctural perspective </w:t>
      </w:r>
      <w:r w:rsidR="00F6487D">
        <w:rPr>
          <w:rFonts w:asciiTheme="majorHAnsi" w:hAnsiTheme="majorHAnsi"/>
        </w:rPr>
        <w:t xml:space="preserve">will allow us to analyze how these programs articulate the </w:t>
      </w:r>
      <w:r w:rsidR="006242D3" w:rsidRPr="006242D3">
        <w:rPr>
          <w:rFonts w:asciiTheme="majorHAnsi" w:hAnsiTheme="majorHAnsi"/>
        </w:rPr>
        <w:t xml:space="preserve">contradictions (social, political, economic, ideological, and carceral) </w:t>
      </w:r>
      <w:r w:rsidR="00F6487D">
        <w:rPr>
          <w:rFonts w:asciiTheme="majorHAnsi" w:hAnsiTheme="majorHAnsi"/>
        </w:rPr>
        <w:t>condensed within the</w:t>
      </w:r>
      <w:r w:rsidR="006242D3" w:rsidRPr="006242D3">
        <w:rPr>
          <w:rFonts w:asciiTheme="majorHAnsi" w:hAnsiTheme="majorHAnsi"/>
        </w:rPr>
        <w:t xml:space="preserve"> opioid crisis</w:t>
      </w:r>
      <w:r w:rsidR="00F6487D">
        <w:rPr>
          <w:rFonts w:asciiTheme="majorHAnsi" w:hAnsiTheme="majorHAnsi"/>
        </w:rPr>
        <w:t xml:space="preserve"> through the creation of</w:t>
      </w:r>
      <w:r w:rsidR="006242D3" w:rsidRPr="006242D3">
        <w:rPr>
          <w:rFonts w:asciiTheme="majorHAnsi" w:hAnsiTheme="majorHAnsi"/>
        </w:rPr>
        <w:t xml:space="preserve"> “new” alliances</w:t>
      </w:r>
      <w:r w:rsidR="00F6487D">
        <w:rPr>
          <w:rFonts w:asciiTheme="majorHAnsi" w:hAnsiTheme="majorHAnsi"/>
        </w:rPr>
        <w:t xml:space="preserve"> that violently “resolve” them, only deepening the</w:t>
      </w:r>
      <w:r w:rsidR="006242D3" w:rsidRPr="006242D3">
        <w:rPr>
          <w:rFonts w:asciiTheme="majorHAnsi" w:hAnsiTheme="majorHAnsi"/>
        </w:rPr>
        <w:t xml:space="preserve"> hegemony of criminalized drug prohibition</w:t>
      </w:r>
      <w:r w:rsidR="00F6487D">
        <w:rPr>
          <w:rFonts w:asciiTheme="majorHAnsi" w:hAnsiTheme="majorHAnsi"/>
        </w:rPr>
        <w:t xml:space="preserve"> and expanding the carceral apparatuses that sustain it</w:t>
      </w:r>
      <w:r w:rsidR="006242D3" w:rsidRPr="006242D3">
        <w:rPr>
          <w:rFonts w:asciiTheme="majorHAnsi" w:hAnsiTheme="majorHAnsi"/>
        </w:rPr>
        <w:t xml:space="preserve">. </w:t>
      </w:r>
      <w:r w:rsidR="00F6487D">
        <w:rPr>
          <w:rFonts w:asciiTheme="majorHAnsi" w:hAnsiTheme="majorHAnsi"/>
        </w:rPr>
        <w:t>However, to</w:t>
      </w:r>
      <w:r w:rsidR="006242D3" w:rsidRPr="006242D3">
        <w:rPr>
          <w:rFonts w:asciiTheme="majorHAnsi" w:hAnsiTheme="majorHAnsi"/>
        </w:rPr>
        <w:t xml:space="preserve"> understand </w:t>
      </w:r>
      <w:r w:rsidR="00F6487D">
        <w:rPr>
          <w:rFonts w:asciiTheme="majorHAnsi" w:hAnsiTheme="majorHAnsi"/>
        </w:rPr>
        <w:t>these shifts in the</w:t>
      </w:r>
      <w:r w:rsidR="006242D3" w:rsidRPr="006242D3">
        <w:rPr>
          <w:rFonts w:asciiTheme="majorHAnsi" w:hAnsiTheme="majorHAnsi"/>
        </w:rPr>
        <w:t xml:space="preserve"> present</w:t>
      </w:r>
      <w:r w:rsidR="00F6487D">
        <w:rPr>
          <w:rFonts w:asciiTheme="majorHAnsi" w:hAnsiTheme="majorHAnsi"/>
        </w:rPr>
        <w:t>, it is imperative that we first go back—exploring how these policies are shaped by and articulated through histories of US drug control policy.</w:t>
      </w:r>
      <w:r w:rsidR="005F2B0B" w:rsidRPr="006242D3">
        <w:rPr>
          <w:rFonts w:asciiTheme="majorHAnsi" w:hAnsiTheme="majorHAnsi" w:cs="Times New Roman"/>
        </w:rPr>
        <w:br w:type="page"/>
      </w:r>
    </w:p>
    <w:p w14:paraId="2E508616" w14:textId="5F2BDE5E" w:rsidR="00236E6D" w:rsidRPr="00C3290E" w:rsidRDefault="00AA4DC0" w:rsidP="00495A8D">
      <w:pPr>
        <w:pStyle w:val="Heading1"/>
      </w:pPr>
      <w:bookmarkStart w:id="11" w:name="_Toc133884505"/>
      <w:r w:rsidRPr="00C3290E">
        <w:lastRenderedPageBreak/>
        <w:t xml:space="preserve">Chapter </w:t>
      </w:r>
      <w:r w:rsidR="00C3290E">
        <w:t>Two</w:t>
      </w:r>
      <w:r w:rsidR="002E5E94" w:rsidRPr="00C3290E">
        <w:t xml:space="preserve">: </w:t>
      </w:r>
      <w:r w:rsidR="006242D3" w:rsidRPr="00C3290E">
        <w:t>Contexts, concept, and crises</w:t>
      </w:r>
      <w:bookmarkEnd w:id="11"/>
    </w:p>
    <w:p w14:paraId="6234C49E" w14:textId="77777777" w:rsidR="00236E6D" w:rsidRPr="006242D3" w:rsidRDefault="00236E6D">
      <w:pPr>
        <w:numPr>
          <w:ilvl w:val="12"/>
          <w:numId w:val="0"/>
        </w:numPr>
        <w:rPr>
          <w:rFonts w:asciiTheme="majorHAnsi" w:hAnsiTheme="majorHAnsi" w:cs="Times New Roman"/>
          <w:highlight w:val="yellow"/>
        </w:rPr>
      </w:pPr>
      <w:r w:rsidRPr="006242D3">
        <w:rPr>
          <w:rFonts w:asciiTheme="majorHAnsi" w:hAnsiTheme="majorHAnsi" w:cs="Times New Roman"/>
        </w:rPr>
        <w:tab/>
      </w:r>
    </w:p>
    <w:p w14:paraId="2A452AB0" w14:textId="2E400DD5" w:rsidR="004F08CE" w:rsidRPr="006242D3" w:rsidRDefault="006242D3" w:rsidP="00C3290E">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Despite unprecedented support for public health-based HR policies in response to the contemporary opioid crisis, these programs remain</w:t>
      </w:r>
      <w:r w:rsidR="00DC406D">
        <w:rPr>
          <w:rFonts w:asciiTheme="majorHAnsi" w:hAnsiTheme="majorHAnsi" w:cs="Times New Roman"/>
        </w:rPr>
        <w:t xml:space="preserve"> politically</w:t>
      </w:r>
      <w:r w:rsidRPr="006242D3">
        <w:rPr>
          <w:rFonts w:asciiTheme="majorHAnsi" w:hAnsiTheme="majorHAnsi" w:cs="Times New Roman"/>
        </w:rPr>
        <w:t xml:space="preserve"> </w:t>
      </w:r>
      <w:r w:rsidR="00DC406D">
        <w:rPr>
          <w:rFonts w:asciiTheme="majorHAnsi" w:hAnsiTheme="majorHAnsi" w:cs="Times New Roman"/>
        </w:rPr>
        <w:t>contentious</w:t>
      </w:r>
      <w:r w:rsidRPr="006242D3">
        <w:rPr>
          <w:rFonts w:asciiTheme="majorHAnsi" w:hAnsiTheme="majorHAnsi" w:cs="Times New Roman"/>
        </w:rPr>
        <w:t xml:space="preserve"> in the US. </w:t>
      </w:r>
      <w:r w:rsidR="001E2714">
        <w:rPr>
          <w:rFonts w:asciiTheme="majorHAnsi" w:hAnsiTheme="majorHAnsi" w:cs="Times New Roman"/>
        </w:rPr>
        <w:t>Historically condemned by</w:t>
      </w:r>
      <w:r w:rsidRPr="006242D3">
        <w:rPr>
          <w:rFonts w:asciiTheme="majorHAnsi" w:hAnsiTheme="majorHAnsi" w:cs="Times New Roman"/>
        </w:rPr>
        <w:t xml:space="preserve"> political elites as </w:t>
      </w:r>
      <w:r w:rsidR="001E2714">
        <w:rPr>
          <w:rFonts w:asciiTheme="majorHAnsi" w:hAnsiTheme="majorHAnsi" w:cs="Times New Roman"/>
        </w:rPr>
        <w:t xml:space="preserve">being </w:t>
      </w:r>
      <w:r w:rsidRPr="006242D3">
        <w:rPr>
          <w:rFonts w:asciiTheme="majorHAnsi" w:hAnsiTheme="majorHAnsi" w:cs="Times New Roman"/>
        </w:rPr>
        <w:t>antithetical to the ideology of criminalized drug prohibition</w:t>
      </w:r>
      <w:r w:rsidR="0058164B">
        <w:rPr>
          <w:rFonts w:asciiTheme="majorHAnsi" w:hAnsiTheme="majorHAnsi" w:cs="Times New Roman"/>
        </w:rPr>
        <w:t xml:space="preserve">, they are </w:t>
      </w:r>
      <w:r w:rsidR="00DC1014">
        <w:rPr>
          <w:rFonts w:asciiTheme="majorHAnsi" w:hAnsiTheme="majorHAnsi" w:cs="Times New Roman"/>
        </w:rPr>
        <w:t>compared to a “trojan horse” for drug policy refor</w:t>
      </w:r>
      <w:r w:rsidR="00D0132C">
        <w:rPr>
          <w:rFonts w:asciiTheme="majorHAnsi" w:hAnsiTheme="majorHAnsi" w:cs="Times New Roman"/>
        </w:rPr>
        <w:t>m</w:t>
      </w:r>
      <w:r w:rsidR="00A874B0">
        <w:rPr>
          <w:rFonts w:asciiTheme="majorHAnsi" w:hAnsiTheme="majorHAnsi" w:cs="Times New Roman"/>
        </w:rPr>
        <w:t xml:space="preserve"> (Hunt</w:t>
      </w:r>
      <w:r w:rsidR="005F697E">
        <w:rPr>
          <w:rFonts w:asciiTheme="majorHAnsi" w:hAnsiTheme="majorHAnsi" w:cs="Times New Roman"/>
        </w:rPr>
        <w:t>, et al</w:t>
      </w:r>
      <w:r w:rsidR="00D0132C">
        <w:rPr>
          <w:rFonts w:asciiTheme="majorHAnsi" w:hAnsiTheme="majorHAnsi" w:cs="Times New Roman"/>
        </w:rPr>
        <w:t>.</w:t>
      </w:r>
      <w:r w:rsidR="005F697E">
        <w:rPr>
          <w:rFonts w:asciiTheme="majorHAnsi" w:hAnsiTheme="majorHAnsi" w:cs="Times New Roman"/>
        </w:rPr>
        <w:t xml:space="preserve">, </w:t>
      </w:r>
      <w:r w:rsidR="0053041A">
        <w:rPr>
          <w:rFonts w:asciiTheme="majorHAnsi" w:hAnsiTheme="majorHAnsi" w:cs="Times New Roman"/>
        </w:rPr>
        <w:t xml:space="preserve">2003: </w:t>
      </w:r>
      <w:proofErr w:type="spellStart"/>
      <w:r w:rsidR="0053041A">
        <w:rPr>
          <w:rFonts w:asciiTheme="majorHAnsi" w:hAnsiTheme="majorHAnsi" w:cs="Times New Roman"/>
        </w:rPr>
        <w:t>n.p</w:t>
      </w:r>
      <w:proofErr w:type="spellEnd"/>
      <w:r w:rsidR="0053041A">
        <w:rPr>
          <w:rFonts w:asciiTheme="majorHAnsi" w:hAnsiTheme="majorHAnsi" w:cs="Times New Roman"/>
        </w:rPr>
        <w:t>.).</w:t>
      </w:r>
      <w:r w:rsidR="00D0132C">
        <w:rPr>
          <w:rFonts w:asciiTheme="majorHAnsi" w:hAnsiTheme="majorHAnsi" w:cs="Times New Roman"/>
        </w:rPr>
        <w:t xml:space="preserve"> Or drug decriminalization and/or legalization in “disguise.”</w:t>
      </w:r>
      <w:r w:rsidR="0058164B">
        <w:rPr>
          <w:rFonts w:asciiTheme="majorHAnsi" w:hAnsiTheme="majorHAnsi" w:cs="Times New Roman"/>
        </w:rPr>
        <w:t xml:space="preserve"> </w:t>
      </w:r>
      <w:r w:rsidR="00533A2C">
        <w:rPr>
          <w:rFonts w:asciiTheme="majorHAnsi" w:hAnsiTheme="majorHAnsi" w:cs="Times New Roman"/>
        </w:rPr>
        <w:t xml:space="preserve">Aside from </w:t>
      </w:r>
      <w:r w:rsidR="00663040">
        <w:rPr>
          <w:rFonts w:asciiTheme="majorHAnsi" w:hAnsiTheme="majorHAnsi" w:cs="Times New Roman"/>
        </w:rPr>
        <w:t xml:space="preserve">ideological and </w:t>
      </w:r>
      <w:r w:rsidR="00BC1665">
        <w:rPr>
          <w:rFonts w:asciiTheme="majorHAnsi" w:hAnsiTheme="majorHAnsi" w:cs="Times New Roman"/>
        </w:rPr>
        <w:t>“moral”</w:t>
      </w:r>
      <w:r w:rsidR="00533A2C">
        <w:rPr>
          <w:rFonts w:asciiTheme="majorHAnsi" w:hAnsiTheme="majorHAnsi" w:cs="Times New Roman"/>
        </w:rPr>
        <w:t xml:space="preserve"> </w:t>
      </w:r>
      <w:r w:rsidR="002161CD">
        <w:rPr>
          <w:rFonts w:asciiTheme="majorHAnsi" w:hAnsiTheme="majorHAnsi" w:cs="Times New Roman"/>
        </w:rPr>
        <w:t>opposition to these programs</w:t>
      </w:r>
      <w:r w:rsidR="00BC1665">
        <w:rPr>
          <w:rFonts w:asciiTheme="majorHAnsi" w:hAnsiTheme="majorHAnsi" w:cs="Times New Roman"/>
        </w:rPr>
        <w:t xml:space="preserve">, they are politically </w:t>
      </w:r>
      <w:r w:rsidR="0096249B">
        <w:rPr>
          <w:rFonts w:asciiTheme="majorHAnsi" w:hAnsiTheme="majorHAnsi" w:cs="Times New Roman"/>
        </w:rPr>
        <w:t xml:space="preserve">unpopular largely because </w:t>
      </w:r>
      <w:r w:rsidR="000029D1">
        <w:rPr>
          <w:rFonts w:asciiTheme="majorHAnsi" w:hAnsiTheme="majorHAnsi" w:cs="Times New Roman"/>
        </w:rPr>
        <w:t xml:space="preserve">of the </w:t>
      </w:r>
      <w:r w:rsidR="00EA2935">
        <w:rPr>
          <w:rFonts w:asciiTheme="majorHAnsi" w:hAnsiTheme="majorHAnsi" w:cs="Times New Roman"/>
        </w:rPr>
        <w:t>enormous</w:t>
      </w:r>
      <w:r w:rsidR="000029D1">
        <w:rPr>
          <w:rFonts w:asciiTheme="majorHAnsi" w:hAnsiTheme="majorHAnsi" w:cs="Times New Roman"/>
        </w:rPr>
        <w:t xml:space="preserve"> amount of war/police,</w:t>
      </w:r>
      <w:r w:rsidR="00EA2935">
        <w:rPr>
          <w:rFonts w:asciiTheme="majorHAnsi" w:hAnsiTheme="majorHAnsi" w:cs="Times New Roman"/>
        </w:rPr>
        <w:t xml:space="preserve"> economic, social, ideological, and carceral power the nation amasses through the</w:t>
      </w:r>
      <w:r w:rsidR="00464A02">
        <w:rPr>
          <w:rFonts w:asciiTheme="majorHAnsi" w:hAnsiTheme="majorHAnsi" w:cs="Times New Roman"/>
        </w:rPr>
        <w:t xml:space="preserve"> regime of</w:t>
      </w:r>
      <w:r w:rsidR="00EA2935">
        <w:rPr>
          <w:rFonts w:asciiTheme="majorHAnsi" w:hAnsiTheme="majorHAnsi" w:cs="Times New Roman"/>
        </w:rPr>
        <w:t xml:space="preserve"> prohibition.</w:t>
      </w:r>
      <w:r w:rsidR="000029D1">
        <w:rPr>
          <w:rFonts w:asciiTheme="majorHAnsi" w:hAnsiTheme="majorHAnsi" w:cs="Times New Roman"/>
        </w:rPr>
        <w:t xml:space="preserve"> </w:t>
      </w:r>
      <w:r w:rsidRPr="006242D3">
        <w:rPr>
          <w:rFonts w:asciiTheme="majorHAnsi" w:hAnsiTheme="majorHAnsi" w:cs="Times New Roman"/>
        </w:rPr>
        <w:t xml:space="preserve">In what follows, I will </w:t>
      </w:r>
      <w:r w:rsidR="00ED24E7">
        <w:rPr>
          <w:rFonts w:asciiTheme="majorHAnsi" w:hAnsiTheme="majorHAnsi" w:cs="Times New Roman"/>
        </w:rPr>
        <w:t xml:space="preserve">begin with prohibition and </w:t>
      </w:r>
      <w:r w:rsidRPr="006242D3">
        <w:rPr>
          <w:rFonts w:asciiTheme="majorHAnsi" w:hAnsiTheme="majorHAnsi" w:cs="Times New Roman"/>
        </w:rPr>
        <w:t xml:space="preserve">provide </w:t>
      </w:r>
      <w:r w:rsidR="00ED24E7">
        <w:rPr>
          <w:rFonts w:asciiTheme="majorHAnsi" w:hAnsiTheme="majorHAnsi" w:cs="Times New Roman"/>
        </w:rPr>
        <w:t>a brief overview of</w:t>
      </w:r>
      <w:r w:rsidRPr="006242D3">
        <w:rPr>
          <w:rFonts w:asciiTheme="majorHAnsi" w:hAnsiTheme="majorHAnsi" w:cs="Times New Roman"/>
        </w:rPr>
        <w:t xml:space="preserve"> US drug control policy</w:t>
      </w:r>
      <w:r w:rsidR="00A7001A">
        <w:rPr>
          <w:rFonts w:asciiTheme="majorHAnsi" w:hAnsiTheme="majorHAnsi" w:cs="Times New Roman"/>
        </w:rPr>
        <w:t xml:space="preserve"> before foregrounding the role </w:t>
      </w:r>
      <w:r w:rsidR="009D1C15">
        <w:rPr>
          <w:rFonts w:asciiTheme="majorHAnsi" w:hAnsiTheme="majorHAnsi" w:cs="Times New Roman"/>
        </w:rPr>
        <w:t>the concept of</w:t>
      </w:r>
      <w:r w:rsidR="00A7001A">
        <w:rPr>
          <w:rFonts w:asciiTheme="majorHAnsi" w:hAnsiTheme="majorHAnsi" w:cs="Times New Roman"/>
        </w:rPr>
        <w:t xml:space="preserve"> addiction plays in maintain</w:t>
      </w:r>
      <w:r w:rsidR="009D1C15">
        <w:rPr>
          <w:rFonts w:asciiTheme="majorHAnsi" w:hAnsiTheme="majorHAnsi" w:cs="Times New Roman"/>
        </w:rPr>
        <w:t xml:space="preserve">ing </w:t>
      </w:r>
      <w:r w:rsidR="007B5DD3">
        <w:rPr>
          <w:rFonts w:asciiTheme="majorHAnsi" w:hAnsiTheme="majorHAnsi" w:cs="Times New Roman"/>
        </w:rPr>
        <w:t>the boundaries between pharmaceutical and criminalized drugs.</w:t>
      </w:r>
      <w:r w:rsidR="00A7001A">
        <w:rPr>
          <w:rFonts w:asciiTheme="majorHAnsi" w:hAnsiTheme="majorHAnsi" w:cs="Times New Roman"/>
        </w:rPr>
        <w:t xml:space="preserve"> </w:t>
      </w:r>
      <w:r w:rsidR="007B5DD3">
        <w:rPr>
          <w:rFonts w:asciiTheme="majorHAnsi" w:hAnsiTheme="majorHAnsi" w:cs="Times New Roman"/>
        </w:rPr>
        <w:t xml:space="preserve">Then, I will offer historical </w:t>
      </w:r>
      <w:r w:rsidRPr="006242D3">
        <w:rPr>
          <w:rFonts w:asciiTheme="majorHAnsi" w:hAnsiTheme="majorHAnsi" w:cs="Times New Roman"/>
        </w:rPr>
        <w:t>background on harm reduction (HR)</w:t>
      </w:r>
      <w:r w:rsidR="007B5DD3">
        <w:rPr>
          <w:rFonts w:asciiTheme="majorHAnsi" w:hAnsiTheme="majorHAnsi" w:cs="Times New Roman"/>
        </w:rPr>
        <w:t xml:space="preserve"> before turning to the opioid crisis.</w:t>
      </w:r>
    </w:p>
    <w:p w14:paraId="3A836F30" w14:textId="496EBF27" w:rsidR="004F08CE" w:rsidRPr="00C3290E" w:rsidRDefault="006242D3" w:rsidP="0030288C">
      <w:pPr>
        <w:pStyle w:val="Heading2"/>
      </w:pPr>
      <w:bookmarkStart w:id="12" w:name="_Toc133884506"/>
      <w:r w:rsidRPr="00C3290E">
        <w:t>Ambivalence</w:t>
      </w:r>
      <w:bookmarkEnd w:id="12"/>
    </w:p>
    <w:p w14:paraId="636A3EED" w14:textId="02102AE4" w:rsidR="006242D3" w:rsidRDefault="006242D3" w:rsidP="007B5DD3">
      <w:pPr>
        <w:numPr>
          <w:ilvl w:val="12"/>
          <w:numId w:val="0"/>
        </w:numPr>
        <w:spacing w:line="480" w:lineRule="auto"/>
        <w:ind w:firstLine="720"/>
        <w:rPr>
          <w:rFonts w:asciiTheme="majorHAnsi" w:eastAsia="Georgia" w:hAnsiTheme="majorHAnsi" w:cs="Georgia"/>
        </w:rPr>
      </w:pPr>
      <w:r w:rsidRPr="006242D3">
        <w:rPr>
          <w:rFonts w:asciiTheme="majorHAnsi" w:hAnsiTheme="majorHAnsi" w:cs="Times New Roman"/>
        </w:rPr>
        <w:t xml:space="preserve">The ambivalence that lies at the heart of the US regime of criminalized drug prohibition is perfectly encapsulated by opioids, which are simultaneously regarded as both medicine and drug; legal and illegal; treatment and pleasure; solution and problem (Johansen &amp; Johansen 2015:82). </w:t>
      </w:r>
      <w:r w:rsidRPr="006242D3">
        <w:rPr>
          <w:rFonts w:asciiTheme="majorHAnsi" w:eastAsia="Georgia" w:hAnsiTheme="majorHAnsi" w:cs="Georgia"/>
        </w:rPr>
        <w:t xml:space="preserve">Such was the case in 1875 when San Francisco passed into law the nation’s first narcotics control act. Firing what </w:t>
      </w:r>
      <w:proofErr w:type="spellStart"/>
      <w:r w:rsidRPr="006242D3">
        <w:rPr>
          <w:rFonts w:asciiTheme="majorHAnsi" w:eastAsia="Georgia" w:hAnsiTheme="majorHAnsi" w:cs="Georgia"/>
        </w:rPr>
        <w:t>Geiringer</w:t>
      </w:r>
      <w:proofErr w:type="spellEnd"/>
      <w:r w:rsidRPr="006242D3">
        <w:rPr>
          <w:rFonts w:asciiTheme="majorHAnsi" w:eastAsia="Georgia" w:hAnsiTheme="majorHAnsi" w:cs="Georgia"/>
        </w:rPr>
        <w:t xml:space="preserve"> (2009: </w:t>
      </w:r>
      <w:proofErr w:type="spellStart"/>
      <w:r w:rsidRPr="006242D3">
        <w:rPr>
          <w:rFonts w:asciiTheme="majorHAnsi" w:eastAsia="Georgia" w:hAnsiTheme="majorHAnsi" w:cs="Georgia"/>
        </w:rPr>
        <w:t>n.p</w:t>
      </w:r>
      <w:proofErr w:type="spellEnd"/>
      <w:r w:rsidRPr="006242D3">
        <w:rPr>
          <w:rFonts w:asciiTheme="majorHAnsi" w:eastAsia="Georgia" w:hAnsiTheme="majorHAnsi" w:cs="Georgia"/>
        </w:rPr>
        <w:t xml:space="preserve">.) calls “the first shot in a [drug] war that still rage[s], San Francisco implemented an “Opium Den Ordinance” that makes plain the roots of drug control legislation in socio-cultural and political conflict. While the ordinance made it a criminalizable “offense” to maintain and/or </w:t>
      </w:r>
      <w:r w:rsidRPr="006242D3">
        <w:rPr>
          <w:rFonts w:asciiTheme="majorHAnsi" w:eastAsia="Georgia" w:hAnsiTheme="majorHAnsi" w:cs="Georgia"/>
        </w:rPr>
        <w:lastRenderedPageBreak/>
        <w:t>frequent the “opium dens” popular of the era, it specifically targeted the use of smoking opium favored by Chinese migrant laborers rather than the “medicinal” opium used by whites. San Francisco’s “city fathers” were thus less concerned about the use of opium itself (although this was increasingly becoming a concern) than by the Chinese kept dens they considered places of “vice.” Drawing on “father” lamented “the vicious and depraved…here [nightly comingle] with young [white] men and women of respectable parentage</w:t>
      </w:r>
      <w:proofErr w:type="gramStart"/>
      <w:r w:rsidRPr="006242D3">
        <w:rPr>
          <w:rFonts w:asciiTheme="majorHAnsi" w:eastAsia="Georgia" w:hAnsiTheme="majorHAnsi" w:cs="Georgia"/>
        </w:rPr>
        <w:t>…[</w:t>
      </w:r>
      <w:proofErr w:type="gramEnd"/>
      <w:r w:rsidRPr="006242D3">
        <w:rPr>
          <w:rFonts w:asciiTheme="majorHAnsi" w:eastAsia="Georgia" w:hAnsiTheme="majorHAnsi" w:cs="Georgia"/>
        </w:rPr>
        <w:t>in a] dangerous species dissipation that[must] be stopped” (Geiringer 2009). The passage of the ordinance canonized American narcotics control as a tool of enforced exclusion that was intended to prevent the social, cultural, and sexual “m</w:t>
      </w:r>
      <w:r w:rsidR="007B5DD3">
        <w:rPr>
          <w:rFonts w:asciiTheme="majorHAnsi" w:eastAsia="Georgia" w:hAnsiTheme="majorHAnsi" w:cs="Georgia"/>
        </w:rPr>
        <w:t>i</w:t>
      </w:r>
      <w:r w:rsidRPr="006242D3">
        <w:rPr>
          <w:rFonts w:asciiTheme="majorHAnsi" w:eastAsia="Georgia" w:hAnsiTheme="majorHAnsi" w:cs="Georgia"/>
        </w:rPr>
        <w:t xml:space="preserve">scegenation” </w:t>
      </w:r>
      <w:r w:rsidR="00C3290E">
        <w:rPr>
          <w:rFonts w:asciiTheme="majorHAnsi" w:eastAsia="Georgia" w:hAnsiTheme="majorHAnsi" w:cs="Georgia"/>
        </w:rPr>
        <w:t xml:space="preserve">between </w:t>
      </w:r>
      <w:r w:rsidRPr="006242D3">
        <w:rPr>
          <w:rFonts w:asciiTheme="majorHAnsi" w:eastAsia="Georgia" w:hAnsiTheme="majorHAnsi" w:cs="Georgia"/>
        </w:rPr>
        <w:t>racial</w:t>
      </w:r>
      <w:r w:rsidR="00C3290E">
        <w:rPr>
          <w:rFonts w:asciiTheme="majorHAnsi" w:eastAsia="Georgia" w:hAnsiTheme="majorHAnsi" w:cs="Georgia"/>
        </w:rPr>
        <w:t>ized</w:t>
      </w:r>
      <w:r w:rsidRPr="006242D3">
        <w:rPr>
          <w:rFonts w:asciiTheme="majorHAnsi" w:eastAsia="Georgia" w:hAnsiTheme="majorHAnsi" w:cs="Georgia"/>
        </w:rPr>
        <w:t xml:space="preserve"> </w:t>
      </w:r>
      <w:r w:rsidR="00C3290E">
        <w:rPr>
          <w:rFonts w:asciiTheme="majorHAnsi" w:eastAsia="Georgia" w:hAnsiTheme="majorHAnsi" w:cs="Georgia"/>
        </w:rPr>
        <w:t>“o</w:t>
      </w:r>
      <w:r w:rsidRPr="006242D3">
        <w:rPr>
          <w:rFonts w:asciiTheme="majorHAnsi" w:eastAsia="Georgia" w:hAnsiTheme="majorHAnsi" w:cs="Georgia"/>
        </w:rPr>
        <w:t>thers</w:t>
      </w:r>
      <w:r w:rsidR="00C3290E">
        <w:rPr>
          <w:rFonts w:asciiTheme="majorHAnsi" w:eastAsia="Georgia" w:hAnsiTheme="majorHAnsi" w:cs="Georgia"/>
        </w:rPr>
        <w:t>”</w:t>
      </w:r>
      <w:r w:rsidRPr="006242D3">
        <w:rPr>
          <w:rFonts w:asciiTheme="majorHAnsi" w:eastAsia="Georgia" w:hAnsiTheme="majorHAnsi" w:cs="Georgia"/>
        </w:rPr>
        <w:t xml:space="preserve"> with whites</w:t>
      </w:r>
      <w:r w:rsidR="00C3290E">
        <w:rPr>
          <w:rFonts w:asciiTheme="majorHAnsi" w:eastAsia="Georgia" w:hAnsiTheme="majorHAnsi" w:cs="Georgia"/>
        </w:rPr>
        <w:t xml:space="preserve"> (see Figure 2.1.)</w:t>
      </w:r>
      <w:r w:rsidRPr="006242D3">
        <w:rPr>
          <w:rFonts w:asciiTheme="majorHAnsi" w:eastAsia="Georgia" w:hAnsiTheme="majorHAnsi" w:cs="Georgia"/>
        </w:rPr>
        <w:t>.</w:t>
      </w:r>
      <w:r w:rsidR="002131BE">
        <w:rPr>
          <w:rFonts w:asciiTheme="majorHAnsi" w:eastAsia="Georgia" w:hAnsiTheme="majorHAnsi" w:cs="Georgia"/>
        </w:rPr>
        <w:t xml:space="preserve"> </w:t>
      </w:r>
      <w:r w:rsidR="002131BE" w:rsidRPr="00C3290E">
        <w:rPr>
          <w:rFonts w:asciiTheme="majorHAnsi" w:hAnsiTheme="majorHAnsi" w:cs="Times New Roman"/>
        </w:rPr>
        <w:t>The transformation of opium to il/legal created a political aperture for prohibition by the ambivalent line it drew between so-called iatrogenic (or medically induced) “victim-addicts” and the depravity of their “underworld” counterparts (</w:t>
      </w:r>
      <w:proofErr w:type="spellStart"/>
      <w:r w:rsidR="002131BE" w:rsidRPr="00C3290E">
        <w:rPr>
          <w:rFonts w:asciiTheme="majorHAnsi" w:hAnsiTheme="majorHAnsi" w:cs="Times New Roman"/>
        </w:rPr>
        <w:t>Courtwright</w:t>
      </w:r>
      <w:proofErr w:type="spellEnd"/>
      <w:r w:rsidR="002131BE" w:rsidRPr="00C3290E">
        <w:rPr>
          <w:rFonts w:asciiTheme="majorHAnsi" w:hAnsiTheme="majorHAnsi" w:cs="Times New Roman"/>
        </w:rPr>
        <w:t xml:space="preserve">, 2001). “Drugs” have been and indispensable conduit for US accumulation of national and international power (Paley 2014: 214), and the fabricated “addict” has been its “handmaiden.” </w:t>
      </w:r>
      <w:r w:rsidR="00495A8D" w:rsidRPr="00C3290E">
        <w:rPr>
          <w:rFonts w:asciiTheme="majorHAnsi" w:hAnsiTheme="majorHAnsi" w:cs="Times New Roman"/>
        </w:rPr>
        <w:t xml:space="preserve">Throughout history, the nation has employed acts of </w:t>
      </w:r>
      <w:proofErr w:type="spellStart"/>
      <w:r w:rsidR="00495A8D" w:rsidRPr="00C3290E">
        <w:rPr>
          <w:rFonts w:asciiTheme="majorHAnsi" w:hAnsiTheme="majorHAnsi" w:cs="Times New Roman"/>
        </w:rPr>
        <w:t>carceral</w:t>
      </w:r>
      <w:proofErr w:type="spellEnd"/>
      <w:r w:rsidR="00495A8D" w:rsidRPr="00C3290E">
        <w:rPr>
          <w:rFonts w:asciiTheme="majorHAnsi" w:hAnsiTheme="majorHAnsi" w:cs="Times New Roman"/>
        </w:rPr>
        <w:t xml:space="preserve"> statecraft in the manufacture of drug crises to elicit support for hyper-punitive regimes by the association of racialized, gendered, and sexualized “others” with certain “illicit”</w:t>
      </w:r>
    </w:p>
    <w:p w14:paraId="6006D663" w14:textId="77777777" w:rsidR="00C3290E" w:rsidRDefault="00C3290E" w:rsidP="00C3290E">
      <w:pPr>
        <w:numPr>
          <w:ilvl w:val="12"/>
          <w:numId w:val="0"/>
        </w:numPr>
        <w:spacing w:line="480" w:lineRule="auto"/>
        <w:rPr>
          <w:rFonts w:asciiTheme="majorHAnsi" w:eastAsia="Georgia" w:hAnsiTheme="majorHAnsi" w:cs="Georgia"/>
        </w:rPr>
      </w:pPr>
    </w:p>
    <w:p w14:paraId="60D06981" w14:textId="77777777" w:rsidR="00405A2C" w:rsidRDefault="00405A2C" w:rsidP="00C3290E">
      <w:pPr>
        <w:numPr>
          <w:ilvl w:val="12"/>
          <w:numId w:val="0"/>
        </w:numPr>
        <w:spacing w:line="480" w:lineRule="auto"/>
        <w:rPr>
          <w:rFonts w:asciiTheme="majorHAnsi" w:eastAsia="Georgia" w:hAnsiTheme="majorHAnsi" w:cs="Georgia"/>
        </w:rPr>
      </w:pPr>
    </w:p>
    <w:p w14:paraId="79AADA52" w14:textId="77777777" w:rsidR="00405A2C" w:rsidRDefault="00405A2C" w:rsidP="00C3290E">
      <w:pPr>
        <w:numPr>
          <w:ilvl w:val="12"/>
          <w:numId w:val="0"/>
        </w:numPr>
        <w:spacing w:line="480" w:lineRule="auto"/>
        <w:rPr>
          <w:rFonts w:asciiTheme="majorHAnsi" w:eastAsia="Georgia" w:hAnsiTheme="majorHAnsi" w:cs="Georgia"/>
        </w:rPr>
      </w:pPr>
    </w:p>
    <w:p w14:paraId="3EC7BCBA" w14:textId="06463778" w:rsidR="00C3290E" w:rsidRDefault="006242D3" w:rsidP="00C3290E">
      <w:pPr>
        <w:numPr>
          <w:ilvl w:val="12"/>
          <w:numId w:val="0"/>
        </w:numPr>
        <w:spacing w:line="480" w:lineRule="auto"/>
        <w:ind w:firstLine="720"/>
        <w:jc w:val="center"/>
        <w:rPr>
          <w:rFonts w:asciiTheme="majorHAnsi" w:hAnsiTheme="majorHAnsi" w:cs="Times New Roman"/>
          <w:b/>
          <w:bCs/>
          <w:i/>
          <w:iCs/>
        </w:rPr>
      </w:pPr>
      <w:r w:rsidRPr="006242D3">
        <w:rPr>
          <w:rFonts w:asciiTheme="majorHAnsi" w:hAnsiTheme="majorHAnsi"/>
          <w:noProof/>
        </w:rPr>
        <w:lastRenderedPageBreak/>
        <w:drawing>
          <wp:inline distT="0" distB="0" distL="0" distR="0" wp14:anchorId="15772F6B" wp14:editId="6788C23B">
            <wp:extent cx="5138420" cy="4570653"/>
            <wp:effectExtent l="0" t="0" r="5080" b="1905"/>
            <wp:docPr id="6" name="Picture 6"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ewspaper&#10;&#10;Description automatically generated"/>
                    <pic:cNvPicPr/>
                  </pic:nvPicPr>
                  <pic:blipFill rotWithShape="1">
                    <a:blip r:embed="rId14">
                      <a:extLst>
                        <a:ext uri="{28A0092B-C50C-407E-A947-70E740481C1C}">
                          <a14:useLocalDpi xmlns:a14="http://schemas.microsoft.com/office/drawing/2010/main" val="0"/>
                        </a:ext>
                      </a:extLst>
                    </a:blip>
                    <a:srcRect l="-329" t="929" r="-329" b="929"/>
                    <a:stretch/>
                  </pic:blipFill>
                  <pic:spPr>
                    <a:xfrm>
                      <a:off x="0" y="0"/>
                      <a:ext cx="5246219" cy="4666541"/>
                    </a:xfrm>
                    <a:prstGeom prst="rect">
                      <a:avLst/>
                    </a:prstGeom>
                  </pic:spPr>
                </pic:pic>
              </a:graphicData>
            </a:graphic>
          </wp:inline>
        </w:drawing>
      </w:r>
    </w:p>
    <w:p w14:paraId="271F6638" w14:textId="77777777" w:rsidR="00495A8D" w:rsidRPr="006242D3" w:rsidRDefault="00495A8D" w:rsidP="00495A8D">
      <w:pPr>
        <w:numPr>
          <w:ilvl w:val="12"/>
          <w:numId w:val="0"/>
        </w:numPr>
        <w:spacing w:line="480" w:lineRule="auto"/>
        <w:rPr>
          <w:rFonts w:asciiTheme="majorHAnsi" w:eastAsia="Georgia" w:hAnsiTheme="majorHAnsi" w:cs="Georgia"/>
        </w:rPr>
      </w:pPr>
      <w:r>
        <w:rPr>
          <w:rFonts w:asciiTheme="majorHAnsi" w:eastAsia="Georgia" w:hAnsiTheme="majorHAnsi" w:cs="Georgia"/>
        </w:rPr>
        <w:t>Figure 2.1. Opium Den Article</w:t>
      </w:r>
    </w:p>
    <w:p w14:paraId="07183C34" w14:textId="43AF9B36" w:rsidR="00C3290E" w:rsidRPr="00C3290E" w:rsidRDefault="00C3290E" w:rsidP="00C3290E">
      <w:pPr>
        <w:numPr>
          <w:ilvl w:val="12"/>
          <w:numId w:val="0"/>
        </w:numPr>
        <w:spacing w:line="480" w:lineRule="auto"/>
        <w:rPr>
          <w:rFonts w:asciiTheme="majorHAnsi" w:hAnsiTheme="majorHAnsi" w:cs="Times New Roman"/>
        </w:rPr>
      </w:pPr>
      <w:r>
        <w:rPr>
          <w:rFonts w:asciiTheme="majorHAnsi" w:hAnsiTheme="majorHAnsi" w:cs="Times New Roman"/>
        </w:rPr>
        <w:t>Figure 2.1. depicts a newspaper article warning of the alleged “threat” to white racial identity that opium dens operating in San Francisco’s Chinatown continued to pose despite laws prohibiting use of the drug.</w:t>
      </w:r>
    </w:p>
    <w:p w14:paraId="5BDE417F" w14:textId="77777777" w:rsidR="006242D3" w:rsidRDefault="006242D3" w:rsidP="006242D3">
      <w:pPr>
        <w:numPr>
          <w:ilvl w:val="12"/>
          <w:numId w:val="0"/>
        </w:numPr>
        <w:spacing w:line="480" w:lineRule="auto"/>
        <w:ind w:firstLine="720"/>
        <w:rPr>
          <w:rFonts w:asciiTheme="majorHAnsi" w:hAnsiTheme="majorHAnsi" w:cs="Times New Roman"/>
        </w:rPr>
      </w:pPr>
    </w:p>
    <w:p w14:paraId="38DDB134" w14:textId="77777777" w:rsidR="00C3290E" w:rsidRDefault="00C3290E" w:rsidP="00C3290E">
      <w:pPr>
        <w:numPr>
          <w:ilvl w:val="12"/>
          <w:numId w:val="0"/>
        </w:numPr>
        <w:spacing w:line="480" w:lineRule="auto"/>
        <w:rPr>
          <w:rFonts w:asciiTheme="majorHAnsi" w:hAnsiTheme="majorHAnsi" w:cs="Times New Roman"/>
        </w:rPr>
      </w:pPr>
    </w:p>
    <w:p w14:paraId="7AEFF2C8" w14:textId="5B3AF0F0" w:rsidR="002131BE" w:rsidRDefault="002131BE" w:rsidP="00C3290E">
      <w:pPr>
        <w:numPr>
          <w:ilvl w:val="12"/>
          <w:numId w:val="0"/>
        </w:numPr>
        <w:spacing w:line="480" w:lineRule="auto"/>
        <w:rPr>
          <w:rFonts w:asciiTheme="majorHAnsi" w:hAnsiTheme="majorHAnsi" w:cs="Times New Roman"/>
        </w:rPr>
      </w:pPr>
    </w:p>
    <w:p w14:paraId="3AF5C3BC" w14:textId="46FD0548" w:rsidR="006242D3" w:rsidRPr="00C3290E" w:rsidRDefault="002131BE" w:rsidP="00405A2C">
      <w:pPr>
        <w:numPr>
          <w:ilvl w:val="12"/>
          <w:numId w:val="0"/>
        </w:numPr>
        <w:spacing w:line="480" w:lineRule="auto"/>
        <w:rPr>
          <w:rFonts w:asciiTheme="majorHAnsi" w:hAnsiTheme="majorHAnsi" w:cs="Times New Roman"/>
        </w:rPr>
      </w:pPr>
      <w:proofErr w:type="gramStart"/>
      <w:r w:rsidRPr="00C3290E">
        <w:rPr>
          <w:rFonts w:asciiTheme="majorHAnsi" w:hAnsiTheme="majorHAnsi" w:cs="Times New Roman"/>
        </w:rPr>
        <w:t>substance</w:t>
      </w:r>
      <w:proofErr w:type="gramEnd"/>
      <w:r w:rsidRPr="00C3290E">
        <w:rPr>
          <w:rFonts w:asciiTheme="majorHAnsi" w:hAnsiTheme="majorHAnsi" w:cs="Times New Roman"/>
        </w:rPr>
        <w:t>.”</w:t>
      </w:r>
      <w:r>
        <w:rPr>
          <w:rFonts w:asciiTheme="majorHAnsi" w:hAnsiTheme="majorHAnsi" w:cs="Times New Roman"/>
        </w:rPr>
        <w:t xml:space="preserve"> </w:t>
      </w:r>
      <w:r w:rsidR="006242D3" w:rsidRPr="00C3290E">
        <w:rPr>
          <w:rFonts w:asciiTheme="majorHAnsi" w:hAnsiTheme="majorHAnsi" w:cs="Times New Roman"/>
        </w:rPr>
        <w:t xml:space="preserve">Within this narco-imaginary, drugs have animated the figure of an ominous “addicted other” whose “threat” has been utilized to justify both US colonial expansion and </w:t>
      </w:r>
      <w:r w:rsidR="006242D3" w:rsidRPr="00C3290E">
        <w:rPr>
          <w:rFonts w:asciiTheme="majorHAnsi" w:hAnsiTheme="majorHAnsi" w:cs="Times New Roman"/>
        </w:rPr>
        <w:lastRenderedPageBreak/>
        <w:t xml:space="preserve">domestic warfare.  Prohibition may seem peculiar, Paley (2014:160) writes, for a nation so deeply committed to cultivating mass consumption, but invaluable insight into the US’s political economy of power can be gleaned from the project of policing “excessive” consumption, or addiction. As a discourse, addiction has rendered certain way of doing drugs “illegitimate” for specifics bodies to be identified the same. </w:t>
      </w:r>
    </w:p>
    <w:p w14:paraId="62627C6C" w14:textId="2620B23A" w:rsidR="00236E6D" w:rsidRPr="00C3290E" w:rsidRDefault="006242D3" w:rsidP="002131BE">
      <w:pPr>
        <w:pStyle w:val="Heading3"/>
        <w:ind w:firstLine="0"/>
      </w:pPr>
      <w:bookmarkStart w:id="13" w:name="_Toc133884507"/>
      <w:r w:rsidRPr="00C3290E">
        <w:t>Addiction and the Addict</w:t>
      </w:r>
      <w:bookmarkEnd w:id="13"/>
    </w:p>
    <w:p w14:paraId="475E12EA" w14:textId="08084A57" w:rsidR="006242D3" w:rsidRPr="00C3290E" w:rsidRDefault="006242D3" w:rsidP="002131BE">
      <w:pPr>
        <w:spacing w:line="480" w:lineRule="auto"/>
        <w:ind w:firstLine="720"/>
        <w:rPr>
          <w:rFonts w:asciiTheme="majorHAnsi" w:eastAsia="Georgia" w:hAnsiTheme="majorHAnsi" w:cs="Georgia"/>
        </w:rPr>
      </w:pPr>
      <w:r w:rsidRPr="00C3290E">
        <w:rPr>
          <w:rFonts w:asciiTheme="majorHAnsi" w:eastAsia="Georgia" w:hAnsiTheme="majorHAnsi" w:cs="Georgia"/>
        </w:rPr>
        <w:t>Before contemporary contestation over HR can be explored, “addiction” must be situated within its historical rise as an interdisciplinary concept during an era for which “addict” served as a vital political technology. At its inception, addiction was not an ascriptive term, but became so in the late 19th century as medico-legal scholarship entwined to fix “illegal” drugs with “immoral” users. Addiction was discursively rooted within a moral dichotomy of sickness/sin that relied upon “scientific evidence” to explain the “uncontrollable” effect/affect they had on different people(s) at once biologically, psychologically, and socially (</w:t>
      </w:r>
      <w:proofErr w:type="spellStart"/>
      <w:r w:rsidRPr="00C3290E">
        <w:rPr>
          <w:rFonts w:asciiTheme="majorHAnsi" w:eastAsia="Georgia" w:hAnsiTheme="majorHAnsi" w:cs="Georgia"/>
        </w:rPr>
        <w:t>Courtwright</w:t>
      </w:r>
      <w:proofErr w:type="spellEnd"/>
      <w:r w:rsidRPr="00C3290E">
        <w:rPr>
          <w:rFonts w:asciiTheme="majorHAnsi" w:eastAsia="Georgia" w:hAnsiTheme="majorHAnsi" w:cs="Georgia"/>
        </w:rPr>
        <w:t xml:space="preserve"> 2001; Paley (2014). </w:t>
      </w:r>
      <w:proofErr w:type="spellStart"/>
      <w:r w:rsidRPr="00C3290E">
        <w:rPr>
          <w:rFonts w:asciiTheme="majorHAnsi" w:eastAsia="Georgia" w:hAnsiTheme="majorHAnsi" w:cs="Georgia"/>
        </w:rPr>
        <w:t>Mountian</w:t>
      </w:r>
      <w:proofErr w:type="spellEnd"/>
      <w:r w:rsidRPr="00C3290E">
        <w:rPr>
          <w:rFonts w:asciiTheme="majorHAnsi" w:eastAsia="Georgia" w:hAnsiTheme="majorHAnsi" w:cs="Georgia"/>
        </w:rPr>
        <w:t xml:space="preserve"> (2013:76) notes that with this “health discourse [became] the insignia of [a] new morality; [which] legitimize[d] political intervention [against] individuals’ behavior, [a point] clearly illustrated [by the] discourse of addiction, [as it] … condemned [the behavior of an individual] as [both] morally… and/or…mentally [wrong].” Medicalized or “disease theories” of addiction thereby established an ambivalent ethics of “health” situated within a normative dichotomy of “good/bad” that justified the social surveillance, regulation, and control of “sick bodies.” Sedgwick (1994: 583; quoted in </w:t>
      </w:r>
      <w:proofErr w:type="spellStart"/>
      <w:r w:rsidRPr="00C3290E">
        <w:rPr>
          <w:rFonts w:asciiTheme="majorHAnsi" w:eastAsia="Georgia" w:hAnsiTheme="majorHAnsi" w:cs="Georgia"/>
        </w:rPr>
        <w:t>Mountian</w:t>
      </w:r>
      <w:proofErr w:type="spellEnd"/>
      <w:r w:rsidRPr="00C3290E">
        <w:rPr>
          <w:rFonts w:asciiTheme="majorHAnsi" w:eastAsia="Georgia" w:hAnsiTheme="majorHAnsi" w:cs="Georgia"/>
        </w:rPr>
        <w:t xml:space="preserve"> 2013:78) highlights that, “the object of addiction [became] precisely, enjoyment of “the ability to choose freely, and to freely choose health.”  The use of “illegal” drugs was thereby physiologically, psychically, </w:t>
      </w:r>
      <w:r w:rsidRPr="00C3290E">
        <w:rPr>
          <w:rFonts w:asciiTheme="majorHAnsi" w:eastAsia="Georgia" w:hAnsiTheme="majorHAnsi" w:cs="Georgia"/>
        </w:rPr>
        <w:lastRenderedPageBreak/>
        <w:t xml:space="preserve">and socially inscribed unto the “addict” as uncontrollable pathological desire that threated to sicken the nation. </w:t>
      </w:r>
    </w:p>
    <w:p w14:paraId="429DAF5C" w14:textId="08084A57" w:rsidR="00C3290E" w:rsidRPr="00C3290E" w:rsidRDefault="006242D3" w:rsidP="00C3290E">
      <w:pPr>
        <w:pStyle w:val="Heading3"/>
        <w:ind w:firstLine="0"/>
      </w:pPr>
      <w:bookmarkStart w:id="14" w:name="_Toc133884508"/>
      <w:r w:rsidRPr="00C3290E">
        <w:t>Addiction and Social Contagion</w:t>
      </w:r>
      <w:bookmarkEnd w:id="14"/>
      <w:r w:rsidR="00FF195C" w:rsidRPr="00C3290E">
        <w:tab/>
      </w:r>
      <w:r w:rsidR="00FF195C" w:rsidRPr="00C3290E">
        <w:tab/>
      </w:r>
    </w:p>
    <w:p w14:paraId="007328D8" w14:textId="13D4A053" w:rsidR="00FB3EF0" w:rsidRPr="00C3290E" w:rsidRDefault="006242D3" w:rsidP="00C3290E">
      <w:pPr>
        <w:pStyle w:val="Heading3"/>
        <w:rPr>
          <w:b w:val="0"/>
          <w:bCs w:val="0"/>
        </w:rPr>
      </w:pPr>
      <w:bookmarkStart w:id="15" w:name="_Toc133884509"/>
      <w:r w:rsidRPr="00C3290E">
        <w:rPr>
          <w:b w:val="0"/>
          <w:bCs w:val="0"/>
        </w:rPr>
        <w:t>The history of American “drug wars” well-illustrates the power amassed by the state to exert merciless control over “illegally” drugged bodies by their animation as sites of social and spatial contagion. In the early 20th century, the definition of addiction was expanded to include social “dangerousness,” from which emerged a structure of drug laws enacted by “the power of racial, national, cultural and other biases” to determine whose “</w:t>
      </w:r>
      <w:proofErr w:type="spellStart"/>
      <w:r w:rsidRPr="00C3290E">
        <w:rPr>
          <w:b w:val="0"/>
          <w:bCs w:val="0"/>
        </w:rPr>
        <w:t>consumpti</w:t>
      </w:r>
      <w:proofErr w:type="spellEnd"/>
      <w:r w:rsidRPr="00C3290E">
        <w:rPr>
          <w:b w:val="0"/>
          <w:bCs w:val="0"/>
        </w:rPr>
        <w:t>[</w:t>
      </w:r>
      <w:proofErr w:type="spellStart"/>
      <w:r w:rsidRPr="00C3290E">
        <w:rPr>
          <w:b w:val="0"/>
          <w:bCs w:val="0"/>
        </w:rPr>
        <w:t>ve</w:t>
      </w:r>
      <w:proofErr w:type="spellEnd"/>
      <w:r w:rsidRPr="00C3290E">
        <w:rPr>
          <w:b w:val="0"/>
          <w:bCs w:val="0"/>
        </w:rPr>
        <w:t xml:space="preserve">] practices would be targeted as…greatest menace” (Paley 2014: 161). The </w:t>
      </w:r>
      <w:proofErr w:type="spellStart"/>
      <w:r w:rsidRPr="00C3290E">
        <w:rPr>
          <w:b w:val="0"/>
          <w:bCs w:val="0"/>
        </w:rPr>
        <w:t>categoriccal</w:t>
      </w:r>
      <w:proofErr w:type="spellEnd"/>
      <w:r w:rsidRPr="00C3290E">
        <w:rPr>
          <w:b w:val="0"/>
          <w:bCs w:val="0"/>
        </w:rPr>
        <w:t xml:space="preserve"> divisions materialized by “addiction science” held the allegedly rational, (white) pharmaceutical patient against the irrational (and racialized) non pharmaceutical addict through </w:t>
      </w:r>
      <w:proofErr w:type="gramStart"/>
      <w:r w:rsidRPr="00C3290E">
        <w:rPr>
          <w:b w:val="0"/>
          <w:bCs w:val="0"/>
        </w:rPr>
        <w:t>an</w:t>
      </w:r>
      <w:proofErr w:type="gramEnd"/>
      <w:r w:rsidRPr="00C3290E">
        <w:rPr>
          <w:b w:val="0"/>
          <w:bCs w:val="0"/>
        </w:rPr>
        <w:t xml:space="preserve"> dichotomy of pre/proscribed safety/danger (Smith 2014). In this sense, drugs were not regarded as inherently dangerous to society. They became “dangerous” when unregulated/impure substances interacted with the already “dysfunctional” constitutions of certain peoples (Paley 2014: 160). Political economic desires entwined with medical, social scientific, and legal scholarship to form a system of drug prohibition that would allow for the (racialized/classed) users of “Illegal” drugs to be punished while the (white) pharmaceutical user could be treated (Herzberg 2017:5). The difference between these addict identities was not only essential to the development of modern consumer markets for pharmaceutical drugs but was ultimately instrumental to </w:t>
      </w:r>
      <w:r w:rsidRPr="00C3290E">
        <w:rPr>
          <w:b w:val="0"/>
          <w:bCs w:val="0"/>
        </w:rPr>
        <w:lastRenderedPageBreak/>
        <w:t>essentialize difference to the bodies of socially and culturally marginalized peoples through criminological paradigms.</w:t>
      </w:r>
      <w:bookmarkStart w:id="16" w:name="_Toc420995900"/>
      <w:bookmarkStart w:id="17" w:name="_Toc422997487"/>
      <w:bookmarkEnd w:id="15"/>
    </w:p>
    <w:p w14:paraId="0AF1ED78" w14:textId="7EDB8B50" w:rsidR="006242D3" w:rsidRPr="002131BE" w:rsidRDefault="006242D3" w:rsidP="0030288C">
      <w:pPr>
        <w:pStyle w:val="Heading2"/>
      </w:pPr>
      <w:bookmarkStart w:id="18" w:name="_Toc133884510"/>
      <w:r w:rsidRPr="002131BE">
        <w:t>The Divided Addict</w:t>
      </w:r>
      <w:bookmarkEnd w:id="18"/>
    </w:p>
    <w:p w14:paraId="3068C31F" w14:textId="4753ED91" w:rsidR="006242D3" w:rsidRPr="00C3290E" w:rsidRDefault="006242D3" w:rsidP="006242D3">
      <w:pPr>
        <w:spacing w:line="480" w:lineRule="auto"/>
        <w:ind w:firstLine="720"/>
        <w:rPr>
          <w:rFonts w:asciiTheme="majorHAnsi" w:hAnsiTheme="majorHAnsi"/>
        </w:rPr>
      </w:pPr>
      <w:r w:rsidRPr="00C3290E">
        <w:rPr>
          <w:rFonts w:asciiTheme="majorHAnsi" w:hAnsiTheme="majorHAnsi"/>
        </w:rPr>
        <w:t xml:space="preserve">Etymologically, addiction is an interesting word. As an auto-antonym, it holds opposite, often conflictual, meanings—or, it is Janus-faced (Rosenthal &amp; Faris 2017:438). This duplicity is echoed in the historically ambivalent nature of American drug policy, which places great emphasis on the differentiation between therapeutic use and abuse. Within this system, the mass consumption of “legal, </w:t>
      </w:r>
      <w:r w:rsidR="00B65A10" w:rsidRPr="00C3290E">
        <w:rPr>
          <w:rFonts w:asciiTheme="majorHAnsi" w:hAnsiTheme="majorHAnsi"/>
        </w:rPr>
        <w:t>medical grade</w:t>
      </w:r>
      <w:r w:rsidRPr="00C3290E">
        <w:rPr>
          <w:rFonts w:asciiTheme="majorHAnsi" w:hAnsiTheme="majorHAnsi"/>
        </w:rPr>
        <w:t>” pharmaceuticals is encouraged while the consumption of “non-medical, illegal” drugs is tightly controlled. The concept of addiction been purposed to draw a division between types of addiction as well as to divide addicts by identificatory characteristics. Throughout history, the division drawn between iatrogenic “addicts” and their criminalized counterparts has seen most upper/middle-class (white) users of pharmaceutical drugs portrayed as the “victims” of structural and institutional harm. These addicts do not deserve blame for their addiction(s) but compassion, intervention, and treatment (Netherland &amp; Hansen 2016:13). On the other hand, the highly racialized users of “illegal” substances have been the subject of blame, stigmatization, and criminalization processes.</w:t>
      </w:r>
    </w:p>
    <w:p w14:paraId="3E12574D" w14:textId="3E036FB2" w:rsidR="006242D3" w:rsidRPr="00C3290E" w:rsidRDefault="006242D3" w:rsidP="006242D3">
      <w:pPr>
        <w:spacing w:line="480" w:lineRule="auto"/>
        <w:ind w:firstLine="720"/>
        <w:rPr>
          <w:rFonts w:asciiTheme="majorHAnsi" w:hAnsiTheme="majorHAnsi"/>
        </w:rPr>
      </w:pPr>
      <w:r w:rsidRPr="00C3290E">
        <w:rPr>
          <w:rFonts w:asciiTheme="majorHAnsi" w:hAnsiTheme="majorHAnsi"/>
        </w:rPr>
        <w:t xml:space="preserve">The difference between these two users is made evident by the Harrison Narcotics Act and the Marijuana Tax Act, each of which were passed following the “scientific testimony” of “experts” who alleged that the culture(s) created by the aforementioned “opium dens” of Chinese men as well as the music of “Negro, Hispanic, and </w:t>
      </w:r>
      <w:proofErr w:type="spellStart"/>
      <w:r w:rsidRPr="00C3290E">
        <w:rPr>
          <w:rFonts w:asciiTheme="majorHAnsi" w:hAnsiTheme="majorHAnsi"/>
        </w:rPr>
        <w:t>Fillipino</w:t>
      </w:r>
      <w:proofErr w:type="spellEnd"/>
      <w:r w:rsidRPr="00C3290E">
        <w:rPr>
          <w:rFonts w:asciiTheme="majorHAnsi" w:hAnsiTheme="majorHAnsi"/>
        </w:rPr>
        <w:t xml:space="preserve">” men were cited as lures for naïve white women, who became the “drugged” targets of their sexual violence (Ferraiolo 2009; Solomon 2019: 3). Within this era, dominant political </w:t>
      </w:r>
      <w:r w:rsidRPr="00C3290E">
        <w:rPr>
          <w:rFonts w:asciiTheme="majorHAnsi" w:hAnsiTheme="majorHAnsi"/>
        </w:rPr>
        <w:lastRenderedPageBreak/>
        <w:t xml:space="preserve">economic forces entwined with socio-cultural ideologies, specialized branches of psychology and medico-legal discourses to develop addiction as a contagion, alleged to be spread through the infected/infectious bodies of “addicted” others. Criminological models offered the greatest utility for control efforts as they fused the object of addiction (the drug) with the subject (the user) of addiction. These paradigms retained earlier theological and moral frameworks in their suture of demons to drugs and drugs to demons to craft the “addicted” into an interminable socially, culturally, and morally pathological entity who required policing, containment, incarceration (Smith: 30). </w:t>
      </w:r>
    </w:p>
    <w:p w14:paraId="0FAC37F3" w14:textId="1EE84ACF" w:rsidR="006242D3" w:rsidRPr="00C3290E" w:rsidRDefault="006242D3" w:rsidP="00C3290E">
      <w:pPr>
        <w:spacing w:line="480" w:lineRule="auto"/>
        <w:ind w:firstLine="720"/>
        <w:rPr>
          <w:rFonts w:asciiTheme="majorHAnsi" w:hAnsiTheme="majorHAnsi"/>
        </w:rPr>
      </w:pPr>
      <w:r w:rsidRPr="00C3290E">
        <w:rPr>
          <w:rFonts w:asciiTheme="majorHAnsi" w:hAnsiTheme="majorHAnsi"/>
        </w:rPr>
        <w:t xml:space="preserve">The contemporary </w:t>
      </w:r>
      <w:r w:rsidR="00CF01AF" w:rsidRPr="00C3290E">
        <w:rPr>
          <w:rFonts w:asciiTheme="majorHAnsi" w:hAnsiTheme="majorHAnsi"/>
        </w:rPr>
        <w:t>opio</w:t>
      </w:r>
      <w:r w:rsidR="00E91E9D" w:rsidRPr="00C3290E">
        <w:rPr>
          <w:rFonts w:asciiTheme="majorHAnsi" w:hAnsiTheme="majorHAnsi"/>
        </w:rPr>
        <w:t>id</w:t>
      </w:r>
      <w:r w:rsidRPr="00C3290E">
        <w:rPr>
          <w:rFonts w:asciiTheme="majorHAnsi" w:hAnsiTheme="majorHAnsi"/>
        </w:rPr>
        <w:t xml:space="preserve"> “</w:t>
      </w:r>
      <w:r w:rsidR="00E91E9D" w:rsidRPr="00C3290E">
        <w:rPr>
          <w:rFonts w:asciiTheme="majorHAnsi" w:hAnsiTheme="majorHAnsi"/>
        </w:rPr>
        <w:t>crisis</w:t>
      </w:r>
      <w:r w:rsidRPr="00C3290E">
        <w:rPr>
          <w:rFonts w:asciiTheme="majorHAnsi" w:hAnsiTheme="majorHAnsi"/>
        </w:rPr>
        <w:t xml:space="preserve">” illustrates well this dynamic. When addiction is articulated as “inadvertently” induced by a doctor, these “innocent victims of iatrogenic medicine” are sympathetically portrayed (Netherland and Hansen, 2017).  The “victim” addict populates a more desirable category of “normal, good” drug use as opposed to the “immoral” (racialized and classes) drug user whose use is diminished to a simple lack of willpower; to a pathological state of being that rejects any possibility for controlled use (Musto 1985: 702, 705). The rise in rates of opioid overdose amongst the “victimized” population have at once inspired calls for better treatment options and legislation to restrain </w:t>
      </w:r>
      <w:proofErr w:type="spellStart"/>
      <w:r w:rsidRPr="00C3290E">
        <w:rPr>
          <w:rFonts w:asciiTheme="majorHAnsi" w:hAnsiTheme="majorHAnsi"/>
        </w:rPr>
        <w:t>BigPharma</w:t>
      </w:r>
      <w:proofErr w:type="spellEnd"/>
      <w:r w:rsidRPr="00C3290E">
        <w:rPr>
          <w:rFonts w:asciiTheme="majorHAnsi" w:hAnsiTheme="majorHAnsi"/>
        </w:rPr>
        <w:t xml:space="preserve"> and to expand use of the death penalty against racialized “dealers.” The sympathy offered the innocent, iatrogenic victim of addiction has not been extended to the racialized, classed, gendered, and sexualized “illegal” addict. Yet, while the plot of this story is not new and it has been the conflict evoked for resolution through drug control across US history—the implementation of harm reduction has both altered and reproduced this dynamic.</w:t>
      </w:r>
    </w:p>
    <w:p w14:paraId="27085E42" w14:textId="353CB943" w:rsidR="006242D3" w:rsidRPr="00C3290E" w:rsidRDefault="006242D3" w:rsidP="0030288C">
      <w:pPr>
        <w:pStyle w:val="Heading2"/>
      </w:pPr>
      <w:bookmarkStart w:id="19" w:name="_Toc133884511"/>
      <w:r w:rsidRPr="00C3290E">
        <w:lastRenderedPageBreak/>
        <w:t>Harm Reduction</w:t>
      </w:r>
      <w:bookmarkEnd w:id="19"/>
    </w:p>
    <w:p w14:paraId="0DD75CB6" w14:textId="7C94CBF2" w:rsidR="006242D3" w:rsidRPr="00C3290E" w:rsidRDefault="006242D3" w:rsidP="006242D3">
      <w:pPr>
        <w:spacing w:line="480" w:lineRule="auto"/>
        <w:ind w:firstLine="720"/>
        <w:rPr>
          <w:rFonts w:asciiTheme="majorHAnsi" w:hAnsiTheme="majorHAnsi"/>
        </w:rPr>
      </w:pPr>
      <w:r w:rsidRPr="00C3290E">
        <w:rPr>
          <w:rFonts w:asciiTheme="majorHAnsi" w:hAnsiTheme="majorHAnsi"/>
        </w:rPr>
        <w:t xml:space="preserve">Contrary to traditional drug control policies expressed in the militaristic language of war and formed in the pursuit of harsh punishment, the framework of harm reduction recognizes that drug use is not only an inevitable part of society but that punishment—not the drugs themselves—shapes the context of harm associated with their use (Butler &amp; </w:t>
      </w:r>
      <w:proofErr w:type="spellStart"/>
      <w:r w:rsidRPr="00C3290E">
        <w:rPr>
          <w:rFonts w:asciiTheme="majorHAnsi" w:hAnsiTheme="majorHAnsi"/>
        </w:rPr>
        <w:t>Mayock</w:t>
      </w:r>
      <w:proofErr w:type="spellEnd"/>
      <w:r w:rsidRPr="00C3290E">
        <w:rPr>
          <w:rFonts w:asciiTheme="majorHAnsi" w:hAnsiTheme="majorHAnsi"/>
        </w:rPr>
        <w:t xml:space="preserve"> 2005; </w:t>
      </w:r>
      <w:proofErr w:type="spellStart"/>
      <w:r w:rsidRPr="00C3290E">
        <w:rPr>
          <w:rFonts w:asciiTheme="majorHAnsi" w:hAnsiTheme="majorHAnsi"/>
        </w:rPr>
        <w:t>Manderson</w:t>
      </w:r>
      <w:proofErr w:type="spellEnd"/>
      <w:r w:rsidRPr="00C3290E">
        <w:rPr>
          <w:rFonts w:asciiTheme="majorHAnsi" w:hAnsiTheme="majorHAnsi"/>
        </w:rPr>
        <w:t xml:space="preserve"> 2005:52). The Drug Enforcement Agency’s (DEA) federal classificatory system or “schedule” of drugs makes evident that the harsh regulation of some substances as opposed to others is not drawn from a scientifically arbitrated scheme of their “potentials for abuse” and/or “medical value” (Drug Enforcement Agency 2020; Lopez, 2014) The “dangerousness” of certain drugs, like marijuana which is ranked as Schedule I despite the substance’s low potential for abuse and significant medical usage, has been politically crafted. While all drugs, both legal and illegal, carry the possibilities of harm as they effect the central nervous system, the DEA’s schedule of substances reflects imbalances in power. The schedule has both been utilized to enact repressive drug control regimes that target marginalized groups</w:t>
      </w:r>
      <w:r w:rsidR="00E91E9D" w:rsidRPr="00C3290E">
        <w:rPr>
          <w:rFonts w:asciiTheme="majorHAnsi" w:hAnsiTheme="majorHAnsi"/>
        </w:rPr>
        <w:t>, particularly</w:t>
      </w:r>
      <w:r w:rsidRPr="00C3290E">
        <w:rPr>
          <w:rFonts w:asciiTheme="majorHAnsi" w:hAnsiTheme="majorHAnsi"/>
        </w:rPr>
        <w:t xml:space="preserve"> indigenous groups and communities of color) and to impede scientific research and development of drugs in fellowship with the pharmaceutical industry (</w:t>
      </w:r>
      <w:proofErr w:type="spellStart"/>
      <w:r w:rsidRPr="00C3290E">
        <w:rPr>
          <w:rFonts w:asciiTheme="majorHAnsi" w:hAnsiTheme="majorHAnsi"/>
        </w:rPr>
        <w:t>Higham</w:t>
      </w:r>
      <w:proofErr w:type="spellEnd"/>
      <w:r w:rsidRPr="00C3290E">
        <w:rPr>
          <w:rFonts w:asciiTheme="majorHAnsi" w:hAnsiTheme="majorHAnsi"/>
        </w:rPr>
        <w:t xml:space="preserve"> &amp; Bernstein, 2017). As previously discussed, drugs have been served an important political function across the US’s history. They have been leveraged to justify highly punitive laws and the mass criminalization and exclusion of targeted populations that “scientific” studies of addiction have abetted by claims that the properties of those drugs operate differentially on the physiologies and psychologies of socially marginalized peoples.</w:t>
      </w:r>
    </w:p>
    <w:p w14:paraId="631610FB" w14:textId="77777777" w:rsidR="006242D3" w:rsidRDefault="006242D3" w:rsidP="006242D3">
      <w:pPr>
        <w:spacing w:line="480" w:lineRule="auto"/>
        <w:ind w:firstLine="720"/>
        <w:rPr>
          <w:rFonts w:asciiTheme="majorHAnsi" w:hAnsiTheme="majorHAnsi"/>
        </w:rPr>
      </w:pPr>
      <w:r w:rsidRPr="00C3290E">
        <w:rPr>
          <w:rFonts w:asciiTheme="majorHAnsi" w:hAnsiTheme="majorHAnsi"/>
        </w:rPr>
        <w:lastRenderedPageBreak/>
        <w:t>Framework(s) of harm reduction readily acknowledge this reality of drug control policy as an apparatus of repression sustained through abstinence-only models of addiction that take ground in prohibitionist policy, and thus moral and harm rather than support active users. Prohibitionist policies have not only “failed” to ameliorate the harms associated with “illegal” drug use, but harm reductionist recognize that they have effectively worsened them (Coyne &amp; Hail, 2017). The criminalization of drug use has made it more difficult for active users to access the</w:t>
      </w:r>
      <w:r w:rsidRPr="006242D3">
        <w:rPr>
          <w:rFonts w:asciiTheme="majorHAnsi" w:hAnsiTheme="majorHAnsi"/>
        </w:rPr>
        <w:t xml:space="preserve"> resources vital to their well-being, such as healthcare, housing, and education, and made it nearly impossible to attain them following incarceration. In response to such violence(s), the principles of harm reduction take root in a suspension of judgment, respect for drug users’ autonomy, and the provision of non-coercive services in a context of compassion and care (National Harm Reduction Coalition 2020). </w:t>
      </w:r>
    </w:p>
    <w:p w14:paraId="1A0C7CFA" w14:textId="2D7B025A" w:rsidR="006242D3" w:rsidRPr="006242D3" w:rsidRDefault="006242D3" w:rsidP="006242D3">
      <w:pPr>
        <w:spacing w:line="480" w:lineRule="auto"/>
        <w:ind w:firstLine="720"/>
        <w:rPr>
          <w:rFonts w:asciiTheme="majorHAnsi" w:hAnsiTheme="majorHAnsi"/>
        </w:rPr>
      </w:pPr>
      <w:r w:rsidRPr="006242D3">
        <w:rPr>
          <w:rFonts w:asciiTheme="majorHAnsi" w:hAnsiTheme="majorHAnsi"/>
        </w:rPr>
        <w:t>These programs primarily seek to reduce the negative health, social, and legal harms related to drug use without the requirement of abstinence to receive support or the expectation that drug use will even be reduced (Porter, 2020: 364; Harm Reduction International: 2020). While there is no universal definition of the term, the website for the National Harm Reduction Coalition (2020) defines it as such: “[both] set of practical strategies and ideas [which] aim [to] reduce [the] negative consequences associated with drug use, [and as]…a movement for social justice built upon a belief in, and respect for, the rights of people who use drugs.” The recognition of harm reduction as both a set of strategies and a movement illustrates the difficulty of narrowing the scope of what is and is not considered “harm reduction” insofar as these practices are continuously emergent and implemented eclectically across groups, communities, and organizations.</w:t>
      </w:r>
    </w:p>
    <w:p w14:paraId="6C23388B"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lastRenderedPageBreak/>
        <w:t xml:space="preserve">Contemporary contestation over harm reduction in the US is broadly situated in confusion over its ideological, theoretical, and philosophical positions, but it is the framework’s paradigmatic practices that draw popular ire (Shaw 2012:161). This makes the project of critiquing and clarifying its fraught frameworks difficult but important. Presently, many harm reduction programs operate under the purview of the state and in association with local public health authorities to offer syringe service programs (SSP’s) together with other services. Such programs differ meaningfully from the activist-oriented and drug-user led collectives that originated these practices as a form of mutual aid (Roe 2005; Smith 2012: 210). However, to place harm reduction in its contemporary context first is useful to highlight the distinctions between its forms as it places them in sharp relief. Alongside public health authorities, local exchanges are coordinated with city and state officials who provide guidelines for their facilitation. These rules dictate where exchange sites can be established (i.e., proximity to schools, parks, etc.), how public funds can be spent (i.e., not for the purchase of syringes), what types of educational resources must be available (i.e., “drug abuse” treatment options, overdose and HIV/HCV prevention materials, etc.), and who must be on staff (i.e., a doctor, nurse, etc.). </w:t>
      </w:r>
    </w:p>
    <w:p w14:paraId="1E3D0F67" w14:textId="77777777" w:rsidR="006242D3" w:rsidRPr="006242D3" w:rsidRDefault="006242D3" w:rsidP="006242D3">
      <w:pPr>
        <w:spacing w:line="480" w:lineRule="auto"/>
        <w:rPr>
          <w:rFonts w:asciiTheme="majorHAnsi" w:hAnsiTheme="majorHAnsi"/>
        </w:rPr>
      </w:pPr>
      <w:r w:rsidRPr="006242D3">
        <w:rPr>
          <w:rFonts w:asciiTheme="majorHAnsi" w:hAnsiTheme="majorHAnsi"/>
        </w:rPr>
        <w:t xml:space="preserve">Program participants, volunteers, and employees are given (limited) exception to paraphernalia laws, but law enforcements offices with jurisdiction over the site must be given a written “security plan” that demonstrates the organization’s ability to ensure “public safety” during operation-times.  Additionally, program directors are typically required to submit information to public health officials on the number of individuals served, the number of needles/syringes and injection supplies dispensed as well as returned, the number of naloxone (an opioid antagonist that reverses overdose) that is </w:t>
      </w:r>
      <w:r w:rsidRPr="006242D3">
        <w:rPr>
          <w:rFonts w:asciiTheme="majorHAnsi" w:hAnsiTheme="majorHAnsi"/>
        </w:rPr>
        <w:lastRenderedPageBreak/>
        <w:t xml:space="preserve">distributed, and the number and type of treatment referrals provided to participants (CDC 2019; TN Code § 68-1-136 2019). Due to extensive variations across harm reduction programs, these sites often operate under different methods of evaluation but are consistently mandated to provide data to external monitoring agencies on rates of Human Immunodeficiency Virus (HIV) and Acquired Immunodeficiency Disorder (AIDS), as well as Viral Hepatitis amongst participants. </w:t>
      </w:r>
    </w:p>
    <w:p w14:paraId="4F1534C5" w14:textId="52AB13FB" w:rsidR="00464A02" w:rsidRDefault="006242D3" w:rsidP="006242D3">
      <w:pPr>
        <w:spacing w:line="480" w:lineRule="auto"/>
        <w:ind w:firstLine="720"/>
        <w:rPr>
          <w:rFonts w:asciiTheme="majorHAnsi" w:hAnsiTheme="majorHAnsi"/>
        </w:rPr>
      </w:pPr>
      <w:r w:rsidRPr="006242D3">
        <w:rPr>
          <w:rFonts w:asciiTheme="majorHAnsi" w:hAnsiTheme="majorHAnsi"/>
        </w:rPr>
        <w:t xml:space="preserve">State-authorized harm reduction programs are often made politically palatable by the data gleaned from these assessments, particularly with regard to their outcomes for reducing rates of HIV and other viral infections, facilitating the enrollment of participants in drug treatment programs, and for reducing rates of drug overdose within communities. While advocates of harm reduction point to this data as empirical evidence that SSP’s are a critical public health intervention, critics of these programs continue to contest their use by an assertion that they both foster drug addiction and enable addicts. In the effort to legitimize these programs, practitioners have thus </w:t>
      </w:r>
      <w:r w:rsidR="00C3290E" w:rsidRPr="006242D3">
        <w:rPr>
          <w:rFonts w:asciiTheme="majorHAnsi" w:hAnsiTheme="majorHAnsi"/>
        </w:rPr>
        <w:t>adopted</w:t>
      </w:r>
      <w:r w:rsidRPr="006242D3">
        <w:rPr>
          <w:rFonts w:asciiTheme="majorHAnsi" w:hAnsiTheme="majorHAnsi"/>
        </w:rPr>
        <w:t xml:space="preserve"> a vernacular of “risk” to not just surveil and control drug users but to inspire them toward agential techniques of self-management (Dean 1998:35; McClean 2013:10). </w:t>
      </w:r>
    </w:p>
    <w:p w14:paraId="2784B344" w14:textId="6FE569B5"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These programs may refuse to establish clear normative boundaries for behavioral modification and ostensibly maintain a commitment to the provision of non-coercive, non-judgmental services but, as McLean (2013:1) notes, that they do not depart significantly from the “unwavering teleology of criminal justice and drug treatment programs.” Rather, harm reduction moves the carceral beyond the il/legal binary in the endeavor to “separate, analyze and differentiate a multiplicity of drug use and drug users with the intent of stemming the danger or disorder” from within (McLean 2013:5). The prevention of disease </w:t>
      </w:r>
      <w:r w:rsidRPr="006242D3">
        <w:rPr>
          <w:rFonts w:asciiTheme="majorHAnsi" w:hAnsiTheme="majorHAnsi"/>
        </w:rPr>
        <w:lastRenderedPageBreak/>
        <w:t>and the promotion of “health” are certainly laudable goals, but harm reduction programs that operate within the regime of public health obscure structural and political violence as they abet the desire of the state to conceal the abrasive presence of drug users (Gowen, Whetstone &amp; Andic 2012).</w:t>
      </w:r>
    </w:p>
    <w:p w14:paraId="28DE112B" w14:textId="77777777" w:rsidR="006242D3" w:rsidRPr="006242D3" w:rsidRDefault="006242D3" w:rsidP="00464A02">
      <w:pPr>
        <w:spacing w:line="480" w:lineRule="auto"/>
        <w:ind w:firstLine="720"/>
        <w:rPr>
          <w:rFonts w:asciiTheme="majorHAnsi" w:hAnsiTheme="majorHAnsi"/>
        </w:rPr>
      </w:pPr>
      <w:r w:rsidRPr="006242D3">
        <w:rPr>
          <w:rFonts w:asciiTheme="majorHAnsi" w:hAnsiTheme="majorHAnsi"/>
        </w:rPr>
        <w:t xml:space="preserve">In contrast to the drug policies of welfarist liberalism for example, which viewed drug users as requiring expert care to overcome issues of substance (ab)use, the rise of neoliberalism saw the drug user (re)configured as an active and empowered “entrepreneur of the self;” an individual who knows how to consume properly. This shift saw the drug user, once thought subjugated to substances that rendered them incapable of rational decision-making, recognized as not only capable of rationalized conduct but as a self-regulated and health conscious active “citizens” (Rhodes, Harris &amp; Martin 2013). Fit to the logics of neoliberalist rule, harm reduction practices extend drug users an invitation to participate in their own governance under regimes of “public health.” These programs encourage disciplinary health practices by encouraging drug users to become autonomous, “moral citizens” whose drug practices are in alignment with governing interests (Pereira &amp; Scott 2016: 69-70). </w:t>
      </w:r>
    </w:p>
    <w:p w14:paraId="4C3F2DDC" w14:textId="77777777" w:rsidR="001C6C23" w:rsidRDefault="006242D3" w:rsidP="00464A02">
      <w:pPr>
        <w:spacing w:line="480" w:lineRule="auto"/>
        <w:ind w:firstLine="720"/>
        <w:rPr>
          <w:rFonts w:asciiTheme="majorHAnsi" w:hAnsiTheme="majorHAnsi"/>
        </w:rPr>
      </w:pPr>
      <w:r w:rsidRPr="006242D3">
        <w:rPr>
          <w:rFonts w:asciiTheme="majorHAnsi" w:hAnsiTheme="majorHAnsi"/>
        </w:rPr>
        <w:t>The punitive actually relies upon the supportive to not only help obscure the presence of marginalized populations but to guarantee their survival and maybe even lead to their eventual rehabilitation (</w:t>
      </w:r>
      <w:proofErr w:type="spellStart"/>
      <w:r w:rsidRPr="006242D3">
        <w:rPr>
          <w:rFonts w:asciiTheme="majorHAnsi" w:hAnsiTheme="majorHAnsi"/>
        </w:rPr>
        <w:t>DeVerteuil</w:t>
      </w:r>
      <w:proofErr w:type="spellEnd"/>
      <w:r w:rsidRPr="006242D3">
        <w:rPr>
          <w:rFonts w:asciiTheme="majorHAnsi" w:hAnsiTheme="majorHAnsi"/>
        </w:rPr>
        <w:t xml:space="preserve"> 2012). The demise of Keynesianism saw the voluntary sector increase in both size and scope, with the state utilizing these services to yoke responsibility for welfare to non-state actors by methods that extend the shadow carceral state (Geiger &amp; </w:t>
      </w:r>
      <w:proofErr w:type="spellStart"/>
      <w:r w:rsidRPr="006242D3">
        <w:rPr>
          <w:rFonts w:asciiTheme="majorHAnsi" w:hAnsiTheme="majorHAnsi"/>
        </w:rPr>
        <w:t>Wolch</w:t>
      </w:r>
      <w:proofErr w:type="spellEnd"/>
      <w:r w:rsidRPr="006242D3">
        <w:rPr>
          <w:rFonts w:asciiTheme="majorHAnsi" w:hAnsiTheme="majorHAnsi"/>
        </w:rPr>
        <w:t xml:space="preserve">, 1986; </w:t>
      </w:r>
      <w:proofErr w:type="spellStart"/>
      <w:r w:rsidRPr="006242D3">
        <w:rPr>
          <w:rFonts w:asciiTheme="majorHAnsi" w:hAnsiTheme="majorHAnsi"/>
        </w:rPr>
        <w:t>DeVerteuil</w:t>
      </w:r>
      <w:proofErr w:type="spellEnd"/>
      <w:r w:rsidR="001C6C23">
        <w:rPr>
          <w:rFonts w:asciiTheme="majorHAnsi" w:hAnsiTheme="majorHAnsi"/>
        </w:rPr>
        <w:t xml:space="preserve"> </w:t>
      </w:r>
      <w:r w:rsidRPr="006242D3">
        <w:rPr>
          <w:rFonts w:asciiTheme="majorHAnsi" w:hAnsiTheme="majorHAnsi"/>
        </w:rPr>
        <w:t xml:space="preserve">2012). Spaces of care cannot be understood as merely coercive however, as they are marked by a deep ambivalence </w:t>
      </w:r>
      <w:r w:rsidRPr="006242D3">
        <w:rPr>
          <w:rFonts w:asciiTheme="majorHAnsi" w:hAnsiTheme="majorHAnsi"/>
        </w:rPr>
        <w:lastRenderedPageBreak/>
        <w:t xml:space="preserve">between control and management. They do not offer permanent solutions to entrenched social issues, but they are sites where the boundaries of punishment work have expanded. Still, we must ask: Are harm reduction services are merely a form of neoliberal population management? Or are they simultaneously sites of rupture that “restore self-respect, rational subjectivity, and self-control to a group historically represented as incapable of either reason or self-control.” (Gowan &amp; Whetstone 2012: 1251). </w:t>
      </w:r>
    </w:p>
    <w:p w14:paraId="0578E090" w14:textId="00171F00" w:rsidR="006242D3" w:rsidRPr="006242D3" w:rsidRDefault="006242D3" w:rsidP="001C6C23">
      <w:pPr>
        <w:spacing w:line="480" w:lineRule="auto"/>
        <w:ind w:firstLine="720"/>
        <w:rPr>
          <w:rFonts w:asciiTheme="majorHAnsi" w:hAnsiTheme="majorHAnsi"/>
        </w:rPr>
      </w:pPr>
      <w:r w:rsidRPr="006242D3">
        <w:rPr>
          <w:rFonts w:asciiTheme="majorHAnsi" w:hAnsiTheme="majorHAnsi"/>
        </w:rPr>
        <w:t>Historically, harm reduction programs have “centered the drug,” when advocating for reform, and this has hindered their ability to craft the “movement building perspective” necessary to dismantling those systems of domination, like the criminal justice and welfare systems, which not only interlock to oppress drug users but embody structural violence (Redmond, 2018).</w:t>
      </w:r>
      <w:r w:rsidR="001C6C23">
        <w:rPr>
          <w:rFonts w:asciiTheme="majorHAnsi" w:hAnsiTheme="majorHAnsi"/>
        </w:rPr>
        <w:t xml:space="preserve"> </w:t>
      </w:r>
      <w:r w:rsidRPr="006242D3">
        <w:rPr>
          <w:rFonts w:asciiTheme="majorHAnsi" w:hAnsiTheme="majorHAnsi"/>
        </w:rPr>
        <w:t xml:space="preserve">Harm reduction programs do not necessarily violate the interests of drug users but, as Smith, </w:t>
      </w:r>
      <w:r w:rsidR="001C6C23">
        <w:rPr>
          <w:rFonts w:asciiTheme="majorHAnsi" w:hAnsiTheme="majorHAnsi"/>
        </w:rPr>
        <w:t>2012</w:t>
      </w:r>
      <w:r w:rsidRPr="006242D3">
        <w:rPr>
          <w:rFonts w:asciiTheme="majorHAnsi" w:hAnsiTheme="majorHAnsi"/>
        </w:rPr>
        <w:t xml:space="preserve">:210) contends, they reframe drug user behavior in terms of a cost benefit analysis that is merely a pretense of control to minimize risk and maximize control over marginalized drug users. In spaces of harm reduction drug users certainly resist and retain power, but these services also aid in (re)producing normative forms of embodiment through a generation of aptitudes that conform to cultural ideals of “healthy citizenship.” (Castillo 2019.; Whetstone &amp; Gowan 2017:1252).  Philosophies of harm reduction respect drug user autonomy and advocate for their well-being, but the provision of information on syringe sanitation to houseless users absent of any material supports is, in the words of </w:t>
      </w:r>
      <w:proofErr w:type="spellStart"/>
      <w:r w:rsidRPr="006242D3">
        <w:rPr>
          <w:rFonts w:asciiTheme="majorHAnsi" w:hAnsiTheme="majorHAnsi"/>
        </w:rPr>
        <w:t>Bourgois</w:t>
      </w:r>
      <w:proofErr w:type="spellEnd"/>
      <w:r w:rsidRPr="006242D3">
        <w:rPr>
          <w:rFonts w:asciiTheme="majorHAnsi" w:hAnsiTheme="majorHAnsi"/>
        </w:rPr>
        <w:t xml:space="preserve"> and Schonberg (2009: 306), is like putting a “band-aid on a gaping wound.” Harm reduction services may offer a “softer” alternative to the hyper-punitive violence of the state, but it should be noted that these forms of (often genuine) care and support coexist with revanchist logics. As Smith (2012:210-211) relates, “the evolution of </w:t>
      </w:r>
      <w:r w:rsidRPr="006242D3">
        <w:rPr>
          <w:rFonts w:asciiTheme="majorHAnsi" w:hAnsiTheme="majorHAnsi"/>
        </w:rPr>
        <w:lastRenderedPageBreak/>
        <w:t xml:space="preserve">harm reduction is a story of compromise and cooptation, [that] reveal[s] evidence of an uneasy historical relationship with institutionalization.” Contemporary paradigms of harm reduction mark a shift away from penal control proper, but they are no less coercive insofar as they utilize support as a technology to enculturate user compliance with self-regulatory models (Roe 2004: 245) that mitigate “self-harm” while remaining obtuse to structural inequities.   </w:t>
      </w:r>
    </w:p>
    <w:p w14:paraId="7D4E701C" w14:textId="050DC8D5" w:rsidR="006242D3" w:rsidRPr="00C3290E" w:rsidRDefault="006242D3" w:rsidP="00C3290E">
      <w:pPr>
        <w:spacing w:line="480" w:lineRule="auto"/>
        <w:ind w:firstLine="720"/>
        <w:rPr>
          <w:rFonts w:asciiTheme="majorHAnsi" w:hAnsiTheme="majorHAnsi"/>
        </w:rPr>
      </w:pPr>
      <w:r w:rsidRPr="006242D3">
        <w:rPr>
          <w:rFonts w:asciiTheme="majorHAnsi" w:hAnsiTheme="majorHAnsi"/>
        </w:rPr>
        <w:t xml:space="preserve">Before harm reduction found acceptance amongst the mainstream—or became “branded”—its practices emerged out of the collective work of activist groups committed to fighting against prohibitionist drug policies, for drug user autonomy, and towards radically just health and social welfare (Roe 2005: 245; </w:t>
      </w:r>
      <w:proofErr w:type="spellStart"/>
      <w:r w:rsidRPr="006242D3">
        <w:rPr>
          <w:rFonts w:asciiTheme="majorHAnsi" w:hAnsiTheme="majorHAnsi"/>
        </w:rPr>
        <w:t>Szott</w:t>
      </w:r>
      <w:proofErr w:type="spellEnd"/>
      <w:r w:rsidRPr="006242D3">
        <w:rPr>
          <w:rFonts w:asciiTheme="majorHAnsi" w:hAnsiTheme="majorHAnsi"/>
        </w:rPr>
        <w:t xml:space="preserve"> 2015; Andersen &amp; </w:t>
      </w:r>
      <w:proofErr w:type="spellStart"/>
      <w:r w:rsidRPr="006242D3">
        <w:rPr>
          <w:rFonts w:asciiTheme="majorHAnsi" w:hAnsiTheme="majorHAnsi"/>
        </w:rPr>
        <w:t>Jarvinen</w:t>
      </w:r>
      <w:proofErr w:type="spellEnd"/>
      <w:r w:rsidRPr="006242D3">
        <w:rPr>
          <w:rFonts w:asciiTheme="majorHAnsi" w:hAnsiTheme="majorHAnsi"/>
        </w:rPr>
        <w:t xml:space="preserve"> 2007: 237). Indeed, the insurrectionary locus of harm reduction has been chipped away through its institutionalization within already existent systems of domination, leaving many to ask if this “evolution” has transformed the paradigm into a repressive policy of social control. The answer to that question is not so straightforward however, and any attempt to respond must begin with an exploration of the nonlinearity of harm reduction’s history. State-sponsored frameworks of harm reduction have always coexisted with the radical work of activist organizations whose social, political, and bodily forces interrupt the “rhythms, durations, and sequences” they impose (Freeman, 2019). As Christopher B.R. Smith (2012:210- 211) relates, “the evolution of harm reduction is a story of compromise and cooptation, [that] reveal[s] evidence of the frameworks uneasy historical relationship with institutionalization.”  But the question of how contemporary alignment of between harm reduction, the biomedical establishment, and paradigms of drug user pathology have depoliticized the once confrontational, radical roots of harm reduction movement cannot </w:t>
      </w:r>
      <w:r w:rsidRPr="006242D3">
        <w:rPr>
          <w:rFonts w:asciiTheme="majorHAnsi" w:hAnsiTheme="majorHAnsi"/>
        </w:rPr>
        <w:lastRenderedPageBreak/>
        <w:t xml:space="preserve">be answered without also digging into the contestation of these programs within the very communities most heavily impacted by violently repressive drug policies (Smith: 209). </w:t>
      </w:r>
    </w:p>
    <w:p w14:paraId="053A28CA" w14:textId="04981FF4" w:rsidR="006242D3" w:rsidRPr="002131BE" w:rsidRDefault="006242D3" w:rsidP="0030288C">
      <w:pPr>
        <w:pStyle w:val="Heading2"/>
      </w:pPr>
      <w:bookmarkStart w:id="20" w:name="_Toc133884512"/>
      <w:r w:rsidRPr="002131BE">
        <w:t>The Crises of Opioids</w:t>
      </w:r>
      <w:bookmarkEnd w:id="20"/>
    </w:p>
    <w:p w14:paraId="55035BB8" w14:textId="2F2BA531" w:rsidR="002D05C3" w:rsidRDefault="006242D3" w:rsidP="002D05C3">
      <w:pPr>
        <w:spacing w:line="480" w:lineRule="auto"/>
        <w:ind w:firstLine="720"/>
        <w:rPr>
          <w:rFonts w:asciiTheme="majorHAnsi" w:hAnsiTheme="majorHAnsi"/>
        </w:rPr>
      </w:pPr>
      <w:r w:rsidRPr="006242D3">
        <w:rPr>
          <w:rFonts w:asciiTheme="majorHAnsi" w:hAnsiTheme="majorHAnsi"/>
        </w:rPr>
        <w:t xml:space="preserve">According to the Centers for Disease Control and Prevention (CDC, 2022: </w:t>
      </w:r>
      <w:proofErr w:type="spellStart"/>
      <w:r w:rsidRPr="006242D3">
        <w:rPr>
          <w:rFonts w:asciiTheme="majorHAnsi" w:hAnsiTheme="majorHAnsi"/>
        </w:rPr>
        <w:t>n.p</w:t>
      </w:r>
      <w:proofErr w:type="spellEnd"/>
      <w:r w:rsidRPr="006242D3">
        <w:rPr>
          <w:rFonts w:asciiTheme="majorHAnsi" w:hAnsiTheme="majorHAnsi"/>
        </w:rPr>
        <w:t>.), the contemporary opioid crisis is a “multi-layered problem in three distinct waves”</w:t>
      </w:r>
      <w:r w:rsidR="00C3290E">
        <w:rPr>
          <w:rFonts w:asciiTheme="majorHAnsi" w:hAnsiTheme="majorHAnsi"/>
        </w:rPr>
        <w:t xml:space="preserve"> (see Figure 2.2.).</w:t>
      </w:r>
      <w:r w:rsidRPr="006242D3">
        <w:rPr>
          <w:rFonts w:asciiTheme="majorHAnsi" w:hAnsiTheme="majorHAnsi"/>
        </w:rPr>
        <w:t xml:space="preserve"> While the CDC primarily tracks its trends according to opioid overdose deaths, rates of needle-borne infectious disease transmission among IDUs is an attendant crisis that has been inextricably intertwined politically and popularly over the last decade. With respect to drug-related overdose deaths, the first “wave” of the crisis is considered to have begun in the mid to late 1990s. These overdose deaths are primarily believed to have resulted from the use of prescription painkillers, including natural and semi-synthetic opioids and methadone, a medication that is used to treat “opioid use disorder” (ODU). </w:t>
      </w:r>
    </w:p>
    <w:p w14:paraId="2D9CFEDF" w14:textId="6B01B873" w:rsidR="002131BE" w:rsidRDefault="002131BE" w:rsidP="002131BE">
      <w:pPr>
        <w:spacing w:line="480" w:lineRule="auto"/>
        <w:ind w:firstLine="720"/>
        <w:rPr>
          <w:rFonts w:asciiTheme="majorHAnsi" w:hAnsiTheme="majorHAnsi"/>
        </w:rPr>
      </w:pPr>
      <w:r w:rsidRPr="006242D3">
        <w:rPr>
          <w:rFonts w:asciiTheme="majorHAnsi" w:hAnsiTheme="majorHAnsi"/>
        </w:rPr>
        <w:t xml:space="preserve">The second “wave” is regarded to have begun around the mid-2000s, with an increase in rates of opioid overdose deaths related to the (“illegal”) use of heroin. And the third “wave” is said to have begun around 2013, with an increase in rates of opioid overdose deaths related to synthetic opioids, namely “illegally” manufactured fentanyl (ibid, 2022: </w:t>
      </w:r>
      <w:proofErr w:type="spellStart"/>
      <w:r w:rsidRPr="006242D3">
        <w:rPr>
          <w:rFonts w:asciiTheme="majorHAnsi" w:hAnsiTheme="majorHAnsi"/>
        </w:rPr>
        <w:t>n.p</w:t>
      </w:r>
      <w:proofErr w:type="spellEnd"/>
      <w:r w:rsidRPr="006242D3">
        <w:rPr>
          <w:rFonts w:asciiTheme="majorHAnsi" w:hAnsiTheme="majorHAnsi"/>
        </w:rPr>
        <w:t>.). The National Institutes of Health (NIH) has, however, suggested that we are in the midst of a fourth “wave,” which is understood to be resulting from a “confluence of…factors, including the misapplication of CDC guidelines, the increased availability of [illegal] drugs, the COVID-19 pandemic, and policies reducing access to interventional procedures (</w:t>
      </w:r>
      <w:proofErr w:type="spellStart"/>
      <w:r w:rsidRPr="006242D3">
        <w:rPr>
          <w:rFonts w:asciiTheme="majorHAnsi" w:hAnsiTheme="majorHAnsi"/>
        </w:rPr>
        <w:t>Manchikanti</w:t>
      </w:r>
      <w:proofErr w:type="spellEnd"/>
      <w:r w:rsidRPr="006242D3">
        <w:rPr>
          <w:rFonts w:asciiTheme="majorHAnsi" w:hAnsiTheme="majorHAnsi"/>
        </w:rPr>
        <w:t xml:space="preserve">, et. al., 2022: 98). Importantly, each of these “waves” is conceived of by CDC and NIH researchers alike as having resulted from “different etiologies” (ibid, 2022: 98; CDC, 2022: </w:t>
      </w:r>
      <w:proofErr w:type="spellStart"/>
      <w:r w:rsidRPr="006242D3">
        <w:rPr>
          <w:rFonts w:asciiTheme="majorHAnsi" w:hAnsiTheme="majorHAnsi"/>
        </w:rPr>
        <w:t>n.p</w:t>
      </w:r>
      <w:proofErr w:type="spellEnd"/>
      <w:r w:rsidRPr="006242D3">
        <w:rPr>
          <w:rFonts w:asciiTheme="majorHAnsi" w:hAnsiTheme="majorHAnsi"/>
        </w:rPr>
        <w:t>.).</w:t>
      </w:r>
      <w:r>
        <w:rPr>
          <w:rFonts w:asciiTheme="majorHAnsi" w:hAnsiTheme="majorHAnsi"/>
        </w:rPr>
        <w:t xml:space="preserve"> </w:t>
      </w:r>
      <w:r w:rsidRPr="006242D3">
        <w:rPr>
          <w:rFonts w:asciiTheme="majorHAnsi" w:hAnsiTheme="majorHAnsi"/>
        </w:rPr>
        <w:t xml:space="preserve">Although we must be careful not to reify the perception that the </w:t>
      </w:r>
      <w:r w:rsidRPr="006242D3">
        <w:rPr>
          <w:rFonts w:asciiTheme="majorHAnsi" w:hAnsiTheme="majorHAnsi"/>
        </w:rPr>
        <w:lastRenderedPageBreak/>
        <w:t xml:space="preserve">opioid crisis is happening in distinct “waves” with different “etiologies,” it is essential to examine how the crisis is being mobilized by the state to re/configure the regime of criminalized drug prohibition. As scholars such as </w:t>
      </w:r>
      <w:proofErr w:type="spellStart"/>
      <w:r w:rsidRPr="006242D3">
        <w:rPr>
          <w:rFonts w:asciiTheme="majorHAnsi" w:hAnsiTheme="majorHAnsi"/>
        </w:rPr>
        <w:t>DeWeerdt</w:t>
      </w:r>
      <w:proofErr w:type="spellEnd"/>
      <w:r w:rsidRPr="006242D3">
        <w:rPr>
          <w:rFonts w:asciiTheme="majorHAnsi" w:hAnsiTheme="majorHAnsi"/>
        </w:rPr>
        <w:t xml:space="preserve"> (2019: </w:t>
      </w:r>
      <w:proofErr w:type="spellStart"/>
      <w:r w:rsidRPr="006242D3">
        <w:rPr>
          <w:rFonts w:asciiTheme="majorHAnsi" w:hAnsiTheme="majorHAnsi"/>
        </w:rPr>
        <w:t>n.p</w:t>
      </w:r>
      <w:proofErr w:type="spellEnd"/>
      <w:r w:rsidRPr="006242D3">
        <w:rPr>
          <w:rFonts w:asciiTheme="majorHAnsi" w:hAnsiTheme="majorHAnsi"/>
        </w:rPr>
        <w:t>.) argue, the “groundwork” for the contemporary opioid crisis was laid in the 1980s following a series of “scientific” studies which claimed prescription painkillers were “safer and less addictive” than was previously thought when used to treat chronic pain and a “more humane” than surgery or no treatment at all (</w:t>
      </w:r>
      <w:proofErr w:type="spellStart"/>
      <w:r w:rsidRPr="006242D3">
        <w:rPr>
          <w:rFonts w:asciiTheme="majorHAnsi" w:hAnsiTheme="majorHAnsi"/>
        </w:rPr>
        <w:t>Silvestrini</w:t>
      </w:r>
      <w:proofErr w:type="spellEnd"/>
      <w:r w:rsidRPr="006242D3">
        <w:rPr>
          <w:rFonts w:asciiTheme="majorHAnsi" w:hAnsiTheme="majorHAnsi"/>
        </w:rPr>
        <w:t xml:space="preserve">, 2017: </w:t>
      </w:r>
      <w:proofErr w:type="spellStart"/>
      <w:r w:rsidRPr="006242D3">
        <w:rPr>
          <w:rFonts w:asciiTheme="majorHAnsi" w:hAnsiTheme="majorHAnsi"/>
        </w:rPr>
        <w:t>n.p</w:t>
      </w:r>
      <w:proofErr w:type="spellEnd"/>
      <w:r w:rsidRPr="006242D3">
        <w:rPr>
          <w:rFonts w:asciiTheme="majorHAnsi" w:hAnsiTheme="majorHAnsi"/>
        </w:rPr>
        <w:t>.).</w:t>
      </w:r>
      <w:r w:rsidR="00495A8D" w:rsidRPr="00495A8D">
        <w:rPr>
          <w:rFonts w:asciiTheme="majorHAnsi" w:hAnsiTheme="majorHAnsi"/>
        </w:rPr>
        <w:t xml:space="preserve"> </w:t>
      </w:r>
      <w:r w:rsidR="00495A8D" w:rsidRPr="006242D3">
        <w:rPr>
          <w:rFonts w:asciiTheme="majorHAnsi" w:hAnsiTheme="majorHAnsi"/>
        </w:rPr>
        <w:t>Used to support the recognition of pain as a “problem [which] required treatment,” these studies were leveraged to facilitate the passage of laws which “removed the</w:t>
      </w:r>
    </w:p>
    <w:p w14:paraId="1281A302" w14:textId="77777777" w:rsidR="002131BE" w:rsidRDefault="002131BE" w:rsidP="002D05C3">
      <w:pPr>
        <w:spacing w:line="480" w:lineRule="auto"/>
        <w:ind w:firstLine="720"/>
        <w:rPr>
          <w:rFonts w:asciiTheme="majorHAnsi" w:hAnsiTheme="majorHAnsi"/>
        </w:rPr>
      </w:pPr>
    </w:p>
    <w:p w14:paraId="194DA7A0" w14:textId="67A050D5" w:rsidR="002D05C3" w:rsidRDefault="00D04503" w:rsidP="00C3290E">
      <w:pPr>
        <w:spacing w:line="480" w:lineRule="auto"/>
        <w:ind w:firstLine="720"/>
        <w:rPr>
          <w:rFonts w:asciiTheme="majorHAnsi" w:hAnsiTheme="majorHAnsi"/>
        </w:rPr>
      </w:pPr>
      <w:r>
        <w:rPr>
          <w:rFonts w:asciiTheme="majorHAnsi" w:hAnsiTheme="majorHAnsi"/>
          <w:noProof/>
        </w:rPr>
        <w:drawing>
          <wp:inline distT="0" distB="0" distL="0" distR="0" wp14:anchorId="0C49F49E" wp14:editId="7192B934">
            <wp:extent cx="5399179" cy="3981691"/>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5570" cy="4060150"/>
                    </a:xfrm>
                    <a:prstGeom prst="rect">
                      <a:avLst/>
                    </a:prstGeom>
                  </pic:spPr>
                </pic:pic>
              </a:graphicData>
            </a:graphic>
          </wp:inline>
        </w:drawing>
      </w:r>
    </w:p>
    <w:p w14:paraId="6070AAC3" w14:textId="77777777" w:rsidR="00495A8D" w:rsidRDefault="00495A8D" w:rsidP="00495A8D">
      <w:pPr>
        <w:spacing w:line="480" w:lineRule="auto"/>
        <w:rPr>
          <w:rFonts w:asciiTheme="majorHAnsi" w:hAnsiTheme="majorHAnsi"/>
        </w:rPr>
      </w:pPr>
      <w:r>
        <w:rPr>
          <w:rFonts w:asciiTheme="majorHAnsi" w:hAnsiTheme="majorHAnsi"/>
        </w:rPr>
        <w:t>Figure 2.2. The Three Waves of the Opioid Crisis</w:t>
      </w:r>
    </w:p>
    <w:p w14:paraId="376A3AF5" w14:textId="6FAF4A30" w:rsidR="002D05C3" w:rsidRDefault="00C3290E" w:rsidP="00495A8D">
      <w:pPr>
        <w:spacing w:line="360" w:lineRule="auto"/>
        <w:rPr>
          <w:rFonts w:asciiTheme="majorHAnsi" w:hAnsiTheme="majorHAnsi"/>
        </w:rPr>
      </w:pPr>
      <w:r>
        <w:rPr>
          <w:rFonts w:asciiTheme="majorHAnsi" w:hAnsiTheme="majorHAnsi"/>
        </w:rPr>
        <w:lastRenderedPageBreak/>
        <w:t>Figure 2.2. depicts a graph the illustrates the three waves of the opioid crisis according to the Federal Centers for Disease Control and Prevention.</w:t>
      </w:r>
    </w:p>
    <w:p w14:paraId="3DB1729B" w14:textId="77777777" w:rsidR="00C3290E" w:rsidRDefault="00C3290E" w:rsidP="00C3290E">
      <w:pPr>
        <w:spacing w:line="480" w:lineRule="auto"/>
        <w:rPr>
          <w:rFonts w:asciiTheme="majorHAnsi" w:hAnsiTheme="majorHAnsi"/>
        </w:rPr>
      </w:pPr>
    </w:p>
    <w:p w14:paraId="4C21F4B9" w14:textId="77777777" w:rsidR="00C3290E" w:rsidRDefault="00C3290E" w:rsidP="00C3290E">
      <w:pPr>
        <w:spacing w:line="480" w:lineRule="auto"/>
        <w:rPr>
          <w:rFonts w:asciiTheme="majorHAnsi" w:hAnsiTheme="majorHAnsi"/>
        </w:rPr>
      </w:pPr>
    </w:p>
    <w:p w14:paraId="6C6AE13C" w14:textId="77777777" w:rsidR="00C3290E" w:rsidRDefault="00C3290E" w:rsidP="00C3290E">
      <w:pPr>
        <w:spacing w:line="480" w:lineRule="auto"/>
        <w:rPr>
          <w:rFonts w:asciiTheme="majorHAnsi" w:hAnsiTheme="majorHAnsi"/>
        </w:rPr>
      </w:pPr>
    </w:p>
    <w:p w14:paraId="657B55B9" w14:textId="77777777" w:rsidR="00C3290E" w:rsidRDefault="00C3290E" w:rsidP="00C3290E">
      <w:pPr>
        <w:spacing w:line="480" w:lineRule="auto"/>
        <w:rPr>
          <w:rFonts w:asciiTheme="majorHAnsi" w:hAnsiTheme="majorHAnsi"/>
        </w:rPr>
      </w:pPr>
    </w:p>
    <w:p w14:paraId="29033631" w14:textId="77777777" w:rsidR="00C3290E" w:rsidRDefault="00C3290E" w:rsidP="00C3290E">
      <w:pPr>
        <w:spacing w:line="480" w:lineRule="auto"/>
        <w:rPr>
          <w:rFonts w:asciiTheme="majorHAnsi" w:hAnsiTheme="majorHAnsi"/>
        </w:rPr>
      </w:pPr>
    </w:p>
    <w:p w14:paraId="69043C40" w14:textId="77777777" w:rsidR="00405A2C" w:rsidRDefault="00405A2C" w:rsidP="00C3290E">
      <w:pPr>
        <w:spacing w:line="480" w:lineRule="auto"/>
        <w:rPr>
          <w:rFonts w:asciiTheme="majorHAnsi" w:hAnsiTheme="majorHAnsi"/>
        </w:rPr>
      </w:pPr>
    </w:p>
    <w:p w14:paraId="4AAF1492" w14:textId="77777777" w:rsidR="00C3290E" w:rsidRDefault="00C3290E" w:rsidP="00C3290E">
      <w:pPr>
        <w:spacing w:line="480" w:lineRule="auto"/>
        <w:rPr>
          <w:rFonts w:asciiTheme="majorHAnsi" w:hAnsiTheme="majorHAnsi"/>
        </w:rPr>
      </w:pPr>
    </w:p>
    <w:p w14:paraId="3841063A" w14:textId="0B948E25" w:rsidR="00596072" w:rsidRDefault="006242D3" w:rsidP="00405A2C">
      <w:pPr>
        <w:spacing w:line="480" w:lineRule="auto"/>
        <w:rPr>
          <w:rFonts w:asciiTheme="majorHAnsi" w:hAnsiTheme="majorHAnsi"/>
        </w:rPr>
      </w:pPr>
      <w:proofErr w:type="gramStart"/>
      <w:r w:rsidRPr="006242D3">
        <w:rPr>
          <w:rFonts w:asciiTheme="majorHAnsi" w:hAnsiTheme="majorHAnsi"/>
        </w:rPr>
        <w:t>threat</w:t>
      </w:r>
      <w:proofErr w:type="gramEnd"/>
      <w:r w:rsidRPr="006242D3">
        <w:rPr>
          <w:rFonts w:asciiTheme="majorHAnsi" w:hAnsiTheme="majorHAnsi"/>
        </w:rPr>
        <w:t xml:space="preserve"> of prosecution for physicians who treated their patients…with opioids,” thereby allowing for them to be increasingly prescribed throughout the 1980s to treat “</w:t>
      </w:r>
      <w:r w:rsidRPr="006242D3">
        <w:rPr>
          <w:rFonts w:asciiTheme="majorHAnsi" w:hAnsiTheme="majorHAnsi"/>
          <w:i/>
        </w:rPr>
        <w:t>chronic</w:t>
      </w:r>
      <w:r w:rsidRPr="006242D3">
        <w:rPr>
          <w:rFonts w:asciiTheme="majorHAnsi" w:hAnsiTheme="majorHAnsi"/>
        </w:rPr>
        <w:t xml:space="preserve">, non-cancer-related pain” (ibid., 2019: </w:t>
      </w:r>
      <w:proofErr w:type="spellStart"/>
      <w:r w:rsidRPr="006242D3">
        <w:rPr>
          <w:rFonts w:asciiTheme="majorHAnsi" w:hAnsiTheme="majorHAnsi"/>
        </w:rPr>
        <w:t>n.p</w:t>
      </w:r>
      <w:proofErr w:type="spellEnd"/>
      <w:r w:rsidRPr="006242D3">
        <w:rPr>
          <w:rFonts w:asciiTheme="majorHAnsi" w:hAnsiTheme="majorHAnsi"/>
        </w:rPr>
        <w:t xml:space="preserve">). </w:t>
      </w:r>
    </w:p>
    <w:p w14:paraId="28B40110" w14:textId="58723B57" w:rsidR="00611463" w:rsidRPr="006242D3" w:rsidRDefault="006242D3" w:rsidP="00611463">
      <w:pPr>
        <w:spacing w:line="480" w:lineRule="auto"/>
        <w:ind w:firstLine="720"/>
        <w:rPr>
          <w:rFonts w:asciiTheme="majorHAnsi" w:hAnsiTheme="majorHAnsi"/>
        </w:rPr>
      </w:pPr>
      <w:r w:rsidRPr="006242D3">
        <w:rPr>
          <w:rFonts w:asciiTheme="majorHAnsi" w:hAnsiTheme="majorHAnsi"/>
        </w:rPr>
        <w:t xml:space="preserve">But it was not until the mid-1990s, when pain became recognized as the “fifth vital sign,” that pharmaceutical companies like Purdue Pharma began to introduce “new” opioid-based products like OxyContin (ibid., 2019: </w:t>
      </w:r>
      <w:proofErr w:type="spellStart"/>
      <w:r w:rsidRPr="006242D3">
        <w:rPr>
          <w:rFonts w:asciiTheme="majorHAnsi" w:hAnsiTheme="majorHAnsi"/>
        </w:rPr>
        <w:t>n.p</w:t>
      </w:r>
      <w:proofErr w:type="spellEnd"/>
      <w:r w:rsidRPr="006242D3">
        <w:rPr>
          <w:rFonts w:asciiTheme="majorHAnsi" w:hAnsiTheme="majorHAnsi"/>
        </w:rPr>
        <w:t xml:space="preserve">.; Linnemann &amp; Medley, 2020: </w:t>
      </w:r>
      <w:proofErr w:type="spellStart"/>
      <w:r w:rsidRPr="006242D3">
        <w:rPr>
          <w:rFonts w:asciiTheme="majorHAnsi" w:hAnsiTheme="majorHAnsi"/>
        </w:rPr>
        <w:t>n.p</w:t>
      </w:r>
      <w:proofErr w:type="spellEnd"/>
      <w:r w:rsidRPr="006242D3">
        <w:rPr>
          <w:rFonts w:asciiTheme="majorHAnsi" w:hAnsiTheme="majorHAnsi"/>
        </w:rPr>
        <w:t xml:space="preserve">.). Largely responsible for pain being codified into law as the fifth vital sign, as Linnemann and Medley (2020: </w:t>
      </w:r>
      <w:proofErr w:type="spellStart"/>
      <w:r w:rsidRPr="006242D3">
        <w:rPr>
          <w:rFonts w:asciiTheme="majorHAnsi" w:hAnsiTheme="majorHAnsi"/>
        </w:rPr>
        <w:t>n.p</w:t>
      </w:r>
      <w:proofErr w:type="spellEnd"/>
      <w:r w:rsidRPr="006242D3">
        <w:rPr>
          <w:rFonts w:asciiTheme="majorHAnsi" w:hAnsiTheme="majorHAnsi"/>
        </w:rPr>
        <w:t xml:space="preserve">.) argue, Purdue mobilized an aggressive marketing campaign that specifically targeted doctors in the New England and Appalachian regions who regularly treated injured laborers from the logging, fishing, and mining industries. One of the most consistent features of Purdue’s promotional campaigns was the “systematic effort to minimize the risk of addiction” to OxyContin, with much the company’s literature, brochures, audio, and videotapes citing studies that claimed the risk was “less than 1%” (Van Zee, 2009: </w:t>
      </w:r>
      <w:proofErr w:type="spellStart"/>
      <w:r w:rsidRPr="006242D3">
        <w:rPr>
          <w:rFonts w:asciiTheme="majorHAnsi" w:hAnsiTheme="majorHAnsi"/>
        </w:rPr>
        <w:t>n.</w:t>
      </w:r>
      <w:sdt>
        <w:sdtPr>
          <w:rPr>
            <w:rFonts w:asciiTheme="majorHAnsi" w:hAnsiTheme="majorHAnsi"/>
          </w:rPr>
          <w:tag w:val="goog_rdk_82"/>
          <w:id w:val="-699933547"/>
        </w:sdtPr>
        <w:sdtContent/>
      </w:sdt>
      <w:r w:rsidRPr="006242D3">
        <w:rPr>
          <w:rFonts w:asciiTheme="majorHAnsi" w:hAnsiTheme="majorHAnsi"/>
        </w:rPr>
        <w:t>p</w:t>
      </w:r>
      <w:proofErr w:type="spellEnd"/>
      <w:r w:rsidRPr="006242D3">
        <w:rPr>
          <w:rFonts w:asciiTheme="majorHAnsi" w:hAnsiTheme="majorHAnsi"/>
        </w:rPr>
        <w:t>.).</w:t>
      </w:r>
      <w:r>
        <w:rPr>
          <w:rFonts w:asciiTheme="majorHAnsi" w:hAnsiTheme="majorHAnsi"/>
        </w:rPr>
        <w:t xml:space="preserve"> </w:t>
      </w:r>
    </w:p>
    <w:p w14:paraId="09239C2F" w14:textId="5A3F09BE" w:rsidR="006242D3" w:rsidRPr="002131BE" w:rsidRDefault="006242D3" w:rsidP="0030288C">
      <w:pPr>
        <w:pStyle w:val="Heading2"/>
      </w:pPr>
      <w:bookmarkStart w:id="21" w:name="_Toc133884513"/>
      <w:r w:rsidRPr="002131BE">
        <w:lastRenderedPageBreak/>
        <w:t>Mobilizing Addiction</w:t>
      </w:r>
      <w:bookmarkEnd w:id="21"/>
    </w:p>
    <w:p w14:paraId="6443E5C4"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Writing on the “the medical concept of addiction,” Reiss (2014: 158) contends that as “a category [it was] most meaningful among the field of international experts who defined and enforced it not exclusively as a scientific </w:t>
      </w:r>
      <w:proofErr w:type="spellStart"/>
      <w:r w:rsidRPr="006242D3">
        <w:rPr>
          <w:rFonts w:asciiTheme="majorHAnsi" w:hAnsiTheme="majorHAnsi"/>
        </w:rPr>
        <w:t>phenomen</w:t>
      </w:r>
      <w:proofErr w:type="spellEnd"/>
      <w:r w:rsidRPr="006242D3">
        <w:rPr>
          <w:rFonts w:asciiTheme="majorHAnsi" w:hAnsiTheme="majorHAnsi"/>
        </w:rPr>
        <w:t>[on], but as a social construction of the object, behavior, or population to be controlled—through imposed isolation or [their] refashioning into productive members of society.” Articulated through the “structural transformations at the heart of the capitalist world” in the liberal era, and especially “its pharmacological revolutions which encourage[ed] humans’ acceptance of synthetic drugs,” addiction not only formed the basis of a system of in</w:t>
      </w:r>
      <w:sdt>
        <w:sdtPr>
          <w:rPr>
            <w:rFonts w:asciiTheme="majorHAnsi" w:hAnsiTheme="majorHAnsi"/>
          </w:rPr>
          <w:tag w:val="goog_rdk_83"/>
          <w:id w:val="-298762398"/>
        </w:sdtPr>
        <w:sdtContent/>
      </w:sdt>
      <w:r w:rsidRPr="006242D3">
        <w:rPr>
          <w:rFonts w:asciiTheme="majorHAnsi" w:hAnsiTheme="majorHAnsi"/>
        </w:rPr>
        <w:t xml:space="preserve">ternational and national drug control policy crafted upon the differentiation between legal (pharmaceuticals) and illegal drug markets but crafted what </w:t>
      </w:r>
      <w:proofErr w:type="spellStart"/>
      <w:r w:rsidRPr="006242D3">
        <w:rPr>
          <w:rFonts w:asciiTheme="majorHAnsi" w:hAnsiTheme="majorHAnsi"/>
        </w:rPr>
        <w:t>Alexandrescu</w:t>
      </w:r>
      <w:proofErr w:type="spellEnd"/>
      <w:r w:rsidRPr="006242D3">
        <w:rPr>
          <w:rFonts w:asciiTheme="majorHAnsi" w:hAnsiTheme="majorHAnsi"/>
        </w:rPr>
        <w:t xml:space="preserve"> (2015:1) refers to as a “narco-carceral complex”—or an “arm[y] of law enforcement officers, magistrates, medics, politicians, [and so forth]” to police their boundaries through continual [drug] war(s). </w:t>
      </w:r>
    </w:p>
    <w:p w14:paraId="1BD28937" w14:textId="17B3271E" w:rsidR="006242D3" w:rsidRPr="006242D3" w:rsidRDefault="006242D3" w:rsidP="006242D3">
      <w:pPr>
        <w:spacing w:line="480" w:lineRule="auto"/>
        <w:ind w:firstLine="720"/>
        <w:rPr>
          <w:rFonts w:asciiTheme="majorHAnsi" w:hAnsiTheme="majorHAnsi"/>
        </w:rPr>
      </w:pPr>
      <w:r w:rsidRPr="006242D3">
        <w:rPr>
          <w:rFonts w:asciiTheme="majorHAnsi" w:hAnsiTheme="majorHAnsi"/>
        </w:rPr>
        <w:t>There is no single mode of addiction governance. The concept of addiction has mobilized a system of complex and interrelated modes of governance and “risk” management. As Foucault argued (1976; 14), the development of medicine was greatly influential to politics, with these techniques being applied not just to the individual body but to the social collective as a whole. Through mechanisms of control, the state extended the medical approach to build a knowledge and mastery—a political technology—of the (social) body via a nexus of power relations that: “invest it, mark it, train it, torture it, force it to carry out tasks, to perform ceremonies, to emit signs</w:t>
      </w:r>
      <w:r w:rsidR="00415C05" w:rsidRPr="006242D3">
        <w:rPr>
          <w:rFonts w:asciiTheme="majorHAnsi" w:hAnsiTheme="majorHAnsi"/>
        </w:rPr>
        <w:t>…” (</w:t>
      </w:r>
      <w:r w:rsidRPr="006242D3">
        <w:rPr>
          <w:rFonts w:asciiTheme="majorHAnsi" w:hAnsiTheme="majorHAnsi"/>
        </w:rPr>
        <w:t xml:space="preserve">Foucault, 1977; 25, quoted in De </w:t>
      </w:r>
      <w:proofErr w:type="spellStart"/>
      <w:r w:rsidRPr="006242D3">
        <w:rPr>
          <w:rFonts w:asciiTheme="majorHAnsi" w:hAnsiTheme="majorHAnsi"/>
        </w:rPr>
        <w:t>Landazuri</w:t>
      </w:r>
      <w:proofErr w:type="spellEnd"/>
      <w:r w:rsidRPr="006242D3">
        <w:rPr>
          <w:rFonts w:asciiTheme="majorHAnsi" w:hAnsiTheme="majorHAnsi"/>
        </w:rPr>
        <w:t xml:space="preserve">, 2013; 5). Contemporary society, as De Vos (2019; 6) relates, building upon a </w:t>
      </w:r>
      <w:r w:rsidRPr="006242D3">
        <w:rPr>
          <w:rFonts w:asciiTheme="majorHAnsi" w:hAnsiTheme="majorHAnsi"/>
        </w:rPr>
        <w:lastRenderedPageBreak/>
        <w:t xml:space="preserve">Foucauldian analysis, is of a psycho-biopolitics; that is, the political techniques of biopower are integrated with </w:t>
      </w:r>
      <w:proofErr w:type="spellStart"/>
      <w:r w:rsidRPr="006242D3">
        <w:rPr>
          <w:rFonts w:asciiTheme="majorHAnsi" w:hAnsiTheme="majorHAnsi"/>
        </w:rPr>
        <w:t>subjectivication</w:t>
      </w:r>
      <w:proofErr w:type="spellEnd"/>
      <w:r w:rsidRPr="006242D3">
        <w:rPr>
          <w:rFonts w:asciiTheme="majorHAnsi" w:hAnsiTheme="majorHAnsi"/>
        </w:rPr>
        <w:t xml:space="preserve"> of the individual (</w:t>
      </w:r>
      <w:r w:rsidR="00415C05" w:rsidRPr="006242D3">
        <w:rPr>
          <w:rFonts w:asciiTheme="majorHAnsi" w:hAnsiTheme="majorHAnsi"/>
        </w:rPr>
        <w:t>or</w:t>
      </w:r>
      <w:r w:rsidRPr="006242D3">
        <w:rPr>
          <w:rFonts w:asciiTheme="majorHAnsi" w:hAnsiTheme="majorHAnsi"/>
        </w:rPr>
        <w:t xml:space="preserve"> the ways in which they bind themselves to their own identity and consciousness) as well as to external power. </w:t>
      </w:r>
    </w:p>
    <w:p w14:paraId="76E6C3DE" w14:textId="49E0E84A" w:rsidR="006242D3" w:rsidRPr="006242D3" w:rsidRDefault="006242D3" w:rsidP="006242D3">
      <w:pPr>
        <w:spacing w:line="480" w:lineRule="auto"/>
        <w:ind w:firstLine="720"/>
        <w:rPr>
          <w:rFonts w:asciiTheme="majorHAnsi" w:hAnsiTheme="majorHAnsi"/>
        </w:rPr>
      </w:pPr>
      <w:r w:rsidRPr="006242D3">
        <w:rPr>
          <w:rFonts w:asciiTheme="majorHAnsi" w:hAnsiTheme="majorHAnsi"/>
        </w:rPr>
        <w:t>While the mass consumption of “legal” medical-grade pharmaceuticals is controlled yet encouraged under the regime of criminalized drug prohibition, “non-medical and/or illegal” drug use is subject to punishment. The concept of addiction has been purposed to calibrate division between types of addiction as well as to divide addicts by identificatory characteristics through the imaginary of “public health.” Acr</w:t>
      </w:r>
      <w:sdt>
        <w:sdtPr>
          <w:rPr>
            <w:rFonts w:asciiTheme="majorHAnsi" w:hAnsiTheme="majorHAnsi"/>
          </w:rPr>
          <w:tag w:val="goog_rdk_86"/>
          <w:id w:val="1512794676"/>
        </w:sdtPr>
        <w:sdtContent/>
      </w:sdt>
      <w:r w:rsidRPr="006242D3">
        <w:rPr>
          <w:rFonts w:asciiTheme="majorHAnsi" w:hAnsiTheme="majorHAnsi"/>
        </w:rPr>
        <w:t xml:space="preserve">oss history, division has been drawn between iatrogenic (or physician-induced) “addicts” and their criminalized counterparts with upper/middle-class (white) users of pharmaceutical drugs formulaically portrayed as the “victims” of structural and institutional harm who deserve not blame for their addiction(s) but compassion, intervention, and treatment (Netherland &amp; Hansen 2016:13). While, on the other hand, the highly racialized users of “illegal” substances have been the subject of blame, stigmatization, and the legitimating rhetoric of criminalization. </w:t>
      </w:r>
    </w:p>
    <w:p w14:paraId="277DC0FA" w14:textId="7EF24967" w:rsidR="006242D3" w:rsidRPr="00C3290E" w:rsidRDefault="006242D3" w:rsidP="0030288C">
      <w:pPr>
        <w:pStyle w:val="Heading2"/>
      </w:pPr>
      <w:bookmarkStart w:id="22" w:name="_Toc133884514"/>
      <w:r w:rsidRPr="00C3290E">
        <w:t>The Past and Present of Harm Reduction</w:t>
      </w:r>
      <w:bookmarkEnd w:id="22"/>
    </w:p>
    <w:p w14:paraId="0A11B24C"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Contemporary contestation over NEPs in the US is broadly situated in confusion over the ideological, theoretical, and philosophical positions of harm reduction (HR) (Shaw 2012:161). Although there is no universal definition for HR, the National Harm Reduction Coalition (2020: </w:t>
      </w:r>
      <w:proofErr w:type="spellStart"/>
      <w:r w:rsidRPr="006242D3">
        <w:rPr>
          <w:rFonts w:asciiTheme="majorHAnsi" w:hAnsiTheme="majorHAnsi"/>
        </w:rPr>
        <w:t>n.p</w:t>
      </w:r>
      <w:proofErr w:type="spellEnd"/>
      <w:r w:rsidRPr="006242D3">
        <w:rPr>
          <w:rFonts w:asciiTheme="majorHAnsi" w:hAnsiTheme="majorHAnsi"/>
        </w:rPr>
        <w:t xml:space="preserve">.) defines it as “a set of practical strategies and ideas [which] aim [to] reduce [the] negative consequences associated with drug use, [and]…a movement for social justice built upon a belief in, and respect for, the rights of people who use drugs.” Given that it is both a set of strategies or practices </w:t>
      </w:r>
      <w:r w:rsidRPr="006242D3">
        <w:rPr>
          <w:rFonts w:asciiTheme="majorHAnsi" w:hAnsiTheme="majorHAnsi"/>
          <w:i/>
        </w:rPr>
        <w:t xml:space="preserve">and </w:t>
      </w:r>
      <w:r w:rsidRPr="006242D3">
        <w:rPr>
          <w:rFonts w:asciiTheme="majorHAnsi" w:hAnsiTheme="majorHAnsi"/>
        </w:rPr>
        <w:t xml:space="preserve">an activist movement, narrowing the scope </w:t>
      </w:r>
      <w:r w:rsidRPr="006242D3">
        <w:rPr>
          <w:rFonts w:asciiTheme="majorHAnsi" w:hAnsiTheme="majorHAnsi"/>
        </w:rPr>
        <w:lastRenderedPageBreak/>
        <w:t>of—</w:t>
      </w:r>
      <w:r w:rsidRPr="006242D3">
        <w:rPr>
          <w:rFonts w:asciiTheme="majorHAnsi" w:hAnsiTheme="majorHAnsi"/>
          <w:i/>
        </w:rPr>
        <w:t>what is and what it is not</w:t>
      </w:r>
      <w:r w:rsidRPr="006242D3">
        <w:rPr>
          <w:rFonts w:asciiTheme="majorHAnsi" w:hAnsiTheme="majorHAnsi"/>
        </w:rPr>
        <w:t>—is a difficult task. However, this is also what makes critiquing and clarifying the fraught frameworks of HR a necessary task.</w:t>
      </w:r>
    </w:p>
    <w:p w14:paraId="63F1CCD9" w14:textId="120CF428" w:rsidR="006242D3" w:rsidRPr="006242D3" w:rsidRDefault="006242D3" w:rsidP="006242D3">
      <w:pPr>
        <w:spacing w:line="480" w:lineRule="auto"/>
        <w:rPr>
          <w:rFonts w:asciiTheme="majorHAnsi" w:hAnsiTheme="majorHAnsi"/>
        </w:rPr>
      </w:pPr>
      <w:r w:rsidRPr="006242D3">
        <w:rPr>
          <w:rFonts w:asciiTheme="majorHAnsi" w:hAnsiTheme="majorHAnsi"/>
        </w:rPr>
        <w:t xml:space="preserve"> </w:t>
      </w:r>
      <w:r w:rsidR="001C6C23">
        <w:rPr>
          <w:rFonts w:asciiTheme="majorHAnsi" w:hAnsiTheme="majorHAnsi"/>
        </w:rPr>
        <w:tab/>
      </w:r>
      <w:r w:rsidRPr="006242D3">
        <w:rPr>
          <w:rFonts w:asciiTheme="majorHAnsi" w:hAnsiTheme="majorHAnsi"/>
        </w:rPr>
        <w:t xml:space="preserve">Although many contemporary HR programs operate in an institutionalized form under the control of state, city, and/or county officials in association with local public health authorities to offer NEPs, these programs differ meaningfully from the activist-oriented and drug-user led collectives that originated the practice of reducing harm as a form of mutual aid (Roe 2005; Smith 2012: 210). To place harm reduction in context, then, it is useful to highlight the distinctions between HR’s liberatory roots as a movement against the state and its contemporary institutionalization within public health as a carceral apparatus of the state. </w:t>
      </w:r>
    </w:p>
    <w:p w14:paraId="4E4C865C"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As scholars, such as Netherland and Hansen (2017: 2), have argued, contemporary support for treatment-based responses to the opioid crisis suggests a more sympathetic response to the phenomenon of “addiction” than was experienced during the “crack epidemic” of the 1980s and 90s. Whereas media coverage of the opioid crisis has largely portrayed the suburban and rural whites deemed to primarily be effected as “victims” of Big Pharma and the medical establishment, crack was not only portrayed as an issue in urban Black and Brown communities but one of their own making vis-à-vis the process of cooking cocaine. The racist depictions of “dangerous crackheads” that emerged alongside tales of neurologically damaged “crack babies” and “welfare queens” to justify highly punitive drug war policies do indeed diverge meaningfully from the exposes of poor, rural whites whose stories are told alongside the apologies of physicians like West Virginia’s Dr. Lou </w:t>
      </w:r>
      <w:proofErr w:type="spellStart"/>
      <w:r w:rsidRPr="006242D3">
        <w:rPr>
          <w:rFonts w:asciiTheme="majorHAnsi" w:hAnsiTheme="majorHAnsi"/>
        </w:rPr>
        <w:t>Ortenzio</w:t>
      </w:r>
      <w:proofErr w:type="spellEnd"/>
      <w:r w:rsidRPr="006242D3">
        <w:rPr>
          <w:rFonts w:asciiTheme="majorHAnsi" w:hAnsiTheme="majorHAnsi"/>
        </w:rPr>
        <w:t xml:space="preserve"> who, speaking to ABC news, expressed his deepest regret for playing a role in the crisis, saying: “I never envisioned prescribing somebody with pain [opioids] would </w:t>
      </w:r>
      <w:r w:rsidRPr="006242D3">
        <w:rPr>
          <w:rFonts w:asciiTheme="majorHAnsi" w:hAnsiTheme="majorHAnsi"/>
        </w:rPr>
        <w:lastRenderedPageBreak/>
        <w:t xml:space="preserve">have this catastrophic tidal wave effect” (Santoro &amp; Santoro 2018; Ordonez, et. al., 2022: </w:t>
      </w:r>
      <w:proofErr w:type="spellStart"/>
      <w:r w:rsidRPr="006242D3">
        <w:rPr>
          <w:rFonts w:asciiTheme="majorHAnsi" w:hAnsiTheme="majorHAnsi"/>
        </w:rPr>
        <w:t>n.p</w:t>
      </w:r>
      <w:proofErr w:type="spellEnd"/>
      <w:r w:rsidRPr="006242D3">
        <w:rPr>
          <w:rFonts w:asciiTheme="majorHAnsi" w:hAnsiTheme="majorHAnsi"/>
        </w:rPr>
        <w:t xml:space="preserve">.). </w:t>
      </w:r>
    </w:p>
    <w:p w14:paraId="6047C9F7" w14:textId="77777777" w:rsidR="002C5A31" w:rsidRDefault="006242D3" w:rsidP="002C5A31">
      <w:pPr>
        <w:spacing w:line="480" w:lineRule="auto"/>
        <w:ind w:firstLine="720"/>
        <w:rPr>
          <w:rFonts w:asciiTheme="majorHAnsi" w:hAnsiTheme="majorHAnsi"/>
        </w:rPr>
      </w:pPr>
      <w:r w:rsidRPr="006242D3">
        <w:rPr>
          <w:rFonts w:asciiTheme="majorHAnsi" w:hAnsiTheme="majorHAnsi"/>
        </w:rPr>
        <w:t xml:space="preserve">The non-linearity of harm reduction’s history necessitates that any effort to chronicle the framework’s development move back and forth across time given that present HR programs are largely a product of the foundational work that took shape during the AIDS movement. Drug users politicized by fear of AIDS began to mobilize and coordinate clandestine HR programs, like NEPs but supervised drug consumption sites, and contraceptive distribution points in cities throughout the US. These organizations formed coalitional networks to raise public awareness about the ways in which HIV transmission intersected stigmatization to exacerbate virus death tolls amongst particular communities (Watkins-Hayes 2014). Many of whom faced multiple marginalization(s) and recognized that even if state-sanctioned programs were to exist, exclusionary mechanisms would discourage participation in them. </w:t>
      </w:r>
    </w:p>
    <w:p w14:paraId="168435EB" w14:textId="1FF67676" w:rsidR="00FB3EF0" w:rsidRDefault="006242D3" w:rsidP="002C5A31">
      <w:pPr>
        <w:spacing w:line="480" w:lineRule="auto"/>
        <w:ind w:firstLine="720"/>
        <w:rPr>
          <w:rFonts w:asciiTheme="majorHAnsi" w:hAnsiTheme="majorHAnsi"/>
        </w:rPr>
      </w:pPr>
      <w:r w:rsidRPr="006242D3">
        <w:rPr>
          <w:rFonts w:asciiTheme="majorHAnsi" w:hAnsiTheme="majorHAnsi"/>
        </w:rPr>
        <w:t xml:space="preserve">Inspired by the movement work that came before them, early harm reductionists modeled their practices after the Black Panther’s survival programs, the Young Lord’s acupuncture (drug treatment) services in the South Bronx, feminist </w:t>
      </w:r>
      <w:r w:rsidR="002C5A31" w:rsidRPr="006242D3">
        <w:rPr>
          <w:rFonts w:asciiTheme="majorHAnsi" w:hAnsiTheme="majorHAnsi"/>
        </w:rPr>
        <w:t>activism,</w:t>
      </w:r>
      <w:r w:rsidRPr="006242D3">
        <w:rPr>
          <w:rFonts w:asciiTheme="majorHAnsi" w:hAnsiTheme="majorHAnsi"/>
        </w:rPr>
        <w:t xml:space="preserve"> and the fight for reproductive rights, as well as AIDS activism throughout queer communities (National Harm Reduction Coalition 2020). Activist groups endeavored to not just (re)write the narrative of drug use through the centering of community voices, but to build sustainable state alternatives through the creation of mutual aid services that were committed to a provision of meaningful care practices for injection drug using peoples. But these histories have been muddled by chronic counterinsurgent carceral efforts to stifle community control of care. These kinds of tensions in harm reduction policy and discourse are core to </w:t>
      </w:r>
      <w:r w:rsidRPr="006242D3">
        <w:rPr>
          <w:rFonts w:asciiTheme="majorHAnsi" w:hAnsiTheme="majorHAnsi"/>
        </w:rPr>
        <w:lastRenderedPageBreak/>
        <w:t>why a conjunctural analysis is necessary and the focal point of this dissertation. As we will see in chapter 1, this work begins with how the opioid crisis in Appalachia and attendant harm reduction discourse were already overdetermined in their articulation by the carceral state</w:t>
      </w:r>
      <w:r w:rsidR="00DC406D">
        <w:rPr>
          <w:rFonts w:asciiTheme="majorHAnsi" w:hAnsiTheme="majorHAnsi"/>
        </w:rPr>
        <w:t>.</w:t>
      </w:r>
    </w:p>
    <w:p w14:paraId="207B3E32" w14:textId="2F2A740F" w:rsidR="00F12BC6" w:rsidRDefault="00F12BC6" w:rsidP="00C3290E">
      <w:pPr>
        <w:spacing w:line="480" w:lineRule="auto"/>
        <w:rPr>
          <w:rFonts w:asciiTheme="majorHAnsi" w:hAnsiTheme="majorHAnsi"/>
        </w:rPr>
      </w:pPr>
    </w:p>
    <w:p w14:paraId="1990AE11" w14:textId="77777777" w:rsidR="00C3290E" w:rsidRDefault="00C3290E" w:rsidP="00C3290E">
      <w:pPr>
        <w:spacing w:line="480" w:lineRule="auto"/>
        <w:rPr>
          <w:rFonts w:asciiTheme="majorHAnsi" w:hAnsiTheme="majorHAnsi"/>
        </w:rPr>
      </w:pPr>
    </w:p>
    <w:p w14:paraId="6899B385" w14:textId="77777777" w:rsidR="00C3290E" w:rsidRDefault="00C3290E" w:rsidP="00C3290E">
      <w:pPr>
        <w:spacing w:line="480" w:lineRule="auto"/>
        <w:rPr>
          <w:rFonts w:asciiTheme="majorHAnsi" w:hAnsiTheme="majorHAnsi"/>
        </w:rPr>
      </w:pPr>
    </w:p>
    <w:p w14:paraId="7B6318FC" w14:textId="77777777" w:rsidR="00C3290E" w:rsidRDefault="00C3290E" w:rsidP="00C3290E">
      <w:pPr>
        <w:spacing w:line="480" w:lineRule="auto"/>
        <w:rPr>
          <w:rFonts w:asciiTheme="majorHAnsi" w:hAnsiTheme="majorHAnsi"/>
        </w:rPr>
      </w:pPr>
    </w:p>
    <w:p w14:paraId="74382758" w14:textId="77777777" w:rsidR="00C3290E" w:rsidRDefault="00C3290E" w:rsidP="00C3290E">
      <w:pPr>
        <w:spacing w:line="480" w:lineRule="auto"/>
        <w:rPr>
          <w:rFonts w:asciiTheme="majorHAnsi" w:hAnsiTheme="majorHAnsi"/>
        </w:rPr>
      </w:pPr>
    </w:p>
    <w:p w14:paraId="21767CBE" w14:textId="77777777" w:rsidR="00C3290E" w:rsidRDefault="00C3290E" w:rsidP="00C3290E">
      <w:pPr>
        <w:spacing w:line="480" w:lineRule="auto"/>
        <w:rPr>
          <w:rFonts w:asciiTheme="majorHAnsi" w:hAnsiTheme="majorHAnsi"/>
        </w:rPr>
      </w:pPr>
    </w:p>
    <w:p w14:paraId="58F3FAE3" w14:textId="77777777" w:rsidR="00C3290E" w:rsidRDefault="00C3290E" w:rsidP="00C3290E">
      <w:pPr>
        <w:spacing w:line="480" w:lineRule="auto"/>
        <w:rPr>
          <w:rFonts w:asciiTheme="majorHAnsi" w:hAnsiTheme="majorHAnsi"/>
        </w:rPr>
      </w:pPr>
    </w:p>
    <w:p w14:paraId="6E9BC1D7" w14:textId="77777777" w:rsidR="00C3290E" w:rsidRDefault="00C3290E" w:rsidP="00C3290E">
      <w:pPr>
        <w:spacing w:line="480" w:lineRule="auto"/>
        <w:rPr>
          <w:rFonts w:asciiTheme="majorHAnsi" w:hAnsiTheme="majorHAnsi"/>
        </w:rPr>
      </w:pPr>
    </w:p>
    <w:p w14:paraId="0316C6A0" w14:textId="77777777" w:rsidR="00C3290E" w:rsidRDefault="00C3290E" w:rsidP="00C3290E">
      <w:pPr>
        <w:spacing w:line="480" w:lineRule="auto"/>
        <w:rPr>
          <w:rFonts w:asciiTheme="majorHAnsi" w:hAnsiTheme="majorHAnsi"/>
        </w:rPr>
      </w:pPr>
    </w:p>
    <w:p w14:paraId="5D73F44E" w14:textId="77777777" w:rsidR="00C3290E" w:rsidRDefault="00C3290E" w:rsidP="00C3290E">
      <w:pPr>
        <w:spacing w:line="480" w:lineRule="auto"/>
        <w:rPr>
          <w:rFonts w:asciiTheme="majorHAnsi" w:hAnsiTheme="majorHAnsi"/>
        </w:rPr>
      </w:pPr>
    </w:p>
    <w:p w14:paraId="4DF92D87" w14:textId="77777777" w:rsidR="00C3290E" w:rsidRDefault="00C3290E" w:rsidP="00C3290E">
      <w:pPr>
        <w:spacing w:line="480" w:lineRule="auto"/>
        <w:rPr>
          <w:rFonts w:asciiTheme="majorHAnsi" w:hAnsiTheme="majorHAnsi"/>
        </w:rPr>
      </w:pPr>
    </w:p>
    <w:p w14:paraId="5737EFD7" w14:textId="77777777" w:rsidR="0030288C" w:rsidRPr="00DC406D" w:rsidRDefault="0030288C" w:rsidP="00C3290E">
      <w:pPr>
        <w:spacing w:line="480" w:lineRule="auto"/>
        <w:rPr>
          <w:rFonts w:asciiTheme="majorHAnsi" w:hAnsiTheme="majorHAnsi"/>
        </w:rPr>
      </w:pPr>
    </w:p>
    <w:p w14:paraId="5B36F38F" w14:textId="77777777" w:rsidR="00495A8D" w:rsidRDefault="00495A8D" w:rsidP="00A0642B">
      <w:pPr>
        <w:pStyle w:val="Heading1"/>
      </w:pPr>
      <w:bookmarkStart w:id="23" w:name="_Toc133884515"/>
      <w:bookmarkEnd w:id="16"/>
      <w:bookmarkEnd w:id="17"/>
    </w:p>
    <w:p w14:paraId="29424101" w14:textId="4265ECB7" w:rsidR="004F08CE" w:rsidRPr="00C3290E" w:rsidRDefault="002E5E94" w:rsidP="00A0642B">
      <w:pPr>
        <w:pStyle w:val="Heading1"/>
      </w:pPr>
      <w:r w:rsidRPr="00C3290E">
        <w:t xml:space="preserve">Chapter </w:t>
      </w:r>
      <w:r w:rsidR="002C5A31">
        <w:t>Three</w:t>
      </w:r>
      <w:r w:rsidRPr="00C3290E">
        <w:t xml:space="preserve">: </w:t>
      </w:r>
      <w:r w:rsidR="006242D3" w:rsidRPr="00C3290E">
        <w:t>Rearticulating the opioid crisis</w:t>
      </w:r>
      <w:bookmarkEnd w:id="23"/>
    </w:p>
    <w:p w14:paraId="5E83B5D6" w14:textId="77777777" w:rsidR="006242D3" w:rsidRPr="006242D3" w:rsidRDefault="006242D3" w:rsidP="006242D3"/>
    <w:p w14:paraId="44B1A4BA" w14:textId="7DE3AE87" w:rsidR="006242D3" w:rsidRPr="006242D3" w:rsidRDefault="006242D3" w:rsidP="006242D3">
      <w:pPr>
        <w:spacing w:line="480" w:lineRule="auto"/>
        <w:ind w:firstLine="720"/>
        <w:rPr>
          <w:rFonts w:asciiTheme="majorHAnsi" w:hAnsiTheme="majorHAnsi" w:cs="Times New Roman"/>
        </w:rPr>
      </w:pPr>
      <w:r w:rsidRPr="006242D3">
        <w:rPr>
          <w:rFonts w:asciiTheme="majorHAnsi" w:hAnsiTheme="majorHAnsi" w:cs="Times New Roman"/>
        </w:rPr>
        <w:t>Writing for Politico Magazine in the wake of the HIV outbreak among intravenous drug users (IDUs) in</w:t>
      </w:r>
      <w:sdt>
        <w:sdtPr>
          <w:rPr>
            <w:rFonts w:asciiTheme="majorHAnsi" w:hAnsiTheme="majorHAnsi" w:cs="Times New Roman"/>
          </w:rPr>
          <w:tag w:val="goog_rdk_94"/>
          <w:id w:val="456836769"/>
        </w:sdtPr>
        <w:sdtContent/>
      </w:sdt>
      <w:r w:rsidRPr="006242D3">
        <w:rPr>
          <w:rFonts w:asciiTheme="majorHAnsi" w:hAnsiTheme="majorHAnsi" w:cs="Times New Roman"/>
        </w:rPr>
        <w:t xml:space="preserve"> Austin, Indiana, the seat of Scott County, journalist Adam Wren (2015: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warns readers of a coming scourge on rural America, saying: “It wasn’t supposed to happen here…not in [this little] …one-doctor-and-an-ice-cream-shop town of 4,200…But it </w:t>
      </w:r>
      <w:r w:rsidRPr="006242D3">
        <w:rPr>
          <w:rFonts w:asciiTheme="majorHAnsi" w:hAnsiTheme="majorHAnsi" w:cs="Times New Roman"/>
        </w:rPr>
        <w:lastRenderedPageBreak/>
        <w:t xml:space="preserve">did. And it [can] happen in many more backwoods towns just as unprepared.” Whether purposefully or not, Wren’s words echo and rejoin those of North Carolina (NC) senator Jesse Helms who, in 1988, mobilized a similarly polarizing rural-urban narrative, vulgar stereotypes, and alarmist rhetoric to argue against government-funded public health-based needle-exchange programs (NEPs)—saying HIV would </w:t>
      </w:r>
      <w:r w:rsidRPr="006242D3">
        <w:rPr>
          <w:rFonts w:asciiTheme="majorHAnsi" w:hAnsiTheme="majorHAnsi" w:cs="Times New Roman"/>
          <w:i/>
        </w:rPr>
        <w:t>never</w:t>
      </w:r>
      <w:r w:rsidRPr="006242D3">
        <w:rPr>
          <w:rFonts w:asciiTheme="majorHAnsi" w:hAnsiTheme="majorHAnsi" w:cs="Times New Roman"/>
        </w:rPr>
        <w:t xml:space="preserve"> reach rural America. Only Wren is arguing in favor of them. Drawing on the work of public health experts, like Dr. Carlos del Rios of Emory University, Wren contends that the opioid crisis has not only caused HIV to “cascade” from “deep-blue cities” like New York, Philadelphia, and San Francisco into “poor, rural swaths of red states”—spreading not “among networks of gay men [or racially marginalized communities] but in rapid, cluster-like fashion within jobless white families who inject prescription painkillers with dirty needles” and lack access to public health services. While Wren’s article dangerously engages race, sexuality, and class schemas to shape public perception of the opioid crisis through a politics of difference, I open with this work because it is an exemplary example, as we shall see, of how federal and state as well as local lawmakers in Southern Appalachia have articulated HR into public health policy (Winter, 2008: 2).    </w:t>
      </w:r>
    </w:p>
    <w:p w14:paraId="019E705A" w14:textId="76409B46" w:rsidR="008575AF" w:rsidRPr="00C3290E" w:rsidRDefault="006242D3" w:rsidP="00C3290E">
      <w:pPr>
        <w:spacing w:line="480" w:lineRule="auto"/>
        <w:ind w:firstLine="720"/>
        <w:rPr>
          <w:rFonts w:asciiTheme="majorHAnsi" w:hAnsiTheme="majorHAnsi" w:cs="Times New Roman"/>
        </w:rPr>
      </w:pPr>
      <w:r w:rsidRPr="006242D3">
        <w:rPr>
          <w:rFonts w:asciiTheme="majorHAnsi" w:hAnsiTheme="majorHAnsi" w:cs="Times New Roman"/>
        </w:rPr>
        <w:t xml:space="preserve">In what follows, I will engage a conjunctural perspective to radically contextualize how rural America and, specifically, Southern Appalachia’s centrality to the contemporary opioid crisis has facilitated </w:t>
      </w:r>
      <w:sdt>
        <w:sdtPr>
          <w:rPr>
            <w:rFonts w:asciiTheme="majorHAnsi" w:hAnsiTheme="majorHAnsi" w:cs="Times New Roman"/>
          </w:rPr>
          <w:tag w:val="goog_rdk_95"/>
          <w:id w:val="2030990824"/>
        </w:sdtPr>
        <w:sdtContent/>
      </w:sdt>
      <w:r w:rsidRPr="006242D3">
        <w:rPr>
          <w:rFonts w:asciiTheme="majorHAnsi" w:hAnsiTheme="majorHAnsi" w:cs="Times New Roman"/>
        </w:rPr>
        <w:t xml:space="preserve">the incorporation of harm reduction (HR) into the US regime of criminalized drug prohibition. Taking the commitment of </w:t>
      </w:r>
      <w:proofErr w:type="spellStart"/>
      <w:r w:rsidRPr="006242D3">
        <w:rPr>
          <w:rFonts w:asciiTheme="majorHAnsi" w:hAnsiTheme="majorHAnsi" w:cs="Times New Roman"/>
        </w:rPr>
        <w:t>conjuncturalism</w:t>
      </w:r>
      <w:proofErr w:type="spellEnd"/>
      <w:r w:rsidRPr="006242D3">
        <w:rPr>
          <w:rFonts w:asciiTheme="majorHAnsi" w:hAnsiTheme="majorHAnsi" w:cs="Times New Roman"/>
        </w:rPr>
        <w:t xml:space="preserve"> to activist political analysis seriously, I will begin by situating struggles over HR in the Southern Appalachian sub-region within longer “movements, moments, and shifts” in the US political terrain (Grayson &amp; Little, 2016: 67).</w:t>
      </w:r>
      <w:sdt>
        <w:sdtPr>
          <w:rPr>
            <w:rFonts w:asciiTheme="majorHAnsi" w:hAnsiTheme="majorHAnsi" w:cs="Times New Roman"/>
          </w:rPr>
          <w:tag w:val="goog_rdk_96"/>
          <w:id w:val="1552336333"/>
        </w:sdtPr>
        <w:sdtContent/>
      </w:sdt>
      <w:r w:rsidRPr="006242D3">
        <w:rPr>
          <w:rFonts w:asciiTheme="majorHAnsi" w:hAnsiTheme="majorHAnsi" w:cs="Times New Roman"/>
        </w:rPr>
        <w:t xml:space="preserve"> Then I will “map” the contemporary political </w:t>
      </w:r>
      <w:r w:rsidRPr="006242D3">
        <w:rPr>
          <w:rFonts w:asciiTheme="majorHAnsi" w:hAnsiTheme="majorHAnsi" w:cs="Times New Roman"/>
        </w:rPr>
        <w:lastRenderedPageBreak/>
        <w:t>landscape of HR as a “war of positions” to illuminate the various sites of struggle “around which different coalitions are [being] built, different values and visions [are being] struggled over, different battle lines [are being] drawn, and different weapons [are being] deployed” in the attempt to “resolve” the opioid crisis (</w:t>
      </w:r>
      <w:proofErr w:type="spellStart"/>
      <w:r w:rsidRPr="006242D3">
        <w:rPr>
          <w:rFonts w:asciiTheme="majorHAnsi" w:hAnsiTheme="majorHAnsi" w:cs="Times New Roman"/>
        </w:rPr>
        <w:t>Grossberg</w:t>
      </w:r>
      <w:proofErr w:type="spellEnd"/>
      <w:r w:rsidRPr="006242D3">
        <w:rPr>
          <w:rFonts w:asciiTheme="majorHAnsi" w:hAnsiTheme="majorHAnsi" w:cs="Times New Roman"/>
        </w:rPr>
        <w:t xml:space="preserve">, 2018; </w:t>
      </w:r>
      <w:proofErr w:type="spellStart"/>
      <w:r w:rsidRPr="006242D3">
        <w:rPr>
          <w:rFonts w:asciiTheme="majorHAnsi" w:hAnsiTheme="majorHAnsi" w:cs="Times New Roman"/>
        </w:rPr>
        <w:t>n.p</w:t>
      </w:r>
      <w:proofErr w:type="spellEnd"/>
      <w:r w:rsidRPr="006242D3">
        <w:rPr>
          <w:rFonts w:asciiTheme="majorHAnsi" w:hAnsiTheme="majorHAnsi" w:cs="Times New Roman"/>
        </w:rPr>
        <w:t>.).</w:t>
      </w:r>
    </w:p>
    <w:p w14:paraId="704F5047" w14:textId="0B7E26AD" w:rsidR="006242D3" w:rsidRPr="006242D3" w:rsidRDefault="006242D3" w:rsidP="00C3290E">
      <w:pPr>
        <w:pStyle w:val="Heading3"/>
        <w:ind w:firstLine="0"/>
      </w:pPr>
      <w:bookmarkStart w:id="24" w:name="_Toc133884516"/>
      <w:r w:rsidRPr="006242D3">
        <w:t>Articulating Appalachia at Ground Zero</w:t>
      </w:r>
      <w:bookmarkEnd w:id="24"/>
    </w:p>
    <w:p w14:paraId="042CB506" w14:textId="77777777" w:rsidR="0030288C"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Pr="006242D3">
        <w:rPr>
          <w:rFonts w:asciiTheme="majorHAnsi" w:hAnsiTheme="majorHAnsi" w:cs="Times New Roman"/>
        </w:rPr>
        <w:t xml:space="preserve">Of the 220 counties and jurisdictions identified by the Centers for Disease Control and Prevention (CDC) as “most vulnerable” to the “rapid [dissemination] of HIV…and/[or] new or continuing high rates of hepatitis C (HCV) infections among [IDUs],” in a 2015 assessment, “the densest concentration” of them were in the Appalachian subregion of Southern Appalachia (CDC, 2015). Using what </w:t>
      </w:r>
      <w:proofErr w:type="spellStart"/>
      <w:r w:rsidRPr="006242D3">
        <w:rPr>
          <w:rFonts w:asciiTheme="majorHAnsi" w:hAnsiTheme="majorHAnsi" w:cs="Times New Roman"/>
        </w:rPr>
        <w:t>Holpuch</w:t>
      </w:r>
      <w:proofErr w:type="spellEnd"/>
      <w:r w:rsidRPr="006242D3">
        <w:rPr>
          <w:rFonts w:asciiTheme="majorHAnsi" w:hAnsiTheme="majorHAnsi" w:cs="Times New Roman"/>
        </w:rPr>
        <w:t xml:space="preserve"> and Popovich (2016: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refer to as a “sobering recipe”—"high rates of drug overdose death, prescription opioid sales, a high white population, astounding rates of HCV, and searing poverty”—to determine vulnerability, the CDC’s calculation powerfully pin-pointed Southern Appalachia as “ground zero” of the opioid crisis (Yale School of Medicine, 2018: </w:t>
      </w:r>
      <w:proofErr w:type="spellStart"/>
      <w:r w:rsidRPr="006242D3">
        <w:rPr>
          <w:rFonts w:asciiTheme="majorHAnsi" w:hAnsiTheme="majorHAnsi" w:cs="Times New Roman"/>
        </w:rPr>
        <w:t>n.p</w:t>
      </w:r>
      <w:proofErr w:type="spellEnd"/>
      <w:r w:rsidRPr="006242D3">
        <w:rPr>
          <w:rFonts w:asciiTheme="majorHAnsi" w:hAnsiTheme="majorHAnsi" w:cs="Times New Roman"/>
        </w:rPr>
        <w:t>.</w:t>
      </w:r>
      <w:r w:rsidR="002C5A31">
        <w:rPr>
          <w:rFonts w:asciiTheme="majorHAnsi" w:hAnsiTheme="majorHAnsi" w:cs="Times New Roman"/>
        </w:rPr>
        <w:t>; see Figure 3.1.</w:t>
      </w:r>
      <w:r w:rsidRPr="006242D3">
        <w:rPr>
          <w:rFonts w:asciiTheme="majorHAnsi" w:hAnsiTheme="majorHAnsi" w:cs="Times New Roman"/>
        </w:rPr>
        <w:t xml:space="preserve">). Although the boundaries of Southern Appalachia are “vague and differently defined for different purposes,” according to the Appalachian Regional Commission or ARC, the subregion is comprised of Tennessee, West Virginia, southwestern Virginia, eastern Kentucky, western North and South Carolina, northern Georgia, and northeastern Alabama (Yarnell 1998:1). Of these states, three of them—Kentucky (KY), Tennessee (TN), and West Virginia (WV)—are home to 123 of the counties and jurisdictions identified as especially vulnerable to “outbreaks” and, as a result, were rendered “eligible,” or “legible” really, to receive additional federal funds from the CDC in order to strengthen support the implementation of HR programs, such as NEPs, alongside investments in treatment and prevention services. </w:t>
      </w:r>
      <w:r w:rsidRPr="006242D3">
        <w:rPr>
          <w:rFonts w:asciiTheme="majorHAnsi" w:hAnsiTheme="majorHAnsi" w:cs="Times New Roman"/>
        </w:rPr>
        <w:lastRenderedPageBreak/>
        <w:t xml:space="preserve">While these three states will be the primary focus of this dissertation, it is important to briefly locate present historical shifts towards HR in Southern Appalachia within a longer arc of federal efforts to “break” the so-called “cycle of poverty” in the region, especially during President Lyndon B. Johnson’s (LBJ) 1960s ‘War on Poverty’ and ‘Great Society’ (ARC, 2022: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Eller, n.d.: 8; </w:t>
      </w:r>
      <w:proofErr w:type="spellStart"/>
      <w:r w:rsidRPr="006242D3">
        <w:rPr>
          <w:rFonts w:asciiTheme="majorHAnsi" w:hAnsiTheme="majorHAnsi" w:cs="Times New Roman"/>
        </w:rPr>
        <w:t>Varenne</w:t>
      </w:r>
      <w:proofErr w:type="spellEnd"/>
      <w:r w:rsidRPr="006242D3">
        <w:rPr>
          <w:rFonts w:asciiTheme="majorHAnsi" w:hAnsiTheme="majorHAnsi" w:cs="Times New Roman"/>
        </w:rPr>
        <w:t xml:space="preserve"> &amp; Scroggins, 2015).</w:t>
      </w:r>
      <w:r w:rsidR="0030288C">
        <w:rPr>
          <w:rFonts w:asciiTheme="majorHAnsi" w:hAnsiTheme="majorHAnsi" w:cs="Times New Roman"/>
        </w:rPr>
        <w:t xml:space="preserve"> </w:t>
      </w:r>
    </w:p>
    <w:p w14:paraId="05F77812" w14:textId="715C481F" w:rsidR="00C3290E" w:rsidRDefault="0030288C"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Pr="006242D3">
        <w:rPr>
          <w:rFonts w:asciiTheme="majorHAnsi" w:hAnsiTheme="majorHAnsi" w:cs="Times New Roman"/>
        </w:rPr>
        <w:t>Although popularized by Oscar Lewis as a political-economic explanation for “chronic underdevelopment and poverty in Latin America” in 1961, the “culture of poverty thesis” has been endlessly mobilized to blame the economically vulnerable for their own plight (</w:t>
      </w:r>
      <w:proofErr w:type="spellStart"/>
      <w:r w:rsidRPr="006242D3">
        <w:rPr>
          <w:rFonts w:asciiTheme="majorHAnsi" w:hAnsiTheme="majorHAnsi" w:cs="Times New Roman"/>
        </w:rPr>
        <w:t>Peine</w:t>
      </w:r>
      <w:proofErr w:type="spellEnd"/>
      <w:r w:rsidRPr="006242D3">
        <w:rPr>
          <w:rFonts w:asciiTheme="majorHAnsi" w:hAnsiTheme="majorHAnsi" w:cs="Times New Roman"/>
        </w:rPr>
        <w:t>, Price-</w:t>
      </w:r>
      <w:proofErr w:type="spellStart"/>
      <w:r w:rsidRPr="006242D3">
        <w:rPr>
          <w:rFonts w:asciiTheme="majorHAnsi" w:hAnsiTheme="majorHAnsi" w:cs="Times New Roman"/>
        </w:rPr>
        <w:t>Azano</w:t>
      </w:r>
      <w:proofErr w:type="spellEnd"/>
      <w:r w:rsidRPr="006242D3">
        <w:rPr>
          <w:rFonts w:asciiTheme="majorHAnsi" w:hAnsiTheme="majorHAnsi" w:cs="Times New Roman"/>
        </w:rPr>
        <w:t xml:space="preserve">, and </w:t>
      </w:r>
      <w:proofErr w:type="spellStart"/>
      <w:r w:rsidRPr="006242D3">
        <w:rPr>
          <w:rFonts w:asciiTheme="majorHAnsi" w:hAnsiTheme="majorHAnsi" w:cs="Times New Roman"/>
        </w:rPr>
        <w:t>Schaft</w:t>
      </w:r>
      <w:proofErr w:type="spellEnd"/>
      <w:r w:rsidRPr="006242D3">
        <w:rPr>
          <w:rFonts w:asciiTheme="majorHAnsi" w:hAnsiTheme="majorHAnsi" w:cs="Times New Roman"/>
        </w:rPr>
        <w:t xml:space="preserve">, </w:t>
      </w:r>
      <w:r>
        <w:rPr>
          <w:rFonts w:asciiTheme="majorHAnsi" w:hAnsiTheme="majorHAnsi" w:cs="Times New Roman"/>
        </w:rPr>
        <w:t>2020</w:t>
      </w:r>
      <w:r w:rsidRPr="006242D3">
        <w:rPr>
          <w:rFonts w:asciiTheme="majorHAnsi" w:hAnsiTheme="majorHAnsi" w:cs="Times New Roman"/>
        </w:rPr>
        <w:t>: 41)</w:t>
      </w:r>
      <w:r>
        <w:rPr>
          <w:rFonts w:asciiTheme="majorHAnsi" w:hAnsiTheme="majorHAnsi" w:cs="Times New Roman"/>
        </w:rPr>
        <w:t>.</w:t>
      </w:r>
    </w:p>
    <w:p w14:paraId="502FA3D5" w14:textId="09B36232" w:rsidR="00C3290E" w:rsidRDefault="00C3290E"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noProof/>
        </w:rPr>
        <w:drawing>
          <wp:inline distT="0" distB="0" distL="0" distR="0" wp14:anchorId="50158C66" wp14:editId="18F1A77F">
            <wp:extent cx="5797845" cy="4421529"/>
            <wp:effectExtent l="0" t="0" r="635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45015" cy="4457502"/>
                    </a:xfrm>
                    <a:prstGeom prst="rect">
                      <a:avLst/>
                    </a:prstGeom>
                  </pic:spPr>
                </pic:pic>
              </a:graphicData>
            </a:graphic>
          </wp:inline>
        </w:drawing>
      </w:r>
    </w:p>
    <w:p w14:paraId="4D5BD98A" w14:textId="77777777" w:rsidR="00495A8D" w:rsidRDefault="00495A8D" w:rsidP="00495A8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Figure 3.1. CDC Map of Vulnerable Counties</w:t>
      </w:r>
    </w:p>
    <w:p w14:paraId="1C5A9F99" w14:textId="669F8ED6" w:rsidR="00C3290E" w:rsidRDefault="00C3290E" w:rsidP="00495A8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heme="majorHAnsi" w:hAnsiTheme="majorHAnsi" w:cs="Times New Roman"/>
        </w:rPr>
      </w:pPr>
      <w:r>
        <w:rPr>
          <w:rFonts w:asciiTheme="majorHAnsi" w:hAnsiTheme="majorHAnsi" w:cs="Times New Roman"/>
        </w:rPr>
        <w:lastRenderedPageBreak/>
        <w:t>Figure 3.1. depicts a map of the United States (US) published by the Federal Centers for Disease Control and Prevention (CDC) in 2015 that identifies the counties and jurisdictions most vulnerable to the rapid dissemination of infectious disease(s) among injection drug users (IDUs).</w:t>
      </w:r>
    </w:p>
    <w:p w14:paraId="14B563D0" w14:textId="77777777" w:rsidR="00C3290E" w:rsidRDefault="00C3290E"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p>
    <w:p w14:paraId="06FEAAC8" w14:textId="77777777" w:rsidR="00C3290E" w:rsidRDefault="00C3290E"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p>
    <w:p w14:paraId="5B8AB428" w14:textId="64CCB38C" w:rsidR="0030288C" w:rsidRDefault="0030288C"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p>
    <w:p w14:paraId="1C10DCE6" w14:textId="77777777" w:rsidR="00495A8D" w:rsidRDefault="00495A8D"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p>
    <w:p w14:paraId="73876ED8" w14:textId="3E1F8DAB"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While Johnson’s Administration drew on this “thesis” to trouble the “external forces of exploitation found in a class-stratified economy” and develop a series of educational, healthcare, housing, transportation, and job training initiatives ostensibly intended to ameliorate poverty and “bring” economically “underdeveloped” regions, like Appalachia, into the “American mainstream,” these efforts remained mired within pejorative stereotypes which rendered the region and its peoples in need of “fixing” rather than the system itself (Eller, n.d.: 6; Werth Jr., 2014: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Tice &amp; Billings, 1991: 3). There is no doubt that many of the initiatives established under the ‘War on Poverty’ and ‘Great Society’ legislation, particularly the Appalachian Regional Commission (ARC) itself, Community Action agencies, Head Start programs, Medicare and Medicaid, improved the “quality of [every]day life” for many in the Appalachian region as well as the nation; however, they also diverted attention away from the inequities and inequalities of the system—hyper-fixating on re/forming peoples; on making them “fit” enough to reside in a “great” society  (Eller, n.d.: 6). </w:t>
      </w:r>
    </w:p>
    <w:p w14:paraId="2DB44E61" w14:textId="6C5341BE"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Pr="006242D3">
        <w:rPr>
          <w:rFonts w:asciiTheme="majorHAnsi" w:hAnsiTheme="majorHAnsi" w:cs="Times New Roman"/>
        </w:rPr>
        <w:t xml:space="preserve">Operating on what Lauren Berlant (3, 8) refers to as a “cruel optimism” or “a relation of attachment to compromised conditions of possibility” when </w:t>
      </w:r>
      <w:r w:rsidRPr="006242D3">
        <w:rPr>
          <w:rFonts w:asciiTheme="majorHAnsi" w:hAnsiTheme="majorHAnsi" w:cs="Times New Roman"/>
        </w:rPr>
        <w:lastRenderedPageBreak/>
        <w:t xml:space="preserve">“something…desire[d] actually [becomes] an obstacle to…flourishing,” these programs promised what she refers to as the “good life fantasy”—“upward mobility, job security, political and social equality”— but that in reality function as sites wherein “people find themselves developing skills for adjusting to newly proliferating pressures [and] </w:t>
      </w:r>
      <w:proofErr w:type="spellStart"/>
      <w:r w:rsidRPr="006242D3">
        <w:rPr>
          <w:rFonts w:asciiTheme="majorHAnsi" w:hAnsiTheme="majorHAnsi" w:cs="Times New Roman"/>
        </w:rPr>
        <w:t>scrambl</w:t>
      </w:r>
      <w:proofErr w:type="spellEnd"/>
      <w:r w:rsidRPr="006242D3">
        <w:rPr>
          <w:rFonts w:asciiTheme="majorHAnsi" w:hAnsiTheme="majorHAnsi" w:cs="Times New Roman"/>
        </w:rPr>
        <w:t>[</w:t>
      </w:r>
      <w:proofErr w:type="spellStart"/>
      <w:r w:rsidRPr="006242D3">
        <w:rPr>
          <w:rFonts w:asciiTheme="majorHAnsi" w:hAnsiTheme="majorHAnsi" w:cs="Times New Roman"/>
        </w:rPr>
        <w:t>ing</w:t>
      </w:r>
      <w:proofErr w:type="spellEnd"/>
      <w:r w:rsidRPr="006242D3">
        <w:rPr>
          <w:rFonts w:asciiTheme="majorHAnsi" w:hAnsiTheme="majorHAnsi" w:cs="Times New Roman"/>
        </w:rPr>
        <w:t xml:space="preserve">] for modes of living on.” Similarly to the ways in which these programs functioned to reinforce the system and delimit the conditions of possibility for marginalized peoples in Appalachia, public health-based HR responses to the opioid crisis ask peoples, and not just drug users and their loved ones, community activists, and others in healing professions, but </w:t>
      </w:r>
      <w:r w:rsidRPr="006242D3">
        <w:rPr>
          <w:rFonts w:asciiTheme="majorHAnsi" w:hAnsiTheme="majorHAnsi" w:cs="Times New Roman"/>
          <w:i/>
        </w:rPr>
        <w:t>everyone</w:t>
      </w:r>
      <w:r w:rsidRPr="006242D3">
        <w:rPr>
          <w:rFonts w:asciiTheme="majorHAnsi" w:hAnsiTheme="majorHAnsi" w:cs="Times New Roman"/>
        </w:rPr>
        <w:t xml:space="preserve"> to just keep “rid[</w:t>
      </w:r>
      <w:proofErr w:type="spellStart"/>
      <w:r w:rsidRPr="006242D3">
        <w:rPr>
          <w:rFonts w:asciiTheme="majorHAnsi" w:hAnsiTheme="majorHAnsi" w:cs="Times New Roman"/>
        </w:rPr>
        <w:t>ing</w:t>
      </w:r>
      <w:proofErr w:type="spellEnd"/>
      <w:r w:rsidRPr="006242D3">
        <w:rPr>
          <w:rFonts w:asciiTheme="majorHAnsi" w:hAnsiTheme="majorHAnsi" w:cs="Times New Roman"/>
        </w:rPr>
        <w:t>] the wave of the system of attachment they are used to” despite that this system and that wave has continuously failed and threatened to engulf them (Berlant</w:t>
      </w:r>
      <w:r w:rsidR="002C5A31">
        <w:rPr>
          <w:rFonts w:asciiTheme="majorHAnsi" w:hAnsiTheme="majorHAnsi" w:cs="Times New Roman"/>
        </w:rPr>
        <w:t xml:space="preserve">, 2011: </w:t>
      </w:r>
      <w:r w:rsidRPr="006242D3">
        <w:rPr>
          <w:rFonts w:asciiTheme="majorHAnsi" w:hAnsiTheme="majorHAnsi" w:cs="Times New Roman"/>
        </w:rPr>
        <w:t>28).</w:t>
      </w:r>
    </w:p>
    <w:p w14:paraId="3867B75F" w14:textId="03B27229"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Pr="006242D3">
        <w:rPr>
          <w:rFonts w:asciiTheme="majorHAnsi" w:hAnsiTheme="majorHAnsi" w:cs="Times New Roman"/>
        </w:rPr>
        <w:t xml:space="preserve">While the histories of anti-poverty efforts in 1960s Appalachia cannot be conflated with contemporary shifts towards (and away from) public health-based HR programs in the region at present, the continuities between these efforts are significant, particularly, </w:t>
      </w:r>
      <w:r w:rsidR="00D93FA0">
        <w:rPr>
          <w:rFonts w:asciiTheme="majorHAnsi" w:hAnsiTheme="majorHAnsi" w:cs="Times New Roman"/>
        </w:rPr>
        <w:t>in the</w:t>
      </w:r>
      <w:r w:rsidRPr="006242D3">
        <w:rPr>
          <w:rFonts w:asciiTheme="majorHAnsi" w:hAnsiTheme="majorHAnsi" w:cs="Times New Roman"/>
        </w:rPr>
        <w:t xml:space="preserve"> ways </w:t>
      </w:r>
      <w:r w:rsidR="00D93FA0">
        <w:rPr>
          <w:rFonts w:asciiTheme="majorHAnsi" w:hAnsiTheme="majorHAnsi" w:cs="Times New Roman"/>
        </w:rPr>
        <w:t>that they</w:t>
      </w:r>
      <w:r w:rsidRPr="006242D3">
        <w:rPr>
          <w:rFonts w:asciiTheme="majorHAnsi" w:hAnsiTheme="majorHAnsi" w:cs="Times New Roman"/>
        </w:rPr>
        <w:t xml:space="preserve"> reify and r</w:t>
      </w:r>
      <w:r w:rsidR="00D93FA0">
        <w:rPr>
          <w:rFonts w:asciiTheme="majorHAnsi" w:hAnsiTheme="majorHAnsi" w:cs="Times New Roman"/>
        </w:rPr>
        <w:t>e</w:t>
      </w:r>
      <w:r w:rsidRPr="006242D3">
        <w:rPr>
          <w:rFonts w:asciiTheme="majorHAnsi" w:hAnsiTheme="majorHAnsi" w:cs="Times New Roman"/>
        </w:rPr>
        <w:t xml:space="preserve">articulate relations of violence between the state, its institutions, and people” vis-à-vis racialized regimes of health, </w:t>
      </w:r>
      <w:sdt>
        <w:sdtPr>
          <w:rPr>
            <w:rFonts w:asciiTheme="majorHAnsi" w:hAnsiTheme="majorHAnsi" w:cs="Times New Roman"/>
          </w:rPr>
          <w:tag w:val="goog_rdk_97"/>
          <w:id w:val="-303227674"/>
        </w:sdtPr>
        <w:sdtContent/>
      </w:sdt>
      <w:proofErr w:type="spellStart"/>
      <w:r w:rsidRPr="006242D3">
        <w:rPr>
          <w:rFonts w:asciiTheme="majorHAnsi" w:hAnsiTheme="majorHAnsi" w:cs="Times New Roman"/>
        </w:rPr>
        <w:t>carcerality</w:t>
      </w:r>
      <w:proofErr w:type="spellEnd"/>
      <w:r w:rsidRPr="006242D3">
        <w:rPr>
          <w:rFonts w:asciiTheme="majorHAnsi" w:hAnsiTheme="majorHAnsi" w:cs="Times New Roman"/>
        </w:rPr>
        <w:t xml:space="preserve">, security, and/or surveillance. </w:t>
      </w:r>
      <w:r w:rsidR="004B37ED">
        <w:rPr>
          <w:rFonts w:asciiTheme="majorHAnsi" w:hAnsiTheme="majorHAnsi" w:cs="Times New Roman"/>
        </w:rPr>
        <w:t xml:space="preserve">Thinking </w:t>
      </w:r>
      <w:r w:rsidR="00AC7969">
        <w:rPr>
          <w:rFonts w:asciiTheme="majorHAnsi" w:hAnsiTheme="majorHAnsi" w:cs="Times New Roman"/>
        </w:rPr>
        <w:t>momentarily</w:t>
      </w:r>
      <w:r w:rsidR="00981E4B">
        <w:rPr>
          <w:rFonts w:asciiTheme="majorHAnsi" w:hAnsiTheme="majorHAnsi" w:cs="Times New Roman"/>
        </w:rPr>
        <w:t xml:space="preserve"> back to the introduction and</w:t>
      </w:r>
      <w:r w:rsidR="00AC7969">
        <w:rPr>
          <w:rFonts w:asciiTheme="majorHAnsi" w:hAnsiTheme="majorHAnsi" w:cs="Times New Roman"/>
        </w:rPr>
        <w:t xml:space="preserve"> our </w:t>
      </w:r>
      <w:r w:rsidR="00D93FA0">
        <w:rPr>
          <w:rFonts w:asciiTheme="majorHAnsi" w:hAnsiTheme="majorHAnsi" w:cs="Times New Roman"/>
        </w:rPr>
        <w:t xml:space="preserve">discussion </w:t>
      </w:r>
      <w:r w:rsidR="00B172B9">
        <w:rPr>
          <w:rFonts w:asciiTheme="majorHAnsi" w:hAnsiTheme="majorHAnsi" w:cs="Times New Roman"/>
        </w:rPr>
        <w:t xml:space="preserve">of </w:t>
      </w:r>
      <w:r w:rsidR="00981E4B">
        <w:rPr>
          <w:rFonts w:asciiTheme="majorHAnsi" w:hAnsiTheme="majorHAnsi" w:cs="Times New Roman"/>
        </w:rPr>
        <w:t>how the</w:t>
      </w:r>
      <w:r w:rsidR="009C1C91">
        <w:rPr>
          <w:rFonts w:asciiTheme="majorHAnsi" w:hAnsiTheme="majorHAnsi" w:cs="Times New Roman"/>
        </w:rPr>
        <w:t xml:space="preserve"> racial grammar</w:t>
      </w:r>
      <w:r w:rsidR="00B172B9">
        <w:rPr>
          <w:rFonts w:asciiTheme="majorHAnsi" w:hAnsiTheme="majorHAnsi" w:cs="Times New Roman"/>
        </w:rPr>
        <w:t xml:space="preserve"> of opioids </w:t>
      </w:r>
      <w:r w:rsidR="004B37ED">
        <w:rPr>
          <w:rFonts w:asciiTheme="majorHAnsi" w:hAnsiTheme="majorHAnsi" w:cs="Times New Roman"/>
        </w:rPr>
        <w:t xml:space="preserve">obscures the boundaries of white racial privilege for </w:t>
      </w:r>
      <w:r w:rsidR="00253AFC">
        <w:rPr>
          <w:rFonts w:asciiTheme="majorHAnsi" w:hAnsiTheme="majorHAnsi" w:cs="Times New Roman"/>
        </w:rPr>
        <w:t>Appalachian</w:t>
      </w:r>
      <w:r w:rsidR="00D93FA0">
        <w:rPr>
          <w:rFonts w:asciiTheme="majorHAnsi" w:hAnsiTheme="majorHAnsi" w:cs="Times New Roman"/>
        </w:rPr>
        <w:t xml:space="preserve"> </w:t>
      </w:r>
      <w:r w:rsidR="004B37ED">
        <w:rPr>
          <w:rFonts w:asciiTheme="majorHAnsi" w:hAnsiTheme="majorHAnsi" w:cs="Times New Roman"/>
        </w:rPr>
        <w:t>“</w:t>
      </w:r>
      <w:proofErr w:type="spellStart"/>
      <w:r w:rsidR="004B37ED">
        <w:rPr>
          <w:rFonts w:asciiTheme="majorHAnsi" w:hAnsiTheme="majorHAnsi" w:cs="Times New Roman"/>
        </w:rPr>
        <w:t>pillbill</w:t>
      </w:r>
      <w:r w:rsidR="00981E4B">
        <w:rPr>
          <w:rFonts w:asciiTheme="majorHAnsi" w:hAnsiTheme="majorHAnsi" w:cs="Times New Roman"/>
        </w:rPr>
        <w:t>ies</w:t>
      </w:r>
      <w:proofErr w:type="spellEnd"/>
      <w:r w:rsidR="004B37ED">
        <w:rPr>
          <w:rFonts w:asciiTheme="majorHAnsi" w:hAnsiTheme="majorHAnsi" w:cs="Times New Roman"/>
        </w:rPr>
        <w:t xml:space="preserve">” </w:t>
      </w:r>
      <w:r w:rsidR="00253AFC">
        <w:rPr>
          <w:rFonts w:asciiTheme="majorHAnsi" w:hAnsiTheme="majorHAnsi" w:cs="Times New Roman"/>
        </w:rPr>
        <w:t>and</w:t>
      </w:r>
      <w:r w:rsidR="00B172B9">
        <w:rPr>
          <w:rFonts w:asciiTheme="majorHAnsi" w:hAnsiTheme="majorHAnsi" w:cs="Times New Roman"/>
        </w:rPr>
        <w:t xml:space="preserve"> </w:t>
      </w:r>
      <w:r w:rsidR="004B37ED">
        <w:rPr>
          <w:rFonts w:asciiTheme="majorHAnsi" w:hAnsiTheme="majorHAnsi" w:cs="Times New Roman"/>
        </w:rPr>
        <w:t>intravenous drug user,</w:t>
      </w:r>
      <w:r w:rsidR="00981E4B">
        <w:rPr>
          <w:rFonts w:asciiTheme="majorHAnsi" w:hAnsiTheme="majorHAnsi" w:cs="Times New Roman"/>
        </w:rPr>
        <w:t xml:space="preserve"> we should </w:t>
      </w:r>
      <w:r w:rsidR="008B3CF7">
        <w:rPr>
          <w:rFonts w:asciiTheme="majorHAnsi" w:hAnsiTheme="majorHAnsi" w:cs="Times New Roman"/>
        </w:rPr>
        <w:t>recall how the deep entanglements between</w:t>
      </w:r>
      <w:r w:rsidR="00B773CB">
        <w:rPr>
          <w:rFonts w:asciiTheme="majorHAnsi" w:hAnsiTheme="majorHAnsi" w:cs="Times New Roman"/>
        </w:rPr>
        <w:t xml:space="preserve"> public health and </w:t>
      </w:r>
      <w:proofErr w:type="spellStart"/>
      <w:r w:rsidR="00B773CB">
        <w:rPr>
          <w:rFonts w:asciiTheme="majorHAnsi" w:hAnsiTheme="majorHAnsi" w:cs="Times New Roman"/>
        </w:rPr>
        <w:t>carcerality</w:t>
      </w:r>
      <w:proofErr w:type="spellEnd"/>
      <w:r w:rsidR="00B773CB">
        <w:rPr>
          <w:rFonts w:asciiTheme="majorHAnsi" w:hAnsiTheme="majorHAnsi" w:cs="Times New Roman"/>
        </w:rPr>
        <w:t xml:space="preserve"> articulate </w:t>
      </w:r>
      <w:r w:rsidR="009512B6">
        <w:rPr>
          <w:rFonts w:asciiTheme="majorHAnsi" w:hAnsiTheme="majorHAnsi" w:cs="Times New Roman"/>
        </w:rPr>
        <w:t xml:space="preserve">a desire </w:t>
      </w:r>
      <w:r w:rsidR="00470DCF">
        <w:rPr>
          <w:rFonts w:asciiTheme="majorHAnsi" w:hAnsiTheme="majorHAnsi" w:cs="Times New Roman"/>
        </w:rPr>
        <w:t xml:space="preserve">to purify. </w:t>
      </w:r>
      <w:r w:rsidR="009512B6">
        <w:rPr>
          <w:rFonts w:asciiTheme="majorHAnsi" w:hAnsiTheme="majorHAnsi" w:cs="Times New Roman"/>
        </w:rPr>
        <w:t xml:space="preserve"> </w:t>
      </w:r>
      <w:r w:rsidRPr="006242D3">
        <w:rPr>
          <w:rFonts w:asciiTheme="majorHAnsi" w:hAnsiTheme="majorHAnsi" w:cs="Times New Roman"/>
        </w:rPr>
        <w:t xml:space="preserve">Public health-based HR services, and especially NEPs, are constructed as “wrap around programs” that, in the words of Tennessee senator Scott Dickerson (R), intended to operate like “bait-as-it-were to draw [intravenous drug users] to get exposed to social services” (WJHL, 2017). </w:t>
      </w:r>
      <w:r w:rsidRPr="006242D3">
        <w:rPr>
          <w:rFonts w:asciiTheme="majorHAnsi" w:hAnsiTheme="majorHAnsi" w:cs="Times New Roman"/>
        </w:rPr>
        <w:lastRenderedPageBreak/>
        <w:t>Therefore, even as public health-based HR programs purport themselves to be in service of social change and often social activism because they do not require total abstinence from drugs as treatment and rehabilitative services do under a regime of criminalized drug prohibition, their mobilization by the state in response to the opioid crisis calls these aims, as well as their lasting impacts, into question</w:t>
      </w:r>
      <w:r>
        <w:rPr>
          <w:rFonts w:asciiTheme="majorHAnsi" w:hAnsiTheme="majorHAnsi" w:cs="Times New Roman"/>
        </w:rPr>
        <w:t>.</w:t>
      </w:r>
    </w:p>
    <w:p w14:paraId="4A2049E4" w14:textId="6020CE59" w:rsidR="004F08CE" w:rsidRPr="002C5A31" w:rsidRDefault="006242D3" w:rsidP="0030288C">
      <w:pPr>
        <w:pStyle w:val="Heading2"/>
      </w:pPr>
      <w:bookmarkStart w:id="25" w:name="_Toc133884517"/>
      <w:r w:rsidRPr="002C5A31">
        <w:t>Experimenting with Addiction</w:t>
      </w:r>
      <w:bookmarkStart w:id="26" w:name="_Toc420995905"/>
      <w:bookmarkStart w:id="27" w:name="_Toc422997492"/>
      <w:bookmarkStart w:id="28" w:name="_Toc427156475"/>
      <w:bookmarkEnd w:id="25"/>
    </w:p>
    <w:p w14:paraId="73AA88C7" w14:textId="77777777" w:rsidR="006242D3" w:rsidRPr="00622485" w:rsidRDefault="006242D3" w:rsidP="006242D3">
      <w:pPr>
        <w:spacing w:line="480" w:lineRule="auto"/>
        <w:ind w:firstLine="720"/>
        <w:rPr>
          <w:rFonts w:asciiTheme="majorHAnsi" w:eastAsia="Georgia" w:hAnsiTheme="majorHAnsi" w:cs="Georgia"/>
        </w:rPr>
      </w:pPr>
      <w:r w:rsidRPr="00622485">
        <w:rPr>
          <w:rFonts w:asciiTheme="majorHAnsi" w:eastAsia="Georgia" w:hAnsiTheme="majorHAnsi" w:cs="Georgia"/>
        </w:rPr>
        <w:t xml:space="preserve">To avoid “looking at crises within an overly narrow timeframe” that hazards finding “false solutions to the wrong problem[s],” Grayson and Little (2016: 69) argue that a conjunctural approach requires the analyst to situate present struggles “within an understanding of past struggles.” By locating contemporary struggles over HR in Southern Appalachia within longer-term movements, moments, and shifts in the landscape of US drug control policy, we can thus differentiate one period from another by charting the discontinuities (however slight) and continuities between them while also illuminating the “deeper structural” issues of which the opioid crisis is a “particular manifestation” (ibid., 2016: 69; </w:t>
      </w:r>
      <w:proofErr w:type="spellStart"/>
      <w:r w:rsidRPr="00622485">
        <w:rPr>
          <w:rFonts w:asciiTheme="majorHAnsi" w:eastAsia="Georgia" w:hAnsiTheme="majorHAnsi" w:cs="Georgia"/>
        </w:rPr>
        <w:t>Spielman</w:t>
      </w:r>
      <w:proofErr w:type="spellEnd"/>
      <w:r w:rsidRPr="00622485">
        <w:rPr>
          <w:rFonts w:asciiTheme="majorHAnsi" w:eastAsia="Georgia" w:hAnsiTheme="majorHAnsi" w:cs="Georgia"/>
        </w:rPr>
        <w:t xml:space="preserve">, 2019: </w:t>
      </w:r>
      <w:proofErr w:type="spellStart"/>
      <w:r w:rsidRPr="00622485">
        <w:rPr>
          <w:rFonts w:asciiTheme="majorHAnsi" w:eastAsia="Georgia" w:hAnsiTheme="majorHAnsi" w:cs="Georgia"/>
        </w:rPr>
        <w:t>n.p</w:t>
      </w:r>
      <w:proofErr w:type="spellEnd"/>
      <w:r w:rsidRPr="00622485">
        <w:rPr>
          <w:rFonts w:asciiTheme="majorHAnsi" w:eastAsia="Georgia" w:hAnsiTheme="majorHAnsi" w:cs="Georgia"/>
        </w:rPr>
        <w:t xml:space="preserve">.). Journalists and scholars, such as </w:t>
      </w:r>
      <w:proofErr w:type="spellStart"/>
      <w:r w:rsidRPr="00622485">
        <w:rPr>
          <w:rFonts w:asciiTheme="majorHAnsi" w:eastAsia="Georgia" w:hAnsiTheme="majorHAnsi" w:cs="Georgia"/>
        </w:rPr>
        <w:t>Ciccarone</w:t>
      </w:r>
      <w:proofErr w:type="spellEnd"/>
      <w:r w:rsidRPr="00622485">
        <w:rPr>
          <w:rFonts w:asciiTheme="majorHAnsi" w:eastAsia="Georgia" w:hAnsiTheme="majorHAnsi" w:cs="Georgia"/>
        </w:rPr>
        <w:t xml:space="preserve"> (2019: </w:t>
      </w:r>
      <w:proofErr w:type="spellStart"/>
      <w:r w:rsidRPr="00622485">
        <w:rPr>
          <w:rFonts w:asciiTheme="majorHAnsi" w:eastAsia="Georgia" w:hAnsiTheme="majorHAnsi" w:cs="Georgia"/>
        </w:rPr>
        <w:t>n.p</w:t>
      </w:r>
      <w:proofErr w:type="spellEnd"/>
      <w:r w:rsidRPr="00622485">
        <w:rPr>
          <w:rFonts w:asciiTheme="majorHAnsi" w:eastAsia="Georgia" w:hAnsiTheme="majorHAnsi" w:cs="Georgia"/>
        </w:rPr>
        <w:t xml:space="preserve">.), have largely taken up the CDC’s metaphor to place the majority of blame for what is referred to as the “first wave” of the opioid crisis on the pharmaceutical industry (or “Big Pharma”) for inundating the nation, and especially the Appalachian region, with highly addictive, semi-synthetic prescription painkillers such as OxyContin and </w:t>
      </w:r>
      <w:proofErr w:type="spellStart"/>
      <w:r w:rsidRPr="00622485">
        <w:rPr>
          <w:rFonts w:asciiTheme="majorHAnsi" w:eastAsia="Georgia" w:hAnsiTheme="majorHAnsi" w:cs="Georgia"/>
        </w:rPr>
        <w:t>Opana</w:t>
      </w:r>
      <w:proofErr w:type="spellEnd"/>
      <w:r w:rsidRPr="00622485">
        <w:rPr>
          <w:rFonts w:asciiTheme="majorHAnsi" w:eastAsia="Georgia" w:hAnsiTheme="majorHAnsi" w:cs="Georgia"/>
        </w:rPr>
        <w:t xml:space="preserve">.  We will start our analysis by, invoking Berlant once more, “riding this wave” to explore how the concept of “addiction” has historically been articulated as a “public health menace” to re/structure the landscape of US drug control policy (Szalavitz, 2021: </w:t>
      </w:r>
      <w:proofErr w:type="spellStart"/>
      <w:r w:rsidRPr="00622485">
        <w:rPr>
          <w:rFonts w:asciiTheme="majorHAnsi" w:eastAsia="Georgia" w:hAnsiTheme="majorHAnsi" w:cs="Georgia"/>
        </w:rPr>
        <w:t>n.p</w:t>
      </w:r>
      <w:proofErr w:type="spellEnd"/>
      <w:r w:rsidRPr="00622485">
        <w:rPr>
          <w:rFonts w:asciiTheme="majorHAnsi" w:eastAsia="Georgia" w:hAnsiTheme="majorHAnsi" w:cs="Georgia"/>
        </w:rPr>
        <w:t>.; Reiss, 155).</w:t>
      </w:r>
    </w:p>
    <w:p w14:paraId="685A59BE" w14:textId="5D8FD21B" w:rsidR="002C5A31" w:rsidRDefault="006242D3" w:rsidP="006242D3">
      <w:pPr>
        <w:spacing w:line="480" w:lineRule="auto"/>
        <w:ind w:firstLine="720"/>
        <w:rPr>
          <w:rFonts w:asciiTheme="majorHAnsi" w:eastAsia="Georgia" w:hAnsiTheme="majorHAnsi" w:cs="Georgia"/>
        </w:rPr>
      </w:pPr>
      <w:r w:rsidRPr="00622485">
        <w:rPr>
          <w:rFonts w:asciiTheme="majorHAnsi" w:eastAsia="Georgia" w:hAnsiTheme="majorHAnsi" w:cs="Georgia"/>
        </w:rPr>
        <w:lastRenderedPageBreak/>
        <w:t xml:space="preserve">Public health projects have long taken carceral form, displacing, reconciling, and resolving both the state’s contradictions and antagonisms (Petrella, 2018: 12; Richie &amp; </w:t>
      </w:r>
      <w:proofErr w:type="spellStart"/>
      <w:r w:rsidRPr="00622485">
        <w:rPr>
          <w:rFonts w:asciiTheme="majorHAnsi" w:eastAsia="Georgia" w:hAnsiTheme="majorHAnsi" w:cs="Georgia"/>
        </w:rPr>
        <w:t>Martensen</w:t>
      </w:r>
      <w:proofErr w:type="spellEnd"/>
      <w:r w:rsidRPr="00622485">
        <w:rPr>
          <w:rFonts w:asciiTheme="majorHAnsi" w:eastAsia="Georgia" w:hAnsiTheme="majorHAnsi" w:cs="Georgia"/>
        </w:rPr>
        <w:t>, 2020). In Southern Appalachia, one such project, the Lexington, Kentucky Narcotics Farm or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captures the deep entanglements between public health and carceral projects by way of a nearly 40-year quest to find a “scientific cure for addiction” (Campbell, 2021: 20). Although Fayette County, where Lexington is located, borders Southern Appalachia but is not located within it, because of </w:t>
      </w:r>
      <w:proofErr w:type="spellStart"/>
      <w:r w:rsidRPr="00622485">
        <w:rPr>
          <w:rFonts w:asciiTheme="majorHAnsi" w:eastAsia="Georgia" w:hAnsiTheme="majorHAnsi" w:cs="Georgia"/>
        </w:rPr>
        <w:t>Narco’s</w:t>
      </w:r>
      <w:proofErr w:type="spellEnd"/>
      <w:r w:rsidRPr="00622485">
        <w:rPr>
          <w:rFonts w:asciiTheme="majorHAnsi" w:eastAsia="Georgia" w:hAnsiTheme="majorHAnsi" w:cs="Georgia"/>
        </w:rPr>
        <w:t xml:space="preserve"> proximity to the region, the “research” conducted at this institution is essential to understanding the region’s historical significance to the creation of US drug control policy—both at home and abroad—through the concept of addiction</w:t>
      </w:r>
      <w:r w:rsidR="002C5A31">
        <w:rPr>
          <w:rFonts w:asciiTheme="majorHAnsi" w:eastAsia="Georgia" w:hAnsiTheme="majorHAnsi" w:cs="Georgia"/>
        </w:rPr>
        <w:t xml:space="preserve"> (see Figure 3.2.)</w:t>
      </w:r>
      <w:r w:rsidR="0030288C">
        <w:rPr>
          <w:rFonts w:asciiTheme="majorHAnsi" w:eastAsia="Georgia" w:hAnsiTheme="majorHAnsi" w:cs="Georgia"/>
        </w:rPr>
        <w:t xml:space="preserve">. </w:t>
      </w:r>
    </w:p>
    <w:p w14:paraId="6D43E07B" w14:textId="4BA5DD93" w:rsidR="0030288C" w:rsidRDefault="0030288C" w:rsidP="0030288C">
      <w:pPr>
        <w:spacing w:line="480" w:lineRule="auto"/>
        <w:ind w:firstLine="720"/>
        <w:rPr>
          <w:rFonts w:asciiTheme="majorHAnsi" w:eastAsia="Georgia" w:hAnsiTheme="majorHAnsi" w:cs="Georgia"/>
        </w:rPr>
      </w:pPr>
      <w:r w:rsidRPr="00622485">
        <w:rPr>
          <w:rFonts w:asciiTheme="majorHAnsi" w:eastAsia="Georgia" w:hAnsiTheme="majorHAnsi" w:cs="Georgia"/>
        </w:rPr>
        <w:t xml:space="preserve">Opening in 1935 as a penal farm,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was a jointly run venture by the Federal Bureau of Prisons and the United States Public Health Service (USPHS) built to deal with a surge of so-called “unruly drug-addicted” peoples being incarcerated at “record numbers” following passage of the Harrison Narcotics Act and “increasingly strict” state and local drug laws during the 1920s (Campbell, 2021:12). The first of two narcotics farms built by the federal government in the 1930s,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researchers were called upon by Congress to study addiction as a “disease” with the task of finding a “permanent cure” for it.</w:t>
      </w:r>
      <w:r>
        <w:rPr>
          <w:rFonts w:asciiTheme="majorHAnsi" w:eastAsia="Georgia" w:hAnsiTheme="majorHAnsi" w:cs="Georgia"/>
        </w:rPr>
        <w:t xml:space="preserve"> </w:t>
      </w:r>
    </w:p>
    <w:p w14:paraId="5FB6A7C4" w14:textId="77777777" w:rsidR="0030288C" w:rsidRDefault="0030288C" w:rsidP="0030288C">
      <w:pPr>
        <w:spacing w:line="480" w:lineRule="auto"/>
        <w:ind w:firstLine="720"/>
        <w:rPr>
          <w:rFonts w:asciiTheme="majorHAnsi" w:eastAsia="Georgia" w:hAnsiTheme="majorHAnsi" w:cs="Georgia"/>
        </w:rPr>
      </w:pPr>
    </w:p>
    <w:p w14:paraId="2614722A" w14:textId="77777777" w:rsidR="0030288C" w:rsidRDefault="0030288C" w:rsidP="0030288C">
      <w:pPr>
        <w:spacing w:line="480" w:lineRule="auto"/>
        <w:rPr>
          <w:rFonts w:asciiTheme="majorHAnsi" w:eastAsia="Georgia" w:hAnsiTheme="majorHAnsi" w:cs="Georgia"/>
        </w:rPr>
      </w:pPr>
    </w:p>
    <w:p w14:paraId="6807EC2D" w14:textId="77777777" w:rsidR="002C5A31" w:rsidRDefault="002C5A31" w:rsidP="002C5A31">
      <w:pPr>
        <w:spacing w:line="480" w:lineRule="auto"/>
        <w:rPr>
          <w:rFonts w:asciiTheme="majorHAnsi" w:eastAsia="Georgia" w:hAnsiTheme="majorHAnsi" w:cs="Georgia"/>
        </w:rPr>
      </w:pPr>
    </w:p>
    <w:p w14:paraId="2620D82F" w14:textId="7D9FEECA" w:rsidR="00B65A10" w:rsidRPr="00622485" w:rsidRDefault="00B65A10" w:rsidP="00B65A10">
      <w:pPr>
        <w:spacing w:line="480" w:lineRule="auto"/>
        <w:ind w:firstLine="720"/>
        <w:jc w:val="center"/>
        <w:rPr>
          <w:rFonts w:asciiTheme="majorHAnsi" w:eastAsia="Georgia" w:hAnsiTheme="majorHAnsi" w:cs="Georgia"/>
        </w:rPr>
      </w:pPr>
      <w:r w:rsidRPr="00622485">
        <w:rPr>
          <w:rFonts w:asciiTheme="majorHAnsi" w:eastAsia="Georgia" w:hAnsiTheme="majorHAnsi" w:cs="Georgia"/>
          <w:noProof/>
        </w:rPr>
        <w:lastRenderedPageBreak/>
        <w:drawing>
          <wp:inline distT="0" distB="0" distL="0" distR="0" wp14:anchorId="7B98BF2E" wp14:editId="0220A4EA">
            <wp:extent cx="5288915" cy="2812648"/>
            <wp:effectExtent l="0" t="0" r="0" b="0"/>
            <wp:docPr id="9" name="Picture 9" descr="A long sho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ng shot of a building&#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550584" cy="2951804"/>
                    </a:xfrm>
                    <a:prstGeom prst="rect">
                      <a:avLst/>
                    </a:prstGeom>
                  </pic:spPr>
                </pic:pic>
              </a:graphicData>
            </a:graphic>
          </wp:inline>
        </w:drawing>
      </w:r>
    </w:p>
    <w:p w14:paraId="04640945" w14:textId="77777777" w:rsidR="00495A8D" w:rsidRPr="00622485" w:rsidRDefault="00495A8D" w:rsidP="00495A8D">
      <w:pPr>
        <w:spacing w:line="480" w:lineRule="auto"/>
        <w:rPr>
          <w:rFonts w:asciiTheme="majorHAnsi" w:eastAsia="Georgia" w:hAnsiTheme="majorHAnsi" w:cs="Georgia"/>
        </w:rPr>
      </w:pPr>
      <w:r>
        <w:rPr>
          <w:rFonts w:asciiTheme="majorHAnsi" w:eastAsia="Georgia" w:hAnsiTheme="majorHAnsi" w:cs="Georgia"/>
        </w:rPr>
        <w:t xml:space="preserve">Figure 3.2. Photograph of </w:t>
      </w:r>
      <w:proofErr w:type="spellStart"/>
      <w:r>
        <w:rPr>
          <w:rFonts w:asciiTheme="majorHAnsi" w:eastAsia="Georgia" w:hAnsiTheme="majorHAnsi" w:cs="Georgia"/>
        </w:rPr>
        <w:t>Narco</w:t>
      </w:r>
      <w:proofErr w:type="spellEnd"/>
      <w:r w:rsidRPr="00622485">
        <w:rPr>
          <w:rFonts w:asciiTheme="majorHAnsi" w:eastAsia="Georgia" w:hAnsiTheme="majorHAnsi" w:cs="Georgia"/>
        </w:rPr>
        <w:t xml:space="preserve"> </w:t>
      </w:r>
    </w:p>
    <w:p w14:paraId="43ABD799" w14:textId="2D219578" w:rsidR="00FB1244" w:rsidRPr="00622485" w:rsidRDefault="002C5A31" w:rsidP="002C5A31">
      <w:pPr>
        <w:spacing w:line="480" w:lineRule="auto"/>
        <w:rPr>
          <w:rFonts w:asciiTheme="majorHAnsi" w:eastAsia="Georgia" w:hAnsiTheme="majorHAnsi" w:cs="Georgia"/>
        </w:rPr>
      </w:pPr>
      <w:r>
        <w:rPr>
          <w:rFonts w:asciiTheme="majorHAnsi" w:eastAsia="Georgia" w:hAnsiTheme="majorHAnsi" w:cs="Georgia"/>
        </w:rPr>
        <w:t>Figure 3.2. depicts a photograph of the Lexington Narcotic Farm (</w:t>
      </w:r>
      <w:proofErr w:type="spellStart"/>
      <w:r>
        <w:rPr>
          <w:rFonts w:asciiTheme="majorHAnsi" w:eastAsia="Georgia" w:hAnsiTheme="majorHAnsi" w:cs="Georgia"/>
        </w:rPr>
        <w:t>Narco</w:t>
      </w:r>
      <w:proofErr w:type="spellEnd"/>
      <w:r>
        <w:rPr>
          <w:rFonts w:asciiTheme="majorHAnsi" w:eastAsia="Georgia" w:hAnsiTheme="majorHAnsi" w:cs="Georgia"/>
        </w:rPr>
        <w:t>).</w:t>
      </w:r>
    </w:p>
    <w:p w14:paraId="64F589CF" w14:textId="77777777" w:rsidR="00B65A10" w:rsidRDefault="00B65A10" w:rsidP="002C5A31">
      <w:pPr>
        <w:spacing w:line="480" w:lineRule="auto"/>
        <w:rPr>
          <w:rFonts w:asciiTheme="majorHAnsi" w:eastAsia="Georgia" w:hAnsiTheme="majorHAnsi" w:cs="Georgia"/>
        </w:rPr>
      </w:pPr>
    </w:p>
    <w:p w14:paraId="29450EB3" w14:textId="77777777" w:rsidR="0030288C" w:rsidRDefault="0030288C" w:rsidP="0030288C">
      <w:pPr>
        <w:spacing w:line="480" w:lineRule="auto"/>
        <w:rPr>
          <w:rFonts w:asciiTheme="majorHAnsi" w:eastAsia="Georgia" w:hAnsiTheme="majorHAnsi" w:cs="Georgia"/>
        </w:rPr>
      </w:pPr>
    </w:p>
    <w:p w14:paraId="2D9CD3A1" w14:textId="77777777" w:rsidR="0030288C" w:rsidRDefault="0030288C" w:rsidP="0030288C">
      <w:pPr>
        <w:spacing w:line="480" w:lineRule="auto"/>
        <w:rPr>
          <w:rFonts w:asciiTheme="majorHAnsi" w:eastAsia="Georgia" w:hAnsiTheme="majorHAnsi" w:cs="Georgia"/>
        </w:rPr>
      </w:pPr>
    </w:p>
    <w:p w14:paraId="5EE23809" w14:textId="77777777" w:rsidR="0030288C" w:rsidRDefault="0030288C" w:rsidP="0030288C">
      <w:pPr>
        <w:spacing w:line="480" w:lineRule="auto"/>
        <w:rPr>
          <w:rFonts w:asciiTheme="majorHAnsi" w:eastAsia="Georgia" w:hAnsiTheme="majorHAnsi" w:cs="Georgia"/>
        </w:rPr>
      </w:pPr>
    </w:p>
    <w:p w14:paraId="55F82063" w14:textId="77777777" w:rsidR="0030288C" w:rsidRDefault="0030288C" w:rsidP="0030288C">
      <w:pPr>
        <w:spacing w:line="480" w:lineRule="auto"/>
        <w:rPr>
          <w:rFonts w:asciiTheme="majorHAnsi" w:eastAsia="Georgia" w:hAnsiTheme="majorHAnsi" w:cs="Georgia"/>
        </w:rPr>
      </w:pPr>
    </w:p>
    <w:p w14:paraId="1F57C700" w14:textId="77777777" w:rsidR="0030288C" w:rsidRDefault="0030288C" w:rsidP="0030288C">
      <w:pPr>
        <w:spacing w:line="480" w:lineRule="auto"/>
        <w:rPr>
          <w:rFonts w:asciiTheme="majorHAnsi" w:eastAsia="Georgia" w:hAnsiTheme="majorHAnsi" w:cs="Georgia"/>
        </w:rPr>
      </w:pPr>
    </w:p>
    <w:p w14:paraId="39404526" w14:textId="77777777" w:rsidR="0030288C" w:rsidRDefault="0030288C" w:rsidP="0030288C">
      <w:pPr>
        <w:spacing w:line="480" w:lineRule="auto"/>
        <w:rPr>
          <w:rFonts w:asciiTheme="majorHAnsi" w:eastAsia="Georgia" w:hAnsiTheme="majorHAnsi" w:cs="Georgia"/>
        </w:rPr>
      </w:pPr>
    </w:p>
    <w:p w14:paraId="138F103F" w14:textId="77777777" w:rsidR="0030288C" w:rsidRDefault="0030288C" w:rsidP="0030288C">
      <w:pPr>
        <w:spacing w:line="480" w:lineRule="auto"/>
        <w:rPr>
          <w:rFonts w:asciiTheme="majorHAnsi" w:eastAsia="Georgia" w:hAnsiTheme="majorHAnsi" w:cs="Georgia"/>
        </w:rPr>
      </w:pPr>
    </w:p>
    <w:p w14:paraId="24DDEE41" w14:textId="77777777" w:rsidR="0030288C" w:rsidRDefault="0030288C" w:rsidP="0030288C">
      <w:pPr>
        <w:spacing w:line="480" w:lineRule="auto"/>
        <w:rPr>
          <w:rFonts w:asciiTheme="majorHAnsi" w:eastAsia="Georgia" w:hAnsiTheme="majorHAnsi" w:cs="Georgia"/>
        </w:rPr>
      </w:pPr>
    </w:p>
    <w:p w14:paraId="25A81B5F" w14:textId="77777777" w:rsidR="0030288C" w:rsidRDefault="0030288C" w:rsidP="0030288C">
      <w:pPr>
        <w:spacing w:line="480" w:lineRule="auto"/>
        <w:rPr>
          <w:rFonts w:asciiTheme="majorHAnsi" w:eastAsia="Georgia" w:hAnsiTheme="majorHAnsi" w:cs="Georgia"/>
        </w:rPr>
      </w:pPr>
    </w:p>
    <w:p w14:paraId="0AAB6D6C" w14:textId="77777777" w:rsidR="0030288C" w:rsidRDefault="0030288C" w:rsidP="0030288C">
      <w:pPr>
        <w:spacing w:line="480" w:lineRule="auto"/>
        <w:rPr>
          <w:rFonts w:asciiTheme="majorHAnsi" w:eastAsia="Georgia" w:hAnsiTheme="majorHAnsi" w:cs="Georgia"/>
        </w:rPr>
      </w:pPr>
    </w:p>
    <w:p w14:paraId="7FC5DE51" w14:textId="46140FB5" w:rsidR="006242D3" w:rsidRPr="00622485" w:rsidRDefault="0030288C" w:rsidP="0030288C">
      <w:pPr>
        <w:spacing w:line="480" w:lineRule="auto"/>
        <w:rPr>
          <w:rFonts w:asciiTheme="majorHAnsi" w:eastAsia="Georgia" w:hAnsiTheme="majorHAnsi" w:cs="Georgia"/>
        </w:rPr>
      </w:pPr>
      <w:r w:rsidRPr="00622485">
        <w:rPr>
          <w:rFonts w:asciiTheme="majorHAnsi" w:eastAsia="Georgia" w:hAnsiTheme="majorHAnsi" w:cs="Georgia"/>
        </w:rPr>
        <w:lastRenderedPageBreak/>
        <w:t xml:space="preserve">The “addicts” housed at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were believed to be “sick…both mentally and physically” and thus given access to factory work, vocational training, sporting, and recreational activities, allowed to hold live concerts, host dances, and so forth— but these “opportunities” were not benevolently given.</w:t>
      </w:r>
      <w:r>
        <w:rPr>
          <w:rFonts w:asciiTheme="majorHAnsi" w:eastAsia="Georgia" w:hAnsiTheme="majorHAnsi" w:cs="Georgia"/>
        </w:rPr>
        <w:t xml:space="preserve"> </w:t>
      </w:r>
      <w:r w:rsidR="006242D3" w:rsidRPr="00622485">
        <w:rPr>
          <w:rFonts w:asciiTheme="majorHAnsi" w:eastAsia="Georgia" w:hAnsiTheme="majorHAnsi" w:cs="Georgia"/>
        </w:rPr>
        <w:t xml:space="preserve">They were experiments that adopted the precepts of nineteenth century “moral therapy approach[es] to treating mental and psychological disorders with discipline and compassion within a healthful, rural setting” (Campbell, 2021: 15), not simply through coercive forms of institutionalization but through the creation of an “addict” subject. </w:t>
      </w:r>
    </w:p>
    <w:p w14:paraId="64EECC2C" w14:textId="16BAB40A" w:rsidR="006242D3" w:rsidRPr="00622485" w:rsidRDefault="006242D3" w:rsidP="006242D3">
      <w:pPr>
        <w:spacing w:line="480" w:lineRule="auto"/>
        <w:ind w:firstLine="720"/>
        <w:rPr>
          <w:rFonts w:asciiTheme="majorHAnsi" w:eastAsia="Georgia" w:hAnsiTheme="majorHAnsi" w:cs="Georgia"/>
        </w:rPr>
      </w:pPr>
      <w:r w:rsidRPr="00622485">
        <w:rPr>
          <w:rFonts w:asciiTheme="majorHAnsi" w:eastAsia="Georgia" w:hAnsiTheme="majorHAnsi" w:cs="Georgia"/>
        </w:rPr>
        <w:t xml:space="preserve">Alongside efforts to “morally rehabilitate” addicts in this “wholesome, rural setting” and teach them to “live by [the] social norms embraced by mainstream society” through hard work, many were also daily subjected to crude anatomical and psychiatric evaluations as well as “experimental” procedures like “re-addiction” wherein they were “forcibly plunged into the excruciating throes of withdrawal” from opiates (Campbell, 2021: 24). As Nancy Campbell (2021: 12) writes, although ethical questions about these experiments arose immediately, especially from public health officials who worried that “prisoners could not freely volunteer for research [given that] the prison environment was inherently coercive,” these objections were quickly dismissed on the grounds that while “addicts” were “unredeemable” and “hopeless” and these experiments were instrumental for “safeguarding public health on a global scale by [creating scientific knowledge capable of] preventing addictive compounds from destroying the lives of thousands” (Reiss, 2014: 161; Campbell, 2021: 24). However, contrary to the mostly white and/or economically privileged “patients” who voluntarily checked themselves into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it was the “inmate-patients,” the majority of whom were from poor and/or from working-class backgrounds </w:t>
      </w:r>
      <w:r w:rsidRPr="00622485">
        <w:rPr>
          <w:rFonts w:asciiTheme="majorHAnsi" w:eastAsia="Georgia" w:hAnsiTheme="majorHAnsi" w:cs="Georgia"/>
        </w:rPr>
        <w:lastRenderedPageBreak/>
        <w:t xml:space="preserve">and ethnically and racially diverse communities, that became the “live-subjects” used to “test” the “addictive potential” of newly synthesized drugs “being cranked out by American pharmaceutical industries” (Reiss, 2014: 161; The Narcotics Farm, 2010: </w:t>
      </w:r>
      <w:proofErr w:type="spellStart"/>
      <w:r w:rsidRPr="00622485">
        <w:rPr>
          <w:rFonts w:asciiTheme="majorHAnsi" w:eastAsia="Georgia" w:hAnsiTheme="majorHAnsi" w:cs="Georgia"/>
        </w:rPr>
        <w:t>n.p</w:t>
      </w:r>
      <w:proofErr w:type="spellEnd"/>
      <w:r w:rsidRPr="00622485">
        <w:rPr>
          <w:rFonts w:asciiTheme="majorHAnsi" w:eastAsia="Georgia" w:hAnsiTheme="majorHAnsi" w:cs="Georgia"/>
        </w:rPr>
        <w:t xml:space="preserve">.). As Reiss writes (2014: 160), the research conducted at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helped to “establish both national and international definitions of addiction that influenced the orientation” of the US drug control regime. In particular,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furthered the use of addiction as a legal category for “structuring enforcement according to the power of racial, national, cultural, and other biases to determine whose consumption practices were targeted as a menace to the larger community” (Ibid, 160). </w:t>
      </w:r>
    </w:p>
    <w:p w14:paraId="35DCC574" w14:textId="2A4E9B98" w:rsidR="00F710F9" w:rsidRPr="00622485" w:rsidRDefault="006242D3" w:rsidP="006242D3">
      <w:pPr>
        <w:spacing w:line="480" w:lineRule="auto"/>
        <w:ind w:firstLine="720"/>
        <w:rPr>
          <w:rFonts w:asciiTheme="majorHAnsi" w:hAnsiTheme="majorHAnsi" w:cs="Times New Roman"/>
        </w:rPr>
      </w:pPr>
      <w:r w:rsidRPr="00622485">
        <w:rPr>
          <w:rFonts w:asciiTheme="majorHAnsi" w:eastAsia="Georgia" w:hAnsiTheme="majorHAnsi" w:cs="Georgia"/>
        </w:rPr>
        <w:t xml:space="preserve">Just as the concept of addiction was purposed to re/calibrate the division between types of addiction and addicts to foreground US drug control policy at </w:t>
      </w:r>
      <w:proofErr w:type="spellStart"/>
      <w:r w:rsidRPr="00622485">
        <w:rPr>
          <w:rFonts w:asciiTheme="majorHAnsi" w:eastAsia="Georgia" w:hAnsiTheme="majorHAnsi" w:cs="Georgia"/>
        </w:rPr>
        <w:t>Narco</w:t>
      </w:r>
      <w:proofErr w:type="spellEnd"/>
      <w:r w:rsidRPr="00622485">
        <w:rPr>
          <w:rFonts w:asciiTheme="majorHAnsi" w:eastAsia="Georgia" w:hAnsiTheme="majorHAnsi" w:cs="Georgia"/>
        </w:rPr>
        <w:t xml:space="preserve"> via a public health imaginary, contemporary HR programs have similarly emerged from the context of an “experiment” with the “addictive potential” of “legal, medical grade” opiates in Southern Appalachia by Big Pharma. Only this “experiment” has produced a “crisis” of opioids that, invoking Linnemann and Medley’s (2020: </w:t>
      </w:r>
      <w:proofErr w:type="spellStart"/>
      <w:r w:rsidRPr="00622485">
        <w:rPr>
          <w:rFonts w:asciiTheme="majorHAnsi" w:eastAsia="Georgia" w:hAnsiTheme="majorHAnsi" w:cs="Georgia"/>
        </w:rPr>
        <w:t>n.p</w:t>
      </w:r>
      <w:proofErr w:type="spellEnd"/>
      <w:r w:rsidRPr="00622485">
        <w:rPr>
          <w:rFonts w:asciiTheme="majorHAnsi" w:eastAsia="Georgia" w:hAnsiTheme="majorHAnsi" w:cs="Georgia"/>
        </w:rPr>
        <w:t>.) concept of palliative capitalism, plays directly back into Big Pharma’s hand—exacerbating the very conditions upon which the “producers, marketers, and distributors” of pharmaceuticals feed like cannibals—always “attempting to treat” but never desiring to “cure”—the “ailment” that is addiction. To understand struggles over HR in Southern Appalachia, it becomes essential to understand how addiction is articulated through HR, into the regime of criminalized drug prohibition, and the specific nature of the current configuration of this crisis.</w:t>
      </w:r>
      <w:bookmarkEnd w:id="26"/>
      <w:bookmarkEnd w:id="27"/>
      <w:bookmarkEnd w:id="28"/>
    </w:p>
    <w:p w14:paraId="718FD1B3" w14:textId="77777777" w:rsidR="00236E6D" w:rsidRPr="006242D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rPr>
      </w:pPr>
    </w:p>
    <w:p w14:paraId="1D801576" w14:textId="14E49DC0" w:rsidR="006242D3" w:rsidRPr="002C5A31" w:rsidRDefault="00F710F9" w:rsidP="00A0642B">
      <w:pPr>
        <w:pStyle w:val="Heading1"/>
      </w:pPr>
      <w:r w:rsidRPr="006242D3">
        <w:br w:type="page"/>
      </w:r>
      <w:bookmarkStart w:id="29" w:name="_Toc133884518"/>
      <w:r w:rsidR="002E5E94" w:rsidRPr="002C5A31">
        <w:lastRenderedPageBreak/>
        <w:t xml:space="preserve">Chapter </w:t>
      </w:r>
      <w:r w:rsidR="002C5A31" w:rsidRPr="002C5A31">
        <w:t>Four</w:t>
      </w:r>
      <w:r w:rsidR="002E5E94" w:rsidRPr="002C5A31">
        <w:t xml:space="preserve">: </w:t>
      </w:r>
      <w:r w:rsidR="006242D3" w:rsidRPr="002C5A31">
        <w:t>what kind of crisis is this?</w:t>
      </w:r>
      <w:bookmarkStart w:id="30" w:name="_Toc420995909"/>
      <w:bookmarkStart w:id="31" w:name="_Toc422997496"/>
      <w:bookmarkStart w:id="32" w:name="_Toc427156479"/>
      <w:bookmarkEnd w:id="29"/>
    </w:p>
    <w:p w14:paraId="5B125811" w14:textId="77777777" w:rsidR="006242D3" w:rsidRDefault="006242D3" w:rsidP="006242D3"/>
    <w:p w14:paraId="7D178981"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Conjunctural analysis, writes </w:t>
      </w:r>
      <w:proofErr w:type="spellStart"/>
      <w:r w:rsidRPr="006242D3">
        <w:rPr>
          <w:rFonts w:asciiTheme="majorHAnsi" w:hAnsiTheme="majorHAnsi"/>
        </w:rPr>
        <w:t>Grossberg</w:t>
      </w:r>
      <w:proofErr w:type="spellEnd"/>
      <w:r w:rsidRPr="006242D3">
        <w:rPr>
          <w:rFonts w:asciiTheme="majorHAnsi" w:hAnsiTheme="majorHAnsi"/>
        </w:rPr>
        <w:t xml:space="preserve"> (2018: </w:t>
      </w:r>
      <w:proofErr w:type="spellStart"/>
      <w:r w:rsidRPr="006242D3">
        <w:rPr>
          <w:rFonts w:asciiTheme="majorHAnsi" w:hAnsiTheme="majorHAnsi"/>
        </w:rPr>
        <w:t>n.p</w:t>
      </w:r>
      <w:proofErr w:type="spellEnd"/>
      <w:r w:rsidRPr="006242D3">
        <w:rPr>
          <w:rFonts w:asciiTheme="majorHAnsi" w:hAnsiTheme="majorHAnsi"/>
        </w:rPr>
        <w:t xml:space="preserve">.), “tells a more complicated story, articulating the structural and the phenomenological, the material and the affective, to understand how “social and political relations, forms of domination and resistance, are constituted as a war of positions.” The significance of crisis to the story </w:t>
      </w:r>
      <w:proofErr w:type="spellStart"/>
      <w:r w:rsidRPr="006242D3">
        <w:rPr>
          <w:rFonts w:asciiTheme="majorHAnsi" w:hAnsiTheme="majorHAnsi"/>
        </w:rPr>
        <w:t>conjuncturalism</w:t>
      </w:r>
      <w:proofErr w:type="spellEnd"/>
      <w:r w:rsidRPr="006242D3">
        <w:rPr>
          <w:rFonts w:asciiTheme="majorHAnsi" w:hAnsiTheme="majorHAnsi"/>
        </w:rPr>
        <w:t xml:space="preserve"> seeks to tell cannot be understated insofar as crises are understood from this perspective to be moments of “potential change or rupture” that arise when the contradictory forces always at work within and across the various domains of society have “exhaust[ed] their possibilities for renewal” and come together in “</w:t>
      </w:r>
      <w:proofErr w:type="spellStart"/>
      <w:r w:rsidRPr="006242D3">
        <w:rPr>
          <w:rFonts w:asciiTheme="majorHAnsi" w:hAnsiTheme="majorHAnsi"/>
        </w:rPr>
        <w:t>ruptural</w:t>
      </w:r>
      <w:proofErr w:type="spellEnd"/>
      <w:r w:rsidRPr="006242D3">
        <w:rPr>
          <w:rFonts w:asciiTheme="majorHAnsi" w:hAnsiTheme="majorHAnsi"/>
        </w:rPr>
        <w:t xml:space="preserve"> unity”—destabilizing the “taken-for-granted terms of ‘reality’ itself” (Hall &amp; Massey, DATE: </w:t>
      </w:r>
      <w:proofErr w:type="spellStart"/>
      <w:r w:rsidRPr="006242D3">
        <w:rPr>
          <w:rFonts w:asciiTheme="majorHAnsi" w:hAnsiTheme="majorHAnsi"/>
        </w:rPr>
        <w:t>n.p</w:t>
      </w:r>
      <w:proofErr w:type="spellEnd"/>
      <w:r w:rsidRPr="006242D3">
        <w:rPr>
          <w:rFonts w:asciiTheme="majorHAnsi" w:hAnsiTheme="majorHAnsi"/>
        </w:rPr>
        <w:t xml:space="preserve">.; Grayson and Little, 2016: 66; </w:t>
      </w:r>
      <w:proofErr w:type="spellStart"/>
      <w:r w:rsidRPr="006242D3">
        <w:rPr>
          <w:rFonts w:asciiTheme="majorHAnsi" w:hAnsiTheme="majorHAnsi"/>
        </w:rPr>
        <w:t>Grossberg</w:t>
      </w:r>
      <w:proofErr w:type="spellEnd"/>
      <w:r w:rsidRPr="006242D3">
        <w:rPr>
          <w:rFonts w:asciiTheme="majorHAnsi" w:hAnsiTheme="majorHAnsi"/>
        </w:rPr>
        <w:t xml:space="preserve">, 2018: </w:t>
      </w:r>
      <w:proofErr w:type="spellStart"/>
      <w:r w:rsidRPr="006242D3">
        <w:rPr>
          <w:rFonts w:asciiTheme="majorHAnsi" w:hAnsiTheme="majorHAnsi"/>
        </w:rPr>
        <w:t>n.p</w:t>
      </w:r>
      <w:proofErr w:type="spellEnd"/>
      <w:r w:rsidRPr="006242D3">
        <w:rPr>
          <w:rFonts w:asciiTheme="majorHAnsi" w:hAnsiTheme="majorHAnsi"/>
        </w:rPr>
        <w:t xml:space="preserve">.). As Inch and Shepherd (2019: </w:t>
      </w:r>
      <w:proofErr w:type="spellStart"/>
      <w:r w:rsidRPr="006242D3">
        <w:rPr>
          <w:rFonts w:asciiTheme="majorHAnsi" w:hAnsiTheme="majorHAnsi"/>
        </w:rPr>
        <w:t>n.p</w:t>
      </w:r>
      <w:proofErr w:type="spellEnd"/>
      <w:r w:rsidRPr="006242D3">
        <w:rPr>
          <w:rFonts w:asciiTheme="majorHAnsi" w:hAnsiTheme="majorHAnsi"/>
        </w:rPr>
        <w:t>.) write, a “key task of conjunctural analysis is, therefore, “to interrogate the nature of any given crisis facing the hegemonic settlement of a particular conjuncture [by] assessing the possibilities for intervention in the “war of position[s] through which hegemony is being constructed and contested.”</w:t>
      </w:r>
    </w:p>
    <w:p w14:paraId="0B032815" w14:textId="77777777" w:rsidR="006242D3" w:rsidRPr="006242D3" w:rsidRDefault="006242D3" w:rsidP="006242D3">
      <w:pPr>
        <w:spacing w:line="480" w:lineRule="auto"/>
        <w:rPr>
          <w:rFonts w:asciiTheme="majorHAnsi" w:hAnsiTheme="majorHAnsi"/>
        </w:rPr>
      </w:pPr>
      <w:r w:rsidRPr="006242D3">
        <w:rPr>
          <w:rFonts w:asciiTheme="majorHAnsi" w:hAnsiTheme="majorHAnsi"/>
        </w:rPr>
        <w:tab/>
        <w:t xml:space="preserve">We will thus use struggles over public health-based HR in Southern Appalachia to map the ways the opioid crisis is not only being actively </w:t>
      </w:r>
      <w:r w:rsidRPr="006242D3">
        <w:rPr>
          <w:rFonts w:asciiTheme="majorHAnsi" w:hAnsiTheme="majorHAnsi"/>
          <w:i/>
        </w:rPr>
        <w:t>constructed</w:t>
      </w:r>
      <w:r w:rsidRPr="006242D3">
        <w:rPr>
          <w:rFonts w:asciiTheme="majorHAnsi" w:hAnsiTheme="majorHAnsi"/>
        </w:rPr>
        <w:t xml:space="preserve"> as a crisis on the terrain of the conjunctural at different sites or positions of struggle but to understand how the struggle between “competing political blocs (or alliances)” fighting to define the crisis and “institute solutions across the entire expanse of the social formation” in their favor is—or is not—formidably shifting the US political terrain (Grossberg, 2010: 42, 28). Because the nature of a crisis’ resolution is not, as Hall writes, “a given” and “it could be that society </w:t>
      </w:r>
      <w:r w:rsidRPr="006242D3">
        <w:rPr>
          <w:rFonts w:asciiTheme="majorHAnsi" w:hAnsiTheme="majorHAnsi"/>
        </w:rPr>
        <w:lastRenderedPageBreak/>
        <w:t xml:space="preserve">moves on to another version of the same thing, or a somewhat transformed version of the same thing, or to…[a] radically transformed” version. These struggles provide the empirical ground to realize sites for strategic intervention. If crisis rhetoric, as Berlant (2011: 101) contends, is “often intentionally </w:t>
      </w:r>
      <w:r w:rsidRPr="006242D3">
        <w:rPr>
          <w:rFonts w:asciiTheme="majorHAnsi" w:hAnsiTheme="majorHAnsi"/>
          <w:i/>
        </w:rPr>
        <w:t>a re/definitional</w:t>
      </w:r>
      <w:r w:rsidRPr="006242D3">
        <w:rPr>
          <w:rFonts w:asciiTheme="majorHAnsi" w:hAnsiTheme="majorHAnsi"/>
        </w:rPr>
        <w:t xml:space="preserve"> tactic, an inflationary, distorting, or misdirecting gesture that aspires to make an environmental phenomenon appear suddenly as an event because as a structural or predictable condition, it has not engendered the kinds of historic action we associate with the heroic agency a crisis implicitly calls for,” </w:t>
      </w:r>
      <w:proofErr w:type="spellStart"/>
      <w:r w:rsidRPr="006242D3">
        <w:rPr>
          <w:rFonts w:asciiTheme="majorHAnsi" w:hAnsiTheme="majorHAnsi"/>
        </w:rPr>
        <w:t>conjuncturalism</w:t>
      </w:r>
      <w:proofErr w:type="spellEnd"/>
      <w:r w:rsidRPr="006242D3">
        <w:rPr>
          <w:rFonts w:asciiTheme="majorHAnsi" w:hAnsiTheme="majorHAnsi"/>
        </w:rPr>
        <w:t xml:space="preserve"> can be understood as an effort to read the crisis—and its </w:t>
      </w:r>
      <w:proofErr w:type="spellStart"/>
      <w:r w:rsidRPr="006242D3">
        <w:rPr>
          <w:rFonts w:asciiTheme="majorHAnsi" w:hAnsiTheme="majorHAnsi"/>
        </w:rPr>
        <w:t>spectacularization</w:t>
      </w:r>
      <w:proofErr w:type="spellEnd"/>
      <w:r w:rsidRPr="006242D3">
        <w:rPr>
          <w:rFonts w:asciiTheme="majorHAnsi" w:hAnsiTheme="majorHAnsi"/>
        </w:rPr>
        <w:t xml:space="preserve">—for emergent political possibilities from which to guide history in new, more liberatory directions (Inch &amp; Shepherd, 2019: </w:t>
      </w:r>
      <w:proofErr w:type="spellStart"/>
      <w:r w:rsidRPr="006242D3">
        <w:rPr>
          <w:rFonts w:asciiTheme="majorHAnsi" w:hAnsiTheme="majorHAnsi"/>
        </w:rPr>
        <w:t>n.</w:t>
      </w:r>
      <w:sdt>
        <w:sdtPr>
          <w:rPr>
            <w:rFonts w:asciiTheme="majorHAnsi" w:hAnsiTheme="majorHAnsi"/>
          </w:rPr>
          <w:tag w:val="goog_rdk_98"/>
          <w:id w:val="1316222341"/>
        </w:sdtPr>
        <w:sdtContent/>
      </w:sdt>
      <w:r w:rsidRPr="006242D3">
        <w:rPr>
          <w:rFonts w:asciiTheme="majorHAnsi" w:hAnsiTheme="majorHAnsi"/>
        </w:rPr>
        <w:t>p</w:t>
      </w:r>
      <w:proofErr w:type="spellEnd"/>
      <w:r w:rsidRPr="006242D3">
        <w:rPr>
          <w:rFonts w:asciiTheme="majorHAnsi" w:hAnsiTheme="majorHAnsi"/>
        </w:rPr>
        <w:t xml:space="preserve">.).   </w:t>
      </w:r>
    </w:p>
    <w:p w14:paraId="132557D1" w14:textId="77777777" w:rsidR="006242D3" w:rsidRPr="006242D3" w:rsidRDefault="006242D3" w:rsidP="006242D3">
      <w:pPr>
        <w:spacing w:line="480" w:lineRule="auto"/>
        <w:rPr>
          <w:rFonts w:asciiTheme="majorHAnsi" w:hAnsiTheme="majorHAnsi"/>
        </w:rPr>
      </w:pPr>
      <w:r w:rsidRPr="006242D3">
        <w:rPr>
          <w:rFonts w:asciiTheme="majorHAnsi" w:hAnsiTheme="majorHAnsi"/>
        </w:rPr>
        <w:tab/>
        <w:t>Being especially mindful that, in a word, as Berlant further contends, crisis “belies the constitutive point that slow death—or the structurally induced attrition of persons keyed to their membership in certain populations—is neither a state of exception or the opposite, mere banality, but a domain where upsetting the scene of living is revealed to be interwove</w:t>
      </w:r>
      <w:sdt>
        <w:sdtPr>
          <w:rPr>
            <w:rFonts w:asciiTheme="majorHAnsi" w:hAnsiTheme="majorHAnsi"/>
          </w:rPr>
          <w:tag w:val="goog_rdk_99"/>
          <w:id w:val="1513406874"/>
        </w:sdtPr>
        <w:sdtContent/>
      </w:sdt>
      <w:r w:rsidRPr="006242D3">
        <w:rPr>
          <w:rFonts w:asciiTheme="majorHAnsi" w:hAnsiTheme="majorHAnsi"/>
        </w:rPr>
        <w:t xml:space="preserve">n with ordinary life,” we must ask: How is drug use a “comfort provoked” by state structured abandonment and neglect in Southern Appalachia; </w:t>
      </w:r>
      <w:sdt>
        <w:sdtPr>
          <w:rPr>
            <w:rFonts w:asciiTheme="majorHAnsi" w:hAnsiTheme="majorHAnsi"/>
          </w:rPr>
          <w:tag w:val="goog_rdk_100"/>
          <w:id w:val="265967568"/>
        </w:sdtPr>
        <w:sdtContent/>
      </w:sdt>
      <w:r w:rsidRPr="006242D3">
        <w:rPr>
          <w:rFonts w:asciiTheme="majorHAnsi" w:hAnsiTheme="majorHAnsi"/>
        </w:rPr>
        <w:t xml:space="preserve">a way to “go on living” in the midst of unrelenting struggle (Coleman, et.al., 2022: </w:t>
      </w:r>
      <w:proofErr w:type="spellStart"/>
      <w:r w:rsidRPr="006242D3">
        <w:rPr>
          <w:rFonts w:asciiTheme="majorHAnsi" w:hAnsiTheme="majorHAnsi"/>
        </w:rPr>
        <w:t>n.p</w:t>
      </w:r>
      <w:proofErr w:type="spellEnd"/>
      <w:r w:rsidRPr="006242D3">
        <w:rPr>
          <w:rFonts w:asciiTheme="majorHAnsi" w:hAnsiTheme="majorHAnsi"/>
        </w:rPr>
        <w:t>.)? Like HIV/AIDS was not—and is not—"merely a crisis in epidemiological terms but rather an uneven and varying spatialization and temporalization of crises,” it is essential that we, too,</w:t>
      </w:r>
      <w:sdt>
        <w:sdtPr>
          <w:rPr>
            <w:rFonts w:asciiTheme="majorHAnsi" w:hAnsiTheme="majorHAnsi"/>
          </w:rPr>
          <w:tag w:val="goog_rdk_101"/>
          <w:id w:val="1650785864"/>
        </w:sdtPr>
        <w:sdtContent/>
      </w:sdt>
      <w:r w:rsidRPr="006242D3">
        <w:rPr>
          <w:rFonts w:asciiTheme="majorHAnsi" w:hAnsiTheme="majorHAnsi"/>
        </w:rPr>
        <w:t xml:space="preserve"> grasp opioids as more than simply a “drug crisis:” It is an accumulation of longer-term </w:t>
      </w:r>
      <w:r w:rsidRPr="006242D3">
        <w:rPr>
          <w:rFonts w:asciiTheme="majorHAnsi" w:hAnsiTheme="majorHAnsi"/>
          <w:i/>
        </w:rPr>
        <w:t>crises.</w:t>
      </w:r>
      <w:r w:rsidRPr="006242D3">
        <w:rPr>
          <w:rFonts w:asciiTheme="majorHAnsi" w:hAnsiTheme="majorHAnsi"/>
        </w:rPr>
        <w:t xml:space="preserve"> (Clarke, 2002: 16). The HIV/AIDS crisis is one among many condensed within opioids that points to a larger crisis of health and well-being; thus, we cannot trace the desire to control, contain, and manage the spread of infectious diseases being presently articulated through shifts </w:t>
      </w:r>
      <w:r w:rsidRPr="006242D3">
        <w:rPr>
          <w:rFonts w:asciiTheme="majorHAnsi" w:hAnsiTheme="majorHAnsi"/>
        </w:rPr>
        <w:lastRenderedPageBreak/>
        <w:t xml:space="preserve">towards (and away) from HR in Southern Appalachia and into the social formation as a whole without thinking them in relationship to </w:t>
      </w:r>
      <w:sdt>
        <w:sdtPr>
          <w:rPr>
            <w:rFonts w:asciiTheme="majorHAnsi" w:hAnsiTheme="majorHAnsi"/>
          </w:rPr>
          <w:tag w:val="goog_rdk_102"/>
          <w:id w:val="-962576567"/>
        </w:sdtPr>
        <w:sdtContent/>
      </w:sdt>
      <w:r w:rsidRPr="006242D3">
        <w:rPr>
          <w:rFonts w:asciiTheme="majorHAnsi" w:hAnsiTheme="majorHAnsi"/>
        </w:rPr>
        <w:t xml:space="preserve">well-being (Grayson &amp; Little, 2016: 60). </w:t>
      </w:r>
    </w:p>
    <w:p w14:paraId="7A901DFA" w14:textId="1FEB0D5D" w:rsidR="006242D3" w:rsidRPr="00B14C08" w:rsidRDefault="006242D3" w:rsidP="00B14C08">
      <w:pPr>
        <w:spacing w:line="480" w:lineRule="auto"/>
        <w:ind w:firstLine="720"/>
        <w:rPr>
          <w:rFonts w:asciiTheme="majorHAnsi" w:hAnsiTheme="majorHAnsi"/>
        </w:rPr>
      </w:pPr>
      <w:r w:rsidRPr="006242D3">
        <w:rPr>
          <w:rFonts w:asciiTheme="majorHAnsi" w:hAnsiTheme="majorHAnsi"/>
        </w:rPr>
        <w:t xml:space="preserve">To call opioids a crisis has certainly provided, as </w:t>
      </w:r>
      <w:proofErr w:type="spellStart"/>
      <w:r w:rsidRPr="006242D3">
        <w:rPr>
          <w:rFonts w:asciiTheme="majorHAnsi" w:hAnsiTheme="majorHAnsi"/>
        </w:rPr>
        <w:t>Snorton</w:t>
      </w:r>
      <w:proofErr w:type="spellEnd"/>
      <w:r w:rsidRPr="006242D3">
        <w:rPr>
          <w:rFonts w:asciiTheme="majorHAnsi" w:hAnsiTheme="majorHAnsi"/>
        </w:rPr>
        <w:t xml:space="preserve"> (2020, page?) puts it, the “fodder-cum-rationale for the invention of new [or at least somewhat] different strategies [of] carceral containment” which ply the slight—almost indistinguishable—historical “difference” between “the criminal and the criminally ill” to produce support for investitures in HR as a “tool of security and securitization.” But it has also created space to rejoin the calls of early HR activists to end the material, political, and social conditions that “drug problems” mask (Roe, 245; 63). As Cheng, </w:t>
      </w:r>
      <w:proofErr w:type="spellStart"/>
      <w:r w:rsidRPr="006242D3">
        <w:rPr>
          <w:rFonts w:asciiTheme="majorHAnsi" w:hAnsiTheme="majorHAnsi"/>
        </w:rPr>
        <w:t>Juhasz</w:t>
      </w:r>
      <w:proofErr w:type="spellEnd"/>
      <w:r w:rsidRPr="006242D3">
        <w:rPr>
          <w:rFonts w:asciiTheme="majorHAnsi" w:hAnsiTheme="majorHAnsi"/>
        </w:rPr>
        <w:t xml:space="preserve">, and </w:t>
      </w:r>
      <w:proofErr w:type="spellStart"/>
      <w:r w:rsidRPr="006242D3">
        <w:rPr>
          <w:rFonts w:asciiTheme="majorHAnsi" w:hAnsiTheme="majorHAnsi"/>
        </w:rPr>
        <w:t>Shahani</w:t>
      </w:r>
      <w:proofErr w:type="spellEnd"/>
      <w:r w:rsidRPr="006242D3">
        <w:rPr>
          <w:rFonts w:asciiTheme="majorHAnsi" w:hAnsiTheme="majorHAnsi"/>
        </w:rPr>
        <w:t xml:space="preserve"> (2020) argue, while crises should not be regarded as “temporal phenomena out of lockstep with the ordinary,” “feverish crisis pronouncements” potentialize political possibilities by “</w:t>
      </w:r>
      <w:proofErr w:type="spellStart"/>
      <w:r w:rsidRPr="006242D3">
        <w:rPr>
          <w:rFonts w:asciiTheme="majorHAnsi" w:hAnsiTheme="majorHAnsi"/>
        </w:rPr>
        <w:t>operat</w:t>
      </w:r>
      <w:proofErr w:type="spellEnd"/>
      <w:r w:rsidRPr="006242D3">
        <w:rPr>
          <w:rFonts w:asciiTheme="majorHAnsi" w:hAnsiTheme="majorHAnsi"/>
        </w:rPr>
        <w:t>[</w:t>
      </w:r>
      <w:proofErr w:type="spellStart"/>
      <w:r w:rsidRPr="006242D3">
        <w:rPr>
          <w:rFonts w:asciiTheme="majorHAnsi" w:hAnsiTheme="majorHAnsi"/>
        </w:rPr>
        <w:t>ing</w:t>
      </w:r>
      <w:proofErr w:type="spellEnd"/>
      <w:r w:rsidRPr="006242D3">
        <w:rPr>
          <w:rFonts w:asciiTheme="majorHAnsi" w:hAnsiTheme="majorHAnsi"/>
        </w:rPr>
        <w:t>] as antidotes to the myopias that mark both institutional neglect and false narratives of progress”—thereby forcing us to reckon with the dialectical relationship between movements of containment and resistance.</w:t>
      </w:r>
    </w:p>
    <w:p w14:paraId="66EF0EC0" w14:textId="34FF47F1" w:rsidR="00236E6D" w:rsidRPr="002C5A31" w:rsidRDefault="006242D3" w:rsidP="0030288C">
      <w:pPr>
        <w:pStyle w:val="Heading2"/>
      </w:pPr>
      <w:bookmarkStart w:id="33" w:name="_Toc133884519"/>
      <w:bookmarkEnd w:id="30"/>
      <w:bookmarkEnd w:id="31"/>
      <w:bookmarkEnd w:id="32"/>
      <w:r w:rsidRPr="002C5A31">
        <w:t>Re/Contextualizing Southern Appalachia</w:t>
      </w:r>
      <w:bookmarkEnd w:id="33"/>
    </w:p>
    <w:p w14:paraId="234FE126" w14:textId="4077CB75" w:rsidR="006242D3" w:rsidRPr="006242D3" w:rsidRDefault="006242D3" w:rsidP="002C5A31">
      <w:pPr>
        <w:spacing w:line="480" w:lineRule="auto"/>
        <w:ind w:firstLine="720"/>
        <w:rPr>
          <w:rFonts w:asciiTheme="majorHAnsi" w:hAnsiTheme="majorHAnsi" w:cs="Times New Roman"/>
        </w:rPr>
      </w:pPr>
      <w:r w:rsidRPr="006242D3">
        <w:rPr>
          <w:rFonts w:asciiTheme="majorHAnsi" w:hAnsiTheme="majorHAnsi" w:cs="Times New Roman"/>
        </w:rPr>
        <w:t xml:space="preserve">There is no doubt that government-funded, public health-based HR programs have been successful at quelling significant “outbreaks” of </w:t>
      </w:r>
      <w:sdt>
        <w:sdtPr>
          <w:rPr>
            <w:rFonts w:asciiTheme="majorHAnsi" w:hAnsiTheme="majorHAnsi" w:cs="Times New Roman"/>
          </w:rPr>
          <w:tag w:val="goog_rdk_105"/>
          <w:id w:val="-1481611900"/>
        </w:sdtPr>
        <w:sdtContent/>
      </w:sdt>
      <w:r w:rsidRPr="006242D3">
        <w:rPr>
          <w:rFonts w:asciiTheme="majorHAnsi" w:hAnsiTheme="majorHAnsi" w:cs="Times New Roman"/>
        </w:rPr>
        <w:t xml:space="preserve">HIV, </w:t>
      </w:r>
      <w:r>
        <w:rPr>
          <w:rFonts w:asciiTheme="majorHAnsi" w:hAnsiTheme="majorHAnsi" w:cs="Times New Roman"/>
        </w:rPr>
        <w:t>viral hepatitis C</w:t>
      </w:r>
      <w:r w:rsidRPr="006242D3">
        <w:rPr>
          <w:rFonts w:asciiTheme="majorHAnsi" w:hAnsiTheme="majorHAnsi" w:cs="Times New Roman"/>
        </w:rPr>
        <w:t xml:space="preserve"> among </w:t>
      </w:r>
      <w:r>
        <w:rPr>
          <w:rFonts w:asciiTheme="majorHAnsi" w:hAnsiTheme="majorHAnsi" w:cs="Times New Roman"/>
        </w:rPr>
        <w:t>intravenous drug users (IDUs)</w:t>
      </w:r>
      <w:r w:rsidRPr="006242D3">
        <w:rPr>
          <w:rFonts w:asciiTheme="majorHAnsi" w:hAnsiTheme="majorHAnsi" w:cs="Times New Roman"/>
        </w:rPr>
        <w:t xml:space="preserve"> through the distribution of clean needles in Southern Appalachia. These efforts will not however bring the multiple crises condensed within the opioid crisis to an end. They can, at best, only temporarily “resolve” them </w:t>
      </w:r>
      <w:sdt>
        <w:sdtPr>
          <w:rPr>
            <w:rFonts w:asciiTheme="majorHAnsi" w:hAnsiTheme="majorHAnsi" w:cs="Times New Roman"/>
          </w:rPr>
          <w:tag w:val="goog_rdk_106"/>
          <w:id w:val="-724305163"/>
        </w:sdtPr>
        <w:sdtContent/>
      </w:sdt>
      <w:r w:rsidRPr="006242D3">
        <w:rPr>
          <w:rFonts w:asciiTheme="majorHAnsi" w:hAnsiTheme="majorHAnsi" w:cs="Times New Roman"/>
        </w:rPr>
        <w:t xml:space="preserve">by bringing the crisis to what </w:t>
      </w:r>
      <w:proofErr w:type="spellStart"/>
      <w:r w:rsidRPr="006242D3">
        <w:rPr>
          <w:rFonts w:asciiTheme="majorHAnsi" w:hAnsiTheme="majorHAnsi" w:cs="Times New Roman"/>
        </w:rPr>
        <w:t>Snorton</w:t>
      </w:r>
      <w:proofErr w:type="spellEnd"/>
      <w:r w:rsidRPr="006242D3">
        <w:rPr>
          <w:rFonts w:asciiTheme="majorHAnsi" w:hAnsiTheme="majorHAnsi" w:cs="Times New Roman"/>
        </w:rPr>
        <w:t xml:space="preserve"> (2020) calls an “apocryphal end,” or an end “narrated in terms of containment” that merely re/distributes the structural antagonisms, tensions, and contradictions from which it has emerged into “new” forms of repressive drug control </w:t>
      </w:r>
      <w:r w:rsidRPr="006242D3">
        <w:rPr>
          <w:rFonts w:asciiTheme="majorHAnsi" w:hAnsiTheme="majorHAnsi" w:cs="Times New Roman"/>
        </w:rPr>
        <w:lastRenderedPageBreak/>
        <w:t xml:space="preserve">measures, pharmaceutical management, drug treatment and prevention services under the guise of public health. To fully grasp the importance of Appalachia, and particularly Southern Appalachia, to the ways in which HR is being presently re/articulated through the opioid crisis as a carceral technology to create “new” alliances which re/negotiate the regime of criminalized drug prohibition through “public health” requires us to engage what Grossberg refers to as the conjunctural practice of “radical contextuality.” </w:t>
      </w:r>
    </w:p>
    <w:p w14:paraId="4A7D2CC5" w14:textId="77777777" w:rsidR="006242D3" w:rsidRPr="006242D3" w:rsidRDefault="006242D3" w:rsidP="00B14C08">
      <w:pPr>
        <w:spacing w:line="480" w:lineRule="auto"/>
        <w:ind w:firstLine="720"/>
        <w:rPr>
          <w:rFonts w:asciiTheme="majorHAnsi" w:hAnsiTheme="majorHAnsi" w:cs="Times New Roman"/>
        </w:rPr>
      </w:pPr>
      <w:r w:rsidRPr="006242D3">
        <w:rPr>
          <w:rFonts w:asciiTheme="majorHAnsi" w:hAnsiTheme="majorHAnsi" w:cs="Times New Roman"/>
        </w:rPr>
        <w:t>If the primary aim of a conjunctural analysis is to “illuminate [the] hegemonic work [undertaken] by the state…[and] civil society” in moments of crisis</w:t>
      </w:r>
      <w:sdt>
        <w:sdtPr>
          <w:rPr>
            <w:rFonts w:asciiTheme="majorHAnsi" w:hAnsiTheme="majorHAnsi" w:cs="Times New Roman"/>
          </w:rPr>
          <w:tag w:val="goog_rdk_107"/>
          <w:id w:val="-772707332"/>
        </w:sdtPr>
        <w:sdtContent>
          <w:r w:rsidRPr="006242D3">
            <w:rPr>
              <w:rFonts w:asciiTheme="majorHAnsi" w:hAnsiTheme="majorHAnsi" w:cs="Times New Roman"/>
            </w:rPr>
            <w:t xml:space="preserve"> in order </w:t>
          </w:r>
        </w:sdtContent>
      </w:sdt>
      <w:sdt>
        <w:sdtPr>
          <w:rPr>
            <w:rFonts w:asciiTheme="majorHAnsi" w:hAnsiTheme="majorHAnsi" w:cs="Times New Roman"/>
          </w:rPr>
          <w:tag w:val="goog_rdk_108"/>
          <w:id w:val="181022927"/>
          <w:showingPlcHdr/>
        </w:sdtPr>
        <w:sdtContent>
          <w:r w:rsidRPr="006242D3">
            <w:rPr>
              <w:rFonts w:asciiTheme="majorHAnsi" w:hAnsiTheme="majorHAnsi" w:cs="Times New Roman"/>
            </w:rPr>
            <w:t xml:space="preserve">     </w:t>
          </w:r>
        </w:sdtContent>
      </w:sdt>
      <w:r w:rsidRPr="006242D3">
        <w:rPr>
          <w:rFonts w:asciiTheme="majorHAnsi" w:hAnsiTheme="majorHAnsi" w:cs="Times New Roman"/>
        </w:rPr>
        <w:t>to find sites of potential rupture from which to strategically intervene and re/direct the tides of social change, radical contextuality is the work of finding those sites by first carefully “dis/</w:t>
      </w:r>
      <w:proofErr w:type="spellStart"/>
      <w:r w:rsidRPr="006242D3">
        <w:rPr>
          <w:rFonts w:asciiTheme="majorHAnsi" w:hAnsiTheme="majorHAnsi" w:cs="Times New Roman"/>
        </w:rPr>
        <w:t>articulat</w:t>
      </w:r>
      <w:proofErr w:type="spellEnd"/>
      <w:r w:rsidRPr="006242D3">
        <w:rPr>
          <w:rFonts w:asciiTheme="majorHAnsi" w:hAnsiTheme="majorHAnsi" w:cs="Times New Roman"/>
        </w:rPr>
        <w:t>[</w:t>
      </w:r>
      <w:proofErr w:type="spellStart"/>
      <w:r w:rsidRPr="006242D3">
        <w:rPr>
          <w:rFonts w:asciiTheme="majorHAnsi" w:hAnsiTheme="majorHAnsi" w:cs="Times New Roman"/>
        </w:rPr>
        <w:t>ing</w:t>
      </w:r>
      <w:proofErr w:type="spellEnd"/>
      <w:r w:rsidRPr="006242D3">
        <w:rPr>
          <w:rFonts w:asciiTheme="majorHAnsi" w:hAnsiTheme="majorHAnsi" w:cs="Times New Roman"/>
        </w:rPr>
        <w:t xml:space="preserve">] the social relations that have been made to seem normal, essential, and/or necessary” and then re/constructing or re/articulating “[them] into different unities (or assemblages) that can produce (however temporary or contingent) other configurations of social relations.” Radical contextualism is, Grossberg (26) writes, following Hall, is committed to “drawing lines and mapping connections” between the critical forces shaping HR in the specifical form in which it appears at this particular historical moment. </w:t>
      </w:r>
    </w:p>
    <w:p w14:paraId="3F2B63B9" w14:textId="77777777" w:rsidR="006242D3" w:rsidRPr="006242D3" w:rsidRDefault="006242D3" w:rsidP="006242D3">
      <w:pPr>
        <w:spacing w:line="480" w:lineRule="auto"/>
        <w:rPr>
          <w:rFonts w:asciiTheme="majorHAnsi" w:hAnsiTheme="majorHAnsi" w:cs="Times New Roman"/>
        </w:rPr>
      </w:pPr>
      <w:r w:rsidRPr="006242D3">
        <w:rPr>
          <w:rFonts w:asciiTheme="majorHAnsi" w:hAnsiTheme="majorHAnsi" w:cs="Times New Roman"/>
        </w:rPr>
        <w:t>Contexts are generally treated as conjunctures in cultural studies because it is at this level of analysis that one can shift dialectically between the “concrete (</w:t>
      </w:r>
      <w:proofErr w:type="spellStart"/>
      <w:r w:rsidRPr="006242D3">
        <w:rPr>
          <w:rFonts w:asciiTheme="majorHAnsi" w:hAnsiTheme="majorHAnsi" w:cs="Times New Roman"/>
        </w:rPr>
        <w:t>ontical</w:t>
      </w:r>
      <w:proofErr w:type="spellEnd"/>
      <w:r w:rsidRPr="006242D3">
        <w:rPr>
          <w:rFonts w:asciiTheme="majorHAnsi" w:hAnsiTheme="majorHAnsi" w:cs="Times New Roman"/>
        </w:rPr>
        <w:t xml:space="preserve">) moment [and] the…. increasingly abstract (ontological) epoch” to “establish the significance of new political terrain in historical terms” as well as describe the balance between: What is new? What is old? And what is both old and new?  (Gregg, 2016: 56; Grossberg, 2010: 3; 2018: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Therefore, selecting HR as our point of entry into the contemporary conjuncture is </w:t>
      </w:r>
      <w:r w:rsidRPr="006242D3">
        <w:rPr>
          <w:rFonts w:asciiTheme="majorHAnsi" w:hAnsiTheme="majorHAnsi" w:cs="Times New Roman"/>
        </w:rPr>
        <w:lastRenderedPageBreak/>
        <w:t xml:space="preserve">politically purposeful given that these practices are a key site of crystallization where the various antagonisms, tensions, and contradictions from which opioids are being actively constructed as a crisis by the state are being used to re/articulated to secure, renew, or potentially challenge the broader hegemonic settlement.  </w:t>
      </w:r>
    </w:p>
    <w:p w14:paraId="2EBFF435" w14:textId="428A20BB" w:rsidR="006242D3" w:rsidRDefault="006242D3" w:rsidP="00E53D00">
      <w:pPr>
        <w:spacing w:line="480" w:lineRule="auto"/>
        <w:ind w:firstLine="720"/>
        <w:rPr>
          <w:rFonts w:asciiTheme="majorHAnsi" w:hAnsiTheme="majorHAnsi" w:cs="Times New Roman"/>
        </w:rPr>
      </w:pPr>
      <w:r w:rsidRPr="006242D3">
        <w:rPr>
          <w:rFonts w:asciiTheme="majorHAnsi" w:hAnsiTheme="majorHAnsi" w:cs="Times New Roman"/>
        </w:rPr>
        <w:t xml:space="preserve">While the initial object of investigation in </w:t>
      </w:r>
      <w:proofErr w:type="spellStart"/>
      <w:r w:rsidRPr="006242D3">
        <w:rPr>
          <w:rFonts w:asciiTheme="majorHAnsi" w:hAnsiTheme="majorHAnsi" w:cs="Times New Roman"/>
        </w:rPr>
        <w:t>conjuncturalism</w:t>
      </w:r>
      <w:proofErr w:type="spellEnd"/>
      <w:r w:rsidRPr="006242D3">
        <w:rPr>
          <w:rFonts w:asciiTheme="majorHAnsi" w:hAnsiTheme="majorHAnsi" w:cs="Times New Roman"/>
        </w:rPr>
        <w:t xml:space="preserve"> is always a “structured assemblage of practices—a cultural formation, a discursive regime”—the “real object of investigation” is the larger context that is “producing” the specific form in which these practices appear during a given historical moment (Grossberg, 2010: 20; Hall, </w:t>
      </w:r>
      <w:proofErr w:type="spellStart"/>
      <w:r w:rsidRPr="006242D3">
        <w:rPr>
          <w:rFonts w:asciiTheme="majorHAnsi" w:hAnsiTheme="majorHAnsi" w:cs="Times New Roman"/>
        </w:rPr>
        <w:t>Critcher</w:t>
      </w:r>
      <w:proofErr w:type="spellEnd"/>
      <w:r w:rsidRPr="006242D3">
        <w:rPr>
          <w:rFonts w:asciiTheme="majorHAnsi" w:hAnsiTheme="majorHAnsi" w:cs="Times New Roman"/>
        </w:rPr>
        <w:t xml:space="preserve">, et.al., 1978: 158). </w:t>
      </w:r>
      <w:sdt>
        <w:sdtPr>
          <w:rPr>
            <w:rFonts w:asciiTheme="majorHAnsi" w:hAnsiTheme="majorHAnsi" w:cs="Times New Roman"/>
          </w:rPr>
          <w:tag w:val="goog_rdk_109"/>
          <w:id w:val="-950941288"/>
        </w:sdtPr>
        <w:sdtContent/>
      </w:sdt>
      <w:r w:rsidR="00D93AF4">
        <w:rPr>
          <w:rFonts w:asciiTheme="majorHAnsi" w:hAnsiTheme="majorHAnsi" w:cs="Times New Roman"/>
        </w:rPr>
        <w:t>Similar to how</w:t>
      </w:r>
      <w:r w:rsidRPr="006242D3">
        <w:rPr>
          <w:rFonts w:asciiTheme="majorHAnsi" w:hAnsiTheme="majorHAnsi" w:cs="Times New Roman"/>
        </w:rPr>
        <w:t xml:space="preserve"> Hall, </w:t>
      </w:r>
      <w:proofErr w:type="spellStart"/>
      <w:r w:rsidRPr="006242D3">
        <w:rPr>
          <w:rFonts w:asciiTheme="majorHAnsi" w:hAnsiTheme="majorHAnsi" w:cs="Times New Roman"/>
        </w:rPr>
        <w:t>Critcher</w:t>
      </w:r>
      <w:proofErr w:type="spellEnd"/>
      <w:r w:rsidRPr="006242D3">
        <w:rPr>
          <w:rFonts w:asciiTheme="majorHAnsi" w:hAnsiTheme="majorHAnsi" w:cs="Times New Roman"/>
        </w:rPr>
        <w:t xml:space="preserve">, et. al., (1978: 158) used the phenomenon of “mugging” in </w:t>
      </w:r>
      <w:r w:rsidR="00D93AF4">
        <w:rPr>
          <w:rFonts w:asciiTheme="majorHAnsi" w:hAnsiTheme="majorHAnsi" w:cs="Times New Roman"/>
        </w:rPr>
        <w:t>the</w:t>
      </w:r>
      <w:r w:rsidRPr="006242D3">
        <w:rPr>
          <w:rFonts w:asciiTheme="majorHAnsi" w:hAnsiTheme="majorHAnsi" w:cs="Times New Roman"/>
        </w:rPr>
        <w:t xml:space="preserve"> seminal conjunctural text </w:t>
      </w:r>
      <w:r w:rsidRPr="006242D3">
        <w:rPr>
          <w:rFonts w:asciiTheme="majorHAnsi" w:hAnsiTheme="majorHAnsi" w:cs="Times New Roman"/>
          <w:i/>
        </w:rPr>
        <w:t xml:space="preserve">Policing the Crisis </w:t>
      </w:r>
      <w:r w:rsidRPr="006242D3">
        <w:rPr>
          <w:rFonts w:asciiTheme="majorHAnsi" w:hAnsiTheme="majorHAnsi" w:cs="Times New Roman"/>
        </w:rPr>
        <w:t xml:space="preserve">as a “prism” </w:t>
      </w:r>
      <w:r w:rsidR="006A45C3">
        <w:rPr>
          <w:rFonts w:asciiTheme="majorHAnsi" w:hAnsiTheme="majorHAnsi" w:cs="Times New Roman"/>
        </w:rPr>
        <w:t xml:space="preserve">to </w:t>
      </w:r>
      <w:r w:rsidR="00034C9B">
        <w:rPr>
          <w:rFonts w:asciiTheme="majorHAnsi" w:hAnsiTheme="majorHAnsi" w:cs="Times New Roman"/>
        </w:rPr>
        <w:t>analyze the</w:t>
      </w:r>
      <w:r w:rsidRPr="006242D3">
        <w:rPr>
          <w:rFonts w:asciiTheme="majorHAnsi" w:hAnsiTheme="majorHAnsi" w:cs="Times New Roman"/>
        </w:rPr>
        <w:t xml:space="preserve"> “</w:t>
      </w:r>
      <w:r w:rsidR="0057705C">
        <w:rPr>
          <w:rFonts w:asciiTheme="majorHAnsi" w:hAnsiTheme="majorHAnsi" w:cs="Times New Roman"/>
        </w:rPr>
        <w:t xml:space="preserve">clear </w:t>
      </w:r>
      <w:r w:rsidRPr="006242D3">
        <w:rPr>
          <w:rFonts w:asciiTheme="majorHAnsi" w:hAnsiTheme="majorHAnsi" w:cs="Times New Roman"/>
        </w:rPr>
        <w:t>historica</w:t>
      </w:r>
      <w:r w:rsidR="00034C9B">
        <w:rPr>
          <w:rFonts w:asciiTheme="majorHAnsi" w:hAnsiTheme="majorHAnsi" w:cs="Times New Roman"/>
        </w:rPr>
        <w:t>l [or background]</w:t>
      </w:r>
      <w:r w:rsidRPr="006242D3">
        <w:rPr>
          <w:rFonts w:asciiTheme="majorHAnsi" w:hAnsiTheme="majorHAnsi" w:cs="Times New Roman"/>
        </w:rPr>
        <w:t xml:space="preserve"> forces at work</w:t>
      </w:r>
      <w:r w:rsidR="00034C9B">
        <w:rPr>
          <w:rFonts w:asciiTheme="majorHAnsi" w:hAnsiTheme="majorHAnsi" w:cs="Times New Roman"/>
        </w:rPr>
        <w:t xml:space="preserve"> </w:t>
      </w:r>
      <w:r w:rsidRPr="006242D3">
        <w:rPr>
          <w:rFonts w:asciiTheme="majorHAnsi" w:hAnsiTheme="majorHAnsi" w:cs="Times New Roman"/>
        </w:rPr>
        <w:t>shaping, so to speak, from the outside, the immediate</w:t>
      </w:r>
      <w:r w:rsidR="00A20E74">
        <w:rPr>
          <w:rFonts w:asciiTheme="majorHAnsi" w:hAnsiTheme="majorHAnsi" w:cs="Times New Roman"/>
        </w:rPr>
        <w:t xml:space="preserve"> </w:t>
      </w:r>
      <w:r w:rsidRPr="006242D3">
        <w:rPr>
          <w:rFonts w:asciiTheme="majorHAnsi" w:hAnsiTheme="majorHAnsi" w:cs="Times New Roman"/>
        </w:rPr>
        <w:t>transactions…between “muggers,” potential muggers, their victims, and their apprehenders,</w:t>
      </w:r>
      <w:r w:rsidR="006644EF">
        <w:rPr>
          <w:rFonts w:asciiTheme="majorHAnsi" w:hAnsiTheme="majorHAnsi" w:cs="Times New Roman"/>
        </w:rPr>
        <w:t xml:space="preserve">” </w:t>
      </w:r>
      <w:r w:rsidR="00B6276C">
        <w:rPr>
          <w:rFonts w:asciiTheme="majorHAnsi" w:hAnsiTheme="majorHAnsi" w:cs="Times New Roman"/>
        </w:rPr>
        <w:t xml:space="preserve">I can use HR to move between the </w:t>
      </w:r>
      <w:r w:rsidR="00E53D00">
        <w:rPr>
          <w:rFonts w:asciiTheme="majorHAnsi" w:hAnsiTheme="majorHAnsi" w:cs="Times New Roman"/>
        </w:rPr>
        <w:t>concrete and the structural.</w:t>
      </w:r>
      <w:r w:rsidR="006644EF">
        <w:rPr>
          <w:rFonts w:asciiTheme="majorHAnsi" w:hAnsiTheme="majorHAnsi" w:cs="Times New Roman"/>
        </w:rPr>
        <w:t xml:space="preserve"> </w:t>
      </w:r>
      <w:r w:rsidRPr="006242D3">
        <w:rPr>
          <w:rFonts w:asciiTheme="majorHAnsi" w:hAnsiTheme="majorHAnsi" w:cs="Times New Roman"/>
        </w:rPr>
        <w:t xml:space="preserve"> </w:t>
      </w:r>
    </w:p>
    <w:p w14:paraId="7472823A" w14:textId="24FE1047" w:rsidR="006242D3" w:rsidRPr="002C5A31" w:rsidRDefault="006242D3" w:rsidP="0030288C">
      <w:pPr>
        <w:pStyle w:val="Heading2"/>
      </w:pPr>
      <w:bookmarkStart w:id="34" w:name="_Toc133884520"/>
      <w:r w:rsidRPr="002C5A31">
        <w:t>Emergency Orders</w:t>
      </w:r>
      <w:bookmarkEnd w:id="34"/>
    </w:p>
    <w:p w14:paraId="086C0710" w14:textId="77777777" w:rsidR="006242D3" w:rsidRPr="006242D3" w:rsidRDefault="006242D3" w:rsidP="006242D3">
      <w:pPr>
        <w:spacing w:line="480" w:lineRule="auto"/>
        <w:ind w:firstLine="720"/>
        <w:rPr>
          <w:rFonts w:asciiTheme="majorHAnsi" w:hAnsiTheme="majorHAnsi"/>
        </w:rPr>
      </w:pPr>
      <w:r w:rsidRPr="006242D3">
        <w:rPr>
          <w:rFonts w:asciiTheme="majorHAnsi" w:hAnsiTheme="majorHAnsi"/>
        </w:rPr>
        <w:t xml:space="preserve">The “first political face of cultural studies’ attempt to describe the articulated complexity of a [conjunctural crisis],” writes </w:t>
      </w:r>
      <w:proofErr w:type="spellStart"/>
      <w:r w:rsidRPr="006242D3">
        <w:rPr>
          <w:rFonts w:asciiTheme="majorHAnsi" w:hAnsiTheme="majorHAnsi"/>
        </w:rPr>
        <w:t>Grossberg</w:t>
      </w:r>
      <w:proofErr w:type="spellEnd"/>
      <w:r w:rsidRPr="006242D3">
        <w:rPr>
          <w:rFonts w:asciiTheme="majorHAnsi" w:hAnsiTheme="majorHAnsi"/>
        </w:rPr>
        <w:t xml:space="preserve"> (2018, </w:t>
      </w:r>
      <w:proofErr w:type="spellStart"/>
      <w:r w:rsidRPr="006242D3">
        <w:rPr>
          <w:rFonts w:asciiTheme="majorHAnsi" w:hAnsiTheme="majorHAnsi"/>
        </w:rPr>
        <w:t>n.p</w:t>
      </w:r>
      <w:proofErr w:type="spellEnd"/>
      <w:r w:rsidRPr="006242D3">
        <w:rPr>
          <w:rFonts w:asciiTheme="majorHAnsi" w:hAnsiTheme="majorHAnsi"/>
        </w:rPr>
        <w:t xml:space="preserve">.), is the “war of positions.” Drawing insight from the work of Antonio Gramsci, who uses the concept in his </w:t>
      </w:r>
      <w:r w:rsidRPr="006242D3">
        <w:rPr>
          <w:rFonts w:asciiTheme="majorHAnsi" w:hAnsiTheme="majorHAnsi"/>
          <w:i/>
        </w:rPr>
        <w:t>Prison Notebooks</w:t>
      </w:r>
      <w:r w:rsidRPr="006242D3">
        <w:rPr>
          <w:rFonts w:asciiTheme="majorHAnsi" w:hAnsiTheme="majorHAnsi"/>
        </w:rPr>
        <w:t xml:space="preserve"> to depict the “slow-moving and stubborn” tactical warfare mobilized by hegemonic and counterhegemonic forces in the struggle over the “hearts and minds” of civil society, we return to </w:t>
      </w:r>
      <w:proofErr w:type="spellStart"/>
      <w:r w:rsidRPr="006242D3">
        <w:rPr>
          <w:rFonts w:asciiTheme="majorHAnsi" w:hAnsiTheme="majorHAnsi"/>
        </w:rPr>
        <w:t>Grossberg's</w:t>
      </w:r>
      <w:proofErr w:type="spellEnd"/>
      <w:r w:rsidRPr="006242D3">
        <w:rPr>
          <w:rFonts w:asciiTheme="majorHAnsi" w:hAnsiTheme="majorHAnsi"/>
        </w:rPr>
        <w:t xml:space="preserve"> (2018: </w:t>
      </w:r>
      <w:proofErr w:type="spellStart"/>
      <w:r w:rsidRPr="006242D3">
        <w:rPr>
          <w:rFonts w:asciiTheme="majorHAnsi" w:hAnsiTheme="majorHAnsi"/>
        </w:rPr>
        <w:t>n.p</w:t>
      </w:r>
      <w:proofErr w:type="spellEnd"/>
      <w:r w:rsidRPr="006242D3">
        <w:rPr>
          <w:rFonts w:asciiTheme="majorHAnsi" w:hAnsiTheme="majorHAnsi"/>
        </w:rPr>
        <w:t xml:space="preserve">.) account of </w:t>
      </w:r>
      <w:proofErr w:type="spellStart"/>
      <w:r w:rsidRPr="006242D3">
        <w:rPr>
          <w:rFonts w:asciiTheme="majorHAnsi" w:hAnsiTheme="majorHAnsi"/>
        </w:rPr>
        <w:t>conjuncturalism</w:t>
      </w:r>
      <w:proofErr w:type="spellEnd"/>
      <w:r w:rsidRPr="006242D3">
        <w:rPr>
          <w:rFonts w:asciiTheme="majorHAnsi" w:hAnsiTheme="majorHAnsi"/>
        </w:rPr>
        <w:t xml:space="preserve"> as a map of the “war of positions” according to two primary questions: What is old? And what is new? We begin in late October of 2017, with the formal declaration of the opioid crisis as a “national emergency” under the Public Health Services Act by former President Donald </w:t>
      </w:r>
      <w:r w:rsidRPr="006242D3">
        <w:rPr>
          <w:rFonts w:asciiTheme="majorHAnsi" w:hAnsiTheme="majorHAnsi"/>
        </w:rPr>
        <w:lastRenderedPageBreak/>
        <w:t xml:space="preserve">Trump. Although initially resistant to make this move, Trump’s opening statement inflects a particular common sense of the crisis that reinforces dominant perceptions of whiteness, although devoid of racial terminology, by pointing to the expansiveness of its reach, arguing: “No part of our society—not young or old, rich or poor, urban or rural—has been spared this plague of drug addiction and this horrible, horrible situation that’s taken place with opioids.” </w:t>
      </w:r>
    </w:p>
    <w:p w14:paraId="3357ADBB" w14:textId="1F69BB9B" w:rsidR="006242D3" w:rsidRPr="006242D3" w:rsidRDefault="006242D3" w:rsidP="006242D3">
      <w:pPr>
        <w:spacing w:line="480" w:lineRule="auto"/>
        <w:rPr>
          <w:rFonts w:asciiTheme="majorHAnsi" w:hAnsiTheme="majorHAnsi"/>
        </w:rPr>
      </w:pPr>
      <w:r w:rsidRPr="006242D3">
        <w:rPr>
          <w:rFonts w:asciiTheme="majorHAnsi" w:hAnsiTheme="majorHAnsi"/>
        </w:rPr>
        <w:tab/>
        <w:t xml:space="preserve">As previously discussed, </w:t>
      </w:r>
      <w:r w:rsidR="00866F06">
        <w:rPr>
          <w:rFonts w:asciiTheme="majorHAnsi" w:hAnsiTheme="majorHAnsi"/>
        </w:rPr>
        <w:t xml:space="preserve">federal </w:t>
      </w:r>
      <w:r w:rsidR="00CB4C0B">
        <w:rPr>
          <w:rFonts w:asciiTheme="majorHAnsi" w:hAnsiTheme="majorHAnsi"/>
        </w:rPr>
        <w:t>response</w:t>
      </w:r>
      <w:r w:rsidRPr="006242D3">
        <w:rPr>
          <w:rFonts w:asciiTheme="majorHAnsi" w:hAnsiTheme="majorHAnsi"/>
        </w:rPr>
        <w:t xml:space="preserve"> to the opioid crisis undoubtedly diverge</w:t>
      </w:r>
      <w:r w:rsidR="00BE0CA2">
        <w:rPr>
          <w:rFonts w:asciiTheme="majorHAnsi" w:hAnsiTheme="majorHAnsi"/>
        </w:rPr>
        <w:t>s</w:t>
      </w:r>
      <w:r w:rsidR="00186C1F">
        <w:rPr>
          <w:rFonts w:asciiTheme="majorHAnsi" w:hAnsiTheme="majorHAnsi"/>
        </w:rPr>
        <w:t xml:space="preserve"> </w:t>
      </w:r>
      <w:r w:rsidRPr="006242D3">
        <w:rPr>
          <w:rFonts w:asciiTheme="majorHAnsi" w:hAnsiTheme="majorHAnsi"/>
        </w:rPr>
        <w:t>from the</w:t>
      </w:r>
      <w:r w:rsidR="00866F06">
        <w:rPr>
          <w:rFonts w:asciiTheme="majorHAnsi" w:hAnsiTheme="majorHAnsi"/>
        </w:rPr>
        <w:t xml:space="preserve"> punitive</w:t>
      </w:r>
      <w:r w:rsidR="00BE0CA2">
        <w:rPr>
          <w:rFonts w:asciiTheme="majorHAnsi" w:hAnsiTheme="majorHAnsi"/>
        </w:rPr>
        <w:t xml:space="preserve"> </w:t>
      </w:r>
      <w:r w:rsidR="00026A5D">
        <w:rPr>
          <w:rFonts w:asciiTheme="majorHAnsi" w:hAnsiTheme="majorHAnsi"/>
        </w:rPr>
        <w:t>approach</w:t>
      </w:r>
      <w:r w:rsidR="00BE0CA2">
        <w:rPr>
          <w:rFonts w:asciiTheme="majorHAnsi" w:hAnsiTheme="majorHAnsi"/>
        </w:rPr>
        <w:t xml:space="preserve"> mobilized</w:t>
      </w:r>
      <w:r w:rsidR="00866F06">
        <w:rPr>
          <w:rFonts w:asciiTheme="majorHAnsi" w:hAnsiTheme="majorHAnsi"/>
        </w:rPr>
        <w:t xml:space="preserve"> </w:t>
      </w:r>
      <w:r w:rsidR="00026A5D">
        <w:rPr>
          <w:rFonts w:asciiTheme="majorHAnsi" w:hAnsiTheme="majorHAnsi"/>
        </w:rPr>
        <w:t>in response to the</w:t>
      </w:r>
      <w:r w:rsidRPr="006242D3">
        <w:rPr>
          <w:rFonts w:asciiTheme="majorHAnsi" w:hAnsiTheme="majorHAnsi"/>
        </w:rPr>
        <w:t xml:space="preserve"> crack </w:t>
      </w:r>
      <w:r w:rsidR="00866F06">
        <w:rPr>
          <w:rFonts w:asciiTheme="majorHAnsi" w:hAnsiTheme="majorHAnsi"/>
        </w:rPr>
        <w:t>“</w:t>
      </w:r>
      <w:r w:rsidRPr="006242D3">
        <w:rPr>
          <w:rFonts w:asciiTheme="majorHAnsi" w:hAnsiTheme="majorHAnsi"/>
        </w:rPr>
        <w:t>epidemic</w:t>
      </w:r>
      <w:r w:rsidR="00866F06">
        <w:rPr>
          <w:rFonts w:asciiTheme="majorHAnsi" w:hAnsiTheme="majorHAnsi"/>
        </w:rPr>
        <w:t>”</w:t>
      </w:r>
      <w:r w:rsidRPr="006242D3">
        <w:rPr>
          <w:rFonts w:asciiTheme="majorHAnsi" w:hAnsiTheme="majorHAnsi"/>
        </w:rPr>
        <w:t xml:space="preserve"> </w:t>
      </w:r>
      <w:r w:rsidR="00026A5D">
        <w:rPr>
          <w:rFonts w:asciiTheme="majorHAnsi" w:hAnsiTheme="majorHAnsi"/>
        </w:rPr>
        <w:t>during</w:t>
      </w:r>
      <w:r w:rsidRPr="006242D3">
        <w:rPr>
          <w:rFonts w:asciiTheme="majorHAnsi" w:hAnsiTheme="majorHAnsi"/>
        </w:rPr>
        <w:t xml:space="preserve"> the 1980s, largely because of its articulation by political elites (politicians, party leaders, interest groups, journalists, public health officials, and so forth) as a white drug crisis resulting from the malfeasance of Big Pharma and the medical establishment </w:t>
      </w:r>
      <w:r w:rsidR="000E6098">
        <w:rPr>
          <w:rFonts w:asciiTheme="majorHAnsi" w:hAnsiTheme="majorHAnsi"/>
        </w:rPr>
        <w:t>as opposed to</w:t>
      </w:r>
      <w:r w:rsidRPr="006242D3">
        <w:rPr>
          <w:rFonts w:asciiTheme="majorHAnsi" w:hAnsiTheme="majorHAnsi"/>
        </w:rPr>
        <w:t xml:space="preserve"> the “poor choices” of users themselves. The use of this narrative, as Netherland and Hanson (2017: </w:t>
      </w:r>
      <w:proofErr w:type="spellStart"/>
      <w:r w:rsidRPr="006242D3">
        <w:rPr>
          <w:rFonts w:asciiTheme="majorHAnsi" w:hAnsiTheme="majorHAnsi"/>
        </w:rPr>
        <w:t>n.p</w:t>
      </w:r>
      <w:proofErr w:type="spellEnd"/>
      <w:r w:rsidRPr="006242D3">
        <w:rPr>
          <w:rFonts w:asciiTheme="majorHAnsi" w:hAnsiTheme="majorHAnsi"/>
        </w:rPr>
        <w:t xml:space="preserve">.) contend, not only operates to maintain the “boundaries of whiteness in racially segregated drug [control] policy” but also illuminates the constant vigilance and ongoing political work” required to sustain this boundary. However, while they rightly note that historically “white drug war[s] have carved out a less punitive, clinical realm for whites where their drug use is decriminalized, treated primarily as a biomedical disease, and where white social privilege is preserved,” as Beckett and </w:t>
      </w:r>
      <w:proofErr w:type="spellStart"/>
      <w:r w:rsidRPr="006242D3">
        <w:rPr>
          <w:rFonts w:asciiTheme="majorHAnsi" w:hAnsiTheme="majorHAnsi"/>
        </w:rPr>
        <w:t>Brydolf-Horwitz</w:t>
      </w:r>
      <w:proofErr w:type="spellEnd"/>
      <w:r w:rsidRPr="006242D3">
        <w:rPr>
          <w:rFonts w:asciiTheme="majorHAnsi" w:hAnsiTheme="majorHAnsi"/>
        </w:rPr>
        <w:t xml:space="preserve"> (2020: 4) argue, it is questionable as to whether this kinder, gentler rhetoric is actually being “mirrored” in politics, policy, and policing. </w:t>
      </w:r>
    </w:p>
    <w:p w14:paraId="45B0AC42" w14:textId="5608D8D6" w:rsidR="006242D3" w:rsidRPr="006242D3" w:rsidRDefault="006242D3" w:rsidP="006242D3">
      <w:pPr>
        <w:spacing w:line="480" w:lineRule="auto"/>
        <w:rPr>
          <w:rFonts w:asciiTheme="majorHAnsi" w:hAnsiTheme="majorHAnsi"/>
        </w:rPr>
      </w:pPr>
      <w:r w:rsidRPr="006242D3">
        <w:rPr>
          <w:rFonts w:asciiTheme="majorHAnsi" w:hAnsiTheme="majorHAnsi"/>
        </w:rPr>
        <w:tab/>
        <w:t xml:space="preserve">Both history and scholarship “supports the idea that the softer, kindler rhetoric regarding addiction [which] has emerged [with the opioid crisis] may be associated with a de-escalation of the drug war” and that “whites may be disproportionately benefitting from </w:t>
      </w:r>
      <w:r w:rsidRPr="006242D3">
        <w:rPr>
          <w:rFonts w:asciiTheme="majorHAnsi" w:hAnsiTheme="majorHAnsi"/>
        </w:rPr>
        <w:lastRenderedPageBreak/>
        <w:t xml:space="preserve">[this] trend,” but as Beckett and </w:t>
      </w:r>
      <w:proofErr w:type="spellStart"/>
      <w:r w:rsidRPr="006242D3">
        <w:rPr>
          <w:rFonts w:asciiTheme="majorHAnsi" w:hAnsiTheme="majorHAnsi"/>
        </w:rPr>
        <w:t>Brydolf</w:t>
      </w:r>
      <w:proofErr w:type="spellEnd"/>
      <w:r w:rsidRPr="006242D3">
        <w:rPr>
          <w:rFonts w:asciiTheme="majorHAnsi" w:hAnsiTheme="majorHAnsi"/>
        </w:rPr>
        <w:t xml:space="preserve"> (2020: 4) contend, “there is [also] reason to believe that other trends may be affecting the demographics of the justice-involved…in a different direction.” Drawing on recent studies suggesting that “the geography of mass incarceration in general, and the drug war particularly, is shifting, they point out that, over the last </w:t>
      </w:r>
      <w:sdt>
        <w:sdtPr>
          <w:rPr>
            <w:rFonts w:asciiTheme="majorHAnsi" w:hAnsiTheme="majorHAnsi"/>
          </w:rPr>
          <w:tag w:val="goog_rdk_112"/>
          <w:id w:val="1231804256"/>
        </w:sdtPr>
        <w:sdtContent/>
      </w:sdt>
      <w:r w:rsidRPr="006242D3">
        <w:rPr>
          <w:rFonts w:asciiTheme="majorHAnsi" w:hAnsiTheme="majorHAnsi"/>
        </w:rPr>
        <w:t>few decades, both jail and prison populations have “expanded far more rapidly in small-and-medium sized counties than in large urban counties” which they directly correlate with a continuing commitment to penal severity for drug law “violations” in these areas</w:t>
      </w:r>
      <w:r w:rsidR="00F90E53">
        <w:rPr>
          <w:rFonts w:asciiTheme="majorHAnsi" w:hAnsiTheme="majorHAnsi"/>
        </w:rPr>
        <w:t>.</w:t>
      </w:r>
    </w:p>
    <w:p w14:paraId="689987EF" w14:textId="619F8148" w:rsidR="002C5A31" w:rsidRDefault="006242D3" w:rsidP="006242D3">
      <w:pPr>
        <w:spacing w:line="480" w:lineRule="auto"/>
        <w:rPr>
          <w:rFonts w:asciiTheme="majorHAnsi" w:hAnsiTheme="majorHAnsi"/>
        </w:rPr>
      </w:pPr>
      <w:r w:rsidRPr="006242D3">
        <w:rPr>
          <w:rFonts w:asciiTheme="majorHAnsi" w:hAnsiTheme="majorHAnsi"/>
        </w:rPr>
        <w:tab/>
        <w:t xml:space="preserve">Struggles over HR in Southern Appalachia thereby provide us with a way to navigate how—and in what ways—this rhetoric is indeed substantively altering the US drug control policy. Recalling momentarily that scholars, like </w:t>
      </w:r>
      <w:proofErr w:type="spellStart"/>
      <w:r w:rsidRPr="006242D3">
        <w:rPr>
          <w:rFonts w:asciiTheme="majorHAnsi" w:hAnsiTheme="majorHAnsi"/>
        </w:rPr>
        <w:t>Ciccarone</w:t>
      </w:r>
      <w:proofErr w:type="spellEnd"/>
      <w:r w:rsidRPr="006242D3">
        <w:rPr>
          <w:rFonts w:asciiTheme="majorHAnsi" w:hAnsiTheme="majorHAnsi"/>
        </w:rPr>
        <w:t xml:space="preserve"> (2019: </w:t>
      </w:r>
      <w:proofErr w:type="spellStart"/>
      <w:r w:rsidRPr="006242D3">
        <w:rPr>
          <w:rFonts w:asciiTheme="majorHAnsi" w:hAnsiTheme="majorHAnsi"/>
        </w:rPr>
        <w:t>n.p</w:t>
      </w:r>
      <w:proofErr w:type="spellEnd"/>
      <w:r w:rsidRPr="006242D3">
        <w:rPr>
          <w:rFonts w:asciiTheme="majorHAnsi" w:hAnsiTheme="majorHAnsi"/>
        </w:rPr>
        <w:t>.), identify the “first wave” of the opioid crisis as the fault of Big Pharma, we must now look to the ways in which this rhetoric changed in lieu of the “second wave,” which he argues commenced around 2011 after states began to “crackdown” on “pill mills,” heroin use increased, and overdose deaths rose. Additionally, the alleged “third wave,” which is said to have been “initiated” by “street dealers” who, to boost profits, began to lace heroin with the highly potent synthetic opioid fentanyl becomes important to our discussion, not because the wave metaphor is particularly helpful in understanding the opioid crisis itself, it is misleading—but because the common-sense that the differentiation between them has conferred is imperative to understand how the geography of the drug war is shifting within the present historical moment.</w:t>
      </w:r>
      <w:r w:rsidR="0030288C">
        <w:rPr>
          <w:rFonts w:asciiTheme="majorHAnsi" w:hAnsiTheme="majorHAnsi"/>
        </w:rPr>
        <w:t xml:space="preserve"> </w:t>
      </w:r>
      <w:r w:rsidR="0030288C" w:rsidRPr="006242D3">
        <w:rPr>
          <w:rFonts w:asciiTheme="majorHAnsi" w:hAnsiTheme="majorHAnsi"/>
        </w:rPr>
        <w:t xml:space="preserve">While Trump’s initial declaration of the crisis as a “public health emergency” offered little insight into how it would be treated as one aside from </w:t>
      </w:r>
      <w:r w:rsidR="0030288C" w:rsidRPr="006242D3">
        <w:rPr>
          <w:rFonts w:asciiTheme="majorHAnsi" w:hAnsiTheme="majorHAnsi"/>
        </w:rPr>
        <w:lastRenderedPageBreak/>
        <w:t>promising to launch a “really tough, really big, really great advertising” campaign, he also failed to reallocate additional funds to coordinate federal response.</w:t>
      </w:r>
    </w:p>
    <w:p w14:paraId="04777E9C" w14:textId="4B636BEC" w:rsidR="002C5A31" w:rsidRDefault="002C5A31" w:rsidP="006242D3">
      <w:pPr>
        <w:spacing w:line="480" w:lineRule="auto"/>
        <w:rPr>
          <w:rFonts w:asciiTheme="majorHAnsi" w:hAnsiTheme="majorHAnsi"/>
        </w:rPr>
      </w:pPr>
    </w:p>
    <w:p w14:paraId="6962741D" w14:textId="093D01B7" w:rsidR="002C5A31" w:rsidRPr="006242D3" w:rsidRDefault="002C5A31" w:rsidP="006242D3">
      <w:pPr>
        <w:spacing w:line="480" w:lineRule="auto"/>
        <w:rPr>
          <w:rFonts w:asciiTheme="majorHAnsi" w:hAnsiTheme="majorHAnsi"/>
        </w:rPr>
      </w:pPr>
      <w:r>
        <w:rPr>
          <w:rFonts w:asciiTheme="majorHAnsi" w:hAnsiTheme="majorHAnsi"/>
          <w:noProof/>
        </w:rPr>
        <w:drawing>
          <wp:inline distT="0" distB="0" distL="0" distR="0" wp14:anchorId="375E2DDC" wp14:editId="4E33A4F2">
            <wp:extent cx="5486400" cy="3647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647440"/>
                    </a:xfrm>
                    <a:prstGeom prst="rect">
                      <a:avLst/>
                    </a:prstGeom>
                  </pic:spPr>
                </pic:pic>
              </a:graphicData>
            </a:graphic>
          </wp:inline>
        </w:drawing>
      </w:r>
    </w:p>
    <w:p w14:paraId="42E388F1" w14:textId="77777777" w:rsidR="00495A8D" w:rsidRDefault="00495A8D" w:rsidP="00495A8D">
      <w:pPr>
        <w:spacing w:line="480" w:lineRule="auto"/>
        <w:rPr>
          <w:rFonts w:asciiTheme="majorHAnsi" w:hAnsiTheme="majorHAnsi"/>
        </w:rPr>
      </w:pPr>
      <w:r>
        <w:rPr>
          <w:rFonts w:asciiTheme="majorHAnsi" w:hAnsiTheme="majorHAnsi"/>
        </w:rPr>
        <w:t>Figure 4.1. White House Ceremony</w:t>
      </w:r>
    </w:p>
    <w:p w14:paraId="4B5B29A3" w14:textId="523491F5" w:rsidR="002C5A31" w:rsidRDefault="002C5A31" w:rsidP="00495A8D">
      <w:pPr>
        <w:spacing w:line="360" w:lineRule="auto"/>
        <w:rPr>
          <w:rFonts w:asciiTheme="majorHAnsi" w:hAnsiTheme="majorHAnsi"/>
        </w:rPr>
      </w:pPr>
      <w:r>
        <w:rPr>
          <w:rFonts w:asciiTheme="majorHAnsi" w:hAnsiTheme="majorHAnsi"/>
        </w:rPr>
        <w:t>Figure 4.1. depicts the White House ceremony held on October 26, 2017, during which former President Donald Trump declared the opioid crisis a public health emergency.</w:t>
      </w:r>
    </w:p>
    <w:p w14:paraId="0ED3A892" w14:textId="77777777" w:rsidR="002C5A31" w:rsidRDefault="002C5A31" w:rsidP="002C5A31">
      <w:pPr>
        <w:spacing w:line="480" w:lineRule="auto"/>
        <w:rPr>
          <w:rFonts w:asciiTheme="majorHAnsi" w:hAnsiTheme="majorHAnsi"/>
        </w:rPr>
      </w:pPr>
    </w:p>
    <w:p w14:paraId="5AB3A509" w14:textId="77777777" w:rsidR="002C5A31" w:rsidRDefault="002C5A31" w:rsidP="002C5A31">
      <w:pPr>
        <w:spacing w:line="480" w:lineRule="auto"/>
        <w:rPr>
          <w:rFonts w:asciiTheme="majorHAnsi" w:hAnsiTheme="majorHAnsi"/>
        </w:rPr>
      </w:pPr>
    </w:p>
    <w:p w14:paraId="7D305D46" w14:textId="77777777" w:rsidR="002C5A31" w:rsidRDefault="002C5A31" w:rsidP="002C5A31">
      <w:pPr>
        <w:spacing w:line="480" w:lineRule="auto"/>
        <w:rPr>
          <w:rFonts w:asciiTheme="majorHAnsi" w:hAnsiTheme="majorHAnsi"/>
        </w:rPr>
      </w:pPr>
    </w:p>
    <w:p w14:paraId="4EFDA7B5" w14:textId="77777777" w:rsidR="002C5A31" w:rsidRDefault="002C5A31" w:rsidP="002C5A31">
      <w:pPr>
        <w:spacing w:line="480" w:lineRule="auto"/>
        <w:rPr>
          <w:rFonts w:asciiTheme="majorHAnsi" w:hAnsiTheme="majorHAnsi"/>
        </w:rPr>
      </w:pPr>
    </w:p>
    <w:p w14:paraId="7D1E9F85" w14:textId="77777777" w:rsidR="00405A2C" w:rsidRDefault="00405A2C" w:rsidP="002C5A31">
      <w:pPr>
        <w:spacing w:line="480" w:lineRule="auto"/>
        <w:rPr>
          <w:rFonts w:asciiTheme="majorHAnsi" w:hAnsiTheme="majorHAnsi"/>
        </w:rPr>
      </w:pPr>
    </w:p>
    <w:p w14:paraId="1A04D16E" w14:textId="77777777" w:rsidR="0030288C" w:rsidRDefault="0030288C" w:rsidP="0030288C">
      <w:pPr>
        <w:spacing w:line="480" w:lineRule="auto"/>
        <w:rPr>
          <w:rFonts w:asciiTheme="majorHAnsi" w:hAnsiTheme="majorHAnsi"/>
        </w:rPr>
      </w:pPr>
    </w:p>
    <w:p w14:paraId="07B2C956" w14:textId="77777777" w:rsidR="00495A8D" w:rsidRDefault="00495A8D" w:rsidP="0030288C">
      <w:pPr>
        <w:spacing w:line="480" w:lineRule="auto"/>
        <w:rPr>
          <w:rFonts w:asciiTheme="majorHAnsi" w:hAnsiTheme="majorHAnsi"/>
        </w:rPr>
      </w:pPr>
    </w:p>
    <w:p w14:paraId="58C653B9" w14:textId="3F219DE2" w:rsidR="006242D3" w:rsidRPr="006242D3" w:rsidRDefault="006242D3" w:rsidP="0030288C">
      <w:pPr>
        <w:spacing w:line="480" w:lineRule="auto"/>
        <w:rPr>
          <w:rFonts w:asciiTheme="majorHAnsi" w:hAnsiTheme="majorHAnsi"/>
        </w:rPr>
      </w:pPr>
      <w:r w:rsidRPr="006242D3">
        <w:rPr>
          <w:rFonts w:asciiTheme="majorHAnsi" w:hAnsiTheme="majorHAnsi"/>
        </w:rPr>
        <w:t>The task of acquiring these funds</w:t>
      </w:r>
      <w:r w:rsidR="00CE3B97">
        <w:rPr>
          <w:rFonts w:asciiTheme="majorHAnsi" w:hAnsiTheme="majorHAnsi"/>
        </w:rPr>
        <w:t xml:space="preserve"> </w:t>
      </w:r>
      <w:r w:rsidRPr="006242D3">
        <w:rPr>
          <w:rFonts w:asciiTheme="majorHAnsi" w:hAnsiTheme="majorHAnsi"/>
        </w:rPr>
        <w:t xml:space="preserve">fell to former New Jersey (NJ) Governor and then Chairman of the President’s Commission on Drug Addiction, Chris Christie, who, two weeks later, commenced a hearing before the House Committee on Oversight and Government Reform by pleading with Congress to rally its emergency powers in support of “a fully coordinated attack” on the crisis. Brandishing a newly-minted 138-page report of 56 recommendations from the Commission to undertake this “attack,” Christie asked for funding to: Provide block grants to help state and local governments expand access to treatment and/or rehabilitative services, strengthen prescribing and regulatory guidelines for medical professionals as well as patient education, bolster prescription drug monitoring programs (PDMPs) and supply reduction and enforcement strategies, and, lastly, expand access to the opioid overdose reversal medications Narcan and/or Naloxone. </w:t>
      </w:r>
    </w:p>
    <w:p w14:paraId="4B86C6EF" w14:textId="64AC3D44" w:rsidR="006242D3" w:rsidRDefault="006242D3" w:rsidP="00CE3B97">
      <w:pPr>
        <w:spacing w:line="480" w:lineRule="auto"/>
        <w:ind w:firstLine="720"/>
        <w:rPr>
          <w:rFonts w:asciiTheme="majorHAnsi" w:hAnsiTheme="majorHAnsi"/>
        </w:rPr>
      </w:pPr>
      <w:r w:rsidRPr="006242D3">
        <w:rPr>
          <w:rFonts w:asciiTheme="majorHAnsi" w:hAnsiTheme="majorHAnsi"/>
        </w:rPr>
        <w:t>However, although Christie repeatedly disavowals drug war rhetoric throughout the hearing, claiming that if the opioid crisis has proven anything, it has proven that addiction is a “chronic disease” and not a “choice” because it began “in the offices” of respectable physicians “with no intent” of doing harm and not on city “street corners” with folks of “bad intent”</w:t>
      </w:r>
      <w:sdt>
        <w:sdtPr>
          <w:rPr>
            <w:rFonts w:asciiTheme="majorHAnsi" w:hAnsiTheme="majorHAnsi"/>
          </w:rPr>
          <w:tag w:val="goog_rdk_113"/>
          <w:id w:val="-41135065"/>
        </w:sdtPr>
        <w:sdtContent>
          <w:r w:rsidRPr="006242D3">
            <w:rPr>
              <w:rFonts w:asciiTheme="majorHAnsi" w:hAnsiTheme="majorHAnsi"/>
            </w:rPr>
            <w:t xml:space="preserve"> —</w:t>
          </w:r>
        </w:sdtContent>
      </w:sdt>
      <w:sdt>
        <w:sdtPr>
          <w:rPr>
            <w:rFonts w:asciiTheme="majorHAnsi" w:hAnsiTheme="majorHAnsi"/>
          </w:rPr>
          <w:tag w:val="goog_rdk_114"/>
          <w:id w:val="-1109735379"/>
        </w:sdtPr>
        <w:sdtContent/>
      </w:sdt>
      <w:r w:rsidRPr="006242D3">
        <w:rPr>
          <w:rFonts w:asciiTheme="majorHAnsi" w:hAnsiTheme="majorHAnsi"/>
        </w:rPr>
        <w:t xml:space="preserve">he also makes no mention of HR </w:t>
      </w:r>
      <w:sdt>
        <w:sdtPr>
          <w:rPr>
            <w:rFonts w:asciiTheme="majorHAnsi" w:hAnsiTheme="majorHAnsi"/>
          </w:rPr>
          <w:tag w:val="goog_rdk_116"/>
          <w:id w:val="-1659140564"/>
        </w:sdtPr>
        <w:sdtContent>
          <w:r w:rsidRPr="006242D3">
            <w:rPr>
              <w:rFonts w:asciiTheme="majorHAnsi" w:hAnsiTheme="majorHAnsi"/>
            </w:rPr>
            <w:t>programs as a viable respons</w:t>
          </w:r>
        </w:sdtContent>
      </w:sdt>
      <w:r w:rsidRPr="006242D3">
        <w:rPr>
          <w:rFonts w:asciiTheme="majorHAnsi" w:hAnsiTheme="majorHAnsi"/>
        </w:rPr>
        <w:t xml:space="preserve">e. Indeed when Kentucky Congressman James Comer (R) asks how the Commission plans to approach rising rates of fentanyl-related opioid overdose deaths, Christie </w:t>
      </w:r>
      <w:r w:rsidR="000E6098">
        <w:rPr>
          <w:rFonts w:asciiTheme="majorHAnsi" w:hAnsiTheme="majorHAnsi"/>
        </w:rPr>
        <w:t>does not mention expanding</w:t>
      </w:r>
      <w:r w:rsidRPr="006242D3">
        <w:rPr>
          <w:rFonts w:asciiTheme="majorHAnsi" w:hAnsiTheme="majorHAnsi"/>
        </w:rPr>
        <w:t xml:space="preserve"> access to </w:t>
      </w:r>
      <w:r w:rsidR="000E6098">
        <w:rPr>
          <w:rFonts w:asciiTheme="majorHAnsi" w:hAnsiTheme="majorHAnsi"/>
        </w:rPr>
        <w:t xml:space="preserve">Narcan </w:t>
      </w:r>
      <w:r w:rsidRPr="006242D3">
        <w:rPr>
          <w:rFonts w:asciiTheme="majorHAnsi" w:hAnsiTheme="majorHAnsi"/>
        </w:rPr>
        <w:t>at first,</w:t>
      </w:r>
      <w:r w:rsidR="000E6098">
        <w:rPr>
          <w:rFonts w:asciiTheme="majorHAnsi" w:hAnsiTheme="majorHAnsi"/>
        </w:rPr>
        <w:t xml:space="preserve"> but</w:t>
      </w:r>
      <w:r w:rsidRPr="006242D3">
        <w:rPr>
          <w:rFonts w:asciiTheme="majorHAnsi" w:hAnsiTheme="majorHAnsi"/>
        </w:rPr>
        <w:t xml:space="preserve"> instead</w:t>
      </w:r>
      <w:r w:rsidR="000E6098">
        <w:rPr>
          <w:rFonts w:asciiTheme="majorHAnsi" w:hAnsiTheme="majorHAnsi"/>
        </w:rPr>
        <w:t xml:space="preserve"> evokes the origins of drug prohibition in racial animus towards the Chinese, </w:t>
      </w:r>
      <w:r w:rsidRPr="006242D3">
        <w:rPr>
          <w:rFonts w:asciiTheme="majorHAnsi" w:hAnsiTheme="majorHAnsi"/>
        </w:rPr>
        <w:t>replying: “We have made it very clear [to the President] that this</w:t>
      </w:r>
      <w:sdt>
        <w:sdtPr>
          <w:rPr>
            <w:rFonts w:asciiTheme="majorHAnsi" w:hAnsiTheme="majorHAnsi"/>
          </w:rPr>
          <w:tag w:val="goog_rdk_120"/>
          <w:id w:val="-624074377"/>
        </w:sdtPr>
        <w:sdtContent/>
      </w:sdt>
      <w:r w:rsidRPr="006242D3">
        <w:rPr>
          <w:rFonts w:asciiTheme="majorHAnsi" w:hAnsiTheme="majorHAnsi"/>
        </w:rPr>
        <w:t xml:space="preserve"> is a Chinese problem…[and we have] recommended </w:t>
      </w:r>
      <w:proofErr w:type="spellStart"/>
      <w:r w:rsidRPr="006242D3">
        <w:rPr>
          <w:rFonts w:asciiTheme="majorHAnsi" w:hAnsiTheme="majorHAnsi"/>
        </w:rPr>
        <w:t>increas</w:t>
      </w:r>
      <w:proofErr w:type="spellEnd"/>
      <w:r w:rsidRPr="006242D3">
        <w:rPr>
          <w:rFonts w:asciiTheme="majorHAnsi" w:hAnsiTheme="majorHAnsi"/>
        </w:rPr>
        <w:t>[</w:t>
      </w:r>
      <w:proofErr w:type="spellStart"/>
      <w:r w:rsidRPr="006242D3">
        <w:rPr>
          <w:rFonts w:asciiTheme="majorHAnsi" w:hAnsiTheme="majorHAnsi"/>
        </w:rPr>
        <w:t>ed</w:t>
      </w:r>
      <w:proofErr w:type="spellEnd"/>
      <w:r w:rsidRPr="006242D3">
        <w:rPr>
          <w:rFonts w:asciiTheme="majorHAnsi" w:hAnsiTheme="majorHAnsi"/>
        </w:rPr>
        <w:t xml:space="preserve">] border security… but we also need to make [it] very clear to the Chinese that this is an act of war…[that they] </w:t>
      </w:r>
      <w:r w:rsidRPr="006242D3">
        <w:rPr>
          <w:rFonts w:asciiTheme="majorHAnsi" w:hAnsiTheme="majorHAnsi"/>
        </w:rPr>
        <w:lastRenderedPageBreak/>
        <w:t>are sending [fentanyl] into our country to kill our people… [and that] there is no other purpose for this drug… [they are] willfully allowing this to be done [which] is an act of extraordinary aggression.” Briefly thanking Christie for the Commission’s role in “recent crackdown[s] on [sic] Chinese manufacturers, Comer, unsatisfied with this answer, rephrases and redirects, asking how Congress could best support states, like Kentucky, at the “frontlines” of the epidemic “struggling to prevent death from fentanyl overdose?” To this, Christie gives what is perhaps his only gesture to HR, lamenting the “difficulty” of identifying a single program capable of effectively resolving a crisis where “the problem in Kentucky is different than the problem in New Jersey, and the problem…in Maryland is different than the problem in Missouri,” that states must “take the lead.”</w:t>
      </w:r>
    </w:p>
    <w:p w14:paraId="0470620B" w14:textId="561E0407" w:rsidR="006242D3" w:rsidRPr="0063032D" w:rsidRDefault="0019300F" w:rsidP="0030288C">
      <w:pPr>
        <w:pStyle w:val="Heading2"/>
      </w:pPr>
      <w:bookmarkStart w:id="35" w:name="_Toc133884521"/>
      <w:r w:rsidRPr="0063032D">
        <w:t>Appalachian Geographies of Harm Reduction</w:t>
      </w:r>
      <w:bookmarkEnd w:id="35"/>
    </w:p>
    <w:p w14:paraId="144D6DD5" w14:textId="4AA60354" w:rsidR="00666A05" w:rsidRPr="00DA2BAC" w:rsidRDefault="00CC3D9E" w:rsidP="00666A05">
      <w:pPr>
        <w:spacing w:line="480" w:lineRule="auto"/>
        <w:ind w:firstLine="720"/>
        <w:rPr>
          <w:rFonts w:ascii="Cambria" w:hAnsi="Cambria"/>
        </w:rPr>
      </w:pPr>
      <w:r w:rsidRPr="00DA2BAC">
        <w:rPr>
          <w:rFonts w:ascii="Cambria" w:hAnsi="Cambria"/>
        </w:rPr>
        <w:t xml:space="preserve">In what follows, I </w:t>
      </w:r>
      <w:r w:rsidR="00830E8D" w:rsidRPr="00DA2BAC">
        <w:rPr>
          <w:rFonts w:ascii="Cambria" w:hAnsi="Cambria"/>
        </w:rPr>
        <w:t>will foreground the</w:t>
      </w:r>
      <w:r w:rsidR="00126211" w:rsidRPr="00DA2BAC">
        <w:rPr>
          <w:rFonts w:ascii="Cambria" w:hAnsi="Cambria"/>
        </w:rPr>
        <w:t xml:space="preserve"> </w:t>
      </w:r>
      <w:r w:rsidR="0081579C" w:rsidRPr="00DA2BAC">
        <w:rPr>
          <w:rFonts w:ascii="Cambria" w:hAnsi="Cambria"/>
        </w:rPr>
        <w:t>sites of</w:t>
      </w:r>
      <w:r w:rsidR="00126211" w:rsidRPr="00DA2BAC">
        <w:rPr>
          <w:rFonts w:ascii="Cambria" w:hAnsi="Cambria"/>
        </w:rPr>
        <w:t xml:space="preserve"> Southern Appalachian HR</w:t>
      </w:r>
      <w:r w:rsidR="00BD1A74" w:rsidRPr="00DA2BAC">
        <w:rPr>
          <w:rFonts w:ascii="Cambria" w:hAnsi="Cambria"/>
        </w:rPr>
        <w:t xml:space="preserve"> </w:t>
      </w:r>
      <w:r w:rsidR="008D6B14" w:rsidRPr="00DA2BAC">
        <w:rPr>
          <w:rFonts w:ascii="Cambria" w:hAnsi="Cambria"/>
        </w:rPr>
        <w:t>that we</w:t>
      </w:r>
      <w:r w:rsidR="00600278" w:rsidRPr="00DA2BAC">
        <w:rPr>
          <w:rFonts w:ascii="Cambria" w:hAnsi="Cambria"/>
        </w:rPr>
        <w:t xml:space="preserve"> </w:t>
      </w:r>
      <w:r w:rsidR="008D6B14" w:rsidRPr="00DA2BAC">
        <w:rPr>
          <w:rFonts w:ascii="Cambria" w:hAnsi="Cambria"/>
        </w:rPr>
        <w:t>visit in this section</w:t>
      </w:r>
      <w:r w:rsidR="00F04055" w:rsidRPr="00DA2BAC">
        <w:rPr>
          <w:rFonts w:ascii="Cambria" w:hAnsi="Cambria"/>
        </w:rPr>
        <w:t xml:space="preserve"> </w:t>
      </w:r>
      <w:r w:rsidR="00EB5E23" w:rsidRPr="00DA2BAC">
        <w:rPr>
          <w:rFonts w:ascii="Cambria" w:hAnsi="Cambria"/>
        </w:rPr>
        <w:t>by</w:t>
      </w:r>
      <w:r w:rsidR="0048657F" w:rsidRPr="00DA2BAC">
        <w:rPr>
          <w:rFonts w:ascii="Cambria" w:hAnsi="Cambria"/>
        </w:rPr>
        <w:t xml:space="preserve"> </w:t>
      </w:r>
      <w:r w:rsidR="00745AB0" w:rsidRPr="00DA2BAC">
        <w:rPr>
          <w:rFonts w:ascii="Cambria" w:hAnsi="Cambria"/>
        </w:rPr>
        <w:t>laying out the</w:t>
      </w:r>
      <w:r w:rsidR="005C14F9" w:rsidRPr="00DA2BAC">
        <w:rPr>
          <w:rFonts w:ascii="Cambria" w:hAnsi="Cambria"/>
        </w:rPr>
        <w:t xml:space="preserve"> </w:t>
      </w:r>
      <w:r w:rsidR="0050322D" w:rsidRPr="00DA2BAC">
        <w:rPr>
          <w:rFonts w:ascii="Cambria" w:hAnsi="Cambria"/>
        </w:rPr>
        <w:t>foundational goals</w:t>
      </w:r>
      <w:r w:rsidR="005C14F9" w:rsidRPr="00DA2BAC">
        <w:rPr>
          <w:rFonts w:ascii="Cambria" w:hAnsi="Cambria"/>
        </w:rPr>
        <w:t xml:space="preserve"> of these programs </w:t>
      </w:r>
      <w:r w:rsidR="0050322D" w:rsidRPr="00DA2BAC">
        <w:rPr>
          <w:rFonts w:ascii="Cambria" w:hAnsi="Cambria"/>
        </w:rPr>
        <w:t xml:space="preserve">and the </w:t>
      </w:r>
      <w:r w:rsidR="004D08E1" w:rsidRPr="00DA2BAC">
        <w:rPr>
          <w:rFonts w:ascii="Cambria" w:hAnsi="Cambria"/>
        </w:rPr>
        <w:t>services</w:t>
      </w:r>
      <w:r w:rsidR="005C14F9" w:rsidRPr="00DA2BAC">
        <w:rPr>
          <w:rFonts w:ascii="Cambria" w:hAnsi="Cambria"/>
        </w:rPr>
        <w:t xml:space="preserve"> they</w:t>
      </w:r>
      <w:r w:rsidR="000B73CF" w:rsidRPr="00DA2BAC">
        <w:rPr>
          <w:rFonts w:ascii="Cambria" w:hAnsi="Cambria"/>
        </w:rPr>
        <w:t xml:space="preserve"> </w:t>
      </w:r>
      <w:r w:rsidR="001B7CA2" w:rsidRPr="00DA2BAC">
        <w:rPr>
          <w:rFonts w:ascii="Cambria" w:hAnsi="Cambria"/>
        </w:rPr>
        <w:t xml:space="preserve">typically </w:t>
      </w:r>
      <w:r w:rsidR="005C14F9" w:rsidRPr="00DA2BAC">
        <w:rPr>
          <w:rFonts w:ascii="Cambria" w:hAnsi="Cambria"/>
        </w:rPr>
        <w:t>offer</w:t>
      </w:r>
      <w:r w:rsidR="0050322D" w:rsidRPr="00DA2BAC">
        <w:rPr>
          <w:rFonts w:ascii="Cambria" w:hAnsi="Cambria"/>
        </w:rPr>
        <w:t xml:space="preserve"> to meet them</w:t>
      </w:r>
      <w:r w:rsidR="00640294" w:rsidRPr="00DA2BAC">
        <w:rPr>
          <w:rFonts w:ascii="Cambria" w:hAnsi="Cambria"/>
        </w:rPr>
        <w:t xml:space="preserve">. Then, </w:t>
      </w:r>
      <w:r w:rsidR="000B73CF" w:rsidRPr="00DA2BAC">
        <w:rPr>
          <w:rFonts w:ascii="Cambria" w:hAnsi="Cambria"/>
        </w:rPr>
        <w:t>I will</w:t>
      </w:r>
      <w:r w:rsidR="00EF5890" w:rsidRPr="00DA2BAC">
        <w:rPr>
          <w:rFonts w:ascii="Cambria" w:hAnsi="Cambria"/>
        </w:rPr>
        <w:t xml:space="preserve"> </w:t>
      </w:r>
      <w:r w:rsidR="00640294" w:rsidRPr="00DA2BAC">
        <w:rPr>
          <w:rFonts w:ascii="Cambria" w:hAnsi="Cambria"/>
        </w:rPr>
        <w:t>discuss</w:t>
      </w:r>
      <w:r w:rsidR="000B73CF" w:rsidRPr="00DA2BAC">
        <w:rPr>
          <w:rFonts w:ascii="Cambria" w:hAnsi="Cambria"/>
        </w:rPr>
        <w:t xml:space="preserve"> empirical evidence</w:t>
      </w:r>
      <w:r w:rsidR="00B458B9" w:rsidRPr="00DA2BAC">
        <w:rPr>
          <w:rFonts w:ascii="Cambria" w:hAnsi="Cambria"/>
        </w:rPr>
        <w:t xml:space="preserve"> </w:t>
      </w:r>
      <w:r w:rsidR="00717A13" w:rsidRPr="00DA2BAC">
        <w:rPr>
          <w:rFonts w:ascii="Cambria" w:hAnsi="Cambria"/>
        </w:rPr>
        <w:t>related to the</w:t>
      </w:r>
      <w:r w:rsidR="00B458B9" w:rsidRPr="00DA2BAC">
        <w:rPr>
          <w:rFonts w:ascii="Cambria" w:hAnsi="Cambria"/>
        </w:rPr>
        <w:t xml:space="preserve"> effectiveness</w:t>
      </w:r>
      <w:r w:rsidR="00717A13" w:rsidRPr="00DA2BAC">
        <w:rPr>
          <w:rFonts w:ascii="Cambria" w:hAnsi="Cambria"/>
        </w:rPr>
        <w:t xml:space="preserve"> of these goals</w:t>
      </w:r>
      <w:r w:rsidR="00B458B9" w:rsidRPr="00DA2BAC">
        <w:rPr>
          <w:rFonts w:ascii="Cambria" w:hAnsi="Cambria"/>
        </w:rPr>
        <w:t xml:space="preserve"> </w:t>
      </w:r>
      <w:r w:rsidR="000B73CF" w:rsidRPr="00DA2BAC">
        <w:rPr>
          <w:rFonts w:ascii="Cambria" w:hAnsi="Cambria"/>
        </w:rPr>
        <w:t xml:space="preserve">before </w:t>
      </w:r>
      <w:r w:rsidR="00BA3826" w:rsidRPr="00DA2BAC">
        <w:rPr>
          <w:rFonts w:ascii="Cambria" w:hAnsi="Cambria"/>
        </w:rPr>
        <w:t>discussing</w:t>
      </w:r>
      <w:r w:rsidR="00640294" w:rsidRPr="00DA2BAC">
        <w:rPr>
          <w:rFonts w:ascii="Cambria" w:hAnsi="Cambria"/>
        </w:rPr>
        <w:t xml:space="preserve"> how</w:t>
      </w:r>
      <w:r w:rsidR="001B7CA2" w:rsidRPr="00DA2BAC">
        <w:rPr>
          <w:rFonts w:ascii="Cambria" w:hAnsi="Cambria"/>
        </w:rPr>
        <w:t xml:space="preserve"> </w:t>
      </w:r>
      <w:r w:rsidR="00640294" w:rsidRPr="00DA2BAC">
        <w:rPr>
          <w:rFonts w:ascii="Cambria" w:hAnsi="Cambria"/>
        </w:rPr>
        <w:t>advocates</w:t>
      </w:r>
      <w:r w:rsidR="001B7CA2" w:rsidRPr="00DA2BAC">
        <w:rPr>
          <w:rFonts w:ascii="Cambria" w:hAnsi="Cambria"/>
        </w:rPr>
        <w:t xml:space="preserve"> of HR</w:t>
      </w:r>
      <w:r w:rsidR="00640294" w:rsidRPr="00DA2BAC">
        <w:rPr>
          <w:rFonts w:ascii="Cambria" w:hAnsi="Cambria"/>
        </w:rPr>
        <w:t xml:space="preserve"> </w:t>
      </w:r>
      <w:r w:rsidR="00525F03" w:rsidRPr="00DA2BAC">
        <w:rPr>
          <w:rFonts w:ascii="Cambria" w:hAnsi="Cambria"/>
        </w:rPr>
        <w:t>leverage this</w:t>
      </w:r>
      <w:r w:rsidR="00640294" w:rsidRPr="00DA2BAC">
        <w:rPr>
          <w:rFonts w:ascii="Cambria" w:hAnsi="Cambria"/>
        </w:rPr>
        <w:t xml:space="preserve"> dat</w:t>
      </w:r>
      <w:r w:rsidR="004314C3" w:rsidRPr="00DA2BAC">
        <w:rPr>
          <w:rFonts w:ascii="Cambria" w:hAnsi="Cambria"/>
        </w:rPr>
        <w:t>a</w:t>
      </w:r>
      <w:r w:rsidR="00640294" w:rsidRPr="00DA2BAC">
        <w:rPr>
          <w:rFonts w:ascii="Cambria" w:hAnsi="Cambria"/>
        </w:rPr>
        <w:t xml:space="preserve"> </w:t>
      </w:r>
      <w:r w:rsidR="001B7CA2" w:rsidRPr="00DA2BAC">
        <w:rPr>
          <w:rFonts w:ascii="Cambria" w:hAnsi="Cambria"/>
        </w:rPr>
        <w:t>in an attempt to</w:t>
      </w:r>
      <w:r w:rsidR="00BC5583" w:rsidRPr="00DA2BAC">
        <w:rPr>
          <w:rFonts w:ascii="Cambria" w:hAnsi="Cambria"/>
        </w:rPr>
        <w:t xml:space="preserve"> overcome </w:t>
      </w:r>
      <w:r w:rsidR="00BA3826" w:rsidRPr="00DA2BAC">
        <w:rPr>
          <w:rFonts w:ascii="Cambria" w:hAnsi="Cambria"/>
        </w:rPr>
        <w:t>opposition</w:t>
      </w:r>
      <w:r w:rsidR="001B7CA2" w:rsidRPr="00DA2BAC">
        <w:rPr>
          <w:rFonts w:ascii="Cambria" w:hAnsi="Cambria"/>
        </w:rPr>
        <w:t xml:space="preserve"> to these programs as well as outlining some of</w:t>
      </w:r>
      <w:r w:rsidR="00FA430B" w:rsidRPr="00DA2BAC">
        <w:rPr>
          <w:rFonts w:ascii="Cambria" w:hAnsi="Cambria"/>
        </w:rPr>
        <w:t xml:space="preserve"> </w:t>
      </w:r>
      <w:r w:rsidR="001B7CA2" w:rsidRPr="00DA2BAC">
        <w:rPr>
          <w:rFonts w:ascii="Cambria" w:hAnsi="Cambria"/>
        </w:rPr>
        <w:t>the dangers that incorporating this philosophy into public health poses</w:t>
      </w:r>
      <w:r w:rsidR="00666A05" w:rsidRPr="00DA2BAC">
        <w:rPr>
          <w:rFonts w:ascii="Cambria" w:hAnsi="Cambria"/>
        </w:rPr>
        <w:t xml:space="preserve"> to its transformative potentials. </w:t>
      </w:r>
    </w:p>
    <w:p w14:paraId="4DB4D1A2" w14:textId="234F11F7" w:rsidR="006513E1" w:rsidRPr="00DA2BAC" w:rsidRDefault="00D2101E" w:rsidP="00D2101E">
      <w:pPr>
        <w:spacing w:line="480" w:lineRule="auto"/>
        <w:rPr>
          <w:rFonts w:ascii="Cambria" w:hAnsi="Cambria"/>
        </w:rPr>
      </w:pPr>
      <w:r w:rsidRPr="00DA2BAC">
        <w:rPr>
          <w:rFonts w:ascii="Cambria" w:hAnsi="Cambria"/>
        </w:rPr>
        <w:tab/>
        <w:t xml:space="preserve">According to </w:t>
      </w:r>
      <w:r w:rsidR="001072C0" w:rsidRPr="00DA2BAC">
        <w:rPr>
          <w:rFonts w:ascii="Cambria" w:hAnsi="Cambria"/>
        </w:rPr>
        <w:t xml:space="preserve">a policy brief </w:t>
      </w:r>
      <w:r w:rsidR="00875DD2" w:rsidRPr="00DA2BAC">
        <w:rPr>
          <w:rFonts w:ascii="Cambria" w:hAnsi="Cambria"/>
        </w:rPr>
        <w:t>published by the</w:t>
      </w:r>
      <w:r w:rsidR="001072C0" w:rsidRPr="00DA2BAC">
        <w:rPr>
          <w:rFonts w:ascii="Cambria" w:hAnsi="Cambria"/>
        </w:rPr>
        <w:t xml:space="preserve"> University of Tennessee</w:t>
      </w:r>
      <w:r w:rsidR="00A15195" w:rsidRPr="00DA2BAC">
        <w:rPr>
          <w:rFonts w:ascii="Cambria" w:hAnsi="Cambria"/>
        </w:rPr>
        <w:t xml:space="preserve"> Institute for Public Service</w:t>
      </w:r>
      <w:r w:rsidR="00875DD2" w:rsidRPr="00DA2BAC">
        <w:rPr>
          <w:rFonts w:ascii="Cambria" w:hAnsi="Cambria"/>
        </w:rPr>
        <w:t>’s</w:t>
      </w:r>
      <w:r w:rsidR="00A15195" w:rsidRPr="00DA2BAC">
        <w:rPr>
          <w:rFonts w:ascii="Cambria" w:hAnsi="Cambria"/>
        </w:rPr>
        <w:t xml:space="preserve"> (IPS)</w:t>
      </w:r>
      <w:r w:rsidR="00875DD2" w:rsidRPr="00DA2BAC">
        <w:rPr>
          <w:rFonts w:ascii="Cambria" w:hAnsi="Cambria"/>
        </w:rPr>
        <w:t xml:space="preserve"> Substance Misuse and Addiction Research for Tennessee (SMART), which </w:t>
      </w:r>
      <w:r w:rsidR="00361D77" w:rsidRPr="00DA2BAC">
        <w:rPr>
          <w:rFonts w:ascii="Cambria" w:hAnsi="Cambria"/>
        </w:rPr>
        <w:t>focuses on “</w:t>
      </w:r>
      <w:proofErr w:type="spellStart"/>
      <w:r w:rsidR="00361D77" w:rsidRPr="00DA2BAC">
        <w:rPr>
          <w:rFonts w:ascii="Cambria" w:hAnsi="Cambria"/>
        </w:rPr>
        <w:t>guid</w:t>
      </w:r>
      <w:proofErr w:type="spellEnd"/>
      <w:r w:rsidR="00361D77" w:rsidRPr="00DA2BAC">
        <w:rPr>
          <w:rFonts w:ascii="Cambria" w:hAnsi="Cambria"/>
        </w:rPr>
        <w:t>[</w:t>
      </w:r>
      <w:proofErr w:type="spellStart"/>
      <w:r w:rsidR="00361D77" w:rsidRPr="00DA2BAC">
        <w:rPr>
          <w:rFonts w:ascii="Cambria" w:hAnsi="Cambria"/>
        </w:rPr>
        <w:t>ing</w:t>
      </w:r>
      <w:proofErr w:type="spellEnd"/>
      <w:r w:rsidR="00361D77" w:rsidRPr="00DA2BAC">
        <w:rPr>
          <w:rFonts w:ascii="Cambria" w:hAnsi="Cambria"/>
        </w:rPr>
        <w:t xml:space="preserve">] community leaders in implementing evidence-based, cost-effective strategies that mitigate damage from substance use disorder and the opioid epidemic,” </w:t>
      </w:r>
      <w:r w:rsidR="00A51AF1" w:rsidRPr="00DA2BAC">
        <w:rPr>
          <w:rFonts w:ascii="Cambria" w:hAnsi="Cambria"/>
        </w:rPr>
        <w:t>the primary objective of HR is</w:t>
      </w:r>
      <w:r w:rsidR="00AC7EB0" w:rsidRPr="00DA2BAC">
        <w:rPr>
          <w:rFonts w:ascii="Cambria" w:hAnsi="Cambria"/>
        </w:rPr>
        <w:t xml:space="preserve"> to minimize </w:t>
      </w:r>
      <w:r w:rsidR="00AE4590" w:rsidRPr="00DA2BAC">
        <w:rPr>
          <w:rFonts w:ascii="Cambria" w:hAnsi="Cambria"/>
        </w:rPr>
        <w:t>“negative health outcomes by embracing compassion and rejecting stigma” (</w:t>
      </w:r>
      <w:r w:rsidR="005C592A">
        <w:rPr>
          <w:rFonts w:ascii="Cambria" w:hAnsi="Cambria"/>
        </w:rPr>
        <w:t>SMART</w:t>
      </w:r>
      <w:r w:rsidR="00AE4590" w:rsidRPr="00DA2BAC">
        <w:rPr>
          <w:rFonts w:ascii="Cambria" w:hAnsi="Cambria"/>
        </w:rPr>
        <w:t xml:space="preserve">, 2022: </w:t>
      </w:r>
      <w:proofErr w:type="spellStart"/>
      <w:r w:rsidR="00AE4590" w:rsidRPr="00DA2BAC">
        <w:rPr>
          <w:rFonts w:ascii="Cambria" w:hAnsi="Cambria"/>
        </w:rPr>
        <w:t>n.p</w:t>
      </w:r>
      <w:proofErr w:type="spellEnd"/>
      <w:r w:rsidR="00AE4590" w:rsidRPr="00DA2BAC">
        <w:rPr>
          <w:rFonts w:ascii="Cambria" w:hAnsi="Cambria"/>
        </w:rPr>
        <w:t>.).</w:t>
      </w:r>
      <w:r w:rsidR="00A51AF1" w:rsidRPr="00DA2BAC">
        <w:rPr>
          <w:rFonts w:ascii="Cambria" w:hAnsi="Cambria"/>
        </w:rPr>
        <w:t xml:space="preserve"> This diverges </w:t>
      </w:r>
      <w:r w:rsidR="00A51AF1" w:rsidRPr="00DA2BAC">
        <w:rPr>
          <w:rFonts w:ascii="Cambria" w:hAnsi="Cambria"/>
        </w:rPr>
        <w:lastRenderedPageBreak/>
        <w:t>meaningfully from</w:t>
      </w:r>
      <w:r w:rsidR="00B87EC3" w:rsidRPr="00DA2BAC">
        <w:rPr>
          <w:rFonts w:ascii="Cambria" w:hAnsi="Cambria"/>
        </w:rPr>
        <w:t xml:space="preserve"> the</w:t>
      </w:r>
      <w:r w:rsidR="00723CE8" w:rsidRPr="00DA2BAC">
        <w:rPr>
          <w:rFonts w:ascii="Cambria" w:hAnsi="Cambria"/>
        </w:rPr>
        <w:t xml:space="preserve"> underlying</w:t>
      </w:r>
      <w:r w:rsidR="00B87EC3" w:rsidRPr="00DA2BAC">
        <w:rPr>
          <w:rFonts w:ascii="Cambria" w:hAnsi="Cambria"/>
        </w:rPr>
        <w:t xml:space="preserve"> philosophy of</w:t>
      </w:r>
      <w:r w:rsidR="00A51AF1" w:rsidRPr="00DA2BAC">
        <w:rPr>
          <w:rFonts w:ascii="Cambria" w:hAnsi="Cambria"/>
        </w:rPr>
        <w:t xml:space="preserve"> liberatory HR, which</w:t>
      </w:r>
      <w:r w:rsidR="00B87EC3" w:rsidRPr="00DA2BAC">
        <w:rPr>
          <w:rFonts w:ascii="Cambria" w:hAnsi="Cambria"/>
        </w:rPr>
        <w:t xml:space="preserve"> </w:t>
      </w:r>
      <w:r w:rsidR="00F46C4B" w:rsidRPr="00DA2BAC">
        <w:rPr>
          <w:rFonts w:ascii="Cambria" w:hAnsi="Cambria"/>
        </w:rPr>
        <w:t>seeks</w:t>
      </w:r>
      <w:r w:rsidR="00717A13" w:rsidRPr="00DA2BAC">
        <w:rPr>
          <w:rFonts w:ascii="Cambria" w:hAnsi="Cambria"/>
        </w:rPr>
        <w:t xml:space="preserve"> </w:t>
      </w:r>
      <w:r w:rsidR="00BF363D" w:rsidRPr="00DA2BAC">
        <w:rPr>
          <w:rFonts w:ascii="Cambria" w:hAnsi="Cambria"/>
        </w:rPr>
        <w:t>to</w:t>
      </w:r>
      <w:r w:rsidR="003F4E1D" w:rsidRPr="00DA2BAC">
        <w:rPr>
          <w:rFonts w:ascii="Cambria" w:hAnsi="Cambria"/>
        </w:rPr>
        <w:t xml:space="preserve"> </w:t>
      </w:r>
      <w:r w:rsidR="004F60E9" w:rsidRPr="00DA2BAC">
        <w:rPr>
          <w:rFonts w:ascii="Cambria" w:hAnsi="Cambria"/>
        </w:rPr>
        <w:t>dismantle systems of oppression</w:t>
      </w:r>
      <w:r w:rsidR="002E49AC" w:rsidRPr="00DA2BAC">
        <w:rPr>
          <w:rFonts w:ascii="Cambria" w:hAnsi="Cambria"/>
        </w:rPr>
        <w:t xml:space="preserve"> by politicizing acts of survival.</w:t>
      </w:r>
      <w:r w:rsidR="000A36FD" w:rsidRPr="00DA2BAC">
        <w:rPr>
          <w:rFonts w:ascii="Cambria" w:hAnsi="Cambria"/>
        </w:rPr>
        <w:t xml:space="preserve"> </w:t>
      </w:r>
      <w:r w:rsidR="006513E1" w:rsidRPr="00DA2BAC">
        <w:rPr>
          <w:rFonts w:ascii="Cambria" w:hAnsi="Cambria"/>
        </w:rPr>
        <w:t>The stark contrast between these two approaches</w:t>
      </w:r>
      <w:r w:rsidR="0063032D">
        <w:rPr>
          <w:rFonts w:ascii="Cambria" w:hAnsi="Cambria"/>
        </w:rPr>
        <w:t xml:space="preserve"> is succinctly summarized by how </w:t>
      </w:r>
      <w:r w:rsidR="00801B22" w:rsidRPr="00DA2BAC">
        <w:rPr>
          <w:rFonts w:ascii="Cambria" w:hAnsi="Cambria"/>
        </w:rPr>
        <w:t>SMART defines the core of HR</w:t>
      </w:r>
      <w:r w:rsidR="0063032D">
        <w:rPr>
          <w:rFonts w:ascii="Cambria" w:hAnsi="Cambria"/>
        </w:rPr>
        <w:t>, which bears quoting</w:t>
      </w:r>
      <w:r w:rsidR="00801B22" w:rsidRPr="00DA2BAC">
        <w:rPr>
          <w:rFonts w:ascii="Cambria" w:hAnsi="Cambria"/>
        </w:rPr>
        <w:t xml:space="preserve"> at length: </w:t>
      </w:r>
    </w:p>
    <w:p w14:paraId="404514D0" w14:textId="77777777" w:rsidR="001878E0" w:rsidRPr="00DA2BAC" w:rsidRDefault="001878E0" w:rsidP="00D2101E">
      <w:pPr>
        <w:spacing w:line="480" w:lineRule="auto"/>
        <w:rPr>
          <w:rFonts w:ascii="Cambria" w:hAnsi="Cambria"/>
        </w:rPr>
      </w:pPr>
    </w:p>
    <w:p w14:paraId="749A48D2" w14:textId="390C01CC" w:rsidR="001878E0" w:rsidRPr="00DA2BAC" w:rsidRDefault="001878E0" w:rsidP="00961401">
      <w:pPr>
        <w:spacing w:line="480" w:lineRule="auto"/>
        <w:ind w:left="720"/>
        <w:rPr>
          <w:rFonts w:ascii="Cambria" w:hAnsi="Cambria"/>
        </w:rPr>
      </w:pPr>
      <w:r w:rsidRPr="00DA2BAC">
        <w:rPr>
          <w:rFonts w:ascii="Cambria" w:hAnsi="Cambria"/>
        </w:rPr>
        <w:t xml:space="preserve">“The core of harm reduction is acknowledging the lethality of modern drugs such as fentanyl. If you keep the person alive, you have a greater chance of getting them into long-term recovery, even if that means tolerating their substance use for the moment (2022: </w:t>
      </w:r>
      <w:proofErr w:type="spellStart"/>
      <w:r w:rsidRPr="00DA2BAC">
        <w:rPr>
          <w:rFonts w:ascii="Cambria" w:hAnsi="Cambria"/>
        </w:rPr>
        <w:t>n.p</w:t>
      </w:r>
      <w:proofErr w:type="spellEnd"/>
      <w:r w:rsidRPr="00DA2BAC">
        <w:rPr>
          <w:rFonts w:ascii="Cambria" w:hAnsi="Cambria"/>
        </w:rPr>
        <w:t xml:space="preserve">.).” </w:t>
      </w:r>
    </w:p>
    <w:p w14:paraId="529B3D18" w14:textId="77777777" w:rsidR="00961401" w:rsidRPr="00DA2BAC" w:rsidRDefault="00961401" w:rsidP="00961401">
      <w:pPr>
        <w:spacing w:line="480" w:lineRule="auto"/>
        <w:rPr>
          <w:rFonts w:ascii="Cambria" w:hAnsi="Cambria"/>
        </w:rPr>
      </w:pPr>
    </w:p>
    <w:p w14:paraId="6CB28EBF" w14:textId="77E00721" w:rsidR="002C3750" w:rsidRDefault="0063032D" w:rsidP="0028259C">
      <w:pPr>
        <w:spacing w:line="480" w:lineRule="auto"/>
        <w:ind w:firstLine="720"/>
        <w:rPr>
          <w:rFonts w:ascii="Cambria" w:hAnsi="Cambria"/>
        </w:rPr>
      </w:pPr>
      <w:r>
        <w:rPr>
          <w:rFonts w:ascii="Cambria" w:hAnsi="Cambria"/>
        </w:rPr>
        <w:t>Aside from focusing explicitly</w:t>
      </w:r>
      <w:r w:rsidR="00E12216" w:rsidRPr="00DA2BAC">
        <w:rPr>
          <w:rFonts w:ascii="Cambria" w:hAnsi="Cambria"/>
        </w:rPr>
        <w:t xml:space="preserve"> </w:t>
      </w:r>
      <w:r w:rsidR="00A95584" w:rsidRPr="00DA2BAC">
        <w:rPr>
          <w:rFonts w:ascii="Cambria" w:hAnsi="Cambria"/>
        </w:rPr>
        <w:t xml:space="preserve">on </w:t>
      </w:r>
      <w:r>
        <w:rPr>
          <w:rFonts w:ascii="Cambria" w:hAnsi="Cambria"/>
        </w:rPr>
        <w:t>preventing the transmission of</w:t>
      </w:r>
      <w:r w:rsidR="00A95584" w:rsidRPr="00DA2BAC">
        <w:rPr>
          <w:rFonts w:ascii="Cambria" w:hAnsi="Cambria"/>
        </w:rPr>
        <w:t xml:space="preserve"> </w:t>
      </w:r>
      <w:r w:rsidR="00E12216" w:rsidRPr="00DA2BAC">
        <w:rPr>
          <w:rFonts w:ascii="Cambria" w:hAnsi="Cambria"/>
        </w:rPr>
        <w:t>needle-borne infectious diseas</w:t>
      </w:r>
      <w:r>
        <w:rPr>
          <w:rFonts w:ascii="Cambria" w:hAnsi="Cambria"/>
        </w:rPr>
        <w:t>es</w:t>
      </w:r>
      <w:r w:rsidR="00E12216" w:rsidRPr="00DA2BAC">
        <w:rPr>
          <w:rFonts w:ascii="Cambria" w:hAnsi="Cambria"/>
        </w:rPr>
        <w:t>,</w:t>
      </w:r>
      <w:r>
        <w:rPr>
          <w:rFonts w:ascii="Cambria" w:hAnsi="Cambria"/>
        </w:rPr>
        <w:t xml:space="preserve"> the majority of public health-based HR programs share SMART’s commitment to reducing</w:t>
      </w:r>
      <w:r w:rsidR="002131BE">
        <w:rPr>
          <w:rFonts w:ascii="Cambria" w:hAnsi="Cambria"/>
        </w:rPr>
        <w:t xml:space="preserve"> the “risk” of</w:t>
      </w:r>
      <w:r>
        <w:rPr>
          <w:rFonts w:ascii="Cambria" w:hAnsi="Cambria"/>
        </w:rPr>
        <w:t xml:space="preserve"> overdose death by tolerating</w:t>
      </w:r>
      <w:r w:rsidR="002131BE">
        <w:rPr>
          <w:rFonts w:ascii="Cambria" w:hAnsi="Cambria"/>
        </w:rPr>
        <w:t xml:space="preserve"> participant’s drug use in the meantime while ultimately endeavoring to facilitate their entry into treatment and recovery</w:t>
      </w:r>
      <w:r>
        <w:rPr>
          <w:rFonts w:ascii="Cambria" w:hAnsi="Cambria"/>
        </w:rPr>
        <w:t xml:space="preserve">. </w:t>
      </w:r>
      <w:r w:rsidR="002131BE">
        <w:rPr>
          <w:rFonts w:ascii="Cambria" w:hAnsi="Cambria"/>
        </w:rPr>
        <w:t xml:space="preserve">This goal illustrates how public health officials have </w:t>
      </w:r>
      <w:r w:rsidR="004E77FF" w:rsidRPr="00DA2BAC">
        <w:rPr>
          <w:rFonts w:ascii="Cambria" w:hAnsi="Cambria"/>
        </w:rPr>
        <w:t>rebranded</w:t>
      </w:r>
      <w:r w:rsidR="002131BE">
        <w:rPr>
          <w:rFonts w:ascii="Cambria" w:hAnsi="Cambria"/>
        </w:rPr>
        <w:t xml:space="preserve"> the politics of liberatory HR</w:t>
      </w:r>
      <w:r w:rsidR="00EE498A" w:rsidRPr="00DA2BAC">
        <w:rPr>
          <w:rFonts w:ascii="Cambria" w:hAnsi="Cambria"/>
        </w:rPr>
        <w:t xml:space="preserve"> </w:t>
      </w:r>
      <w:r w:rsidR="001A702A" w:rsidRPr="00DA2BAC">
        <w:rPr>
          <w:rFonts w:ascii="Cambria" w:hAnsi="Cambria"/>
        </w:rPr>
        <w:t>into a</w:t>
      </w:r>
      <w:r w:rsidR="00EE498A" w:rsidRPr="00DA2BAC">
        <w:rPr>
          <w:rFonts w:ascii="Cambria" w:hAnsi="Cambria"/>
        </w:rPr>
        <w:t xml:space="preserve"> vernacular of</w:t>
      </w:r>
      <w:r w:rsidR="00D42547" w:rsidRPr="00DA2BAC">
        <w:rPr>
          <w:rFonts w:ascii="Cambria" w:hAnsi="Cambria"/>
        </w:rPr>
        <w:t xml:space="preserve"> “ris</w:t>
      </w:r>
      <w:r w:rsidR="00EE498A" w:rsidRPr="00DA2BAC">
        <w:rPr>
          <w:rFonts w:ascii="Cambria" w:hAnsi="Cambria"/>
        </w:rPr>
        <w:t>k</w:t>
      </w:r>
      <w:r w:rsidR="00D42547" w:rsidRPr="00DA2BAC">
        <w:rPr>
          <w:rFonts w:ascii="Cambria" w:hAnsi="Cambria"/>
        </w:rPr>
        <w:t>”</w:t>
      </w:r>
      <w:r w:rsidR="00EE498A" w:rsidRPr="00DA2BAC">
        <w:rPr>
          <w:rFonts w:ascii="Cambria" w:hAnsi="Cambria"/>
        </w:rPr>
        <w:t xml:space="preserve"> </w:t>
      </w:r>
      <w:r w:rsidR="002131BE">
        <w:rPr>
          <w:rFonts w:ascii="Cambria" w:hAnsi="Cambria"/>
        </w:rPr>
        <w:t>that enables the</w:t>
      </w:r>
      <w:r w:rsidR="00403F23" w:rsidRPr="00DA2BAC">
        <w:rPr>
          <w:rFonts w:ascii="Cambria" w:hAnsi="Cambria"/>
        </w:rPr>
        <w:t xml:space="preserve"> state </w:t>
      </w:r>
      <w:r w:rsidR="002131BE">
        <w:rPr>
          <w:rFonts w:ascii="Cambria" w:hAnsi="Cambria"/>
        </w:rPr>
        <w:t>to use mobilize these programs as a way of educating, controlling, and guiding</w:t>
      </w:r>
      <w:r w:rsidR="00CA292B" w:rsidRPr="00DA2BAC">
        <w:rPr>
          <w:rFonts w:ascii="Cambria" w:hAnsi="Cambria"/>
        </w:rPr>
        <w:t xml:space="preserve"> drug users</w:t>
      </w:r>
      <w:r w:rsidR="002131BE">
        <w:rPr>
          <w:rFonts w:ascii="Cambria" w:hAnsi="Cambria"/>
        </w:rPr>
        <w:t xml:space="preserve"> </w:t>
      </w:r>
      <w:r w:rsidR="00CA292B" w:rsidRPr="00DA2BAC">
        <w:rPr>
          <w:rFonts w:ascii="Cambria" w:hAnsi="Cambria"/>
        </w:rPr>
        <w:t>“</w:t>
      </w:r>
      <w:r w:rsidR="006242D3" w:rsidRPr="00DA2BAC">
        <w:rPr>
          <w:rFonts w:ascii="Cambria" w:hAnsi="Cambria"/>
        </w:rPr>
        <w:t>without having to assume their custody” (</w:t>
      </w:r>
      <w:r>
        <w:rPr>
          <w:rFonts w:ascii="Cambria" w:hAnsi="Cambria"/>
        </w:rPr>
        <w:t xml:space="preserve">SMART, 2022: </w:t>
      </w:r>
      <w:proofErr w:type="spellStart"/>
      <w:r>
        <w:rPr>
          <w:rFonts w:ascii="Cambria" w:hAnsi="Cambria"/>
        </w:rPr>
        <w:t>n.p</w:t>
      </w:r>
      <w:proofErr w:type="spellEnd"/>
      <w:r>
        <w:rPr>
          <w:rFonts w:ascii="Cambria" w:hAnsi="Cambria"/>
        </w:rPr>
        <w:t xml:space="preserve">.; </w:t>
      </w:r>
      <w:r w:rsidR="006242D3" w:rsidRPr="00DA2BAC">
        <w:rPr>
          <w:rFonts w:ascii="Cambria" w:hAnsi="Cambria"/>
        </w:rPr>
        <w:t xml:space="preserve">Dean 1998:35; McClean 2013:10; Roe, 2005: 246). </w:t>
      </w:r>
      <w:r w:rsidR="002131BE">
        <w:rPr>
          <w:rFonts w:ascii="Cambria" w:hAnsi="Cambria"/>
        </w:rPr>
        <w:t>These</w:t>
      </w:r>
      <w:r w:rsidR="00956418" w:rsidRPr="00DA2BAC">
        <w:rPr>
          <w:rFonts w:ascii="Cambria" w:hAnsi="Cambria"/>
        </w:rPr>
        <w:t xml:space="preserve"> </w:t>
      </w:r>
      <w:r w:rsidR="002C3750" w:rsidRPr="00DA2BAC">
        <w:rPr>
          <w:rFonts w:ascii="Cambria" w:hAnsi="Cambria"/>
        </w:rPr>
        <w:t xml:space="preserve">programs </w:t>
      </w:r>
      <w:r w:rsidR="002C3750">
        <w:rPr>
          <w:rFonts w:ascii="Cambria" w:hAnsi="Cambria"/>
        </w:rPr>
        <w:t xml:space="preserve">offer a </w:t>
      </w:r>
      <w:r w:rsidR="00956418">
        <w:rPr>
          <w:rFonts w:ascii="Cambria" w:hAnsi="Cambria"/>
        </w:rPr>
        <w:t>range of low-threshold</w:t>
      </w:r>
      <w:r w:rsidR="00F353E0">
        <w:rPr>
          <w:rFonts w:ascii="Cambria" w:hAnsi="Cambria"/>
        </w:rPr>
        <w:t xml:space="preserve"> </w:t>
      </w:r>
      <w:r w:rsidR="00956418">
        <w:rPr>
          <w:rFonts w:ascii="Cambria" w:hAnsi="Cambria"/>
        </w:rPr>
        <w:t>services</w:t>
      </w:r>
      <w:r w:rsidR="002131BE">
        <w:rPr>
          <w:rFonts w:ascii="Cambria" w:hAnsi="Cambria"/>
        </w:rPr>
        <w:t xml:space="preserve"> to prevent and/or reduce the transmission of needle-borne infectious diseases and overdose deaths</w:t>
      </w:r>
      <w:r w:rsidR="002C3750">
        <w:rPr>
          <w:rFonts w:ascii="Cambria" w:hAnsi="Cambria"/>
        </w:rPr>
        <w:t xml:space="preserve">, which typically </w:t>
      </w:r>
      <w:r w:rsidR="00DA2BAC">
        <w:rPr>
          <w:rFonts w:ascii="Cambria" w:hAnsi="Cambria"/>
        </w:rPr>
        <w:t>include</w:t>
      </w:r>
      <w:r w:rsidR="002C3750">
        <w:rPr>
          <w:rFonts w:ascii="Cambria" w:hAnsi="Cambria"/>
        </w:rPr>
        <w:t xml:space="preserve"> </w:t>
      </w:r>
      <w:r w:rsidR="00F353E0">
        <w:rPr>
          <w:rFonts w:ascii="Cambria" w:hAnsi="Cambria"/>
        </w:rPr>
        <w:t>needle-exchange</w:t>
      </w:r>
      <w:r w:rsidR="002131BE">
        <w:rPr>
          <w:rFonts w:ascii="Cambria" w:hAnsi="Cambria"/>
        </w:rPr>
        <w:t xml:space="preserve"> services</w:t>
      </w:r>
      <w:r w:rsidR="00F353E0">
        <w:rPr>
          <w:rFonts w:ascii="Cambria" w:hAnsi="Cambria"/>
        </w:rPr>
        <w:t>;</w:t>
      </w:r>
      <w:r w:rsidR="00317831">
        <w:rPr>
          <w:rFonts w:ascii="Cambria" w:hAnsi="Cambria"/>
        </w:rPr>
        <w:t xml:space="preserve"> </w:t>
      </w:r>
      <w:r w:rsidR="0011797B">
        <w:rPr>
          <w:rFonts w:ascii="Cambria" w:hAnsi="Cambria"/>
        </w:rPr>
        <w:t xml:space="preserve">counseling and </w:t>
      </w:r>
      <w:r w:rsidR="00317831">
        <w:rPr>
          <w:rFonts w:ascii="Cambria" w:hAnsi="Cambria"/>
        </w:rPr>
        <w:t xml:space="preserve">testing for </w:t>
      </w:r>
      <w:r w:rsidR="00850011">
        <w:rPr>
          <w:rFonts w:ascii="Cambria" w:hAnsi="Cambria"/>
        </w:rPr>
        <w:t>HIV</w:t>
      </w:r>
      <w:r w:rsidR="00317831">
        <w:rPr>
          <w:rFonts w:ascii="Cambria" w:hAnsi="Cambria"/>
        </w:rPr>
        <w:t>, viral hepatitis C, and viral hepatitis B;</w:t>
      </w:r>
      <w:r w:rsidR="00DF613C">
        <w:rPr>
          <w:rFonts w:ascii="Cambria" w:hAnsi="Cambria"/>
        </w:rPr>
        <w:t xml:space="preserve"> sexually transmitted infection</w:t>
      </w:r>
      <w:r w:rsidR="00F33A81">
        <w:rPr>
          <w:rFonts w:ascii="Cambria" w:hAnsi="Cambria"/>
        </w:rPr>
        <w:t>s</w:t>
      </w:r>
      <w:r w:rsidR="00DF613C">
        <w:rPr>
          <w:rFonts w:ascii="Cambria" w:hAnsi="Cambria"/>
        </w:rPr>
        <w:t xml:space="preserve"> (STI</w:t>
      </w:r>
      <w:r w:rsidR="00F33A81">
        <w:rPr>
          <w:rFonts w:ascii="Cambria" w:hAnsi="Cambria"/>
        </w:rPr>
        <w:t>s</w:t>
      </w:r>
      <w:r w:rsidR="00DF613C">
        <w:rPr>
          <w:rFonts w:ascii="Cambria" w:hAnsi="Cambria"/>
        </w:rPr>
        <w:t>)</w:t>
      </w:r>
      <w:r w:rsidR="00CE3D62">
        <w:rPr>
          <w:rFonts w:ascii="Cambria" w:hAnsi="Cambria"/>
        </w:rPr>
        <w:t xml:space="preserve"> screenings</w:t>
      </w:r>
      <w:r w:rsidR="00DF613C">
        <w:rPr>
          <w:rFonts w:ascii="Cambria" w:hAnsi="Cambria"/>
        </w:rPr>
        <w:t>;</w:t>
      </w:r>
      <w:r w:rsidR="00317831">
        <w:rPr>
          <w:rFonts w:ascii="Cambria" w:hAnsi="Cambria"/>
        </w:rPr>
        <w:t xml:space="preserve"> </w:t>
      </w:r>
      <w:r w:rsidR="00637928">
        <w:rPr>
          <w:rFonts w:ascii="Cambria" w:hAnsi="Cambria"/>
        </w:rPr>
        <w:t>overdose education and Naloxone</w:t>
      </w:r>
      <w:r w:rsidR="00CE3D62">
        <w:rPr>
          <w:rFonts w:ascii="Cambria" w:hAnsi="Cambria"/>
        </w:rPr>
        <w:t xml:space="preserve"> distribution</w:t>
      </w:r>
      <w:r w:rsidR="008F1080">
        <w:rPr>
          <w:rFonts w:ascii="Cambria" w:hAnsi="Cambria"/>
        </w:rPr>
        <w:t>;</w:t>
      </w:r>
      <w:r w:rsidR="00B32231">
        <w:rPr>
          <w:rFonts w:ascii="Cambria" w:hAnsi="Cambria"/>
        </w:rPr>
        <w:t xml:space="preserve"> </w:t>
      </w:r>
      <w:r w:rsidR="008F1080">
        <w:rPr>
          <w:rFonts w:ascii="Cambria" w:hAnsi="Cambria"/>
        </w:rPr>
        <w:t>referrals to substance abuse treatment and recovery services</w:t>
      </w:r>
      <w:r w:rsidR="00CE3D62">
        <w:rPr>
          <w:rFonts w:ascii="Cambria" w:hAnsi="Cambria"/>
        </w:rPr>
        <w:t>,</w:t>
      </w:r>
      <w:r w:rsidR="00055FAD">
        <w:rPr>
          <w:rFonts w:ascii="Cambria" w:hAnsi="Cambria"/>
        </w:rPr>
        <w:t xml:space="preserve"> </w:t>
      </w:r>
      <w:r w:rsidR="00A314D8">
        <w:rPr>
          <w:rFonts w:ascii="Cambria" w:hAnsi="Cambria"/>
        </w:rPr>
        <w:lastRenderedPageBreak/>
        <w:t xml:space="preserve">medication-assisted </w:t>
      </w:r>
      <w:r w:rsidR="00454508">
        <w:rPr>
          <w:rFonts w:ascii="Cambria" w:hAnsi="Cambria"/>
        </w:rPr>
        <w:t>treatment</w:t>
      </w:r>
      <w:r w:rsidR="00A314D8">
        <w:rPr>
          <w:rFonts w:ascii="Cambria" w:hAnsi="Cambria"/>
        </w:rPr>
        <w:t xml:space="preserve"> (MAT)</w:t>
      </w:r>
      <w:r w:rsidR="008E0456">
        <w:rPr>
          <w:rFonts w:ascii="Cambria" w:hAnsi="Cambria"/>
        </w:rPr>
        <w:t>, medical care, mental health, and other support services</w:t>
      </w:r>
      <w:r w:rsidR="008F1080">
        <w:rPr>
          <w:rFonts w:ascii="Cambria" w:hAnsi="Cambria"/>
        </w:rPr>
        <w:t xml:space="preserve">. </w:t>
      </w:r>
    </w:p>
    <w:p w14:paraId="1942B398" w14:textId="4C942F5D" w:rsidR="006242D3" w:rsidRPr="00E1513F" w:rsidRDefault="0063032D" w:rsidP="00E1513F">
      <w:pPr>
        <w:spacing w:line="480" w:lineRule="auto"/>
        <w:ind w:firstLine="720"/>
        <w:rPr>
          <w:rFonts w:ascii="Cambria" w:hAnsi="Cambria"/>
        </w:rPr>
      </w:pPr>
      <w:r>
        <w:rPr>
          <w:rFonts w:ascii="Cambria" w:hAnsi="Cambria"/>
        </w:rPr>
        <w:t>Although it is difficult to assess</w:t>
      </w:r>
      <w:r w:rsidR="002C3750">
        <w:rPr>
          <w:rFonts w:ascii="Cambria" w:hAnsi="Cambria"/>
        </w:rPr>
        <w:t xml:space="preserve"> the empirical effectiveness of public health-based HR programs </w:t>
      </w:r>
      <w:r>
        <w:rPr>
          <w:rFonts w:ascii="Cambria" w:hAnsi="Cambria"/>
        </w:rPr>
        <w:t>given that the services offered varies across locations</w:t>
      </w:r>
      <w:r w:rsidR="002C3750">
        <w:rPr>
          <w:rFonts w:ascii="Cambria" w:hAnsi="Cambria"/>
        </w:rPr>
        <w:t xml:space="preserve">, </w:t>
      </w:r>
      <w:r w:rsidR="008F3A06">
        <w:rPr>
          <w:rFonts w:ascii="Cambria" w:hAnsi="Cambria"/>
        </w:rPr>
        <w:t>their ability to</w:t>
      </w:r>
      <w:r w:rsidR="0007408A">
        <w:rPr>
          <w:rFonts w:ascii="Cambria" w:hAnsi="Cambria"/>
        </w:rPr>
        <w:t xml:space="preserve"> </w:t>
      </w:r>
      <w:r w:rsidR="00546063">
        <w:rPr>
          <w:rFonts w:ascii="Cambria" w:hAnsi="Cambria"/>
        </w:rPr>
        <w:t>prevent</w:t>
      </w:r>
      <w:r w:rsidR="0007408A">
        <w:rPr>
          <w:rFonts w:ascii="Cambria" w:hAnsi="Cambria"/>
        </w:rPr>
        <w:t xml:space="preserve"> the transmission of</w:t>
      </w:r>
      <w:r w:rsidR="00E0757B">
        <w:rPr>
          <w:rFonts w:ascii="Cambria" w:hAnsi="Cambria"/>
        </w:rPr>
        <w:t xml:space="preserve"> needle-borne infectious disease</w:t>
      </w:r>
      <w:r w:rsidR="00D04A14">
        <w:rPr>
          <w:rFonts w:ascii="Cambria" w:hAnsi="Cambria"/>
        </w:rPr>
        <w:t>s</w:t>
      </w:r>
      <w:r w:rsidR="00546063">
        <w:rPr>
          <w:rFonts w:ascii="Cambria" w:hAnsi="Cambria"/>
        </w:rPr>
        <w:t xml:space="preserve"> </w:t>
      </w:r>
      <w:r w:rsidR="008F3A06">
        <w:rPr>
          <w:rFonts w:ascii="Cambria" w:hAnsi="Cambria"/>
        </w:rPr>
        <w:t>is well document</w:t>
      </w:r>
      <w:r>
        <w:rPr>
          <w:rFonts w:ascii="Cambria" w:hAnsi="Cambria"/>
        </w:rPr>
        <w:t>ed</w:t>
      </w:r>
      <w:r w:rsidR="00546063">
        <w:rPr>
          <w:rFonts w:ascii="Cambria" w:hAnsi="Cambria"/>
        </w:rPr>
        <w:t xml:space="preserve">. </w:t>
      </w:r>
      <w:r w:rsidR="00D04A14">
        <w:rPr>
          <w:rFonts w:ascii="Cambria" w:hAnsi="Cambria"/>
        </w:rPr>
        <w:t xml:space="preserve">According </w:t>
      </w:r>
      <w:r w:rsidR="00472424">
        <w:rPr>
          <w:rFonts w:ascii="Cambria" w:hAnsi="Cambria"/>
        </w:rPr>
        <w:t>to the Centers for Disease Control and Prevention (CDC</w:t>
      </w:r>
      <w:r w:rsidR="00585CDC">
        <w:rPr>
          <w:rFonts w:ascii="Cambria" w:hAnsi="Cambria"/>
        </w:rPr>
        <w:t xml:space="preserve">: 2023: </w:t>
      </w:r>
      <w:proofErr w:type="spellStart"/>
      <w:r w:rsidR="00585CDC">
        <w:rPr>
          <w:rFonts w:ascii="Cambria" w:hAnsi="Cambria"/>
        </w:rPr>
        <w:t>n.p</w:t>
      </w:r>
      <w:proofErr w:type="spellEnd"/>
      <w:r w:rsidR="00585CDC">
        <w:rPr>
          <w:rFonts w:ascii="Cambria" w:hAnsi="Cambria"/>
        </w:rPr>
        <w:t>.)</w:t>
      </w:r>
      <w:r w:rsidR="00472424">
        <w:rPr>
          <w:rFonts w:ascii="Cambria" w:hAnsi="Cambria"/>
        </w:rPr>
        <w:t xml:space="preserve">, </w:t>
      </w:r>
      <w:r w:rsidR="003A7F12">
        <w:rPr>
          <w:rFonts w:ascii="Cambria" w:hAnsi="Cambria"/>
        </w:rPr>
        <w:t xml:space="preserve">NEPs </w:t>
      </w:r>
      <w:r w:rsidR="00A72E83">
        <w:rPr>
          <w:rFonts w:ascii="Cambria" w:hAnsi="Cambria"/>
        </w:rPr>
        <w:t xml:space="preserve">reduce </w:t>
      </w:r>
      <w:r w:rsidR="00144F48">
        <w:rPr>
          <w:rFonts w:ascii="Cambria" w:hAnsi="Cambria"/>
        </w:rPr>
        <w:t>incidences of HIV and viral hepatitis C (HCV) at approximately 50%</w:t>
      </w:r>
      <w:r w:rsidR="006A0401">
        <w:rPr>
          <w:rFonts w:ascii="Cambria" w:hAnsi="Cambria"/>
        </w:rPr>
        <w:t xml:space="preserve"> </w:t>
      </w:r>
      <w:r w:rsidR="008F3A06">
        <w:rPr>
          <w:rFonts w:ascii="Cambria" w:hAnsi="Cambria"/>
        </w:rPr>
        <w:t xml:space="preserve">as standalone programs. However, that </w:t>
      </w:r>
      <w:r w:rsidR="00AD5FA0">
        <w:rPr>
          <w:rFonts w:ascii="Cambria" w:hAnsi="Cambria"/>
        </w:rPr>
        <w:t xml:space="preserve">number increases to more than two-thirds </w:t>
      </w:r>
      <w:r w:rsidR="006A0401">
        <w:rPr>
          <w:rFonts w:ascii="Cambria" w:hAnsi="Cambria"/>
        </w:rPr>
        <w:t>when</w:t>
      </w:r>
      <w:r w:rsidR="00482872">
        <w:rPr>
          <w:rFonts w:ascii="Cambria" w:hAnsi="Cambria"/>
        </w:rPr>
        <w:t xml:space="preserve"> they also offer</w:t>
      </w:r>
      <w:r w:rsidR="00F17F43">
        <w:rPr>
          <w:rFonts w:ascii="Cambria" w:hAnsi="Cambria"/>
        </w:rPr>
        <w:t xml:space="preserve"> </w:t>
      </w:r>
      <w:r w:rsidR="00DA4467">
        <w:rPr>
          <w:rFonts w:ascii="Cambria" w:hAnsi="Cambria"/>
        </w:rPr>
        <w:t>medications for opioid use disorder (MOUD) and/or medication-assisted treatment (MAT)</w:t>
      </w:r>
      <w:r w:rsidR="00AD5FA0">
        <w:rPr>
          <w:rFonts w:ascii="Cambria" w:hAnsi="Cambria"/>
        </w:rPr>
        <w:t xml:space="preserve"> are provided. </w:t>
      </w:r>
      <w:r w:rsidR="00482872">
        <w:rPr>
          <w:rFonts w:ascii="Cambria" w:hAnsi="Cambria"/>
        </w:rPr>
        <w:t>Beyond</w:t>
      </w:r>
      <w:r w:rsidR="00546063">
        <w:rPr>
          <w:rFonts w:ascii="Cambria" w:hAnsi="Cambria"/>
        </w:rPr>
        <w:t xml:space="preserve"> this, </w:t>
      </w:r>
      <w:r w:rsidR="00141FB9">
        <w:rPr>
          <w:rFonts w:ascii="Cambria" w:hAnsi="Cambria"/>
        </w:rPr>
        <w:t>summative</w:t>
      </w:r>
      <w:r w:rsidR="00F2430E">
        <w:rPr>
          <w:rFonts w:ascii="Cambria" w:hAnsi="Cambria"/>
        </w:rPr>
        <w:t xml:space="preserve"> </w:t>
      </w:r>
      <w:r w:rsidR="0033081D">
        <w:rPr>
          <w:rFonts w:ascii="Cambria" w:hAnsi="Cambria"/>
        </w:rPr>
        <w:t xml:space="preserve">evaluations </w:t>
      </w:r>
      <w:r w:rsidR="004065E0">
        <w:rPr>
          <w:rFonts w:ascii="Cambria" w:hAnsi="Cambria"/>
        </w:rPr>
        <w:t>that</w:t>
      </w:r>
      <w:r w:rsidR="00141FB9">
        <w:rPr>
          <w:rFonts w:ascii="Cambria" w:hAnsi="Cambria"/>
        </w:rPr>
        <w:t xml:space="preserve"> measure </w:t>
      </w:r>
      <w:r w:rsidR="003A7AB0">
        <w:rPr>
          <w:rFonts w:ascii="Cambria" w:hAnsi="Cambria"/>
        </w:rPr>
        <w:t>the</w:t>
      </w:r>
      <w:r w:rsidR="00141FB9">
        <w:rPr>
          <w:rFonts w:ascii="Cambria" w:hAnsi="Cambria"/>
        </w:rPr>
        <w:t xml:space="preserve"> </w:t>
      </w:r>
      <w:r w:rsidR="009D767C">
        <w:rPr>
          <w:rFonts w:ascii="Cambria" w:hAnsi="Cambria"/>
        </w:rPr>
        <w:t>effectiveness</w:t>
      </w:r>
      <w:r w:rsidR="003A7AB0">
        <w:rPr>
          <w:rFonts w:ascii="Cambria" w:hAnsi="Cambria"/>
        </w:rPr>
        <w:t xml:space="preserve"> of specific interventions</w:t>
      </w:r>
      <w:r w:rsidR="004065E0">
        <w:rPr>
          <w:rFonts w:ascii="Cambria" w:hAnsi="Cambria"/>
        </w:rPr>
        <w:t xml:space="preserve"> between programs</w:t>
      </w:r>
      <w:r w:rsidR="00141FB9">
        <w:rPr>
          <w:rFonts w:ascii="Cambria" w:hAnsi="Cambria"/>
        </w:rPr>
        <w:t xml:space="preserve"> </w:t>
      </w:r>
      <w:r w:rsidR="004065E0">
        <w:rPr>
          <w:rFonts w:ascii="Cambria" w:hAnsi="Cambria"/>
        </w:rPr>
        <w:t>are difficult because their goals vary</w:t>
      </w:r>
      <w:r w:rsidR="00421D82">
        <w:rPr>
          <w:rFonts w:ascii="Cambria" w:hAnsi="Cambria"/>
        </w:rPr>
        <w:t xml:space="preserve"> (Delgado, 2004: </w:t>
      </w:r>
      <w:proofErr w:type="spellStart"/>
      <w:r w:rsidR="00421D82">
        <w:rPr>
          <w:rFonts w:ascii="Cambria" w:hAnsi="Cambria"/>
        </w:rPr>
        <w:t>n.p</w:t>
      </w:r>
      <w:proofErr w:type="spellEnd"/>
      <w:r w:rsidR="00421D82">
        <w:rPr>
          <w:rFonts w:ascii="Cambria" w:hAnsi="Cambria"/>
        </w:rPr>
        <w:t>.)</w:t>
      </w:r>
      <w:r w:rsidR="004065E0">
        <w:rPr>
          <w:rFonts w:ascii="Cambria" w:hAnsi="Cambria"/>
        </w:rPr>
        <w:t xml:space="preserve">. For example, </w:t>
      </w:r>
      <w:r w:rsidR="00626218">
        <w:rPr>
          <w:rFonts w:ascii="Cambria" w:hAnsi="Cambria"/>
        </w:rPr>
        <w:t>because entry into drug treatment is not a goal for all</w:t>
      </w:r>
      <w:r w:rsidR="004065E0">
        <w:rPr>
          <w:rFonts w:ascii="Cambria" w:hAnsi="Cambria"/>
        </w:rPr>
        <w:t xml:space="preserve"> </w:t>
      </w:r>
      <w:r w:rsidR="003A7AB0">
        <w:rPr>
          <w:rFonts w:ascii="Cambria" w:hAnsi="Cambria"/>
        </w:rPr>
        <w:t>NEP programs</w:t>
      </w:r>
      <w:r w:rsidR="00626218">
        <w:rPr>
          <w:rFonts w:ascii="Cambria" w:hAnsi="Cambria"/>
        </w:rPr>
        <w:t xml:space="preserve">, </w:t>
      </w:r>
      <w:r w:rsidR="004A3671">
        <w:rPr>
          <w:rFonts w:ascii="Cambria" w:hAnsi="Cambria"/>
        </w:rPr>
        <w:t>measuring the</w:t>
      </w:r>
      <w:r w:rsidR="00411DAA">
        <w:rPr>
          <w:rFonts w:ascii="Cambria" w:hAnsi="Cambria"/>
        </w:rPr>
        <w:t xml:space="preserve">ir “success” in terms of this outcome variable would be misleading. </w:t>
      </w:r>
      <w:r w:rsidR="00264E4C">
        <w:rPr>
          <w:rFonts w:ascii="Cambria" w:hAnsi="Cambria"/>
        </w:rPr>
        <w:t>Therefore,</w:t>
      </w:r>
      <w:r w:rsidR="001B011F">
        <w:rPr>
          <w:rFonts w:ascii="Cambria" w:hAnsi="Cambria"/>
        </w:rPr>
        <w:t xml:space="preserve"> evaluations of these programs </w:t>
      </w:r>
      <w:r w:rsidR="00FE62CF">
        <w:rPr>
          <w:rFonts w:ascii="Cambria" w:hAnsi="Cambria"/>
        </w:rPr>
        <w:t>largely</w:t>
      </w:r>
      <w:r w:rsidR="00FB4F9E">
        <w:rPr>
          <w:rFonts w:ascii="Cambria" w:hAnsi="Cambria"/>
        </w:rPr>
        <w:t xml:space="preserve"> focus</w:t>
      </w:r>
      <w:r w:rsidR="00A14FFC">
        <w:rPr>
          <w:rFonts w:ascii="Cambria" w:hAnsi="Cambria"/>
        </w:rPr>
        <w:t xml:space="preserve"> </w:t>
      </w:r>
      <w:r w:rsidR="00532A5B">
        <w:rPr>
          <w:rFonts w:ascii="Cambria" w:hAnsi="Cambria"/>
        </w:rPr>
        <w:t>on</w:t>
      </w:r>
      <w:r w:rsidR="003B58BC">
        <w:rPr>
          <w:rFonts w:ascii="Cambria" w:hAnsi="Cambria"/>
        </w:rPr>
        <w:t xml:space="preserve"> their ability to</w:t>
      </w:r>
      <w:r w:rsidR="001D2183">
        <w:rPr>
          <w:rFonts w:ascii="Cambria" w:hAnsi="Cambria"/>
        </w:rPr>
        <w:t xml:space="preserve"> </w:t>
      </w:r>
      <w:r w:rsidR="006F0432">
        <w:rPr>
          <w:rFonts w:ascii="Cambria" w:hAnsi="Cambria"/>
        </w:rPr>
        <w:t>prevent the</w:t>
      </w:r>
      <w:r w:rsidR="00FE62CF">
        <w:rPr>
          <w:rFonts w:ascii="Cambria" w:hAnsi="Cambria"/>
        </w:rPr>
        <w:t xml:space="preserve"> spread of</w:t>
      </w:r>
      <w:r w:rsidR="00EE7192">
        <w:rPr>
          <w:rFonts w:ascii="Cambria" w:hAnsi="Cambria"/>
        </w:rPr>
        <w:t xml:space="preserve"> </w:t>
      </w:r>
      <w:r w:rsidR="002861E9">
        <w:rPr>
          <w:rFonts w:ascii="Cambria" w:hAnsi="Cambria"/>
        </w:rPr>
        <w:t>infectious diseases</w:t>
      </w:r>
      <w:r w:rsidR="00E102D4">
        <w:rPr>
          <w:rFonts w:ascii="Cambria" w:hAnsi="Cambria"/>
        </w:rPr>
        <w:t xml:space="preserve"> at</w:t>
      </w:r>
      <w:r w:rsidR="002861E9">
        <w:rPr>
          <w:rFonts w:ascii="Cambria" w:hAnsi="Cambria"/>
        </w:rPr>
        <w:t xml:space="preserve"> the individual and/or community level</w:t>
      </w:r>
      <w:r w:rsidR="003B58BC">
        <w:rPr>
          <w:rFonts w:ascii="Cambria" w:hAnsi="Cambria"/>
        </w:rPr>
        <w:t xml:space="preserve"> </w:t>
      </w:r>
      <w:r w:rsidR="008E1F37">
        <w:rPr>
          <w:rFonts w:ascii="Cambria" w:hAnsi="Cambria"/>
        </w:rPr>
        <w:t>and</w:t>
      </w:r>
      <w:r w:rsidR="003B58BC">
        <w:rPr>
          <w:rFonts w:ascii="Cambria" w:hAnsi="Cambria"/>
        </w:rPr>
        <w:t xml:space="preserve"> measure their success</w:t>
      </w:r>
      <w:r w:rsidR="008E1F37">
        <w:rPr>
          <w:rFonts w:ascii="Cambria" w:hAnsi="Cambria"/>
        </w:rPr>
        <w:t xml:space="preserve"> in terms of healthcare savings.</w:t>
      </w:r>
      <w:r w:rsidR="00E1513F">
        <w:rPr>
          <w:rFonts w:ascii="Cambria" w:hAnsi="Cambria"/>
        </w:rPr>
        <w:t xml:space="preserve"> </w:t>
      </w:r>
      <w:r w:rsidR="00B076D2">
        <w:rPr>
          <w:rFonts w:ascii="Cambria" w:hAnsi="Cambria"/>
        </w:rPr>
        <w:t>Although this data</w:t>
      </w:r>
      <w:r w:rsidR="00E1513F">
        <w:rPr>
          <w:rFonts w:ascii="Cambria" w:hAnsi="Cambria"/>
        </w:rPr>
        <w:t xml:space="preserve"> </w:t>
      </w:r>
      <w:r w:rsidR="00D606A4" w:rsidRPr="006242D3">
        <w:rPr>
          <w:rFonts w:ascii="Cambria" w:hAnsi="Cambria"/>
        </w:rPr>
        <w:t>situates</w:t>
      </w:r>
      <w:r w:rsidR="006242D3" w:rsidRPr="006242D3">
        <w:rPr>
          <w:rFonts w:ascii="Cambria" w:hAnsi="Cambria"/>
        </w:rPr>
        <w:t xml:space="preserve"> HR within an “unwavering teleology of criminal justice and drug treatment programs”</w:t>
      </w:r>
      <w:r w:rsidR="00B076D2">
        <w:rPr>
          <w:rFonts w:ascii="Cambria" w:hAnsi="Cambria"/>
        </w:rPr>
        <w:t xml:space="preserve"> making them</w:t>
      </w:r>
      <w:r w:rsidR="00491F84">
        <w:rPr>
          <w:rFonts w:ascii="Cambria" w:hAnsi="Cambria"/>
        </w:rPr>
        <w:t xml:space="preserve"> more marketable in opposition contexts,</w:t>
      </w:r>
      <w:r w:rsidR="006242D3" w:rsidRPr="006242D3">
        <w:rPr>
          <w:rFonts w:ascii="Cambria" w:hAnsi="Cambria"/>
        </w:rPr>
        <w:t xml:space="preserve"> they remain difficult to garner political support for due to their </w:t>
      </w:r>
      <w:sdt>
        <w:sdtPr>
          <w:rPr>
            <w:rFonts w:ascii="Cambria" w:hAnsi="Cambria"/>
          </w:rPr>
          <w:tag w:val="goog_rdk_135"/>
          <w:id w:val="-1631323995"/>
        </w:sdtPr>
        <w:sdtContent>
          <w:r w:rsidR="006242D3" w:rsidRPr="006242D3">
            <w:rPr>
              <w:rFonts w:ascii="Cambria" w:hAnsi="Cambria"/>
              <w:i/>
            </w:rPr>
            <w:t xml:space="preserve">perceived </w:t>
          </w:r>
        </w:sdtContent>
      </w:sdt>
      <w:r w:rsidR="006242D3" w:rsidRPr="006242D3">
        <w:rPr>
          <w:rFonts w:ascii="Cambria" w:hAnsi="Cambria"/>
        </w:rPr>
        <w:t>misalignment with the primary goal of criminalized drug prohibition</w:t>
      </w:r>
      <w:r w:rsidR="00B43E1E">
        <w:rPr>
          <w:rFonts w:ascii="Cambria" w:hAnsi="Cambria"/>
        </w:rPr>
        <w:t>—eradicating criminalized drug use (</w:t>
      </w:r>
      <w:r w:rsidR="00B43E1E" w:rsidRPr="006242D3">
        <w:rPr>
          <w:rFonts w:ascii="Cambria" w:hAnsi="Cambria"/>
        </w:rPr>
        <w:t>Gowen, Whetstone &amp; Andic 2012).</w:t>
      </w:r>
      <w:r w:rsidR="006242D3" w:rsidRPr="006242D3">
        <w:rPr>
          <w:rFonts w:ascii="Cambria" w:hAnsi="Cambria"/>
        </w:rPr>
        <w:t xml:space="preserve"> </w:t>
      </w:r>
      <w:r w:rsidR="006D0E39">
        <w:rPr>
          <w:rFonts w:ascii="Cambria" w:hAnsi="Cambria"/>
        </w:rPr>
        <w:t>Whereas</w:t>
      </w:r>
      <w:r w:rsidR="002C3778">
        <w:rPr>
          <w:rFonts w:ascii="Cambria" w:hAnsi="Cambria"/>
        </w:rPr>
        <w:t xml:space="preserve"> </w:t>
      </w:r>
      <w:r w:rsidR="00E33270">
        <w:rPr>
          <w:rFonts w:ascii="Cambria" w:hAnsi="Cambria"/>
        </w:rPr>
        <w:t>with Christie</w:t>
      </w:r>
      <w:r w:rsidR="0050660D">
        <w:rPr>
          <w:rFonts w:ascii="Cambria" w:hAnsi="Cambria"/>
        </w:rPr>
        <w:t xml:space="preserve"> this tension manifested in a</w:t>
      </w:r>
      <w:r w:rsidR="006242D3" w:rsidRPr="006242D3">
        <w:rPr>
          <w:rFonts w:ascii="Cambria" w:hAnsi="Cambria"/>
        </w:rPr>
        <w:t xml:space="preserve"> refusal to </w:t>
      </w:r>
      <w:r w:rsidR="006D0E39">
        <w:rPr>
          <w:rFonts w:ascii="Cambria" w:hAnsi="Cambria"/>
        </w:rPr>
        <w:t xml:space="preserve">even </w:t>
      </w:r>
      <w:r w:rsidR="006242D3" w:rsidRPr="006242D3">
        <w:rPr>
          <w:rFonts w:ascii="Cambria" w:hAnsi="Cambria"/>
        </w:rPr>
        <w:t xml:space="preserve">acknowledge HR’s potential at the federal level, </w:t>
      </w:r>
      <w:r w:rsidR="0050660D">
        <w:rPr>
          <w:rFonts w:ascii="Cambria" w:hAnsi="Cambria"/>
        </w:rPr>
        <w:t>with</w:t>
      </w:r>
      <w:r w:rsidR="00BD1ACB">
        <w:rPr>
          <w:rFonts w:ascii="Cambria" w:hAnsi="Cambria"/>
        </w:rPr>
        <w:t xml:space="preserve"> </w:t>
      </w:r>
      <w:r w:rsidR="006242D3" w:rsidRPr="006242D3">
        <w:rPr>
          <w:rFonts w:ascii="Cambria" w:hAnsi="Cambria"/>
        </w:rPr>
        <w:t>West Virginia Governor Jim Justice</w:t>
      </w:r>
      <w:r w:rsidR="0050660D">
        <w:rPr>
          <w:rFonts w:ascii="Cambria" w:hAnsi="Cambria"/>
        </w:rPr>
        <w:t xml:space="preserve"> it prompted the passage of a law</w:t>
      </w:r>
      <w:r w:rsidR="006242D3" w:rsidRPr="006242D3">
        <w:rPr>
          <w:rFonts w:ascii="Cambria" w:hAnsi="Cambria"/>
        </w:rPr>
        <w:t xml:space="preserve"> restricting NEPs </w:t>
      </w:r>
      <w:r w:rsidR="0050660D">
        <w:rPr>
          <w:rFonts w:ascii="Cambria" w:hAnsi="Cambria"/>
        </w:rPr>
        <w:t xml:space="preserve">in 2021 despite </w:t>
      </w:r>
      <w:r w:rsidR="0050660D" w:rsidRPr="006242D3">
        <w:rPr>
          <w:rFonts w:ascii="Cambria" w:hAnsi="Cambria"/>
        </w:rPr>
        <w:t xml:space="preserve">rising rates of HIV among </w:t>
      </w:r>
      <w:r w:rsidR="00F92A4D" w:rsidRPr="006242D3">
        <w:rPr>
          <w:rFonts w:ascii="Cambria" w:hAnsi="Cambria"/>
        </w:rPr>
        <w:t>IDUs</w:t>
      </w:r>
      <w:r w:rsidR="00F92A4D">
        <w:rPr>
          <w:rFonts w:ascii="Cambria" w:hAnsi="Cambria"/>
        </w:rPr>
        <w:t>.</w:t>
      </w:r>
      <w:r w:rsidR="006242D3" w:rsidRPr="006242D3">
        <w:rPr>
          <w:rFonts w:ascii="Cambria" w:hAnsi="Cambria"/>
        </w:rPr>
        <w:t xml:space="preserve"> Given that the law targets NEPs not connected to local health departments</w:t>
      </w:r>
      <w:r w:rsidR="00F92A4D">
        <w:rPr>
          <w:rFonts w:ascii="Cambria" w:hAnsi="Cambria"/>
        </w:rPr>
        <w:t xml:space="preserve"> </w:t>
      </w:r>
      <w:r>
        <w:rPr>
          <w:rFonts w:ascii="Cambria" w:hAnsi="Cambria"/>
        </w:rPr>
        <w:lastRenderedPageBreak/>
        <w:t>specifically</w:t>
      </w:r>
      <w:r w:rsidR="006242D3" w:rsidRPr="006242D3">
        <w:rPr>
          <w:rFonts w:ascii="Cambria" w:hAnsi="Cambria"/>
        </w:rPr>
        <w:t xml:space="preserve">, this move, Dan </w:t>
      </w:r>
      <w:proofErr w:type="spellStart"/>
      <w:r w:rsidR="006242D3" w:rsidRPr="006242D3">
        <w:rPr>
          <w:rFonts w:ascii="Cambria" w:hAnsi="Cambria"/>
        </w:rPr>
        <w:t>Vergano</w:t>
      </w:r>
      <w:proofErr w:type="spellEnd"/>
      <w:r w:rsidR="006242D3" w:rsidRPr="006242D3">
        <w:rPr>
          <w:rFonts w:ascii="Cambria" w:hAnsi="Cambria"/>
        </w:rPr>
        <w:t xml:space="preserve"> (2020: </w:t>
      </w:r>
      <w:proofErr w:type="spellStart"/>
      <w:r w:rsidR="006242D3" w:rsidRPr="006242D3">
        <w:rPr>
          <w:rFonts w:ascii="Cambria" w:hAnsi="Cambria"/>
        </w:rPr>
        <w:t>n.p</w:t>
      </w:r>
      <w:proofErr w:type="spellEnd"/>
      <w:r w:rsidR="006242D3" w:rsidRPr="006242D3">
        <w:rPr>
          <w:rFonts w:ascii="Cambria" w:hAnsi="Cambria"/>
        </w:rPr>
        <w:t xml:space="preserve">.) writes, is likely to not only “shutter or </w:t>
      </w:r>
      <w:proofErr w:type="spellStart"/>
      <w:r w:rsidR="006242D3" w:rsidRPr="006242D3">
        <w:rPr>
          <w:rFonts w:ascii="Cambria" w:hAnsi="Cambria"/>
        </w:rPr>
        <w:t>driv</w:t>
      </w:r>
      <w:proofErr w:type="spellEnd"/>
      <w:r w:rsidR="006242D3" w:rsidRPr="006242D3">
        <w:rPr>
          <w:rFonts w:ascii="Cambria" w:hAnsi="Cambria"/>
        </w:rPr>
        <w:t>[e] many exchanges in the state underground” but obstruct users who are fearful of interacting with state authorities from accessing vital services.</w:t>
      </w:r>
    </w:p>
    <w:p w14:paraId="0D6D4EAC" w14:textId="32B51836" w:rsidR="00F81842" w:rsidRPr="006242D3" w:rsidRDefault="006242D3" w:rsidP="0063032D">
      <w:pPr>
        <w:spacing w:line="480" w:lineRule="auto"/>
        <w:ind w:firstLine="720"/>
        <w:rPr>
          <w:rFonts w:ascii="Cambria" w:hAnsi="Cambria"/>
        </w:rPr>
      </w:pPr>
      <w:r w:rsidRPr="006242D3">
        <w:rPr>
          <w:rFonts w:ascii="Cambria" w:hAnsi="Cambria"/>
        </w:rPr>
        <w:t xml:space="preserve">According to the law’s sponsor, Senator Eric </w:t>
      </w:r>
      <w:proofErr w:type="spellStart"/>
      <w:r w:rsidRPr="006242D3">
        <w:rPr>
          <w:rFonts w:ascii="Cambria" w:hAnsi="Cambria"/>
        </w:rPr>
        <w:t>Tarr</w:t>
      </w:r>
      <w:proofErr w:type="spellEnd"/>
      <w:r w:rsidRPr="006242D3">
        <w:rPr>
          <w:rFonts w:ascii="Cambria" w:hAnsi="Cambria"/>
        </w:rPr>
        <w:t>, one of the primary reasons for his opposition to NEPs aside from his distaste for what he refers to as “needle-litter” is the refusal of staff to “automatically enroll participants into recovery programs.” While he wants the West Virginia law to not only mandate that needles be labeled with the participant’s name but that they be required to show state-issued identification to receive them, this directly contradicts the CDC’s recommendation t</w:t>
      </w:r>
      <w:sdt>
        <w:sdtPr>
          <w:rPr>
            <w:rFonts w:ascii="Cambria" w:hAnsi="Cambria"/>
          </w:rPr>
          <w:tag w:val="goog_rdk_139"/>
          <w:id w:val="-1513209782"/>
        </w:sdtPr>
        <w:sdtContent/>
      </w:sdt>
      <w:sdt>
        <w:sdtPr>
          <w:rPr>
            <w:rFonts w:ascii="Cambria" w:hAnsi="Cambria"/>
          </w:rPr>
          <w:tag w:val="goog_rdk_140"/>
          <w:id w:val="-1407991541"/>
        </w:sdtPr>
        <w:sdtContent>
          <w:r w:rsidRPr="006242D3">
            <w:rPr>
              <w:rFonts w:ascii="Cambria" w:hAnsi="Cambria"/>
            </w:rPr>
            <w:t>hat HR programs offer low threshold services and anonymity</w:t>
          </w:r>
        </w:sdtContent>
      </w:sdt>
      <w:r w:rsidRPr="006242D3">
        <w:rPr>
          <w:rFonts w:ascii="Cambria" w:hAnsi="Cambria"/>
        </w:rPr>
        <w:t xml:space="preserve"> (</w:t>
      </w:r>
      <w:proofErr w:type="spellStart"/>
      <w:r w:rsidRPr="006242D3">
        <w:rPr>
          <w:rFonts w:ascii="Cambria" w:hAnsi="Cambria"/>
        </w:rPr>
        <w:t>Vergano</w:t>
      </w:r>
      <w:proofErr w:type="spellEnd"/>
      <w:r w:rsidRPr="006242D3">
        <w:rPr>
          <w:rFonts w:ascii="Cambria" w:hAnsi="Cambria"/>
        </w:rPr>
        <w:t xml:space="preserve">, 2020). Despite a lawsuit filed on behalf of “a collection of [HR] operators in the state by the American Civil Liberties Union of WV to challenge the enforceability of the law, arguing it failed to provide administrators of these programs with a “clear understanding of what would be required to comply with requirements and avoid fees,” after months of litigation and several restraining orders preventing it from going into effect, U.S. District Court Judge Robert C. Chambers sided with the state, “agreeing that [section of the law] reflects poor draftsmanship…but [that he could not] conclude these inconsistencies render the language so vague as to violate” the rights of due process (WV Public Broadcasting, 2021: </w:t>
      </w:r>
      <w:proofErr w:type="spellStart"/>
      <w:r w:rsidRPr="006242D3">
        <w:rPr>
          <w:rFonts w:ascii="Cambria" w:hAnsi="Cambria"/>
        </w:rPr>
        <w:t>n.p</w:t>
      </w:r>
      <w:proofErr w:type="spellEnd"/>
      <w:r w:rsidRPr="006242D3">
        <w:rPr>
          <w:rFonts w:ascii="Cambria" w:hAnsi="Cambria"/>
        </w:rPr>
        <w:t xml:space="preserve">.). </w:t>
      </w:r>
    </w:p>
    <w:p w14:paraId="31CD51B4" w14:textId="77777777" w:rsidR="00405A2C" w:rsidRDefault="006242D3" w:rsidP="0030288C">
      <w:pPr>
        <w:spacing w:line="480" w:lineRule="auto"/>
        <w:ind w:firstLine="720"/>
        <w:rPr>
          <w:rFonts w:ascii="Cambria" w:hAnsi="Cambria"/>
        </w:rPr>
      </w:pPr>
      <w:r w:rsidRPr="006242D3">
        <w:rPr>
          <w:rFonts w:ascii="Cambria" w:hAnsi="Cambria"/>
        </w:rPr>
        <w:t xml:space="preserve">In Eastern Kentucky, on the other hand, a grant from the </w:t>
      </w:r>
      <w:r w:rsidR="00221D7E">
        <w:rPr>
          <w:rFonts w:ascii="Cambria" w:hAnsi="Cambria"/>
        </w:rPr>
        <w:t>S</w:t>
      </w:r>
      <w:r w:rsidRPr="006242D3">
        <w:rPr>
          <w:rFonts w:ascii="Cambria" w:hAnsi="Cambria"/>
        </w:rPr>
        <w:t>tate Department for Public Health funded a mobile needle-exchange van, which will serve five rural counties—Knox, Laurel, Whitley, Clay, and Johnson—in addition to the fixed site NEPs they already have in place</w:t>
      </w:r>
      <w:r w:rsidR="0063032D">
        <w:rPr>
          <w:rFonts w:ascii="Cambria" w:hAnsi="Cambria"/>
        </w:rPr>
        <w:t xml:space="preserve"> (see Figure 4.2.)</w:t>
      </w:r>
      <w:r w:rsidRPr="006242D3">
        <w:rPr>
          <w:rFonts w:ascii="Cambria" w:hAnsi="Cambria"/>
        </w:rPr>
        <w:t xml:space="preserve">. Expressing regret that the NEP in Laurel County has been “slower than anticipated,” Hensley contends this is likely due to both transportation </w:t>
      </w:r>
      <w:r w:rsidRPr="006242D3">
        <w:rPr>
          <w:rFonts w:ascii="Cambria" w:hAnsi="Cambria"/>
        </w:rPr>
        <w:lastRenderedPageBreak/>
        <w:t>barriers and “fear of the program itself.” However, Hensley also argues in support for them by saying that the program costs a tenth of the tens of thousands of dollars it cost</w:t>
      </w:r>
      <w:sdt>
        <w:sdtPr>
          <w:rPr>
            <w:rFonts w:ascii="Cambria" w:hAnsi="Cambria"/>
          </w:rPr>
          <w:tag w:val="goog_rdk_147"/>
          <w:id w:val="-825352807"/>
        </w:sdtPr>
        <w:sdtContent>
          <w:sdt>
            <w:sdtPr>
              <w:rPr>
                <w:rFonts w:ascii="Cambria" w:hAnsi="Cambria"/>
              </w:rPr>
              <w:tag w:val="goog_rdk_148"/>
              <w:id w:val="-2025312402"/>
            </w:sdtPr>
            <w:sdtContent>
              <w:r w:rsidRPr="006242D3">
                <w:rPr>
                  <w:rFonts w:ascii="Cambria" w:hAnsi="Cambria"/>
                </w:rPr>
                <w:t>s</w:t>
              </w:r>
            </w:sdtContent>
          </w:sdt>
        </w:sdtContent>
      </w:sdt>
      <w:r w:rsidRPr="006242D3">
        <w:rPr>
          <w:rFonts w:ascii="Cambria" w:hAnsi="Cambria"/>
        </w:rPr>
        <w:t xml:space="preserve"> the state to treat someone with </w:t>
      </w:r>
      <w:r w:rsidR="00F81842">
        <w:rPr>
          <w:rFonts w:ascii="Cambria" w:hAnsi="Cambria"/>
        </w:rPr>
        <w:t>HIV and</w:t>
      </w:r>
      <w:r w:rsidR="00081775">
        <w:rPr>
          <w:rFonts w:ascii="Cambria" w:hAnsi="Cambria"/>
        </w:rPr>
        <w:t>/or</w:t>
      </w:r>
      <w:r w:rsidR="00F81842">
        <w:rPr>
          <w:rFonts w:ascii="Cambria" w:hAnsi="Cambria"/>
        </w:rPr>
        <w:t xml:space="preserve"> hepatitis C </w:t>
      </w:r>
      <w:r w:rsidRPr="006242D3">
        <w:rPr>
          <w:rFonts w:ascii="Cambria" w:hAnsi="Cambria"/>
        </w:rPr>
        <w:t xml:space="preserve">as well as helps drug users “find their way out of their addictions.  </w:t>
      </w:r>
      <w:r w:rsidR="00830CB9">
        <w:rPr>
          <w:rFonts w:ascii="Cambria" w:hAnsi="Cambria"/>
        </w:rPr>
        <w:t>The most recent data available from the</w:t>
      </w:r>
      <w:r w:rsidR="0067293F">
        <w:rPr>
          <w:rFonts w:ascii="Cambria" w:hAnsi="Cambria"/>
        </w:rPr>
        <w:t xml:space="preserve"> Kentucky Health Issu</w:t>
      </w:r>
      <w:r w:rsidR="0063032D">
        <w:rPr>
          <w:rFonts w:ascii="Cambria" w:hAnsi="Cambria"/>
        </w:rPr>
        <w:t>e</w:t>
      </w:r>
      <w:r w:rsidR="0067293F">
        <w:rPr>
          <w:rFonts w:ascii="Cambria" w:hAnsi="Cambria"/>
        </w:rPr>
        <w:t xml:space="preserve">s Poll </w:t>
      </w:r>
      <w:r w:rsidR="00830CB9">
        <w:rPr>
          <w:rFonts w:ascii="Cambria" w:hAnsi="Cambria"/>
        </w:rPr>
        <w:t xml:space="preserve">show that </w:t>
      </w:r>
      <w:r w:rsidR="00DF5150">
        <w:rPr>
          <w:rFonts w:ascii="Cambria" w:hAnsi="Cambria"/>
        </w:rPr>
        <w:t>about</w:t>
      </w:r>
      <w:r w:rsidR="00F37E01">
        <w:rPr>
          <w:rFonts w:ascii="Cambria" w:hAnsi="Cambria"/>
        </w:rPr>
        <w:t xml:space="preserve"> half or 49% of </w:t>
      </w:r>
      <w:r w:rsidR="00DF5150">
        <w:rPr>
          <w:rFonts w:ascii="Cambria" w:hAnsi="Cambria"/>
        </w:rPr>
        <w:t>r</w:t>
      </w:r>
      <w:r w:rsidR="00321582">
        <w:rPr>
          <w:rFonts w:ascii="Cambria" w:hAnsi="Cambria"/>
        </w:rPr>
        <w:t>esident</w:t>
      </w:r>
      <w:r w:rsidR="00DF5150">
        <w:rPr>
          <w:rFonts w:ascii="Cambria" w:hAnsi="Cambria"/>
        </w:rPr>
        <w:t xml:space="preserve">s </w:t>
      </w:r>
      <w:r w:rsidR="006659AB">
        <w:rPr>
          <w:rFonts w:ascii="Cambria" w:hAnsi="Cambria"/>
        </w:rPr>
        <w:t>support NEPs</w:t>
      </w:r>
      <w:r w:rsidR="004B0793">
        <w:rPr>
          <w:rFonts w:ascii="Cambria" w:hAnsi="Cambria"/>
        </w:rPr>
        <w:t xml:space="preserve"> in the state,</w:t>
      </w:r>
      <w:r w:rsidR="006659AB">
        <w:rPr>
          <w:rFonts w:ascii="Cambria" w:hAnsi="Cambria"/>
        </w:rPr>
        <w:t xml:space="preserve"> w</w:t>
      </w:r>
      <w:r w:rsidR="004B0793">
        <w:rPr>
          <w:rFonts w:ascii="Cambria" w:hAnsi="Cambria"/>
        </w:rPr>
        <w:t xml:space="preserve">hereas </w:t>
      </w:r>
      <w:r w:rsidR="006659AB">
        <w:rPr>
          <w:rFonts w:ascii="Cambria" w:hAnsi="Cambria"/>
        </w:rPr>
        <w:t xml:space="preserve">40% </w:t>
      </w:r>
      <w:r w:rsidR="004B0793">
        <w:rPr>
          <w:rFonts w:ascii="Cambria" w:hAnsi="Cambria"/>
        </w:rPr>
        <w:t>opposed</w:t>
      </w:r>
      <w:r w:rsidR="006659AB">
        <w:rPr>
          <w:rFonts w:ascii="Cambria" w:hAnsi="Cambria"/>
        </w:rPr>
        <w:t xml:space="preserve"> them and 10% responding they were unsure</w:t>
      </w:r>
      <w:r w:rsidR="00830CB9">
        <w:rPr>
          <w:rFonts w:ascii="Cambria" w:hAnsi="Cambria"/>
        </w:rPr>
        <w:t xml:space="preserve"> (</w:t>
      </w:r>
      <w:proofErr w:type="spellStart"/>
      <w:r w:rsidR="00830CB9">
        <w:rPr>
          <w:rFonts w:ascii="Cambria" w:hAnsi="Cambria"/>
        </w:rPr>
        <w:t>DeMio</w:t>
      </w:r>
      <w:proofErr w:type="spellEnd"/>
      <w:r w:rsidR="00830CB9">
        <w:rPr>
          <w:rFonts w:ascii="Cambria" w:hAnsi="Cambria"/>
        </w:rPr>
        <w:t xml:space="preserve">, 2019: </w:t>
      </w:r>
      <w:proofErr w:type="spellStart"/>
      <w:r w:rsidR="00830CB9">
        <w:rPr>
          <w:rFonts w:ascii="Cambria" w:hAnsi="Cambria"/>
        </w:rPr>
        <w:t>n.p</w:t>
      </w:r>
      <w:proofErr w:type="spellEnd"/>
      <w:r w:rsidR="00830CB9">
        <w:rPr>
          <w:rFonts w:ascii="Cambria" w:hAnsi="Cambria"/>
        </w:rPr>
        <w:t>).</w:t>
      </w:r>
      <w:r w:rsidR="004B0793">
        <w:rPr>
          <w:rFonts w:ascii="Cambria" w:hAnsi="Cambria"/>
        </w:rPr>
        <w:t xml:space="preserve"> </w:t>
      </w:r>
      <w:r w:rsidR="006B419E">
        <w:rPr>
          <w:rFonts w:ascii="Cambria" w:hAnsi="Cambria"/>
        </w:rPr>
        <w:t xml:space="preserve">Although </w:t>
      </w:r>
      <w:r w:rsidR="0081533B">
        <w:rPr>
          <w:rFonts w:ascii="Cambria" w:hAnsi="Cambria"/>
        </w:rPr>
        <w:t xml:space="preserve">Kentucky </w:t>
      </w:r>
      <w:r w:rsidR="00BD16F7">
        <w:rPr>
          <w:rFonts w:ascii="Cambria" w:hAnsi="Cambria"/>
        </w:rPr>
        <w:t>has 82 NEP programs</w:t>
      </w:r>
      <w:r w:rsidR="0081533B">
        <w:rPr>
          <w:rFonts w:ascii="Cambria" w:hAnsi="Cambria"/>
        </w:rPr>
        <w:t xml:space="preserve"> </w:t>
      </w:r>
      <w:r w:rsidR="008149EE">
        <w:rPr>
          <w:rFonts w:ascii="Cambria" w:hAnsi="Cambria"/>
        </w:rPr>
        <w:t>NEPs</w:t>
      </w:r>
      <w:r w:rsidR="00BD16F7">
        <w:rPr>
          <w:rFonts w:ascii="Cambria" w:hAnsi="Cambria"/>
        </w:rPr>
        <w:t>, more</w:t>
      </w:r>
      <w:r w:rsidR="008149EE">
        <w:rPr>
          <w:rFonts w:ascii="Cambria" w:hAnsi="Cambria"/>
        </w:rPr>
        <w:t xml:space="preserve"> </w:t>
      </w:r>
      <w:r w:rsidR="0081533B">
        <w:rPr>
          <w:rFonts w:ascii="Cambria" w:hAnsi="Cambria"/>
        </w:rPr>
        <w:t>than any other state</w:t>
      </w:r>
      <w:r w:rsidR="00BD16F7">
        <w:rPr>
          <w:rFonts w:ascii="Cambria" w:hAnsi="Cambria"/>
        </w:rPr>
        <w:t xml:space="preserve">, </w:t>
      </w:r>
      <w:r w:rsidR="00E24F71">
        <w:rPr>
          <w:rFonts w:ascii="Cambria" w:hAnsi="Cambria"/>
        </w:rPr>
        <w:t xml:space="preserve">executive director for the Office of Drug Control Policy, </w:t>
      </w:r>
      <w:r w:rsidR="00FC71B3">
        <w:rPr>
          <w:rFonts w:ascii="Cambria" w:hAnsi="Cambria"/>
        </w:rPr>
        <w:t xml:space="preserve">Van Ingram, told Kentucky </w:t>
      </w:r>
      <w:r w:rsidR="00CE4AFC">
        <w:rPr>
          <w:rFonts w:ascii="Cambria" w:hAnsi="Cambria"/>
        </w:rPr>
        <w:t xml:space="preserve">Health News, that </w:t>
      </w:r>
      <w:r w:rsidR="004B3A67">
        <w:rPr>
          <w:rFonts w:ascii="Cambria" w:hAnsi="Cambria"/>
        </w:rPr>
        <w:t>this was</w:t>
      </w:r>
      <w:r w:rsidR="00CE4AFC">
        <w:rPr>
          <w:rFonts w:ascii="Cambria" w:hAnsi="Cambria"/>
        </w:rPr>
        <w:t xml:space="preserve"> “not enough, we need more</w:t>
      </w:r>
      <w:r w:rsidR="00980439">
        <w:rPr>
          <w:rFonts w:ascii="Cambria" w:hAnsi="Cambria"/>
        </w:rPr>
        <w:t>”</w:t>
      </w:r>
      <w:r w:rsidR="007C038B">
        <w:rPr>
          <w:rFonts w:ascii="Cambria" w:hAnsi="Cambria"/>
        </w:rPr>
        <w:t xml:space="preserve"> (Cross, 2022: </w:t>
      </w:r>
      <w:proofErr w:type="spellStart"/>
      <w:r w:rsidR="007C038B">
        <w:rPr>
          <w:rFonts w:ascii="Cambria" w:hAnsi="Cambria"/>
        </w:rPr>
        <w:t>n.p</w:t>
      </w:r>
      <w:proofErr w:type="spellEnd"/>
      <w:r w:rsidR="007C038B">
        <w:rPr>
          <w:rFonts w:ascii="Cambria" w:hAnsi="Cambria"/>
        </w:rPr>
        <w:t>.).</w:t>
      </w:r>
      <w:r w:rsidR="00980439">
        <w:rPr>
          <w:rFonts w:ascii="Cambria" w:hAnsi="Cambria"/>
        </w:rPr>
        <w:t xml:space="preserve"> </w:t>
      </w:r>
      <w:r w:rsidR="0030288C" w:rsidRPr="006242D3">
        <w:rPr>
          <w:rFonts w:ascii="Cambria" w:hAnsi="Cambria"/>
        </w:rPr>
        <w:t>Similarly</w:t>
      </w:r>
      <w:r w:rsidR="0030288C">
        <w:rPr>
          <w:rFonts w:ascii="Cambria" w:hAnsi="Cambria"/>
        </w:rPr>
        <w:t>,</w:t>
      </w:r>
      <w:r w:rsidR="0030288C" w:rsidRPr="006242D3">
        <w:rPr>
          <w:rFonts w:ascii="Cambria" w:hAnsi="Cambria"/>
        </w:rPr>
        <w:t xml:space="preserve"> in Tennessee</w:t>
      </w:r>
      <w:sdt>
        <w:sdtPr>
          <w:rPr>
            <w:rFonts w:ascii="Cambria" w:hAnsi="Cambria"/>
          </w:rPr>
          <w:tag w:val="goog_rdk_155"/>
          <w:id w:val="1434326615"/>
        </w:sdtPr>
        <w:sdtContent>
          <w:r w:rsidR="0030288C" w:rsidRPr="006242D3">
            <w:rPr>
              <w:rFonts w:ascii="Cambria" w:hAnsi="Cambria"/>
            </w:rPr>
            <w:t xml:space="preserve"> i</w:t>
          </w:r>
        </w:sdtContent>
      </w:sdt>
      <w:r w:rsidR="0030288C" w:rsidRPr="006242D3">
        <w:rPr>
          <w:rFonts w:ascii="Cambria" w:hAnsi="Cambria"/>
        </w:rPr>
        <w:t xml:space="preserve">n May of 2018, East Tennessee University’s (ETSU) Center of Excellence for Inflammation, Infectious Disease, and Immunity opened the second NEP program in the state. Housed at the ETSU Quillen infectious diseases clinic, rather than call the program a needle exchange, it will be called a “Syringe Trade and Education Program. </w:t>
      </w:r>
      <w:r w:rsidR="0030288C">
        <w:rPr>
          <w:rFonts w:ascii="Cambria" w:hAnsi="Cambria"/>
        </w:rPr>
        <w:t>“As</w:t>
      </w:r>
      <w:r w:rsidR="0030288C" w:rsidRPr="006242D3">
        <w:rPr>
          <w:rFonts w:ascii="Cambria" w:hAnsi="Cambria"/>
        </w:rPr>
        <w:t xml:space="preserve"> director of operations at ETSU Center for Prescription Drug Abuse Prevention and Treatment, Angela </w:t>
      </w:r>
      <w:proofErr w:type="spellStart"/>
      <w:r w:rsidR="0030288C" w:rsidRPr="006242D3">
        <w:rPr>
          <w:rFonts w:ascii="Cambria" w:hAnsi="Cambria"/>
        </w:rPr>
        <w:t>Hagaman</w:t>
      </w:r>
      <w:proofErr w:type="spellEnd"/>
      <w:r w:rsidR="0030288C" w:rsidRPr="006242D3">
        <w:rPr>
          <w:rFonts w:ascii="Cambria" w:hAnsi="Cambria"/>
        </w:rPr>
        <w:t xml:space="preserve"> told the Johnson City Press, “We don’t treat it the same way we treat other chronic diseases. There’s still this myth that it will make more people use more drugs, that there will be more needles on the street and that you’re encouraging a bad moral decision…[and] we want to understand people’s concerns and help them understand the science [behind] NEPs” (</w:t>
      </w:r>
      <w:proofErr w:type="spellStart"/>
      <w:r w:rsidR="0030288C" w:rsidRPr="006242D3">
        <w:rPr>
          <w:rFonts w:ascii="Cambria" w:hAnsi="Cambria"/>
        </w:rPr>
        <w:t>Paykamian</w:t>
      </w:r>
      <w:proofErr w:type="spellEnd"/>
      <w:r w:rsidR="0030288C" w:rsidRPr="006242D3">
        <w:rPr>
          <w:rFonts w:ascii="Cambria" w:hAnsi="Cambria"/>
        </w:rPr>
        <w:t xml:space="preserve">, 2018: </w:t>
      </w:r>
      <w:proofErr w:type="spellStart"/>
      <w:r w:rsidR="0030288C" w:rsidRPr="006242D3">
        <w:rPr>
          <w:rFonts w:ascii="Cambria" w:hAnsi="Cambria"/>
        </w:rPr>
        <w:t>n.p</w:t>
      </w:r>
      <w:proofErr w:type="spellEnd"/>
      <w:r w:rsidR="0030288C" w:rsidRPr="006242D3">
        <w:rPr>
          <w:rFonts w:ascii="Cambria" w:hAnsi="Cambria"/>
        </w:rPr>
        <w:t>.).</w:t>
      </w:r>
      <w:r w:rsidR="0030288C">
        <w:rPr>
          <w:rFonts w:ascii="Cambria" w:hAnsi="Cambria"/>
        </w:rPr>
        <w:t xml:space="preserve"> </w:t>
      </w:r>
    </w:p>
    <w:p w14:paraId="4E096191" w14:textId="5F56B052" w:rsidR="002131BE" w:rsidRDefault="0030288C" w:rsidP="00405A2C">
      <w:pPr>
        <w:spacing w:line="480" w:lineRule="auto"/>
        <w:ind w:firstLine="720"/>
        <w:rPr>
          <w:rFonts w:ascii="Cambria" w:hAnsi="Cambria"/>
        </w:rPr>
      </w:pPr>
      <w:r>
        <w:rPr>
          <w:rFonts w:ascii="Cambria" w:hAnsi="Cambria"/>
        </w:rPr>
        <w:t xml:space="preserve">In the absence of support for intravenous drug users (IDUs) otherwise, the program at ETSU will provide vital resources to the community. However, the NEP being housed under a prescription drug abuse prevention and treatment center, use of the addiction as disease paradigm, shift in language from exchange to trade, and emphasis on education </w:t>
      </w:r>
      <w:r>
        <w:rPr>
          <w:rFonts w:ascii="Cambria" w:hAnsi="Cambria"/>
        </w:rPr>
        <w:lastRenderedPageBreak/>
        <w:t xml:space="preserve">illuminates its coercive intent. </w:t>
      </w:r>
      <w:r w:rsidRPr="006242D3">
        <w:rPr>
          <w:rFonts w:ascii="Cambria" w:hAnsi="Cambria"/>
        </w:rPr>
        <w:t xml:space="preserve"> As Gordon Roe (246) notes, HR is an “excellent illustration of a technology of agency, through which populations that manifest high risk or are composed of individuals deemed at risk become the target of program[s] to transform their status, to make them active citizens capable, as individuals and communities, of managing their own risk.</w:t>
      </w:r>
    </w:p>
    <w:p w14:paraId="762BB8E9" w14:textId="0661AA80" w:rsidR="0063032D" w:rsidRDefault="0063032D" w:rsidP="0063032D">
      <w:pPr>
        <w:spacing w:line="480" w:lineRule="auto"/>
        <w:jc w:val="center"/>
        <w:rPr>
          <w:rFonts w:ascii="Cambria" w:hAnsi="Cambria"/>
        </w:rPr>
      </w:pPr>
      <w:r>
        <w:rPr>
          <w:rFonts w:ascii="Cambria" w:hAnsi="Cambria"/>
          <w:noProof/>
        </w:rPr>
        <w:drawing>
          <wp:inline distT="0" distB="0" distL="0" distR="0" wp14:anchorId="6BD69AAF" wp14:editId="22F90F88">
            <wp:extent cx="4253024" cy="3039110"/>
            <wp:effectExtent l="0" t="0" r="1905" b="0"/>
            <wp:docPr id="11" name="Picture 1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94845" cy="3068994"/>
                    </a:xfrm>
                    <a:prstGeom prst="rect">
                      <a:avLst/>
                    </a:prstGeom>
                  </pic:spPr>
                </pic:pic>
              </a:graphicData>
            </a:graphic>
          </wp:inline>
        </w:drawing>
      </w:r>
    </w:p>
    <w:p w14:paraId="391B3469" w14:textId="77777777" w:rsidR="00495A8D" w:rsidRDefault="00495A8D" w:rsidP="00495A8D">
      <w:pPr>
        <w:spacing w:line="480" w:lineRule="auto"/>
        <w:rPr>
          <w:rFonts w:ascii="Cambria" w:hAnsi="Cambria"/>
        </w:rPr>
      </w:pPr>
      <w:r>
        <w:rPr>
          <w:rFonts w:ascii="Cambria" w:hAnsi="Cambria"/>
        </w:rPr>
        <w:t>Figure 4.2. Photograph of mobile needle-exchange.</w:t>
      </w:r>
    </w:p>
    <w:p w14:paraId="1FD9DA5A" w14:textId="4F32B1FE" w:rsidR="002131BE" w:rsidRDefault="002131BE" w:rsidP="00495A8D">
      <w:pPr>
        <w:spacing w:line="360" w:lineRule="auto"/>
        <w:rPr>
          <w:rFonts w:ascii="Cambria" w:hAnsi="Cambria"/>
        </w:rPr>
      </w:pPr>
      <w:r>
        <w:rPr>
          <w:rFonts w:ascii="Cambria" w:hAnsi="Cambria"/>
        </w:rPr>
        <w:t>Figure 4.2. depicts the mobile needle-exchange van funded by the Kentucky State Department of Public Health.</w:t>
      </w:r>
    </w:p>
    <w:p w14:paraId="3475D457" w14:textId="77777777" w:rsidR="002131BE" w:rsidRDefault="002131BE" w:rsidP="008F7BCF">
      <w:pPr>
        <w:spacing w:line="480" w:lineRule="auto"/>
        <w:ind w:firstLine="720"/>
        <w:rPr>
          <w:rFonts w:ascii="Cambria" w:hAnsi="Cambria"/>
        </w:rPr>
      </w:pPr>
    </w:p>
    <w:p w14:paraId="22B24F72" w14:textId="77777777" w:rsidR="002131BE" w:rsidRDefault="002131BE" w:rsidP="008F7BCF">
      <w:pPr>
        <w:spacing w:line="480" w:lineRule="auto"/>
        <w:ind w:firstLine="720"/>
        <w:rPr>
          <w:rFonts w:ascii="Cambria" w:hAnsi="Cambria"/>
        </w:rPr>
      </w:pPr>
    </w:p>
    <w:p w14:paraId="3628B2CD" w14:textId="77777777" w:rsidR="002131BE" w:rsidRDefault="002131BE" w:rsidP="008F7BCF">
      <w:pPr>
        <w:spacing w:line="480" w:lineRule="auto"/>
        <w:ind w:firstLine="720"/>
        <w:rPr>
          <w:rFonts w:ascii="Cambria" w:hAnsi="Cambria"/>
        </w:rPr>
      </w:pPr>
    </w:p>
    <w:p w14:paraId="4DEB9DC8" w14:textId="77777777" w:rsidR="002131BE" w:rsidRDefault="002131BE" w:rsidP="008F7BCF">
      <w:pPr>
        <w:spacing w:line="480" w:lineRule="auto"/>
        <w:ind w:firstLine="720"/>
        <w:rPr>
          <w:rFonts w:ascii="Cambria" w:hAnsi="Cambria"/>
        </w:rPr>
      </w:pPr>
    </w:p>
    <w:p w14:paraId="19540237" w14:textId="77777777" w:rsidR="002131BE" w:rsidRDefault="002131BE" w:rsidP="008F7BCF">
      <w:pPr>
        <w:spacing w:line="480" w:lineRule="auto"/>
        <w:ind w:firstLine="720"/>
        <w:rPr>
          <w:rFonts w:ascii="Cambria" w:hAnsi="Cambria"/>
        </w:rPr>
      </w:pPr>
    </w:p>
    <w:p w14:paraId="76DDB76B" w14:textId="77777777" w:rsidR="002131BE" w:rsidRDefault="002131BE" w:rsidP="008F7BCF">
      <w:pPr>
        <w:spacing w:line="480" w:lineRule="auto"/>
        <w:ind w:firstLine="720"/>
        <w:rPr>
          <w:rFonts w:ascii="Cambria" w:hAnsi="Cambria"/>
        </w:rPr>
      </w:pPr>
    </w:p>
    <w:p w14:paraId="5C6157AA" w14:textId="77777777" w:rsidR="00405A2C" w:rsidRDefault="00405A2C" w:rsidP="008F7BCF">
      <w:pPr>
        <w:spacing w:line="480" w:lineRule="auto"/>
        <w:ind w:firstLine="720"/>
        <w:rPr>
          <w:rFonts w:ascii="Cambria" w:hAnsi="Cambria"/>
        </w:rPr>
      </w:pPr>
    </w:p>
    <w:p w14:paraId="77FE8A42" w14:textId="77777777" w:rsidR="00405A2C" w:rsidRDefault="00405A2C" w:rsidP="008F7BCF">
      <w:pPr>
        <w:spacing w:line="480" w:lineRule="auto"/>
        <w:ind w:firstLine="720"/>
        <w:rPr>
          <w:rFonts w:ascii="Cambria" w:hAnsi="Cambria"/>
        </w:rPr>
      </w:pPr>
    </w:p>
    <w:p w14:paraId="50D9C1F5" w14:textId="46A495EA" w:rsidR="002131BE" w:rsidRDefault="002131BE" w:rsidP="008F7BCF">
      <w:pPr>
        <w:spacing w:line="480" w:lineRule="auto"/>
        <w:ind w:firstLine="720"/>
        <w:rPr>
          <w:rFonts w:ascii="Cambria" w:hAnsi="Cambria"/>
        </w:rPr>
      </w:pPr>
    </w:p>
    <w:p w14:paraId="33181C7B" w14:textId="0C21191B" w:rsidR="00495A8D" w:rsidRDefault="00495A8D" w:rsidP="008F7BCF">
      <w:pPr>
        <w:spacing w:line="480" w:lineRule="auto"/>
        <w:ind w:firstLine="720"/>
        <w:rPr>
          <w:rFonts w:ascii="Cambria" w:hAnsi="Cambria"/>
        </w:rPr>
      </w:pPr>
    </w:p>
    <w:p w14:paraId="18D04B52" w14:textId="1448AE12" w:rsidR="006242D3" w:rsidRPr="006242D3" w:rsidRDefault="003B3E1D" w:rsidP="00C37FD1">
      <w:pPr>
        <w:spacing w:line="480" w:lineRule="auto"/>
        <w:ind w:firstLine="720"/>
        <w:rPr>
          <w:rFonts w:ascii="Cambria" w:hAnsi="Cambria"/>
        </w:rPr>
      </w:pPr>
      <w:sdt>
        <w:sdtPr>
          <w:rPr>
            <w:rFonts w:ascii="Cambria" w:hAnsi="Cambria"/>
          </w:rPr>
          <w:tag w:val="goog_rdk_180"/>
          <w:id w:val="-179663862"/>
        </w:sdtPr>
        <w:sdtContent>
          <w:r w:rsidR="006242D3" w:rsidRPr="006242D3">
            <w:rPr>
              <w:rFonts w:ascii="Cambria" w:hAnsi="Cambria"/>
            </w:rPr>
            <w:t>The programs instead move the carceral bey</w:t>
          </w:r>
        </w:sdtContent>
      </w:sdt>
      <w:sdt>
        <w:sdtPr>
          <w:rPr>
            <w:rFonts w:ascii="Cambria" w:hAnsi="Cambria"/>
          </w:rPr>
          <w:tag w:val="goog_rdk_181"/>
          <w:id w:val="-1308931325"/>
        </w:sdtPr>
        <w:sdtContent/>
      </w:sdt>
      <w:sdt>
        <w:sdtPr>
          <w:rPr>
            <w:rFonts w:ascii="Cambria" w:hAnsi="Cambria"/>
          </w:rPr>
          <w:tag w:val="goog_rdk_182"/>
          <w:id w:val="58835209"/>
        </w:sdtPr>
        <w:sdtContent>
          <w:r w:rsidR="006242D3" w:rsidRPr="006242D3">
            <w:rPr>
              <w:rFonts w:ascii="Cambria" w:hAnsi="Cambria"/>
            </w:rPr>
            <w:t>ond the il/legal binary i</w:t>
          </w:r>
        </w:sdtContent>
      </w:sdt>
      <w:r w:rsidR="006242D3" w:rsidRPr="006242D3">
        <w:rPr>
          <w:rFonts w:ascii="Cambria" w:hAnsi="Cambria"/>
        </w:rPr>
        <w:t xml:space="preserve">n an endeavor to “separate, analyze and differentiate drug use and drug users with the intent of stemming the danger or disorder” believed embodied within participants (McLean 2015:5). The prevention of diseases like HIV and HCV and the promotion of “health” are undoubtedly laudable goals, but harm reduction programs that operate within the regime of public health and in collusion with the state nevertheless obscure the roots of structural and political violence that imperil the well-being of users (Gowen, Whetstone &amp; Andic 2012). In contrast to the drug policies of welfarist liberalism for example, which viewed drug users as requiring expert care to overcome issues of substance (ab)use, the rise of neoliberalism saw the drug user (re)configured as an active and empowered “entrepreneur of the self;” an individual who knows how to consume properly. </w:t>
      </w:r>
    </w:p>
    <w:p w14:paraId="09E64928" w14:textId="4E09B483" w:rsidR="006242D3" w:rsidRPr="006242D3" w:rsidRDefault="006242D3" w:rsidP="00EC42FF">
      <w:pPr>
        <w:spacing w:line="480" w:lineRule="auto"/>
        <w:ind w:firstLine="720"/>
        <w:rPr>
          <w:rFonts w:ascii="Cambria" w:hAnsi="Cambria"/>
        </w:rPr>
      </w:pPr>
      <w:r w:rsidRPr="006242D3">
        <w:rPr>
          <w:rFonts w:ascii="Cambria" w:hAnsi="Cambria"/>
        </w:rPr>
        <w:t>This shift saw the drug user, once thought subjugated to substances that rendered them incapable of rational decision-making, recognized as not only capable of rationalized conduct but as a self-regulated and health conscious active “citizens” (Rhodes, Har</w:t>
      </w:r>
      <w:sdt>
        <w:sdtPr>
          <w:rPr>
            <w:rFonts w:ascii="Cambria" w:hAnsi="Cambria"/>
          </w:rPr>
          <w:tag w:val="goog_rdk_186"/>
          <w:id w:val="1661274413"/>
        </w:sdtPr>
        <w:sdtContent/>
      </w:sdt>
      <w:r w:rsidRPr="006242D3">
        <w:rPr>
          <w:rFonts w:ascii="Cambria" w:hAnsi="Cambria"/>
        </w:rPr>
        <w:t>ris &amp; Martin 2013). Fit to the logics of neoliberalist rule, harm reduction practices extend drug users an invitation to participate in their own governance under regimes of “public health.” Th</w:t>
      </w:r>
      <w:sdt>
        <w:sdtPr>
          <w:rPr>
            <w:rFonts w:ascii="Cambria" w:hAnsi="Cambria"/>
          </w:rPr>
          <w:tag w:val="goog_rdk_188"/>
          <w:id w:val="-729227733"/>
        </w:sdtPr>
        <w:sdtContent>
          <w:r w:rsidRPr="006242D3">
            <w:rPr>
              <w:rFonts w:ascii="Cambria" w:hAnsi="Cambria"/>
            </w:rPr>
            <w:t xml:space="preserve">ese programs encourage disciplinary health practices by urging drug users to become autonomous, “moral citizens” whose drug practices are in alignment with governing </w:t>
          </w:r>
          <w:r w:rsidRPr="006242D3">
            <w:rPr>
              <w:rFonts w:ascii="Cambria" w:hAnsi="Cambria"/>
            </w:rPr>
            <w:lastRenderedPageBreak/>
            <w:t>interests (Pereira &amp; Scott 2016: 69-70), despite that they are sites where staff and organizers alike also genuinely and actively care for their well-being.</w:t>
          </w:r>
        </w:sdtContent>
      </w:sdt>
    </w:p>
    <w:p w14:paraId="62913821" w14:textId="3C069BED" w:rsidR="006242D3" w:rsidRPr="006242D3" w:rsidRDefault="006242D3" w:rsidP="008F7BCF">
      <w:pPr>
        <w:spacing w:line="480" w:lineRule="auto"/>
        <w:ind w:firstLine="720"/>
        <w:rPr>
          <w:rFonts w:ascii="Cambria" w:hAnsi="Cambria"/>
        </w:rPr>
      </w:pPr>
      <w:r w:rsidRPr="006242D3">
        <w:rPr>
          <w:rFonts w:ascii="Cambria" w:hAnsi="Cambria"/>
        </w:rPr>
        <w:t xml:space="preserve">To </w:t>
      </w:r>
      <w:sdt>
        <w:sdtPr>
          <w:rPr>
            <w:rFonts w:ascii="Cambria" w:hAnsi="Cambria"/>
          </w:rPr>
          <w:tag w:val="goog_rdk_191"/>
          <w:id w:val="101463027"/>
        </w:sdtPr>
        <w:sdtContent/>
      </w:sdt>
      <w:sdt>
        <w:sdtPr>
          <w:rPr>
            <w:rFonts w:ascii="Cambria" w:hAnsi="Cambria"/>
          </w:rPr>
          <w:tag w:val="goog_rdk_192"/>
          <w:id w:val="1098679407"/>
        </w:sdtPr>
        <w:sdtContent>
          <w:r w:rsidRPr="006242D3">
            <w:rPr>
              <w:rFonts w:ascii="Cambria" w:hAnsi="Cambria"/>
            </w:rPr>
            <w:t xml:space="preserve">fully grasp trends towards the integration of public health-based HR programs </w:t>
          </w:r>
        </w:sdtContent>
      </w:sdt>
      <w:sdt>
        <w:sdtPr>
          <w:rPr>
            <w:rFonts w:ascii="Cambria" w:hAnsi="Cambria"/>
          </w:rPr>
          <w:tag w:val="goog_rdk_193"/>
          <w:id w:val="791100396"/>
        </w:sdtPr>
        <w:sdtContent>
          <w:r w:rsidRPr="006242D3">
            <w:rPr>
              <w:rFonts w:ascii="Cambria" w:hAnsi="Cambria"/>
            </w:rPr>
            <w:t xml:space="preserve">into the regime of criminalized drug prohibition from a conjunctural perspective requires us to realize that </w:t>
          </w:r>
        </w:sdtContent>
      </w:sdt>
      <w:sdt>
        <w:sdtPr>
          <w:rPr>
            <w:rFonts w:ascii="Cambria" w:hAnsi="Cambria"/>
          </w:rPr>
          <w:tag w:val="goog_rdk_194"/>
          <w:id w:val="375522680"/>
        </w:sdtPr>
        <w:sdtContent/>
      </w:sdt>
      <w:r w:rsidRPr="006242D3">
        <w:rPr>
          <w:rFonts w:ascii="Cambria" w:hAnsi="Cambria"/>
        </w:rPr>
        <w:t>the punitive actually relies upon the supportive to not only help obscure the presence of marginalized populations but to guarantee their survival and perhaps even lead them to eventual “rehabilitation” and/or “recovery” (</w:t>
      </w:r>
      <w:proofErr w:type="spellStart"/>
      <w:r w:rsidRPr="006242D3">
        <w:rPr>
          <w:rFonts w:ascii="Cambria" w:hAnsi="Cambria"/>
        </w:rPr>
        <w:t>DeVerteuil</w:t>
      </w:r>
      <w:proofErr w:type="spellEnd"/>
      <w:r w:rsidRPr="006242D3">
        <w:rPr>
          <w:rFonts w:ascii="Cambria" w:hAnsi="Cambria"/>
        </w:rPr>
        <w:t xml:space="preserve"> 2012). </w:t>
      </w:r>
      <w:r w:rsidR="00D3567E">
        <w:rPr>
          <w:rFonts w:ascii="Cambria" w:hAnsi="Cambria"/>
        </w:rPr>
        <w:t>The state utilizes these services</w:t>
      </w:r>
      <w:r w:rsidRPr="006242D3">
        <w:rPr>
          <w:rFonts w:ascii="Cambria" w:hAnsi="Cambria"/>
        </w:rPr>
        <w:t xml:space="preserve"> to yoke responsibility for welfare to non-state actors by methods that extend the shadow carceral state by the creation of “alternatives” which are “not-punishment” (Geiger &amp; </w:t>
      </w:r>
      <w:proofErr w:type="spellStart"/>
      <w:r w:rsidRPr="006242D3">
        <w:rPr>
          <w:rFonts w:ascii="Cambria" w:hAnsi="Cambria"/>
        </w:rPr>
        <w:t>Wolch</w:t>
      </w:r>
      <w:proofErr w:type="spellEnd"/>
      <w:r w:rsidRPr="006242D3">
        <w:rPr>
          <w:rFonts w:ascii="Cambria" w:hAnsi="Cambria"/>
        </w:rPr>
        <w:t xml:space="preserve">, 1986; </w:t>
      </w:r>
      <w:proofErr w:type="spellStart"/>
      <w:r w:rsidRPr="006242D3">
        <w:rPr>
          <w:rFonts w:ascii="Cambria" w:hAnsi="Cambria"/>
        </w:rPr>
        <w:t>DeVerteuil</w:t>
      </w:r>
      <w:proofErr w:type="spellEnd"/>
      <w:r w:rsidRPr="006242D3">
        <w:rPr>
          <w:rFonts w:ascii="Cambria" w:hAnsi="Cambria"/>
        </w:rPr>
        <w:t xml:space="preserve"> 2012; Beckett 2012). </w:t>
      </w:r>
      <w:sdt>
        <w:sdtPr>
          <w:rPr>
            <w:rFonts w:ascii="Cambria" w:hAnsi="Cambria"/>
          </w:rPr>
          <w:tag w:val="goog_rdk_196"/>
          <w:id w:val="2008635061"/>
        </w:sdtPr>
        <w:sdtContent/>
      </w:sdt>
    </w:p>
    <w:p w14:paraId="71ED2BFD" w14:textId="7E502F25" w:rsidR="00F6487D" w:rsidRPr="002131BE" w:rsidRDefault="006242D3" w:rsidP="002131BE">
      <w:pPr>
        <w:spacing w:line="480" w:lineRule="auto"/>
        <w:ind w:firstLine="720"/>
        <w:rPr>
          <w:rFonts w:ascii="Cambria" w:hAnsi="Cambria"/>
        </w:rPr>
      </w:pPr>
      <w:r w:rsidRPr="006242D3">
        <w:rPr>
          <w:rFonts w:ascii="Cambria" w:hAnsi="Cambria"/>
        </w:rPr>
        <w:t xml:space="preserve">Spaces of care cannot be understood as simply coercive, however. These services are marked by a deep ambivalence between management and control. While they certainly cannot offer permanent solutions to deeply entrenched social issues, and they expand the boundaries of punishment work, they also alleviate suffering. One must also ask then: Are </w:t>
      </w:r>
      <w:r w:rsidR="008F7BCF">
        <w:rPr>
          <w:rFonts w:ascii="Cambria" w:hAnsi="Cambria"/>
        </w:rPr>
        <w:t>HR</w:t>
      </w:r>
      <w:r w:rsidRPr="006242D3">
        <w:rPr>
          <w:rFonts w:ascii="Cambria" w:hAnsi="Cambria"/>
        </w:rPr>
        <w:t xml:space="preserve"> services merely a form of neoliberal population management, or are they simultaneously sites of rupture that “restore self-respect, rational subjectivity, and self-control to a group historically represented as incapable of either reason or self-control?” (Gowan &amp; Whetstone 2012: 1251). T</w:t>
      </w:r>
      <w:sdt>
        <w:sdtPr>
          <w:rPr>
            <w:rFonts w:ascii="Cambria" w:hAnsi="Cambria"/>
          </w:rPr>
          <w:tag w:val="goog_rdk_199"/>
          <w:id w:val="-1808307728"/>
        </w:sdtPr>
        <w:sdtContent/>
      </w:sdt>
      <w:r w:rsidRPr="006242D3">
        <w:rPr>
          <w:rFonts w:ascii="Cambria" w:hAnsi="Cambria"/>
        </w:rPr>
        <w:t xml:space="preserve">he </w:t>
      </w:r>
      <w:r w:rsidR="008F7BCF">
        <w:rPr>
          <w:rFonts w:ascii="Cambria" w:hAnsi="Cambria"/>
        </w:rPr>
        <w:t>answer is</w:t>
      </w:r>
      <w:r w:rsidRPr="006242D3">
        <w:rPr>
          <w:rFonts w:ascii="Cambria" w:hAnsi="Cambria"/>
        </w:rPr>
        <w:t xml:space="preserve"> inevitably bound up with the danger that any rhetoric which invokes control, rationality, and reason takes up an oppressive conceptual framework of the West, centering moral philosophies and foreclosing the possibilities </w:t>
      </w:r>
      <w:sdt>
        <w:sdtPr>
          <w:rPr>
            <w:rFonts w:ascii="Cambria" w:hAnsi="Cambria"/>
          </w:rPr>
          <w:tag w:val="goog_rdk_201"/>
          <w:id w:val="-303859684"/>
        </w:sdtPr>
        <w:sdtContent>
          <w:r w:rsidRPr="006242D3">
            <w:rPr>
              <w:rFonts w:ascii="Cambria" w:hAnsi="Cambria"/>
            </w:rPr>
            <w:t>of o</w:t>
          </w:r>
        </w:sdtContent>
      </w:sdt>
      <w:sdt>
        <w:sdtPr>
          <w:rPr>
            <w:rFonts w:ascii="Cambria" w:hAnsi="Cambria"/>
          </w:rPr>
          <w:tag w:val="goog_rdk_202"/>
          <w:id w:val="838579596"/>
        </w:sdtPr>
        <w:sdtContent/>
      </w:sdt>
      <w:sdt>
        <w:sdtPr>
          <w:rPr>
            <w:rFonts w:ascii="Cambria" w:hAnsi="Cambria"/>
          </w:rPr>
          <w:tag w:val="goog_rdk_203"/>
          <w:id w:val="394390888"/>
        </w:sdtPr>
        <w:sdtContent>
          <w:r w:rsidRPr="006242D3">
            <w:rPr>
              <w:rFonts w:ascii="Cambria" w:hAnsi="Cambria"/>
            </w:rPr>
            <w:t>ther ways of being</w:t>
          </w:r>
        </w:sdtContent>
      </w:sdt>
      <w:r w:rsidRPr="006242D3">
        <w:rPr>
          <w:rFonts w:ascii="Cambria" w:hAnsi="Cambria"/>
        </w:rPr>
        <w:t xml:space="preserve">. In chapter </w:t>
      </w:r>
      <w:r w:rsidR="00F55E1B">
        <w:rPr>
          <w:rFonts w:ascii="Cambria" w:hAnsi="Cambria"/>
        </w:rPr>
        <w:t>four</w:t>
      </w:r>
      <w:r w:rsidRPr="006242D3">
        <w:rPr>
          <w:rFonts w:ascii="Cambria" w:hAnsi="Cambria"/>
        </w:rPr>
        <w:t>, I take up this predicament in the ways that Appalachia, as “ground zero” of the opioid crisis, makes it, at first glance, a space for more humanizing policies that instead entrench the carceral</w:t>
      </w:r>
      <w:r w:rsidR="008F7BCF">
        <w:rPr>
          <w:rFonts w:ascii="Cambria" w:hAnsi="Cambria"/>
        </w:rPr>
        <w:t>.</w:t>
      </w:r>
    </w:p>
    <w:p w14:paraId="4BE7D455" w14:textId="520BFF91" w:rsidR="004F08CE" w:rsidRPr="006242D3" w:rsidRDefault="004F08CE" w:rsidP="004A1B3F">
      <w:pPr>
        <w:rPr>
          <w:rFonts w:asciiTheme="majorHAnsi" w:hAnsiTheme="majorHAnsi" w:cs="Times New Roman"/>
        </w:rPr>
      </w:pPr>
    </w:p>
    <w:p w14:paraId="22B45B95" w14:textId="77777777" w:rsidR="00405A2C" w:rsidRDefault="00405A2C" w:rsidP="00A0642B">
      <w:pPr>
        <w:pStyle w:val="Heading1"/>
      </w:pPr>
      <w:bookmarkStart w:id="36" w:name="_Toc420995910"/>
      <w:bookmarkStart w:id="37" w:name="_Toc422997497"/>
    </w:p>
    <w:p w14:paraId="765022DD" w14:textId="77777777" w:rsidR="00405A2C" w:rsidRDefault="00405A2C" w:rsidP="00A0642B">
      <w:pPr>
        <w:pStyle w:val="Heading1"/>
      </w:pPr>
    </w:p>
    <w:p w14:paraId="3FD1DFBA" w14:textId="77777777" w:rsidR="00405A2C" w:rsidRDefault="00405A2C" w:rsidP="00A0642B">
      <w:pPr>
        <w:pStyle w:val="Heading1"/>
      </w:pPr>
    </w:p>
    <w:p w14:paraId="70D4B051" w14:textId="77777777" w:rsidR="00405A2C" w:rsidRDefault="00405A2C" w:rsidP="00A0642B">
      <w:pPr>
        <w:pStyle w:val="Heading1"/>
      </w:pPr>
    </w:p>
    <w:p w14:paraId="198F6E72" w14:textId="77777777" w:rsidR="00405A2C" w:rsidRDefault="00405A2C" w:rsidP="00A0642B">
      <w:pPr>
        <w:pStyle w:val="Heading1"/>
      </w:pPr>
    </w:p>
    <w:p w14:paraId="6D0A6E61" w14:textId="77777777" w:rsidR="00405A2C" w:rsidRDefault="00405A2C" w:rsidP="00A0642B">
      <w:pPr>
        <w:pStyle w:val="Heading1"/>
      </w:pPr>
    </w:p>
    <w:p w14:paraId="6B1D57C4" w14:textId="77777777" w:rsidR="00405A2C" w:rsidRDefault="00405A2C" w:rsidP="00A0642B">
      <w:pPr>
        <w:pStyle w:val="Heading1"/>
      </w:pPr>
    </w:p>
    <w:p w14:paraId="6DCB7187" w14:textId="77777777" w:rsidR="00405A2C" w:rsidRDefault="00405A2C" w:rsidP="00A0642B">
      <w:pPr>
        <w:pStyle w:val="Heading1"/>
      </w:pPr>
    </w:p>
    <w:p w14:paraId="169E3E0E" w14:textId="77777777" w:rsidR="00405A2C" w:rsidRDefault="00405A2C" w:rsidP="00A0642B">
      <w:pPr>
        <w:pStyle w:val="Heading1"/>
      </w:pPr>
    </w:p>
    <w:p w14:paraId="79CC501C" w14:textId="77777777" w:rsidR="00405A2C" w:rsidRDefault="00405A2C" w:rsidP="00A0642B">
      <w:pPr>
        <w:pStyle w:val="Heading1"/>
      </w:pPr>
    </w:p>
    <w:p w14:paraId="26CE0836" w14:textId="77777777" w:rsidR="00405A2C" w:rsidRDefault="00405A2C" w:rsidP="00A0642B">
      <w:pPr>
        <w:pStyle w:val="Heading1"/>
      </w:pPr>
    </w:p>
    <w:p w14:paraId="1796E16A" w14:textId="77777777" w:rsidR="00405A2C" w:rsidRDefault="00405A2C" w:rsidP="00A0642B">
      <w:pPr>
        <w:pStyle w:val="Heading1"/>
      </w:pPr>
    </w:p>
    <w:p w14:paraId="7C0CB64B" w14:textId="77777777" w:rsidR="00405A2C" w:rsidRDefault="00405A2C" w:rsidP="00A0642B">
      <w:pPr>
        <w:pStyle w:val="Heading1"/>
      </w:pPr>
    </w:p>
    <w:p w14:paraId="1BE358AA" w14:textId="77777777" w:rsidR="00405A2C" w:rsidRDefault="00405A2C" w:rsidP="00A0642B">
      <w:pPr>
        <w:pStyle w:val="Heading1"/>
      </w:pPr>
    </w:p>
    <w:p w14:paraId="0BE8B4A1" w14:textId="77777777" w:rsidR="00405A2C" w:rsidRDefault="00405A2C" w:rsidP="00A0642B">
      <w:pPr>
        <w:pStyle w:val="Heading1"/>
      </w:pPr>
    </w:p>
    <w:p w14:paraId="64CAEA61" w14:textId="77777777" w:rsidR="00405A2C" w:rsidRDefault="00405A2C" w:rsidP="00A0642B">
      <w:pPr>
        <w:pStyle w:val="Heading1"/>
      </w:pPr>
    </w:p>
    <w:p w14:paraId="0F1E670A" w14:textId="77777777" w:rsidR="00405A2C" w:rsidRDefault="00405A2C" w:rsidP="00A0642B">
      <w:pPr>
        <w:pStyle w:val="Heading1"/>
      </w:pPr>
    </w:p>
    <w:p w14:paraId="3EBCAC62" w14:textId="77777777" w:rsidR="00495A8D" w:rsidRDefault="00495A8D" w:rsidP="00A0642B">
      <w:pPr>
        <w:pStyle w:val="Heading1"/>
      </w:pPr>
      <w:bookmarkStart w:id="38" w:name="_Toc133884522"/>
      <w:bookmarkEnd w:id="36"/>
      <w:bookmarkEnd w:id="37"/>
    </w:p>
    <w:p w14:paraId="191FF1E1" w14:textId="3FA1D6DD" w:rsidR="00236E6D" w:rsidRPr="002131BE" w:rsidRDefault="002E5E94" w:rsidP="00A0642B">
      <w:pPr>
        <w:pStyle w:val="Heading1"/>
      </w:pPr>
      <w:r w:rsidRPr="002131BE">
        <w:t xml:space="preserve">Chapter </w:t>
      </w:r>
      <w:r w:rsidR="002131BE">
        <w:t>FIVE</w:t>
      </w:r>
      <w:r w:rsidRPr="002131BE">
        <w:t xml:space="preserve">: </w:t>
      </w:r>
      <w:r w:rsidR="006242D3" w:rsidRPr="002131BE">
        <w:t>Mapping Ground zero</w:t>
      </w:r>
      <w:bookmarkEnd w:id="38"/>
    </w:p>
    <w:p w14:paraId="65F60BF1" w14:textId="77777777" w:rsidR="006242D3" w:rsidRDefault="006242D3" w:rsidP="006242D3"/>
    <w:p w14:paraId="2F08B287" w14:textId="61A3CED6" w:rsidR="006242D3" w:rsidRPr="006242D3" w:rsidRDefault="006242D3" w:rsidP="006242D3">
      <w:pPr>
        <w:spacing w:line="480" w:lineRule="auto"/>
        <w:ind w:firstLine="720"/>
        <w:rPr>
          <w:rFonts w:asciiTheme="majorHAnsi" w:hAnsiTheme="majorHAnsi"/>
        </w:rPr>
      </w:pPr>
      <w:r w:rsidRPr="006242D3">
        <w:rPr>
          <w:rFonts w:asciiTheme="majorHAnsi" w:hAnsiTheme="majorHAnsi"/>
        </w:rPr>
        <w:lastRenderedPageBreak/>
        <w:t>On the morning of Wednesday April 17, 2019, Attorney General William P. Barr and Department of Health and Human Services (HHS) Secretary Alex M. Azar II announced the results of an Appalachian Regional Prescription Opioid Strike Force, or ARPO, “takedown” involving more than “350 thousand prescriptions for controlled substances and over 32 million pills”</w:t>
      </w:r>
      <w:r w:rsidR="002131BE">
        <w:rPr>
          <w:rFonts w:asciiTheme="majorHAnsi" w:hAnsiTheme="majorHAnsi"/>
        </w:rPr>
        <w:t xml:space="preserve"> (See figure 5.1.).</w:t>
      </w:r>
      <w:r w:rsidRPr="006242D3">
        <w:rPr>
          <w:rFonts w:asciiTheme="majorHAnsi" w:hAnsiTheme="majorHAnsi"/>
        </w:rPr>
        <w:t xml:space="preserve"> The result of a four month ARPO investigation conducted in partnership with local, state, and federal law enforcement agencies from the states of Alabama (AL), Tennessee (TN), Kentucky (KY), Ohio (OH), and West Virginia (WV), 60 defendants, “including 31 doctors, seven pharmacists, eight nurse practitioners, and seven other licensed medical professionals” were indicted on charges related to the “illegal prescribing and distributing of opioids and other dangerous narcotics [as well as]…healthcare fraud schemes.” Celebrating ARPO’s efforts as a vital step towards “saving lives,” Attorney General Barr argued that the opioid crisis was not only “the deadliest drug epidemic in American history” but that the Appalachian region had “suffered the consequences more than perhaps any other.” Secretary Azar, rejoining and echoing Barr’s sentiments, reassured the public that while “reducing the illicit supply of opioids was a crucial element of then President Trump’s plan to end the crisis,” law enforcement and public health authorities would be “work[</w:t>
      </w:r>
      <w:proofErr w:type="spellStart"/>
      <w:r w:rsidRPr="006242D3">
        <w:rPr>
          <w:rFonts w:asciiTheme="majorHAnsi" w:hAnsiTheme="majorHAnsi"/>
        </w:rPr>
        <w:t>ing</w:t>
      </w:r>
      <w:proofErr w:type="spellEnd"/>
      <w:r w:rsidRPr="006242D3">
        <w:rPr>
          <w:rFonts w:asciiTheme="majorHAnsi" w:hAnsiTheme="majorHAnsi"/>
        </w:rPr>
        <w:t xml:space="preserve">] hand in hand” to ensure continuity of care for patients “struggling with addiction.” </w:t>
      </w:r>
    </w:p>
    <w:p w14:paraId="7BB5BD3B" w14:textId="474FA111" w:rsidR="006242D3" w:rsidRPr="006242D3" w:rsidRDefault="006242D3" w:rsidP="006242D3">
      <w:pPr>
        <w:spacing w:line="480" w:lineRule="auto"/>
        <w:rPr>
          <w:rFonts w:asciiTheme="majorHAnsi" w:hAnsiTheme="majorHAnsi"/>
        </w:rPr>
      </w:pPr>
    </w:p>
    <w:p w14:paraId="02105557" w14:textId="1A0F1FEA" w:rsidR="006242D3" w:rsidRPr="006242D3" w:rsidRDefault="006242D3" w:rsidP="002131BE">
      <w:pPr>
        <w:spacing w:line="480" w:lineRule="auto"/>
        <w:ind w:firstLine="720"/>
        <w:rPr>
          <w:rFonts w:asciiTheme="majorHAnsi" w:hAnsiTheme="majorHAnsi"/>
        </w:rPr>
      </w:pPr>
      <w:r w:rsidRPr="006242D3">
        <w:rPr>
          <w:rFonts w:asciiTheme="majorHAnsi" w:hAnsiTheme="majorHAnsi"/>
        </w:rPr>
        <w:t xml:space="preserve">Drawing on the various sites of struggle over harm reduction (HR) in Southern Appalachia and at the national level discussed in Chapter One, this chapter will engage a conjunctural approach to analyze the ways in which HR services are being used to deepen and re/entrench criminalized drug prohibition under the guise of “resolving” the opioid </w:t>
      </w:r>
      <w:r w:rsidRPr="006242D3">
        <w:rPr>
          <w:rFonts w:asciiTheme="majorHAnsi" w:hAnsiTheme="majorHAnsi"/>
        </w:rPr>
        <w:lastRenderedPageBreak/>
        <w:t>crisis. I will examine how dominant political narratives which designate Southern Appalachia as “ground zero” of the opioid crisis may appear, at first glance, to have shifted the national discourse on drugs away from criminalization and towards HR approaches but, in practice, not only fail to attenuate the violence(s) of prohibition but ultimately contribute to the overall growth of the carceral state under the guise of “health/care.”</w:t>
      </w:r>
    </w:p>
    <w:p w14:paraId="02205511" w14:textId="5148132C" w:rsidR="006242D3" w:rsidRDefault="006242D3" w:rsidP="006242D3">
      <w:pPr>
        <w:spacing w:line="480" w:lineRule="auto"/>
        <w:ind w:firstLine="720"/>
        <w:rPr>
          <w:rFonts w:asciiTheme="majorHAnsi" w:hAnsiTheme="majorHAnsi"/>
        </w:rPr>
      </w:pPr>
      <w:r w:rsidRPr="006242D3">
        <w:rPr>
          <w:rFonts w:asciiTheme="majorHAnsi" w:hAnsiTheme="majorHAnsi"/>
        </w:rPr>
        <w:t xml:space="preserve">Using governmental documents related to the institutionalization of public health-based HR services, such as federal, state, and local policies, to illuminate the objectives driving the creation of needle-exchange programs (NEPs) in Southern Appalachia, the intention is to identify sites of potential rupture from which to organize towards more liberatory interventions. </w:t>
      </w:r>
      <w:r w:rsidR="005D0BCA">
        <w:rPr>
          <w:rFonts w:asciiTheme="majorHAnsi" w:hAnsiTheme="majorHAnsi"/>
        </w:rPr>
        <w:t>Analyzing these</w:t>
      </w:r>
      <w:r w:rsidRPr="006242D3">
        <w:rPr>
          <w:rFonts w:asciiTheme="majorHAnsi" w:hAnsiTheme="majorHAnsi"/>
        </w:rPr>
        <w:t xml:space="preserve"> documents will allow the official rules, guidelines, and regulations that govern these programs to be critically examined for the underlying commitments of government as well as enable us to track trends in public health-based HR alongside the opioid “crisis” to evaluate their “effectiveness” at resolving the structural contradictions of which it is a particular manifestation. These documents will also be used to reveal how the ‘opioid crisis is being actively produced through policy to not only enable an evaluation of the taken-for-granted assumptions embedded within them but to glean what is being absented or erased from conversations pertaining to HR. Moreover, a comparison of policies at different levels of government will offer clarity into how the problem of “opioids” is being framed within Southern Appalachia and articulated into the broader social formation through a “common-sense” that deepens the reach of the carceral-security apparatus rather than contests the historical belief that drug “addicts” are socially and unfixable and thus must be made “manageable.” </w:t>
      </w:r>
    </w:p>
    <w:p w14:paraId="50999544" w14:textId="77777777" w:rsidR="00405A2C" w:rsidRPr="002131BE" w:rsidRDefault="00405A2C" w:rsidP="00405A2C">
      <w:pPr>
        <w:pStyle w:val="Heading2"/>
      </w:pPr>
      <w:bookmarkStart w:id="39" w:name="_Toc133884523"/>
      <w:r w:rsidRPr="002131BE">
        <w:lastRenderedPageBreak/>
        <w:t>Prisons and Pill Mills</w:t>
      </w:r>
      <w:bookmarkEnd w:id="39"/>
    </w:p>
    <w:p w14:paraId="3C5F6073" w14:textId="7AD4D13D" w:rsidR="00405A2C" w:rsidRPr="006242D3" w:rsidRDefault="00405A2C" w:rsidP="00405A2C">
      <w:pPr>
        <w:spacing w:line="480" w:lineRule="auto"/>
        <w:ind w:firstLine="720"/>
        <w:rPr>
          <w:rFonts w:asciiTheme="majorHAnsi" w:hAnsiTheme="majorHAnsi"/>
        </w:rPr>
      </w:pPr>
      <w:r w:rsidRPr="006242D3">
        <w:rPr>
          <w:rFonts w:asciiTheme="majorHAnsi" w:hAnsiTheme="majorHAnsi"/>
        </w:rPr>
        <w:t xml:space="preserve">Established in October of 2018 as a joint effort between the Department of Justice Health Care Fraud Unit (DOJ-HCF), the Federal Bureau of Investigation (FBI), the Department of Health and Human Services (HHS), the Office of the Inspector General (HHS-OIG), the Drug Enforcement Administration (DEA), state and local law enforcement agencies for the explicit purpose of “combat[ting] health care fraud and the opioid epidemic in parts of the country…particularly harmed by addiction,” ARPO is the material incarnation of attempts to differentiate drug-related death and disease in the Appalachia from the rest of the nation by attributing its cause to widespread medical malpractice and the insatiable greed of Big Pharma rather that place blame on users themselves (Department of Justice, 2017: </w:t>
      </w:r>
      <w:proofErr w:type="spellStart"/>
      <w:r w:rsidRPr="006242D3">
        <w:rPr>
          <w:rFonts w:asciiTheme="majorHAnsi" w:hAnsiTheme="majorHAnsi"/>
        </w:rPr>
        <w:t>n.p</w:t>
      </w:r>
      <w:proofErr w:type="spellEnd"/>
      <w:r w:rsidRPr="006242D3">
        <w:rPr>
          <w:rFonts w:asciiTheme="majorHAnsi" w:hAnsiTheme="majorHAnsi"/>
        </w:rPr>
        <w:t>.).</w:t>
      </w:r>
      <w:r w:rsidR="00495A8D" w:rsidRPr="00495A8D">
        <w:rPr>
          <w:rFonts w:asciiTheme="majorHAnsi" w:hAnsiTheme="majorHAnsi"/>
        </w:rPr>
        <w:t xml:space="preserve"> </w:t>
      </w:r>
      <w:r w:rsidR="00495A8D" w:rsidRPr="006242D3">
        <w:rPr>
          <w:rFonts w:asciiTheme="majorHAnsi" w:hAnsiTheme="majorHAnsi"/>
        </w:rPr>
        <w:t>Although ARPO is a relatively new partnership between law enforcement and public health authorities that was ostensibly created for the purpose of holding “medical professionals and others,” such as office managers, criminally accountable for their</w:t>
      </w:r>
    </w:p>
    <w:p w14:paraId="629672D6" w14:textId="168B1447" w:rsidR="002131BE" w:rsidRDefault="002131BE"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b/>
          <w:bCs/>
        </w:rPr>
      </w:pPr>
    </w:p>
    <w:p w14:paraId="1B01185F" w14:textId="77777777" w:rsidR="00405A2C" w:rsidRDefault="00405A2C"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b/>
          <w:bCs/>
        </w:rPr>
      </w:pPr>
    </w:p>
    <w:p w14:paraId="70A2C118" w14:textId="77777777" w:rsidR="002131BE" w:rsidRPr="006242D3" w:rsidRDefault="002131BE"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b/>
          <w:bCs/>
        </w:rPr>
      </w:pPr>
    </w:p>
    <w:p w14:paraId="4017DB0A" w14:textId="4AF42206" w:rsidR="002131BE" w:rsidRDefault="006242D3"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ajorHAnsi" w:hAnsiTheme="majorHAnsi" w:cs="Times New Roman"/>
          <w:b/>
          <w:bCs/>
        </w:rPr>
      </w:pPr>
      <w:r>
        <w:rPr>
          <w:noProof/>
        </w:rPr>
        <w:lastRenderedPageBreak/>
        <w:drawing>
          <wp:inline distT="0" distB="0" distL="0" distR="0" wp14:anchorId="340DCA93" wp14:editId="62B3068B">
            <wp:extent cx="4692530" cy="4120588"/>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767865" cy="4186741"/>
                    </a:xfrm>
                    <a:prstGeom prst="rect">
                      <a:avLst/>
                    </a:prstGeom>
                  </pic:spPr>
                </pic:pic>
              </a:graphicData>
            </a:graphic>
          </wp:inline>
        </w:drawing>
      </w:r>
    </w:p>
    <w:p w14:paraId="1BB44F12" w14:textId="77777777" w:rsidR="002131BE" w:rsidRDefault="002131BE"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rPr>
      </w:pPr>
    </w:p>
    <w:p w14:paraId="45289C8E" w14:textId="77777777" w:rsidR="00495A8D" w:rsidRPr="002131BE" w:rsidRDefault="00495A8D" w:rsidP="00495A8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rPr>
      </w:pPr>
      <w:r>
        <w:rPr>
          <w:rFonts w:asciiTheme="majorHAnsi" w:hAnsiTheme="majorHAnsi" w:cs="Times New Roman"/>
        </w:rPr>
        <w:t>Figure 5.1. Appalachian Region Takedown</w:t>
      </w:r>
    </w:p>
    <w:p w14:paraId="74F075E3" w14:textId="77777777" w:rsidR="00495A8D" w:rsidRDefault="00495A8D"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cs="Times New Roman"/>
        </w:rPr>
      </w:pPr>
    </w:p>
    <w:p w14:paraId="6D49AF83" w14:textId="2BEB177A" w:rsidR="002131BE" w:rsidRPr="002131BE" w:rsidRDefault="002131BE" w:rsidP="00495A8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heme="majorHAnsi" w:hAnsiTheme="majorHAnsi" w:cs="Times New Roman"/>
        </w:rPr>
      </w:pPr>
      <w:r w:rsidRPr="002131BE">
        <w:rPr>
          <w:rFonts w:asciiTheme="majorHAnsi" w:hAnsiTheme="majorHAnsi" w:cs="Times New Roman"/>
        </w:rPr>
        <w:t xml:space="preserve">Figure 5.1. depicts the results of the Appalachian Regional Prescription Opioid Task Force (ARPO) “takedown.” </w:t>
      </w:r>
    </w:p>
    <w:p w14:paraId="01A68B19" w14:textId="77777777" w:rsidR="002131BE" w:rsidRDefault="002131BE" w:rsidP="0030288C">
      <w:pPr>
        <w:pStyle w:val="Heading2"/>
      </w:pPr>
    </w:p>
    <w:p w14:paraId="571CFE2A" w14:textId="77777777" w:rsidR="002131BE" w:rsidRDefault="002131BE" w:rsidP="002131BE"/>
    <w:p w14:paraId="19815C19" w14:textId="77777777" w:rsidR="002131BE" w:rsidRDefault="002131BE" w:rsidP="002131BE"/>
    <w:p w14:paraId="105079EA" w14:textId="77777777" w:rsidR="002131BE" w:rsidRDefault="002131BE" w:rsidP="002131BE"/>
    <w:p w14:paraId="103E30EE" w14:textId="77777777" w:rsidR="002131BE" w:rsidRDefault="002131BE" w:rsidP="002131BE"/>
    <w:p w14:paraId="27551983" w14:textId="77777777" w:rsidR="002131BE" w:rsidRDefault="002131BE" w:rsidP="002131BE"/>
    <w:p w14:paraId="2A9468C5" w14:textId="77777777" w:rsidR="002131BE" w:rsidRDefault="002131BE" w:rsidP="0030288C">
      <w:pPr>
        <w:pStyle w:val="Heading2"/>
      </w:pPr>
    </w:p>
    <w:p w14:paraId="44D001FD" w14:textId="77777777" w:rsidR="002131BE" w:rsidRDefault="002131BE" w:rsidP="002131BE"/>
    <w:p w14:paraId="5EF8C799" w14:textId="77777777" w:rsidR="002131BE" w:rsidRPr="002131BE" w:rsidRDefault="002131BE" w:rsidP="002131BE"/>
    <w:p w14:paraId="0D445038" w14:textId="77777777" w:rsidR="00495A8D" w:rsidRDefault="00495A8D" w:rsidP="00405A2C">
      <w:pPr>
        <w:spacing w:line="480" w:lineRule="auto"/>
        <w:rPr>
          <w:rFonts w:asciiTheme="majorHAnsi" w:hAnsiTheme="majorHAnsi"/>
        </w:rPr>
      </w:pPr>
    </w:p>
    <w:p w14:paraId="57E3973C" w14:textId="77777777" w:rsidR="00495A8D" w:rsidRDefault="00495A8D" w:rsidP="00405A2C">
      <w:pPr>
        <w:spacing w:line="480" w:lineRule="auto"/>
        <w:rPr>
          <w:rFonts w:asciiTheme="majorHAnsi" w:hAnsiTheme="majorHAnsi"/>
        </w:rPr>
      </w:pPr>
    </w:p>
    <w:p w14:paraId="3AE761A7" w14:textId="4B2B5187" w:rsidR="006242D3" w:rsidRPr="006242D3" w:rsidRDefault="006242D3" w:rsidP="00405A2C">
      <w:pPr>
        <w:spacing w:line="480" w:lineRule="auto"/>
        <w:rPr>
          <w:rFonts w:asciiTheme="majorHAnsi" w:hAnsiTheme="majorHAnsi"/>
        </w:rPr>
      </w:pPr>
      <w:proofErr w:type="gramStart"/>
      <w:r w:rsidRPr="006242D3">
        <w:rPr>
          <w:rFonts w:asciiTheme="majorHAnsi" w:hAnsiTheme="majorHAnsi"/>
        </w:rPr>
        <w:lastRenderedPageBreak/>
        <w:t>alleged</w:t>
      </w:r>
      <w:proofErr w:type="gramEnd"/>
      <w:r w:rsidRPr="006242D3">
        <w:rPr>
          <w:rFonts w:asciiTheme="majorHAnsi" w:hAnsiTheme="majorHAnsi"/>
        </w:rPr>
        <w:t xml:space="preserve"> “involve[</w:t>
      </w:r>
      <w:proofErr w:type="spellStart"/>
      <w:r w:rsidRPr="006242D3">
        <w:rPr>
          <w:rFonts w:asciiTheme="majorHAnsi" w:hAnsiTheme="majorHAnsi"/>
        </w:rPr>
        <w:t>ment</w:t>
      </w:r>
      <w:proofErr w:type="spellEnd"/>
      <w:r w:rsidRPr="006242D3">
        <w:rPr>
          <w:rFonts w:asciiTheme="majorHAnsi" w:hAnsiTheme="majorHAnsi"/>
        </w:rPr>
        <w:t xml:space="preserve">] in the illegal prescription and distribution of opioids,” this alliance is by no means a modernistic version of police. In fact, as Patrick E. Carrol (2002) argues in </w:t>
      </w:r>
      <w:sdt>
        <w:sdtPr>
          <w:rPr>
            <w:rFonts w:asciiTheme="majorHAnsi" w:hAnsiTheme="majorHAnsi"/>
          </w:rPr>
          <w:tag w:val="goog_rdk_239"/>
          <w:id w:val="-899439727"/>
        </w:sdtPr>
        <w:sdtContent>
          <w:r w:rsidRPr="006242D3">
            <w:rPr>
              <w:rFonts w:asciiTheme="majorHAnsi" w:hAnsiTheme="majorHAnsi"/>
              <w:i/>
            </w:rPr>
            <w:t xml:space="preserve">Medical Police and the History of Public Health, </w:t>
          </w:r>
        </w:sdtContent>
      </w:sdt>
      <w:sdt>
        <w:sdtPr>
          <w:rPr>
            <w:rFonts w:asciiTheme="majorHAnsi" w:hAnsiTheme="majorHAnsi"/>
          </w:rPr>
          <w:tag w:val="goog_rdk_240"/>
          <w:id w:val="1280074211"/>
        </w:sdtPr>
        <w:sdtContent>
          <w:r w:rsidRPr="006242D3">
            <w:rPr>
              <w:rFonts w:asciiTheme="majorHAnsi" w:hAnsiTheme="majorHAnsi"/>
            </w:rPr>
            <w:t>“From the very beginning of the “police idea, security was tied to health and safety through the concept of population,” with one of the primary categories being the “</w:t>
          </w:r>
          <w:proofErr w:type="spellStart"/>
          <w:r w:rsidRPr="006242D3">
            <w:rPr>
              <w:rFonts w:asciiTheme="majorHAnsi" w:hAnsiTheme="majorHAnsi"/>
            </w:rPr>
            <w:t>polic</w:t>
          </w:r>
          <w:proofErr w:type="spellEnd"/>
          <w:r w:rsidRPr="006242D3">
            <w:rPr>
              <w:rFonts w:asciiTheme="majorHAnsi" w:hAnsiTheme="majorHAnsi"/>
            </w:rPr>
            <w:t>[</w:t>
          </w:r>
          <w:proofErr w:type="spellStart"/>
          <w:r w:rsidRPr="006242D3">
            <w:rPr>
              <w:rFonts w:asciiTheme="majorHAnsi" w:hAnsiTheme="majorHAnsi"/>
            </w:rPr>
            <w:t>ing</w:t>
          </w:r>
          <w:proofErr w:type="spellEnd"/>
          <w:r w:rsidRPr="006242D3">
            <w:rPr>
              <w:rFonts w:asciiTheme="majorHAnsi" w:hAnsiTheme="majorHAnsi"/>
            </w:rPr>
            <w:t xml:space="preserve">] of that which is ingested by bodies, especially in terms of adulteration and the wholesomeness of food, drugs, and water.” Therefore, it can be said that ARPO is not, as Azar (2019) asserts, forging a “new” alliance between the police and public health authorities insofar as these entities have always and already been entwined while also recognizing that the opioid crisis has reconfigured and expanded their powers—intensifying “criminal and regulatory…measures in segments of human behavior once considered non-criminal” (Esparza, 2019: 253).  </w:t>
          </w:r>
        </w:sdtContent>
      </w:sdt>
    </w:p>
    <w:p w14:paraId="599A2A3E" w14:textId="77777777" w:rsidR="006242D3" w:rsidRPr="006242D3" w:rsidRDefault="006242D3" w:rsidP="00F814D3">
      <w:pPr>
        <w:spacing w:line="480" w:lineRule="auto"/>
        <w:ind w:firstLine="720"/>
        <w:rPr>
          <w:rFonts w:asciiTheme="majorHAnsi" w:hAnsiTheme="majorHAnsi"/>
        </w:rPr>
      </w:pPr>
      <w:r w:rsidRPr="006242D3">
        <w:rPr>
          <w:rFonts w:asciiTheme="majorHAnsi" w:hAnsiTheme="majorHAnsi"/>
        </w:rPr>
        <w:t xml:space="preserve">Similar to Hwang’s (2019:560) argument that one would be remiss to trace the “historical trajectory of penal reform [as a linear progression]…from [the] sovereign power’s carceral exile (chattel slavery to capital punishment), to carceral cure (deviant bodies as the symbolic rationalization for expanding institutionalized punishment), to carceral care” or the “liberal humanistic concern for the improved treatment of those incarcerated,” one cannot simply characterize trends towards the integration of HR into the federal regime of criminalized drug prohibition as a shift away from the drug war given that “the medicalized discourse and tactics” of public health has long helped to “solidify the carceral enterprises of the neoliberal state” (Esparza, 2019:). While this is not to say that HR programs are not an improvement to incarceration for drug law “violations,” it is to say that the institutionalization of these practices into the regime of public health obscures the deeper structural issues the crisis articulates. Returning momentarily to Carroll’s work </w:t>
      </w:r>
      <w:r w:rsidRPr="006242D3">
        <w:rPr>
          <w:rFonts w:asciiTheme="majorHAnsi" w:hAnsiTheme="majorHAnsi"/>
        </w:rPr>
        <w:lastRenderedPageBreak/>
        <w:t>(2002: 470), we must think about the criminalization of medical professionals with regard to that fact that public health has long been a “political battlefield” insofar as efforts, like regulatory measures, opened the realm of economic activity to policing—to “inspection, information gathering, and intervention.” Given this, we can think HR as “part of a complex struggle to transform the carceral common-sense” in such a way that masks the profound failures of a health/care system largely oriented around the hyper-capitalist, profit-driven, marketized logics of administration and finance while simultaneously placing blame on medical professionals and also deputizing public health officials to manage these “failures” and bring the system back into alignment with the state’s aims. Inverting the words of US Attorney Kenneth L. Parker of the Southern District of Ohio who contends that “medical professionals…[operate] no different[</w:t>
      </w:r>
      <w:proofErr w:type="spellStart"/>
      <w:r w:rsidRPr="006242D3">
        <w:rPr>
          <w:rFonts w:asciiTheme="majorHAnsi" w:hAnsiTheme="majorHAnsi"/>
        </w:rPr>
        <w:t>ly</w:t>
      </w:r>
      <w:proofErr w:type="spellEnd"/>
      <w:r w:rsidRPr="006242D3">
        <w:rPr>
          <w:rFonts w:asciiTheme="majorHAnsi" w:hAnsiTheme="majorHAnsi"/>
        </w:rPr>
        <w:t xml:space="preserve">] than any [other] drug dealer…they simply [don] white coats while prescribing dangerous levels of opioids,” might we then ask if they do not also operate as police without the badges? </w:t>
      </w:r>
    </w:p>
    <w:p w14:paraId="6B6DF2E6" w14:textId="42EA6E35" w:rsidR="006242D3" w:rsidRPr="002131BE" w:rsidRDefault="006242D3" w:rsidP="0030288C">
      <w:pPr>
        <w:pStyle w:val="Heading2"/>
      </w:pPr>
      <w:bookmarkStart w:id="40" w:name="_Toc133884524"/>
      <w:r w:rsidRPr="002131BE">
        <w:t>Conjunctural Contestations</w:t>
      </w:r>
      <w:bookmarkEnd w:id="40"/>
    </w:p>
    <w:p w14:paraId="0216FAB4" w14:textId="34BB5491" w:rsidR="006242D3" w:rsidRPr="006242D3" w:rsidRDefault="006242D3" w:rsidP="002131BE">
      <w:pPr>
        <w:spacing w:line="480" w:lineRule="auto"/>
        <w:ind w:firstLine="720"/>
        <w:rPr>
          <w:rFonts w:asciiTheme="majorHAnsi" w:hAnsiTheme="majorHAnsi"/>
        </w:rPr>
      </w:pPr>
      <w:r w:rsidRPr="006242D3">
        <w:rPr>
          <w:rFonts w:asciiTheme="majorHAnsi" w:hAnsiTheme="majorHAnsi"/>
        </w:rPr>
        <w:t>Drawing on the various sites of struggle or “war of positions” examined in Chapter One, we can now use a conjunctural approach to map the opioid crisis as a “problem space” of hegemonic state politics (Grossberg, 2010: 50). As Grossberg (2010: 51) notes, this work is primarily “concerned with the struggle, on the part of the historical bloc or alliance, to win popular consent to particular forms of state-political and economic power by operating on the terrain of and within the spaces of the popular common sense.” By analyzing the specific ways in which public health-based HR (and its derivatives) are being mobilized by the state in Southern Appalachia to re/solve the opioid crisis, we can thus examine how these practices are being used to</w:t>
      </w:r>
      <w:sdt>
        <w:sdtPr>
          <w:rPr>
            <w:rFonts w:asciiTheme="majorHAnsi" w:hAnsiTheme="majorHAnsi"/>
          </w:rPr>
          <w:tag w:val="goog_rdk_251"/>
          <w:id w:val="322711594"/>
        </w:sdtPr>
        <w:sdtContent>
          <w:r w:rsidRPr="006242D3">
            <w:rPr>
              <w:rFonts w:asciiTheme="majorHAnsi" w:hAnsiTheme="majorHAnsi"/>
              <w:i/>
            </w:rPr>
            <w:t xml:space="preserve"> provisionally </w:t>
          </w:r>
        </w:sdtContent>
      </w:sdt>
      <w:sdt>
        <w:sdtPr>
          <w:rPr>
            <w:rFonts w:asciiTheme="majorHAnsi" w:hAnsiTheme="majorHAnsi"/>
          </w:rPr>
          <w:tag w:val="goog_rdk_252"/>
          <w:id w:val="15280309"/>
        </w:sdtPr>
        <w:sdtContent>
          <w:r w:rsidRPr="006242D3">
            <w:rPr>
              <w:rFonts w:asciiTheme="majorHAnsi" w:hAnsiTheme="majorHAnsi"/>
            </w:rPr>
            <w:t xml:space="preserve">resolve the contradictions of which it is a </w:t>
          </w:r>
          <w:r w:rsidRPr="006242D3">
            <w:rPr>
              <w:rFonts w:asciiTheme="majorHAnsi" w:hAnsiTheme="majorHAnsi"/>
            </w:rPr>
            <w:lastRenderedPageBreak/>
            <w:t xml:space="preserve">particular manifestation. </w:t>
          </w:r>
        </w:sdtContent>
      </w:sdt>
      <w:r w:rsidR="002131BE">
        <w:rPr>
          <w:rFonts w:asciiTheme="majorHAnsi" w:hAnsiTheme="majorHAnsi"/>
        </w:rPr>
        <w:t>Political and popular r</w:t>
      </w:r>
      <w:r w:rsidR="00685E69">
        <w:rPr>
          <w:rFonts w:asciiTheme="majorHAnsi" w:hAnsiTheme="majorHAnsi"/>
        </w:rPr>
        <w:t>esistance to HR</w:t>
      </w:r>
      <w:r w:rsidR="002131BE">
        <w:rPr>
          <w:rFonts w:asciiTheme="majorHAnsi" w:hAnsiTheme="majorHAnsi"/>
        </w:rPr>
        <w:t xml:space="preserve"> primarily takes root within the belief that these programs</w:t>
      </w:r>
      <w:r w:rsidRPr="006242D3">
        <w:rPr>
          <w:rFonts w:asciiTheme="majorHAnsi" w:hAnsiTheme="majorHAnsi"/>
        </w:rPr>
        <w:t xml:space="preserve">: 1) </w:t>
      </w:r>
      <w:r w:rsidR="001821C8">
        <w:rPr>
          <w:rFonts w:asciiTheme="majorHAnsi" w:hAnsiTheme="majorHAnsi"/>
        </w:rPr>
        <w:t>encourage</w:t>
      </w:r>
      <w:r w:rsidRPr="006242D3">
        <w:rPr>
          <w:rFonts w:asciiTheme="majorHAnsi" w:hAnsiTheme="majorHAnsi"/>
        </w:rPr>
        <w:t xml:space="preserve"> drug use, 2) enable drug users, 3) </w:t>
      </w:r>
      <w:r w:rsidR="001821C8">
        <w:rPr>
          <w:rFonts w:asciiTheme="majorHAnsi" w:hAnsiTheme="majorHAnsi"/>
        </w:rPr>
        <w:t>create</w:t>
      </w:r>
      <w:r w:rsidRPr="006242D3">
        <w:rPr>
          <w:rFonts w:asciiTheme="majorHAnsi" w:hAnsiTheme="majorHAnsi"/>
        </w:rPr>
        <w:t xml:space="preserve"> crime, and 4)</w:t>
      </w:r>
      <w:r w:rsidR="008423F6">
        <w:rPr>
          <w:rFonts w:asciiTheme="majorHAnsi" w:hAnsiTheme="majorHAnsi"/>
        </w:rPr>
        <w:t xml:space="preserve"> deter </w:t>
      </w:r>
      <w:r w:rsidRPr="006242D3">
        <w:rPr>
          <w:rFonts w:asciiTheme="majorHAnsi" w:hAnsiTheme="majorHAnsi"/>
        </w:rPr>
        <w:t xml:space="preserve">(Shaw 2012:161). Therefore, to generate favor for these programs, advocates of HR have adopted a “more saleable focus on [their] medical benefits” for reducing the “societal costs” of drug use through a variety of “interventionist technologies” (Roe, 2006: 246). Although HR originated from within drug user and “other socially and politically marginalized groups…loosely organized in opposition to [criminalized] drug prohibition” during the late 1980s and early 90s, once these groups “formed coalition with public health and other ‘mainstream groups’…“to address the crises engendered by HIV/AIDS” these practices were “scientifically” re/branded by a rhetoric of “risk”  that recognized medical professionals, rather than drug users, as the “experts” on the topic (ibid., 2006: 246). </w:t>
      </w:r>
    </w:p>
    <w:p w14:paraId="469C8D41" w14:textId="28B8B7DF" w:rsidR="006242D3" w:rsidRPr="006242D3" w:rsidRDefault="006242D3" w:rsidP="006242D3">
      <w:pPr>
        <w:spacing w:line="480" w:lineRule="auto"/>
      </w:pPr>
      <w:r w:rsidRPr="006242D3">
        <w:rPr>
          <w:rFonts w:asciiTheme="majorHAnsi" w:hAnsiTheme="majorHAnsi"/>
        </w:rPr>
        <w:t xml:space="preserve">By bringing HR practices into “strategic alignment with the biomedical establishment and the pathology paradigm” of addiction, public health-based programs enable the state and society to “continue [on] causing harm” without having to acknowledge or take responsibility for the political, economic, legal, and social conditions that the “drug problem masks” (Smith 2012:209; Roe, DATE: 246). Although HR is regarded as a more “compassionate and pragmatic alternative to prohibitionist [drug control] policy,” as Gordon Roe (2006: 246), quoting Miller (2001: 117), argues these practices are a “safety net, not a strategy, representing a convergence of economic rationalism and social policy.” The institutionalization of HR within public health is an attempt to reconfigure the carceral security apparatus through the crisis. In this context, the meaning of addiction is tethered to differential attributions of agency, which captures the drug user in a liminal position </w:t>
      </w:r>
      <w:r w:rsidRPr="006242D3">
        <w:rPr>
          <w:rFonts w:asciiTheme="majorHAnsi" w:hAnsiTheme="majorHAnsi"/>
        </w:rPr>
        <w:lastRenderedPageBreak/>
        <w:t xml:space="preserve">“betwixt and between” the inside and outside of prison (Foster 2017). This rhetoric does not de-escalate the drug war, but </w:t>
      </w:r>
      <w:proofErr w:type="spellStart"/>
      <w:r w:rsidRPr="006242D3">
        <w:rPr>
          <w:rFonts w:asciiTheme="majorHAnsi" w:hAnsiTheme="majorHAnsi"/>
        </w:rPr>
        <w:t>conjuncturally</w:t>
      </w:r>
      <w:proofErr w:type="spellEnd"/>
      <w:r w:rsidRPr="006242D3">
        <w:rPr>
          <w:rFonts w:asciiTheme="majorHAnsi" w:hAnsiTheme="majorHAnsi"/>
        </w:rPr>
        <w:t xml:space="preserve"> speaking, what it does do is open space to, in Hall’s words, “fasten one’s mind…’ violently’ onto things as they are…[and] struggle to command the common-sense…to educate and transform it.” Therefore, we must first map the ways in which public health-based HR is being “implemented” into the Southern Appalachian </w:t>
      </w:r>
      <w:r w:rsidRPr="006242D3">
        <w:t xml:space="preserve">landscape. </w:t>
      </w:r>
    </w:p>
    <w:p w14:paraId="3898F549" w14:textId="11A7FFDE" w:rsidR="006242D3" w:rsidRPr="002131BE" w:rsidRDefault="006242D3" w:rsidP="0030288C">
      <w:pPr>
        <w:pStyle w:val="Heading2"/>
      </w:pPr>
      <w:bookmarkStart w:id="41" w:name="_Toc133884525"/>
      <w:r w:rsidRPr="002131BE">
        <w:t>Surveilling Disease</w:t>
      </w:r>
      <w:bookmarkEnd w:id="41"/>
    </w:p>
    <w:p w14:paraId="792A1BE0" w14:textId="498D8F6B" w:rsidR="006242D3" w:rsidRPr="006242D3" w:rsidRDefault="006242D3" w:rsidP="002F6041">
      <w:pPr>
        <w:spacing w:line="480" w:lineRule="auto"/>
        <w:ind w:firstLine="720"/>
        <w:rPr>
          <w:rFonts w:ascii="Cambria" w:hAnsi="Cambria"/>
        </w:rPr>
      </w:pPr>
      <w:r w:rsidRPr="006242D3">
        <w:rPr>
          <w:rFonts w:ascii="Cambria" w:hAnsi="Cambria"/>
        </w:rPr>
        <w:t xml:space="preserve">Despite broad shifts to implement public health-based HR in Southern Appalachia to reduce the spread of needle-borne infectious diseases among intravenous drug users (IDUs) over the last decade, significant differences exist across the legal terrains through which these programs operate at the state level. </w:t>
      </w:r>
      <w:sdt>
        <w:sdtPr>
          <w:rPr>
            <w:rFonts w:ascii="Cambria" w:hAnsi="Cambria"/>
          </w:rPr>
          <w:tag w:val="goog_rdk_263"/>
          <w:id w:val="1932236248"/>
        </w:sdtPr>
        <w:sdtContent/>
      </w:sdt>
      <w:sdt>
        <w:sdtPr>
          <w:rPr>
            <w:rFonts w:ascii="Cambria" w:hAnsi="Cambria"/>
          </w:rPr>
          <w:tag w:val="goog_rdk_264"/>
          <w:id w:val="-721904492"/>
        </w:sdtPr>
        <w:sdtContent>
          <w:r w:rsidRPr="006242D3">
            <w:rPr>
              <w:rFonts w:ascii="Cambria" w:hAnsi="Cambria"/>
            </w:rPr>
            <w:t xml:space="preserve">They are complex configurations of not just state but local and federal drug control and public health policies but sites where the activist pasts of these practices emerge and make liberatory futures feel </w:t>
          </w:r>
        </w:sdtContent>
      </w:sdt>
      <w:sdt>
        <w:sdtPr>
          <w:rPr>
            <w:rFonts w:ascii="Cambria" w:hAnsi="Cambria"/>
          </w:rPr>
          <w:tag w:val="goog_rdk_265"/>
          <w:id w:val="838118825"/>
        </w:sdtPr>
        <w:sdtContent>
          <w:r w:rsidRPr="006242D3">
            <w:rPr>
              <w:rFonts w:ascii="Cambria" w:hAnsi="Cambria"/>
              <w:i/>
            </w:rPr>
            <w:t>almost</w:t>
          </w:r>
        </w:sdtContent>
      </w:sdt>
      <w:sdt>
        <w:sdtPr>
          <w:rPr>
            <w:rFonts w:ascii="Cambria" w:hAnsi="Cambria"/>
          </w:rPr>
          <w:tag w:val="goog_rdk_266"/>
          <w:id w:val="-1822334542"/>
        </w:sdtPr>
        <w:sdtContent>
          <w:r w:rsidRPr="006242D3">
            <w:rPr>
              <w:rFonts w:ascii="Cambria" w:hAnsi="Cambria"/>
            </w:rPr>
            <w:t xml:space="preserve"> possible.</w:t>
          </w:r>
        </w:sdtContent>
      </w:sdt>
      <w:sdt>
        <w:sdtPr>
          <w:rPr>
            <w:rFonts w:ascii="Cambria" w:hAnsi="Cambria"/>
          </w:rPr>
          <w:tag w:val="goog_rdk_267"/>
          <w:id w:val="-1918323279"/>
        </w:sdtPr>
        <w:sdtContent>
          <w:r w:rsidRPr="006242D3">
            <w:rPr>
              <w:rFonts w:ascii="Cambria" w:hAnsi="Cambria"/>
            </w:rPr>
            <w:t xml:space="preserve"> To fully grasp these sites of potential rupture, we must first explicate the specifics of federal, state, and local HR policy to understand how these struggles are taking shape, what new alliances are being forged, and where concessions are being made in the Southern Appalachian landscape. Of Kentucky, Tennessee, and West Virginia, it was Kentucky, in 2015, where NEPs were first legalized, enabling public health departments to establish programs after receiving “approval from relevant county boards of health, county fiscal courts, and city councils” was gained (Bixler, et. al., 2018). Two years later, in 2017, the state of Tennessee followed suit, legalizing NEPs, and giving the authority to implement them to local health departments and non-governmental organizations (NGOs) “in partnership with county governments” but only after gaining “approval [from] the </w:t>
          </w:r>
          <w:r w:rsidRPr="006242D3">
            <w:rPr>
              <w:rFonts w:ascii="Cambria" w:hAnsi="Cambria"/>
            </w:rPr>
            <w:lastRenderedPageBreak/>
            <w:t xml:space="preserve">Tennessee Department of Health (TDH, 2022: </w:t>
          </w:r>
          <w:proofErr w:type="spellStart"/>
          <w:r w:rsidRPr="006242D3">
            <w:rPr>
              <w:rFonts w:ascii="Cambria" w:hAnsi="Cambria"/>
            </w:rPr>
            <w:t>n.p</w:t>
          </w:r>
          <w:proofErr w:type="spellEnd"/>
          <w:r w:rsidRPr="006242D3">
            <w:rPr>
              <w:rFonts w:ascii="Cambria" w:hAnsi="Cambria"/>
            </w:rPr>
            <w:t xml:space="preserve">.). However, West Virginia chose “neither [to] prohibit or expressly permit” these programs under state law, which both offers substantial flexibility for them to operate outside of the purview of public health officials but, as demonstrated in Chapter One, also puts them in an extremely tenuous and difficult relationship with the state given the widespread political and popular opposition to them. </w:t>
          </w:r>
        </w:sdtContent>
      </w:sdt>
    </w:p>
    <w:p w14:paraId="5F7C6A17" w14:textId="522D8F69" w:rsidR="006242D3" w:rsidRPr="006242D3" w:rsidRDefault="006242D3" w:rsidP="00695454">
      <w:pPr>
        <w:spacing w:line="480" w:lineRule="auto"/>
        <w:ind w:firstLine="720"/>
        <w:rPr>
          <w:rFonts w:ascii="Cambria" w:hAnsi="Cambria"/>
        </w:rPr>
      </w:pPr>
      <w:r w:rsidRPr="006242D3">
        <w:rPr>
          <w:rFonts w:ascii="Cambria" w:hAnsi="Cambria"/>
        </w:rPr>
        <w:t>Given these fluctuating legal terrains, differences certainly exist among the types of HR programming made available to drug users at the state and local levels in Southern Appalachia. However, because the vast majority of these programs are administered through funds provided by the Departments of Health and Human Services (HHS) and the Centers for Disease Control and Prevention (CDC), they operate to similar standards. While all “states, local, tribal, and territorial health departments” can request permission for federal funding to support the implementation of NEPs, according to the Consolidated Appropriations Act, the applicant must first consult with the Centers for Disease Control and Prevention (CDC) and “provide evidence that their jurisdiction is 1) experiencing, 2) at risk for significant increases in hepatitis infections or an HIV outbreak due to injection drug use” to gain approval(CDC, 2022). If approval is obtained, the CDC (2022) then has specific guidelines about which types of activities this funding can be used for, including but not limited to: “[Paying] personnel; testing kits for viral hepatitis…and HIV; syringe disposal services; HIV and viral hepatitis prevention, treatment, and care services; HIV pre-and post-exposure prophylaxis (</w:t>
      </w:r>
      <w:proofErr w:type="spellStart"/>
      <w:r w:rsidRPr="006242D3">
        <w:rPr>
          <w:rFonts w:ascii="Cambria" w:hAnsi="Cambria"/>
        </w:rPr>
        <w:t>PrEP</w:t>
      </w:r>
      <w:proofErr w:type="spellEnd"/>
      <w:r w:rsidRPr="006242D3">
        <w:rPr>
          <w:rFonts w:ascii="Cambria" w:hAnsi="Cambria"/>
        </w:rPr>
        <w:t xml:space="preserve"> and PEP); viral hepatitis vaccination; substance use disorder treatment and recovery support services; medical and mental health services; [the] provision of naloxone to reverse opioid overdoses; [and] educational materials, including information about safer injection practices, overdose prevention, HIV and viral </w:t>
      </w:r>
      <w:r w:rsidRPr="006242D3">
        <w:rPr>
          <w:rFonts w:ascii="Cambria" w:hAnsi="Cambria"/>
        </w:rPr>
        <w:lastRenderedPageBreak/>
        <w:t>hepatitis prevention, treatment and care services, medication-assisted treatment (MAT), and recovery support services; [as well as] condoms to reduce the risk of sexual transmission of HIV, viral hepatitis, and other sexually transmitted disease (STDs).</w:t>
      </w:r>
      <w:sdt>
        <w:sdtPr>
          <w:rPr>
            <w:rFonts w:ascii="Cambria" w:hAnsi="Cambria"/>
          </w:rPr>
          <w:tag w:val="goog_rdk_270"/>
          <w:id w:val="-263301049"/>
        </w:sdtPr>
        <w:sdtContent>
          <w:sdt>
            <w:sdtPr>
              <w:rPr>
                <w:rFonts w:ascii="Cambria" w:hAnsi="Cambria"/>
              </w:rPr>
              <w:tag w:val="goog_rdk_271"/>
              <w:id w:val="-796442708"/>
            </w:sdtPr>
            <w:sdtContent>
              <w:r w:rsidRPr="006242D3">
                <w:rPr>
                  <w:rFonts w:ascii="Cambria" w:hAnsi="Cambria"/>
                </w:rPr>
                <w:t>”</w:t>
              </w:r>
            </w:sdtContent>
          </w:sdt>
        </w:sdtContent>
      </w:sdt>
      <w:sdt>
        <w:sdtPr>
          <w:rPr>
            <w:rFonts w:ascii="Cambria" w:hAnsi="Cambria"/>
          </w:rPr>
          <w:tag w:val="goog_rdk_272"/>
          <w:id w:val="-449474511"/>
        </w:sdtPr>
        <w:sdtContent>
          <w:r w:rsidRPr="006242D3">
            <w:rPr>
              <w:rFonts w:ascii="Cambria" w:hAnsi="Cambria"/>
            </w:rPr>
            <w:t xml:space="preserve"> </w:t>
          </w:r>
        </w:sdtContent>
      </w:sdt>
    </w:p>
    <w:p w14:paraId="68735C05" w14:textId="556AFD67" w:rsidR="006242D3" w:rsidRPr="006242D3" w:rsidRDefault="006242D3" w:rsidP="00695454">
      <w:pPr>
        <w:spacing w:line="480" w:lineRule="auto"/>
        <w:ind w:firstLine="720"/>
        <w:rPr>
          <w:rFonts w:ascii="Cambria" w:hAnsi="Cambria"/>
        </w:rPr>
      </w:pPr>
      <w:r w:rsidRPr="006242D3">
        <w:rPr>
          <w:rFonts w:ascii="Cambria" w:hAnsi="Cambria"/>
        </w:rPr>
        <w:t xml:space="preserve">Recalling that Republican lawmakers only consented to “partially” repealing the federal ban on NEPs for the purpose of mobilizing “targeted interventions” into those places identified as “most vulnerable” to the “rapid dissemination of HIV and/or viral hepatitis by the CDC, there is one glaring exception to how these funds can be spent: </w:t>
      </w:r>
      <w:sdt>
        <w:sdtPr>
          <w:rPr>
            <w:rFonts w:ascii="Cambria" w:hAnsi="Cambria"/>
          </w:rPr>
          <w:tag w:val="goog_rdk_275"/>
          <w:id w:val="-1886088881"/>
        </w:sdtPr>
        <w:sdtContent/>
      </w:sdt>
      <w:sdt>
        <w:sdtPr>
          <w:rPr>
            <w:rFonts w:ascii="Cambria" w:hAnsi="Cambria"/>
          </w:rPr>
          <w:tag w:val="goog_rdk_276"/>
          <w:id w:val="-756287023"/>
        </w:sdtPr>
        <w:sdtContent>
          <w:r w:rsidRPr="006242D3">
            <w:rPr>
              <w:rFonts w:ascii="Cambria" w:hAnsi="Cambria"/>
            </w:rPr>
            <w:t xml:space="preserve">They </w:t>
          </w:r>
        </w:sdtContent>
      </w:sdt>
      <w:sdt>
        <w:sdtPr>
          <w:rPr>
            <w:rFonts w:ascii="Cambria" w:hAnsi="Cambria"/>
          </w:rPr>
          <w:tag w:val="goog_rdk_277"/>
          <w:id w:val="973954645"/>
        </w:sdtPr>
        <w:sdtContent>
          <w:r w:rsidRPr="006242D3">
            <w:rPr>
              <w:rFonts w:ascii="Cambria" w:hAnsi="Cambria"/>
              <w:i/>
            </w:rPr>
            <w:t>cannot</w:t>
          </w:r>
        </w:sdtContent>
      </w:sdt>
      <w:sdt>
        <w:sdtPr>
          <w:rPr>
            <w:rFonts w:ascii="Cambria" w:hAnsi="Cambria"/>
          </w:rPr>
          <w:tag w:val="goog_rdk_278"/>
          <w:id w:val="1146247531"/>
        </w:sdtPr>
        <w:sdtContent>
          <w:r w:rsidRPr="006242D3">
            <w:rPr>
              <w:rFonts w:ascii="Cambria" w:hAnsi="Cambria"/>
            </w:rPr>
            <w:t xml:space="preserve"> be used to purchase “sterile needles and/or syringes for the purposes of illegal drug use by injection…or [for] other equipment [used]  to prepare drugs for illegal drug injection” such as “cookers” (CDC, 2022: </w:t>
          </w:r>
          <w:proofErr w:type="spellStart"/>
          <w:r w:rsidRPr="006242D3">
            <w:rPr>
              <w:rFonts w:ascii="Cambria" w:hAnsi="Cambria"/>
            </w:rPr>
            <w:t>n.p</w:t>
          </w:r>
          <w:proofErr w:type="spellEnd"/>
          <w:r w:rsidRPr="006242D3">
            <w:rPr>
              <w:rFonts w:ascii="Cambria" w:hAnsi="Cambria"/>
            </w:rPr>
            <w:t>.).</w:t>
          </w:r>
        </w:sdtContent>
      </w:sdt>
      <w:sdt>
        <w:sdtPr>
          <w:rPr>
            <w:rFonts w:ascii="Cambria" w:hAnsi="Cambria"/>
          </w:rPr>
          <w:tag w:val="goog_rdk_279"/>
          <w:id w:val="823790001"/>
        </w:sdtPr>
        <w:sdtContent>
          <w:r w:rsidRPr="006242D3">
            <w:rPr>
              <w:rFonts w:ascii="Cambria" w:hAnsi="Cambria"/>
            </w:rPr>
            <w:t xml:space="preserve"> The driving force behind federal lawmakers’ investment in public health-based HR was (and is) the prevention of the spread of blood-borne infectious diseases among IDUs, especially in rural regions of the US and, specifically, in Southern Appalachia.  </w:t>
          </w:r>
        </w:sdtContent>
      </w:sdt>
      <w:sdt>
        <w:sdtPr>
          <w:rPr>
            <w:rFonts w:ascii="Cambria" w:hAnsi="Cambria"/>
          </w:rPr>
          <w:tag w:val="goog_rdk_280"/>
          <w:id w:val="157192974"/>
        </w:sdtPr>
        <w:sdtContent/>
      </w:sdt>
      <w:sdt>
        <w:sdtPr>
          <w:rPr>
            <w:rFonts w:ascii="Cambria" w:hAnsi="Cambria"/>
          </w:rPr>
          <w:tag w:val="goog_rdk_281"/>
          <w:id w:val="-376011349"/>
        </w:sdtPr>
        <w:sdtContent>
          <w:r w:rsidRPr="006242D3">
            <w:rPr>
              <w:rFonts w:ascii="Cambria" w:hAnsi="Cambria"/>
            </w:rPr>
            <w:t>They are in no way meant to change or challenge the regime of criminalized drug prohibition and where or when they do, lawmakers, public health officials, and (other) policing authorities readily reiterate their dominant (and dominative) purpose</w:t>
          </w:r>
        </w:sdtContent>
      </w:sdt>
      <w:sdt>
        <w:sdtPr>
          <w:rPr>
            <w:rFonts w:ascii="Cambria" w:hAnsi="Cambria"/>
          </w:rPr>
          <w:tag w:val="goog_rdk_282"/>
          <w:id w:val="1319850623"/>
        </w:sdtPr>
        <w:sdtContent>
          <w:r w:rsidRPr="006242D3">
            <w:rPr>
              <w:rFonts w:ascii="Cambria" w:hAnsi="Cambria"/>
            </w:rPr>
            <w:t>: To function as a “less obtrusive and thus more effective” “mousetrap” for “</w:t>
          </w:r>
          <w:proofErr w:type="spellStart"/>
          <w:r w:rsidRPr="006242D3">
            <w:rPr>
              <w:rFonts w:ascii="Cambria" w:hAnsi="Cambria"/>
            </w:rPr>
            <w:t>encourag</w:t>
          </w:r>
          <w:proofErr w:type="spellEnd"/>
          <w:r w:rsidRPr="006242D3">
            <w:rPr>
              <w:rFonts w:ascii="Cambria" w:hAnsi="Cambria"/>
            </w:rPr>
            <w:t>[</w:t>
          </w:r>
          <w:proofErr w:type="spellStart"/>
          <w:r w:rsidRPr="006242D3">
            <w:rPr>
              <w:rFonts w:ascii="Cambria" w:hAnsi="Cambria"/>
            </w:rPr>
            <w:t>ing</w:t>
          </w:r>
          <w:proofErr w:type="spellEnd"/>
          <w:r w:rsidRPr="006242D3">
            <w:rPr>
              <w:rFonts w:ascii="Cambria" w:hAnsi="Cambria"/>
            </w:rPr>
            <w:t xml:space="preserve">] the uptake of addiction treatment services” by providing IDUs otherwise inaccessible resources that are critical for survival (McLean, 2015: </w:t>
          </w:r>
          <w:proofErr w:type="spellStart"/>
          <w:r w:rsidRPr="006242D3">
            <w:rPr>
              <w:rFonts w:ascii="Cambria" w:hAnsi="Cambria"/>
            </w:rPr>
            <w:t>n.p</w:t>
          </w:r>
          <w:proofErr w:type="spellEnd"/>
          <w:r w:rsidRPr="006242D3">
            <w:rPr>
              <w:rFonts w:ascii="Cambria" w:hAnsi="Cambria"/>
            </w:rPr>
            <w:t xml:space="preserve">., Cohen, 2017: </w:t>
          </w:r>
          <w:proofErr w:type="spellStart"/>
          <w:r w:rsidRPr="006242D3">
            <w:rPr>
              <w:rFonts w:ascii="Cambria" w:hAnsi="Cambria"/>
            </w:rPr>
            <w:t>n.p</w:t>
          </w:r>
          <w:proofErr w:type="spellEnd"/>
          <w:r w:rsidRPr="006242D3">
            <w:rPr>
              <w:rFonts w:ascii="Cambria" w:hAnsi="Cambria"/>
            </w:rPr>
            <w:t xml:space="preserve">.). </w:t>
          </w:r>
        </w:sdtContent>
      </w:sdt>
    </w:p>
    <w:p w14:paraId="2C9E2BCC" w14:textId="7F046D79" w:rsidR="006242D3" w:rsidRPr="006242D3" w:rsidRDefault="006242D3" w:rsidP="00695454">
      <w:pPr>
        <w:spacing w:line="480" w:lineRule="auto"/>
        <w:ind w:firstLine="720"/>
        <w:rPr>
          <w:rFonts w:ascii="Cambria" w:hAnsi="Cambria"/>
        </w:rPr>
      </w:pPr>
      <w:r w:rsidRPr="006242D3">
        <w:rPr>
          <w:rFonts w:ascii="Cambria" w:hAnsi="Cambria"/>
        </w:rPr>
        <w:t xml:space="preserve">Alongside federal laws mandating how HHS and CDC funds can be used to operate NEPs, these programs are also subject to state and local regulations highlighting the “incursion of medical or state power” into their once liberatory aims (McLean, 2011: </w:t>
      </w:r>
      <w:proofErr w:type="spellStart"/>
      <w:r w:rsidRPr="006242D3">
        <w:rPr>
          <w:rFonts w:ascii="Cambria" w:hAnsi="Cambria"/>
        </w:rPr>
        <w:t>n.p</w:t>
      </w:r>
      <w:proofErr w:type="spellEnd"/>
      <w:r w:rsidRPr="006242D3">
        <w:rPr>
          <w:rFonts w:ascii="Cambria" w:hAnsi="Cambria"/>
        </w:rPr>
        <w:t xml:space="preserve">.). Rather than being “unmanaged and unmanageable” settings as critics of NEPs perceive them to be, these programs specifically push to increase “order” through individual </w:t>
      </w:r>
      <w:r w:rsidRPr="006242D3">
        <w:rPr>
          <w:rFonts w:ascii="Cambria" w:hAnsi="Cambria"/>
        </w:rPr>
        <w:lastRenderedPageBreak/>
        <w:t xml:space="preserve">behavioral modification (ibid., 2011: </w:t>
      </w:r>
      <w:proofErr w:type="spellStart"/>
      <w:r w:rsidRPr="006242D3">
        <w:rPr>
          <w:rFonts w:ascii="Cambria" w:hAnsi="Cambria"/>
        </w:rPr>
        <w:t>n.p</w:t>
      </w:r>
      <w:proofErr w:type="spellEnd"/>
      <w:r w:rsidRPr="006242D3">
        <w:rPr>
          <w:rFonts w:ascii="Cambria" w:hAnsi="Cambria"/>
        </w:rPr>
        <w:t xml:space="preserve">.). For example, Kentucky, Tennessee, and West Virginia do not permit public funding to be used to purchase hypodermic needles, syringes, or injection equipment. These items must be bought with private grants, donations and/or through fundraising, which means that these programs often operate on a one-to-one exchange “rate.” Not only does empirical research show that NEPs are less effective at reducing the transmission of blood-borne infectious diseases among IDUs when they operate on a one-to-one basis rather than simply providing “syringe access,” which allows participants to determine their own needs but this logic aligns with hyper-capitalist, marketized logics of administration and finance that create scarcity in a world of plenty and leave peoples in desperate situations struggling to fend for themselves by preventing those who do attend from sharing with those who are either unable or fearful to themselves.   </w:t>
      </w:r>
    </w:p>
    <w:p w14:paraId="6E75930F" w14:textId="235927A1" w:rsidR="006242D3" w:rsidRPr="002131BE" w:rsidRDefault="006242D3" w:rsidP="002131BE">
      <w:pPr>
        <w:spacing w:line="480" w:lineRule="auto"/>
        <w:ind w:firstLine="720"/>
        <w:rPr>
          <w:rFonts w:ascii="Cambria" w:hAnsi="Cambria"/>
        </w:rPr>
      </w:pPr>
      <w:r w:rsidRPr="006242D3">
        <w:rPr>
          <w:rFonts w:ascii="Cambria" w:hAnsi="Cambria"/>
        </w:rPr>
        <w:t xml:space="preserve">These laws also dictate where NEPs can be established through a “disease” discourse of addiction that emphasizes reducing the “risk” of contagion </w:t>
      </w:r>
      <w:r w:rsidR="008357BE">
        <w:rPr>
          <w:rFonts w:ascii="Cambria" w:hAnsi="Cambria"/>
        </w:rPr>
        <w:t>intravenous drug users</w:t>
      </w:r>
      <w:r w:rsidRPr="006242D3">
        <w:rPr>
          <w:rFonts w:ascii="Cambria" w:hAnsi="Cambria"/>
        </w:rPr>
        <w:t xml:space="preserve"> pose to the “public’s” health over ensuring these programs are easily accessible. In Kentucky, Tennessee, and West Virginia, NEPs must be located in “non-threatening” public places and cannot be established within a certain distance of schools and/or public parks. In part, these restrictions are a function of the “public’s” fear that they, or worse, their children, will be contaminated by “dirty” discarded needles. However, there is also an underlying fear of their private property being contaminated by users themselves. For example, during a city council meeting in Somerset, Kentucky, one resident expressed concern over the local NEP while tying drug use to houselessness, lamenting: “I’m not downplaying the need—the compassion—towards people who don’t have a home. But I </w:t>
      </w:r>
      <w:r w:rsidRPr="006242D3">
        <w:rPr>
          <w:rFonts w:ascii="Cambria" w:hAnsi="Cambria"/>
        </w:rPr>
        <w:lastRenderedPageBreak/>
        <w:t>also want to protect my family and [sic] I don’t want to have to worry about…somebody cutting through my yard that my kids have been playing in and [sic] they drop a needle. When it comes down to my private property, that compassion changes a little bit” (</w:t>
      </w:r>
      <w:proofErr w:type="spellStart"/>
      <w:r w:rsidRPr="006242D3">
        <w:rPr>
          <w:rFonts w:ascii="Cambria" w:hAnsi="Cambria"/>
        </w:rPr>
        <w:t>Slavey</w:t>
      </w:r>
      <w:proofErr w:type="spellEnd"/>
      <w:r w:rsidRPr="006242D3">
        <w:rPr>
          <w:rFonts w:ascii="Cambria" w:hAnsi="Cambria"/>
        </w:rPr>
        <w:t xml:space="preserve">, 2021: </w:t>
      </w:r>
      <w:proofErr w:type="spellStart"/>
      <w:r w:rsidRPr="006242D3">
        <w:rPr>
          <w:rFonts w:ascii="Cambria" w:hAnsi="Cambria"/>
        </w:rPr>
        <w:t>n.p</w:t>
      </w:r>
      <w:proofErr w:type="spellEnd"/>
      <w:r w:rsidRPr="006242D3">
        <w:rPr>
          <w:rFonts w:ascii="Cambria" w:hAnsi="Cambria"/>
        </w:rPr>
        <w:t xml:space="preserve">). In response, Somerset Mayor Alan Keck reassures those in attendance he is aware of the problem and that he, alongside the Chief of Police and county government officials, were in talks with the local NEP program to see “if the original intentions [are] working” (ibid., 2021: </w:t>
      </w:r>
      <w:proofErr w:type="spellStart"/>
      <w:r w:rsidRPr="006242D3">
        <w:rPr>
          <w:rFonts w:ascii="Cambria" w:hAnsi="Cambria"/>
        </w:rPr>
        <w:t>n.p</w:t>
      </w:r>
      <w:proofErr w:type="spellEnd"/>
      <w:r w:rsidRPr="006242D3">
        <w:rPr>
          <w:rFonts w:ascii="Cambria" w:hAnsi="Cambria"/>
        </w:rPr>
        <w:t>.).</w:t>
      </w:r>
    </w:p>
    <w:p w14:paraId="60B40E26" w14:textId="6CC93AAC" w:rsidR="006242D3" w:rsidRPr="002131BE" w:rsidRDefault="006242D3" w:rsidP="0030288C">
      <w:pPr>
        <w:pStyle w:val="Heading2"/>
      </w:pPr>
      <w:bookmarkStart w:id="42" w:name="_Toc133884526"/>
      <w:r w:rsidRPr="002131BE">
        <w:t>Social Contagion and Securitization</w:t>
      </w:r>
      <w:bookmarkEnd w:id="42"/>
    </w:p>
    <w:p w14:paraId="768FAE01" w14:textId="7D4753EC"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heme="majorHAnsi" w:hAnsiTheme="majorHAnsi" w:cs="Times New Roman"/>
        </w:rPr>
      </w:pPr>
      <w:r w:rsidRPr="006242D3">
        <w:rPr>
          <w:rFonts w:asciiTheme="majorHAnsi" w:hAnsiTheme="majorHAnsi" w:cs="Times New Roman"/>
        </w:rPr>
        <w:t>The belief in a “social contagion effect of addiction” makes it difficult for NEP staff to find suitable, accessible, and</w:t>
      </w:r>
      <w:sdt>
        <w:sdtPr>
          <w:rPr>
            <w:rFonts w:asciiTheme="majorHAnsi" w:hAnsiTheme="majorHAnsi" w:cs="Times New Roman"/>
          </w:rPr>
          <w:tag w:val="goog_rdk_299"/>
          <w:id w:val="461858268"/>
        </w:sdtPr>
        <w:sdtContent>
          <w:r w:rsidRPr="006242D3">
            <w:rPr>
              <w:rFonts w:asciiTheme="majorHAnsi" w:hAnsiTheme="majorHAnsi" w:cs="Times New Roman"/>
              <w:i/>
            </w:rPr>
            <w:t xml:space="preserve"> hospitable </w:t>
          </w:r>
        </w:sdtContent>
      </w:sdt>
      <w:r w:rsidRPr="006242D3">
        <w:rPr>
          <w:rFonts w:asciiTheme="majorHAnsi" w:hAnsiTheme="majorHAnsi" w:cs="Times New Roman"/>
        </w:rPr>
        <w:t>accommodations for providing services, especially in rural areas with “poor and/or limited infrastructure, challenging socio-economic conditions, and small population sizes” (</w:t>
      </w:r>
      <w:proofErr w:type="spellStart"/>
      <w:r w:rsidRPr="006242D3">
        <w:rPr>
          <w:rFonts w:asciiTheme="majorHAnsi" w:hAnsiTheme="majorHAnsi" w:cs="Times New Roman"/>
        </w:rPr>
        <w:t>Rinjnink</w:t>
      </w:r>
      <w:proofErr w:type="spellEnd"/>
      <w:r w:rsidRPr="006242D3">
        <w:rPr>
          <w:rFonts w:asciiTheme="majorHAnsi" w:hAnsiTheme="majorHAnsi" w:cs="Times New Roman"/>
        </w:rPr>
        <w:t xml:space="preserve"> et. al., 2022: </w:t>
      </w:r>
      <w:proofErr w:type="spellStart"/>
      <w:r w:rsidRPr="006242D3">
        <w:rPr>
          <w:rFonts w:asciiTheme="majorHAnsi" w:hAnsiTheme="majorHAnsi" w:cs="Times New Roman"/>
        </w:rPr>
        <w:t>n.p</w:t>
      </w:r>
      <w:proofErr w:type="spellEnd"/>
      <w:r w:rsidRPr="006242D3">
        <w:rPr>
          <w:rFonts w:asciiTheme="majorHAnsi" w:hAnsiTheme="majorHAnsi" w:cs="Times New Roman"/>
        </w:rPr>
        <w:t>.). Fears of contagion are not only articulated through the needle to re/fortify borders and further marginalize and exclude IDUs, but they entwine with the belief that NEPs are “hotspots” for criminality to “justify” expansion of the carceral surveillance apparatus. In Tennessee, for example, NEP staff must submit a written “security plan” to the law enforcement agency with jurisdiction over the program site, demonstrating their ability to ensure “public safety” while in operation. This “plan” provides police with specific details regarding the location and times of the exchange, putting IDUs at risk of harm when they conduct site surveillance.</w:t>
      </w:r>
    </w:p>
    <w:p w14:paraId="01135347" w14:textId="7F237282"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 </w:t>
      </w:r>
      <w:r w:rsidR="008357BE">
        <w:rPr>
          <w:rFonts w:asciiTheme="majorHAnsi" w:hAnsiTheme="majorHAnsi" w:cs="Times New Roman"/>
        </w:rPr>
        <w:tab/>
      </w:r>
      <w:r w:rsidRPr="006242D3">
        <w:rPr>
          <w:rFonts w:asciiTheme="majorHAnsi" w:hAnsiTheme="majorHAnsi" w:cs="Times New Roman"/>
        </w:rPr>
        <w:t xml:space="preserve">Although IDUs are provided a card by program staff which gives them “limited immunity” under paraphernalia laws “when in transit to or from an approved [NEP] site” in Tennessee because needles and other injection supplies are still criminalized under drug prohibition laws, police retain the authority to confiscate these items and/or the discretion </w:t>
      </w:r>
      <w:r w:rsidRPr="006242D3">
        <w:rPr>
          <w:rFonts w:asciiTheme="majorHAnsi" w:hAnsiTheme="majorHAnsi" w:cs="Times New Roman"/>
        </w:rPr>
        <w:lastRenderedPageBreak/>
        <w:t xml:space="preserve">to make arrests. While studying NEP programs in rural Kentucky, Allen et. al. (2022: 4) found that although needles are not considered paraphernalia at the program site, the Sherriff’s Department was not only parking near the exchange in one county to target participants for drug possession but confiscating their needles. They would then post pictures of the needles on Facebook and tag the health department in an effort to compel public outrage (ibid, 2022: 5).  </w:t>
      </w:r>
    </w:p>
    <w:p w14:paraId="5D6E8875" w14:textId="1019A750" w:rsidR="006242D3" w:rsidRPr="006242D3" w:rsidRDefault="00DE7848"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This “security plan” also requires NEP staff to “report, address, and document” law enforcement and community concerns, including any objections on behalf of community members, “violent” incidents that occur, behaviors that may result in “legal action against the program,” and any “significant exposure events” (HCHD, n.d.). As Michaud, van der </w:t>
      </w:r>
      <w:proofErr w:type="spellStart"/>
      <w:r w:rsidR="006242D3" w:rsidRPr="006242D3">
        <w:rPr>
          <w:rFonts w:asciiTheme="majorHAnsi" w:hAnsiTheme="majorHAnsi" w:cs="Times New Roman"/>
        </w:rPr>
        <w:t>Meulen</w:t>
      </w:r>
      <w:proofErr w:type="spellEnd"/>
      <w:r w:rsidR="006242D3" w:rsidRPr="006242D3">
        <w:rPr>
          <w:rFonts w:asciiTheme="majorHAnsi" w:hAnsiTheme="majorHAnsi" w:cs="Times New Roman"/>
        </w:rPr>
        <w:t xml:space="preserve">, and </w:t>
      </w:r>
      <w:proofErr w:type="spellStart"/>
      <w:r w:rsidR="006242D3" w:rsidRPr="006242D3">
        <w:rPr>
          <w:rFonts w:asciiTheme="majorHAnsi" w:hAnsiTheme="majorHAnsi" w:cs="Times New Roman"/>
        </w:rPr>
        <w:t>Guta</w:t>
      </w:r>
      <w:proofErr w:type="spellEnd"/>
      <w:r w:rsidR="006242D3" w:rsidRPr="006242D3">
        <w:rPr>
          <w:rFonts w:asciiTheme="majorHAnsi" w:hAnsiTheme="majorHAnsi" w:cs="Times New Roman"/>
        </w:rPr>
        <w:t xml:space="preserve"> (2023: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argue, security and surveillance in public health-based HR “underscore[s] how banal ‘caring’ practices can slip into or be used for coercive and/or repressive purposes regardless of intent.” While oftentimes benignly used to improve the reach of services, manage inventory, or otherwise optimize care, data collection at these sites poses significant risks of harm to IDUs, particularly regarding the methods of evaluation used to determine if NEPs are effective at preventing the spread of infectious diseases, which mandate that data collected regarding HIV, AIDS, and viral hepatitis infections be reported to external monitoring agencies. Aside from the fact that data collection practices may generate fear among IDUs and discourage them from using these services, these data are among the most significant ways public health officials exercise their police powers.</w:t>
      </w:r>
    </w:p>
    <w:p w14:paraId="7475DD26" w14:textId="0A77377F" w:rsidR="006242D3" w:rsidRPr="006242D3" w:rsidRDefault="00916925"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Similar to existing HIV-specific criminal exposure laws in Kentucky, Tennessee, and West Virginia, which allow for seropositive peoples to be criminally charged for behaviors </w:t>
      </w:r>
      <w:r w:rsidR="006242D3" w:rsidRPr="006242D3">
        <w:rPr>
          <w:rFonts w:asciiTheme="majorHAnsi" w:hAnsiTheme="majorHAnsi" w:cs="Times New Roman"/>
        </w:rPr>
        <w:lastRenderedPageBreak/>
        <w:t xml:space="preserve">ranging from sexual activity (like sex work) and sharing needles to biting, spitting, and/or otherwise exposing others to bodily fluids, public health officials have “broad authority” to mandate treatment for infectious diseases and impose punitive measures, including isolation, quarantine, or incarceration, on those who fail to comply. As Richards and Rathbun (1999: 356) argue, public health, at its root, is “not about making individuals healthy; it is about keeping society healthy by preventing individuals from doing things that endanger others.” Although a seemingly laudable goal, especially given the context of an ongoing COVID-19 pandemic where daily violence(s) against those both knowingly and unknowingly living with dis/abilities, chronic conditions, and/or the immunocompromised is normalized as “freedom,” the regime of public health itself calibrates the difference between who is “deserving” and “undeserving” of this protection by spectacularizing, criminalizing, and typifying “risk” “according to a number of </w:t>
      </w:r>
      <w:proofErr w:type="spellStart"/>
      <w:r w:rsidR="006242D3" w:rsidRPr="006242D3">
        <w:rPr>
          <w:rFonts w:asciiTheme="majorHAnsi" w:hAnsiTheme="majorHAnsi" w:cs="Times New Roman"/>
        </w:rPr>
        <w:t>identitarian</w:t>
      </w:r>
      <w:proofErr w:type="spellEnd"/>
      <w:r w:rsidR="006242D3" w:rsidRPr="006242D3">
        <w:rPr>
          <w:rFonts w:asciiTheme="majorHAnsi" w:hAnsiTheme="majorHAnsi" w:cs="Times New Roman"/>
        </w:rPr>
        <w:t xml:space="preserve"> rubrics” that are useful for expanding (and enhancing) state investments in surveillance and security (</w:t>
      </w:r>
      <w:proofErr w:type="spellStart"/>
      <w:r w:rsidR="006242D3" w:rsidRPr="006242D3">
        <w:rPr>
          <w:rFonts w:asciiTheme="majorHAnsi" w:hAnsiTheme="majorHAnsi" w:cs="Times New Roman"/>
        </w:rPr>
        <w:t>Snorton</w:t>
      </w:r>
      <w:proofErr w:type="spellEnd"/>
      <w:r w:rsidR="006242D3" w:rsidRPr="006242D3">
        <w:rPr>
          <w:rFonts w:asciiTheme="majorHAnsi" w:hAnsiTheme="majorHAnsi" w:cs="Times New Roman"/>
        </w:rPr>
        <w:t xml:space="preserve">, 2020: 314). </w:t>
      </w:r>
    </w:p>
    <w:p w14:paraId="671F2DF6" w14:textId="2E52021D" w:rsidR="00236E6D" w:rsidRPr="002131BE" w:rsidRDefault="006242D3" w:rsidP="002131B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Although public health-based HR programs are a vital form of survival under criminalized drug prohibition, they are deeply coercive spaces (Smith, 2012:210). Drug users retain and resist power in these spaces, but because they seek to re/produce normative forms of embodiment—or make people “fit enough” to live in an unjust society—by forcing them to submit to “data tracking” as a performance of “healthy citizenship” (Castillo 2019.; Whetstone &amp; Gowan 2017:1252; </w:t>
      </w:r>
      <w:proofErr w:type="spellStart"/>
      <w:r w:rsidRPr="006242D3">
        <w:rPr>
          <w:rFonts w:asciiTheme="majorHAnsi" w:hAnsiTheme="majorHAnsi" w:cs="Times New Roman"/>
        </w:rPr>
        <w:t>Ruckenstein</w:t>
      </w:r>
      <w:proofErr w:type="spellEnd"/>
      <w:r w:rsidRPr="006242D3">
        <w:rPr>
          <w:rFonts w:asciiTheme="majorHAnsi" w:hAnsiTheme="majorHAnsi" w:cs="Times New Roman"/>
        </w:rPr>
        <w:t xml:space="preserve"> &amp; Schull, 2017: 165).</w:t>
      </w:r>
      <w:sdt>
        <w:sdtPr>
          <w:rPr>
            <w:rFonts w:asciiTheme="majorHAnsi" w:hAnsiTheme="majorHAnsi" w:cs="Times New Roman"/>
          </w:rPr>
          <w:tag w:val="goog_rdk_309"/>
          <w:id w:val="-1522477201"/>
        </w:sdtPr>
        <w:sdtContent/>
      </w:sdt>
      <w:r w:rsidRPr="006242D3">
        <w:rPr>
          <w:rFonts w:asciiTheme="majorHAnsi" w:hAnsiTheme="majorHAnsi" w:cs="Times New Roman"/>
        </w:rPr>
        <w:t xml:space="preserve"> These services indeed do offer a “gentler” alternative to incarceration, but they are still punitive insofar as the forms of (even genuine) care and support they offer emerge from logics of capture and containment. As we will see in the following examples, public health-based HR is a shift </w:t>
      </w:r>
      <w:r w:rsidRPr="006242D3">
        <w:rPr>
          <w:rFonts w:asciiTheme="majorHAnsi" w:hAnsiTheme="majorHAnsi" w:cs="Times New Roman"/>
        </w:rPr>
        <w:lastRenderedPageBreak/>
        <w:t xml:space="preserve">away from penal control </w:t>
      </w:r>
      <w:r w:rsidR="00F45036" w:rsidRPr="006242D3">
        <w:rPr>
          <w:rFonts w:asciiTheme="majorHAnsi" w:hAnsiTheme="majorHAnsi" w:cs="Times New Roman"/>
        </w:rPr>
        <w:t>proper,</w:t>
      </w:r>
      <w:r w:rsidR="00F45036">
        <w:rPr>
          <w:rFonts w:asciiTheme="majorHAnsi" w:hAnsiTheme="majorHAnsi" w:cs="Times New Roman"/>
        </w:rPr>
        <w:t xml:space="preserve"> </w:t>
      </w:r>
      <w:r w:rsidR="00F45036" w:rsidRPr="006242D3">
        <w:rPr>
          <w:rFonts w:ascii="Georgia" w:eastAsia="Georgia" w:hAnsi="Georgia" w:cs="Georgia"/>
        </w:rPr>
        <w:t>but</w:t>
      </w:r>
      <w:r>
        <w:rPr>
          <w:rFonts w:ascii="Georgia" w:eastAsia="Georgia" w:hAnsi="Georgia" w:cs="Georgia"/>
        </w:rPr>
        <w:t xml:space="preserve"> it does not confront </w:t>
      </w:r>
      <w:proofErr w:type="spellStart"/>
      <w:r>
        <w:rPr>
          <w:rFonts w:ascii="Georgia" w:eastAsia="Georgia" w:hAnsi="Georgia" w:cs="Georgia"/>
        </w:rPr>
        <w:t>carcerality</w:t>
      </w:r>
      <w:proofErr w:type="spellEnd"/>
      <w:r>
        <w:rPr>
          <w:rFonts w:ascii="Georgia" w:eastAsia="Georgia" w:hAnsi="Georgia" w:cs="Georgia"/>
        </w:rPr>
        <w:t xml:space="preserve">—it operates as one of its many technologies.    </w:t>
      </w:r>
    </w:p>
    <w:p w14:paraId="14F2F711" w14:textId="17A86E42" w:rsidR="006242D3" w:rsidRPr="002131BE" w:rsidRDefault="006242D3" w:rsidP="0030288C">
      <w:pPr>
        <w:pStyle w:val="Heading2"/>
      </w:pPr>
      <w:bookmarkStart w:id="43" w:name="_Toc133884527"/>
      <w:r w:rsidRPr="002131BE">
        <w:t>Bait and Switch</w:t>
      </w:r>
      <w:bookmarkEnd w:id="43"/>
    </w:p>
    <w:p w14:paraId="2240097E" w14:textId="231E20C6"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Even though public health-based HR programs often integrate a “medical model of care” to provide peoples with at least some measure of personalized care, they are first and foremost concerned with “statistical rather than identified lives”—the “community” rather than the person (McLean, 2013: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Richards &amp; Rathbun, 1999: 355). The primary aim of these programs is to “educate” drug users into becoming more “risk aversive” under the regime of criminalized drug prohibition to reduce their “threat” to the health of the “public.”  </w:t>
      </w:r>
    </w:p>
    <w:p w14:paraId="0DB8E2DF" w14:textId="7F0393D2" w:rsidR="006242D3" w:rsidRPr="006242D3" w:rsidRDefault="006B6A94"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Drug prohibition, as the American Civil Liberties Union (ACLU, 2022: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argues, is the actual “public health menace.” Not only does prohibition foreclose the possibilities of “enact[</w:t>
      </w:r>
      <w:proofErr w:type="spellStart"/>
      <w:r w:rsidR="006242D3" w:rsidRPr="006242D3">
        <w:rPr>
          <w:rFonts w:asciiTheme="majorHAnsi" w:hAnsiTheme="majorHAnsi" w:cs="Times New Roman"/>
        </w:rPr>
        <w:t>ing</w:t>
      </w:r>
      <w:proofErr w:type="spellEnd"/>
      <w:r w:rsidR="006242D3" w:rsidRPr="006242D3">
        <w:rPr>
          <w:rFonts w:asciiTheme="majorHAnsi" w:hAnsiTheme="majorHAnsi" w:cs="Times New Roman"/>
        </w:rPr>
        <w:t xml:space="preserve">] standards of [drug] quality, purity, and potency” through regulation thereby increasing the chance of toxicity and (fatal) overdoses, but it makes needles an artificially “scarce commodity” which causes people to share and/or reuse them, increasing the chances for infectious disease transmission, bacterial infections (such as sores and abscesses), and collapsed veins. </w:t>
      </w:r>
    </w:p>
    <w:p w14:paraId="08E42C0E" w14:textId="374DAA5D"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Drug use is a normative and pervasive part of US culture and the false binary which prohibition policy has historically crafted to distinguish between legal and illegal substances operates, first and foremost, to marginalize and criminalize specific drugs and their users in favor of the multibillion-dollar alcohol, tobacco, and pharmaceutical industries that “play a major role in the nation’s commerce” (Nicholson et. al., 2002: 120). As discussed in </w:t>
      </w:r>
      <w:r w:rsidR="00434D1D">
        <w:rPr>
          <w:rFonts w:asciiTheme="majorHAnsi" w:hAnsiTheme="majorHAnsi" w:cs="Times New Roman"/>
        </w:rPr>
        <w:t>c</w:t>
      </w:r>
      <w:r w:rsidRPr="006242D3">
        <w:rPr>
          <w:rFonts w:asciiTheme="majorHAnsi" w:hAnsiTheme="majorHAnsi" w:cs="Times New Roman"/>
        </w:rPr>
        <w:t xml:space="preserve">hapter </w:t>
      </w:r>
      <w:r w:rsidR="00434D1D">
        <w:rPr>
          <w:rFonts w:asciiTheme="majorHAnsi" w:hAnsiTheme="majorHAnsi" w:cs="Times New Roman"/>
        </w:rPr>
        <w:t>2</w:t>
      </w:r>
      <w:r w:rsidRPr="006242D3">
        <w:rPr>
          <w:rFonts w:asciiTheme="majorHAnsi" w:hAnsiTheme="majorHAnsi" w:cs="Times New Roman"/>
        </w:rPr>
        <w:t xml:space="preserve">, the development of the medical concept of addiction was “most </w:t>
      </w:r>
      <w:r w:rsidRPr="006242D3">
        <w:rPr>
          <w:rFonts w:asciiTheme="majorHAnsi" w:hAnsiTheme="majorHAnsi" w:cs="Times New Roman"/>
        </w:rPr>
        <w:lastRenderedPageBreak/>
        <w:t>meaningful” to experts for its use in constructing an “object, behavior, or population to be controlled through imposed isolation [and/or their] refashioning into productive members of society” (Reiss, 2014: 158). The cottage industry of certified HR “specialists,” such as public health officials, substance abuse counselors, doctors, judges, and even police authorities, illuminates how these programs are being mobilized to “resolve” the contradictions underlying the opioid crisis for both of these purposes. Public health-based HR enables the state to draw forth drug users and use the power of medical, therapeutic, and carceral technologies to rearticulate how it deals in disease, death, and drugs.</w:t>
      </w:r>
    </w:p>
    <w:p w14:paraId="347ABA8D" w14:textId="1A020DB5"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 </w:t>
      </w:r>
      <w:r w:rsidRPr="006242D3">
        <w:rPr>
          <w:rFonts w:asciiTheme="majorHAnsi" w:hAnsiTheme="majorHAnsi" w:cs="Times New Roman"/>
        </w:rPr>
        <w:tab/>
        <w:t xml:space="preserve">While medical providers are trained to adhere to a “patient-autonomy model” that considers “free choice…[a] preeminent value to be protected,” and, at least on its face, respects the decisions of peoples to forego care and/or seek alternative forms of care, public health takes root within a utilitarian ethic of “the greatest good for the greatest number” and “protects” individual choice to “whatever extent possible” while also rejecting the belief that they “have sole control [over their] treatment” (Richard &amp; </w:t>
      </w:r>
      <w:proofErr w:type="spellStart"/>
      <w:r w:rsidRPr="006242D3">
        <w:rPr>
          <w:rFonts w:asciiTheme="majorHAnsi" w:hAnsiTheme="majorHAnsi" w:cs="Times New Roman"/>
        </w:rPr>
        <w:t>Rathburn</w:t>
      </w:r>
      <w:proofErr w:type="spellEnd"/>
      <w:r w:rsidRPr="006242D3">
        <w:rPr>
          <w:rFonts w:asciiTheme="majorHAnsi" w:hAnsiTheme="majorHAnsi" w:cs="Times New Roman"/>
        </w:rPr>
        <w:t xml:space="preserve">, 199: 355). Therefore, while public health-based NEPs entwine personal and public health services, this blend of both creates an ever-present tension between “care” and “control” that reproduces the violence(s) (Michaud, van der </w:t>
      </w:r>
      <w:proofErr w:type="spellStart"/>
      <w:r w:rsidRPr="006242D3">
        <w:rPr>
          <w:rFonts w:asciiTheme="majorHAnsi" w:hAnsiTheme="majorHAnsi" w:cs="Times New Roman"/>
        </w:rPr>
        <w:t>Meulen</w:t>
      </w:r>
      <w:proofErr w:type="spellEnd"/>
      <w:r w:rsidRPr="006242D3">
        <w:rPr>
          <w:rFonts w:asciiTheme="majorHAnsi" w:hAnsiTheme="majorHAnsi" w:cs="Times New Roman"/>
        </w:rPr>
        <w:t xml:space="preserve">, and </w:t>
      </w:r>
      <w:proofErr w:type="spellStart"/>
      <w:r w:rsidRPr="006242D3">
        <w:rPr>
          <w:rFonts w:asciiTheme="majorHAnsi" w:hAnsiTheme="majorHAnsi" w:cs="Times New Roman"/>
        </w:rPr>
        <w:t>Guta</w:t>
      </w:r>
      <w:proofErr w:type="spellEnd"/>
      <w:r w:rsidRPr="006242D3">
        <w:rPr>
          <w:rFonts w:asciiTheme="majorHAnsi" w:hAnsiTheme="majorHAnsi" w:cs="Times New Roman"/>
        </w:rPr>
        <w:t xml:space="preserve">, 2023: </w:t>
      </w:r>
      <w:proofErr w:type="spellStart"/>
      <w:r w:rsidRPr="006242D3">
        <w:rPr>
          <w:rFonts w:asciiTheme="majorHAnsi" w:hAnsiTheme="majorHAnsi" w:cs="Times New Roman"/>
        </w:rPr>
        <w:t>n.p</w:t>
      </w:r>
      <w:proofErr w:type="spellEnd"/>
      <w:r w:rsidRPr="006242D3">
        <w:rPr>
          <w:rFonts w:asciiTheme="majorHAnsi" w:hAnsiTheme="majorHAnsi" w:cs="Times New Roman"/>
        </w:rPr>
        <w:t>.).</w:t>
      </w:r>
    </w:p>
    <w:p w14:paraId="6353862B" w14:textId="6D43C68D" w:rsidR="006242D3" w:rsidRPr="006242D3" w:rsidRDefault="006242D3"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sidRPr="006242D3">
        <w:rPr>
          <w:rFonts w:asciiTheme="majorHAnsi" w:hAnsiTheme="majorHAnsi" w:cs="Times New Roman"/>
        </w:rPr>
        <w:t xml:space="preserve">NEPs are empirically proven to be effective at reducing rates of blood-borne infectious disease transmission among IDUs as well as at reducing rates of drug overdose death, these programs do not attend to the </w:t>
      </w:r>
      <w:proofErr w:type="spellStart"/>
      <w:r w:rsidRPr="006242D3">
        <w:rPr>
          <w:rFonts w:asciiTheme="majorHAnsi" w:hAnsiTheme="majorHAnsi" w:cs="Times New Roman"/>
        </w:rPr>
        <w:t>extrapersonal</w:t>
      </w:r>
      <w:proofErr w:type="spellEnd"/>
      <w:r w:rsidRPr="006242D3">
        <w:rPr>
          <w:rFonts w:asciiTheme="majorHAnsi" w:hAnsiTheme="majorHAnsi" w:cs="Times New Roman"/>
        </w:rPr>
        <w:t xml:space="preserve"> structural impediments that create the conditions for drug-related harms to flourish (Hook &amp; Markus, 2020: </w:t>
      </w:r>
      <w:proofErr w:type="spellStart"/>
      <w:r w:rsidRPr="006242D3">
        <w:rPr>
          <w:rFonts w:asciiTheme="majorHAnsi" w:hAnsiTheme="majorHAnsi" w:cs="Times New Roman"/>
        </w:rPr>
        <w:t>n.p</w:t>
      </w:r>
      <w:proofErr w:type="spellEnd"/>
      <w:r w:rsidRPr="006242D3">
        <w:rPr>
          <w:rFonts w:asciiTheme="majorHAnsi" w:hAnsiTheme="majorHAnsi" w:cs="Times New Roman"/>
        </w:rPr>
        <w:t>.). While public health-based HR acknowledges the role criminalized prohibition plays in generating drug-related harms, these programs do not—nor do they seek to—undermine the “freedom-</w:t>
      </w:r>
      <w:r w:rsidRPr="006242D3">
        <w:rPr>
          <w:rFonts w:asciiTheme="majorHAnsi" w:hAnsiTheme="majorHAnsi" w:cs="Times New Roman"/>
        </w:rPr>
        <w:lastRenderedPageBreak/>
        <w:t>addiction binary” that underlays its alleged goal: Crafting a “drug-free world,” or, at least one free of “illegal drugs” (</w:t>
      </w:r>
      <w:proofErr w:type="spellStart"/>
      <w:r w:rsidRPr="006242D3">
        <w:rPr>
          <w:rFonts w:asciiTheme="majorHAnsi" w:hAnsiTheme="majorHAnsi" w:cs="Times New Roman"/>
        </w:rPr>
        <w:t>Alexandrescu</w:t>
      </w:r>
      <w:proofErr w:type="spellEnd"/>
      <w:r w:rsidRPr="006242D3">
        <w:rPr>
          <w:rFonts w:asciiTheme="majorHAnsi" w:hAnsiTheme="majorHAnsi" w:cs="Times New Roman"/>
        </w:rPr>
        <w:t xml:space="preserve">, 2015: 13). </w:t>
      </w:r>
    </w:p>
    <w:p w14:paraId="6F35107E" w14:textId="768C783F" w:rsidR="006242D3" w:rsidRPr="006242D3" w:rsidRDefault="00434D1D"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Although public health-based HR, on its face, appears to be moving “away from the criminal-pathological language of addiction,” it is tethered to notions of “recovery” thereby reproducing </w:t>
      </w:r>
      <w:proofErr w:type="spellStart"/>
      <w:r w:rsidR="006242D3" w:rsidRPr="006242D3">
        <w:rPr>
          <w:rFonts w:asciiTheme="majorHAnsi" w:hAnsiTheme="majorHAnsi" w:cs="Times New Roman"/>
        </w:rPr>
        <w:t>carcerality</w:t>
      </w:r>
      <w:proofErr w:type="spellEnd"/>
      <w:r w:rsidR="006242D3" w:rsidRPr="006242D3">
        <w:rPr>
          <w:rFonts w:asciiTheme="majorHAnsi" w:hAnsiTheme="majorHAnsi" w:cs="Times New Roman"/>
        </w:rPr>
        <w:t xml:space="preserve"> in more complex and potentially insidious “care” forms. For West Virginia Senator Shelley Moore Capito, voting in favor of partially ending the ban on NEPs was, she argued, a choice that made out of necessity. Speaking to the state’s lack of spots in treatment facilities and “cluttered jails with no long-term fixes,” she told Metro News that the Huntington NEP was an “all hands-on deck” approach to “stop the spread of infectious diseases” while hopefully helping with the addiction issue by making “health official[s]…aware that this is an issue” for the user (</w:t>
      </w:r>
      <w:proofErr w:type="spellStart"/>
      <w:r w:rsidR="006242D3" w:rsidRPr="006242D3">
        <w:rPr>
          <w:rFonts w:asciiTheme="majorHAnsi" w:hAnsiTheme="majorHAnsi" w:cs="Times New Roman"/>
        </w:rPr>
        <w:t>Hodousek</w:t>
      </w:r>
      <w:proofErr w:type="spellEnd"/>
      <w:r w:rsidR="006242D3" w:rsidRPr="006242D3">
        <w:rPr>
          <w:rFonts w:asciiTheme="majorHAnsi" w:hAnsiTheme="majorHAnsi" w:cs="Times New Roman"/>
        </w:rPr>
        <w:t xml:space="preserve">, 2015: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The NEP is, as Capito sees it, thus only a “short-term” fix until the state can get the “drug problem” under control through targeted enforcement and supply reduction efforts and expand access to treatment and recovery programs. Even those running NEPs, like Prevention Director at Street Works Nashville, Thomas Gooch, who refers to the program as a “labor of love,” told WKRN news that he puts his own recovery to work in order to “earn the trust of his clients…and help them” on their way to sobriety too. This work is not just “talking about HIV…[and] hepatitis C” with clients, he said, it is also about making “treatment…[and] recovery house[s] referrals” (Baird, 2018: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w:t>
      </w:r>
    </w:p>
    <w:p w14:paraId="1D7E82D1" w14:textId="1B27D5F9" w:rsidR="006242D3" w:rsidRPr="006242D3" w:rsidRDefault="00627735"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Whereas liberatory HR prioritizes “self-determination</w:t>
      </w:r>
      <w:proofErr w:type="gramStart"/>
      <w:r w:rsidR="006242D3" w:rsidRPr="006242D3">
        <w:rPr>
          <w:rFonts w:asciiTheme="majorHAnsi" w:hAnsiTheme="majorHAnsi" w:cs="Times New Roman"/>
        </w:rPr>
        <w:t>…[</w:t>
      </w:r>
      <w:proofErr w:type="gramEnd"/>
      <w:r w:rsidR="006242D3" w:rsidRPr="006242D3">
        <w:rPr>
          <w:rFonts w:asciiTheme="majorHAnsi" w:hAnsiTheme="majorHAnsi" w:cs="Times New Roman"/>
        </w:rPr>
        <w:t xml:space="preserve">and] radical acceptance of the ways criminalized survivors navigate structural violence and intergenerational trauma,” public health-based HR centers surveillance, policing, and other forms of state-sponsored violence under the pretense of care (Hassan, 2023: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According to the </w:t>
      </w:r>
      <w:r w:rsidR="006242D3" w:rsidRPr="006242D3">
        <w:rPr>
          <w:rFonts w:asciiTheme="majorHAnsi" w:hAnsiTheme="majorHAnsi" w:cs="Times New Roman"/>
        </w:rPr>
        <w:lastRenderedPageBreak/>
        <w:t>Tennessee Department of Health (TDH, 2020: 4), the primary intent of public health-based HR is to “provide for clients’ needs without judging them regarding their drug use and/or sexual activity [while also] ‘meet[</w:t>
      </w:r>
      <w:proofErr w:type="spellStart"/>
      <w:r w:rsidR="006242D3" w:rsidRPr="006242D3">
        <w:rPr>
          <w:rFonts w:asciiTheme="majorHAnsi" w:hAnsiTheme="majorHAnsi" w:cs="Times New Roman"/>
        </w:rPr>
        <w:t>ing</w:t>
      </w:r>
      <w:proofErr w:type="spellEnd"/>
      <w:r w:rsidR="006242D3" w:rsidRPr="006242D3">
        <w:rPr>
          <w:rFonts w:asciiTheme="majorHAnsi" w:hAnsiTheme="majorHAnsi" w:cs="Times New Roman"/>
        </w:rPr>
        <w:t xml:space="preserve">] people where they are in terms of [their] ability and willingness to modify behaviors.” Despite that this “willingness” to accept continued drug use (at least for a time) meaningfully diverges from the “strong-arm” demands of treatment and rehabilitation programs, public health-based HR similarly reduces the “profound structural failings” to individual-level “flaws” by forcing drug users to shoulder the fallout of a violent system by “modifying” their behaviors (Whetstone &amp; Gowan, 2017: 92).  As </w:t>
      </w:r>
      <w:proofErr w:type="spellStart"/>
      <w:r w:rsidR="006242D3" w:rsidRPr="006242D3">
        <w:rPr>
          <w:rFonts w:asciiTheme="majorHAnsi" w:hAnsiTheme="majorHAnsi" w:cs="Times New Roman"/>
        </w:rPr>
        <w:t>Shira</w:t>
      </w:r>
      <w:proofErr w:type="spellEnd"/>
      <w:r w:rsidR="006242D3" w:rsidRPr="006242D3">
        <w:rPr>
          <w:rFonts w:asciiTheme="majorHAnsi" w:hAnsiTheme="majorHAnsi" w:cs="Times New Roman"/>
        </w:rPr>
        <w:t xml:space="preserve"> Hasan (2023: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writes, when survivors whose survival strategies have historically been “deemed morally wrong or criminal” are subjected to care providers that “lack a complex trauma analysis,” they become the “targets of a system that cannot make sense of…and [thus] seeks to control [them]” through humiliation, monitoring, and policing. </w:t>
      </w:r>
    </w:p>
    <w:p w14:paraId="339AA2A8" w14:textId="6B7A1527" w:rsidR="006242D3" w:rsidRPr="002131BE" w:rsidRDefault="006242D3" w:rsidP="0030288C">
      <w:pPr>
        <w:pStyle w:val="Heading2"/>
      </w:pPr>
      <w:bookmarkStart w:id="44" w:name="_Toc133884528"/>
      <w:r w:rsidRPr="002131BE">
        <w:t>Arresting Harm Reduction</w:t>
      </w:r>
      <w:bookmarkEnd w:id="44"/>
    </w:p>
    <w:p w14:paraId="079E2CDA" w14:textId="77777777" w:rsidR="002131BE" w:rsidRDefault="00627735"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Of the 54 counties in Kentucky that were considered particularly vulnerable to HIV and HCV infections among IDUs in a 2018 CDC study, controversy over NEPs in Clay County, which, according to the New York Times, “might just be the hardest place to live in the [US] statistically speaking,” largely centers on disputes over scarce resources amid deep disadvantage (</w:t>
      </w:r>
      <w:proofErr w:type="spellStart"/>
      <w:r w:rsidR="006242D3" w:rsidRPr="006242D3">
        <w:rPr>
          <w:rFonts w:asciiTheme="majorHAnsi" w:hAnsiTheme="majorHAnsi" w:cs="Times New Roman"/>
        </w:rPr>
        <w:t>Lowrey</w:t>
      </w:r>
      <w:proofErr w:type="spellEnd"/>
      <w:r w:rsidR="006242D3" w:rsidRPr="006242D3">
        <w:rPr>
          <w:rFonts w:asciiTheme="majorHAnsi" w:hAnsiTheme="majorHAnsi" w:cs="Times New Roman"/>
        </w:rPr>
        <w:t xml:space="preserve">, 2014: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Once home to enough coal that in 1923, Henry Ford “bought” nearly 120,000 acres of “undeveloped land,” saying it “would solve the [entire] country’s coal problem,” even before the industry began its final exodus in the 1990s, like many Appalachian counties, the people of Clay County had long been suffering from the violence and trauma that flows from generations of extractive economies (The Enterprise, 2020: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w:t>
      </w:r>
    </w:p>
    <w:p w14:paraId="66B08ACA" w14:textId="4CB824DA" w:rsidR="006242D3" w:rsidRPr="006242D3" w:rsidRDefault="002131BE"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lastRenderedPageBreak/>
        <w:tab/>
      </w:r>
      <w:r w:rsidR="006242D3" w:rsidRPr="006242D3">
        <w:rPr>
          <w:rFonts w:asciiTheme="majorHAnsi" w:hAnsiTheme="majorHAnsi" w:cs="Times New Roman"/>
        </w:rPr>
        <w:t xml:space="preserve">As a consequence of the capitalist structural subordination by which extraction carries itself to “completion,” Clay County residents were left struggling for survival amid toxic environmental conditions without access to adequate health/care despite having “higher than national average rates of job-related </w:t>
      </w:r>
      <w:proofErr w:type="spellStart"/>
      <w:r w:rsidR="006242D3" w:rsidRPr="006242D3">
        <w:rPr>
          <w:rFonts w:asciiTheme="majorHAnsi" w:hAnsiTheme="majorHAnsi" w:cs="Times New Roman"/>
        </w:rPr>
        <w:t>injur</w:t>
      </w:r>
      <w:proofErr w:type="spellEnd"/>
      <w:r w:rsidR="006242D3" w:rsidRPr="006242D3">
        <w:rPr>
          <w:rFonts w:asciiTheme="majorHAnsi" w:hAnsiTheme="majorHAnsi" w:cs="Times New Roman"/>
        </w:rPr>
        <w:t>[</w:t>
      </w:r>
      <w:proofErr w:type="spellStart"/>
      <w:r w:rsidR="006242D3" w:rsidRPr="006242D3">
        <w:rPr>
          <w:rFonts w:asciiTheme="majorHAnsi" w:hAnsiTheme="majorHAnsi" w:cs="Times New Roman"/>
        </w:rPr>
        <w:t>ies</w:t>
      </w:r>
      <w:proofErr w:type="spellEnd"/>
      <w:r w:rsidR="006242D3" w:rsidRPr="006242D3">
        <w:rPr>
          <w:rFonts w:asciiTheme="majorHAnsi" w:hAnsiTheme="majorHAnsi" w:cs="Times New Roman"/>
        </w:rPr>
        <w:t>]” and life-threatening, chronic illnesses, such as cancer, “black lung,” diabetes, and depression (</w:t>
      </w:r>
      <w:proofErr w:type="spellStart"/>
      <w:r w:rsidR="006242D3" w:rsidRPr="006242D3">
        <w:rPr>
          <w:rFonts w:asciiTheme="majorHAnsi" w:hAnsiTheme="majorHAnsi" w:cs="Times New Roman"/>
        </w:rPr>
        <w:t>Berlant</w:t>
      </w:r>
      <w:proofErr w:type="spellEnd"/>
      <w:r w:rsidR="006242D3" w:rsidRPr="006242D3">
        <w:rPr>
          <w:rFonts w:asciiTheme="majorHAnsi" w:hAnsiTheme="majorHAnsi" w:cs="Times New Roman"/>
        </w:rPr>
        <w:t xml:space="preserve">, 95; </w:t>
      </w:r>
      <w:proofErr w:type="spellStart"/>
      <w:r w:rsidR="006242D3" w:rsidRPr="006242D3">
        <w:rPr>
          <w:rFonts w:asciiTheme="majorHAnsi" w:hAnsiTheme="majorHAnsi" w:cs="Times New Roman"/>
        </w:rPr>
        <w:t>Riepenhoff</w:t>
      </w:r>
      <w:proofErr w:type="spellEnd"/>
      <w:r w:rsidR="006242D3" w:rsidRPr="006242D3">
        <w:rPr>
          <w:rFonts w:asciiTheme="majorHAnsi" w:hAnsiTheme="majorHAnsi" w:cs="Times New Roman"/>
        </w:rPr>
        <w:t xml:space="preserve"> et. al., 2021: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Though it would be overly simplistic to argue that the opioid crisis in Appalachia is “a mere response to despair,” as scholars like  J.D. Vance have argued, essentially reviving the “culture of poverty thesis” (if it was ever on the cusp of death) to abdicate the role of Big Pharma, medical professionals, and governmental agencies in its genesis,  it is “eerily similar” to the extractive economies that, </w:t>
      </w:r>
      <w:proofErr w:type="spellStart"/>
      <w:r w:rsidR="006242D3" w:rsidRPr="006242D3">
        <w:rPr>
          <w:rFonts w:asciiTheme="majorHAnsi" w:hAnsiTheme="majorHAnsi" w:cs="Times New Roman"/>
        </w:rPr>
        <w:t>Stimeling</w:t>
      </w:r>
      <w:proofErr w:type="spellEnd"/>
      <w:r w:rsidR="006242D3" w:rsidRPr="006242D3">
        <w:rPr>
          <w:rFonts w:asciiTheme="majorHAnsi" w:hAnsiTheme="majorHAnsi" w:cs="Times New Roman"/>
        </w:rPr>
        <w:t xml:space="preserve"> (2020: 119, 123) notes, made it a “good business decision” to introduce prescription painkillers into these communities in the first place.</w:t>
      </w:r>
    </w:p>
    <w:p w14:paraId="1DC96617" w14:textId="1E328524" w:rsidR="006242D3" w:rsidRPr="006242D3" w:rsidRDefault="00EF0F95"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During an interview with journalist and academic </w:t>
      </w:r>
      <w:proofErr w:type="spellStart"/>
      <w:r w:rsidR="006242D3" w:rsidRPr="006242D3">
        <w:rPr>
          <w:rFonts w:asciiTheme="majorHAnsi" w:hAnsiTheme="majorHAnsi" w:cs="Times New Roman"/>
        </w:rPr>
        <w:t>Lanora</w:t>
      </w:r>
      <w:proofErr w:type="spellEnd"/>
      <w:r w:rsidR="006242D3" w:rsidRPr="006242D3">
        <w:rPr>
          <w:rFonts w:asciiTheme="majorHAnsi" w:hAnsiTheme="majorHAnsi" w:cs="Times New Roman"/>
        </w:rPr>
        <w:t xml:space="preserve"> Johnson (2019: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Director of the Cumberland Valley District Health Department, Christie Green, admits that it is difficult to “keep the conversation [over NEPs] going” when residents of Clay County  express opposition to them by asking why diabetics have to “pay a lot” for their needles when “people…doing something illegal” are being given them for free.” Yet, in the same breath, Green says that to overcome similar pushback from police, she “think[s] about what I have that [law enforcement might] want” and has therefore offered to “share extra financial resources from her [HR] programs with local police departments.”  Rather than seeking ways to expand and extend these resources to the broader community, which would better align with liberatory HR, Green instead centers the desires of the police–working to better “coordinate substance abuse prevention efforts [with] state and local </w:t>
      </w:r>
      <w:r w:rsidR="006242D3" w:rsidRPr="006242D3">
        <w:rPr>
          <w:rFonts w:asciiTheme="majorHAnsi" w:hAnsiTheme="majorHAnsi" w:cs="Times New Roman"/>
        </w:rPr>
        <w:lastRenderedPageBreak/>
        <w:t>agencies” at the expense of trying to heal the deep-rooted systemic and structural contradictions that manifest in crises of health. Public health-based HR is a short-term fix for long-term problems that undermines rather than promotes healing through the formation of alliances with police authorities.</w:t>
      </w:r>
    </w:p>
    <w:p w14:paraId="458A6F7B" w14:textId="497E5A8D" w:rsidR="006242D3" w:rsidRPr="002131BE" w:rsidRDefault="006242D3" w:rsidP="0030288C">
      <w:pPr>
        <w:pStyle w:val="Heading2"/>
      </w:pPr>
      <w:bookmarkStart w:id="45" w:name="_Toc133884529"/>
      <w:r w:rsidRPr="002131BE">
        <w:t xml:space="preserve">Good </w:t>
      </w:r>
      <w:r w:rsidR="0054654C" w:rsidRPr="002131BE">
        <w:t>Samaritan</w:t>
      </w:r>
      <w:r w:rsidRPr="002131BE">
        <w:t xml:space="preserve"> Laws</w:t>
      </w:r>
      <w:bookmarkEnd w:id="45"/>
    </w:p>
    <w:p w14:paraId="03DA59D7" w14:textId="132A655D" w:rsidR="006242D3" w:rsidRPr="006242D3" w:rsidRDefault="00EF0F95"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Over the last few years, HR has become an increasingly popular discourse of police reform with scholars, like </w:t>
      </w:r>
      <w:proofErr w:type="spellStart"/>
      <w:r w:rsidR="006242D3" w:rsidRPr="006242D3">
        <w:rPr>
          <w:rFonts w:asciiTheme="majorHAnsi" w:hAnsiTheme="majorHAnsi" w:cs="Times New Roman"/>
        </w:rPr>
        <w:t>Kammersgaard</w:t>
      </w:r>
      <w:proofErr w:type="spellEnd"/>
      <w:r w:rsidR="006242D3" w:rsidRPr="006242D3">
        <w:rPr>
          <w:rFonts w:asciiTheme="majorHAnsi" w:hAnsiTheme="majorHAnsi" w:cs="Times New Roman"/>
        </w:rPr>
        <w:t xml:space="preserve"> (2019: 1) arguing that these practices offer the potential for police to become “allies rather than adversaries…in broader public health concerns.” However, as Morrissey et. al. (2022: </w:t>
      </w:r>
      <w:proofErr w:type="spellStart"/>
      <w:r w:rsidR="006242D3" w:rsidRPr="006242D3">
        <w:rPr>
          <w:rFonts w:asciiTheme="majorHAnsi" w:hAnsiTheme="majorHAnsi" w:cs="Times New Roman"/>
        </w:rPr>
        <w:t>pg</w:t>
      </w:r>
      <w:proofErr w:type="spellEnd"/>
      <w:r w:rsidR="006242D3" w:rsidRPr="006242D3">
        <w:rPr>
          <w:rFonts w:asciiTheme="majorHAnsi" w:hAnsiTheme="majorHAnsi" w:cs="Times New Roman"/>
        </w:rPr>
        <w:t xml:space="preserve">) found in an extensive study of law enforcement interactions with NEP participants in North Carolina, police often use these programs to coerce drug users into cooperating with investigations. Although not formally regarded as a public health-based HR intervention, Good Samaritan Laws are one-way that states have incorporated these practices into criminalized drug prohibition to reform police response(s) to the opioid crisis. The state of Tennessee, for example, enacted a Good Samaritan Law in 2015 as a means of preventing drug-related overdose deaths by providing immunity from prosecution to “any person who in good faith seeks medical assistance for a person experiencing a drug overdose.” The law prevents both the person who is overdosing as well as the caller from being arrested, charged, and/or prosecuted for a drug violation </w:t>
      </w:r>
      <w:r w:rsidR="006242D3" w:rsidRPr="006242D3">
        <w:rPr>
          <w:rFonts w:asciiTheme="majorHAnsi" w:hAnsiTheme="majorHAnsi" w:cs="Times New Roman"/>
          <w:i/>
        </w:rPr>
        <w:t>if</w:t>
      </w:r>
      <w:r w:rsidR="006242D3" w:rsidRPr="006242D3">
        <w:rPr>
          <w:rFonts w:asciiTheme="majorHAnsi" w:hAnsiTheme="majorHAnsi" w:cs="Times New Roman"/>
        </w:rPr>
        <w:t xml:space="preserve"> the “evidence for the arrest, charge, or prosecution of the drug violation result[s] from seeking such medical assistance” (Tennessee Code Title 63-1-145, 2015). According to the law however, these protections only apply in the first instance of an overdose which makes the person not just liable to criminal prosecution if they or someone </w:t>
      </w:r>
      <w:r w:rsidR="006242D3" w:rsidRPr="006242D3">
        <w:rPr>
          <w:rFonts w:asciiTheme="majorHAnsi" w:hAnsiTheme="majorHAnsi" w:cs="Times New Roman"/>
        </w:rPr>
        <w:lastRenderedPageBreak/>
        <w:t>else calls emergency services during a subsequent overdose but leaves them vulnerable to being coerced into cooperating with police under the threat of arrest.</w:t>
      </w:r>
    </w:p>
    <w:p w14:paraId="6AB52D79" w14:textId="675728C4" w:rsidR="006242D3" w:rsidRPr="006242D3" w:rsidRDefault="00D11D76"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Although states with Good Samaritan Laws in place report a 15% reduction in overdose deaths on average, McDonald et. al. found in their study of 2829 calls to 911 reporting an overdose that 36% of officers made arrests anyways. This use of police “discretion” in contravention of the law, while unsurprising, not only discourages people from calling for emergency services in fear of arrest but in fear of losing their housing, custody of children, and facing repercussions from drugs suppliers if they are coerced into cooperating with police under fear of being charged. This is especially the case in states like Tennessee, Kentucky, and West Virginia, where Good Samaritan Laws do not provide the caller immunity from so called “drug delivery offenses” (Latimore &amp; Bergstein, 2017; Koester, et. al. 2017).  This means that the person who calls for emergency services can potentially be charged under “drug-induced homicide laws” if the overdose is fatal and the police accuse them of having supplied the drugs, especially if they do not know or refuse to provide a name otherwise.</w:t>
      </w:r>
    </w:p>
    <w:p w14:paraId="439E66C7" w14:textId="542CD291" w:rsidR="006242D3" w:rsidRPr="006242D3" w:rsidRDefault="0054654C" w:rsidP="006242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In 2018, the state of Tennessee announced the passage of a drug-induced homicide law, calling it an effort to “combat the rising tide of [drug-related] fatalities” and “hold…dealers accountable” (Tenn. Code § 40-35-111). Under the law, the person accused of “killing another by the unlawful distribution of a Schedule I or Schedule II drug…[or by the unlawful distribution…delivery…or dispensation of fentanyl or </w:t>
      </w:r>
      <w:proofErr w:type="spellStart"/>
      <w:r w:rsidR="006242D3" w:rsidRPr="006242D3">
        <w:rPr>
          <w:rFonts w:asciiTheme="majorHAnsi" w:hAnsiTheme="majorHAnsi" w:cs="Times New Roman"/>
        </w:rPr>
        <w:t>carfentanil</w:t>
      </w:r>
      <w:proofErr w:type="spellEnd"/>
      <w:r w:rsidR="006242D3" w:rsidRPr="006242D3">
        <w:rPr>
          <w:rFonts w:asciiTheme="majorHAnsi" w:hAnsiTheme="majorHAnsi" w:cs="Times New Roman"/>
        </w:rPr>
        <w:t>, when those substances alone or in combination with any substance scheduled…under the Tennessee Drug Control Act of 1989…is the proximate cause of the death of the user” can be charged with 2</w:t>
      </w:r>
      <w:r w:rsidR="006242D3" w:rsidRPr="006242D3">
        <w:rPr>
          <w:rFonts w:asciiTheme="majorHAnsi" w:hAnsiTheme="majorHAnsi" w:cs="Times New Roman"/>
          <w:vertAlign w:val="superscript"/>
        </w:rPr>
        <w:t>nd</w:t>
      </w:r>
      <w:r w:rsidR="006242D3" w:rsidRPr="006242D3">
        <w:rPr>
          <w:rFonts w:asciiTheme="majorHAnsi" w:hAnsiTheme="majorHAnsi" w:cs="Times New Roman"/>
        </w:rPr>
        <w:t xml:space="preserve"> degree murder. Despite receiving pushback from Senator Joe Morrissey (VA-D) </w:t>
      </w:r>
      <w:r w:rsidR="006242D3" w:rsidRPr="006242D3">
        <w:rPr>
          <w:rFonts w:asciiTheme="majorHAnsi" w:hAnsiTheme="majorHAnsi" w:cs="Times New Roman"/>
        </w:rPr>
        <w:lastRenderedPageBreak/>
        <w:t>that the law would undercut the General Assembly’s “multi-year effort” to encourage “drug dealers” to call during instances of overdose through measures like the Good Samaritan Law, Senator Jon Lundberg (TN-R), replied “I get feedback from our [district attorney’s] and they say it’s great because it gives them an extra tool in their toolbelt for charging, and that’s a disincentive” (</w:t>
      </w:r>
      <w:proofErr w:type="spellStart"/>
      <w:r w:rsidR="006242D3" w:rsidRPr="006242D3">
        <w:rPr>
          <w:rFonts w:asciiTheme="majorHAnsi" w:hAnsiTheme="majorHAnsi" w:cs="Times New Roman"/>
        </w:rPr>
        <w:t>Hoak</w:t>
      </w:r>
      <w:proofErr w:type="spellEnd"/>
      <w:r w:rsidR="006242D3" w:rsidRPr="006242D3">
        <w:rPr>
          <w:rFonts w:asciiTheme="majorHAnsi" w:hAnsiTheme="majorHAnsi" w:cs="Times New Roman"/>
        </w:rPr>
        <w:t xml:space="preserve">, 2023: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w:t>
      </w:r>
    </w:p>
    <w:p w14:paraId="53A72AE0" w14:textId="70EAE396" w:rsidR="00236E6D" w:rsidRPr="0054654C" w:rsidRDefault="0054654C" w:rsidP="005465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HAnsi" w:hAnsiTheme="majorHAnsi" w:cs="Times New Roman"/>
        </w:rPr>
      </w:pPr>
      <w:r>
        <w:rPr>
          <w:rFonts w:asciiTheme="majorHAnsi" w:hAnsiTheme="majorHAnsi" w:cs="Times New Roman"/>
        </w:rPr>
        <w:tab/>
      </w:r>
      <w:r w:rsidR="006242D3" w:rsidRPr="006242D3">
        <w:rPr>
          <w:rFonts w:asciiTheme="majorHAnsi" w:hAnsiTheme="majorHAnsi" w:cs="Times New Roman"/>
        </w:rPr>
        <w:t xml:space="preserve">Operating alongside recent shifts to “impose harsher penalties for the possession of “fentanyl and other…lab-made opioids” in small amounts nationwide, these laws do not just approximate the penalties used to respond to crack cocaine in the 1980s but, as Gabe Stern (2023: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argues, they “mirror them.” The shift towards enacting tougher sentences for drug-related offenses not only walks back drug policy reforms that reduced sentences for personal use in response to the opioid crisis and paved the way for the repeal of the NEP ban in 2015, but these laws are seeing public health-based HR programs shuttered around the country, former Surgeon General Jerome Adams saying that many, especially in “conservative America” feel that “we’ve given the opioid crisis the full court press…we [implemented] these controversial harm reduction measures and gave people a chance—now it’s their fault if they don’t get better” (Goldberg, 2021: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w:t>
      </w:r>
    </w:p>
    <w:p w14:paraId="21598804" w14:textId="3BF8103B" w:rsidR="006242D3" w:rsidRPr="002131BE" w:rsidRDefault="002E5E94" w:rsidP="00495A8D">
      <w:pPr>
        <w:pStyle w:val="Heading1"/>
      </w:pPr>
      <w:bookmarkStart w:id="46" w:name="_Toc420995911"/>
      <w:bookmarkStart w:id="47" w:name="_Toc422997498"/>
      <w:bookmarkStart w:id="48" w:name="_Toc133884530"/>
      <w:r w:rsidRPr="002131BE">
        <w:t xml:space="preserve">Chapter </w:t>
      </w:r>
      <w:r w:rsidR="002131BE" w:rsidRPr="002131BE">
        <w:t>SIX</w:t>
      </w:r>
      <w:r w:rsidRPr="002131BE">
        <w:t xml:space="preserve">: </w:t>
      </w:r>
      <w:r w:rsidR="006242D3" w:rsidRPr="002131BE">
        <w:t>violent Resolutions: ReDistributing harm</w:t>
      </w:r>
      <w:bookmarkEnd w:id="48"/>
    </w:p>
    <w:p w14:paraId="3354C701" w14:textId="02C3CD22" w:rsidR="008F2A6C" w:rsidRDefault="008F2A6C" w:rsidP="00206090">
      <w:pPr>
        <w:numPr>
          <w:ilvl w:val="12"/>
          <w:numId w:val="0"/>
        </w:numPr>
        <w:rPr>
          <w:rFonts w:asciiTheme="majorHAnsi" w:hAnsiTheme="majorHAnsi" w:cs="Times New Roman"/>
        </w:rPr>
      </w:pPr>
    </w:p>
    <w:p w14:paraId="6D472ED8" w14:textId="76415EB0"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On the afternoon of Monday, October 10, 1988, several hundred members of the vanguard activist organization, the AIDS Coalition to Unleash Power (ACT UP), gathered outside the Department of Health and Human Services (HHS) in Washington, D.C., to put President Ronald Reagan, his Administration, and Congress on mock trial for their murderous indifference to the AIDS crisis. The proceeding commenced with an </w:t>
      </w:r>
      <w:r w:rsidRPr="006242D3">
        <w:rPr>
          <w:rFonts w:asciiTheme="majorHAnsi" w:hAnsiTheme="majorHAnsi" w:cs="Times New Roman"/>
        </w:rPr>
        <w:lastRenderedPageBreak/>
        <w:t>impassioned call to disorder from San Francisco sex worker Carol Leigh who, condemning federal officials as “AIDS criminals,” beckoned fellow ACT UP founding member Vito Russo to deliver opening remarks (</w:t>
      </w:r>
      <w:proofErr w:type="spellStart"/>
      <w:r w:rsidRPr="006242D3">
        <w:rPr>
          <w:rFonts w:asciiTheme="majorHAnsi" w:hAnsiTheme="majorHAnsi" w:cs="Times New Roman"/>
        </w:rPr>
        <w:t>Schiavi</w:t>
      </w:r>
      <w:proofErr w:type="spellEnd"/>
      <w:r w:rsidRPr="006242D3">
        <w:rPr>
          <w:rFonts w:asciiTheme="majorHAnsi" w:hAnsiTheme="majorHAnsi" w:cs="Times New Roman"/>
        </w:rPr>
        <w:t>, 2011: 258). Despite long-suffering from ill health, Russo, appearing painfully gaunt in a Silence=Death t-shirt, stepped up</w:t>
      </w:r>
      <w:r>
        <w:rPr>
          <w:rFonts w:asciiTheme="majorHAnsi" w:hAnsiTheme="majorHAnsi" w:cs="Times New Roman"/>
        </w:rPr>
        <w:t xml:space="preserve"> to the microphone</w:t>
      </w:r>
      <w:r w:rsidRPr="006242D3">
        <w:rPr>
          <w:rFonts w:asciiTheme="majorHAnsi" w:hAnsiTheme="majorHAnsi" w:cs="Times New Roman"/>
        </w:rPr>
        <w:t xml:space="preserve"> and</w:t>
      </w:r>
      <w:r>
        <w:rPr>
          <w:rFonts w:asciiTheme="majorHAnsi" w:hAnsiTheme="majorHAnsi" w:cs="Times New Roman"/>
        </w:rPr>
        <w:t>,</w:t>
      </w:r>
      <w:r w:rsidRPr="006242D3">
        <w:rPr>
          <w:rFonts w:asciiTheme="majorHAnsi" w:hAnsiTheme="majorHAnsi" w:cs="Times New Roman"/>
        </w:rPr>
        <w:t xml:space="preserve"> grinn</w:t>
      </w:r>
      <w:r>
        <w:rPr>
          <w:rFonts w:asciiTheme="majorHAnsi" w:hAnsiTheme="majorHAnsi" w:cs="Times New Roman"/>
        </w:rPr>
        <w:t>ing</w:t>
      </w:r>
      <w:r w:rsidRPr="006242D3">
        <w:rPr>
          <w:rFonts w:asciiTheme="majorHAnsi" w:hAnsiTheme="majorHAnsi" w:cs="Times New Roman"/>
        </w:rPr>
        <w:t xml:space="preserve"> widely at the crowd</w:t>
      </w:r>
      <w:r>
        <w:rPr>
          <w:rFonts w:asciiTheme="majorHAnsi" w:hAnsiTheme="majorHAnsi" w:cs="Times New Roman"/>
        </w:rPr>
        <w:t>,</w:t>
      </w:r>
      <w:r w:rsidRPr="006242D3">
        <w:rPr>
          <w:rFonts w:asciiTheme="majorHAnsi" w:hAnsiTheme="majorHAnsi" w:cs="Times New Roman"/>
        </w:rPr>
        <w:t xml:space="preserve"> </w:t>
      </w:r>
      <w:r>
        <w:rPr>
          <w:rFonts w:asciiTheme="majorHAnsi" w:hAnsiTheme="majorHAnsi" w:cs="Times New Roman"/>
        </w:rPr>
        <w:t>launched</w:t>
      </w:r>
      <w:r w:rsidRPr="006242D3">
        <w:rPr>
          <w:rFonts w:asciiTheme="majorHAnsi" w:hAnsiTheme="majorHAnsi" w:cs="Times New Roman"/>
        </w:rPr>
        <w:t xml:space="preserve"> into his seminal Why We Fight speech by fiercely proclaiming that was not dying of AIDS</w:t>
      </w:r>
      <w:r w:rsidR="002131BE">
        <w:rPr>
          <w:rFonts w:asciiTheme="majorHAnsi" w:hAnsiTheme="majorHAnsi" w:cs="Times New Roman"/>
        </w:rPr>
        <w:t xml:space="preserve"> (see Figure 6.1.)</w:t>
      </w:r>
      <w:r w:rsidRPr="006242D3">
        <w:rPr>
          <w:rFonts w:asciiTheme="majorHAnsi" w:hAnsiTheme="majorHAnsi" w:cs="Times New Roman"/>
        </w:rPr>
        <w:t>. Remarking instead:</w:t>
      </w:r>
    </w:p>
    <w:p w14:paraId="5EDD06E2" w14:textId="77777777" w:rsidR="006242D3" w:rsidRPr="006242D3" w:rsidRDefault="006242D3" w:rsidP="006242D3">
      <w:pPr>
        <w:numPr>
          <w:ilvl w:val="12"/>
          <w:numId w:val="0"/>
        </w:numPr>
        <w:spacing w:line="480" w:lineRule="auto"/>
        <w:rPr>
          <w:rFonts w:asciiTheme="majorHAnsi" w:hAnsiTheme="majorHAnsi" w:cs="Times New Roman"/>
        </w:rPr>
      </w:pPr>
      <w:r w:rsidRPr="006242D3">
        <w:rPr>
          <w:rFonts w:asciiTheme="majorHAnsi" w:hAnsiTheme="majorHAnsi" w:cs="Times New Roman"/>
        </w:rPr>
        <w:t xml:space="preserve"> </w:t>
      </w:r>
    </w:p>
    <w:p w14:paraId="08369AAF" w14:textId="713AE92F" w:rsidR="002131BE" w:rsidRDefault="006242D3" w:rsidP="00405A2C">
      <w:pPr>
        <w:numPr>
          <w:ilvl w:val="12"/>
          <w:numId w:val="0"/>
        </w:numPr>
        <w:spacing w:line="480" w:lineRule="auto"/>
        <w:ind w:left="720"/>
        <w:rPr>
          <w:rFonts w:asciiTheme="majorHAnsi" w:hAnsiTheme="majorHAnsi" w:cs="Times New Roman"/>
        </w:rPr>
      </w:pPr>
      <w:r w:rsidRPr="006242D3">
        <w:rPr>
          <w:rFonts w:asciiTheme="majorHAnsi" w:hAnsiTheme="majorHAnsi" w:cs="Times New Roman"/>
        </w:rPr>
        <w:t xml:space="preserve">“If I’m dying from anything, I’m dying from homophobia… I’m dying from racism… I’m dying from…indifference and red tape… I’m dying from Jesse Helms…from the President of the United States. And…I’m dying from the sensationalism of newspapers and magazines and television shows… interested in me…only [if] I’m willing to be a helpless victim, but not if I’m fighting for my life” (1987, </w:t>
      </w:r>
      <w:proofErr w:type="spellStart"/>
      <w:r w:rsidRPr="006242D3">
        <w:rPr>
          <w:rFonts w:asciiTheme="majorHAnsi" w:hAnsiTheme="majorHAnsi" w:cs="Times New Roman"/>
        </w:rPr>
        <w:t>n.p</w:t>
      </w:r>
      <w:proofErr w:type="spellEnd"/>
      <w:r w:rsidRPr="006242D3">
        <w:rPr>
          <w:rFonts w:asciiTheme="majorHAnsi" w:hAnsiTheme="majorHAnsi" w:cs="Times New Roman"/>
        </w:rPr>
        <w:t>.).</w:t>
      </w:r>
    </w:p>
    <w:p w14:paraId="2F52FA16" w14:textId="77777777" w:rsidR="00495A8D" w:rsidRDefault="00495A8D" w:rsidP="002131BE">
      <w:pPr>
        <w:numPr>
          <w:ilvl w:val="12"/>
          <w:numId w:val="0"/>
        </w:numPr>
        <w:spacing w:line="480" w:lineRule="auto"/>
        <w:rPr>
          <w:rFonts w:asciiTheme="majorHAnsi" w:hAnsiTheme="majorHAnsi" w:cs="Times New Roman"/>
        </w:rPr>
      </w:pPr>
    </w:p>
    <w:p w14:paraId="0F6787EA" w14:textId="21D6F471" w:rsidR="006242D3" w:rsidRPr="006242D3" w:rsidRDefault="006242D3" w:rsidP="006242D3">
      <w:pPr>
        <w:numPr>
          <w:ilvl w:val="12"/>
          <w:numId w:val="0"/>
        </w:numPr>
        <w:spacing w:line="480" w:lineRule="auto"/>
        <w:rPr>
          <w:rFonts w:asciiTheme="majorHAnsi" w:hAnsiTheme="majorHAnsi" w:cs="Times New Roman"/>
        </w:rPr>
      </w:pPr>
    </w:p>
    <w:p w14:paraId="5B8832A6" w14:textId="4527D948" w:rsidR="006242D3" w:rsidRDefault="006242D3" w:rsidP="006242D3">
      <w:pPr>
        <w:numPr>
          <w:ilvl w:val="12"/>
          <w:numId w:val="0"/>
        </w:numPr>
        <w:spacing w:line="480" w:lineRule="auto"/>
        <w:ind w:firstLine="720"/>
        <w:rPr>
          <w:rFonts w:asciiTheme="majorHAnsi" w:hAnsiTheme="majorHAnsi" w:cs="Times New Roman"/>
        </w:rPr>
      </w:pPr>
      <w:r>
        <w:rPr>
          <w:rFonts w:asciiTheme="majorHAnsi" w:hAnsiTheme="majorHAnsi" w:cs="Times New Roman"/>
          <w:noProof/>
        </w:rPr>
        <w:drawing>
          <wp:inline distT="0" distB="0" distL="0" distR="0" wp14:anchorId="4D7B7E3E" wp14:editId="46B94610">
            <wp:extent cx="4328932" cy="2972633"/>
            <wp:effectExtent l="0" t="0" r="1905" b="0"/>
            <wp:docPr id="7" name="Picture 7">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88551" cy="3013573"/>
                    </a:xfrm>
                    <a:prstGeom prst="rect">
                      <a:avLst/>
                    </a:prstGeom>
                  </pic:spPr>
                </pic:pic>
              </a:graphicData>
            </a:graphic>
          </wp:inline>
        </w:drawing>
      </w:r>
    </w:p>
    <w:p w14:paraId="323BF8E3" w14:textId="77777777" w:rsidR="00495A8D" w:rsidRPr="006242D3" w:rsidRDefault="00495A8D" w:rsidP="00495A8D">
      <w:pPr>
        <w:numPr>
          <w:ilvl w:val="12"/>
          <w:numId w:val="0"/>
        </w:numPr>
        <w:spacing w:line="480" w:lineRule="auto"/>
        <w:rPr>
          <w:rFonts w:asciiTheme="majorHAnsi" w:hAnsiTheme="majorHAnsi" w:cs="Times New Roman"/>
        </w:rPr>
      </w:pPr>
      <w:r>
        <w:rPr>
          <w:rFonts w:asciiTheme="majorHAnsi" w:hAnsiTheme="majorHAnsi" w:cs="Times New Roman"/>
        </w:rPr>
        <w:lastRenderedPageBreak/>
        <w:t>Figure 6.1. Vito Russo “Why We Fight” Speech</w:t>
      </w:r>
    </w:p>
    <w:p w14:paraId="19132096" w14:textId="138A231C" w:rsidR="002131BE" w:rsidRDefault="002131BE" w:rsidP="00495A8D">
      <w:pPr>
        <w:numPr>
          <w:ilvl w:val="12"/>
          <w:numId w:val="0"/>
        </w:numPr>
        <w:spacing w:line="360" w:lineRule="auto"/>
        <w:rPr>
          <w:rFonts w:asciiTheme="majorHAnsi" w:hAnsiTheme="majorHAnsi" w:cs="Times New Roman"/>
        </w:rPr>
      </w:pPr>
      <w:r>
        <w:rPr>
          <w:rFonts w:asciiTheme="majorHAnsi" w:hAnsiTheme="majorHAnsi" w:cs="Times New Roman"/>
        </w:rPr>
        <w:t>Figure 6.1. depicts Vito Russo giving his “Why We Fight” speech outside the Department of Health and Human Services in Washington, D.C., in October of 1988.</w:t>
      </w:r>
    </w:p>
    <w:p w14:paraId="1587A8A5" w14:textId="77777777" w:rsidR="006242D3" w:rsidRDefault="006242D3" w:rsidP="006242D3">
      <w:pPr>
        <w:numPr>
          <w:ilvl w:val="12"/>
          <w:numId w:val="0"/>
        </w:numPr>
        <w:spacing w:line="480" w:lineRule="auto"/>
        <w:ind w:firstLine="720"/>
        <w:rPr>
          <w:rFonts w:asciiTheme="majorHAnsi" w:hAnsiTheme="majorHAnsi" w:cs="Times New Roman"/>
        </w:rPr>
      </w:pPr>
    </w:p>
    <w:p w14:paraId="0E58E4D4" w14:textId="77777777" w:rsidR="002131BE" w:rsidRDefault="002131BE" w:rsidP="006242D3">
      <w:pPr>
        <w:numPr>
          <w:ilvl w:val="12"/>
          <w:numId w:val="0"/>
        </w:numPr>
        <w:spacing w:line="480" w:lineRule="auto"/>
        <w:ind w:firstLine="720"/>
        <w:rPr>
          <w:rFonts w:asciiTheme="majorHAnsi" w:hAnsiTheme="majorHAnsi" w:cs="Times New Roman"/>
        </w:rPr>
      </w:pPr>
    </w:p>
    <w:p w14:paraId="15306432" w14:textId="77777777" w:rsidR="002131BE" w:rsidRDefault="002131BE" w:rsidP="006242D3">
      <w:pPr>
        <w:numPr>
          <w:ilvl w:val="12"/>
          <w:numId w:val="0"/>
        </w:numPr>
        <w:spacing w:line="480" w:lineRule="auto"/>
        <w:ind w:firstLine="720"/>
        <w:rPr>
          <w:rFonts w:asciiTheme="majorHAnsi" w:hAnsiTheme="majorHAnsi" w:cs="Times New Roman"/>
        </w:rPr>
      </w:pPr>
    </w:p>
    <w:p w14:paraId="6D4582B4" w14:textId="77777777" w:rsidR="002131BE" w:rsidRDefault="002131BE" w:rsidP="006242D3">
      <w:pPr>
        <w:numPr>
          <w:ilvl w:val="12"/>
          <w:numId w:val="0"/>
        </w:numPr>
        <w:spacing w:line="480" w:lineRule="auto"/>
        <w:ind w:firstLine="720"/>
        <w:rPr>
          <w:rFonts w:asciiTheme="majorHAnsi" w:hAnsiTheme="majorHAnsi" w:cs="Times New Roman"/>
        </w:rPr>
      </w:pPr>
    </w:p>
    <w:p w14:paraId="7ECDC6C3" w14:textId="77777777" w:rsidR="002131BE" w:rsidRDefault="002131BE" w:rsidP="006242D3">
      <w:pPr>
        <w:numPr>
          <w:ilvl w:val="12"/>
          <w:numId w:val="0"/>
        </w:numPr>
        <w:spacing w:line="480" w:lineRule="auto"/>
        <w:ind w:firstLine="720"/>
        <w:rPr>
          <w:rFonts w:asciiTheme="majorHAnsi" w:hAnsiTheme="majorHAnsi" w:cs="Times New Roman"/>
        </w:rPr>
      </w:pPr>
    </w:p>
    <w:p w14:paraId="6F216AC7" w14:textId="77777777" w:rsidR="002131BE" w:rsidRDefault="002131BE" w:rsidP="006242D3">
      <w:pPr>
        <w:numPr>
          <w:ilvl w:val="12"/>
          <w:numId w:val="0"/>
        </w:numPr>
        <w:spacing w:line="480" w:lineRule="auto"/>
        <w:ind w:firstLine="720"/>
        <w:rPr>
          <w:rFonts w:asciiTheme="majorHAnsi" w:hAnsiTheme="majorHAnsi" w:cs="Times New Roman"/>
        </w:rPr>
      </w:pPr>
    </w:p>
    <w:p w14:paraId="54BA9C17" w14:textId="77777777" w:rsidR="002131BE" w:rsidRDefault="002131BE" w:rsidP="006242D3">
      <w:pPr>
        <w:numPr>
          <w:ilvl w:val="12"/>
          <w:numId w:val="0"/>
        </w:numPr>
        <w:spacing w:line="480" w:lineRule="auto"/>
        <w:ind w:firstLine="720"/>
        <w:rPr>
          <w:rFonts w:asciiTheme="majorHAnsi" w:hAnsiTheme="majorHAnsi" w:cs="Times New Roman"/>
        </w:rPr>
      </w:pPr>
    </w:p>
    <w:p w14:paraId="0D2BCE7E" w14:textId="77777777" w:rsidR="002131BE" w:rsidRDefault="002131BE" w:rsidP="006242D3">
      <w:pPr>
        <w:numPr>
          <w:ilvl w:val="12"/>
          <w:numId w:val="0"/>
        </w:numPr>
        <w:spacing w:line="480" w:lineRule="auto"/>
        <w:ind w:firstLine="720"/>
        <w:rPr>
          <w:rFonts w:asciiTheme="majorHAnsi" w:hAnsiTheme="majorHAnsi" w:cs="Times New Roman"/>
        </w:rPr>
      </w:pPr>
    </w:p>
    <w:p w14:paraId="271D0B58" w14:textId="77777777" w:rsidR="00495A8D" w:rsidRDefault="00495A8D" w:rsidP="006242D3">
      <w:pPr>
        <w:numPr>
          <w:ilvl w:val="12"/>
          <w:numId w:val="0"/>
        </w:numPr>
        <w:spacing w:line="480" w:lineRule="auto"/>
        <w:ind w:firstLine="720"/>
        <w:rPr>
          <w:rFonts w:asciiTheme="majorHAnsi" w:hAnsiTheme="majorHAnsi" w:cs="Times New Roman"/>
        </w:rPr>
      </w:pPr>
    </w:p>
    <w:p w14:paraId="6848CF25" w14:textId="77777777" w:rsidR="00495A8D" w:rsidRDefault="00495A8D" w:rsidP="006242D3">
      <w:pPr>
        <w:numPr>
          <w:ilvl w:val="12"/>
          <w:numId w:val="0"/>
        </w:numPr>
        <w:spacing w:line="480" w:lineRule="auto"/>
        <w:ind w:firstLine="720"/>
        <w:rPr>
          <w:rFonts w:asciiTheme="majorHAnsi" w:hAnsiTheme="majorHAnsi" w:cs="Times New Roman"/>
        </w:rPr>
      </w:pPr>
    </w:p>
    <w:p w14:paraId="740103CD" w14:textId="33AF547B"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In keeping with ACT UP’s commitment to angry, </w:t>
      </w:r>
      <w:r w:rsidRPr="006242D3">
        <w:rPr>
          <w:rFonts w:asciiTheme="majorHAnsi" w:hAnsiTheme="majorHAnsi" w:cs="Times New Roman"/>
          <w:i/>
        </w:rPr>
        <w:t xml:space="preserve">confrontational </w:t>
      </w:r>
      <w:r w:rsidRPr="006242D3">
        <w:rPr>
          <w:rFonts w:asciiTheme="majorHAnsi" w:hAnsiTheme="majorHAnsi" w:cs="Times New Roman"/>
        </w:rPr>
        <w:t xml:space="preserve">activism, Russo’s (1987: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speech strategically invoked political parody to mimic the rallying cry of Hollywood director Frank Capra in his World War II domestic propaganda film series “Why We Fight.” </w:t>
      </w:r>
      <w:r>
        <w:rPr>
          <w:rFonts w:asciiTheme="majorHAnsi" w:hAnsiTheme="majorHAnsi" w:cs="Times New Roman"/>
        </w:rPr>
        <w:t>Like ACT UP’s</w:t>
      </w:r>
      <w:r w:rsidRPr="006242D3">
        <w:rPr>
          <w:rFonts w:asciiTheme="majorHAnsi" w:hAnsiTheme="majorHAnsi" w:cs="Times New Roman"/>
        </w:rPr>
        <w:t xml:space="preserve"> reclamation of the pink triangle badge “homosexuals” were forced to wear while interned in Nazi concentration camps as a symbol of resistance, Russo’s speech inverted Capra’s words to draw a challenging comparison between genocidal violence and governmental inaction on AIDS to inspire militancy within the people with AIDS (PWA) movement (Newsome, 2022: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Gould, 2009: 239). Arguing that living with AIDS was like “…living through a war that is happening only for those who happen to be in the trenches…[where] only you can hear the screams of people who are dying and their </w:t>
      </w:r>
      <w:r w:rsidRPr="006242D3">
        <w:rPr>
          <w:rFonts w:asciiTheme="majorHAnsi" w:hAnsiTheme="majorHAnsi" w:cs="Times New Roman"/>
        </w:rPr>
        <w:lastRenderedPageBreak/>
        <w:t xml:space="preserve">cries for help…but no one else seems to be noticing,” Russo (1987: </w:t>
      </w:r>
      <w:proofErr w:type="spellStart"/>
      <w:r w:rsidRPr="006242D3">
        <w:rPr>
          <w:rFonts w:asciiTheme="majorHAnsi" w:hAnsiTheme="majorHAnsi" w:cs="Times New Roman"/>
        </w:rPr>
        <w:t>n.p</w:t>
      </w:r>
      <w:proofErr w:type="spellEnd"/>
      <w:r w:rsidRPr="006242D3">
        <w:rPr>
          <w:rFonts w:asciiTheme="majorHAnsi" w:hAnsiTheme="majorHAnsi" w:cs="Times New Roman"/>
        </w:rPr>
        <w:t>.) promised the crowd that, “someday the AIDS crisis will be over and when that day comes…there’ll be people alive on this earth…who will hear the story…[of] a brave group of people [who] stood up and fought and, in some cases, gave their lives so that oth</w:t>
      </w:r>
      <w:r>
        <w:rPr>
          <w:rFonts w:asciiTheme="majorHAnsi" w:hAnsiTheme="majorHAnsi" w:cs="Times New Roman"/>
        </w:rPr>
        <w:t>e</w:t>
      </w:r>
      <w:r w:rsidRPr="006242D3">
        <w:rPr>
          <w:rFonts w:asciiTheme="majorHAnsi" w:hAnsiTheme="majorHAnsi" w:cs="Times New Roman"/>
        </w:rPr>
        <w:t>r people could live and be free.”</w:t>
      </w:r>
    </w:p>
    <w:p w14:paraId="5154E76D" w14:textId="0FBA906A"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In what follows, I will engage a conjunctural approach to locate contemporary public health-based HR</w:t>
      </w:r>
      <w:r w:rsidR="00645D3A">
        <w:rPr>
          <w:rFonts w:asciiTheme="majorHAnsi" w:hAnsiTheme="majorHAnsi" w:cs="Times New Roman"/>
        </w:rPr>
        <w:t xml:space="preserve"> programs </w:t>
      </w:r>
      <w:r w:rsidRPr="006242D3">
        <w:rPr>
          <w:rFonts w:asciiTheme="majorHAnsi" w:hAnsiTheme="majorHAnsi" w:cs="Times New Roman"/>
        </w:rPr>
        <w:t xml:space="preserve">within the activist and social movement histories from which </w:t>
      </w:r>
      <w:r w:rsidR="00645D3A">
        <w:rPr>
          <w:rFonts w:asciiTheme="majorHAnsi" w:hAnsiTheme="majorHAnsi" w:cs="Times New Roman"/>
        </w:rPr>
        <w:t>they</w:t>
      </w:r>
      <w:r w:rsidRPr="006242D3">
        <w:rPr>
          <w:rFonts w:asciiTheme="majorHAnsi" w:hAnsiTheme="majorHAnsi" w:cs="Times New Roman"/>
        </w:rPr>
        <w:t xml:space="preserve"> first emerged </w:t>
      </w:r>
      <w:r w:rsidR="00645D3A">
        <w:rPr>
          <w:rFonts w:asciiTheme="majorHAnsi" w:hAnsiTheme="majorHAnsi" w:cs="Times New Roman"/>
        </w:rPr>
        <w:t xml:space="preserve">to </w:t>
      </w:r>
      <w:r w:rsidRPr="006242D3">
        <w:rPr>
          <w:rFonts w:asciiTheme="majorHAnsi" w:hAnsiTheme="majorHAnsi" w:cs="Times New Roman"/>
        </w:rPr>
        <w:t xml:space="preserve">analyze how they are being used to violently re/solve the contradictions </w:t>
      </w:r>
      <w:r w:rsidR="00645D3A">
        <w:rPr>
          <w:rFonts w:asciiTheme="majorHAnsi" w:hAnsiTheme="majorHAnsi" w:cs="Times New Roman"/>
        </w:rPr>
        <w:t>of the</w:t>
      </w:r>
      <w:r w:rsidRPr="006242D3">
        <w:rPr>
          <w:rFonts w:asciiTheme="majorHAnsi" w:hAnsiTheme="majorHAnsi" w:cs="Times New Roman"/>
        </w:rPr>
        <w:t xml:space="preserve"> opioid crisis under a pretense of care. Although the impact of the opioid crisis </w:t>
      </w:r>
      <w:r w:rsidR="00645D3A">
        <w:rPr>
          <w:rFonts w:asciiTheme="majorHAnsi" w:hAnsiTheme="majorHAnsi" w:cs="Times New Roman"/>
        </w:rPr>
        <w:t>has seemingly</w:t>
      </w:r>
      <w:r w:rsidRPr="006242D3">
        <w:rPr>
          <w:rFonts w:asciiTheme="majorHAnsi" w:hAnsiTheme="majorHAnsi" w:cs="Times New Roman"/>
        </w:rPr>
        <w:t xml:space="preserve"> forged alliances between drug users, activists, public health officials, government and state authorities, this chapter will map the contingencies of those relationships </w:t>
      </w:r>
      <w:r w:rsidR="00645D3A">
        <w:rPr>
          <w:rFonts w:asciiTheme="majorHAnsi" w:hAnsiTheme="majorHAnsi" w:cs="Times New Roman"/>
        </w:rPr>
        <w:t>in order to</w:t>
      </w:r>
      <w:r w:rsidRPr="006242D3">
        <w:rPr>
          <w:rFonts w:asciiTheme="majorHAnsi" w:hAnsiTheme="majorHAnsi" w:cs="Times New Roman"/>
        </w:rPr>
        <w:t xml:space="preserve"> identify sites of potential rupture. </w:t>
      </w:r>
    </w:p>
    <w:p w14:paraId="2F0DF388" w14:textId="65845DF8"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Recalling momentarily Chairman of the President’s Commission on Drug Addiction Chris Christie’s 2017 plea to Congress for federal funds to wage a “fully coordinated attack” on the opioid crisis in light of Russo’s speech, when Congressman Sarbanes (D-MD) asked Christie during </w:t>
      </w:r>
      <w:r w:rsidR="00645D3A">
        <w:rPr>
          <w:rFonts w:asciiTheme="majorHAnsi" w:hAnsiTheme="majorHAnsi" w:cs="Times New Roman"/>
        </w:rPr>
        <w:t>this</w:t>
      </w:r>
      <w:r w:rsidRPr="006242D3">
        <w:rPr>
          <w:rFonts w:asciiTheme="majorHAnsi" w:hAnsiTheme="majorHAnsi" w:cs="Times New Roman"/>
        </w:rPr>
        <w:t xml:space="preserve"> same hearing if he felt </w:t>
      </w:r>
      <w:r w:rsidR="00645D3A">
        <w:rPr>
          <w:rFonts w:asciiTheme="majorHAnsi" w:hAnsiTheme="majorHAnsi" w:cs="Times New Roman"/>
        </w:rPr>
        <w:t>that the</w:t>
      </w:r>
      <w:r w:rsidRPr="006242D3">
        <w:rPr>
          <w:rFonts w:asciiTheme="majorHAnsi" w:hAnsiTheme="majorHAnsi" w:cs="Times New Roman"/>
        </w:rPr>
        <w:t xml:space="preserve"> level of urgency in the US</w:t>
      </w:r>
      <w:r w:rsidR="00645D3A">
        <w:rPr>
          <w:rFonts w:asciiTheme="majorHAnsi" w:hAnsiTheme="majorHAnsi" w:cs="Times New Roman"/>
        </w:rPr>
        <w:t xml:space="preserve"> was where it needed to be</w:t>
      </w:r>
      <w:r w:rsidRPr="006242D3">
        <w:rPr>
          <w:rFonts w:asciiTheme="majorHAnsi" w:hAnsiTheme="majorHAnsi" w:cs="Times New Roman"/>
        </w:rPr>
        <w:t xml:space="preserve"> to garner such a response, he replied:</w:t>
      </w:r>
    </w:p>
    <w:p w14:paraId="454469D2" w14:textId="77777777" w:rsidR="006242D3" w:rsidRPr="006242D3" w:rsidRDefault="006242D3" w:rsidP="006242D3">
      <w:pPr>
        <w:numPr>
          <w:ilvl w:val="12"/>
          <w:numId w:val="0"/>
        </w:numPr>
        <w:spacing w:line="480" w:lineRule="auto"/>
        <w:rPr>
          <w:rFonts w:asciiTheme="majorHAnsi" w:hAnsiTheme="majorHAnsi" w:cs="Times New Roman"/>
        </w:rPr>
      </w:pPr>
      <w:r w:rsidRPr="006242D3">
        <w:rPr>
          <w:rFonts w:asciiTheme="majorHAnsi" w:hAnsiTheme="majorHAnsi" w:cs="Times New Roman"/>
        </w:rPr>
        <w:t xml:space="preserve"> </w:t>
      </w:r>
    </w:p>
    <w:p w14:paraId="6C9C66B7" w14:textId="77777777" w:rsidR="006242D3" w:rsidRPr="006242D3" w:rsidRDefault="006242D3" w:rsidP="006242D3">
      <w:pPr>
        <w:numPr>
          <w:ilvl w:val="12"/>
          <w:numId w:val="0"/>
        </w:numPr>
        <w:spacing w:line="480" w:lineRule="auto"/>
        <w:ind w:left="720"/>
        <w:rPr>
          <w:rFonts w:asciiTheme="majorHAnsi" w:hAnsiTheme="majorHAnsi" w:cs="Times New Roman"/>
        </w:rPr>
      </w:pPr>
      <w:r w:rsidRPr="006242D3">
        <w:rPr>
          <w:rFonts w:asciiTheme="majorHAnsi" w:hAnsiTheme="majorHAnsi" w:cs="Times New Roman"/>
        </w:rPr>
        <w:t xml:space="preserve">“Somewhere in [the] remarks…[someone], talked about this epidemic being in greater numbers of deaths now than the AIDS crisis…[at its peak] in the mid-1980’s. I was alive then, and a young adult, and here is what I think: Where are the marches?...In this crisis there are many, many, many more people impacted…yet we </w:t>
      </w:r>
      <w:r w:rsidRPr="006242D3">
        <w:rPr>
          <w:rFonts w:asciiTheme="majorHAnsi" w:hAnsiTheme="majorHAnsi" w:cs="Times New Roman"/>
        </w:rPr>
        <w:lastRenderedPageBreak/>
        <w:t>have no marching…[we will know] when the people… impacted are willing to show their faces [sic] and march and demand from their government a response” (CITE)</w:t>
      </w:r>
    </w:p>
    <w:p w14:paraId="471D7AFB" w14:textId="77777777" w:rsidR="006242D3" w:rsidRPr="006242D3" w:rsidRDefault="006242D3" w:rsidP="006242D3">
      <w:pPr>
        <w:numPr>
          <w:ilvl w:val="12"/>
          <w:numId w:val="0"/>
        </w:numPr>
        <w:spacing w:line="480" w:lineRule="auto"/>
        <w:rPr>
          <w:rFonts w:asciiTheme="majorHAnsi" w:hAnsiTheme="majorHAnsi" w:cs="Times New Roman"/>
        </w:rPr>
      </w:pPr>
      <w:r w:rsidRPr="006242D3">
        <w:rPr>
          <w:rFonts w:asciiTheme="majorHAnsi" w:hAnsiTheme="majorHAnsi" w:cs="Times New Roman"/>
        </w:rPr>
        <w:t xml:space="preserve"> </w:t>
      </w:r>
    </w:p>
    <w:p w14:paraId="5103DCCE" w14:textId="6295269E" w:rsidR="006242D3" w:rsidRPr="006242D3" w:rsidRDefault="006242D3" w:rsidP="00BA060A">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Aside from the fact that Christie’s response to Congressman Sarbanes </w:t>
      </w:r>
      <w:r w:rsidR="008C7AE6">
        <w:rPr>
          <w:rFonts w:asciiTheme="majorHAnsi" w:hAnsiTheme="majorHAnsi" w:cs="Times New Roman"/>
        </w:rPr>
        <w:t>was</w:t>
      </w:r>
      <w:r w:rsidR="008F77D3">
        <w:rPr>
          <w:rFonts w:asciiTheme="majorHAnsi" w:hAnsiTheme="majorHAnsi" w:cs="Times New Roman"/>
        </w:rPr>
        <w:t xml:space="preserve"> perhaps less rooted within a desire to actually see protest than</w:t>
      </w:r>
      <w:r w:rsidR="00A15D31">
        <w:rPr>
          <w:rFonts w:asciiTheme="majorHAnsi" w:hAnsiTheme="majorHAnsi" w:cs="Times New Roman"/>
        </w:rPr>
        <w:t xml:space="preserve"> the $100,000 he received from a pharmaceutical executive with whom he had been meeting </w:t>
      </w:r>
      <w:r w:rsidR="000772B3">
        <w:rPr>
          <w:rFonts w:asciiTheme="majorHAnsi" w:hAnsiTheme="majorHAnsi" w:cs="Times New Roman"/>
        </w:rPr>
        <w:t>in confidence</w:t>
      </w:r>
      <w:r w:rsidR="00A15D31">
        <w:rPr>
          <w:rFonts w:asciiTheme="majorHAnsi" w:hAnsiTheme="majorHAnsi" w:cs="Times New Roman"/>
        </w:rPr>
        <w:t xml:space="preserve"> to create “public-private relationships to regulate opioids</w:t>
      </w:r>
      <w:r w:rsidR="000772B3">
        <w:rPr>
          <w:rFonts w:asciiTheme="majorHAnsi" w:hAnsiTheme="majorHAnsi" w:cs="Times New Roman"/>
        </w:rPr>
        <w:t>.</w:t>
      </w:r>
      <w:r w:rsidR="00A15D31">
        <w:rPr>
          <w:rFonts w:asciiTheme="majorHAnsi" w:hAnsiTheme="majorHAnsi" w:cs="Times New Roman"/>
        </w:rPr>
        <w:t xml:space="preserve">” </w:t>
      </w:r>
      <w:r w:rsidR="000772B3">
        <w:rPr>
          <w:rFonts w:asciiTheme="majorHAnsi" w:hAnsiTheme="majorHAnsi" w:cs="Times New Roman"/>
        </w:rPr>
        <w:t>Moreover, his contention</w:t>
      </w:r>
      <w:r w:rsidR="00645D3A">
        <w:rPr>
          <w:rFonts w:asciiTheme="majorHAnsi" w:hAnsiTheme="majorHAnsi" w:cs="Times New Roman"/>
        </w:rPr>
        <w:t xml:space="preserve"> that people were not demanding </w:t>
      </w:r>
      <w:r w:rsidR="00BA060A">
        <w:rPr>
          <w:rFonts w:asciiTheme="majorHAnsi" w:hAnsiTheme="majorHAnsi" w:cs="Times New Roman"/>
        </w:rPr>
        <w:t>the</w:t>
      </w:r>
      <w:r w:rsidR="00645D3A">
        <w:rPr>
          <w:rFonts w:asciiTheme="majorHAnsi" w:hAnsiTheme="majorHAnsi" w:cs="Times New Roman"/>
        </w:rPr>
        <w:t xml:space="preserve"> government respond to opioids was false </w:t>
      </w:r>
      <w:r w:rsidRPr="006242D3">
        <w:rPr>
          <w:rFonts w:asciiTheme="majorHAnsi" w:hAnsiTheme="majorHAnsi" w:cs="Times New Roman"/>
        </w:rPr>
        <w:t xml:space="preserve">(Cheng, </w:t>
      </w:r>
      <w:proofErr w:type="spellStart"/>
      <w:r w:rsidRPr="006242D3">
        <w:rPr>
          <w:rFonts w:asciiTheme="majorHAnsi" w:hAnsiTheme="majorHAnsi" w:cs="Times New Roman"/>
        </w:rPr>
        <w:t>Juhasz</w:t>
      </w:r>
      <w:proofErr w:type="spellEnd"/>
      <w:r w:rsidRPr="006242D3">
        <w:rPr>
          <w:rFonts w:asciiTheme="majorHAnsi" w:hAnsiTheme="majorHAnsi" w:cs="Times New Roman"/>
        </w:rPr>
        <w:t xml:space="preserve">, and </w:t>
      </w:r>
      <w:proofErr w:type="spellStart"/>
      <w:r w:rsidRPr="006242D3">
        <w:rPr>
          <w:rFonts w:asciiTheme="majorHAnsi" w:hAnsiTheme="majorHAnsi" w:cs="Times New Roman"/>
        </w:rPr>
        <w:t>Shahani</w:t>
      </w:r>
      <w:proofErr w:type="spellEnd"/>
      <w:r w:rsidRPr="006242D3">
        <w:rPr>
          <w:rFonts w:asciiTheme="majorHAnsi" w:hAnsiTheme="majorHAnsi" w:cs="Times New Roman"/>
        </w:rPr>
        <w:t>, 2020: xviii).</w:t>
      </w:r>
      <w:r w:rsidR="00BA060A">
        <w:rPr>
          <w:rFonts w:asciiTheme="majorHAnsi" w:hAnsiTheme="majorHAnsi" w:cs="Times New Roman"/>
        </w:rPr>
        <w:t xml:space="preserve"> </w:t>
      </w:r>
      <w:r w:rsidR="00645D3A">
        <w:rPr>
          <w:rFonts w:asciiTheme="majorHAnsi" w:hAnsiTheme="majorHAnsi" w:cs="Times New Roman"/>
        </w:rPr>
        <w:t xml:space="preserve">In the early 1990s, </w:t>
      </w:r>
      <w:r w:rsidRPr="006242D3">
        <w:rPr>
          <w:rFonts w:asciiTheme="majorHAnsi" w:hAnsiTheme="majorHAnsi" w:cs="Times New Roman"/>
        </w:rPr>
        <w:t>Lee County, Virginia, local physician Dr. Art Van Zee, his wife, Ella Sue Kobak, a lawyer, and Sister Beth Davies, a Catholic nun, foresaw the “gathering storm” being wrought on the rural</w:t>
      </w:r>
      <w:r w:rsidR="00645D3A">
        <w:rPr>
          <w:rFonts w:asciiTheme="majorHAnsi" w:hAnsiTheme="majorHAnsi" w:cs="Times New Roman"/>
        </w:rPr>
        <w:t xml:space="preserve"> Appalachian</w:t>
      </w:r>
      <w:r w:rsidRPr="006242D3">
        <w:rPr>
          <w:rFonts w:asciiTheme="majorHAnsi" w:hAnsiTheme="majorHAnsi" w:cs="Times New Roman"/>
        </w:rPr>
        <w:t xml:space="preserve"> town of Pennington Gap by Purdue Pharma (Meier, 2019: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Van Zee, 2009: 221). </w:t>
      </w:r>
      <w:r w:rsidR="00645D3A">
        <w:rPr>
          <w:rFonts w:asciiTheme="majorHAnsi" w:hAnsiTheme="majorHAnsi" w:cs="Times New Roman"/>
        </w:rPr>
        <w:t>Among the</w:t>
      </w:r>
      <w:r w:rsidRPr="006242D3">
        <w:rPr>
          <w:rFonts w:asciiTheme="majorHAnsi" w:hAnsiTheme="majorHAnsi" w:cs="Times New Roman"/>
        </w:rPr>
        <w:t xml:space="preserve"> “first in the [nation] to sound the alarm” over the company’s nefarious marketing tactics, </w:t>
      </w:r>
      <w:r w:rsidR="00645D3A">
        <w:rPr>
          <w:rFonts w:asciiTheme="majorHAnsi" w:hAnsiTheme="majorHAnsi" w:cs="Times New Roman"/>
        </w:rPr>
        <w:t>the three coordinated</w:t>
      </w:r>
      <w:r w:rsidRPr="006242D3">
        <w:rPr>
          <w:rFonts w:asciiTheme="majorHAnsi" w:hAnsiTheme="majorHAnsi" w:cs="Times New Roman"/>
        </w:rPr>
        <w:t xml:space="preserve"> a “burst of local protests” </w:t>
      </w:r>
      <w:r w:rsidR="00645D3A">
        <w:rPr>
          <w:rFonts w:asciiTheme="majorHAnsi" w:hAnsiTheme="majorHAnsi" w:cs="Times New Roman"/>
        </w:rPr>
        <w:t>condemning</w:t>
      </w:r>
      <w:r w:rsidRPr="006242D3">
        <w:rPr>
          <w:rFonts w:asciiTheme="majorHAnsi" w:hAnsiTheme="majorHAnsi" w:cs="Times New Roman"/>
        </w:rPr>
        <w:t xml:space="preserve"> Purdue’s efforts to conceal OxyContin’s addictive potential and </w:t>
      </w:r>
      <w:r w:rsidR="00645D3A">
        <w:rPr>
          <w:rFonts w:asciiTheme="majorHAnsi" w:hAnsiTheme="majorHAnsi" w:cs="Times New Roman"/>
        </w:rPr>
        <w:t>demanding</w:t>
      </w:r>
      <w:r w:rsidRPr="006242D3">
        <w:rPr>
          <w:rFonts w:asciiTheme="majorHAnsi" w:hAnsiTheme="majorHAnsi" w:cs="Times New Roman"/>
        </w:rPr>
        <w:t xml:space="preserve"> that the pill be taken off the market</w:t>
      </w:r>
      <w:r w:rsidR="009C2E0A">
        <w:rPr>
          <w:rFonts w:asciiTheme="majorHAnsi" w:hAnsiTheme="majorHAnsi" w:cs="Times New Roman"/>
        </w:rPr>
        <w:t xml:space="preserve"> until it could be reformulated into a less abusable form</w:t>
      </w:r>
      <w:r w:rsidRPr="006242D3">
        <w:rPr>
          <w:rFonts w:asciiTheme="majorHAnsi" w:hAnsiTheme="majorHAnsi" w:cs="Times New Roman"/>
        </w:rPr>
        <w:t xml:space="preserve"> (Meier, 2019: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Duffy, 2019: </w:t>
      </w:r>
      <w:proofErr w:type="spellStart"/>
      <w:r w:rsidRPr="006242D3">
        <w:rPr>
          <w:rFonts w:asciiTheme="majorHAnsi" w:hAnsiTheme="majorHAnsi" w:cs="Times New Roman"/>
        </w:rPr>
        <w:t>n.p</w:t>
      </w:r>
      <w:proofErr w:type="spellEnd"/>
      <w:r w:rsidRPr="006242D3">
        <w:rPr>
          <w:rFonts w:asciiTheme="majorHAnsi" w:hAnsiTheme="majorHAnsi" w:cs="Times New Roman"/>
        </w:rPr>
        <w:t>.).</w:t>
      </w:r>
    </w:p>
    <w:p w14:paraId="2138AF03" w14:textId="77777777" w:rsidR="00D34FFA" w:rsidRDefault="003C1985" w:rsidP="00D34FFA">
      <w:pPr>
        <w:numPr>
          <w:ilvl w:val="12"/>
          <w:numId w:val="0"/>
        </w:numPr>
        <w:spacing w:line="480" w:lineRule="auto"/>
        <w:ind w:firstLine="720"/>
        <w:rPr>
          <w:rFonts w:asciiTheme="majorHAnsi" w:hAnsiTheme="majorHAnsi" w:cs="Times New Roman"/>
        </w:rPr>
      </w:pPr>
      <w:r>
        <w:rPr>
          <w:rFonts w:asciiTheme="majorHAnsi" w:hAnsiTheme="majorHAnsi" w:cs="Times New Roman"/>
        </w:rPr>
        <w:t>After</w:t>
      </w:r>
      <w:r w:rsidR="006242D3" w:rsidRPr="006242D3">
        <w:rPr>
          <w:rFonts w:asciiTheme="majorHAnsi" w:hAnsiTheme="majorHAnsi" w:cs="Times New Roman"/>
        </w:rPr>
        <w:t xml:space="preserve"> these demands were ignored by Purdue,</w:t>
      </w:r>
      <w:r w:rsidR="00A275DF">
        <w:rPr>
          <w:rFonts w:asciiTheme="majorHAnsi" w:hAnsiTheme="majorHAnsi" w:cs="Times New Roman"/>
        </w:rPr>
        <w:t xml:space="preserve"> Van Zee,</w:t>
      </w:r>
      <w:r w:rsidR="006242D3" w:rsidRPr="006242D3">
        <w:rPr>
          <w:rFonts w:asciiTheme="majorHAnsi" w:hAnsiTheme="majorHAnsi" w:cs="Times New Roman"/>
        </w:rPr>
        <w:t xml:space="preserve"> alongside</w:t>
      </w:r>
      <w:r w:rsidR="00E84ED9">
        <w:rPr>
          <w:rFonts w:asciiTheme="majorHAnsi" w:hAnsiTheme="majorHAnsi" w:cs="Times New Roman"/>
        </w:rPr>
        <w:t xml:space="preserve"> a group of</w:t>
      </w:r>
      <w:r w:rsidR="006242D3" w:rsidRPr="006242D3">
        <w:rPr>
          <w:rFonts w:asciiTheme="majorHAnsi" w:hAnsiTheme="majorHAnsi" w:cs="Times New Roman"/>
        </w:rPr>
        <w:t xml:space="preserve"> “grieving parents”</w:t>
      </w:r>
      <w:r w:rsidR="00A275DF">
        <w:rPr>
          <w:rFonts w:asciiTheme="majorHAnsi" w:hAnsiTheme="majorHAnsi" w:cs="Times New Roman"/>
        </w:rPr>
        <w:t xml:space="preserve"> from Pennington Gap, </w:t>
      </w:r>
      <w:r w:rsidR="00645D3A">
        <w:rPr>
          <w:rFonts w:asciiTheme="majorHAnsi" w:hAnsiTheme="majorHAnsi" w:cs="Times New Roman"/>
        </w:rPr>
        <w:t xml:space="preserve">members of the </w:t>
      </w:r>
      <w:r w:rsidR="006242D3" w:rsidRPr="006242D3">
        <w:rPr>
          <w:rFonts w:asciiTheme="majorHAnsi" w:hAnsiTheme="majorHAnsi" w:cs="Times New Roman"/>
        </w:rPr>
        <w:t>local Lee County Health Coalition</w:t>
      </w:r>
      <w:r>
        <w:rPr>
          <w:rFonts w:asciiTheme="majorHAnsi" w:hAnsiTheme="majorHAnsi" w:cs="Times New Roman"/>
        </w:rPr>
        <w:t>, Kobak and Davies</w:t>
      </w:r>
      <w:r w:rsidR="006242D3" w:rsidRPr="006242D3">
        <w:rPr>
          <w:rFonts w:asciiTheme="majorHAnsi" w:hAnsiTheme="majorHAnsi" w:cs="Times New Roman"/>
        </w:rPr>
        <w:t xml:space="preserve"> </w:t>
      </w:r>
      <w:r w:rsidR="00F9489B">
        <w:rPr>
          <w:rFonts w:asciiTheme="majorHAnsi" w:hAnsiTheme="majorHAnsi" w:cs="Times New Roman"/>
        </w:rPr>
        <w:t xml:space="preserve">initiated a petition, asking the </w:t>
      </w:r>
      <w:r w:rsidR="006242D3" w:rsidRPr="006242D3">
        <w:rPr>
          <w:rFonts w:asciiTheme="majorHAnsi" w:hAnsiTheme="majorHAnsi" w:cs="Times New Roman"/>
        </w:rPr>
        <w:t xml:space="preserve">Federal Food and Drug Administration (FDA) </w:t>
      </w:r>
      <w:r w:rsidR="00645D3A">
        <w:rPr>
          <w:rFonts w:asciiTheme="majorHAnsi" w:hAnsiTheme="majorHAnsi" w:cs="Times New Roman"/>
        </w:rPr>
        <w:t>to</w:t>
      </w:r>
      <w:r w:rsidR="006242D3" w:rsidRPr="006242D3">
        <w:rPr>
          <w:rFonts w:asciiTheme="majorHAnsi" w:hAnsiTheme="majorHAnsi" w:cs="Times New Roman"/>
        </w:rPr>
        <w:t xml:space="preserve"> recall OxyContin</w:t>
      </w:r>
      <w:r w:rsidR="0021627D">
        <w:rPr>
          <w:rFonts w:asciiTheme="majorHAnsi" w:hAnsiTheme="majorHAnsi" w:cs="Times New Roman"/>
        </w:rPr>
        <w:t xml:space="preserve"> </w:t>
      </w:r>
      <w:r w:rsidR="006242D3" w:rsidRPr="006242D3">
        <w:rPr>
          <w:rFonts w:asciiTheme="majorHAnsi" w:hAnsiTheme="majorHAnsi" w:cs="Times New Roman"/>
        </w:rPr>
        <w:t xml:space="preserve">(Van Zee, 2002: 2). </w:t>
      </w:r>
      <w:r w:rsidR="00B76632">
        <w:rPr>
          <w:rFonts w:asciiTheme="majorHAnsi" w:hAnsiTheme="majorHAnsi" w:cs="Times New Roman"/>
        </w:rPr>
        <w:t>Enraged by</w:t>
      </w:r>
      <w:r w:rsidR="009F781B">
        <w:rPr>
          <w:rFonts w:asciiTheme="majorHAnsi" w:hAnsiTheme="majorHAnsi" w:cs="Times New Roman"/>
        </w:rPr>
        <w:t xml:space="preserve"> the</w:t>
      </w:r>
      <w:r w:rsidR="00B76632">
        <w:rPr>
          <w:rFonts w:asciiTheme="majorHAnsi" w:hAnsiTheme="majorHAnsi" w:cs="Times New Roman"/>
        </w:rPr>
        <w:t xml:space="preserve"> group’s efforts to involve the FDA, the</w:t>
      </w:r>
      <w:r w:rsidR="006242D3" w:rsidRPr="006242D3">
        <w:rPr>
          <w:rFonts w:asciiTheme="majorHAnsi" w:hAnsiTheme="majorHAnsi" w:cs="Times New Roman"/>
        </w:rPr>
        <w:t xml:space="preserve"> regulatory agency</w:t>
      </w:r>
      <w:r w:rsidR="00970D1F">
        <w:rPr>
          <w:rFonts w:asciiTheme="majorHAnsi" w:hAnsiTheme="majorHAnsi" w:cs="Times New Roman"/>
        </w:rPr>
        <w:t xml:space="preserve"> </w:t>
      </w:r>
      <w:r w:rsidR="009C50C7">
        <w:rPr>
          <w:rFonts w:asciiTheme="majorHAnsi" w:hAnsiTheme="majorHAnsi" w:cs="Times New Roman"/>
        </w:rPr>
        <w:t xml:space="preserve">ostensibly charged with ensuring the </w:t>
      </w:r>
      <w:r w:rsidR="006242D3" w:rsidRPr="006242D3">
        <w:rPr>
          <w:rFonts w:asciiTheme="majorHAnsi" w:hAnsiTheme="majorHAnsi" w:cs="Times New Roman"/>
        </w:rPr>
        <w:t>“advertising and promotion [of prescription drugs] is truthful, balanced, and accurately communicated,”</w:t>
      </w:r>
      <w:r w:rsidR="002458EF">
        <w:rPr>
          <w:rFonts w:asciiTheme="majorHAnsi" w:hAnsiTheme="majorHAnsi" w:cs="Times New Roman"/>
        </w:rPr>
        <w:t xml:space="preserve"> </w:t>
      </w:r>
      <w:r w:rsidR="00CB07AA">
        <w:rPr>
          <w:rFonts w:asciiTheme="majorHAnsi" w:hAnsiTheme="majorHAnsi" w:cs="Times New Roman"/>
        </w:rPr>
        <w:t>Purdue</w:t>
      </w:r>
      <w:r w:rsidR="002458EF">
        <w:rPr>
          <w:rFonts w:asciiTheme="majorHAnsi" w:hAnsiTheme="majorHAnsi" w:cs="Times New Roman"/>
        </w:rPr>
        <w:t xml:space="preserve"> executives </w:t>
      </w:r>
      <w:r w:rsidR="00CB07AA">
        <w:rPr>
          <w:rFonts w:asciiTheme="majorHAnsi" w:hAnsiTheme="majorHAnsi" w:cs="Times New Roman"/>
        </w:rPr>
        <w:t>converged on</w:t>
      </w:r>
      <w:r w:rsidR="00877D77">
        <w:rPr>
          <w:rFonts w:asciiTheme="majorHAnsi" w:hAnsiTheme="majorHAnsi" w:cs="Times New Roman"/>
        </w:rPr>
        <w:t xml:space="preserve"> Pennington Gap </w:t>
      </w:r>
      <w:r w:rsidR="006242D3" w:rsidRPr="006242D3">
        <w:rPr>
          <w:rFonts w:asciiTheme="majorHAnsi" w:hAnsiTheme="majorHAnsi" w:cs="Times New Roman"/>
        </w:rPr>
        <w:t>(</w:t>
      </w:r>
      <w:r w:rsidR="009C50C7">
        <w:rPr>
          <w:rFonts w:asciiTheme="majorHAnsi" w:hAnsiTheme="majorHAnsi" w:cs="Times New Roman"/>
        </w:rPr>
        <w:t>ibid</w:t>
      </w:r>
      <w:r w:rsidR="006242D3" w:rsidRPr="006242D3">
        <w:rPr>
          <w:rFonts w:asciiTheme="majorHAnsi" w:hAnsiTheme="majorHAnsi" w:cs="Times New Roman"/>
        </w:rPr>
        <w:t>, 2009: 224).</w:t>
      </w:r>
      <w:r w:rsidR="00A360A9">
        <w:rPr>
          <w:rFonts w:asciiTheme="majorHAnsi" w:hAnsiTheme="majorHAnsi" w:cs="Times New Roman"/>
        </w:rPr>
        <w:t xml:space="preserve"> Calling </w:t>
      </w:r>
      <w:r w:rsidR="00CB07AA">
        <w:rPr>
          <w:rFonts w:asciiTheme="majorHAnsi" w:hAnsiTheme="majorHAnsi" w:cs="Times New Roman"/>
        </w:rPr>
        <w:t xml:space="preserve">the group to a </w:t>
      </w:r>
      <w:r w:rsidR="00CB07AA">
        <w:rPr>
          <w:rFonts w:asciiTheme="majorHAnsi" w:hAnsiTheme="majorHAnsi" w:cs="Times New Roman"/>
        </w:rPr>
        <w:lastRenderedPageBreak/>
        <w:t>meeting</w:t>
      </w:r>
      <w:r w:rsidR="00C8499B">
        <w:rPr>
          <w:rFonts w:asciiTheme="majorHAnsi" w:hAnsiTheme="majorHAnsi" w:cs="Times New Roman"/>
        </w:rPr>
        <w:t>,</w:t>
      </w:r>
      <w:r w:rsidR="00D33310">
        <w:rPr>
          <w:rFonts w:asciiTheme="majorHAnsi" w:hAnsiTheme="majorHAnsi" w:cs="Times New Roman"/>
        </w:rPr>
        <w:t xml:space="preserve"> </w:t>
      </w:r>
      <w:r w:rsidR="00B47C56">
        <w:rPr>
          <w:rFonts w:asciiTheme="majorHAnsi" w:hAnsiTheme="majorHAnsi" w:cs="Times New Roman"/>
        </w:rPr>
        <w:t>they</w:t>
      </w:r>
      <w:r w:rsidR="008426FB">
        <w:rPr>
          <w:rFonts w:asciiTheme="majorHAnsi" w:hAnsiTheme="majorHAnsi" w:cs="Times New Roman"/>
        </w:rPr>
        <w:t xml:space="preserve"> initially</w:t>
      </w:r>
      <w:r w:rsidR="00C8499B">
        <w:rPr>
          <w:rFonts w:asciiTheme="majorHAnsi" w:hAnsiTheme="majorHAnsi" w:cs="Times New Roman"/>
        </w:rPr>
        <w:t xml:space="preserve"> </w:t>
      </w:r>
      <w:r w:rsidR="00E51F55">
        <w:rPr>
          <w:rFonts w:asciiTheme="majorHAnsi" w:hAnsiTheme="majorHAnsi" w:cs="Times New Roman"/>
        </w:rPr>
        <w:t>offered</w:t>
      </w:r>
      <w:r w:rsidR="0066517B">
        <w:rPr>
          <w:rFonts w:asciiTheme="majorHAnsi" w:hAnsiTheme="majorHAnsi" w:cs="Times New Roman"/>
        </w:rPr>
        <w:t xml:space="preserve"> Lee County</w:t>
      </w:r>
      <w:r w:rsidR="006242D3" w:rsidRPr="006242D3">
        <w:rPr>
          <w:rFonts w:asciiTheme="majorHAnsi" w:hAnsiTheme="majorHAnsi" w:cs="Times New Roman"/>
        </w:rPr>
        <w:t xml:space="preserve"> $100,000</w:t>
      </w:r>
      <w:r w:rsidR="00B47C56">
        <w:rPr>
          <w:rFonts w:asciiTheme="majorHAnsi" w:hAnsiTheme="majorHAnsi" w:cs="Times New Roman"/>
        </w:rPr>
        <w:t xml:space="preserve"> to</w:t>
      </w:r>
      <w:r w:rsidR="006242D3" w:rsidRPr="006242D3">
        <w:rPr>
          <w:rFonts w:asciiTheme="majorHAnsi" w:hAnsiTheme="majorHAnsi" w:cs="Times New Roman"/>
        </w:rPr>
        <w:t xml:space="preserve"> “fund addiction treatment”</w:t>
      </w:r>
      <w:r w:rsidR="00C93D2F">
        <w:rPr>
          <w:rFonts w:asciiTheme="majorHAnsi" w:hAnsiTheme="majorHAnsi" w:cs="Times New Roman"/>
        </w:rPr>
        <w:t xml:space="preserve"> services</w:t>
      </w:r>
      <w:r w:rsidR="00B47C56">
        <w:rPr>
          <w:rFonts w:asciiTheme="majorHAnsi" w:hAnsiTheme="majorHAnsi" w:cs="Times New Roman"/>
        </w:rPr>
        <w:t xml:space="preserve"> if the petition was dropped but, </w:t>
      </w:r>
      <w:r w:rsidR="004C69CA">
        <w:rPr>
          <w:rFonts w:asciiTheme="majorHAnsi" w:hAnsiTheme="majorHAnsi" w:cs="Times New Roman"/>
        </w:rPr>
        <w:t>when this was</w:t>
      </w:r>
      <w:r w:rsidR="00B47C56">
        <w:rPr>
          <w:rFonts w:asciiTheme="majorHAnsi" w:hAnsiTheme="majorHAnsi" w:cs="Times New Roman"/>
        </w:rPr>
        <w:t xml:space="preserve"> rejected,</w:t>
      </w:r>
      <w:r w:rsidR="001D4A97">
        <w:rPr>
          <w:rFonts w:asciiTheme="majorHAnsi" w:hAnsiTheme="majorHAnsi" w:cs="Times New Roman"/>
        </w:rPr>
        <w:t xml:space="preserve"> quickly </w:t>
      </w:r>
      <w:r w:rsidR="000F0EBD">
        <w:rPr>
          <w:rFonts w:asciiTheme="majorHAnsi" w:hAnsiTheme="majorHAnsi" w:cs="Times New Roman"/>
        </w:rPr>
        <w:t>altered</w:t>
      </w:r>
      <w:r w:rsidR="001D4A97">
        <w:rPr>
          <w:rFonts w:asciiTheme="majorHAnsi" w:hAnsiTheme="majorHAnsi" w:cs="Times New Roman"/>
        </w:rPr>
        <w:t xml:space="preserve"> tactics—threatening</w:t>
      </w:r>
      <w:r w:rsidR="00B47C56">
        <w:rPr>
          <w:rFonts w:asciiTheme="majorHAnsi" w:hAnsiTheme="majorHAnsi" w:cs="Times New Roman"/>
        </w:rPr>
        <w:t xml:space="preserve"> to run a full-page story in the </w:t>
      </w:r>
      <w:r w:rsidR="006242D3" w:rsidRPr="006242D3">
        <w:rPr>
          <w:rFonts w:asciiTheme="majorHAnsi" w:hAnsiTheme="majorHAnsi" w:cs="Times New Roman"/>
        </w:rPr>
        <w:t xml:space="preserve">local newspaper </w:t>
      </w:r>
      <w:r w:rsidR="001D4A97">
        <w:rPr>
          <w:rFonts w:asciiTheme="majorHAnsi" w:hAnsiTheme="majorHAnsi" w:cs="Times New Roman"/>
        </w:rPr>
        <w:t>discrediting their efforts</w:t>
      </w:r>
      <w:r w:rsidR="006242D3" w:rsidRPr="006242D3">
        <w:rPr>
          <w:rFonts w:asciiTheme="majorHAnsi" w:hAnsiTheme="majorHAnsi" w:cs="Times New Roman"/>
        </w:rPr>
        <w:t xml:space="preserve"> (Meier, 2019: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According to author of “</w:t>
      </w:r>
      <w:r w:rsidR="006242D3" w:rsidRPr="006242D3">
        <w:rPr>
          <w:rFonts w:asciiTheme="majorHAnsi" w:hAnsiTheme="majorHAnsi" w:cs="Times New Roman"/>
          <w:i/>
        </w:rPr>
        <w:t>Pain Killer: An Empire of Deceit and the Origin of America’s Opioid Epidemic</w:t>
      </w:r>
      <w:r w:rsidR="006242D3" w:rsidRPr="006242D3">
        <w:rPr>
          <w:rFonts w:asciiTheme="majorHAnsi" w:hAnsiTheme="majorHAnsi" w:cs="Times New Roman"/>
        </w:rPr>
        <w:t xml:space="preserve">,” </w:t>
      </w:r>
      <w:r w:rsidR="007B6253" w:rsidRPr="006242D3">
        <w:rPr>
          <w:rFonts w:asciiTheme="majorHAnsi" w:hAnsiTheme="majorHAnsi" w:cs="Times New Roman"/>
        </w:rPr>
        <w:t xml:space="preserve">Barry Meier (2019: </w:t>
      </w:r>
      <w:proofErr w:type="spellStart"/>
      <w:r w:rsidR="007B6253" w:rsidRPr="006242D3">
        <w:rPr>
          <w:rFonts w:asciiTheme="majorHAnsi" w:hAnsiTheme="majorHAnsi" w:cs="Times New Roman"/>
        </w:rPr>
        <w:t>n.p</w:t>
      </w:r>
      <w:proofErr w:type="spellEnd"/>
      <w:r w:rsidR="007B6253" w:rsidRPr="006242D3">
        <w:rPr>
          <w:rFonts w:asciiTheme="majorHAnsi" w:hAnsiTheme="majorHAnsi" w:cs="Times New Roman"/>
        </w:rPr>
        <w:t>.),</w:t>
      </w:r>
      <w:r w:rsidR="007B6253">
        <w:rPr>
          <w:rFonts w:asciiTheme="majorHAnsi" w:hAnsiTheme="majorHAnsi" w:cs="Times New Roman"/>
        </w:rPr>
        <w:t xml:space="preserve"> it was not long after Purdue’s visit that </w:t>
      </w:r>
      <w:r w:rsidR="006242D3" w:rsidRPr="006242D3">
        <w:rPr>
          <w:rFonts w:asciiTheme="majorHAnsi" w:hAnsiTheme="majorHAnsi" w:cs="Times New Roman"/>
        </w:rPr>
        <w:t>enthusiasm</w:t>
      </w:r>
      <w:r w:rsidR="007B6253">
        <w:rPr>
          <w:rFonts w:asciiTheme="majorHAnsi" w:hAnsiTheme="majorHAnsi" w:cs="Times New Roman"/>
        </w:rPr>
        <w:t xml:space="preserve"> for the petition</w:t>
      </w:r>
      <w:r w:rsidR="006242D3" w:rsidRPr="006242D3">
        <w:rPr>
          <w:rFonts w:asciiTheme="majorHAnsi" w:hAnsiTheme="majorHAnsi" w:cs="Times New Roman"/>
        </w:rPr>
        <w:t xml:space="preserve"> “fizzled out” (ibid., 2019: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w:t>
      </w:r>
    </w:p>
    <w:p w14:paraId="71CEC14F" w14:textId="11D3D022" w:rsidR="00253386" w:rsidRDefault="007B6253" w:rsidP="008C44E4">
      <w:pPr>
        <w:numPr>
          <w:ilvl w:val="12"/>
          <w:numId w:val="0"/>
        </w:numPr>
        <w:spacing w:line="480" w:lineRule="auto"/>
        <w:ind w:firstLine="720"/>
        <w:rPr>
          <w:rFonts w:asciiTheme="majorHAnsi" w:hAnsiTheme="majorHAnsi" w:cs="Times New Roman"/>
        </w:rPr>
      </w:pPr>
      <w:r>
        <w:rPr>
          <w:rFonts w:asciiTheme="majorHAnsi" w:hAnsiTheme="majorHAnsi" w:cs="Times New Roman"/>
        </w:rPr>
        <w:t>Writing on the</w:t>
      </w:r>
      <w:r w:rsidR="006242D3" w:rsidRPr="006242D3">
        <w:rPr>
          <w:rFonts w:asciiTheme="majorHAnsi" w:hAnsiTheme="majorHAnsi" w:cs="Times New Roman"/>
        </w:rPr>
        <w:t xml:space="preserve"> “</w:t>
      </w:r>
      <w:r>
        <w:rPr>
          <w:rFonts w:asciiTheme="majorHAnsi" w:hAnsiTheme="majorHAnsi" w:cs="Times New Roman"/>
        </w:rPr>
        <w:t xml:space="preserve">eerie similarities between the </w:t>
      </w:r>
      <w:proofErr w:type="spellStart"/>
      <w:r>
        <w:rPr>
          <w:rFonts w:asciiTheme="majorHAnsi" w:hAnsiTheme="majorHAnsi" w:cs="Times New Roman"/>
        </w:rPr>
        <w:t>violence</w:t>
      </w:r>
      <w:r w:rsidR="00597112">
        <w:rPr>
          <w:rFonts w:asciiTheme="majorHAnsi" w:hAnsiTheme="majorHAnsi" w:cs="Times New Roman"/>
        </w:rPr>
        <w:t>s</w:t>
      </w:r>
      <w:proofErr w:type="spellEnd"/>
      <w:r>
        <w:rPr>
          <w:rFonts w:asciiTheme="majorHAnsi" w:hAnsiTheme="majorHAnsi" w:cs="Times New Roman"/>
        </w:rPr>
        <w:t xml:space="preserve"> of “</w:t>
      </w:r>
      <w:r w:rsidR="006242D3" w:rsidRPr="006242D3">
        <w:rPr>
          <w:rFonts w:asciiTheme="majorHAnsi" w:hAnsiTheme="majorHAnsi" w:cs="Times New Roman"/>
        </w:rPr>
        <w:t>mountaintop removal, oil and gas exploration</w:t>
      </w:r>
      <w:r>
        <w:rPr>
          <w:rFonts w:asciiTheme="majorHAnsi" w:hAnsiTheme="majorHAnsi" w:cs="Times New Roman"/>
        </w:rPr>
        <w:t>…</w:t>
      </w:r>
      <w:r w:rsidR="006242D3" w:rsidRPr="006242D3">
        <w:rPr>
          <w:rFonts w:asciiTheme="majorHAnsi" w:hAnsiTheme="majorHAnsi" w:cs="Times New Roman"/>
        </w:rPr>
        <w:t>logging”</w:t>
      </w:r>
      <w:r>
        <w:rPr>
          <w:rFonts w:asciiTheme="majorHAnsi" w:hAnsiTheme="majorHAnsi" w:cs="Times New Roman"/>
        </w:rPr>
        <w:t xml:space="preserve"> and Big Pharma</w:t>
      </w:r>
      <w:r w:rsidR="006242D3" w:rsidRPr="006242D3">
        <w:rPr>
          <w:rFonts w:asciiTheme="majorHAnsi" w:hAnsiTheme="majorHAnsi" w:cs="Times New Roman"/>
        </w:rPr>
        <w:t xml:space="preserve"> in </w:t>
      </w:r>
      <w:r>
        <w:rPr>
          <w:rFonts w:asciiTheme="majorHAnsi" w:hAnsiTheme="majorHAnsi" w:cs="Times New Roman"/>
        </w:rPr>
        <w:t xml:space="preserve">Appalachia, </w:t>
      </w:r>
      <w:proofErr w:type="spellStart"/>
      <w:r w:rsidRPr="006242D3">
        <w:rPr>
          <w:rFonts w:asciiTheme="majorHAnsi" w:hAnsiTheme="majorHAnsi" w:cs="Times New Roman"/>
        </w:rPr>
        <w:t>Yahn</w:t>
      </w:r>
      <w:proofErr w:type="spellEnd"/>
      <w:r w:rsidRPr="006242D3">
        <w:rPr>
          <w:rFonts w:asciiTheme="majorHAnsi" w:hAnsiTheme="majorHAnsi" w:cs="Times New Roman"/>
        </w:rPr>
        <w:t xml:space="preserve"> (2020: 121) </w:t>
      </w:r>
      <w:r>
        <w:rPr>
          <w:rFonts w:asciiTheme="majorHAnsi" w:hAnsiTheme="majorHAnsi" w:cs="Times New Roman"/>
        </w:rPr>
        <w:t>argues that each are</w:t>
      </w:r>
      <w:r w:rsidR="006242D3" w:rsidRPr="006242D3">
        <w:rPr>
          <w:rFonts w:asciiTheme="majorHAnsi" w:hAnsiTheme="majorHAnsi" w:cs="Times New Roman"/>
        </w:rPr>
        <w:t xml:space="preserve"> “capitalist scheme</w:t>
      </w:r>
      <w:r>
        <w:rPr>
          <w:rFonts w:asciiTheme="majorHAnsi" w:hAnsiTheme="majorHAnsi" w:cs="Times New Roman"/>
        </w:rPr>
        <w:t>[s]</w:t>
      </w:r>
      <w:r w:rsidR="006242D3" w:rsidRPr="006242D3">
        <w:rPr>
          <w:rFonts w:asciiTheme="majorHAnsi" w:hAnsiTheme="majorHAnsi" w:cs="Times New Roman"/>
        </w:rPr>
        <w:t xml:space="preserve"> developed to monetize </w:t>
      </w:r>
      <w:r>
        <w:rPr>
          <w:rFonts w:asciiTheme="majorHAnsi" w:hAnsiTheme="majorHAnsi" w:cs="Times New Roman"/>
        </w:rPr>
        <w:t>the region’s</w:t>
      </w:r>
      <w:r w:rsidR="006242D3" w:rsidRPr="006242D3">
        <w:rPr>
          <w:rFonts w:asciiTheme="majorHAnsi" w:hAnsiTheme="majorHAnsi" w:cs="Times New Roman"/>
        </w:rPr>
        <w:t xml:space="preserve"> resources</w:t>
      </w:r>
      <w:r w:rsidR="00063969">
        <w:rPr>
          <w:rFonts w:asciiTheme="majorHAnsi" w:hAnsiTheme="majorHAnsi" w:cs="Times New Roman"/>
        </w:rPr>
        <w:t xml:space="preserve">,” </w:t>
      </w:r>
      <w:r w:rsidR="006242D3" w:rsidRPr="006242D3">
        <w:rPr>
          <w:rFonts w:asciiTheme="majorHAnsi" w:hAnsiTheme="majorHAnsi" w:cs="Times New Roman"/>
        </w:rPr>
        <w:t xml:space="preserve">sold on the promise of solving people’s </w:t>
      </w:r>
      <w:r>
        <w:rPr>
          <w:rFonts w:asciiTheme="majorHAnsi" w:hAnsiTheme="majorHAnsi" w:cs="Times New Roman"/>
        </w:rPr>
        <w:t>problems.</w:t>
      </w:r>
      <w:r w:rsidR="005B108D">
        <w:rPr>
          <w:rFonts w:asciiTheme="majorHAnsi" w:hAnsiTheme="majorHAnsi" w:cs="Times New Roman"/>
        </w:rPr>
        <w:t xml:space="preserve"> </w:t>
      </w:r>
      <w:r w:rsidR="001004CC">
        <w:rPr>
          <w:rFonts w:asciiTheme="majorHAnsi" w:hAnsiTheme="majorHAnsi" w:cs="Times New Roman"/>
        </w:rPr>
        <w:t>Not</w:t>
      </w:r>
      <w:r w:rsidR="005B108D">
        <w:rPr>
          <w:rFonts w:asciiTheme="majorHAnsi" w:hAnsiTheme="majorHAnsi" w:cs="Times New Roman"/>
        </w:rPr>
        <w:t xml:space="preserve"> only</w:t>
      </w:r>
      <w:r w:rsidR="001004CC">
        <w:rPr>
          <w:rFonts w:asciiTheme="majorHAnsi" w:hAnsiTheme="majorHAnsi" w:cs="Times New Roman"/>
        </w:rPr>
        <w:t xml:space="preserve"> did Purdue</w:t>
      </w:r>
      <w:r w:rsidR="005B108D">
        <w:rPr>
          <w:rFonts w:asciiTheme="majorHAnsi" w:hAnsiTheme="majorHAnsi" w:cs="Times New Roman"/>
        </w:rPr>
        <w:t xml:space="preserve"> use sophisticated marketing technologies </w:t>
      </w:r>
      <w:r w:rsidR="00DE2FB9">
        <w:rPr>
          <w:rFonts w:asciiTheme="majorHAnsi" w:hAnsiTheme="majorHAnsi" w:cs="Times New Roman"/>
        </w:rPr>
        <w:t xml:space="preserve">to </w:t>
      </w:r>
      <w:r w:rsidR="005B108D">
        <w:rPr>
          <w:rFonts w:asciiTheme="majorHAnsi" w:hAnsiTheme="majorHAnsi" w:cs="Times New Roman"/>
        </w:rPr>
        <w:t xml:space="preserve">develop prescriber profiles </w:t>
      </w:r>
      <w:r w:rsidR="00990E33">
        <w:rPr>
          <w:rFonts w:asciiTheme="majorHAnsi" w:hAnsiTheme="majorHAnsi" w:cs="Times New Roman"/>
        </w:rPr>
        <w:t>that</w:t>
      </w:r>
      <w:r w:rsidR="00314EAF">
        <w:rPr>
          <w:rFonts w:asciiTheme="majorHAnsi" w:hAnsiTheme="majorHAnsi" w:cs="Times New Roman"/>
        </w:rPr>
        <w:t xml:space="preserve"> identif</w:t>
      </w:r>
      <w:r w:rsidR="00990E33">
        <w:rPr>
          <w:rFonts w:asciiTheme="majorHAnsi" w:hAnsiTheme="majorHAnsi" w:cs="Times New Roman"/>
        </w:rPr>
        <w:t>ied</w:t>
      </w:r>
      <w:r w:rsidR="00314EAF">
        <w:rPr>
          <w:rFonts w:asciiTheme="majorHAnsi" w:hAnsiTheme="majorHAnsi" w:cs="Times New Roman"/>
        </w:rPr>
        <w:t xml:space="preserve"> </w:t>
      </w:r>
      <w:r w:rsidR="00F4758A">
        <w:rPr>
          <w:rFonts w:asciiTheme="majorHAnsi" w:hAnsiTheme="majorHAnsi" w:cs="Times New Roman"/>
        </w:rPr>
        <w:t>Appalachia</w:t>
      </w:r>
      <w:r w:rsidR="005B108D">
        <w:rPr>
          <w:rFonts w:asciiTheme="majorHAnsi" w:hAnsiTheme="majorHAnsi" w:cs="Times New Roman"/>
        </w:rPr>
        <w:t xml:space="preserve"> as having a high likelihood of</w:t>
      </w:r>
      <w:r w:rsidR="00A95A33">
        <w:rPr>
          <w:rFonts w:asciiTheme="majorHAnsi" w:hAnsiTheme="majorHAnsi" w:cs="Times New Roman"/>
        </w:rPr>
        <w:t xml:space="preserve"> residents with</w:t>
      </w:r>
      <w:r w:rsidR="005B108D">
        <w:rPr>
          <w:rFonts w:asciiTheme="majorHAnsi" w:hAnsiTheme="majorHAnsi" w:cs="Times New Roman"/>
        </w:rPr>
        <w:t xml:space="preserve"> </w:t>
      </w:r>
      <w:r w:rsidR="008C44E4">
        <w:rPr>
          <w:rFonts w:asciiTheme="majorHAnsi" w:hAnsiTheme="majorHAnsi" w:cs="Times New Roman"/>
        </w:rPr>
        <w:t xml:space="preserve">“chronic </w:t>
      </w:r>
      <w:r w:rsidR="005B108D">
        <w:rPr>
          <w:rFonts w:asciiTheme="majorHAnsi" w:hAnsiTheme="majorHAnsi" w:cs="Times New Roman"/>
        </w:rPr>
        <w:t>pain</w:t>
      </w:r>
      <w:r w:rsidR="008C44E4">
        <w:rPr>
          <w:rFonts w:asciiTheme="majorHAnsi" w:hAnsiTheme="majorHAnsi" w:cs="Times New Roman"/>
        </w:rPr>
        <w:t>”</w:t>
      </w:r>
      <w:r w:rsidR="00314EAF">
        <w:rPr>
          <w:rFonts w:asciiTheme="majorHAnsi" w:hAnsiTheme="majorHAnsi" w:cs="Times New Roman"/>
        </w:rPr>
        <w:t xml:space="preserve"> </w:t>
      </w:r>
      <w:r w:rsidR="00990E33">
        <w:rPr>
          <w:rFonts w:asciiTheme="majorHAnsi" w:hAnsiTheme="majorHAnsi" w:cs="Times New Roman"/>
        </w:rPr>
        <w:t>to</w:t>
      </w:r>
      <w:r w:rsidR="00851169">
        <w:rPr>
          <w:rFonts w:asciiTheme="majorHAnsi" w:hAnsiTheme="majorHAnsi" w:cs="Times New Roman"/>
        </w:rPr>
        <w:t xml:space="preserve"> </w:t>
      </w:r>
      <w:r w:rsidR="00990E33">
        <w:rPr>
          <w:rFonts w:asciiTheme="majorHAnsi" w:hAnsiTheme="majorHAnsi" w:cs="Times New Roman"/>
        </w:rPr>
        <w:t>capitalize on</w:t>
      </w:r>
      <w:r w:rsidR="00314EAF">
        <w:rPr>
          <w:rFonts w:asciiTheme="majorHAnsi" w:hAnsiTheme="majorHAnsi" w:cs="Times New Roman"/>
        </w:rPr>
        <w:t>,</w:t>
      </w:r>
      <w:r w:rsidR="00A95A33">
        <w:rPr>
          <w:rFonts w:asciiTheme="majorHAnsi" w:hAnsiTheme="majorHAnsi" w:cs="Times New Roman"/>
        </w:rPr>
        <w:t xml:space="preserve"> </w:t>
      </w:r>
      <w:r w:rsidR="00990E33">
        <w:rPr>
          <w:rFonts w:asciiTheme="majorHAnsi" w:hAnsiTheme="majorHAnsi" w:cs="Times New Roman"/>
        </w:rPr>
        <w:t xml:space="preserve">but </w:t>
      </w:r>
      <w:r w:rsidR="00851169">
        <w:rPr>
          <w:rFonts w:asciiTheme="majorHAnsi" w:hAnsiTheme="majorHAnsi" w:cs="Times New Roman"/>
        </w:rPr>
        <w:t>they</w:t>
      </w:r>
      <w:r w:rsidR="00314EAF">
        <w:rPr>
          <w:rFonts w:asciiTheme="majorHAnsi" w:hAnsiTheme="majorHAnsi" w:cs="Times New Roman"/>
        </w:rPr>
        <w:t xml:space="preserve"> </w:t>
      </w:r>
      <w:r w:rsidR="00DC1BB4">
        <w:rPr>
          <w:rFonts w:asciiTheme="majorHAnsi" w:hAnsiTheme="majorHAnsi" w:cs="Times New Roman"/>
        </w:rPr>
        <w:t>subsequently</w:t>
      </w:r>
      <w:r w:rsidR="005B108D">
        <w:rPr>
          <w:rFonts w:asciiTheme="majorHAnsi" w:hAnsiTheme="majorHAnsi" w:cs="Times New Roman"/>
        </w:rPr>
        <w:t xml:space="preserve"> deployed a</w:t>
      </w:r>
      <w:r w:rsidR="00DA31F5">
        <w:rPr>
          <w:rFonts w:asciiTheme="majorHAnsi" w:hAnsiTheme="majorHAnsi" w:cs="Times New Roman"/>
        </w:rPr>
        <w:t xml:space="preserve"> targeted</w:t>
      </w:r>
      <w:r w:rsidR="005B108D">
        <w:rPr>
          <w:rFonts w:asciiTheme="majorHAnsi" w:hAnsiTheme="majorHAnsi" w:cs="Times New Roman"/>
        </w:rPr>
        <w:t xml:space="preserve"> media</w:t>
      </w:r>
      <w:r w:rsidR="008C44E4">
        <w:rPr>
          <w:rFonts w:asciiTheme="majorHAnsi" w:hAnsiTheme="majorHAnsi" w:cs="Times New Roman"/>
        </w:rPr>
        <w:t xml:space="preserve"> </w:t>
      </w:r>
      <w:r w:rsidR="00990E33">
        <w:rPr>
          <w:rFonts w:asciiTheme="majorHAnsi" w:hAnsiTheme="majorHAnsi" w:cs="Times New Roman"/>
        </w:rPr>
        <w:t>campaign</w:t>
      </w:r>
      <w:r w:rsidR="00A95A33">
        <w:rPr>
          <w:rFonts w:asciiTheme="majorHAnsi" w:hAnsiTheme="majorHAnsi" w:cs="Times New Roman"/>
        </w:rPr>
        <w:t xml:space="preserve"> that</w:t>
      </w:r>
      <w:r w:rsidR="00DC1BB4">
        <w:rPr>
          <w:rFonts w:asciiTheme="majorHAnsi" w:hAnsiTheme="majorHAnsi" w:cs="Times New Roman"/>
        </w:rPr>
        <w:t xml:space="preserve"> </w:t>
      </w:r>
      <w:r w:rsidR="00A95A33">
        <w:rPr>
          <w:rFonts w:asciiTheme="majorHAnsi" w:hAnsiTheme="majorHAnsi" w:cs="Times New Roman"/>
        </w:rPr>
        <w:t>used</w:t>
      </w:r>
      <w:r w:rsidR="00253386" w:rsidRPr="006242D3">
        <w:rPr>
          <w:rFonts w:asciiTheme="majorHAnsi" w:hAnsiTheme="majorHAnsi" w:cs="Times New Roman"/>
        </w:rPr>
        <w:t xml:space="preserve"> emotional appeals </w:t>
      </w:r>
      <w:r w:rsidR="00A95A33">
        <w:rPr>
          <w:rFonts w:asciiTheme="majorHAnsi" w:hAnsiTheme="majorHAnsi" w:cs="Times New Roman"/>
        </w:rPr>
        <w:t>t</w:t>
      </w:r>
      <w:r w:rsidR="00F11815">
        <w:rPr>
          <w:rFonts w:asciiTheme="majorHAnsi" w:hAnsiTheme="majorHAnsi" w:cs="Times New Roman"/>
        </w:rPr>
        <w:t xml:space="preserve">o speak to </w:t>
      </w:r>
      <w:r w:rsidR="00990E33">
        <w:rPr>
          <w:rFonts w:asciiTheme="majorHAnsi" w:hAnsiTheme="majorHAnsi" w:cs="Times New Roman"/>
        </w:rPr>
        <w:t xml:space="preserve">the </w:t>
      </w:r>
      <w:r w:rsidR="00F11815">
        <w:rPr>
          <w:rFonts w:asciiTheme="majorHAnsi" w:hAnsiTheme="majorHAnsi" w:cs="Times New Roman"/>
        </w:rPr>
        <w:t>practical needs</w:t>
      </w:r>
      <w:r w:rsidR="00F4758A">
        <w:rPr>
          <w:rFonts w:asciiTheme="majorHAnsi" w:hAnsiTheme="majorHAnsi" w:cs="Times New Roman"/>
        </w:rPr>
        <w:t xml:space="preserve"> of residents</w:t>
      </w:r>
      <w:r w:rsidR="00F11815">
        <w:rPr>
          <w:rFonts w:asciiTheme="majorHAnsi" w:hAnsiTheme="majorHAnsi" w:cs="Times New Roman"/>
        </w:rPr>
        <w:t xml:space="preserve"> </w:t>
      </w:r>
      <w:r w:rsidR="00A95A33">
        <w:rPr>
          <w:rFonts w:asciiTheme="majorHAnsi" w:hAnsiTheme="majorHAnsi" w:cs="Times New Roman"/>
        </w:rPr>
        <w:t>while</w:t>
      </w:r>
      <w:r w:rsidR="00282DC3">
        <w:rPr>
          <w:rFonts w:asciiTheme="majorHAnsi" w:hAnsiTheme="majorHAnsi" w:cs="Times New Roman"/>
        </w:rPr>
        <w:t xml:space="preserve"> deceptively claiming </w:t>
      </w:r>
      <w:r w:rsidR="00DA31F5">
        <w:rPr>
          <w:rFonts w:asciiTheme="majorHAnsi" w:hAnsiTheme="majorHAnsi" w:cs="Times New Roman"/>
        </w:rPr>
        <w:t>that</w:t>
      </w:r>
      <w:r w:rsidR="00DA31F5" w:rsidRPr="006242D3">
        <w:rPr>
          <w:rFonts w:asciiTheme="majorHAnsi" w:hAnsiTheme="majorHAnsi" w:cs="Times New Roman"/>
        </w:rPr>
        <w:t xml:space="preserve"> “fewer than 1% of patients taking opioids become addicte</w:t>
      </w:r>
      <w:r w:rsidR="00DA31F5">
        <w:rPr>
          <w:rFonts w:asciiTheme="majorHAnsi" w:hAnsiTheme="majorHAnsi" w:cs="Times New Roman"/>
        </w:rPr>
        <w:t>d.”</w:t>
      </w:r>
      <w:r w:rsidR="00253386" w:rsidRPr="006242D3">
        <w:rPr>
          <w:rFonts w:asciiTheme="majorHAnsi" w:hAnsiTheme="majorHAnsi" w:cs="Times New Roman"/>
        </w:rPr>
        <w:t xml:space="preserve"> In one of the more famous of </w:t>
      </w:r>
      <w:r w:rsidR="00F4758A">
        <w:rPr>
          <w:rFonts w:asciiTheme="majorHAnsi" w:hAnsiTheme="majorHAnsi" w:cs="Times New Roman"/>
        </w:rPr>
        <w:t>the company’s targeted</w:t>
      </w:r>
      <w:r w:rsidR="00253386" w:rsidRPr="006242D3">
        <w:rPr>
          <w:rFonts w:asciiTheme="majorHAnsi" w:hAnsiTheme="majorHAnsi" w:cs="Times New Roman"/>
        </w:rPr>
        <w:t xml:space="preserve"> marketing videos, “Oxycontin poster boy” Johnny Sullivan’s testimonial depicts him making a long-awaited return to </w:t>
      </w:r>
      <w:r w:rsidR="00AD5888">
        <w:rPr>
          <w:rFonts w:asciiTheme="majorHAnsi" w:hAnsiTheme="majorHAnsi" w:cs="Times New Roman"/>
        </w:rPr>
        <w:t>a construction worksite and</w:t>
      </w:r>
      <w:r w:rsidR="00253386" w:rsidRPr="006242D3">
        <w:rPr>
          <w:rFonts w:asciiTheme="majorHAnsi" w:hAnsiTheme="majorHAnsi" w:cs="Times New Roman"/>
        </w:rPr>
        <w:t xml:space="preserve"> thanking the drug for “giving him his life back,” saying: “I look at the future the same way a young guy 25, 30-year-old would” (Duffy, 2019: </w:t>
      </w:r>
      <w:proofErr w:type="spellStart"/>
      <w:r w:rsidR="00253386" w:rsidRPr="006242D3">
        <w:rPr>
          <w:rFonts w:asciiTheme="majorHAnsi" w:hAnsiTheme="majorHAnsi" w:cs="Times New Roman"/>
        </w:rPr>
        <w:t>n.p</w:t>
      </w:r>
      <w:proofErr w:type="spellEnd"/>
      <w:r w:rsidR="00253386" w:rsidRPr="006242D3">
        <w:rPr>
          <w:rFonts w:asciiTheme="majorHAnsi" w:hAnsiTheme="majorHAnsi" w:cs="Times New Roman"/>
        </w:rPr>
        <w:t xml:space="preserve">.). </w:t>
      </w:r>
      <w:r w:rsidR="00F4758A">
        <w:rPr>
          <w:rFonts w:asciiTheme="majorHAnsi" w:hAnsiTheme="majorHAnsi" w:cs="Times New Roman"/>
        </w:rPr>
        <w:t>Sullivan’s words were accompanied by those</w:t>
      </w:r>
      <w:r w:rsidR="005B1623">
        <w:rPr>
          <w:rFonts w:asciiTheme="majorHAnsi" w:hAnsiTheme="majorHAnsi" w:cs="Times New Roman"/>
        </w:rPr>
        <w:t xml:space="preserve"> </w:t>
      </w:r>
      <w:r w:rsidR="00253386" w:rsidRPr="006242D3">
        <w:rPr>
          <w:rFonts w:asciiTheme="majorHAnsi" w:hAnsiTheme="majorHAnsi" w:cs="Times New Roman"/>
        </w:rPr>
        <w:t>of paid spokesperson Alan Spanos, MD of North Carolina</w:t>
      </w:r>
      <w:r w:rsidR="00F94B36">
        <w:rPr>
          <w:rFonts w:asciiTheme="majorHAnsi" w:hAnsiTheme="majorHAnsi" w:cs="Times New Roman"/>
        </w:rPr>
        <w:t>,</w:t>
      </w:r>
      <w:r w:rsidR="00253386" w:rsidRPr="006242D3">
        <w:rPr>
          <w:rFonts w:asciiTheme="majorHAnsi" w:hAnsiTheme="majorHAnsi" w:cs="Times New Roman"/>
        </w:rPr>
        <w:t xml:space="preserve"> </w:t>
      </w:r>
      <w:r w:rsidR="00942DB3">
        <w:rPr>
          <w:rFonts w:asciiTheme="majorHAnsi" w:hAnsiTheme="majorHAnsi" w:cs="Times New Roman"/>
        </w:rPr>
        <w:t>who</w:t>
      </w:r>
      <w:r w:rsidR="00BA5FD2">
        <w:rPr>
          <w:rFonts w:asciiTheme="majorHAnsi" w:hAnsiTheme="majorHAnsi" w:cs="Times New Roman"/>
        </w:rPr>
        <w:t>, alongside Purdue,</w:t>
      </w:r>
      <w:r w:rsidR="00F25FDD">
        <w:rPr>
          <w:rFonts w:asciiTheme="majorHAnsi" w:hAnsiTheme="majorHAnsi" w:cs="Times New Roman"/>
        </w:rPr>
        <w:t xml:space="preserve"> would come under fire</w:t>
      </w:r>
      <w:r w:rsidR="00A0215E">
        <w:rPr>
          <w:rFonts w:asciiTheme="majorHAnsi" w:hAnsiTheme="majorHAnsi" w:cs="Times New Roman"/>
        </w:rPr>
        <w:t xml:space="preserve"> more than 15 years later</w:t>
      </w:r>
      <w:r w:rsidR="00F25FDD">
        <w:rPr>
          <w:rFonts w:asciiTheme="majorHAnsi" w:hAnsiTheme="majorHAnsi" w:cs="Times New Roman"/>
        </w:rPr>
        <w:t xml:space="preserve"> for</w:t>
      </w:r>
      <w:r w:rsidR="0000534B">
        <w:rPr>
          <w:rFonts w:asciiTheme="majorHAnsi" w:hAnsiTheme="majorHAnsi" w:cs="Times New Roman"/>
        </w:rPr>
        <w:t xml:space="preserve"> </w:t>
      </w:r>
      <w:r w:rsidR="00942DB3">
        <w:rPr>
          <w:rFonts w:asciiTheme="majorHAnsi" w:hAnsiTheme="majorHAnsi" w:cs="Times New Roman"/>
        </w:rPr>
        <w:t>encourag</w:t>
      </w:r>
      <w:r w:rsidR="00F25FDD">
        <w:rPr>
          <w:rFonts w:asciiTheme="majorHAnsi" w:hAnsiTheme="majorHAnsi" w:cs="Times New Roman"/>
        </w:rPr>
        <w:t>ing</w:t>
      </w:r>
      <w:r w:rsidR="00253386" w:rsidRPr="006242D3">
        <w:rPr>
          <w:rFonts w:asciiTheme="majorHAnsi" w:hAnsiTheme="majorHAnsi" w:cs="Times New Roman"/>
        </w:rPr>
        <w:t xml:space="preserve"> doctors to “consider prescribing opioids more often</w:t>
      </w:r>
      <w:r w:rsidR="00A0215E">
        <w:rPr>
          <w:rFonts w:asciiTheme="majorHAnsi" w:hAnsiTheme="majorHAnsi" w:cs="Times New Roman"/>
        </w:rPr>
        <w:t xml:space="preserve">.” </w:t>
      </w:r>
      <w:r w:rsidR="001D38E7">
        <w:rPr>
          <w:rFonts w:asciiTheme="majorHAnsi" w:hAnsiTheme="majorHAnsi" w:cs="Times New Roman"/>
        </w:rPr>
        <w:t>Doubling down on this claim in an interview with</w:t>
      </w:r>
      <w:r w:rsidR="00515C46">
        <w:rPr>
          <w:rFonts w:asciiTheme="majorHAnsi" w:hAnsiTheme="majorHAnsi" w:cs="Times New Roman"/>
        </w:rPr>
        <w:t xml:space="preserve"> journalists from the</w:t>
      </w:r>
      <w:r w:rsidR="00253386" w:rsidRPr="006242D3">
        <w:rPr>
          <w:rFonts w:asciiTheme="majorHAnsi" w:hAnsiTheme="majorHAnsi" w:cs="Times New Roman"/>
        </w:rPr>
        <w:t xml:space="preserve"> Milwaukee </w:t>
      </w:r>
      <w:r w:rsidR="001D38E7">
        <w:rPr>
          <w:rFonts w:asciiTheme="majorHAnsi" w:hAnsiTheme="majorHAnsi" w:cs="Times New Roman"/>
        </w:rPr>
        <w:t xml:space="preserve">Journal </w:t>
      </w:r>
      <w:r w:rsidR="00253386" w:rsidRPr="006242D3">
        <w:rPr>
          <w:rFonts w:asciiTheme="majorHAnsi" w:hAnsiTheme="majorHAnsi" w:cs="Times New Roman"/>
        </w:rPr>
        <w:t>Sentine</w:t>
      </w:r>
      <w:r w:rsidR="001D38E7">
        <w:rPr>
          <w:rFonts w:asciiTheme="majorHAnsi" w:hAnsiTheme="majorHAnsi" w:cs="Times New Roman"/>
        </w:rPr>
        <w:t>l</w:t>
      </w:r>
      <w:r w:rsidR="00515C46">
        <w:rPr>
          <w:rFonts w:asciiTheme="majorHAnsi" w:hAnsiTheme="majorHAnsi" w:cs="Times New Roman"/>
        </w:rPr>
        <w:t xml:space="preserve"> (</w:t>
      </w:r>
      <w:proofErr w:type="spellStart"/>
      <w:r w:rsidR="00515C46">
        <w:rPr>
          <w:rFonts w:asciiTheme="majorHAnsi" w:hAnsiTheme="majorHAnsi" w:cs="Times New Roman"/>
        </w:rPr>
        <w:t>F</w:t>
      </w:r>
      <w:r w:rsidR="00515C46" w:rsidRPr="006242D3">
        <w:rPr>
          <w:rFonts w:asciiTheme="majorHAnsi" w:hAnsiTheme="majorHAnsi" w:cs="Times New Roman"/>
        </w:rPr>
        <w:t>auber</w:t>
      </w:r>
      <w:proofErr w:type="spellEnd"/>
      <w:r w:rsidR="00515C46" w:rsidRPr="006242D3">
        <w:rPr>
          <w:rFonts w:asciiTheme="majorHAnsi" w:hAnsiTheme="majorHAnsi" w:cs="Times New Roman"/>
        </w:rPr>
        <w:t xml:space="preserve"> </w:t>
      </w:r>
      <w:r w:rsidR="00515C46">
        <w:rPr>
          <w:rFonts w:asciiTheme="majorHAnsi" w:hAnsiTheme="majorHAnsi" w:cs="Times New Roman"/>
        </w:rPr>
        <w:t>&amp;</w:t>
      </w:r>
      <w:r w:rsidR="00515C46" w:rsidRPr="006242D3">
        <w:rPr>
          <w:rFonts w:asciiTheme="majorHAnsi" w:hAnsiTheme="majorHAnsi" w:cs="Times New Roman"/>
        </w:rPr>
        <w:t xml:space="preserve"> </w:t>
      </w:r>
      <w:proofErr w:type="spellStart"/>
      <w:r w:rsidR="00515C46" w:rsidRPr="006242D3">
        <w:rPr>
          <w:rFonts w:asciiTheme="majorHAnsi" w:hAnsiTheme="majorHAnsi" w:cs="Times New Roman"/>
        </w:rPr>
        <w:t>Gabler</w:t>
      </w:r>
      <w:proofErr w:type="spellEnd"/>
      <w:r w:rsidR="00515C46">
        <w:rPr>
          <w:rFonts w:asciiTheme="majorHAnsi" w:hAnsiTheme="majorHAnsi" w:cs="Times New Roman"/>
        </w:rPr>
        <w:t xml:space="preserve">, 2019: </w:t>
      </w:r>
      <w:proofErr w:type="spellStart"/>
      <w:r w:rsidR="00515C46">
        <w:rPr>
          <w:rFonts w:asciiTheme="majorHAnsi" w:hAnsiTheme="majorHAnsi" w:cs="Times New Roman"/>
        </w:rPr>
        <w:t>n</w:t>
      </w:r>
      <w:r w:rsidR="008F293B">
        <w:rPr>
          <w:rFonts w:asciiTheme="majorHAnsi" w:hAnsiTheme="majorHAnsi" w:cs="Times New Roman"/>
        </w:rPr>
        <w:t>.p</w:t>
      </w:r>
      <w:proofErr w:type="spellEnd"/>
      <w:r w:rsidR="008F293B">
        <w:rPr>
          <w:rFonts w:asciiTheme="majorHAnsi" w:hAnsiTheme="majorHAnsi" w:cs="Times New Roman"/>
        </w:rPr>
        <w:t>.)</w:t>
      </w:r>
      <w:r w:rsidR="001D38E7">
        <w:rPr>
          <w:rFonts w:asciiTheme="majorHAnsi" w:hAnsiTheme="majorHAnsi" w:cs="Times New Roman"/>
        </w:rPr>
        <w:t xml:space="preserve"> in 2019,</w:t>
      </w:r>
      <w:r w:rsidR="00515C46" w:rsidRPr="006242D3">
        <w:rPr>
          <w:rFonts w:asciiTheme="majorHAnsi" w:hAnsiTheme="majorHAnsi" w:cs="Times New Roman"/>
        </w:rPr>
        <w:t xml:space="preserve"> </w:t>
      </w:r>
      <w:r w:rsidR="001D38E7">
        <w:rPr>
          <w:rFonts w:asciiTheme="majorHAnsi" w:hAnsiTheme="majorHAnsi" w:cs="Times New Roman"/>
        </w:rPr>
        <w:t xml:space="preserve">Spanos would </w:t>
      </w:r>
      <w:r w:rsidR="003C5062">
        <w:rPr>
          <w:rFonts w:asciiTheme="majorHAnsi" w:hAnsiTheme="majorHAnsi" w:cs="Times New Roman"/>
        </w:rPr>
        <w:t>reiterat</w:t>
      </w:r>
      <w:r w:rsidR="0008611D">
        <w:rPr>
          <w:rFonts w:asciiTheme="majorHAnsi" w:hAnsiTheme="majorHAnsi" w:cs="Times New Roman"/>
        </w:rPr>
        <w:t>e</w:t>
      </w:r>
      <w:r w:rsidR="003C5062">
        <w:rPr>
          <w:rFonts w:asciiTheme="majorHAnsi" w:hAnsiTheme="majorHAnsi" w:cs="Times New Roman"/>
        </w:rPr>
        <w:t xml:space="preserve"> Purdue’s anti-story, </w:t>
      </w:r>
      <w:r w:rsidR="0008611D">
        <w:rPr>
          <w:rFonts w:asciiTheme="majorHAnsi" w:hAnsiTheme="majorHAnsi" w:cs="Times New Roman"/>
        </w:rPr>
        <w:t>claiming</w:t>
      </w:r>
      <w:r w:rsidR="003C5062">
        <w:rPr>
          <w:rFonts w:asciiTheme="majorHAnsi" w:hAnsiTheme="majorHAnsi" w:cs="Times New Roman"/>
        </w:rPr>
        <w:t xml:space="preserve"> that the </w:t>
      </w:r>
      <w:r w:rsidR="00253386" w:rsidRPr="006242D3">
        <w:rPr>
          <w:rFonts w:asciiTheme="majorHAnsi" w:hAnsiTheme="majorHAnsi" w:cs="Times New Roman"/>
        </w:rPr>
        <w:t xml:space="preserve">ad </w:t>
      </w:r>
      <w:r w:rsidR="00253386" w:rsidRPr="006242D3">
        <w:rPr>
          <w:rFonts w:asciiTheme="majorHAnsi" w:hAnsiTheme="majorHAnsi" w:cs="Times New Roman"/>
        </w:rPr>
        <w:lastRenderedPageBreak/>
        <w:t>was simply to “explain that some patients could take opioids and not turn into ‘classic drug addicts.’</w:t>
      </w:r>
      <w:r w:rsidR="00A05C96">
        <w:rPr>
          <w:rFonts w:asciiTheme="majorHAnsi" w:hAnsiTheme="majorHAnsi" w:cs="Times New Roman"/>
        </w:rPr>
        <w:t>”</w:t>
      </w:r>
      <w:r w:rsidR="00CD708F">
        <w:rPr>
          <w:rFonts w:asciiTheme="majorHAnsi" w:hAnsiTheme="majorHAnsi" w:cs="Times New Roman"/>
        </w:rPr>
        <w:t xml:space="preserve"> </w:t>
      </w:r>
    </w:p>
    <w:p w14:paraId="3EF18E40" w14:textId="439AD696" w:rsidR="006242D3" w:rsidRPr="006242D3" w:rsidRDefault="00D62BC1" w:rsidP="00D62BC1">
      <w:pPr>
        <w:numPr>
          <w:ilvl w:val="12"/>
          <w:numId w:val="0"/>
        </w:numPr>
        <w:spacing w:line="480" w:lineRule="auto"/>
        <w:ind w:firstLine="720"/>
        <w:rPr>
          <w:rFonts w:asciiTheme="majorHAnsi" w:hAnsiTheme="majorHAnsi" w:cs="Times New Roman"/>
        </w:rPr>
      </w:pPr>
      <w:r>
        <w:rPr>
          <w:rFonts w:asciiTheme="majorHAnsi" w:hAnsiTheme="majorHAnsi" w:cs="Times New Roman"/>
        </w:rPr>
        <w:t>Even</w:t>
      </w:r>
      <w:r w:rsidR="007B6253">
        <w:rPr>
          <w:rFonts w:asciiTheme="majorHAnsi" w:hAnsiTheme="majorHAnsi" w:cs="Times New Roman"/>
        </w:rPr>
        <w:t xml:space="preserve"> as</w:t>
      </w:r>
      <w:r w:rsidR="006242D3" w:rsidRPr="006242D3">
        <w:rPr>
          <w:rFonts w:asciiTheme="majorHAnsi" w:hAnsiTheme="majorHAnsi" w:cs="Times New Roman"/>
        </w:rPr>
        <w:t xml:space="preserve"> the “impropriety” of Purdue’s tactics </w:t>
      </w:r>
      <w:r w:rsidR="007B6253">
        <w:rPr>
          <w:rFonts w:asciiTheme="majorHAnsi" w:hAnsiTheme="majorHAnsi" w:cs="Times New Roman"/>
        </w:rPr>
        <w:t>began coming to light</w:t>
      </w:r>
      <w:r w:rsidR="006242D3" w:rsidRPr="006242D3">
        <w:rPr>
          <w:rFonts w:asciiTheme="majorHAnsi" w:hAnsiTheme="majorHAnsi" w:cs="Times New Roman"/>
        </w:rPr>
        <w:t xml:space="preserve"> years </w:t>
      </w:r>
      <w:r w:rsidR="007B6253">
        <w:rPr>
          <w:rFonts w:asciiTheme="majorHAnsi" w:hAnsiTheme="majorHAnsi" w:cs="Times New Roman"/>
        </w:rPr>
        <w:t>after</w:t>
      </w:r>
      <w:r w:rsidR="006242D3" w:rsidRPr="006242D3">
        <w:rPr>
          <w:rFonts w:asciiTheme="majorHAnsi" w:hAnsiTheme="majorHAnsi" w:cs="Times New Roman"/>
        </w:rPr>
        <w:t xml:space="preserve"> the FDA petition, </w:t>
      </w:r>
      <w:r w:rsidR="007B6253">
        <w:rPr>
          <w:rFonts w:asciiTheme="majorHAnsi" w:hAnsiTheme="majorHAnsi" w:cs="Times New Roman"/>
        </w:rPr>
        <w:t>president</w:t>
      </w:r>
      <w:r w:rsidR="006242D3" w:rsidRPr="006242D3">
        <w:rPr>
          <w:rFonts w:asciiTheme="majorHAnsi" w:hAnsiTheme="majorHAnsi" w:cs="Times New Roman"/>
        </w:rPr>
        <w:t xml:space="preserve"> and part-owner, Dr. Robert Sackler, </w:t>
      </w:r>
      <w:r w:rsidR="007B6253">
        <w:rPr>
          <w:rFonts w:asciiTheme="majorHAnsi" w:hAnsiTheme="majorHAnsi" w:cs="Times New Roman"/>
        </w:rPr>
        <w:t xml:space="preserve">blamed the </w:t>
      </w:r>
      <w:r w:rsidR="006242D3" w:rsidRPr="006242D3">
        <w:rPr>
          <w:rFonts w:asciiTheme="majorHAnsi" w:hAnsiTheme="majorHAnsi" w:cs="Times New Roman"/>
        </w:rPr>
        <w:t>addicted, remarking</w:t>
      </w:r>
      <w:r w:rsidR="007B6253">
        <w:rPr>
          <w:rFonts w:asciiTheme="majorHAnsi" w:hAnsiTheme="majorHAnsi" w:cs="Times New Roman"/>
        </w:rPr>
        <w:t xml:space="preserve"> in a now notorious email</w:t>
      </w:r>
      <w:r w:rsidR="006242D3" w:rsidRPr="006242D3">
        <w:rPr>
          <w:rFonts w:asciiTheme="majorHAnsi" w:hAnsiTheme="majorHAnsi" w:cs="Times New Roman"/>
        </w:rPr>
        <w:t xml:space="preserve">: “We have to hammer on abusers in every way possible. They are the culprits and the problem. They are the reckless criminals” (ibid., 2019: </w:t>
      </w:r>
      <w:proofErr w:type="spellStart"/>
      <w:r w:rsidR="006242D3" w:rsidRPr="006242D3">
        <w:rPr>
          <w:rFonts w:asciiTheme="majorHAnsi" w:hAnsiTheme="majorHAnsi" w:cs="Times New Roman"/>
        </w:rPr>
        <w:t>n.p</w:t>
      </w:r>
      <w:proofErr w:type="spellEnd"/>
      <w:r w:rsidR="006242D3" w:rsidRPr="006242D3">
        <w:rPr>
          <w:rFonts w:asciiTheme="majorHAnsi" w:hAnsiTheme="majorHAnsi" w:cs="Times New Roman"/>
        </w:rPr>
        <w:t xml:space="preserve">.). </w:t>
      </w:r>
      <w:r w:rsidR="007B6253">
        <w:rPr>
          <w:rFonts w:asciiTheme="majorHAnsi" w:hAnsiTheme="majorHAnsi" w:cs="Times New Roman"/>
        </w:rPr>
        <w:t>Kentucky Senator James Paul Bunning (R), speaking</w:t>
      </w:r>
      <w:r w:rsidR="006242D3" w:rsidRPr="006242D3">
        <w:rPr>
          <w:rFonts w:asciiTheme="majorHAnsi" w:hAnsiTheme="majorHAnsi" w:cs="Times New Roman"/>
        </w:rPr>
        <w:t xml:space="preserve"> at a Congressional Hearing of the Committee on Health, Education, Labor, and Pension in 2002,</w:t>
      </w:r>
      <w:r w:rsidR="007B6253">
        <w:rPr>
          <w:rFonts w:asciiTheme="majorHAnsi" w:hAnsiTheme="majorHAnsi" w:cs="Times New Roman"/>
        </w:rPr>
        <w:t xml:space="preserve"> </w:t>
      </w:r>
      <w:r w:rsidR="006242D3" w:rsidRPr="006242D3">
        <w:rPr>
          <w:rFonts w:asciiTheme="majorHAnsi" w:hAnsiTheme="majorHAnsi" w:cs="Times New Roman"/>
        </w:rPr>
        <w:t>reinforced Sackler’s claims</w:t>
      </w:r>
      <w:r w:rsidR="007B6253">
        <w:rPr>
          <w:rFonts w:asciiTheme="majorHAnsi" w:hAnsiTheme="majorHAnsi" w:cs="Times New Roman"/>
        </w:rPr>
        <w:t>, d</w:t>
      </w:r>
      <w:r w:rsidR="006242D3" w:rsidRPr="006242D3">
        <w:rPr>
          <w:rFonts w:asciiTheme="majorHAnsi" w:hAnsiTheme="majorHAnsi" w:cs="Times New Roman"/>
        </w:rPr>
        <w:t xml:space="preserve">escribing </w:t>
      </w:r>
      <w:r w:rsidR="007B6253">
        <w:rPr>
          <w:rFonts w:asciiTheme="majorHAnsi" w:hAnsiTheme="majorHAnsi" w:cs="Times New Roman"/>
        </w:rPr>
        <w:t>in detail the</w:t>
      </w:r>
      <w:r w:rsidR="006242D3" w:rsidRPr="006242D3">
        <w:rPr>
          <w:rFonts w:asciiTheme="majorHAnsi" w:hAnsiTheme="majorHAnsi" w:cs="Times New Roman"/>
        </w:rPr>
        <w:t xml:space="preserve"> results of an eight-month “investigation” into what he referred to as a “multi-state pipeline [running] from Greater Cincinnati [Ohio] [in]to the mountain communities [of] Eastern Kentucky</w:t>
      </w:r>
      <w:r w:rsidR="007B6253">
        <w:rPr>
          <w:rFonts w:asciiTheme="majorHAnsi" w:hAnsiTheme="majorHAnsi" w:cs="Times New Roman"/>
        </w:rPr>
        <w:t xml:space="preserve">.” Recounting to the </w:t>
      </w:r>
      <w:r w:rsidR="006242D3" w:rsidRPr="006242D3">
        <w:rPr>
          <w:rFonts w:asciiTheme="majorHAnsi" w:hAnsiTheme="majorHAnsi" w:cs="Times New Roman"/>
        </w:rPr>
        <w:t xml:space="preserve">Committee a tale of arresting “200 people ranging in age from 20 to 65,” all </w:t>
      </w:r>
      <w:r w:rsidR="007B6253">
        <w:rPr>
          <w:rFonts w:asciiTheme="majorHAnsi" w:hAnsiTheme="majorHAnsi" w:cs="Times New Roman"/>
        </w:rPr>
        <w:t xml:space="preserve">of them </w:t>
      </w:r>
      <w:r w:rsidR="006242D3" w:rsidRPr="006242D3">
        <w:rPr>
          <w:rFonts w:asciiTheme="majorHAnsi" w:hAnsiTheme="majorHAnsi" w:cs="Times New Roman"/>
        </w:rPr>
        <w:t>OxyContin “abuser</w:t>
      </w:r>
      <w:r w:rsidR="007B6253">
        <w:rPr>
          <w:rFonts w:asciiTheme="majorHAnsi" w:hAnsiTheme="majorHAnsi" w:cs="Times New Roman"/>
        </w:rPr>
        <w:t>s…</w:t>
      </w:r>
      <w:r w:rsidR="006242D3" w:rsidRPr="006242D3">
        <w:rPr>
          <w:rFonts w:asciiTheme="majorHAnsi" w:hAnsiTheme="majorHAnsi" w:cs="Times New Roman"/>
          <w:i/>
        </w:rPr>
        <w:t>us[</w:t>
      </w:r>
      <w:proofErr w:type="spellStart"/>
      <w:r w:rsidR="006242D3" w:rsidRPr="006242D3">
        <w:rPr>
          <w:rFonts w:asciiTheme="majorHAnsi" w:hAnsiTheme="majorHAnsi" w:cs="Times New Roman"/>
          <w:i/>
        </w:rPr>
        <w:t>ing</w:t>
      </w:r>
      <w:proofErr w:type="spellEnd"/>
      <w:r w:rsidR="006242D3" w:rsidRPr="006242D3">
        <w:rPr>
          <w:rFonts w:asciiTheme="majorHAnsi" w:hAnsiTheme="majorHAnsi" w:cs="Times New Roman"/>
          <w:i/>
        </w:rPr>
        <w:t>]</w:t>
      </w:r>
      <w:r w:rsidR="006242D3" w:rsidRPr="006242D3">
        <w:rPr>
          <w:rFonts w:asciiTheme="majorHAnsi" w:hAnsiTheme="majorHAnsi" w:cs="Times New Roman"/>
        </w:rPr>
        <w:t xml:space="preserve"> pharmacists and doctors in several states…[to] successfully slip thousands of pills into Eastern Kentucky</w:t>
      </w:r>
      <w:r w:rsidR="007B6253">
        <w:rPr>
          <w:rFonts w:asciiTheme="majorHAnsi" w:hAnsiTheme="majorHAnsi" w:cs="Times New Roman"/>
        </w:rPr>
        <w:t>”</w:t>
      </w:r>
      <w:r w:rsidR="006242D3" w:rsidRPr="006242D3">
        <w:rPr>
          <w:rFonts w:asciiTheme="majorHAnsi" w:hAnsiTheme="majorHAnsi" w:cs="Times New Roman"/>
        </w:rPr>
        <w:t xml:space="preserve"> </w:t>
      </w:r>
      <w:r w:rsidR="007B6253">
        <w:rPr>
          <w:rFonts w:asciiTheme="majorHAnsi" w:hAnsiTheme="majorHAnsi" w:cs="Times New Roman"/>
        </w:rPr>
        <w:t>knowing full well that many residents in the area were</w:t>
      </w:r>
      <w:r w:rsidR="006242D3" w:rsidRPr="006242D3">
        <w:rPr>
          <w:rFonts w:asciiTheme="majorHAnsi" w:hAnsiTheme="majorHAnsi" w:cs="Times New Roman"/>
        </w:rPr>
        <w:t xml:space="preserve"> </w:t>
      </w:r>
      <w:r w:rsidR="007B6253">
        <w:rPr>
          <w:rFonts w:asciiTheme="majorHAnsi" w:hAnsiTheme="majorHAnsi" w:cs="Times New Roman"/>
        </w:rPr>
        <w:t>“</w:t>
      </w:r>
      <w:r w:rsidR="006242D3" w:rsidRPr="006242D3">
        <w:rPr>
          <w:rFonts w:asciiTheme="majorHAnsi" w:hAnsiTheme="majorHAnsi" w:cs="Times New Roman"/>
        </w:rPr>
        <w:t xml:space="preserve">wrestling with…addictions.” </w:t>
      </w:r>
    </w:p>
    <w:p w14:paraId="67A3C8E1" w14:textId="11B8E106" w:rsidR="007B6253" w:rsidRDefault="00C73293" w:rsidP="007B6253">
      <w:pPr>
        <w:numPr>
          <w:ilvl w:val="12"/>
          <w:numId w:val="0"/>
        </w:numPr>
        <w:spacing w:line="480" w:lineRule="auto"/>
        <w:ind w:firstLine="720"/>
        <w:rPr>
          <w:rFonts w:asciiTheme="majorHAnsi" w:hAnsiTheme="majorHAnsi" w:cs="Times New Roman"/>
        </w:rPr>
      </w:pPr>
      <w:r>
        <w:rPr>
          <w:rFonts w:asciiTheme="majorHAnsi" w:hAnsiTheme="majorHAnsi" w:cs="Times New Roman"/>
        </w:rPr>
        <w:t>A</w:t>
      </w:r>
      <w:r w:rsidR="006D2857">
        <w:rPr>
          <w:rFonts w:asciiTheme="majorHAnsi" w:hAnsiTheme="majorHAnsi" w:cs="Times New Roman"/>
        </w:rPr>
        <w:t>ll but ab</w:t>
      </w:r>
      <w:r>
        <w:rPr>
          <w:rFonts w:asciiTheme="majorHAnsi" w:hAnsiTheme="majorHAnsi" w:cs="Times New Roman"/>
        </w:rPr>
        <w:t>dicating</w:t>
      </w:r>
      <w:r w:rsidR="007B6253">
        <w:rPr>
          <w:rFonts w:asciiTheme="majorHAnsi" w:hAnsiTheme="majorHAnsi" w:cs="Times New Roman"/>
        </w:rPr>
        <w:t xml:space="preserve"> Purdue of </w:t>
      </w:r>
      <w:r w:rsidR="006242D3" w:rsidRPr="006242D3">
        <w:rPr>
          <w:rFonts w:asciiTheme="majorHAnsi" w:hAnsiTheme="majorHAnsi" w:cs="Times New Roman"/>
        </w:rPr>
        <w:t>responsibility</w:t>
      </w:r>
      <w:r w:rsidR="00FA72DC">
        <w:rPr>
          <w:rFonts w:asciiTheme="majorHAnsi" w:hAnsiTheme="majorHAnsi" w:cs="Times New Roman"/>
        </w:rPr>
        <w:t>, Bunning</w:t>
      </w:r>
      <w:r w:rsidR="00D941C6">
        <w:rPr>
          <w:rFonts w:asciiTheme="majorHAnsi" w:hAnsiTheme="majorHAnsi" w:cs="Times New Roman"/>
        </w:rPr>
        <w:t xml:space="preserve"> concluded his statement by</w:t>
      </w:r>
      <w:r w:rsidR="003000D4">
        <w:rPr>
          <w:rFonts w:asciiTheme="majorHAnsi" w:hAnsiTheme="majorHAnsi" w:cs="Times New Roman"/>
        </w:rPr>
        <w:t xml:space="preserve"> </w:t>
      </w:r>
      <w:r w:rsidR="001D38E7">
        <w:rPr>
          <w:rFonts w:asciiTheme="majorHAnsi" w:hAnsiTheme="majorHAnsi" w:cs="Times New Roman"/>
        </w:rPr>
        <w:t xml:space="preserve">also </w:t>
      </w:r>
      <w:r w:rsidR="00F92652">
        <w:rPr>
          <w:rFonts w:asciiTheme="majorHAnsi" w:hAnsiTheme="majorHAnsi" w:cs="Times New Roman"/>
        </w:rPr>
        <w:t>parrot</w:t>
      </w:r>
      <w:r w:rsidR="00D941C6">
        <w:rPr>
          <w:rFonts w:asciiTheme="majorHAnsi" w:hAnsiTheme="majorHAnsi" w:cs="Times New Roman"/>
        </w:rPr>
        <w:t>ing</w:t>
      </w:r>
      <w:r w:rsidR="00F92652">
        <w:rPr>
          <w:rFonts w:asciiTheme="majorHAnsi" w:hAnsiTheme="majorHAnsi" w:cs="Times New Roman"/>
        </w:rPr>
        <w:t xml:space="preserve"> the company’s</w:t>
      </w:r>
      <w:r w:rsidR="00FA72DC">
        <w:rPr>
          <w:rFonts w:asciiTheme="majorHAnsi" w:hAnsiTheme="majorHAnsi" w:cs="Times New Roman"/>
        </w:rPr>
        <w:t xml:space="preserve"> </w:t>
      </w:r>
      <w:r w:rsidR="002B74BF">
        <w:rPr>
          <w:rFonts w:asciiTheme="majorHAnsi" w:hAnsiTheme="majorHAnsi" w:cs="Times New Roman"/>
        </w:rPr>
        <w:t>“anti-story</w:t>
      </w:r>
      <w:r w:rsidR="00F6487D">
        <w:rPr>
          <w:rFonts w:asciiTheme="majorHAnsi" w:hAnsiTheme="majorHAnsi" w:cs="Times New Roman"/>
        </w:rPr>
        <w:t>,”</w:t>
      </w:r>
      <w:r w:rsidR="00D941C6">
        <w:rPr>
          <w:rFonts w:asciiTheme="majorHAnsi" w:hAnsiTheme="majorHAnsi" w:cs="Times New Roman"/>
        </w:rPr>
        <w:t xml:space="preserve"> </w:t>
      </w:r>
      <w:r w:rsidR="00FA72DC">
        <w:rPr>
          <w:rFonts w:asciiTheme="majorHAnsi" w:hAnsiTheme="majorHAnsi" w:cs="Times New Roman"/>
        </w:rPr>
        <w:t xml:space="preserve">placing </w:t>
      </w:r>
      <w:r w:rsidR="00FA72DC" w:rsidRPr="006242D3">
        <w:rPr>
          <w:rFonts w:asciiTheme="majorHAnsi" w:hAnsiTheme="majorHAnsi" w:cs="Times New Roman"/>
        </w:rPr>
        <w:t>blame on</w:t>
      </w:r>
      <w:r>
        <w:rPr>
          <w:rFonts w:asciiTheme="majorHAnsi" w:hAnsiTheme="majorHAnsi" w:cs="Times New Roman"/>
        </w:rPr>
        <w:t xml:space="preserve"> the</w:t>
      </w:r>
      <w:r w:rsidR="00FA72DC" w:rsidRPr="006242D3">
        <w:rPr>
          <w:rFonts w:asciiTheme="majorHAnsi" w:hAnsiTheme="majorHAnsi" w:cs="Times New Roman"/>
        </w:rPr>
        <w:t xml:space="preserve"> so-called “street dealers”</w:t>
      </w:r>
      <w:r w:rsidR="00FA72DC">
        <w:rPr>
          <w:rFonts w:asciiTheme="majorHAnsi" w:hAnsiTheme="majorHAnsi" w:cs="Times New Roman"/>
        </w:rPr>
        <w:t xml:space="preserve"> and </w:t>
      </w:r>
      <w:r w:rsidR="00F030A8">
        <w:rPr>
          <w:rFonts w:asciiTheme="majorHAnsi" w:hAnsiTheme="majorHAnsi" w:cs="Times New Roman"/>
        </w:rPr>
        <w:t>“’hillbilly heroin’ addict</w:t>
      </w:r>
      <w:r w:rsidR="00E3329B">
        <w:rPr>
          <w:rFonts w:asciiTheme="majorHAnsi" w:hAnsiTheme="majorHAnsi" w:cs="Times New Roman"/>
        </w:rPr>
        <w:t>s</w:t>
      </w:r>
      <w:r w:rsidR="00F030A8">
        <w:rPr>
          <w:rFonts w:asciiTheme="majorHAnsi" w:hAnsiTheme="majorHAnsi" w:cs="Times New Roman"/>
        </w:rPr>
        <w:t>”</w:t>
      </w:r>
      <w:r w:rsidR="00FA72DC">
        <w:rPr>
          <w:rFonts w:asciiTheme="majorHAnsi" w:hAnsiTheme="majorHAnsi" w:cs="Times New Roman"/>
        </w:rPr>
        <w:t xml:space="preserve"> </w:t>
      </w:r>
      <w:r w:rsidR="00D02749">
        <w:rPr>
          <w:rFonts w:asciiTheme="majorHAnsi" w:hAnsiTheme="majorHAnsi" w:cs="Times New Roman"/>
        </w:rPr>
        <w:t xml:space="preserve">while </w:t>
      </w:r>
      <w:r w:rsidR="004355DD">
        <w:rPr>
          <w:rFonts w:asciiTheme="majorHAnsi" w:hAnsiTheme="majorHAnsi" w:cs="Times New Roman"/>
        </w:rPr>
        <w:t>arguing that he</w:t>
      </w:r>
      <w:r w:rsidR="00FA72DC">
        <w:rPr>
          <w:rFonts w:asciiTheme="majorHAnsi" w:hAnsiTheme="majorHAnsi" w:cs="Times New Roman"/>
        </w:rPr>
        <w:t xml:space="preserve"> </w:t>
      </w:r>
      <w:r w:rsidR="006242D3" w:rsidRPr="006242D3">
        <w:rPr>
          <w:rFonts w:asciiTheme="majorHAnsi" w:hAnsiTheme="majorHAnsi" w:cs="Times New Roman"/>
        </w:rPr>
        <w:t xml:space="preserve">“certainly </w:t>
      </w:r>
      <w:r w:rsidR="004355DD">
        <w:rPr>
          <w:rFonts w:asciiTheme="majorHAnsi" w:hAnsiTheme="majorHAnsi" w:cs="Times New Roman"/>
        </w:rPr>
        <w:t>[did]</w:t>
      </w:r>
      <w:r w:rsidR="006242D3" w:rsidRPr="006242D3">
        <w:rPr>
          <w:rFonts w:asciiTheme="majorHAnsi" w:hAnsiTheme="majorHAnsi" w:cs="Times New Roman"/>
        </w:rPr>
        <w:t xml:space="preserve"> not want to see this ‘miracle drug’ prohibited from being </w:t>
      </w:r>
      <w:r w:rsidR="006242D3" w:rsidRPr="007B6253">
        <w:rPr>
          <w:rFonts w:asciiTheme="majorHAnsi" w:hAnsiTheme="majorHAnsi" w:cs="Times New Roman"/>
        </w:rPr>
        <w:t>manufactured, marketed, and prescribed</w:t>
      </w:r>
      <w:r w:rsidR="00FA3914">
        <w:rPr>
          <w:rFonts w:asciiTheme="majorHAnsi" w:hAnsiTheme="majorHAnsi" w:cs="Times New Roman"/>
        </w:rPr>
        <w:t xml:space="preserve">…but </w:t>
      </w:r>
      <w:r w:rsidR="006242D3" w:rsidRPr="006242D3">
        <w:rPr>
          <w:rFonts w:asciiTheme="majorHAnsi" w:hAnsiTheme="majorHAnsi" w:cs="Times New Roman"/>
        </w:rPr>
        <w:t>I do want to see its abusive marketing…[and] prescription practices ended</w:t>
      </w:r>
      <w:r w:rsidR="007B6253">
        <w:rPr>
          <w:rFonts w:asciiTheme="majorHAnsi" w:hAnsiTheme="majorHAnsi" w:cs="Times New Roman"/>
        </w:rPr>
        <w:t>.</w:t>
      </w:r>
      <w:r w:rsidR="006242D3" w:rsidRPr="006242D3">
        <w:rPr>
          <w:rFonts w:asciiTheme="majorHAnsi" w:hAnsiTheme="majorHAnsi" w:cs="Times New Roman"/>
        </w:rPr>
        <w:t xml:space="preserve">” </w:t>
      </w:r>
      <w:r w:rsidR="00DA1F9E">
        <w:rPr>
          <w:rFonts w:asciiTheme="majorHAnsi" w:hAnsiTheme="majorHAnsi" w:cs="Times New Roman"/>
        </w:rPr>
        <w:t xml:space="preserve">Rather than trouble </w:t>
      </w:r>
      <w:r w:rsidR="007B6253">
        <w:rPr>
          <w:rFonts w:asciiTheme="majorHAnsi" w:hAnsiTheme="majorHAnsi" w:cs="Times New Roman"/>
        </w:rPr>
        <w:t>Purdue’s drug dealing</w:t>
      </w:r>
      <w:r w:rsidR="00DA1F9E">
        <w:rPr>
          <w:rFonts w:asciiTheme="majorHAnsi" w:hAnsiTheme="majorHAnsi" w:cs="Times New Roman"/>
        </w:rPr>
        <w:t xml:space="preserve"> in the region</w:t>
      </w:r>
      <w:r w:rsidR="007B6253">
        <w:rPr>
          <w:rFonts w:asciiTheme="majorHAnsi" w:hAnsiTheme="majorHAnsi" w:cs="Times New Roman"/>
        </w:rPr>
        <w:t xml:space="preserve"> as the issue, </w:t>
      </w:r>
      <w:r w:rsidR="00E82F5A">
        <w:rPr>
          <w:rFonts w:asciiTheme="majorHAnsi" w:hAnsiTheme="majorHAnsi" w:cs="Times New Roman"/>
        </w:rPr>
        <w:t>Bunning argues that it</w:t>
      </w:r>
      <w:r w:rsidR="007B6253">
        <w:rPr>
          <w:rFonts w:asciiTheme="majorHAnsi" w:hAnsiTheme="majorHAnsi" w:cs="Times New Roman"/>
        </w:rPr>
        <w:t xml:space="preserve"> was the </w:t>
      </w:r>
      <w:r w:rsidR="006242D3" w:rsidRPr="006242D3">
        <w:rPr>
          <w:rFonts w:asciiTheme="majorHAnsi" w:hAnsiTheme="majorHAnsi" w:cs="Times New Roman"/>
        </w:rPr>
        <w:t>“</w:t>
      </w:r>
      <w:r w:rsidR="006242D3" w:rsidRPr="006242D3">
        <w:rPr>
          <w:rFonts w:asciiTheme="majorHAnsi" w:hAnsiTheme="majorHAnsi" w:cs="Times New Roman"/>
          <w:i/>
        </w:rPr>
        <w:t>illegal use and sale</w:t>
      </w:r>
      <w:r w:rsidR="006242D3" w:rsidRPr="006242D3">
        <w:rPr>
          <w:rFonts w:asciiTheme="majorHAnsi" w:hAnsiTheme="majorHAnsi" w:cs="Times New Roman"/>
        </w:rPr>
        <w:t xml:space="preserve">” of OxyContin </w:t>
      </w:r>
      <w:r w:rsidR="007B6253">
        <w:rPr>
          <w:rFonts w:asciiTheme="majorHAnsi" w:hAnsiTheme="majorHAnsi" w:cs="Times New Roman"/>
        </w:rPr>
        <w:t>by 200 people, between</w:t>
      </w:r>
      <w:r w:rsidR="00E05073">
        <w:rPr>
          <w:rFonts w:asciiTheme="majorHAnsi" w:hAnsiTheme="majorHAnsi" w:cs="Times New Roman"/>
        </w:rPr>
        <w:t xml:space="preserve"> the ages of</w:t>
      </w:r>
      <w:r w:rsidR="007B6253">
        <w:rPr>
          <w:rFonts w:asciiTheme="majorHAnsi" w:hAnsiTheme="majorHAnsi" w:cs="Times New Roman"/>
        </w:rPr>
        <w:t xml:space="preserve"> 25-60, traveling</w:t>
      </w:r>
      <w:r w:rsidR="00795BC5">
        <w:rPr>
          <w:rFonts w:asciiTheme="majorHAnsi" w:hAnsiTheme="majorHAnsi" w:cs="Times New Roman"/>
        </w:rPr>
        <w:t xml:space="preserve"> into Kentucky</w:t>
      </w:r>
      <w:r w:rsidR="007B6253">
        <w:rPr>
          <w:rFonts w:asciiTheme="majorHAnsi" w:hAnsiTheme="majorHAnsi" w:cs="Times New Roman"/>
        </w:rPr>
        <w:t xml:space="preserve"> by pipeline to tear</w:t>
      </w:r>
      <w:r w:rsidR="006242D3" w:rsidRPr="006242D3">
        <w:rPr>
          <w:rFonts w:asciiTheme="majorHAnsi" w:hAnsiTheme="majorHAnsi" w:cs="Times New Roman"/>
        </w:rPr>
        <w:t xml:space="preserve"> </w:t>
      </w:r>
      <w:r w:rsidR="007B6253">
        <w:rPr>
          <w:rFonts w:asciiTheme="majorHAnsi" w:hAnsiTheme="majorHAnsi" w:cs="Times New Roman"/>
        </w:rPr>
        <w:t>“</w:t>
      </w:r>
      <w:r w:rsidR="006242D3" w:rsidRPr="006242D3">
        <w:rPr>
          <w:rFonts w:asciiTheme="majorHAnsi" w:hAnsiTheme="majorHAnsi" w:cs="Times New Roman"/>
        </w:rPr>
        <w:t>families apar</w:t>
      </w:r>
      <w:r w:rsidR="007B6253">
        <w:rPr>
          <w:rFonts w:asciiTheme="majorHAnsi" w:hAnsiTheme="majorHAnsi" w:cs="Times New Roman"/>
        </w:rPr>
        <w:t xml:space="preserve">t, </w:t>
      </w:r>
      <w:r w:rsidR="006242D3" w:rsidRPr="006242D3">
        <w:rPr>
          <w:rFonts w:asciiTheme="majorHAnsi" w:hAnsiTheme="majorHAnsi" w:cs="Times New Roman"/>
        </w:rPr>
        <w:t>ruin lives</w:t>
      </w:r>
      <w:r w:rsidR="007B6253">
        <w:rPr>
          <w:rFonts w:asciiTheme="majorHAnsi" w:hAnsiTheme="majorHAnsi" w:cs="Times New Roman"/>
        </w:rPr>
        <w:t xml:space="preserve">, and </w:t>
      </w:r>
      <w:r w:rsidR="006242D3" w:rsidRPr="006242D3">
        <w:rPr>
          <w:rFonts w:asciiTheme="majorHAnsi" w:hAnsiTheme="majorHAnsi" w:cs="Times New Roman"/>
        </w:rPr>
        <w:t>stretc</w:t>
      </w:r>
      <w:r w:rsidR="007B6253">
        <w:rPr>
          <w:rFonts w:asciiTheme="majorHAnsi" w:hAnsiTheme="majorHAnsi" w:cs="Times New Roman"/>
        </w:rPr>
        <w:t>h l</w:t>
      </w:r>
      <w:r w:rsidR="006242D3" w:rsidRPr="006242D3">
        <w:rPr>
          <w:rFonts w:asciiTheme="majorHAnsi" w:hAnsiTheme="majorHAnsi" w:cs="Times New Roman"/>
        </w:rPr>
        <w:t xml:space="preserve">aw enforcement and social services agencies </w:t>
      </w:r>
      <w:r w:rsidR="006242D3" w:rsidRPr="006242D3">
        <w:rPr>
          <w:rFonts w:asciiTheme="majorHAnsi" w:hAnsiTheme="majorHAnsi" w:cs="Times New Roman"/>
        </w:rPr>
        <w:lastRenderedPageBreak/>
        <w:t>to</w:t>
      </w:r>
      <w:r w:rsidR="007B6253">
        <w:rPr>
          <w:rFonts w:asciiTheme="majorHAnsi" w:hAnsiTheme="majorHAnsi" w:cs="Times New Roman"/>
        </w:rPr>
        <w:t xml:space="preserve"> the</w:t>
      </w:r>
      <w:r w:rsidR="006242D3" w:rsidRPr="006242D3">
        <w:rPr>
          <w:rFonts w:asciiTheme="majorHAnsi" w:hAnsiTheme="majorHAnsi" w:cs="Times New Roman"/>
        </w:rPr>
        <w:t xml:space="preserve"> limits” by turning</w:t>
      </w:r>
      <w:r w:rsidR="007B6253">
        <w:rPr>
          <w:rFonts w:asciiTheme="majorHAnsi" w:hAnsiTheme="majorHAnsi" w:cs="Times New Roman"/>
        </w:rPr>
        <w:t>…</w:t>
      </w:r>
      <w:r w:rsidR="006242D3" w:rsidRPr="006242D3">
        <w:rPr>
          <w:rFonts w:asciiTheme="majorHAnsi" w:hAnsiTheme="majorHAnsi" w:cs="Times New Roman"/>
        </w:rPr>
        <w:t>good people into drug dealers and addicts,” prostitutes, and burglars</w:t>
      </w:r>
      <w:r w:rsidR="007B6253">
        <w:rPr>
          <w:rFonts w:asciiTheme="majorHAnsi" w:hAnsiTheme="majorHAnsi" w:cs="Times New Roman"/>
        </w:rPr>
        <w:t xml:space="preserve"> (CITE). Although </w:t>
      </w:r>
      <w:r w:rsidR="00E82F5A">
        <w:rPr>
          <w:rFonts w:asciiTheme="majorHAnsi" w:hAnsiTheme="majorHAnsi" w:cs="Times New Roman"/>
        </w:rPr>
        <w:t>there are many things in</w:t>
      </w:r>
      <w:r w:rsidR="00300E89">
        <w:rPr>
          <w:rFonts w:asciiTheme="majorHAnsi" w:hAnsiTheme="majorHAnsi" w:cs="Times New Roman"/>
        </w:rPr>
        <w:t xml:space="preserve"> Bunning’s </w:t>
      </w:r>
      <w:r w:rsidR="007B6253">
        <w:rPr>
          <w:rFonts w:asciiTheme="majorHAnsi" w:hAnsiTheme="majorHAnsi" w:cs="Times New Roman"/>
        </w:rPr>
        <w:t>statement</w:t>
      </w:r>
      <w:r w:rsidR="00300E89">
        <w:rPr>
          <w:rFonts w:asciiTheme="majorHAnsi" w:hAnsiTheme="majorHAnsi" w:cs="Times New Roman"/>
        </w:rPr>
        <w:t xml:space="preserve"> are </w:t>
      </w:r>
      <w:r w:rsidR="00EF74B8">
        <w:rPr>
          <w:rFonts w:asciiTheme="majorHAnsi" w:hAnsiTheme="majorHAnsi" w:cs="Times New Roman"/>
        </w:rPr>
        <w:t>of concern</w:t>
      </w:r>
      <w:r w:rsidR="007B6253">
        <w:rPr>
          <w:rFonts w:asciiTheme="majorHAnsi" w:hAnsiTheme="majorHAnsi" w:cs="Times New Roman"/>
        </w:rPr>
        <w:t xml:space="preserve">, </w:t>
      </w:r>
      <w:r w:rsidR="00300E89">
        <w:rPr>
          <w:rFonts w:asciiTheme="majorHAnsi" w:hAnsiTheme="majorHAnsi" w:cs="Times New Roman"/>
        </w:rPr>
        <w:t>it is perhaps his</w:t>
      </w:r>
      <w:r w:rsidR="007B6253">
        <w:rPr>
          <w:rFonts w:asciiTheme="majorHAnsi" w:hAnsiTheme="majorHAnsi" w:cs="Times New Roman"/>
        </w:rPr>
        <w:t xml:space="preserve"> refusal </w:t>
      </w:r>
      <w:r w:rsidR="00EF74B8">
        <w:rPr>
          <w:rFonts w:asciiTheme="majorHAnsi" w:hAnsiTheme="majorHAnsi" w:cs="Times New Roman"/>
        </w:rPr>
        <w:t xml:space="preserve">acknowledge his own role in crafting the </w:t>
      </w:r>
      <w:r w:rsidR="00745377">
        <w:rPr>
          <w:rFonts w:asciiTheme="majorHAnsi" w:hAnsiTheme="majorHAnsi" w:cs="Times New Roman"/>
        </w:rPr>
        <w:t>violent conditions afflicting Kentuckians</w:t>
      </w:r>
      <w:r w:rsidR="007B6253">
        <w:rPr>
          <w:rFonts w:asciiTheme="majorHAnsi" w:hAnsiTheme="majorHAnsi" w:cs="Times New Roman"/>
        </w:rPr>
        <w:t xml:space="preserve"> by</w:t>
      </w:r>
      <w:r w:rsidR="00EF74B8">
        <w:rPr>
          <w:rFonts w:asciiTheme="majorHAnsi" w:hAnsiTheme="majorHAnsi" w:cs="Times New Roman"/>
        </w:rPr>
        <w:t xml:space="preserve"> fiercely</w:t>
      </w:r>
      <w:r w:rsidR="007B6253">
        <w:rPr>
          <w:rFonts w:asciiTheme="majorHAnsi" w:hAnsiTheme="majorHAnsi" w:cs="Times New Roman"/>
        </w:rPr>
        <w:t xml:space="preserve"> </w:t>
      </w:r>
      <w:r w:rsidR="00C935A7">
        <w:rPr>
          <w:rFonts w:asciiTheme="majorHAnsi" w:hAnsiTheme="majorHAnsi" w:cs="Times New Roman"/>
        </w:rPr>
        <w:t>resisting</w:t>
      </w:r>
      <w:r w:rsidR="007B6253">
        <w:rPr>
          <w:rFonts w:asciiTheme="majorHAnsi" w:hAnsiTheme="majorHAnsi" w:cs="Times New Roman"/>
        </w:rPr>
        <w:t xml:space="preserve"> healthcare reforms </w:t>
      </w:r>
      <w:r w:rsidR="00DA72E3">
        <w:rPr>
          <w:rFonts w:asciiTheme="majorHAnsi" w:hAnsiTheme="majorHAnsi" w:cs="Times New Roman"/>
        </w:rPr>
        <w:t>that would benefit the region in fa</w:t>
      </w:r>
      <w:r w:rsidR="00C935A7">
        <w:rPr>
          <w:rFonts w:asciiTheme="majorHAnsi" w:hAnsiTheme="majorHAnsi" w:cs="Times New Roman"/>
        </w:rPr>
        <w:t>vor of</w:t>
      </w:r>
      <w:r w:rsidR="007B6253">
        <w:rPr>
          <w:rFonts w:asciiTheme="majorHAnsi" w:hAnsiTheme="majorHAnsi" w:cs="Times New Roman"/>
        </w:rPr>
        <w:t xml:space="preserve"> hefty campaign donations from the industry</w:t>
      </w:r>
      <w:r w:rsidR="007F3323">
        <w:rPr>
          <w:rFonts w:asciiTheme="majorHAnsi" w:hAnsiTheme="majorHAnsi" w:cs="Times New Roman"/>
        </w:rPr>
        <w:t xml:space="preserve">. </w:t>
      </w:r>
    </w:p>
    <w:p w14:paraId="770676DB" w14:textId="3CACD5E9" w:rsidR="006242D3" w:rsidRDefault="006242D3" w:rsidP="007B625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Angered by the </w:t>
      </w:r>
      <w:r w:rsidRPr="006242D3">
        <w:rPr>
          <w:rFonts w:asciiTheme="majorHAnsi" w:hAnsiTheme="majorHAnsi" w:cs="Times New Roman"/>
          <w:i/>
        </w:rPr>
        <w:t>un</w:t>
      </w:r>
      <w:r w:rsidRPr="006242D3">
        <w:rPr>
          <w:rFonts w:asciiTheme="majorHAnsi" w:hAnsiTheme="majorHAnsi" w:cs="Times New Roman"/>
        </w:rPr>
        <w:t xml:space="preserve">qualified immunity being given to Purdue, in 2017 activist, artist, and former OxyContin addict Nan Goldin launched the group Prescription Addiction Intervention Now or PAIN to target the Sackler family for their hand in the opioid crisis. Drawing from the tactical repertoire of ACT UP, PAIN mobilized a signature maneuver of AIDS activists, the “die-in,” to demand internationally renowned cultural institutions, such as the Metropolitan Museum of Art (MET), the Smithsonian Museum, and the Louvre, sever ties with the family and stop allowing them to “art-wash” their “blood money” through “philanthropic” donations (O’Neill-Butler, 2021,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Much like ACT UP used “die-ins” during the 1980s and 90s to (re)signify AIDS deaths as murder and/or genocide by laying the dead at the “doorstep of the government,” in 2018, at New York’s Guggenheim Museum, PAIN activists similarly gestured to the institution’s complicity in the crisis by lying scattered like corpses on the ground floor while others released hundreds of “prescriptions” which fell “like snow” from six stories above (ibid., 2021: </w:t>
      </w:r>
      <w:proofErr w:type="spellStart"/>
      <w:r w:rsidRPr="006242D3">
        <w:rPr>
          <w:rFonts w:asciiTheme="majorHAnsi" w:hAnsiTheme="majorHAnsi" w:cs="Times New Roman"/>
        </w:rPr>
        <w:t>n.p</w:t>
      </w:r>
      <w:proofErr w:type="spellEnd"/>
      <w:r w:rsidRPr="006242D3">
        <w:rPr>
          <w:rFonts w:asciiTheme="majorHAnsi" w:hAnsiTheme="majorHAnsi" w:cs="Times New Roman"/>
        </w:rPr>
        <w:t>.</w:t>
      </w:r>
      <w:r w:rsidR="002131BE">
        <w:rPr>
          <w:rFonts w:asciiTheme="majorHAnsi" w:hAnsiTheme="majorHAnsi" w:cs="Times New Roman"/>
        </w:rPr>
        <w:t>; see Figure 6.2.</w:t>
      </w:r>
      <w:r w:rsidRPr="006242D3">
        <w:rPr>
          <w:rFonts w:asciiTheme="majorHAnsi" w:hAnsiTheme="majorHAnsi" w:cs="Times New Roman"/>
        </w:rPr>
        <w:t xml:space="preserve">).   </w:t>
      </w:r>
    </w:p>
    <w:p w14:paraId="0D57FBF2" w14:textId="77777777" w:rsidR="002131BE" w:rsidRDefault="002131BE" w:rsidP="007B6253">
      <w:pPr>
        <w:numPr>
          <w:ilvl w:val="12"/>
          <w:numId w:val="0"/>
        </w:numPr>
        <w:spacing w:line="480" w:lineRule="auto"/>
        <w:ind w:firstLine="720"/>
        <w:rPr>
          <w:rFonts w:asciiTheme="majorHAnsi" w:hAnsiTheme="majorHAnsi" w:cs="Times New Roman"/>
        </w:rPr>
      </w:pPr>
    </w:p>
    <w:p w14:paraId="74CEC4DC" w14:textId="77777777" w:rsidR="002131BE" w:rsidRDefault="002131BE" w:rsidP="002131BE">
      <w:pPr>
        <w:numPr>
          <w:ilvl w:val="12"/>
          <w:numId w:val="0"/>
        </w:numPr>
        <w:spacing w:line="480" w:lineRule="auto"/>
        <w:rPr>
          <w:rFonts w:asciiTheme="majorHAnsi" w:hAnsiTheme="majorHAnsi" w:cs="Times New Roman"/>
        </w:rPr>
      </w:pPr>
    </w:p>
    <w:p w14:paraId="420E1C01" w14:textId="00D1BEC4" w:rsidR="00887F54" w:rsidRDefault="00887F54" w:rsidP="002131BE">
      <w:pPr>
        <w:numPr>
          <w:ilvl w:val="12"/>
          <w:numId w:val="0"/>
        </w:numPr>
        <w:spacing w:line="480" w:lineRule="auto"/>
        <w:ind w:firstLine="720"/>
        <w:jc w:val="center"/>
        <w:rPr>
          <w:rFonts w:asciiTheme="majorHAnsi" w:hAnsiTheme="majorHAnsi" w:cs="Times New Roman"/>
        </w:rPr>
      </w:pPr>
      <w:r>
        <w:rPr>
          <w:rFonts w:asciiTheme="majorHAnsi" w:hAnsiTheme="majorHAnsi" w:cs="Times New Roman"/>
          <w:noProof/>
        </w:rPr>
        <w:lastRenderedPageBreak/>
        <w:drawing>
          <wp:inline distT="0" distB="0" distL="0" distR="0" wp14:anchorId="259B4778" wp14:editId="13618215">
            <wp:extent cx="3147237" cy="366776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78259" cy="3703912"/>
                    </a:xfrm>
                    <a:prstGeom prst="rect">
                      <a:avLst/>
                    </a:prstGeom>
                  </pic:spPr>
                </pic:pic>
              </a:graphicData>
            </a:graphic>
          </wp:inline>
        </w:drawing>
      </w:r>
    </w:p>
    <w:p w14:paraId="7CDA93F2" w14:textId="77777777" w:rsidR="00495A8D" w:rsidRDefault="00495A8D" w:rsidP="00495A8D">
      <w:pPr>
        <w:numPr>
          <w:ilvl w:val="12"/>
          <w:numId w:val="0"/>
        </w:numPr>
        <w:spacing w:line="480" w:lineRule="auto"/>
        <w:rPr>
          <w:rFonts w:asciiTheme="majorHAnsi" w:hAnsiTheme="majorHAnsi" w:cs="Times New Roman"/>
        </w:rPr>
      </w:pPr>
      <w:r>
        <w:rPr>
          <w:rFonts w:asciiTheme="majorHAnsi" w:hAnsiTheme="majorHAnsi" w:cs="Times New Roman"/>
        </w:rPr>
        <w:t>Figure 6.2. PAIN at the Guggenheim Museum</w:t>
      </w:r>
    </w:p>
    <w:p w14:paraId="4C63A048" w14:textId="0D73E75E" w:rsidR="002131BE" w:rsidRDefault="002131BE" w:rsidP="002131BE">
      <w:pPr>
        <w:numPr>
          <w:ilvl w:val="12"/>
          <w:numId w:val="0"/>
        </w:numPr>
        <w:spacing w:line="480" w:lineRule="auto"/>
        <w:rPr>
          <w:rFonts w:asciiTheme="majorHAnsi" w:hAnsiTheme="majorHAnsi" w:cs="Times New Roman"/>
        </w:rPr>
      </w:pPr>
      <w:r>
        <w:rPr>
          <w:rFonts w:asciiTheme="majorHAnsi" w:hAnsiTheme="majorHAnsi" w:cs="Times New Roman"/>
        </w:rPr>
        <w:t>Figure 6.2. depicts PAIN’s demonstration at the Guggenheim Museum in 2018.</w:t>
      </w:r>
    </w:p>
    <w:p w14:paraId="671EDCDB" w14:textId="77777777" w:rsidR="002131BE" w:rsidRDefault="002131BE" w:rsidP="002131BE">
      <w:pPr>
        <w:numPr>
          <w:ilvl w:val="12"/>
          <w:numId w:val="0"/>
        </w:numPr>
        <w:spacing w:line="480" w:lineRule="auto"/>
        <w:rPr>
          <w:rFonts w:asciiTheme="majorHAnsi" w:hAnsiTheme="majorHAnsi" w:cs="Times New Roman"/>
        </w:rPr>
      </w:pPr>
    </w:p>
    <w:p w14:paraId="2A8D1E3F" w14:textId="77777777" w:rsidR="002131BE" w:rsidRDefault="002131BE" w:rsidP="002131BE">
      <w:pPr>
        <w:numPr>
          <w:ilvl w:val="12"/>
          <w:numId w:val="0"/>
        </w:numPr>
        <w:spacing w:line="480" w:lineRule="auto"/>
        <w:rPr>
          <w:rFonts w:asciiTheme="majorHAnsi" w:hAnsiTheme="majorHAnsi" w:cs="Times New Roman"/>
        </w:rPr>
      </w:pPr>
    </w:p>
    <w:p w14:paraId="3AA34794" w14:textId="77777777" w:rsidR="002131BE" w:rsidRDefault="002131BE" w:rsidP="002131BE">
      <w:pPr>
        <w:numPr>
          <w:ilvl w:val="12"/>
          <w:numId w:val="0"/>
        </w:numPr>
        <w:spacing w:line="480" w:lineRule="auto"/>
        <w:rPr>
          <w:rFonts w:asciiTheme="majorHAnsi" w:hAnsiTheme="majorHAnsi" w:cs="Times New Roman"/>
        </w:rPr>
      </w:pPr>
    </w:p>
    <w:p w14:paraId="39F83C4D" w14:textId="77777777" w:rsidR="002131BE" w:rsidRDefault="002131BE" w:rsidP="002131BE">
      <w:pPr>
        <w:numPr>
          <w:ilvl w:val="12"/>
          <w:numId w:val="0"/>
        </w:numPr>
        <w:spacing w:line="480" w:lineRule="auto"/>
        <w:rPr>
          <w:rFonts w:asciiTheme="majorHAnsi" w:hAnsiTheme="majorHAnsi" w:cs="Times New Roman"/>
        </w:rPr>
      </w:pPr>
    </w:p>
    <w:p w14:paraId="1D51D738" w14:textId="77777777" w:rsidR="002131BE" w:rsidRDefault="002131BE" w:rsidP="002131BE">
      <w:pPr>
        <w:numPr>
          <w:ilvl w:val="12"/>
          <w:numId w:val="0"/>
        </w:numPr>
        <w:spacing w:line="480" w:lineRule="auto"/>
        <w:rPr>
          <w:rFonts w:asciiTheme="majorHAnsi" w:hAnsiTheme="majorHAnsi" w:cs="Times New Roman"/>
        </w:rPr>
      </w:pPr>
    </w:p>
    <w:p w14:paraId="71C5D6B7" w14:textId="77777777" w:rsidR="002131BE" w:rsidRDefault="002131BE" w:rsidP="002131BE">
      <w:pPr>
        <w:numPr>
          <w:ilvl w:val="12"/>
          <w:numId w:val="0"/>
        </w:numPr>
        <w:spacing w:line="480" w:lineRule="auto"/>
        <w:rPr>
          <w:rFonts w:asciiTheme="majorHAnsi" w:hAnsiTheme="majorHAnsi" w:cs="Times New Roman"/>
        </w:rPr>
      </w:pPr>
    </w:p>
    <w:p w14:paraId="330F15E8" w14:textId="77777777" w:rsidR="002131BE" w:rsidRDefault="002131BE" w:rsidP="002131BE">
      <w:pPr>
        <w:numPr>
          <w:ilvl w:val="12"/>
          <w:numId w:val="0"/>
        </w:numPr>
        <w:spacing w:line="480" w:lineRule="auto"/>
        <w:rPr>
          <w:rFonts w:asciiTheme="majorHAnsi" w:hAnsiTheme="majorHAnsi" w:cs="Times New Roman"/>
        </w:rPr>
      </w:pPr>
    </w:p>
    <w:p w14:paraId="6EF6F347" w14:textId="77777777" w:rsidR="002131BE" w:rsidRDefault="002131BE" w:rsidP="002131BE">
      <w:pPr>
        <w:numPr>
          <w:ilvl w:val="12"/>
          <w:numId w:val="0"/>
        </w:numPr>
        <w:spacing w:line="480" w:lineRule="auto"/>
        <w:rPr>
          <w:rFonts w:asciiTheme="majorHAnsi" w:hAnsiTheme="majorHAnsi" w:cs="Times New Roman"/>
        </w:rPr>
      </w:pPr>
    </w:p>
    <w:p w14:paraId="5FE3B425" w14:textId="1850F591" w:rsidR="00F6487D" w:rsidRDefault="006242D3" w:rsidP="008F7444">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The action referenced another of Dr. Robert Sackler’s famed quips, this one reportedly made during the OxyContin launch party in 1996. According to court </w:t>
      </w:r>
      <w:r w:rsidRPr="006242D3">
        <w:rPr>
          <w:rFonts w:asciiTheme="majorHAnsi" w:hAnsiTheme="majorHAnsi" w:cs="Times New Roman"/>
        </w:rPr>
        <w:lastRenderedPageBreak/>
        <w:t xml:space="preserve">documents, after asking the audience to “imagine a series of natural disasters: an earthquake, a volcanic eruption, a hurricane, and a blizzard,” Sackler avowed that Oxycontin was going to create this disaster—a blizzard “so deep, dense, and white” in the industry that it would “bury the competition” (The People of the State of New York v. Purdue Pharma, 2019: 76). This blizzard, as Linnemann and Medley (2020: </w:t>
      </w:r>
      <w:proofErr w:type="spellStart"/>
      <w:r w:rsidRPr="006242D3">
        <w:rPr>
          <w:rFonts w:asciiTheme="majorHAnsi" w:hAnsiTheme="majorHAnsi" w:cs="Times New Roman"/>
        </w:rPr>
        <w:t>n.p</w:t>
      </w:r>
      <w:proofErr w:type="spellEnd"/>
      <w:r w:rsidRPr="006242D3">
        <w:rPr>
          <w:rFonts w:asciiTheme="majorHAnsi" w:hAnsiTheme="majorHAnsi" w:cs="Times New Roman"/>
        </w:rPr>
        <w:t>.) write, a “localized forecast” specifically targeted at the doctors in Appalachia and New England who regularly treated injured laborers from the logging, fishing, and mining industries.</w:t>
      </w:r>
    </w:p>
    <w:p w14:paraId="424EB944" w14:textId="4901C418" w:rsidR="006242D3" w:rsidRPr="002131BE" w:rsidRDefault="006242D3" w:rsidP="0030288C">
      <w:pPr>
        <w:pStyle w:val="Heading2"/>
      </w:pPr>
      <w:bookmarkStart w:id="49" w:name="_Toc133884531"/>
      <w:r w:rsidRPr="002131BE">
        <w:t>Activist Thresholds</w:t>
      </w:r>
      <w:bookmarkEnd w:id="49"/>
    </w:p>
    <w:p w14:paraId="44D18A1F" w14:textId="11063944"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If activism, Juana Maria Rodriguez (2020: 257) writes, is “an engagement with the hauntings of history, a dialogue between…memories of the past, [present yearnings], and…[future] imaginings…AIDS has surrounded us with the living memory of familiar ghosts—faces that haunt our intimate realities of being infected/not yet infected/sick/not yet sick, alive but not yet dead.” Present struggles over HR are indeed haunted by the activism that gave rise to these practices, especially the work of organizers during the AIDS crisis of the 1980s and 90s. Although we will engage in a much more in-depth discussion of HR’s histories and speak to its breadth as a survival strategy across many groups and sites of struggle, we will begin by analyzing its “cooptation”—or incorporation—into public health through the alliances formed between grassroots activists and various agents of the state</w:t>
      </w:r>
      <w:r w:rsidR="00544850">
        <w:rPr>
          <w:rFonts w:asciiTheme="majorHAnsi" w:hAnsiTheme="majorHAnsi" w:cs="Times New Roman"/>
        </w:rPr>
        <w:t xml:space="preserve"> during the AIDS crisis.</w:t>
      </w:r>
      <w:r w:rsidRPr="006242D3">
        <w:rPr>
          <w:rFonts w:asciiTheme="majorHAnsi" w:hAnsiTheme="majorHAnsi" w:cs="Times New Roman"/>
        </w:rPr>
        <w:t xml:space="preserve"> </w:t>
      </w:r>
    </w:p>
    <w:p w14:paraId="35ACA659" w14:textId="5EAD781E"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The contemporary opioid crisis cannot be fully grasped without first accounting for its connections to longer “movements, moments, and shifts” in the US political terrain (Grayson and Little, 2016: 71). As Grayson and Little (2016: 66), </w:t>
      </w:r>
      <w:proofErr w:type="spellStart"/>
      <w:r w:rsidRPr="006242D3">
        <w:rPr>
          <w:rFonts w:asciiTheme="majorHAnsi" w:hAnsiTheme="majorHAnsi" w:cs="Times New Roman"/>
        </w:rPr>
        <w:t>conjuncturalism</w:t>
      </w:r>
      <w:proofErr w:type="spellEnd"/>
      <w:r w:rsidRPr="006242D3">
        <w:rPr>
          <w:rFonts w:asciiTheme="majorHAnsi" w:hAnsiTheme="majorHAnsi" w:cs="Times New Roman"/>
        </w:rPr>
        <w:t xml:space="preserve"> is first and foremost “concerned with understanding the present moment strategically [for the] </w:t>
      </w:r>
      <w:r w:rsidRPr="006242D3">
        <w:rPr>
          <w:rFonts w:asciiTheme="majorHAnsi" w:hAnsiTheme="majorHAnsi" w:cs="Times New Roman"/>
        </w:rPr>
        <w:lastRenderedPageBreak/>
        <w:t xml:space="preserve">purpose of exposing fault lines and suggesting tactical interventions.” However, in order to understand how “current political and social forces—parties, movements, identities—are arrayed; including what alliances underpin the dominance of the ruling group; or how leadership in society is justified or maintained through coercion and consent,” </w:t>
      </w:r>
      <w:r w:rsidR="00D76BB2">
        <w:rPr>
          <w:rFonts w:asciiTheme="majorHAnsi" w:hAnsiTheme="majorHAnsi" w:cs="Times New Roman"/>
        </w:rPr>
        <w:t>i</w:t>
      </w:r>
      <w:r w:rsidR="00AC64BB">
        <w:rPr>
          <w:rFonts w:asciiTheme="majorHAnsi" w:hAnsiTheme="majorHAnsi" w:cs="Times New Roman"/>
        </w:rPr>
        <w:t>t</w:t>
      </w:r>
      <w:r w:rsidRPr="006242D3">
        <w:rPr>
          <w:rFonts w:asciiTheme="majorHAnsi" w:hAnsiTheme="majorHAnsi" w:cs="Times New Roman"/>
        </w:rPr>
        <w:t xml:space="preserve"> is necessary to first identify “the ways in which intersecting histories shape political consciousness” in the present. </w:t>
      </w:r>
    </w:p>
    <w:p w14:paraId="3B766B11" w14:textId="35EF7085"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As previously discussed, the incorporation of HR within public health has “stripped away” the core values of the philosophy of reducing harm and stifled its liberatory possibilities (ibid., 2019: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Khan, Iwai, </w:t>
      </w:r>
      <w:proofErr w:type="spellStart"/>
      <w:r w:rsidRPr="006242D3">
        <w:rPr>
          <w:rFonts w:asciiTheme="majorHAnsi" w:hAnsiTheme="majorHAnsi" w:cs="Times New Roman"/>
        </w:rPr>
        <w:t>DasGupta</w:t>
      </w:r>
      <w:proofErr w:type="spellEnd"/>
      <w:r w:rsidRPr="006242D3">
        <w:rPr>
          <w:rFonts w:asciiTheme="majorHAnsi" w:hAnsiTheme="majorHAnsi" w:cs="Times New Roman"/>
        </w:rPr>
        <w:t>, 2022: 243). This is not unlike the ways in which the once adversarial rhetoric of “</w:t>
      </w:r>
      <w:r w:rsidRPr="006242D3">
        <w:rPr>
          <w:rFonts w:asciiTheme="majorHAnsi" w:hAnsiTheme="majorHAnsi" w:cs="Times New Roman"/>
          <w:i/>
        </w:rPr>
        <w:t xml:space="preserve">living with AIDS” </w:t>
      </w:r>
      <w:r w:rsidRPr="006242D3">
        <w:rPr>
          <w:rFonts w:asciiTheme="majorHAnsi" w:hAnsiTheme="majorHAnsi" w:cs="Times New Roman"/>
        </w:rPr>
        <w:t>embodied by activists, like</w:t>
      </w:r>
      <w:r w:rsidRPr="006242D3">
        <w:rPr>
          <w:rFonts w:asciiTheme="majorHAnsi" w:hAnsiTheme="majorHAnsi" w:cs="Times New Roman"/>
          <w:i/>
        </w:rPr>
        <w:t xml:space="preserve"> </w:t>
      </w:r>
      <w:r w:rsidRPr="006242D3">
        <w:rPr>
          <w:rFonts w:asciiTheme="majorHAnsi" w:hAnsiTheme="majorHAnsi" w:cs="Times New Roman"/>
        </w:rPr>
        <w:t xml:space="preserve">Russo, with whom we began this chapter, turned to “grim realism” after the state appropriated this language in the 1990s to </w:t>
      </w:r>
      <w:r w:rsidRPr="006242D3">
        <w:rPr>
          <w:rFonts w:asciiTheme="majorHAnsi" w:hAnsiTheme="majorHAnsi" w:cs="Times New Roman"/>
          <w:i/>
        </w:rPr>
        <w:t>normalize</w:t>
      </w:r>
      <w:r w:rsidRPr="006242D3">
        <w:rPr>
          <w:rFonts w:asciiTheme="majorHAnsi" w:hAnsiTheme="majorHAnsi" w:cs="Times New Roman"/>
        </w:rPr>
        <w:t xml:space="preserve"> the disease. Following the release of antiretroviral therapies (ART) AIDS was “medicalized,” professionalized, and then situated alongside a host of other “seemingly intractable social problems,” like poverty, drugs, “crime,” and homelessness, to be managed (Crimp, </w:t>
      </w:r>
      <w:r w:rsidR="008F7444" w:rsidRPr="006242D3">
        <w:rPr>
          <w:rFonts w:asciiTheme="majorHAnsi" w:hAnsiTheme="majorHAnsi" w:cs="Times New Roman"/>
        </w:rPr>
        <w:t>1996:</w:t>
      </w:r>
      <w:r w:rsidRPr="006242D3">
        <w:rPr>
          <w:rFonts w:asciiTheme="majorHAnsi" w:hAnsiTheme="majorHAnsi" w:cs="Times New Roman"/>
        </w:rPr>
        <w:t xml:space="preserve"> </w:t>
      </w:r>
      <w:proofErr w:type="spellStart"/>
      <w:r w:rsidR="008F7444">
        <w:rPr>
          <w:rFonts w:asciiTheme="majorHAnsi" w:hAnsiTheme="majorHAnsi" w:cs="Times New Roman"/>
        </w:rPr>
        <w:t>n.p</w:t>
      </w:r>
      <w:proofErr w:type="spellEnd"/>
      <w:r w:rsidR="008F7444">
        <w:rPr>
          <w:rFonts w:asciiTheme="majorHAnsi" w:hAnsiTheme="majorHAnsi" w:cs="Times New Roman"/>
        </w:rPr>
        <w:t xml:space="preserve">.; </w:t>
      </w:r>
      <w:r w:rsidRPr="006242D3">
        <w:rPr>
          <w:rFonts w:asciiTheme="majorHAnsi" w:hAnsiTheme="majorHAnsi" w:cs="Times New Roman"/>
        </w:rPr>
        <w:t xml:space="preserve">Stanley, 2020: 49). </w:t>
      </w:r>
    </w:p>
    <w:p w14:paraId="48F630A2" w14:textId="77777777"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The development of protease inhibitor drugs undoubtedly improved and saved millions of lives as Stanley (2020: 52) points out, but it also “thinned” the bonds forged from a “shared relationship to death” between people living with HIV/AIDS by producing “divergent realities around survival.” For those with housing, familial support, economic stability, and health insurance, HIV became a chronic illness that could be “managed.” Whereas for those without access to these resources, HIV/AIDS continued to “exacerbate pre-existing crises” and increase their vulnerabilities to coming under the “management” of social services and the criminal justice systems in the absence of concerted grassroots </w:t>
      </w:r>
      <w:r w:rsidRPr="006242D3">
        <w:rPr>
          <w:rFonts w:asciiTheme="majorHAnsi" w:hAnsiTheme="majorHAnsi" w:cs="Times New Roman"/>
        </w:rPr>
        <w:lastRenderedPageBreak/>
        <w:t>organizing (ibid., 2020: 52). Although eventually a highly influential “constituency” within ACT UP, intravenous drug users (IDUs) are one example of a group that remained marginalized within the PWA movement largely because of the stigma associated with needle use. Given this, it will be helpful to take a moment and discuss the importance of the “(heroin) junkie” to the ideology of prohibition that underpins US drug control policy.</w:t>
      </w:r>
    </w:p>
    <w:p w14:paraId="27B49F4E" w14:textId="3AB59A79"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If, as Nancy Campbell (2000: 92) writes, “political meanings are attributed to illicit drug use through interpretations of the symbolic figure of the drug user,” the junkie </w:t>
      </w:r>
      <w:r w:rsidR="00F6487D">
        <w:rPr>
          <w:rFonts w:asciiTheme="majorHAnsi" w:hAnsiTheme="majorHAnsi" w:cs="Times New Roman"/>
        </w:rPr>
        <w:t>represents the</w:t>
      </w:r>
      <w:r w:rsidRPr="006242D3">
        <w:rPr>
          <w:rFonts w:asciiTheme="majorHAnsi" w:hAnsiTheme="majorHAnsi" w:cs="Times New Roman"/>
        </w:rPr>
        <w:t xml:space="preserve"> complete “loss of agency” </w:t>
      </w:r>
      <w:r w:rsidR="00F6487D">
        <w:rPr>
          <w:rFonts w:asciiTheme="majorHAnsi" w:hAnsiTheme="majorHAnsi" w:cs="Times New Roman"/>
        </w:rPr>
        <w:t>that</w:t>
      </w:r>
      <w:r w:rsidRPr="006242D3">
        <w:rPr>
          <w:rFonts w:asciiTheme="majorHAnsi" w:hAnsiTheme="majorHAnsi" w:cs="Times New Roman"/>
        </w:rPr>
        <w:t xml:space="preserve"> punitive approaches</w:t>
      </w:r>
      <w:r w:rsidR="00F6487D">
        <w:rPr>
          <w:rFonts w:asciiTheme="majorHAnsi" w:hAnsiTheme="majorHAnsi" w:cs="Times New Roman"/>
        </w:rPr>
        <w:t xml:space="preserve"> fetishize</w:t>
      </w:r>
      <w:r w:rsidRPr="006242D3">
        <w:rPr>
          <w:rFonts w:asciiTheme="majorHAnsi" w:hAnsiTheme="majorHAnsi" w:cs="Times New Roman"/>
        </w:rPr>
        <w:t xml:space="preserve"> to reinforce the ideology of abstinence. Although the term junkie is largely regarded as offensive </w:t>
      </w:r>
      <w:r w:rsidR="00F6487D">
        <w:rPr>
          <w:rFonts w:asciiTheme="majorHAnsi" w:hAnsiTheme="majorHAnsi" w:cs="Times New Roman"/>
        </w:rPr>
        <w:t>in</w:t>
      </w:r>
      <w:r w:rsidRPr="006242D3">
        <w:rPr>
          <w:rFonts w:asciiTheme="majorHAnsi" w:hAnsiTheme="majorHAnsi" w:cs="Times New Roman"/>
        </w:rPr>
        <w:t xml:space="preserve"> the contemporary historical moment, its symbolic meaning continues to </w:t>
      </w:r>
      <w:r w:rsidR="00F6487D">
        <w:rPr>
          <w:rFonts w:asciiTheme="majorHAnsi" w:hAnsiTheme="majorHAnsi" w:cs="Times New Roman"/>
        </w:rPr>
        <w:t>haunt the politics of</w:t>
      </w:r>
      <w:r w:rsidRPr="006242D3">
        <w:rPr>
          <w:rFonts w:asciiTheme="majorHAnsi" w:hAnsiTheme="majorHAnsi" w:cs="Times New Roman"/>
        </w:rPr>
        <w:t xml:space="preserve"> addiction</w:t>
      </w:r>
      <w:r w:rsidR="00F6487D">
        <w:rPr>
          <w:rFonts w:asciiTheme="majorHAnsi" w:hAnsiTheme="majorHAnsi" w:cs="Times New Roman"/>
        </w:rPr>
        <w:t xml:space="preserve"> discourse</w:t>
      </w:r>
      <w:r w:rsidRPr="006242D3">
        <w:rPr>
          <w:rFonts w:asciiTheme="majorHAnsi" w:hAnsiTheme="majorHAnsi" w:cs="Times New Roman"/>
        </w:rPr>
        <w:t xml:space="preserve">. </w:t>
      </w:r>
      <w:r w:rsidR="00F6487D">
        <w:rPr>
          <w:rFonts w:asciiTheme="majorHAnsi" w:hAnsiTheme="majorHAnsi" w:cs="Times New Roman"/>
        </w:rPr>
        <w:t>This term</w:t>
      </w:r>
      <w:r w:rsidRPr="006242D3">
        <w:rPr>
          <w:rFonts w:asciiTheme="majorHAnsi" w:hAnsiTheme="majorHAnsi" w:cs="Times New Roman"/>
        </w:rPr>
        <w:t xml:space="preserve"> has not always been associated with craving </w:t>
      </w:r>
      <w:r w:rsidR="00F6487D">
        <w:rPr>
          <w:rFonts w:asciiTheme="majorHAnsi" w:hAnsiTheme="majorHAnsi" w:cs="Times New Roman"/>
        </w:rPr>
        <w:t>or the</w:t>
      </w:r>
      <w:r w:rsidRPr="006242D3">
        <w:rPr>
          <w:rFonts w:asciiTheme="majorHAnsi" w:hAnsiTheme="majorHAnsi" w:cs="Times New Roman"/>
        </w:rPr>
        <w:t xml:space="preserve"> inability </w:t>
      </w:r>
      <w:r w:rsidR="00F6487D">
        <w:rPr>
          <w:rFonts w:asciiTheme="majorHAnsi" w:hAnsiTheme="majorHAnsi" w:cs="Times New Roman"/>
        </w:rPr>
        <w:t>to restrain</w:t>
      </w:r>
      <w:r w:rsidRPr="006242D3">
        <w:rPr>
          <w:rFonts w:asciiTheme="majorHAnsi" w:hAnsiTheme="majorHAnsi" w:cs="Times New Roman"/>
        </w:rPr>
        <w:t xml:space="preserve"> oneself </w:t>
      </w:r>
      <w:r w:rsidR="00F6487D">
        <w:rPr>
          <w:rFonts w:asciiTheme="majorHAnsi" w:hAnsiTheme="majorHAnsi" w:cs="Times New Roman"/>
        </w:rPr>
        <w:t>from using drugs</w:t>
      </w:r>
      <w:r w:rsidRPr="006242D3">
        <w:rPr>
          <w:rFonts w:asciiTheme="majorHAnsi" w:hAnsiTheme="majorHAnsi" w:cs="Times New Roman"/>
        </w:rPr>
        <w:t xml:space="preserve"> </w:t>
      </w:r>
      <w:r w:rsidR="00F6487D">
        <w:rPr>
          <w:rFonts w:asciiTheme="majorHAnsi" w:hAnsiTheme="majorHAnsi" w:cs="Times New Roman"/>
        </w:rPr>
        <w:t xml:space="preserve">to such an extent </w:t>
      </w:r>
      <w:r w:rsidRPr="006242D3">
        <w:rPr>
          <w:rFonts w:asciiTheme="majorHAnsi" w:hAnsiTheme="majorHAnsi" w:cs="Times New Roman"/>
        </w:rPr>
        <w:t xml:space="preserve">that </w:t>
      </w:r>
      <w:r w:rsidR="00F6487D">
        <w:rPr>
          <w:rFonts w:asciiTheme="majorHAnsi" w:hAnsiTheme="majorHAnsi" w:cs="Times New Roman"/>
        </w:rPr>
        <w:t>all other</w:t>
      </w:r>
      <w:r w:rsidRPr="006242D3">
        <w:rPr>
          <w:rFonts w:asciiTheme="majorHAnsi" w:hAnsiTheme="majorHAnsi" w:cs="Times New Roman"/>
        </w:rPr>
        <w:t xml:space="preserve"> responsibilities </w:t>
      </w:r>
      <w:r w:rsidR="00F6487D">
        <w:rPr>
          <w:rFonts w:asciiTheme="majorHAnsi" w:hAnsiTheme="majorHAnsi" w:cs="Times New Roman"/>
        </w:rPr>
        <w:t>are forsaken</w:t>
      </w:r>
      <w:r w:rsidRPr="006242D3">
        <w:rPr>
          <w:rFonts w:asciiTheme="majorHAnsi" w:hAnsiTheme="majorHAnsi" w:cs="Times New Roman"/>
        </w:rPr>
        <w:t xml:space="preserve">. </w:t>
      </w:r>
      <w:r w:rsidR="00F6487D">
        <w:rPr>
          <w:rFonts w:asciiTheme="majorHAnsi" w:hAnsiTheme="majorHAnsi" w:cs="Times New Roman"/>
        </w:rPr>
        <w:t>Rather, it was</w:t>
      </w:r>
      <w:r w:rsidRPr="006242D3">
        <w:rPr>
          <w:rFonts w:asciiTheme="majorHAnsi" w:hAnsiTheme="majorHAnsi" w:cs="Times New Roman"/>
        </w:rPr>
        <w:t xml:space="preserve"> </w:t>
      </w:r>
      <w:r w:rsidR="00F6487D">
        <w:rPr>
          <w:rFonts w:asciiTheme="majorHAnsi" w:hAnsiTheme="majorHAnsi" w:cs="Times New Roman"/>
        </w:rPr>
        <w:t>“</w:t>
      </w:r>
      <w:r w:rsidRPr="006242D3">
        <w:rPr>
          <w:rFonts w:asciiTheme="majorHAnsi" w:hAnsiTheme="majorHAnsi" w:cs="Times New Roman"/>
        </w:rPr>
        <w:t>invented</w:t>
      </w:r>
      <w:r w:rsidR="00F6487D">
        <w:rPr>
          <w:rFonts w:asciiTheme="majorHAnsi" w:hAnsiTheme="majorHAnsi" w:cs="Times New Roman"/>
        </w:rPr>
        <w:t>”</w:t>
      </w:r>
      <w:r w:rsidRPr="006242D3">
        <w:rPr>
          <w:rFonts w:asciiTheme="majorHAnsi" w:hAnsiTheme="majorHAnsi" w:cs="Times New Roman"/>
        </w:rPr>
        <w:t xml:space="preserve"> in the 20th century to describe</w:t>
      </w:r>
      <w:r w:rsidR="00F6487D">
        <w:rPr>
          <w:rFonts w:asciiTheme="majorHAnsi" w:hAnsiTheme="majorHAnsi" w:cs="Times New Roman"/>
        </w:rPr>
        <w:t xml:space="preserve"> not hopelessness but a distinct sociality, namely the</w:t>
      </w:r>
      <w:r w:rsidRPr="006242D3">
        <w:rPr>
          <w:rFonts w:asciiTheme="majorHAnsi" w:hAnsiTheme="majorHAnsi" w:cs="Times New Roman"/>
        </w:rPr>
        <w:t xml:space="preserve"> set of coping skills engaged by </w:t>
      </w:r>
      <w:r w:rsidR="00F6487D">
        <w:rPr>
          <w:rFonts w:asciiTheme="majorHAnsi" w:hAnsiTheme="majorHAnsi" w:cs="Times New Roman"/>
        </w:rPr>
        <w:t xml:space="preserve">communities of </w:t>
      </w:r>
      <w:r w:rsidRPr="006242D3">
        <w:rPr>
          <w:rFonts w:asciiTheme="majorHAnsi" w:hAnsiTheme="majorHAnsi" w:cs="Times New Roman"/>
        </w:rPr>
        <w:t xml:space="preserve">opioid users in urban “vice” </w:t>
      </w:r>
      <w:r w:rsidR="00F6487D">
        <w:rPr>
          <w:rFonts w:asciiTheme="majorHAnsi" w:hAnsiTheme="majorHAnsi" w:cs="Times New Roman"/>
        </w:rPr>
        <w:t xml:space="preserve">districts to obtain a steady supply of drugs, afford their rising costs, and keep their drug use hidden from family, friends, and police </w:t>
      </w:r>
      <w:r w:rsidRPr="006242D3">
        <w:rPr>
          <w:rFonts w:asciiTheme="majorHAnsi" w:hAnsiTheme="majorHAnsi" w:cs="Times New Roman"/>
        </w:rPr>
        <w:t xml:space="preserve">(Acker, 2005:4). </w:t>
      </w:r>
      <w:r w:rsidR="00F6487D">
        <w:rPr>
          <w:rFonts w:asciiTheme="majorHAnsi" w:hAnsiTheme="majorHAnsi" w:cs="Times New Roman"/>
        </w:rPr>
        <w:t>The junkie emerged as figure of criminality primarily through the</w:t>
      </w:r>
      <w:r w:rsidRPr="006242D3">
        <w:rPr>
          <w:rFonts w:asciiTheme="majorHAnsi" w:hAnsiTheme="majorHAnsi" w:cs="Times New Roman"/>
        </w:rPr>
        <w:t xml:space="preserve"> disciplinary aspirations of psychiatrists, pharmacologists, and sociologists </w:t>
      </w:r>
      <w:r w:rsidR="004D6EA6">
        <w:rPr>
          <w:rFonts w:asciiTheme="majorHAnsi" w:hAnsiTheme="majorHAnsi" w:cs="Times New Roman"/>
        </w:rPr>
        <w:t>just as the</w:t>
      </w:r>
      <w:r w:rsidRPr="006242D3">
        <w:rPr>
          <w:rFonts w:asciiTheme="majorHAnsi" w:hAnsiTheme="majorHAnsi" w:cs="Times New Roman"/>
        </w:rPr>
        <w:t xml:space="preserve"> federal government’s increasingly punitive enforcement of drug prohibition and the American Medical Association’s quest to end widespread iatrogenic addiction but distaste for “treating troublesome addicts”</w:t>
      </w:r>
      <w:r w:rsidR="00F6487D">
        <w:rPr>
          <w:rFonts w:asciiTheme="majorHAnsi" w:hAnsiTheme="majorHAnsi" w:cs="Times New Roman"/>
        </w:rPr>
        <w:t xml:space="preserve"> during this era</w:t>
      </w:r>
      <w:r w:rsidRPr="006242D3">
        <w:rPr>
          <w:rFonts w:asciiTheme="majorHAnsi" w:hAnsiTheme="majorHAnsi" w:cs="Times New Roman"/>
        </w:rPr>
        <w:t xml:space="preserve"> (ibid., 2005: 5).</w:t>
      </w:r>
      <w:r w:rsidR="00F6487D">
        <w:rPr>
          <w:rFonts w:asciiTheme="majorHAnsi" w:hAnsiTheme="majorHAnsi" w:cs="Times New Roman"/>
        </w:rPr>
        <w:t xml:space="preserve"> </w:t>
      </w:r>
      <w:r w:rsidR="00990244">
        <w:rPr>
          <w:rFonts w:asciiTheme="majorHAnsi" w:hAnsiTheme="majorHAnsi" w:cs="Times New Roman"/>
        </w:rPr>
        <w:t xml:space="preserve">This stigma </w:t>
      </w:r>
      <w:r w:rsidR="009205BA">
        <w:rPr>
          <w:rFonts w:asciiTheme="majorHAnsi" w:hAnsiTheme="majorHAnsi" w:cs="Times New Roman"/>
        </w:rPr>
        <w:t>surrounding intravenous drug use</w:t>
      </w:r>
      <w:r w:rsidR="005A13BA">
        <w:rPr>
          <w:rFonts w:asciiTheme="majorHAnsi" w:hAnsiTheme="majorHAnsi" w:cs="Times New Roman"/>
        </w:rPr>
        <w:t xml:space="preserve"> also pervades activist spaces.</w:t>
      </w:r>
    </w:p>
    <w:p w14:paraId="63CCB864" w14:textId="3CFF8171" w:rsidR="006242D3" w:rsidRPr="002131BE" w:rsidRDefault="002131BE" w:rsidP="0030288C">
      <w:pPr>
        <w:pStyle w:val="Heading2"/>
      </w:pPr>
      <w:bookmarkStart w:id="50" w:name="_Toc133884532"/>
      <w:r w:rsidRPr="002131BE">
        <w:lastRenderedPageBreak/>
        <w:t>AIDS ACTIVISM AND ACT UP</w:t>
      </w:r>
      <w:bookmarkEnd w:id="50"/>
    </w:p>
    <w:p w14:paraId="3EC26E99" w14:textId="16D2919D"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The commitment of AIDS activists to the creation of coalitional alliances enabled the PWA movement to build power and organize within and across multiple sites of struggle. Describing how the work of ACT UP created a “</w:t>
      </w:r>
      <w:proofErr w:type="spellStart"/>
      <w:r w:rsidRPr="006242D3">
        <w:rPr>
          <w:rFonts w:asciiTheme="majorHAnsi" w:hAnsiTheme="majorHAnsi" w:cs="Times New Roman"/>
        </w:rPr>
        <w:t>zeigest</w:t>
      </w:r>
      <w:proofErr w:type="spellEnd"/>
      <w:r w:rsidRPr="006242D3">
        <w:rPr>
          <w:rFonts w:asciiTheme="majorHAnsi" w:hAnsiTheme="majorHAnsi" w:cs="Times New Roman"/>
        </w:rPr>
        <w:t xml:space="preserve"> [</w:t>
      </w:r>
      <w:r w:rsidR="00F6487D" w:rsidRPr="006242D3">
        <w:rPr>
          <w:rFonts w:asciiTheme="majorHAnsi" w:hAnsiTheme="majorHAnsi" w:cs="Times New Roman"/>
        </w:rPr>
        <w:t>movement</w:t>
      </w:r>
      <w:r w:rsidRPr="006242D3">
        <w:rPr>
          <w:rFonts w:asciiTheme="majorHAnsi" w:hAnsiTheme="majorHAnsi" w:cs="Times New Roman"/>
        </w:rPr>
        <w:t xml:space="preserve">] for change,” Sarah Schulman describes how the group’s affinity structure, which brought together intravenous drug users, queer peoples, sex workers, Black and Brown peoples, Indigenous peoples, houseless peoples, and more, emphasized simultaneity (rather than consensus) and </w:t>
      </w:r>
      <w:r w:rsidR="0083155B" w:rsidRPr="006242D3">
        <w:rPr>
          <w:rFonts w:asciiTheme="majorHAnsi" w:hAnsiTheme="majorHAnsi" w:cs="Times New Roman"/>
        </w:rPr>
        <w:t>direct actions</w:t>
      </w:r>
      <w:r w:rsidRPr="006242D3">
        <w:rPr>
          <w:rFonts w:asciiTheme="majorHAnsi" w:hAnsiTheme="majorHAnsi" w:cs="Times New Roman"/>
        </w:rPr>
        <w:t xml:space="preserve"> that could speak to multiple issues at once. Engaging a range of tactics, from agit-prop and guerilla theater to “illegal” drug research, the infiltration of political events, “media zaps,” needle-exchange, and the aforementioned die-in, ACT UP’s particular blend of “strategic action with material targets and expressive action with cultural targets” was effective at making their enemies and their demands  clear, visible, and familiar to the government and an apathetic public (</w:t>
      </w:r>
      <w:proofErr w:type="spellStart"/>
      <w:r w:rsidRPr="006242D3">
        <w:rPr>
          <w:rFonts w:asciiTheme="majorHAnsi" w:hAnsiTheme="majorHAnsi" w:cs="Times New Roman"/>
        </w:rPr>
        <w:t>Gamson</w:t>
      </w:r>
      <w:proofErr w:type="spellEnd"/>
      <w:r w:rsidRPr="006242D3">
        <w:rPr>
          <w:rFonts w:asciiTheme="majorHAnsi" w:hAnsiTheme="majorHAnsi" w:cs="Times New Roman"/>
        </w:rPr>
        <w:t xml:space="preserve">, 1989: 351). </w:t>
      </w:r>
    </w:p>
    <w:p w14:paraId="4419B328" w14:textId="77777777" w:rsidR="006242D3" w:rsidRPr="006242D3" w:rsidRDefault="006242D3" w:rsidP="00F6487D">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Like all organizing efforts however, the group was unable to entirely circumvent divisiveness. The only requirement of an ACT UP campaign was that it had to be a direct-action committed to the goal of ending the AIDS crisis–not the provision of “social services” (Rodriguez, 2020: 257). The reasoning behind this, Schulman (2021: 28, 77) argues, was that the role of ACT UP was to create “change that required policy, and [then let] social service providers,...later [referred to as] AIDS Incorporated professionals” (a slang term for “the complex of AIDS-related government bureaucracies and pharmaceutical company alliances”) “carry out [that] policy” at the institutional level. The alliances forged between activists, institutions, and corporations/the state would not only eventually scatter and </w:t>
      </w:r>
      <w:r w:rsidRPr="006242D3">
        <w:rPr>
          <w:rFonts w:asciiTheme="majorHAnsi" w:hAnsiTheme="majorHAnsi" w:cs="Times New Roman"/>
        </w:rPr>
        <w:lastRenderedPageBreak/>
        <w:t xml:space="preserve">“replace” grassroots activism but undermine the liberatory aspirations of different groups with the PWA movement in critical ways. </w:t>
      </w:r>
    </w:p>
    <w:p w14:paraId="3AC857A7" w14:textId="139FFD13" w:rsidR="006242D3" w:rsidRPr="006242D3" w:rsidRDefault="006242D3" w:rsidP="002131BE">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For example, although needle-exchange was a “centerpiece” of ACT UP’s politics, the primary goal of these programs was to institutionalize these programs as a way of reducing the harm of criminalized drug prohibition rather than on ending it (and its perpetual war on drugs) through decriminalization and/or legalization campaigns. Although the group’s efforts were effective at achieving “variable levels of institutional support” for needle-exchange programs (NEPs) in major US cities like New York, San Francisco, and Philadelphia, the</w:t>
      </w:r>
      <w:r w:rsidR="00F6487D">
        <w:rPr>
          <w:rFonts w:asciiTheme="majorHAnsi" w:hAnsiTheme="majorHAnsi" w:cs="Times New Roman"/>
        </w:rPr>
        <w:t xml:space="preserve">ir </w:t>
      </w:r>
      <w:r w:rsidR="00293234">
        <w:rPr>
          <w:rFonts w:asciiTheme="majorHAnsi" w:hAnsiTheme="majorHAnsi" w:cs="Times New Roman"/>
        </w:rPr>
        <w:t xml:space="preserve">efforts </w:t>
      </w:r>
      <w:r w:rsidRPr="006242D3">
        <w:rPr>
          <w:rFonts w:asciiTheme="majorHAnsi" w:hAnsiTheme="majorHAnsi" w:cs="Times New Roman"/>
        </w:rPr>
        <w:t>focused on changing the legality of needle-exchange programs (NEPs)</w:t>
      </w:r>
      <w:r w:rsidR="00F6487D">
        <w:rPr>
          <w:rFonts w:asciiTheme="majorHAnsi" w:hAnsiTheme="majorHAnsi" w:cs="Times New Roman"/>
        </w:rPr>
        <w:t>on</w:t>
      </w:r>
      <w:r w:rsidRPr="006242D3">
        <w:rPr>
          <w:rFonts w:asciiTheme="majorHAnsi" w:hAnsiTheme="majorHAnsi" w:cs="Times New Roman"/>
        </w:rPr>
        <w:t xml:space="preserve"> forming alliances with “sympathetic partners” in politics, public health, and police (McLean, 2011: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w:t>
      </w:r>
      <w:r w:rsidR="00F6487D">
        <w:rPr>
          <w:rFonts w:asciiTheme="majorHAnsi" w:hAnsiTheme="majorHAnsi" w:cs="Times New Roman"/>
        </w:rPr>
        <w:t xml:space="preserve">However, before we address the fight to incorporate NEPs into public health policy, we first need to discuss some of the </w:t>
      </w:r>
      <w:r w:rsidR="004B7E4C">
        <w:rPr>
          <w:rFonts w:asciiTheme="majorHAnsi" w:hAnsiTheme="majorHAnsi" w:cs="Times New Roman"/>
        </w:rPr>
        <w:t xml:space="preserve">key </w:t>
      </w:r>
      <w:r w:rsidR="00F6487D">
        <w:rPr>
          <w:rFonts w:asciiTheme="majorHAnsi" w:hAnsiTheme="majorHAnsi" w:cs="Times New Roman"/>
        </w:rPr>
        <w:t xml:space="preserve">tensions that </w:t>
      </w:r>
      <w:r w:rsidR="004B7E4C">
        <w:rPr>
          <w:rFonts w:asciiTheme="majorHAnsi" w:hAnsiTheme="majorHAnsi" w:cs="Times New Roman"/>
        </w:rPr>
        <w:t>have arisen</w:t>
      </w:r>
      <w:r w:rsidR="00F6487D">
        <w:rPr>
          <w:rFonts w:asciiTheme="majorHAnsi" w:hAnsiTheme="majorHAnsi" w:cs="Times New Roman"/>
        </w:rPr>
        <w:t xml:space="preserve"> around these </w:t>
      </w:r>
      <w:r w:rsidR="004B7E4C">
        <w:rPr>
          <w:rFonts w:asciiTheme="majorHAnsi" w:hAnsiTheme="majorHAnsi" w:cs="Times New Roman"/>
        </w:rPr>
        <w:t>practices and programs within activist spaces.</w:t>
      </w:r>
    </w:p>
    <w:p w14:paraId="3D5CD03E" w14:textId="4BAC586B" w:rsidR="006242D3" w:rsidRPr="002131BE" w:rsidRDefault="006242D3" w:rsidP="0030288C">
      <w:pPr>
        <w:pStyle w:val="Heading2"/>
      </w:pPr>
      <w:bookmarkStart w:id="51" w:name="_Toc133884533"/>
      <w:r w:rsidRPr="002131BE">
        <w:t>Histories of Abolition Medicine</w:t>
      </w:r>
      <w:bookmarkEnd w:id="51"/>
    </w:p>
    <w:p w14:paraId="0BFB2652" w14:textId="77777777"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Inspired by the movement work that came before them, early harm reductionists modeled their practices after the Black Panther’s survival programs, the Young Lord’s acupuncture (drug treatment) services in the South Bronx, feminist activism and the fight for reproductive rights, as well as AIDS activism (National Harm Reduction Coalition 2020). Activist groups endeavored to not just (re)write the narrative of drug use through the centering of community voices, but to build sustainable state alternatives through the creation of mutual aid services that were committed to a provision of meaningful care practices for injection drug using peoples. </w:t>
      </w:r>
    </w:p>
    <w:p w14:paraId="3CF9D3CF" w14:textId="77777777"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lastRenderedPageBreak/>
        <w:t>To craft their drug politics, movement organizers recognized that the work of the Black Panthers in the 1960’s and 70’s South Bronx at BOOM! Health, a complex organization of services that included a drop-in health center, pharmacy, needle exchange, and housing and food assistance, provided a template from which to work. Although often described as “proto harm reductionist,” the Panther’s work was formative and belied the focus on Western medicine that informs public health-based programs in the contemporary historical moment and assumes that the annexation of such services by medical professionals, state and public health officials it was “legitimizes” their use towards the reduction of harm (</w:t>
      </w:r>
      <w:proofErr w:type="spellStart"/>
      <w:r w:rsidRPr="006242D3">
        <w:rPr>
          <w:rFonts w:asciiTheme="majorHAnsi" w:hAnsiTheme="majorHAnsi" w:cs="Times New Roman"/>
        </w:rPr>
        <w:t>Tartakoff</w:t>
      </w:r>
      <w:proofErr w:type="spellEnd"/>
      <w:r w:rsidRPr="006242D3">
        <w:rPr>
          <w:rFonts w:asciiTheme="majorHAnsi" w:hAnsiTheme="majorHAnsi" w:cs="Times New Roman"/>
        </w:rPr>
        <w:t xml:space="preserve"> 2018). The Panther’s oppositional practices were not only harm reductionist however, but they were shaped as instruments that could redefine the term harm and confront the structural inequities which produce its most violent forms. The Panther’s created and operated within an autonomous zone that intervened against state power and was energized by a both a liberatory rejection of politics and the attempts of government to modify their behavior (Graeber 2002: 62). The group vociferously refused that the primary response to widespread heroin “addiction” within their communities was (then) President Nixon’s methadone maintenance programs. </w:t>
      </w:r>
    </w:p>
    <w:p w14:paraId="573F72A1" w14:textId="41AA1F6F" w:rsidR="006242D3" w:rsidRPr="006242D3" w:rsidRDefault="006242D3" w:rsidP="006242D3">
      <w:pPr>
        <w:numPr>
          <w:ilvl w:val="12"/>
          <w:numId w:val="0"/>
        </w:numPr>
        <w:spacing w:line="480" w:lineRule="auto"/>
        <w:rPr>
          <w:rFonts w:asciiTheme="majorHAnsi" w:hAnsiTheme="majorHAnsi" w:cs="Times New Roman"/>
        </w:rPr>
      </w:pPr>
      <w:r w:rsidRPr="006242D3">
        <w:rPr>
          <w:rFonts w:asciiTheme="majorHAnsi" w:hAnsiTheme="majorHAnsi" w:cs="Times New Roman"/>
        </w:rPr>
        <w:t xml:space="preserve"> </w:t>
      </w:r>
      <w:r w:rsidRPr="006242D3">
        <w:rPr>
          <w:rFonts w:asciiTheme="majorHAnsi" w:hAnsiTheme="majorHAnsi" w:cs="Times New Roman"/>
        </w:rPr>
        <w:tab/>
        <w:t>The work of Michael “</w:t>
      </w:r>
      <w:proofErr w:type="spellStart"/>
      <w:r w:rsidRPr="006242D3">
        <w:rPr>
          <w:rFonts w:asciiTheme="majorHAnsi" w:hAnsiTheme="majorHAnsi" w:cs="Times New Roman"/>
        </w:rPr>
        <w:t>Cetewayo</w:t>
      </w:r>
      <w:proofErr w:type="spellEnd"/>
      <w:r w:rsidRPr="006242D3">
        <w:rPr>
          <w:rFonts w:asciiTheme="majorHAnsi" w:hAnsiTheme="majorHAnsi" w:cs="Times New Roman"/>
        </w:rPr>
        <w:t xml:space="preserve">” Tabor’s (1970) in “Capitalism Plus Dope Equals Genocide” which cogently indicted the “capitalist </w:t>
      </w:r>
      <w:proofErr w:type="spellStart"/>
      <w:r w:rsidRPr="006242D3">
        <w:rPr>
          <w:rFonts w:asciiTheme="majorHAnsi" w:hAnsiTheme="majorHAnsi" w:cs="Times New Roman"/>
        </w:rPr>
        <w:t>pigocracy</w:t>
      </w:r>
      <w:proofErr w:type="spellEnd"/>
      <w:r w:rsidRPr="006242D3">
        <w:rPr>
          <w:rFonts w:asciiTheme="majorHAnsi" w:hAnsiTheme="majorHAnsi" w:cs="Times New Roman"/>
        </w:rPr>
        <w:t xml:space="preserve">” and warned that chemical warfare was the “unspoken” policy of the US government to enact genocide against African American peoples illustrates the Panther’s reasons for resistance to chemical treatments like methadone. Heroin addiction, Tabor wrote, was not merely a “plague on the Black colonies of Babylon” that the capitalist “dope sellers” made billions from, but it was explicitly designed this way as an “unspoken policy” of the US government to squash the </w:t>
      </w:r>
      <w:r w:rsidRPr="006242D3">
        <w:rPr>
          <w:rFonts w:asciiTheme="majorHAnsi" w:hAnsiTheme="majorHAnsi" w:cs="Times New Roman"/>
        </w:rPr>
        <w:lastRenderedPageBreak/>
        <w:t xml:space="preserve">“threat” of Black resistance through chemical warfare. Health activism was thereby adopted as the sixth element of the Black Panther’s Ten Point Program, which demanded for all Black and oppressed peoples to have access to free, high quality healthcare. </w:t>
      </w:r>
    </w:p>
    <w:p w14:paraId="019FEEC5" w14:textId="111637C5" w:rsidR="002131BE" w:rsidRDefault="006242D3" w:rsidP="00405A2C">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In coalition with The Young Lords, a Puerto Rican liberation organization who shared the Panther’s devotion to health justice, the groups converged on Lincoln Hospital in the Summer of 1970 to establish the People’s Drug Program, or what would later be called the Lincoln Detox Center (O’Brien 2019</w:t>
      </w:r>
      <w:r w:rsidR="002131BE">
        <w:rPr>
          <w:rFonts w:asciiTheme="majorHAnsi" w:hAnsiTheme="majorHAnsi" w:cs="Times New Roman"/>
        </w:rPr>
        <w:t>; See Figure 6.3.</w:t>
      </w:r>
      <w:r w:rsidRPr="006242D3">
        <w:rPr>
          <w:rFonts w:asciiTheme="majorHAnsi" w:hAnsiTheme="majorHAnsi" w:cs="Times New Roman"/>
        </w:rPr>
        <w:t>). Known locally as the “Butcher Shop” for the inadequate healthcare patients received there, Lincoln was the lone medical facility serving the South Bronx. The Lords had previously occupied the building to advocate for community drug treatment services, but their demands had been dismissed by hospital administrators. The coalitional ties they built with the Health Revolution Unity Movement (comprised of healthcare workers) and the Panther’s, however, allowed them to (re)organize and culminate a final takeover of the facility. Despite growing and immense police violence, these groups occupied the hospital for a month before the administration consented to their demands and provided space to run the People’s Program. Their detox regime focused not only chemical treatment but auriculotherapy, which is a form of acupuncture focused on a needling of the ear to quell symptoms of opiate withdrawal (</w:t>
      </w:r>
      <w:proofErr w:type="spellStart"/>
      <w:r w:rsidRPr="006242D3">
        <w:rPr>
          <w:rFonts w:asciiTheme="majorHAnsi" w:hAnsiTheme="majorHAnsi" w:cs="Times New Roman"/>
        </w:rPr>
        <w:t>Kuwababa</w:t>
      </w:r>
      <w:proofErr w:type="spellEnd"/>
      <w:r w:rsidRPr="006242D3">
        <w:rPr>
          <w:rFonts w:asciiTheme="majorHAnsi" w:hAnsiTheme="majorHAnsi" w:cs="Times New Roman"/>
        </w:rPr>
        <w:t xml:space="preserve"> 2018). </w:t>
      </w:r>
      <w:r w:rsidR="00405A2C" w:rsidRPr="006242D3">
        <w:rPr>
          <w:rFonts w:asciiTheme="majorHAnsi" w:hAnsiTheme="majorHAnsi" w:cs="Times New Roman"/>
        </w:rPr>
        <w:t>They continued to resist opiate maintenance as “treatment” or other types of traditionalist addiction services and emphasized instead acupuncture in combination with radical political education programs believed to be key to overcoming addiction. In a break with socialist orthodoxy, the coalition began to organize drug users as revolutionaries of the movement.</w:t>
      </w:r>
    </w:p>
    <w:p w14:paraId="18FB4F41" w14:textId="77777777" w:rsidR="00405A2C" w:rsidRDefault="00405A2C" w:rsidP="00405A2C">
      <w:pPr>
        <w:numPr>
          <w:ilvl w:val="12"/>
          <w:numId w:val="0"/>
        </w:numPr>
        <w:spacing w:line="480" w:lineRule="auto"/>
        <w:ind w:firstLine="720"/>
        <w:rPr>
          <w:rFonts w:asciiTheme="majorHAnsi" w:hAnsiTheme="majorHAnsi" w:cs="Times New Roman"/>
        </w:rPr>
      </w:pPr>
    </w:p>
    <w:p w14:paraId="2703C31D" w14:textId="77777777" w:rsidR="002131BE" w:rsidRDefault="002131BE" w:rsidP="006242D3">
      <w:pPr>
        <w:numPr>
          <w:ilvl w:val="12"/>
          <w:numId w:val="0"/>
        </w:numPr>
        <w:spacing w:line="480" w:lineRule="auto"/>
        <w:ind w:firstLine="720"/>
        <w:rPr>
          <w:rFonts w:asciiTheme="majorHAnsi" w:hAnsiTheme="majorHAnsi" w:cs="Times New Roman"/>
        </w:rPr>
      </w:pPr>
    </w:p>
    <w:p w14:paraId="3BBDA2E7" w14:textId="5B8FF0CD" w:rsidR="00DC5C84" w:rsidRDefault="00082E17" w:rsidP="001F3DE3">
      <w:pPr>
        <w:numPr>
          <w:ilvl w:val="12"/>
          <w:numId w:val="0"/>
        </w:numPr>
        <w:spacing w:line="480" w:lineRule="auto"/>
        <w:ind w:firstLine="720"/>
        <w:jc w:val="center"/>
        <w:rPr>
          <w:rFonts w:asciiTheme="majorHAnsi" w:hAnsiTheme="majorHAnsi" w:cs="Times New Roman"/>
        </w:rPr>
      </w:pPr>
      <w:r>
        <w:rPr>
          <w:rFonts w:asciiTheme="majorHAnsi" w:hAnsiTheme="majorHAnsi" w:cs="Times New Roman"/>
          <w:noProof/>
        </w:rPr>
        <w:drawing>
          <wp:inline distT="0" distB="0" distL="0" distR="0" wp14:anchorId="3C15C90E" wp14:editId="58117772">
            <wp:extent cx="5178960" cy="33705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5185505" cy="3374780"/>
                    </a:xfrm>
                    <a:prstGeom prst="rect">
                      <a:avLst/>
                    </a:prstGeom>
                  </pic:spPr>
                </pic:pic>
              </a:graphicData>
            </a:graphic>
          </wp:inline>
        </w:drawing>
      </w:r>
    </w:p>
    <w:p w14:paraId="20BA0A0A" w14:textId="77777777" w:rsidR="00495A8D" w:rsidRPr="006242D3" w:rsidRDefault="00495A8D" w:rsidP="00495A8D">
      <w:pPr>
        <w:numPr>
          <w:ilvl w:val="12"/>
          <w:numId w:val="0"/>
        </w:numPr>
        <w:spacing w:line="480" w:lineRule="auto"/>
        <w:rPr>
          <w:rFonts w:asciiTheme="majorHAnsi" w:hAnsiTheme="majorHAnsi" w:cs="Times New Roman"/>
        </w:rPr>
      </w:pPr>
      <w:r>
        <w:rPr>
          <w:rFonts w:asciiTheme="majorHAnsi" w:hAnsiTheme="majorHAnsi" w:cs="Times New Roman"/>
        </w:rPr>
        <w:t>Figure 6.3. Young Lords Political Cartoon</w:t>
      </w:r>
    </w:p>
    <w:p w14:paraId="4A12595E" w14:textId="5246A2E2" w:rsidR="00DC5C84" w:rsidRPr="002131BE" w:rsidRDefault="002131BE" w:rsidP="00495A8D">
      <w:pPr>
        <w:numPr>
          <w:ilvl w:val="12"/>
          <w:numId w:val="0"/>
        </w:numPr>
        <w:spacing w:line="360" w:lineRule="auto"/>
        <w:rPr>
          <w:rFonts w:asciiTheme="majorHAnsi" w:hAnsiTheme="majorHAnsi" w:cs="Times New Roman"/>
        </w:rPr>
      </w:pPr>
      <w:r>
        <w:rPr>
          <w:rFonts w:asciiTheme="majorHAnsi" w:hAnsiTheme="majorHAnsi" w:cs="Times New Roman"/>
        </w:rPr>
        <w:t xml:space="preserve">Figure 6.3. depicts a cartoon drawn by Juan Gonzales and published in the Young Lords newspaper </w:t>
      </w:r>
      <w:proofErr w:type="spellStart"/>
      <w:r w:rsidRPr="002131BE">
        <w:rPr>
          <w:rFonts w:asciiTheme="majorHAnsi" w:hAnsiTheme="majorHAnsi" w:cs="Times New Roman"/>
          <w:i/>
          <w:iCs/>
        </w:rPr>
        <w:t>Palante</w:t>
      </w:r>
      <w:proofErr w:type="spellEnd"/>
      <w:r>
        <w:rPr>
          <w:rFonts w:asciiTheme="majorHAnsi" w:hAnsiTheme="majorHAnsi" w:cs="Times New Roman"/>
        </w:rPr>
        <w:t xml:space="preserve"> on July 17, 1970.</w:t>
      </w:r>
    </w:p>
    <w:p w14:paraId="34250015" w14:textId="77777777" w:rsidR="002131BE" w:rsidRDefault="002131BE" w:rsidP="006242D3">
      <w:pPr>
        <w:numPr>
          <w:ilvl w:val="12"/>
          <w:numId w:val="0"/>
        </w:numPr>
        <w:spacing w:line="480" w:lineRule="auto"/>
        <w:ind w:firstLine="720"/>
        <w:rPr>
          <w:rFonts w:asciiTheme="majorHAnsi" w:hAnsiTheme="majorHAnsi" w:cs="Times New Roman"/>
        </w:rPr>
      </w:pPr>
    </w:p>
    <w:p w14:paraId="123A0BBE" w14:textId="77777777" w:rsidR="002131BE" w:rsidRDefault="002131BE" w:rsidP="006242D3">
      <w:pPr>
        <w:numPr>
          <w:ilvl w:val="12"/>
          <w:numId w:val="0"/>
        </w:numPr>
        <w:spacing w:line="480" w:lineRule="auto"/>
        <w:ind w:firstLine="720"/>
        <w:rPr>
          <w:rFonts w:asciiTheme="majorHAnsi" w:hAnsiTheme="majorHAnsi" w:cs="Times New Roman"/>
        </w:rPr>
      </w:pPr>
    </w:p>
    <w:p w14:paraId="759EF00A" w14:textId="77777777" w:rsidR="002131BE" w:rsidRDefault="002131BE" w:rsidP="006242D3">
      <w:pPr>
        <w:numPr>
          <w:ilvl w:val="12"/>
          <w:numId w:val="0"/>
        </w:numPr>
        <w:spacing w:line="480" w:lineRule="auto"/>
        <w:ind w:firstLine="720"/>
        <w:rPr>
          <w:rFonts w:asciiTheme="majorHAnsi" w:hAnsiTheme="majorHAnsi" w:cs="Times New Roman"/>
        </w:rPr>
      </w:pPr>
    </w:p>
    <w:p w14:paraId="53EFBCF9" w14:textId="77777777" w:rsidR="002131BE" w:rsidRDefault="002131BE" w:rsidP="006242D3">
      <w:pPr>
        <w:numPr>
          <w:ilvl w:val="12"/>
          <w:numId w:val="0"/>
        </w:numPr>
        <w:spacing w:line="480" w:lineRule="auto"/>
        <w:ind w:firstLine="720"/>
        <w:rPr>
          <w:rFonts w:asciiTheme="majorHAnsi" w:hAnsiTheme="majorHAnsi" w:cs="Times New Roman"/>
        </w:rPr>
      </w:pPr>
    </w:p>
    <w:p w14:paraId="190F8237" w14:textId="77777777" w:rsidR="002131BE" w:rsidRDefault="002131BE" w:rsidP="006242D3">
      <w:pPr>
        <w:numPr>
          <w:ilvl w:val="12"/>
          <w:numId w:val="0"/>
        </w:numPr>
        <w:spacing w:line="480" w:lineRule="auto"/>
        <w:ind w:firstLine="720"/>
        <w:rPr>
          <w:rFonts w:asciiTheme="majorHAnsi" w:hAnsiTheme="majorHAnsi" w:cs="Times New Roman"/>
        </w:rPr>
      </w:pPr>
    </w:p>
    <w:p w14:paraId="2A8D45DA" w14:textId="77777777" w:rsidR="002131BE" w:rsidRDefault="002131BE" w:rsidP="006242D3">
      <w:pPr>
        <w:numPr>
          <w:ilvl w:val="12"/>
          <w:numId w:val="0"/>
        </w:numPr>
        <w:spacing w:line="480" w:lineRule="auto"/>
        <w:ind w:firstLine="720"/>
        <w:rPr>
          <w:rFonts w:asciiTheme="majorHAnsi" w:hAnsiTheme="majorHAnsi" w:cs="Times New Roman"/>
        </w:rPr>
      </w:pPr>
    </w:p>
    <w:p w14:paraId="6968E004" w14:textId="77777777" w:rsidR="002131BE" w:rsidRDefault="002131BE" w:rsidP="006242D3">
      <w:pPr>
        <w:numPr>
          <w:ilvl w:val="12"/>
          <w:numId w:val="0"/>
        </w:numPr>
        <w:spacing w:line="480" w:lineRule="auto"/>
        <w:ind w:firstLine="720"/>
        <w:rPr>
          <w:rFonts w:asciiTheme="majorHAnsi" w:hAnsiTheme="majorHAnsi" w:cs="Times New Roman"/>
        </w:rPr>
      </w:pPr>
    </w:p>
    <w:p w14:paraId="0C57A8B2" w14:textId="77777777" w:rsidR="00405A2C" w:rsidRDefault="00405A2C" w:rsidP="00405A2C">
      <w:pPr>
        <w:numPr>
          <w:ilvl w:val="12"/>
          <w:numId w:val="0"/>
        </w:numPr>
        <w:spacing w:line="480" w:lineRule="auto"/>
        <w:rPr>
          <w:rFonts w:asciiTheme="majorHAnsi" w:hAnsiTheme="majorHAnsi" w:cs="Times New Roman"/>
        </w:rPr>
      </w:pPr>
    </w:p>
    <w:p w14:paraId="3B55A50D" w14:textId="77777777" w:rsidR="00495A8D" w:rsidRDefault="00495A8D" w:rsidP="00405A2C">
      <w:pPr>
        <w:numPr>
          <w:ilvl w:val="12"/>
          <w:numId w:val="0"/>
        </w:numPr>
        <w:spacing w:line="480" w:lineRule="auto"/>
        <w:rPr>
          <w:rFonts w:asciiTheme="majorHAnsi" w:hAnsiTheme="majorHAnsi" w:cs="Times New Roman"/>
        </w:rPr>
      </w:pPr>
    </w:p>
    <w:p w14:paraId="5EE30B0B" w14:textId="3EE3919A" w:rsidR="006242D3" w:rsidRPr="006242D3" w:rsidRDefault="006242D3" w:rsidP="00405A2C">
      <w:pPr>
        <w:numPr>
          <w:ilvl w:val="12"/>
          <w:numId w:val="0"/>
        </w:numPr>
        <w:spacing w:line="480" w:lineRule="auto"/>
        <w:rPr>
          <w:rFonts w:asciiTheme="majorHAnsi" w:hAnsiTheme="majorHAnsi" w:cs="Times New Roman"/>
        </w:rPr>
      </w:pPr>
      <w:r w:rsidRPr="006242D3">
        <w:rPr>
          <w:rFonts w:asciiTheme="majorHAnsi" w:hAnsiTheme="majorHAnsi" w:cs="Times New Roman"/>
        </w:rPr>
        <w:lastRenderedPageBreak/>
        <w:t xml:space="preserve">Their education programs not only politicized the heroin trade by historicizing the drugs proliferation within Black and Latino communities as entwined with US political-economic endeavors of the Vietnam War but by highlighting the Central Intelligence Agency’s (CIA) hand in its importation (McCoy &amp; Reed 1972). </w:t>
      </w:r>
    </w:p>
    <w:p w14:paraId="2DC8E93F" w14:textId="30CCF5DC" w:rsidR="006242D3" w:rsidRPr="002131BE" w:rsidRDefault="00F147A3" w:rsidP="0030288C">
      <w:pPr>
        <w:pStyle w:val="Heading2"/>
      </w:pPr>
      <w:bookmarkStart w:id="52" w:name="_Toc133884534"/>
      <w:r w:rsidRPr="002131BE">
        <w:t>C</w:t>
      </w:r>
      <w:r w:rsidR="00046427" w:rsidRPr="002131BE">
        <w:t>oalitional Activism</w:t>
      </w:r>
      <w:bookmarkEnd w:id="52"/>
    </w:p>
    <w:p w14:paraId="0AD8615F" w14:textId="3884C896"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Part of the difficulty in defining </w:t>
      </w:r>
      <w:r w:rsidR="00F6487D">
        <w:rPr>
          <w:rFonts w:asciiTheme="majorHAnsi" w:hAnsiTheme="majorHAnsi" w:cs="Times New Roman"/>
        </w:rPr>
        <w:t>HR</w:t>
      </w:r>
      <w:r w:rsidRPr="006242D3">
        <w:rPr>
          <w:rFonts w:asciiTheme="majorHAnsi" w:hAnsiTheme="majorHAnsi" w:cs="Times New Roman"/>
        </w:rPr>
        <w:t xml:space="preserve"> is that it is more than a set of paradigmatic practices or even a movement; for many, it is a way of life. Frustrations began to mount, both popularly and politically, over the lack of national support for AIDS programs—and with that came social movement. Activism amongst drug users politicized by AIDS began to mobilize clandestine harm reduction programs, </w:t>
      </w:r>
      <w:r w:rsidR="00046427">
        <w:rPr>
          <w:rFonts w:asciiTheme="majorHAnsi" w:hAnsiTheme="majorHAnsi" w:cs="Times New Roman"/>
        </w:rPr>
        <w:t>NEPs,</w:t>
      </w:r>
      <w:r w:rsidRPr="006242D3">
        <w:rPr>
          <w:rFonts w:asciiTheme="majorHAnsi" w:hAnsiTheme="majorHAnsi" w:cs="Times New Roman"/>
        </w:rPr>
        <w:t xml:space="preserve"> supervised drug consumption sites, and contraceptive distribution points in cities throughout the US. These organizations formed coalitional networks to raise public awareness that HIV transmission intersected with highly stigmatized identities to exacerbate virus death tolls amongst their communities (Watkins-Hayes 2014). Many faced multiple marginalization(s) and fully recognized that even if state-sanctioned programs were to exist, exclusionary mechanisms and stigma would discourage participation in them. </w:t>
      </w:r>
    </w:p>
    <w:p w14:paraId="2A1C1D8E" w14:textId="63B067C9"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In San Francisco, Prevention Point, began to organize clandestine syringe exchange services, but these efforts were met by powerful opposition from within the city’s Black communities. According to Stoller (1997), Prevention Point members, who self-described as “pagan anarchist civil disobedience hippie junkies,” fully expected that their provision of syringes outside of “legal and legitimate” medical use would end in arrest. Prevention Point members were not arrested however, and the “group” was able to operate exchange services underground for four years, eventually expanding the program into an “anarchic </w:t>
      </w:r>
      <w:r w:rsidRPr="006242D3">
        <w:rPr>
          <w:rFonts w:asciiTheme="majorHAnsi" w:hAnsiTheme="majorHAnsi" w:cs="Times New Roman"/>
        </w:rPr>
        <w:lastRenderedPageBreak/>
        <w:t xml:space="preserve">network of small ‘service’ organizations” to provide healthcare, housing assistance, and the like (Stoller 1997: 102). By 1989, their work had not gone unnoticed by San Francisco’s city leadership, particularly regarding the utility of syringe exchanges for reducing rates of HIV transmission, and they ultimately moved themselves to defy state law, legalize, and fund them. Prevention Point had effectively challenged and changed public policy through their activist efforts, but while the involvement of city officials would make it “easier” for drug users to access these services and “protect” them from police violence—the city’s Black communities actively resisted these measures.  </w:t>
      </w:r>
    </w:p>
    <w:p w14:paraId="13A6923A" w14:textId="366C9DAE"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Prevention Point was a predominately white organization working within low-income, multiethnic areas of the city and, despite their good intentions, the group neglected to make crucial political connections between providing peoples with the necessary tools to safely use drugs and the highly racialized contour of the war on drugs. Despite Prevention Point’s sincerity of response to the crises of drug users, their uneasy but increasingly dependent relationship on civic authorities for obtaining a legal supply of syringes made it difficult to not only maintain the radical bent of their anarchist origins but to form coalitional alliances (Smith 2012: 207). Many Black leaders believed that harm reduction services would not only foster the continued use of drugs in their communities, but that these programs would ultimately act as justification for increased violence against them. Naomi Gray, an African American member of the city’s Health Commission, argued that the city should not authorize syringe exchanges because Black communities were much more likely than white communities to be arrested and sentenced to imprisonment for drug “offenses;” to include, paraphernalia laws. The majority of San Francisco’s Black clergy agreed with Gray but also condemned </w:t>
      </w:r>
      <w:r w:rsidR="002A6695">
        <w:rPr>
          <w:rFonts w:asciiTheme="majorHAnsi" w:hAnsiTheme="majorHAnsi" w:cs="Times New Roman"/>
        </w:rPr>
        <w:t>HR</w:t>
      </w:r>
      <w:r w:rsidRPr="006242D3">
        <w:rPr>
          <w:rFonts w:asciiTheme="majorHAnsi" w:hAnsiTheme="majorHAnsi" w:cs="Times New Roman"/>
        </w:rPr>
        <w:t xml:space="preserve"> programs as a form of genocidal violence </w:t>
      </w:r>
      <w:r w:rsidRPr="006242D3">
        <w:rPr>
          <w:rFonts w:asciiTheme="majorHAnsi" w:hAnsiTheme="majorHAnsi" w:cs="Times New Roman"/>
        </w:rPr>
        <w:lastRenderedPageBreak/>
        <w:t>(Stoller: 105).  Their fears of genocide, like the Panther’s, were situated within the US’s long history of medical experimentation on Black peopl</w:t>
      </w:r>
      <w:r w:rsidR="00824C73">
        <w:rPr>
          <w:rFonts w:asciiTheme="majorHAnsi" w:hAnsiTheme="majorHAnsi" w:cs="Times New Roman"/>
        </w:rPr>
        <w:t xml:space="preserve">es. </w:t>
      </w:r>
      <w:r w:rsidRPr="006242D3">
        <w:rPr>
          <w:rFonts w:asciiTheme="majorHAnsi" w:hAnsiTheme="majorHAnsi" w:cs="Times New Roman"/>
        </w:rPr>
        <w:t xml:space="preserve">The medico-legal regimes of the US Public Health Service that had birthed sites </w:t>
      </w:r>
      <w:r w:rsidR="00824C73">
        <w:rPr>
          <w:rFonts w:asciiTheme="majorHAnsi" w:hAnsiTheme="majorHAnsi" w:cs="Times New Roman"/>
        </w:rPr>
        <w:t>like</w:t>
      </w:r>
      <w:r w:rsidRPr="006242D3">
        <w:rPr>
          <w:rFonts w:asciiTheme="majorHAnsi" w:hAnsiTheme="majorHAnsi" w:cs="Times New Roman"/>
        </w:rPr>
        <w:t xml:space="preserve"> the Narcotic Farm in Kentucky and Alabama’s Tuskegee Syphilis Study were not only inscribed within local public health agencies but also responsible for experimentation on Black Americans and a promotion of disease theories that </w:t>
      </w:r>
      <w:r w:rsidR="006C7736">
        <w:rPr>
          <w:rFonts w:asciiTheme="majorHAnsi" w:hAnsiTheme="majorHAnsi" w:cs="Times New Roman"/>
        </w:rPr>
        <w:t>brought</w:t>
      </w:r>
      <w:r w:rsidRPr="006242D3">
        <w:rPr>
          <w:rFonts w:asciiTheme="majorHAnsi" w:hAnsiTheme="majorHAnsi" w:cs="Times New Roman"/>
        </w:rPr>
        <w:t xml:space="preserve"> eugenics </w:t>
      </w:r>
      <w:r w:rsidR="006C7736">
        <w:rPr>
          <w:rFonts w:asciiTheme="majorHAnsi" w:hAnsiTheme="majorHAnsi" w:cs="Times New Roman"/>
        </w:rPr>
        <w:t>together</w:t>
      </w:r>
      <w:r w:rsidR="006C7A4A">
        <w:rPr>
          <w:rFonts w:asciiTheme="majorHAnsi" w:hAnsiTheme="majorHAnsi" w:cs="Times New Roman"/>
        </w:rPr>
        <w:t xml:space="preserve"> </w:t>
      </w:r>
      <w:r w:rsidRPr="006242D3">
        <w:rPr>
          <w:rFonts w:asciiTheme="majorHAnsi" w:hAnsiTheme="majorHAnsi" w:cs="Times New Roman"/>
        </w:rPr>
        <w:t xml:space="preserve">with bacteriology/”genes with germs” (Washington, 2018: 9). </w:t>
      </w:r>
    </w:p>
    <w:p w14:paraId="7844730A" w14:textId="7E62E32C" w:rsidR="006242D3" w:rsidRPr="006242D3" w:rsidRDefault="006242D3" w:rsidP="006242D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Scheper-Hughes (1996: 37-38) refers to these types of “experiments” as “peace time crimes” of invisible genocide that rely on pseudo-speciation, or the classification of some individuals and/or groups as “less than fully human.” These acts, she writes, are not invisible because they go unseen but because they are </w:t>
      </w:r>
      <w:r w:rsidRPr="00991E31">
        <w:rPr>
          <w:rFonts w:asciiTheme="majorHAnsi" w:hAnsiTheme="majorHAnsi" w:cs="Times New Roman"/>
          <w:i/>
          <w:iCs/>
        </w:rPr>
        <w:t>normalized</w:t>
      </w:r>
      <w:r w:rsidRPr="006242D3">
        <w:rPr>
          <w:rFonts w:asciiTheme="majorHAnsi" w:hAnsiTheme="majorHAnsi" w:cs="Times New Roman"/>
        </w:rPr>
        <w:t>. The AIDS crisis</w:t>
      </w:r>
      <w:r w:rsidR="00DD0CAF">
        <w:rPr>
          <w:rFonts w:asciiTheme="majorHAnsi" w:hAnsiTheme="majorHAnsi" w:cs="Times New Roman"/>
        </w:rPr>
        <w:t xml:space="preserve"> entwined with</w:t>
      </w:r>
      <w:r w:rsidRPr="006242D3">
        <w:rPr>
          <w:rFonts w:asciiTheme="majorHAnsi" w:hAnsiTheme="majorHAnsi" w:cs="Times New Roman"/>
        </w:rPr>
        <w:t xml:space="preserve"> the drug </w:t>
      </w:r>
      <w:r w:rsidR="00DD0CAF">
        <w:rPr>
          <w:rFonts w:asciiTheme="majorHAnsi" w:hAnsiTheme="majorHAnsi" w:cs="Times New Roman"/>
        </w:rPr>
        <w:t>war</w:t>
      </w:r>
      <w:r w:rsidRPr="006242D3">
        <w:rPr>
          <w:rFonts w:asciiTheme="majorHAnsi" w:hAnsiTheme="majorHAnsi" w:cs="Times New Roman"/>
        </w:rPr>
        <w:t xml:space="preserve"> </w:t>
      </w:r>
      <w:r w:rsidR="00D46A67">
        <w:rPr>
          <w:rFonts w:asciiTheme="majorHAnsi" w:hAnsiTheme="majorHAnsi" w:cs="Times New Roman"/>
        </w:rPr>
        <w:t xml:space="preserve">to </w:t>
      </w:r>
      <w:r w:rsidRPr="006242D3">
        <w:rPr>
          <w:rFonts w:asciiTheme="majorHAnsi" w:hAnsiTheme="majorHAnsi" w:cs="Times New Roman"/>
        </w:rPr>
        <w:t xml:space="preserve">position Black and Brown communities within a carceral/care continuum through technologies of dehumanization that have normalized violence against these groups by the alleged </w:t>
      </w:r>
      <w:proofErr w:type="spellStart"/>
      <w:r w:rsidRPr="006242D3">
        <w:rPr>
          <w:rFonts w:asciiTheme="majorHAnsi" w:hAnsiTheme="majorHAnsi" w:cs="Times New Roman"/>
        </w:rPr>
        <w:t>Eversman</w:t>
      </w:r>
      <w:proofErr w:type="spellEnd"/>
      <w:r w:rsidRPr="006242D3">
        <w:rPr>
          <w:rFonts w:asciiTheme="majorHAnsi" w:hAnsiTheme="majorHAnsi" w:cs="Times New Roman"/>
        </w:rPr>
        <w:t xml:space="preserve"> (2015: 198) notes that the mistrust of health and/or medical social programs by Black communities largely frames their opinions on “harm reduction, illicit drugs, and related problems as planned genocide,” quoting one participant of his study as saying: “…part of the problem is communities of color have been fucked over for so many years that…there can be resistance to even possibly beneficial programs because its coming from white establishment.” And in San Francisco, Black leaders related just this: they not only felt these programs were being imposed upon them by the white community but recognized that regardless of programmatic intentions different systems of intervention, rehabilitation, and carceral </w:t>
      </w:r>
      <w:r w:rsidRPr="006242D3">
        <w:rPr>
          <w:rFonts w:asciiTheme="majorHAnsi" w:hAnsiTheme="majorHAnsi" w:cs="Times New Roman"/>
        </w:rPr>
        <w:lastRenderedPageBreak/>
        <w:t>control would be administered to police the use of drugs in white communities and communities of color.</w:t>
      </w:r>
    </w:p>
    <w:p w14:paraId="74FE3AC5" w14:textId="2679DA0C" w:rsidR="006242D3" w:rsidRPr="006242D3" w:rsidRDefault="006242D3" w:rsidP="00AF2840">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Moreover, AIDS was initially framed as a “white gay disease,” which both led to the marginalization of Black and Brown communities within many of the prominent queer organizations. </w:t>
      </w:r>
      <w:proofErr w:type="spellStart"/>
      <w:r w:rsidRPr="006242D3">
        <w:rPr>
          <w:rFonts w:asciiTheme="majorHAnsi" w:hAnsiTheme="majorHAnsi" w:cs="Times New Roman"/>
        </w:rPr>
        <w:t>Shashani</w:t>
      </w:r>
      <w:proofErr w:type="spellEnd"/>
      <w:r w:rsidRPr="006242D3">
        <w:rPr>
          <w:rFonts w:asciiTheme="majorHAnsi" w:hAnsiTheme="majorHAnsi" w:cs="Times New Roman"/>
        </w:rPr>
        <w:t xml:space="preserve"> (2016:6) suggests that the archive of queer community during the AIDS crisis is messy and contradictory in contentious ways, as queer activists undoubtedly formed important </w:t>
      </w:r>
      <w:proofErr w:type="spellStart"/>
      <w:r w:rsidRPr="006242D3">
        <w:rPr>
          <w:rFonts w:asciiTheme="majorHAnsi" w:hAnsiTheme="majorHAnsi" w:cs="Times New Roman"/>
        </w:rPr>
        <w:t>counterpublics</w:t>
      </w:r>
      <w:proofErr w:type="spellEnd"/>
      <w:r w:rsidRPr="006242D3">
        <w:rPr>
          <w:rFonts w:asciiTheme="majorHAnsi" w:hAnsiTheme="majorHAnsi" w:cs="Times New Roman"/>
        </w:rPr>
        <w:t xml:space="preserve"> around issues of healthcare access and expertise, but often failed to organize at the intersections of race, class, gender/ identities, and sexual preferences. While the organization ACT UP, for example, was (and remains) committed to the democratization of knowledge and openly engaged in direct tactics against the government, its apparatuses, and corporate profiteering, the group largely reduced the disease to a single health issue and began to work with pharmaceutical companies, like MERCK, with a focus on “drugs into bodies” activism (Gould 2012).Such activism not only centered epidemiological efficiency as the most successful way of holding institutions accountable for the violence governmental neglect of AIDS had exacted on marginalized communities, but it wrote out the work of communities of color, who took a more multipronged approach to AIDS and connected it to incarceration, migrant detention, intergenerational impoverishment, and educational inequity amongst other key issues.</w:t>
      </w:r>
    </w:p>
    <w:p w14:paraId="0787B528" w14:textId="62D25F59" w:rsidR="006242D3" w:rsidRDefault="006242D3" w:rsidP="00273371">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Much of the contention within ACT UP itself was related to the fears of prominent (white) group leaders that a “lunatic fringe” was taking </w:t>
      </w:r>
      <w:r w:rsidR="00273371" w:rsidRPr="006242D3">
        <w:rPr>
          <w:rFonts w:asciiTheme="majorHAnsi" w:hAnsiTheme="majorHAnsi" w:cs="Times New Roman"/>
        </w:rPr>
        <w:t>over,</w:t>
      </w:r>
      <w:r w:rsidRPr="006242D3">
        <w:rPr>
          <w:rFonts w:asciiTheme="majorHAnsi" w:hAnsiTheme="majorHAnsi" w:cs="Times New Roman"/>
        </w:rPr>
        <w:t xml:space="preserve"> and derailing healthcare demands by critiques of organizational racism and sexism and a continued focus on drug use—which some related as a “Black” issue (Shahani, 2016: 10). With time, ACT UP’s diffusion into many major US cities and growing Black and Brown membership saw new </w:t>
      </w:r>
      <w:r w:rsidRPr="006242D3">
        <w:rPr>
          <w:rFonts w:asciiTheme="majorHAnsi" w:hAnsiTheme="majorHAnsi" w:cs="Times New Roman"/>
        </w:rPr>
        <w:lastRenderedPageBreak/>
        <w:t xml:space="preserve">tactics, such as acts in solidarity with incarcerated peoples living with HIV and increased acceptance of the drug user community (Gossett 2014: 37). As the history of harm reduction makes evident, the lines of solidarity and struggle that emerged from coalitional efforts between drug user, queer, Black liberationist, anti-prison, migrant and decolonial movements on the issue of AIDS, but not only was the movement was contested both from within and without, high degrees of social and police repression negated the formation of drug user-led </w:t>
      </w:r>
      <w:r w:rsidR="008116E7">
        <w:rPr>
          <w:rFonts w:asciiTheme="majorHAnsi" w:hAnsiTheme="majorHAnsi" w:cs="Times New Roman"/>
        </w:rPr>
        <w:t>o</w:t>
      </w:r>
      <w:r w:rsidRPr="006242D3">
        <w:rPr>
          <w:rFonts w:asciiTheme="majorHAnsi" w:hAnsiTheme="majorHAnsi" w:cs="Times New Roman"/>
        </w:rPr>
        <w:t>rganizations (Gossett 38)</w:t>
      </w:r>
    </w:p>
    <w:p w14:paraId="4691862F" w14:textId="5DC9C397" w:rsidR="00C908BA" w:rsidRPr="002131BE" w:rsidRDefault="00C908BA" w:rsidP="0030288C">
      <w:pPr>
        <w:pStyle w:val="Heading2"/>
      </w:pPr>
      <w:bookmarkStart w:id="53" w:name="_Toc133884535"/>
      <w:r w:rsidRPr="002131BE">
        <w:t>Conclusion</w:t>
      </w:r>
      <w:bookmarkEnd w:id="53"/>
    </w:p>
    <w:p w14:paraId="1DCEF09E" w14:textId="38A91D0E" w:rsidR="009D2649" w:rsidRDefault="00E636BB" w:rsidP="00F3586E">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According to the US Army’s Center for Military History, pacification refers broadly to the “military, political, economic, and social </w:t>
      </w:r>
      <w:proofErr w:type="gramStart"/>
      <w:r w:rsidRPr="006242D3">
        <w:rPr>
          <w:rFonts w:asciiTheme="majorHAnsi" w:hAnsiTheme="majorHAnsi" w:cs="Times New Roman"/>
        </w:rPr>
        <w:t>process[</w:t>
      </w:r>
      <w:proofErr w:type="gramEnd"/>
      <w:r w:rsidRPr="006242D3">
        <w:rPr>
          <w:rFonts w:asciiTheme="majorHAnsi" w:hAnsiTheme="majorHAnsi" w:cs="Times New Roman"/>
        </w:rPr>
        <w:t xml:space="preserve">es] of re/establishing local government responsive to and involving the participation of the people;” …[which includes,] </w:t>
      </w:r>
      <w:sdt>
        <w:sdtPr>
          <w:rPr>
            <w:rFonts w:asciiTheme="majorHAnsi" w:hAnsiTheme="majorHAnsi" w:cs="Times New Roman"/>
          </w:rPr>
          <w:tag w:val="goog_rdk_419"/>
          <w:id w:val="-1389100147"/>
        </w:sdtPr>
        <w:sdtContent>
          <w:r w:rsidRPr="006242D3">
            <w:rPr>
              <w:rFonts w:asciiTheme="majorHAnsi" w:hAnsiTheme="majorHAnsi" w:cs="Times New Roman"/>
              <w:i/>
            </w:rPr>
            <w:t>destruction of the enemies underground government</w:t>
          </w:r>
        </w:sdtContent>
      </w:sdt>
      <w:r w:rsidRPr="006242D3">
        <w:rPr>
          <w:rFonts w:asciiTheme="majorHAnsi" w:hAnsiTheme="majorHAnsi" w:cs="Times New Roman"/>
        </w:rPr>
        <w:t>, the assertion or re-assertion of political control,…and the initiation of economic and social activity capable of self-sustenance and expansion.”</w:t>
      </w:r>
      <w:r w:rsidR="009C3A17">
        <w:rPr>
          <w:rFonts w:asciiTheme="majorHAnsi" w:hAnsiTheme="majorHAnsi" w:cs="Times New Roman"/>
        </w:rPr>
        <w:t xml:space="preserve"> </w:t>
      </w:r>
      <w:r w:rsidR="004909D9">
        <w:rPr>
          <w:rFonts w:asciiTheme="majorHAnsi" w:hAnsiTheme="majorHAnsi" w:cs="Times New Roman"/>
        </w:rPr>
        <w:t>As the multiple histories of liberatory HR illuminates, the</w:t>
      </w:r>
      <w:r w:rsidR="009C3A17">
        <w:rPr>
          <w:rFonts w:asciiTheme="majorHAnsi" w:hAnsiTheme="majorHAnsi" w:cs="Times New Roman"/>
        </w:rPr>
        <w:t xml:space="preserve"> </w:t>
      </w:r>
      <w:r w:rsidR="004909D9">
        <w:rPr>
          <w:rFonts w:asciiTheme="majorHAnsi" w:hAnsiTheme="majorHAnsi" w:cs="Times New Roman"/>
        </w:rPr>
        <w:t xml:space="preserve">incorporation of these practices into public health is pacification. </w:t>
      </w:r>
      <w:r w:rsidR="009D2649">
        <w:rPr>
          <w:rFonts w:asciiTheme="majorHAnsi" w:hAnsiTheme="majorHAnsi" w:cs="Times New Roman"/>
        </w:rPr>
        <w:t xml:space="preserve">While </w:t>
      </w:r>
      <w:r w:rsidR="009D2649" w:rsidRPr="009D2649">
        <w:rPr>
          <w:rFonts w:asciiTheme="majorHAnsi" w:hAnsiTheme="majorHAnsi" w:cs="Times New Roman"/>
        </w:rPr>
        <w:t xml:space="preserve">Public health-based HR programs have been successful at quelling “significant” outbreaks of HIV and HCV related to </w:t>
      </w:r>
      <w:r w:rsidR="009D2649">
        <w:rPr>
          <w:rFonts w:asciiTheme="majorHAnsi" w:hAnsiTheme="majorHAnsi" w:cs="Times New Roman"/>
        </w:rPr>
        <w:t>intravenous</w:t>
      </w:r>
      <w:r w:rsidR="009D2649" w:rsidRPr="009D2649">
        <w:rPr>
          <w:rFonts w:asciiTheme="majorHAnsi" w:hAnsiTheme="majorHAnsi" w:cs="Times New Roman"/>
        </w:rPr>
        <w:t xml:space="preserve"> drug use in the Southern Appalachian region</w:t>
      </w:r>
      <w:r w:rsidR="009D2649">
        <w:rPr>
          <w:rFonts w:asciiTheme="majorHAnsi" w:hAnsiTheme="majorHAnsi" w:cs="Times New Roman"/>
        </w:rPr>
        <w:t xml:space="preserve"> and beyond</w:t>
      </w:r>
      <w:r w:rsidR="009D2649" w:rsidRPr="009D2649">
        <w:rPr>
          <w:rFonts w:asciiTheme="majorHAnsi" w:hAnsiTheme="majorHAnsi" w:cs="Times New Roman"/>
        </w:rPr>
        <w:t>, but these efforts have not and will not bring the crisis to its end</w:t>
      </w:r>
      <w:r w:rsidR="009D2649">
        <w:rPr>
          <w:rFonts w:asciiTheme="majorHAnsi" w:hAnsiTheme="majorHAnsi" w:cs="Times New Roman"/>
        </w:rPr>
        <w:t xml:space="preserve"> because they expand the carceral-surveillance apparatus by cannibalizing activist </w:t>
      </w:r>
      <w:r w:rsidR="00B27098">
        <w:rPr>
          <w:rFonts w:asciiTheme="majorHAnsi" w:hAnsiTheme="majorHAnsi" w:cs="Times New Roman"/>
        </w:rPr>
        <w:t>tactics</w:t>
      </w:r>
      <w:r w:rsidR="009D2649" w:rsidRPr="009D2649">
        <w:rPr>
          <w:rFonts w:asciiTheme="majorHAnsi" w:hAnsiTheme="majorHAnsi" w:cs="Times New Roman"/>
        </w:rPr>
        <w:t xml:space="preserve">. </w:t>
      </w:r>
      <w:r w:rsidR="00B27098">
        <w:rPr>
          <w:rFonts w:asciiTheme="majorHAnsi" w:hAnsiTheme="majorHAnsi" w:cs="Times New Roman"/>
        </w:rPr>
        <w:t>If, as</w:t>
      </w:r>
      <w:r w:rsidR="009D2649" w:rsidRPr="009D2649">
        <w:rPr>
          <w:rFonts w:asciiTheme="majorHAnsi" w:hAnsiTheme="majorHAnsi" w:cs="Times New Roman"/>
        </w:rPr>
        <w:t xml:space="preserve"> Ghosh</w:t>
      </w:r>
      <w:r w:rsidR="00B27098">
        <w:rPr>
          <w:rFonts w:asciiTheme="majorHAnsi" w:hAnsiTheme="majorHAnsi" w:cs="Times New Roman"/>
        </w:rPr>
        <w:t xml:space="preserve"> (2020: </w:t>
      </w:r>
      <w:proofErr w:type="spellStart"/>
      <w:r w:rsidR="00B27098">
        <w:rPr>
          <w:rFonts w:asciiTheme="majorHAnsi" w:hAnsiTheme="majorHAnsi" w:cs="Times New Roman"/>
        </w:rPr>
        <w:t>n.p</w:t>
      </w:r>
      <w:proofErr w:type="spellEnd"/>
      <w:r w:rsidR="00B27098">
        <w:rPr>
          <w:rFonts w:asciiTheme="majorHAnsi" w:hAnsiTheme="majorHAnsi" w:cs="Times New Roman"/>
        </w:rPr>
        <w:t>.)</w:t>
      </w:r>
      <w:r w:rsidR="009D2649" w:rsidRPr="009D2649">
        <w:rPr>
          <w:rFonts w:asciiTheme="majorHAnsi" w:hAnsiTheme="majorHAnsi" w:cs="Times New Roman"/>
        </w:rPr>
        <w:t xml:space="preserve"> argues, a public health approach is a “horizon of action [that]relies on the distributive logic of security” to separate and divide the abstract “public” from the disposable drug user—who courts death for their survival</w:t>
      </w:r>
      <w:r w:rsidR="00C17B94">
        <w:rPr>
          <w:rFonts w:asciiTheme="majorHAnsi" w:hAnsiTheme="majorHAnsi" w:cs="Times New Roman"/>
        </w:rPr>
        <w:t>, we can look at these programs</w:t>
      </w:r>
      <w:r w:rsidR="00F3586E">
        <w:rPr>
          <w:rFonts w:asciiTheme="majorHAnsi" w:hAnsiTheme="majorHAnsi" w:cs="Times New Roman"/>
        </w:rPr>
        <w:t xml:space="preserve"> as a</w:t>
      </w:r>
      <w:r w:rsidR="009D2649" w:rsidRPr="009D2649">
        <w:rPr>
          <w:rFonts w:asciiTheme="majorHAnsi" w:hAnsiTheme="majorHAnsi" w:cs="Times New Roman"/>
        </w:rPr>
        <w:t xml:space="preserve"> stop gap for inequities and inequalities</w:t>
      </w:r>
      <w:r w:rsidR="00F3586E">
        <w:rPr>
          <w:rFonts w:asciiTheme="majorHAnsi" w:hAnsiTheme="majorHAnsi" w:cs="Times New Roman"/>
        </w:rPr>
        <w:t>. However, the liberatory histories of HR</w:t>
      </w:r>
      <w:r w:rsidR="009D2649" w:rsidRPr="009D2649">
        <w:rPr>
          <w:rFonts w:asciiTheme="majorHAnsi" w:hAnsiTheme="majorHAnsi" w:cs="Times New Roman"/>
        </w:rPr>
        <w:t xml:space="preserve"> demonstrates </w:t>
      </w:r>
      <w:r w:rsidR="005F64F9">
        <w:rPr>
          <w:rFonts w:asciiTheme="majorHAnsi" w:hAnsiTheme="majorHAnsi" w:cs="Times New Roman"/>
        </w:rPr>
        <w:t>the</w:t>
      </w:r>
      <w:r w:rsidR="009D2649" w:rsidRPr="009D2649">
        <w:rPr>
          <w:rFonts w:asciiTheme="majorHAnsi" w:hAnsiTheme="majorHAnsi" w:cs="Times New Roman"/>
        </w:rPr>
        <w:t xml:space="preserve"> </w:t>
      </w:r>
      <w:r w:rsidR="005F64F9">
        <w:rPr>
          <w:rFonts w:asciiTheme="majorHAnsi" w:hAnsiTheme="majorHAnsi" w:cs="Times New Roman"/>
        </w:rPr>
        <w:t xml:space="preserve">richness of this </w:t>
      </w:r>
      <w:r w:rsidR="005F64F9">
        <w:rPr>
          <w:rFonts w:asciiTheme="majorHAnsi" w:hAnsiTheme="majorHAnsi" w:cs="Times New Roman"/>
        </w:rPr>
        <w:lastRenderedPageBreak/>
        <w:t>philosophy, practice, and politics</w:t>
      </w:r>
      <w:r w:rsidR="009D2649" w:rsidRPr="009D2649">
        <w:rPr>
          <w:rFonts w:asciiTheme="majorHAnsi" w:hAnsiTheme="majorHAnsi" w:cs="Times New Roman"/>
        </w:rPr>
        <w:t xml:space="preserve"> of survival </w:t>
      </w:r>
      <w:r w:rsidR="005F64F9">
        <w:rPr>
          <w:rFonts w:asciiTheme="majorHAnsi" w:hAnsiTheme="majorHAnsi" w:cs="Times New Roman"/>
        </w:rPr>
        <w:t xml:space="preserve">that is </w:t>
      </w:r>
      <w:r w:rsidR="009D2649" w:rsidRPr="009D2649">
        <w:rPr>
          <w:rFonts w:asciiTheme="majorHAnsi" w:hAnsiTheme="majorHAnsi" w:cs="Times New Roman"/>
        </w:rPr>
        <w:t xml:space="preserve">critical to organizing from within and towards abolitionist alternatives. </w:t>
      </w:r>
    </w:p>
    <w:p w14:paraId="0192CB39" w14:textId="2B5B34D9" w:rsidR="00126142" w:rsidRPr="00126142" w:rsidRDefault="00126142" w:rsidP="00126142">
      <w:pPr>
        <w:numPr>
          <w:ilvl w:val="12"/>
          <w:numId w:val="0"/>
        </w:numPr>
        <w:spacing w:line="480" w:lineRule="auto"/>
        <w:rPr>
          <w:rFonts w:asciiTheme="majorHAnsi" w:hAnsiTheme="majorHAnsi" w:cs="Times New Roman"/>
        </w:rPr>
      </w:pPr>
      <w:r>
        <w:rPr>
          <w:rFonts w:asciiTheme="majorHAnsi" w:hAnsiTheme="majorHAnsi" w:cs="Times New Roman"/>
        </w:rPr>
        <w:tab/>
      </w:r>
      <w:r w:rsidRPr="00126142">
        <w:rPr>
          <w:rFonts w:asciiTheme="majorHAnsi" w:hAnsiTheme="majorHAnsi" w:cs="Times New Roman"/>
        </w:rPr>
        <w:t>The movement for harm reduction intersects with other vital struggles committed to racial equity, carceral abolitionism, the decriminalization of sex work, and queer and/or trans liberation, but bureaucratization of the framework has also meant that it functions for the dominant institutions that sustain such violence, such as through “law enforcement action partnerships.” Partnerships like this that operate from a punitive space stand in the way of harm reduction, which emerged from marginalized communities as mutual aid and form of collective survival.  Queer and/or trans activists, for example, were amongst the first to organize around the facilitation of underground needle-exchanges as programs of survivability well before these were funded or approved practices. Gordon Roe (2005: 243) writes that modern frameworks of harm reduction have seen</w:t>
      </w:r>
      <w:r>
        <w:rPr>
          <w:rFonts w:asciiTheme="majorHAnsi" w:hAnsiTheme="majorHAnsi" w:cs="Times New Roman"/>
        </w:rPr>
        <w:t xml:space="preserve"> t</w:t>
      </w:r>
      <w:r w:rsidRPr="00126142">
        <w:rPr>
          <w:rFonts w:asciiTheme="majorHAnsi" w:hAnsiTheme="majorHAnsi" w:cs="Times New Roman"/>
        </w:rPr>
        <w:t xml:space="preserve">he widespread evasion of drug policies within these communities ratified under law through reformist reform that scarcely critique established systems and/or the objective reality of “risk” and “harm” that drug laws are rooted within. </w:t>
      </w:r>
    </w:p>
    <w:p w14:paraId="09F0D142" w14:textId="7BD83F1D" w:rsidR="009904C1" w:rsidRPr="006242D3" w:rsidRDefault="00126142" w:rsidP="007E391E">
      <w:pPr>
        <w:numPr>
          <w:ilvl w:val="12"/>
          <w:numId w:val="0"/>
        </w:numPr>
        <w:spacing w:line="480" w:lineRule="auto"/>
        <w:ind w:firstLine="720"/>
        <w:rPr>
          <w:rFonts w:asciiTheme="majorHAnsi" w:hAnsiTheme="majorHAnsi" w:cs="Times New Roman"/>
        </w:rPr>
      </w:pPr>
      <w:r w:rsidRPr="00126142">
        <w:rPr>
          <w:rFonts w:asciiTheme="majorHAnsi" w:hAnsiTheme="majorHAnsi" w:cs="Times New Roman"/>
        </w:rPr>
        <w:t xml:space="preserve">The pursuit of altering the material and social conditions of users has therefore been left to user-groups, activists, and allies who see substance use as a broader effect of social and identity-based inequities (Roe, 2005: 245). Frustrated by years of neglectful and bellicose drug policies, these early groups began to imagine possibilities for reducing harm outside of state intervention, and their efforts remain pivotal to reducing both harms related to the actual use of drugs and the harms perpetuated against drug users by society at large (G CITE). Present day organizers within the queer and/or trans community aspire to see harm reduction returned to its historical (grass)roots as a strategy of survival. Harm </w:t>
      </w:r>
      <w:r w:rsidRPr="00126142">
        <w:rPr>
          <w:rFonts w:asciiTheme="majorHAnsi" w:hAnsiTheme="majorHAnsi" w:cs="Times New Roman"/>
        </w:rPr>
        <w:lastRenderedPageBreak/>
        <w:t xml:space="preserve">reductionist Ripley Soprano (2020) argues that public health programs have a difficult time “tapping into the aesthetic that would make harm reduction appealing </w:t>
      </w:r>
      <w:proofErr w:type="spellStart"/>
      <w:r w:rsidRPr="00126142">
        <w:rPr>
          <w:rFonts w:asciiTheme="majorHAnsi" w:hAnsiTheme="majorHAnsi" w:cs="Times New Roman"/>
        </w:rPr>
        <w:t>en</w:t>
      </w:r>
      <w:proofErr w:type="spellEnd"/>
      <w:r w:rsidRPr="00126142">
        <w:rPr>
          <w:rFonts w:asciiTheme="majorHAnsi" w:hAnsiTheme="majorHAnsi" w:cs="Times New Roman"/>
        </w:rPr>
        <w:t xml:space="preserve"> masse</w:t>
      </w:r>
      <w:proofErr w:type="gramStart"/>
      <w:r w:rsidRPr="00126142">
        <w:rPr>
          <w:rFonts w:asciiTheme="majorHAnsi" w:hAnsiTheme="majorHAnsi" w:cs="Times New Roman"/>
        </w:rPr>
        <w:t>…[</w:t>
      </w:r>
      <w:proofErr w:type="gramEnd"/>
      <w:r w:rsidRPr="00126142">
        <w:rPr>
          <w:rFonts w:asciiTheme="majorHAnsi" w:hAnsiTheme="majorHAnsi" w:cs="Times New Roman"/>
        </w:rPr>
        <w:t xml:space="preserve">because of their] </w:t>
      </w:r>
      <w:proofErr w:type="spellStart"/>
      <w:r w:rsidRPr="00126142">
        <w:rPr>
          <w:rFonts w:asciiTheme="majorHAnsi" w:hAnsiTheme="majorHAnsi" w:cs="Times New Roman"/>
        </w:rPr>
        <w:t>rel</w:t>
      </w:r>
      <w:proofErr w:type="spellEnd"/>
      <w:r w:rsidRPr="00126142">
        <w:rPr>
          <w:rFonts w:asciiTheme="majorHAnsi" w:hAnsiTheme="majorHAnsi" w:cs="Times New Roman"/>
        </w:rPr>
        <w:t>[</w:t>
      </w:r>
      <w:proofErr w:type="spellStart"/>
      <w:r w:rsidRPr="00126142">
        <w:rPr>
          <w:rFonts w:asciiTheme="majorHAnsi" w:hAnsiTheme="majorHAnsi" w:cs="Times New Roman"/>
        </w:rPr>
        <w:t>iance</w:t>
      </w:r>
      <w:proofErr w:type="spellEnd"/>
      <w:r w:rsidRPr="00126142">
        <w:rPr>
          <w:rFonts w:asciiTheme="majorHAnsi" w:hAnsiTheme="majorHAnsi" w:cs="Times New Roman"/>
        </w:rPr>
        <w:t>] on…a certain amount of respectability [that] will always leave out people on the margins…[those] who [the principles of harm reduction] were [created] for and by.” Soprano goes on to say that the process of institutionalizing harm reduction really took the “faggotry and sluttiness… out of harm reduction…[the very] practices and theories [that] came out of sex-work[er] communities, people who are chemically dependent, sick and disabled people, and communities of care made up of gay [peoples] of color and trans [peoples] of color</w:t>
      </w:r>
      <w:r w:rsidR="007E391E">
        <w:rPr>
          <w:rFonts w:asciiTheme="majorHAnsi" w:hAnsiTheme="majorHAnsi" w:cs="Times New Roman"/>
        </w:rPr>
        <w:t>.</w:t>
      </w:r>
    </w:p>
    <w:p w14:paraId="292AAAAB" w14:textId="77777777" w:rsidR="002131BE" w:rsidRDefault="002131BE" w:rsidP="00A0642B">
      <w:pPr>
        <w:pStyle w:val="Heading1"/>
      </w:pPr>
    </w:p>
    <w:p w14:paraId="566DDAAD" w14:textId="77777777" w:rsidR="002131BE" w:rsidRDefault="002131BE" w:rsidP="00A0642B">
      <w:pPr>
        <w:pStyle w:val="Heading1"/>
      </w:pPr>
    </w:p>
    <w:p w14:paraId="56F2BCAD" w14:textId="77777777" w:rsidR="002131BE" w:rsidRDefault="002131BE" w:rsidP="00A0642B">
      <w:pPr>
        <w:pStyle w:val="Heading1"/>
      </w:pPr>
    </w:p>
    <w:p w14:paraId="786CEB50" w14:textId="77777777" w:rsidR="002131BE" w:rsidRDefault="002131BE" w:rsidP="00A0642B">
      <w:pPr>
        <w:pStyle w:val="Heading1"/>
      </w:pPr>
    </w:p>
    <w:p w14:paraId="719792A9" w14:textId="77777777" w:rsidR="002131BE" w:rsidRDefault="002131BE" w:rsidP="00A0642B">
      <w:pPr>
        <w:pStyle w:val="Heading1"/>
      </w:pPr>
    </w:p>
    <w:p w14:paraId="28DADA32" w14:textId="77777777" w:rsidR="002131BE" w:rsidRDefault="002131BE" w:rsidP="00A0642B">
      <w:pPr>
        <w:pStyle w:val="Heading1"/>
      </w:pPr>
    </w:p>
    <w:p w14:paraId="419BCD4E" w14:textId="77777777" w:rsidR="002131BE" w:rsidRDefault="002131BE" w:rsidP="00A0642B">
      <w:pPr>
        <w:pStyle w:val="Heading1"/>
      </w:pPr>
    </w:p>
    <w:p w14:paraId="1420E748" w14:textId="77777777" w:rsidR="002131BE" w:rsidRDefault="002131BE" w:rsidP="00A0642B">
      <w:pPr>
        <w:pStyle w:val="Heading1"/>
      </w:pPr>
    </w:p>
    <w:p w14:paraId="61C6D312" w14:textId="77777777" w:rsidR="002131BE" w:rsidRDefault="002131BE" w:rsidP="00A0642B">
      <w:pPr>
        <w:pStyle w:val="Heading1"/>
      </w:pPr>
    </w:p>
    <w:p w14:paraId="3F1D6BDA" w14:textId="77777777" w:rsidR="002131BE" w:rsidRDefault="002131BE" w:rsidP="00A0642B">
      <w:pPr>
        <w:pStyle w:val="Heading1"/>
      </w:pPr>
    </w:p>
    <w:p w14:paraId="20FC80AF" w14:textId="77777777" w:rsidR="00405A2C" w:rsidRDefault="00405A2C" w:rsidP="00405A2C"/>
    <w:p w14:paraId="1115B268" w14:textId="77777777" w:rsidR="00405A2C" w:rsidRDefault="00405A2C" w:rsidP="00405A2C"/>
    <w:p w14:paraId="62D42616" w14:textId="77777777" w:rsidR="00405A2C" w:rsidRDefault="00405A2C" w:rsidP="00405A2C"/>
    <w:p w14:paraId="6CEDAD16" w14:textId="77777777" w:rsidR="00405A2C" w:rsidRDefault="00405A2C" w:rsidP="00405A2C"/>
    <w:p w14:paraId="69CC6CE1" w14:textId="77777777" w:rsidR="00405A2C" w:rsidRDefault="00405A2C" w:rsidP="00405A2C"/>
    <w:p w14:paraId="79CFCA65" w14:textId="77777777" w:rsidR="00405A2C" w:rsidRDefault="00405A2C" w:rsidP="00405A2C"/>
    <w:p w14:paraId="624567C0" w14:textId="77777777" w:rsidR="00405A2C" w:rsidRDefault="00405A2C" w:rsidP="00405A2C"/>
    <w:p w14:paraId="662B6B9A" w14:textId="77777777" w:rsidR="00405A2C" w:rsidRDefault="00405A2C" w:rsidP="00405A2C"/>
    <w:p w14:paraId="6ACC068A" w14:textId="77777777" w:rsidR="00405A2C" w:rsidRDefault="00405A2C" w:rsidP="00405A2C"/>
    <w:p w14:paraId="66C0AF57" w14:textId="77777777" w:rsidR="00405A2C" w:rsidRDefault="00405A2C" w:rsidP="00405A2C"/>
    <w:p w14:paraId="556A4535" w14:textId="77777777" w:rsidR="00405A2C" w:rsidRPr="00405A2C" w:rsidRDefault="00405A2C" w:rsidP="00405A2C"/>
    <w:p w14:paraId="57EBF940" w14:textId="77777777" w:rsidR="002131BE" w:rsidRDefault="002131BE" w:rsidP="00A0642B">
      <w:pPr>
        <w:pStyle w:val="Heading1"/>
      </w:pPr>
    </w:p>
    <w:p w14:paraId="452E2CF3" w14:textId="66BF6754" w:rsidR="006242D3" w:rsidRPr="002131BE" w:rsidRDefault="00E6172F" w:rsidP="00A0642B">
      <w:pPr>
        <w:pStyle w:val="Heading1"/>
      </w:pPr>
      <w:bookmarkStart w:id="54" w:name="_Toc133884536"/>
      <w:r w:rsidRPr="002131BE">
        <w:t xml:space="preserve">Conclusion: </w:t>
      </w:r>
      <w:r w:rsidR="006242D3" w:rsidRPr="002131BE">
        <w:t>The Needle in the haystack</w:t>
      </w:r>
      <w:bookmarkEnd w:id="54"/>
    </w:p>
    <w:p w14:paraId="7E136E36" w14:textId="77777777" w:rsidR="006242D3" w:rsidRDefault="006242D3" w:rsidP="00206090">
      <w:pPr>
        <w:numPr>
          <w:ilvl w:val="12"/>
          <w:numId w:val="0"/>
        </w:numPr>
        <w:rPr>
          <w:rFonts w:asciiTheme="majorHAnsi" w:hAnsiTheme="majorHAnsi" w:cs="Times New Roman"/>
        </w:rPr>
      </w:pPr>
    </w:p>
    <w:p w14:paraId="5649EAB8" w14:textId="77777777" w:rsidR="00191AF4" w:rsidRDefault="006242D3" w:rsidP="008116E7">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In early January 2023, the office of Tennessee Governor Bill Lee released a statement informing the public that his administration had rejected 8 million dollars from the Centers for Disease Control and Prevention (CDC) to support HIV surveillance, testing, and prevention services, saying that: “The State has determined that it is in the best interests of Tennesseans for the State to assume direct financial and managerial responsibility for these services” (</w:t>
      </w:r>
      <w:proofErr w:type="spellStart"/>
      <w:r w:rsidRPr="006242D3">
        <w:rPr>
          <w:rFonts w:asciiTheme="majorHAnsi" w:hAnsiTheme="majorHAnsi" w:cs="Times New Roman"/>
        </w:rPr>
        <w:t>Dulcre</w:t>
      </w:r>
      <w:proofErr w:type="spellEnd"/>
      <w:r w:rsidRPr="006242D3">
        <w:rPr>
          <w:rFonts w:asciiTheme="majorHAnsi" w:hAnsiTheme="majorHAnsi" w:cs="Times New Roman"/>
        </w:rPr>
        <w:t xml:space="preserve">, 2023: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Despite reassurances from state authorities that they remained “committed to maintaining the same level of funding, while more efficiently and effectively serving vulnerable populations, such as victims of human trafficking, mothers and children, and first responders,” they failed to say where this money would come from (ibid, 2023: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w:t>
      </w:r>
    </w:p>
    <w:p w14:paraId="5C59602B" w14:textId="6C7D4195" w:rsidR="006242D3" w:rsidRPr="006242D3" w:rsidRDefault="006242D3" w:rsidP="008116E7">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If one takes into consideration that during budget negotiations for FY 2023 Lee expressed his “commitment [to] show[</w:t>
      </w:r>
      <w:proofErr w:type="spellStart"/>
      <w:r w:rsidRPr="006242D3">
        <w:rPr>
          <w:rFonts w:asciiTheme="majorHAnsi" w:hAnsiTheme="majorHAnsi" w:cs="Times New Roman"/>
        </w:rPr>
        <w:t>ing</w:t>
      </w:r>
      <w:proofErr w:type="spellEnd"/>
      <w:r w:rsidRPr="006242D3">
        <w:rPr>
          <w:rFonts w:asciiTheme="majorHAnsi" w:hAnsiTheme="majorHAnsi" w:cs="Times New Roman"/>
        </w:rPr>
        <w:t xml:space="preserve">] respect to the rule of law but a rejection of the defund the police movement” and the fact that in 2019 the Beacon Center of Tennessee released a report which showed that the state had stockpiled $732 million dollars in federal funding intended to support “poor working families” or the now famous case of </w:t>
      </w:r>
      <w:proofErr w:type="spellStart"/>
      <w:r w:rsidRPr="006242D3">
        <w:rPr>
          <w:rFonts w:asciiTheme="majorHAnsi" w:hAnsiTheme="majorHAnsi" w:cs="Times New Roman"/>
        </w:rPr>
        <w:t>Cyntoia</w:t>
      </w:r>
      <w:proofErr w:type="spellEnd"/>
      <w:r w:rsidRPr="006242D3">
        <w:rPr>
          <w:rFonts w:asciiTheme="majorHAnsi" w:hAnsiTheme="majorHAnsi" w:cs="Times New Roman"/>
        </w:rPr>
        <w:t xml:space="preserve"> Brown who, a survivor of child-sex trafficking, was convicted of first-degree </w:t>
      </w:r>
      <w:r w:rsidRPr="006242D3">
        <w:rPr>
          <w:rFonts w:asciiTheme="majorHAnsi" w:hAnsiTheme="majorHAnsi" w:cs="Times New Roman"/>
        </w:rPr>
        <w:lastRenderedPageBreak/>
        <w:t xml:space="preserve">murder by the state of Tennessee for killing her captor and only provided clemency after the likes of Kim Kardashian brought her case into the national spotlight, one can speculate that the funding for HIV services will be, at best, scarce and, at worst, it will go to the police. However, we do not have to speculate because, according to the website for Choice Health Network (CHN, 2023: </w:t>
      </w:r>
      <w:proofErr w:type="spellStart"/>
      <w:r w:rsidRPr="006242D3">
        <w:rPr>
          <w:rFonts w:asciiTheme="majorHAnsi" w:hAnsiTheme="majorHAnsi" w:cs="Times New Roman"/>
        </w:rPr>
        <w:t>n.p</w:t>
      </w:r>
      <w:proofErr w:type="spellEnd"/>
      <w:r w:rsidRPr="006242D3">
        <w:rPr>
          <w:rFonts w:asciiTheme="majorHAnsi" w:hAnsiTheme="majorHAnsi" w:cs="Times New Roman"/>
        </w:rPr>
        <w:t xml:space="preserve">.), which runs Knoxville, Tennessee’s needle-exchange program (NEP), their contract to provide these HIV services will end on May 31, 2023, and, without funds from the CDC, they are left “hoping for a resolution.” </w:t>
      </w:r>
      <w:r w:rsidR="00191AF4">
        <w:rPr>
          <w:rFonts w:asciiTheme="majorHAnsi" w:hAnsiTheme="majorHAnsi" w:cs="Times New Roman"/>
        </w:rPr>
        <w:t xml:space="preserve">Similarly </w:t>
      </w:r>
      <w:r w:rsidRPr="006242D3">
        <w:rPr>
          <w:rFonts w:asciiTheme="majorHAnsi" w:hAnsiTheme="majorHAnsi" w:cs="Times New Roman"/>
        </w:rPr>
        <w:t xml:space="preserve"> </w:t>
      </w:r>
    </w:p>
    <w:p w14:paraId="4B59872E" w14:textId="3313EEB9" w:rsidR="00273371" w:rsidRDefault="00273371" w:rsidP="00C52752">
      <w:pPr>
        <w:numPr>
          <w:ilvl w:val="12"/>
          <w:numId w:val="0"/>
        </w:numPr>
        <w:spacing w:line="480" w:lineRule="auto"/>
        <w:ind w:firstLine="720"/>
        <w:rPr>
          <w:rFonts w:asciiTheme="majorHAnsi" w:hAnsiTheme="majorHAnsi" w:cs="Times New Roman"/>
        </w:rPr>
      </w:pPr>
      <w:r w:rsidRPr="00273371">
        <w:rPr>
          <w:rFonts w:asciiTheme="majorHAnsi" w:hAnsiTheme="majorHAnsi" w:cs="Times New Roman"/>
        </w:rPr>
        <w:t xml:space="preserve">Despite unprecedented support for public health-based HR policies in response to the contemporary opioid crisis, these programs remain politically contentious in the US. Historically condemned by political elites as being antithetical to the ideology of criminalized drug prohibition, they are compared to a “trojan horse” for drug policy reform (Hunt, et al., 2003: </w:t>
      </w:r>
      <w:proofErr w:type="spellStart"/>
      <w:r w:rsidRPr="00273371">
        <w:rPr>
          <w:rFonts w:asciiTheme="majorHAnsi" w:hAnsiTheme="majorHAnsi" w:cs="Times New Roman"/>
        </w:rPr>
        <w:t>n.p</w:t>
      </w:r>
      <w:proofErr w:type="spellEnd"/>
      <w:r w:rsidRPr="00273371">
        <w:rPr>
          <w:rFonts w:asciiTheme="majorHAnsi" w:hAnsiTheme="majorHAnsi" w:cs="Times New Roman"/>
        </w:rPr>
        <w:t xml:space="preserve">.). Or drug decriminalization and/or legalization in “disguise.” Aside from ideological and “moral” opposition to these programs, they are politically unpopular largely because of the enormous amount of war/police, economic, social, ideological, and carceral power the nation amasses through the regime of prohibition. </w:t>
      </w:r>
    </w:p>
    <w:p w14:paraId="42531C53" w14:textId="4B990507" w:rsidR="00273371" w:rsidRPr="00273371" w:rsidRDefault="00273371" w:rsidP="00273371">
      <w:pPr>
        <w:numPr>
          <w:ilvl w:val="12"/>
          <w:numId w:val="0"/>
        </w:numPr>
        <w:spacing w:line="480" w:lineRule="auto"/>
        <w:ind w:firstLine="720"/>
        <w:rPr>
          <w:rFonts w:asciiTheme="majorHAnsi" w:hAnsiTheme="majorHAnsi" w:cs="Times New Roman"/>
        </w:rPr>
      </w:pPr>
      <w:r w:rsidRPr="00273371">
        <w:rPr>
          <w:rFonts w:asciiTheme="majorHAnsi" w:hAnsiTheme="majorHAnsi" w:cs="Times New Roman"/>
        </w:rPr>
        <w:t xml:space="preserve">While the histories of anti-poverty efforts in 1960s Appalachia cannot be conflated with contemporary shifts towards (and away from) public health-based HR programs in the region at present, the continuities between these efforts are significant, particularly, in the ways that they reify and rearticulate relations of violence between the state, its institutions, and people” vis-à-vis racialized regimes of health, </w:t>
      </w:r>
      <w:sdt>
        <w:sdtPr>
          <w:rPr>
            <w:rFonts w:asciiTheme="majorHAnsi" w:hAnsiTheme="majorHAnsi" w:cs="Times New Roman"/>
          </w:rPr>
          <w:tag w:val="goog_rdk_97"/>
          <w:id w:val="-1539513379"/>
        </w:sdtPr>
        <w:sdtContent/>
      </w:sdt>
      <w:proofErr w:type="spellStart"/>
      <w:r w:rsidRPr="00273371">
        <w:rPr>
          <w:rFonts w:asciiTheme="majorHAnsi" w:hAnsiTheme="majorHAnsi" w:cs="Times New Roman"/>
        </w:rPr>
        <w:t>carcerality</w:t>
      </w:r>
      <w:proofErr w:type="spellEnd"/>
      <w:r w:rsidRPr="00273371">
        <w:rPr>
          <w:rFonts w:asciiTheme="majorHAnsi" w:hAnsiTheme="majorHAnsi" w:cs="Times New Roman"/>
        </w:rPr>
        <w:t xml:space="preserve">, security, and/or surveillance. Thinking momentarily back to the introduction and our discussion of how the racial grammar of opioids obscures the boundaries of white racial privilege for Appalachian </w:t>
      </w:r>
      <w:r w:rsidRPr="00273371">
        <w:rPr>
          <w:rFonts w:asciiTheme="majorHAnsi" w:hAnsiTheme="majorHAnsi" w:cs="Times New Roman"/>
        </w:rPr>
        <w:lastRenderedPageBreak/>
        <w:t>“</w:t>
      </w:r>
      <w:proofErr w:type="spellStart"/>
      <w:r w:rsidRPr="00273371">
        <w:rPr>
          <w:rFonts w:asciiTheme="majorHAnsi" w:hAnsiTheme="majorHAnsi" w:cs="Times New Roman"/>
        </w:rPr>
        <w:t>pillbillies</w:t>
      </w:r>
      <w:proofErr w:type="spellEnd"/>
      <w:r w:rsidRPr="00273371">
        <w:rPr>
          <w:rFonts w:asciiTheme="majorHAnsi" w:hAnsiTheme="majorHAnsi" w:cs="Times New Roman"/>
        </w:rPr>
        <w:t xml:space="preserve">” and intravenous drug user, we should recall how the deep entanglements between public health and </w:t>
      </w:r>
      <w:proofErr w:type="spellStart"/>
      <w:r w:rsidRPr="00273371">
        <w:rPr>
          <w:rFonts w:asciiTheme="majorHAnsi" w:hAnsiTheme="majorHAnsi" w:cs="Times New Roman"/>
        </w:rPr>
        <w:t>carcerality</w:t>
      </w:r>
      <w:proofErr w:type="spellEnd"/>
      <w:r w:rsidRPr="00273371">
        <w:rPr>
          <w:rFonts w:asciiTheme="majorHAnsi" w:hAnsiTheme="majorHAnsi" w:cs="Times New Roman"/>
        </w:rPr>
        <w:t xml:space="preserve"> articulate a desire to purify.  </w:t>
      </w:r>
    </w:p>
    <w:p w14:paraId="65EA01CC" w14:textId="41725B33" w:rsidR="00273371" w:rsidRPr="00273371" w:rsidRDefault="00273371" w:rsidP="00BE6465">
      <w:pPr>
        <w:numPr>
          <w:ilvl w:val="12"/>
          <w:numId w:val="0"/>
        </w:numPr>
        <w:spacing w:line="480" w:lineRule="auto"/>
        <w:ind w:firstLine="720"/>
        <w:rPr>
          <w:rFonts w:asciiTheme="majorHAnsi" w:hAnsiTheme="majorHAnsi" w:cs="Times New Roman"/>
        </w:rPr>
      </w:pPr>
      <w:r>
        <w:rPr>
          <w:rFonts w:asciiTheme="majorHAnsi" w:hAnsiTheme="majorHAnsi" w:cs="Times New Roman"/>
        </w:rPr>
        <w:t>It</w:t>
      </w:r>
      <w:r w:rsidRPr="00273371">
        <w:rPr>
          <w:rFonts w:asciiTheme="majorHAnsi" w:hAnsiTheme="majorHAnsi" w:cs="Times New Roman"/>
        </w:rPr>
        <w:t xml:space="preserve"> is essential </w:t>
      </w:r>
      <w:r>
        <w:rPr>
          <w:rFonts w:asciiTheme="majorHAnsi" w:hAnsiTheme="majorHAnsi" w:cs="Times New Roman"/>
        </w:rPr>
        <w:t>that we</w:t>
      </w:r>
      <w:r w:rsidRPr="00273371">
        <w:rPr>
          <w:rFonts w:asciiTheme="majorHAnsi" w:hAnsiTheme="majorHAnsi" w:cs="Times New Roman"/>
        </w:rPr>
        <w:t>,</w:t>
      </w:r>
      <w:sdt>
        <w:sdtPr>
          <w:rPr>
            <w:rFonts w:asciiTheme="majorHAnsi" w:hAnsiTheme="majorHAnsi" w:cs="Times New Roman"/>
          </w:rPr>
          <w:tag w:val="goog_rdk_101"/>
          <w:id w:val="-298147688"/>
        </w:sdtPr>
        <w:sdtContent/>
      </w:sdt>
      <w:r w:rsidRPr="00273371">
        <w:rPr>
          <w:rFonts w:asciiTheme="majorHAnsi" w:hAnsiTheme="majorHAnsi" w:cs="Times New Roman"/>
        </w:rPr>
        <w:t xml:space="preserve"> grasp opioids as more than simply a “drug crisis:” It is an accumulation of longer-term </w:t>
      </w:r>
      <w:r w:rsidRPr="00273371">
        <w:rPr>
          <w:rFonts w:asciiTheme="majorHAnsi" w:hAnsiTheme="majorHAnsi" w:cs="Times New Roman"/>
          <w:i/>
        </w:rPr>
        <w:t>crises.</w:t>
      </w:r>
      <w:r w:rsidRPr="00273371">
        <w:rPr>
          <w:rFonts w:asciiTheme="majorHAnsi" w:hAnsiTheme="majorHAnsi" w:cs="Times New Roman"/>
        </w:rPr>
        <w:t xml:space="preserve"> (Clarke, 2002: 16). The HIV/AIDS crisis is one among many condensed within opioids that points to a larger crisis of health and well-being; thus, we cannot trace the desire to control, contain, and manage the spread of infectious diseases being presently articulated through shifts towards (and away) from HR in Southern Appalachia and into the social formation as a whole without thinking them in relationship to </w:t>
      </w:r>
      <w:sdt>
        <w:sdtPr>
          <w:rPr>
            <w:rFonts w:asciiTheme="majorHAnsi" w:hAnsiTheme="majorHAnsi" w:cs="Times New Roman"/>
          </w:rPr>
          <w:tag w:val="goog_rdk_102"/>
          <w:id w:val="1000393889"/>
        </w:sdtPr>
        <w:sdtContent/>
      </w:sdt>
      <w:r w:rsidRPr="00273371">
        <w:rPr>
          <w:rFonts w:asciiTheme="majorHAnsi" w:hAnsiTheme="majorHAnsi" w:cs="Times New Roman"/>
        </w:rPr>
        <w:t xml:space="preserve">well-being (Grayson &amp; Little, 2016: 60). </w:t>
      </w:r>
      <w:r w:rsidR="00353B65">
        <w:rPr>
          <w:rFonts w:asciiTheme="majorHAnsi" w:hAnsiTheme="majorHAnsi" w:cs="Times New Roman"/>
        </w:rPr>
        <w:t xml:space="preserve"> For the state, calling</w:t>
      </w:r>
      <w:r w:rsidRPr="00273371">
        <w:rPr>
          <w:rFonts w:asciiTheme="majorHAnsi" w:hAnsiTheme="majorHAnsi" w:cs="Times New Roman"/>
        </w:rPr>
        <w:t xml:space="preserve"> opioids a crisis has certainly provided, as </w:t>
      </w:r>
      <w:proofErr w:type="spellStart"/>
      <w:r w:rsidRPr="00273371">
        <w:rPr>
          <w:rFonts w:asciiTheme="majorHAnsi" w:hAnsiTheme="majorHAnsi" w:cs="Times New Roman"/>
        </w:rPr>
        <w:t>Snorton</w:t>
      </w:r>
      <w:proofErr w:type="spellEnd"/>
      <w:r w:rsidRPr="00273371">
        <w:rPr>
          <w:rFonts w:asciiTheme="majorHAnsi" w:hAnsiTheme="majorHAnsi" w:cs="Times New Roman"/>
        </w:rPr>
        <w:t xml:space="preserve"> (2020: </w:t>
      </w:r>
      <w:proofErr w:type="spellStart"/>
      <w:r w:rsidRPr="00273371">
        <w:rPr>
          <w:rFonts w:asciiTheme="majorHAnsi" w:hAnsiTheme="majorHAnsi" w:cs="Times New Roman"/>
        </w:rPr>
        <w:t>n.p</w:t>
      </w:r>
      <w:proofErr w:type="spellEnd"/>
      <w:r w:rsidRPr="00273371">
        <w:rPr>
          <w:rFonts w:asciiTheme="majorHAnsi" w:hAnsiTheme="majorHAnsi" w:cs="Times New Roman"/>
        </w:rPr>
        <w:t>.) puts it, the “fodder-cum-rationale for the invention of new [or at least somewhat] different strategies [of] carceral containment” which ply the slight—almost indistinguishable—historical “difference” between “the criminal and the criminally ill” to produce support for investitures in HR as a “tool of security and securitization.” But it has also created space to rejoin the calls of early HR activists to end the material, political, and social conditions that “drug problems” mask (Roe, 245; 63).</w:t>
      </w:r>
    </w:p>
    <w:p w14:paraId="76AF11A3" w14:textId="46F877B8" w:rsidR="00273371" w:rsidRPr="00273371" w:rsidRDefault="00273371" w:rsidP="00C924D2">
      <w:pPr>
        <w:numPr>
          <w:ilvl w:val="12"/>
          <w:numId w:val="0"/>
        </w:numPr>
        <w:spacing w:line="480" w:lineRule="auto"/>
        <w:ind w:firstLine="720"/>
        <w:rPr>
          <w:rFonts w:asciiTheme="majorHAnsi" w:hAnsiTheme="majorHAnsi" w:cs="Times New Roman"/>
        </w:rPr>
      </w:pPr>
      <w:r w:rsidRPr="00273371">
        <w:rPr>
          <w:rFonts w:asciiTheme="majorHAnsi" w:hAnsiTheme="majorHAnsi" w:cs="Times New Roman"/>
        </w:rPr>
        <w:t xml:space="preserve">There is no doubt that government-funded, public health-based HR programs have been successful at quelling significant “outbreaks” of </w:t>
      </w:r>
      <w:sdt>
        <w:sdtPr>
          <w:rPr>
            <w:rFonts w:asciiTheme="majorHAnsi" w:hAnsiTheme="majorHAnsi" w:cs="Times New Roman"/>
          </w:rPr>
          <w:tag w:val="goog_rdk_105"/>
          <w:id w:val="-1785959615"/>
        </w:sdtPr>
        <w:sdtContent/>
      </w:sdt>
      <w:r w:rsidRPr="00273371">
        <w:rPr>
          <w:rFonts w:asciiTheme="majorHAnsi" w:hAnsiTheme="majorHAnsi" w:cs="Times New Roman"/>
        </w:rPr>
        <w:t xml:space="preserve">HIV, viral hepatitis C among intravenous drug users (IDUs) through the distribution of clean needles in Southern Appalachia. These efforts will not however bring the multiple crises condensed within the opioid crisis to an end. They can, at best, only temporarily “resolve” them </w:t>
      </w:r>
      <w:sdt>
        <w:sdtPr>
          <w:rPr>
            <w:rFonts w:asciiTheme="majorHAnsi" w:hAnsiTheme="majorHAnsi" w:cs="Times New Roman"/>
          </w:rPr>
          <w:tag w:val="goog_rdk_106"/>
          <w:id w:val="-337782097"/>
        </w:sdtPr>
        <w:sdtContent/>
      </w:sdt>
      <w:r w:rsidRPr="00273371">
        <w:rPr>
          <w:rFonts w:asciiTheme="majorHAnsi" w:hAnsiTheme="majorHAnsi" w:cs="Times New Roman"/>
        </w:rPr>
        <w:t xml:space="preserve">by bringing the crisis to what </w:t>
      </w:r>
      <w:proofErr w:type="spellStart"/>
      <w:r w:rsidRPr="00273371">
        <w:rPr>
          <w:rFonts w:asciiTheme="majorHAnsi" w:hAnsiTheme="majorHAnsi" w:cs="Times New Roman"/>
        </w:rPr>
        <w:t>Snorton</w:t>
      </w:r>
      <w:proofErr w:type="spellEnd"/>
      <w:r w:rsidRPr="00273371">
        <w:rPr>
          <w:rFonts w:asciiTheme="majorHAnsi" w:hAnsiTheme="majorHAnsi" w:cs="Times New Roman"/>
        </w:rPr>
        <w:t xml:space="preserve"> (2020) calls an “apocryphal end,” or an end “narrated in terms of containment” that merely re/distributes the structural antagonisms, tensions, and </w:t>
      </w:r>
      <w:r w:rsidRPr="00273371">
        <w:rPr>
          <w:rFonts w:asciiTheme="majorHAnsi" w:hAnsiTheme="majorHAnsi" w:cs="Times New Roman"/>
        </w:rPr>
        <w:lastRenderedPageBreak/>
        <w:t>contradictions from which it has emerged into “new” forms of repressive drug control measures, pharmaceutical management, drug treatment and prevention services under the guise of public health</w:t>
      </w:r>
      <w:r w:rsidR="00C924D2">
        <w:rPr>
          <w:rFonts w:asciiTheme="majorHAnsi" w:hAnsiTheme="majorHAnsi" w:cs="Times New Roman"/>
        </w:rPr>
        <w:t>.</w:t>
      </w:r>
    </w:p>
    <w:p w14:paraId="6AF134B1" w14:textId="49B4D38A" w:rsidR="00C924D2" w:rsidRDefault="00273371" w:rsidP="00C52752">
      <w:pPr>
        <w:numPr>
          <w:ilvl w:val="12"/>
          <w:numId w:val="0"/>
        </w:numPr>
        <w:spacing w:line="480" w:lineRule="auto"/>
        <w:rPr>
          <w:rFonts w:asciiTheme="majorHAnsi" w:hAnsiTheme="majorHAnsi" w:cs="Times New Roman"/>
        </w:rPr>
      </w:pPr>
      <w:r w:rsidRPr="00273371">
        <w:rPr>
          <w:rFonts w:asciiTheme="majorHAnsi" w:hAnsiTheme="majorHAnsi" w:cs="Times New Roman"/>
        </w:rPr>
        <w:t>Spaces of care cannot be understood as simply coercive, however. These services are marked by a deep ambivalence between management and control. While they certainly cannot offer permanent solutions to deeply entrenched social issues, and they expand the boundaries of punishment work, they also alleviate suffering.</w:t>
      </w:r>
    </w:p>
    <w:p w14:paraId="79A7435F" w14:textId="31B943C5" w:rsidR="00C674A7" w:rsidRDefault="006242D3" w:rsidP="00D15833">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Although spaces of institutionalized </w:t>
      </w:r>
      <w:r w:rsidR="00C52752">
        <w:rPr>
          <w:rFonts w:asciiTheme="majorHAnsi" w:hAnsiTheme="majorHAnsi" w:cs="Times New Roman"/>
        </w:rPr>
        <w:t>HR</w:t>
      </w:r>
      <w:r w:rsidRPr="006242D3">
        <w:rPr>
          <w:rFonts w:asciiTheme="majorHAnsi" w:hAnsiTheme="majorHAnsi" w:cs="Times New Roman"/>
        </w:rPr>
        <w:t xml:space="preserve"> can be recognized as carceral atmosphere suffused by the miasmatic fog of stigma, these are sites that refuse stigma. In principle, harm reduction is dedicated to the “</w:t>
      </w:r>
      <w:proofErr w:type="spellStart"/>
      <w:r w:rsidRPr="006242D3">
        <w:rPr>
          <w:rFonts w:asciiTheme="majorHAnsi" w:hAnsiTheme="majorHAnsi" w:cs="Times New Roman"/>
        </w:rPr>
        <w:t>destigmatization</w:t>
      </w:r>
      <w:proofErr w:type="spellEnd"/>
      <w:r w:rsidRPr="006242D3">
        <w:rPr>
          <w:rFonts w:asciiTheme="majorHAnsi" w:hAnsiTheme="majorHAnsi" w:cs="Times New Roman"/>
        </w:rPr>
        <w:t>” of drug use/users, and thus produces a different carceral form but one that no less catalogues “risk” in the form of statistical identifiers as well as participant cards that can be shown to police.</w:t>
      </w:r>
      <w:sdt>
        <w:sdtPr>
          <w:rPr>
            <w:rFonts w:asciiTheme="majorHAnsi" w:hAnsiTheme="majorHAnsi" w:cs="Times New Roman"/>
          </w:rPr>
          <w:tag w:val="goog_rdk_426"/>
          <w:id w:val="-1488624721"/>
        </w:sdtPr>
        <w:sdtContent>
          <w:r w:rsidRPr="006242D3">
            <w:rPr>
              <w:rFonts w:asciiTheme="majorHAnsi" w:hAnsiTheme="majorHAnsi" w:cs="Times New Roman"/>
            </w:rPr>
            <w:t xml:space="preserve"> As </w:t>
          </w:r>
        </w:sdtContent>
      </w:sdt>
      <w:sdt>
        <w:sdtPr>
          <w:rPr>
            <w:rFonts w:asciiTheme="majorHAnsi" w:hAnsiTheme="majorHAnsi" w:cs="Times New Roman"/>
          </w:rPr>
          <w:tag w:val="goog_rdk_427"/>
          <w:id w:val="-1750030337"/>
        </w:sdtPr>
        <w:sdtContent>
          <w:r w:rsidRPr="006242D3">
            <w:rPr>
              <w:rFonts w:asciiTheme="majorHAnsi" w:hAnsiTheme="majorHAnsi" w:cs="Times New Roman"/>
            </w:rPr>
            <w:t xml:space="preserve">contagion, miasma, McPhee (2018) writes, both designates unacceptable and </w:t>
          </w:r>
        </w:sdtContent>
      </w:sdt>
      <w:sdt>
        <w:sdtPr>
          <w:rPr>
            <w:rFonts w:asciiTheme="majorHAnsi" w:hAnsiTheme="majorHAnsi" w:cs="Times New Roman"/>
          </w:rPr>
          <w:tag w:val="goog_rdk_428"/>
          <w:id w:val="1003099070"/>
        </w:sdtPr>
        <w:sdtContent>
          <w:r w:rsidRPr="006242D3">
            <w:rPr>
              <w:rFonts w:asciiTheme="majorHAnsi" w:hAnsiTheme="majorHAnsi" w:cs="Times New Roman"/>
            </w:rPr>
            <w:t>vulnerable</w:t>
          </w:r>
        </w:sdtContent>
      </w:sdt>
      <w:sdt>
        <w:sdtPr>
          <w:rPr>
            <w:rFonts w:asciiTheme="majorHAnsi" w:hAnsiTheme="majorHAnsi" w:cs="Times New Roman"/>
          </w:rPr>
          <w:tag w:val="goog_rdk_429"/>
          <w:id w:val="-1191524879"/>
        </w:sdtPr>
        <w:sdtContent>
          <w:r w:rsidRPr="006242D3">
            <w:rPr>
              <w:rFonts w:asciiTheme="majorHAnsi" w:hAnsiTheme="majorHAnsi" w:cs="Times New Roman"/>
            </w:rPr>
            <w:t xml:space="preserve"> conditions of marginality and “perform them as uncontainable.” </w:t>
          </w:r>
        </w:sdtContent>
      </w:sdt>
      <w:r w:rsidRPr="006242D3">
        <w:rPr>
          <w:rFonts w:asciiTheme="majorHAnsi" w:hAnsiTheme="majorHAnsi" w:cs="Times New Roman"/>
        </w:rPr>
        <w:t>Assemblages of ‘care,’ such as</w:t>
      </w:r>
      <w:r w:rsidR="006D5E2A">
        <w:rPr>
          <w:rFonts w:asciiTheme="majorHAnsi" w:hAnsiTheme="majorHAnsi" w:cs="Times New Roman"/>
        </w:rPr>
        <w:t xml:space="preserve"> public health-based HR programs</w:t>
      </w:r>
      <w:r w:rsidRPr="006242D3">
        <w:rPr>
          <w:rFonts w:asciiTheme="majorHAnsi" w:hAnsiTheme="majorHAnsi" w:cs="Times New Roman"/>
        </w:rPr>
        <w:t xml:space="preserve"> cannot be uncoupled from punishment; they are, and have historically been</w:t>
      </w:r>
      <w:r w:rsidR="002B42EF">
        <w:rPr>
          <w:rFonts w:asciiTheme="majorHAnsi" w:hAnsiTheme="majorHAnsi" w:cs="Times New Roman"/>
        </w:rPr>
        <w:t>,</w:t>
      </w:r>
      <w:r w:rsidRPr="006242D3">
        <w:rPr>
          <w:rFonts w:asciiTheme="majorHAnsi" w:hAnsiTheme="majorHAnsi" w:cs="Times New Roman"/>
        </w:rPr>
        <w:t xml:space="preserve"> a site of </w:t>
      </w:r>
      <w:proofErr w:type="spellStart"/>
      <w:r w:rsidRPr="006242D3">
        <w:rPr>
          <w:rFonts w:asciiTheme="majorHAnsi" w:hAnsiTheme="majorHAnsi" w:cs="Times New Roman"/>
        </w:rPr>
        <w:t>carcerality</w:t>
      </w:r>
      <w:proofErr w:type="spellEnd"/>
      <w:r w:rsidRPr="006242D3">
        <w:rPr>
          <w:rFonts w:asciiTheme="majorHAnsi" w:hAnsiTheme="majorHAnsi" w:cs="Times New Roman"/>
        </w:rPr>
        <w:t xml:space="preserve"> where the “abject bodies” of racialized, gendered, sexualized, and classed and dis/abled peoples have met violence of the ‘state’ as it (re)distributes itself through a necropolitical order of power. But, with decomposition, as Hughes (2011:206) notes, comes regeneration</w:t>
      </w:r>
      <w:r w:rsidR="002B42EF">
        <w:rPr>
          <w:rFonts w:asciiTheme="majorHAnsi" w:hAnsiTheme="majorHAnsi" w:cs="Times New Roman"/>
        </w:rPr>
        <w:t xml:space="preserve">—and this has </w:t>
      </w:r>
      <w:r w:rsidRPr="006242D3">
        <w:rPr>
          <w:rFonts w:asciiTheme="majorHAnsi" w:hAnsiTheme="majorHAnsi" w:cs="Times New Roman"/>
        </w:rPr>
        <w:t>political implications</w:t>
      </w:r>
      <w:r w:rsidR="00CF39AF">
        <w:rPr>
          <w:rFonts w:asciiTheme="majorHAnsi" w:hAnsiTheme="majorHAnsi" w:cs="Times New Roman"/>
        </w:rPr>
        <w:t xml:space="preserve"> for imagining</w:t>
      </w:r>
      <w:r w:rsidRPr="006242D3">
        <w:rPr>
          <w:rFonts w:asciiTheme="majorHAnsi" w:hAnsiTheme="majorHAnsi" w:cs="Times New Roman"/>
        </w:rPr>
        <w:t xml:space="preserve"> </w:t>
      </w:r>
      <w:r w:rsidR="00CF39AF">
        <w:rPr>
          <w:rFonts w:asciiTheme="majorHAnsi" w:hAnsiTheme="majorHAnsi" w:cs="Times New Roman"/>
        </w:rPr>
        <w:t>alternatives</w:t>
      </w:r>
      <w:r w:rsidRPr="006242D3">
        <w:rPr>
          <w:rFonts w:asciiTheme="majorHAnsi" w:hAnsiTheme="majorHAnsi" w:cs="Times New Roman"/>
        </w:rPr>
        <w:t xml:space="preserve">. While despondence and disorientation may be likely outcomes of the relentless crises often experienced by injection drug users, </w:t>
      </w:r>
      <w:r w:rsidR="00426597">
        <w:rPr>
          <w:rFonts w:asciiTheme="majorHAnsi" w:hAnsiTheme="majorHAnsi" w:cs="Times New Roman"/>
        </w:rPr>
        <w:t xml:space="preserve">HR </w:t>
      </w:r>
      <w:r w:rsidRPr="006242D3">
        <w:rPr>
          <w:rFonts w:asciiTheme="majorHAnsi" w:hAnsiTheme="majorHAnsi" w:cs="Times New Roman"/>
        </w:rPr>
        <w:t xml:space="preserve">emerges as a transformative site of radical care. </w:t>
      </w:r>
      <w:proofErr w:type="spellStart"/>
      <w:r w:rsidRPr="006242D3">
        <w:rPr>
          <w:rFonts w:asciiTheme="majorHAnsi" w:hAnsiTheme="majorHAnsi" w:cs="Times New Roman"/>
        </w:rPr>
        <w:t>Kawehipuaakahaopulani</w:t>
      </w:r>
      <w:proofErr w:type="spellEnd"/>
      <w:r w:rsidRPr="006242D3">
        <w:rPr>
          <w:rFonts w:asciiTheme="majorHAnsi" w:hAnsiTheme="majorHAnsi" w:cs="Times New Roman"/>
        </w:rPr>
        <w:t xml:space="preserve"> Hobart and </w:t>
      </w:r>
      <w:proofErr w:type="spellStart"/>
      <w:r w:rsidRPr="006242D3">
        <w:rPr>
          <w:rFonts w:asciiTheme="majorHAnsi" w:hAnsiTheme="majorHAnsi" w:cs="Times New Roman"/>
        </w:rPr>
        <w:t>Kneese</w:t>
      </w:r>
      <w:proofErr w:type="spellEnd"/>
      <w:r w:rsidRPr="006242D3">
        <w:rPr>
          <w:rFonts w:asciiTheme="majorHAnsi" w:hAnsiTheme="majorHAnsi" w:cs="Times New Roman"/>
        </w:rPr>
        <w:t xml:space="preserve"> (2020) </w:t>
      </w:r>
      <w:r w:rsidRPr="006242D3">
        <w:rPr>
          <w:rFonts w:asciiTheme="majorHAnsi" w:hAnsiTheme="majorHAnsi" w:cs="Times New Roman"/>
        </w:rPr>
        <w:lastRenderedPageBreak/>
        <w:t>contend that, even when these spaces are not entirely disengaged from structural inequities and normative assumptions, they are sites of potential.</w:t>
      </w:r>
    </w:p>
    <w:p w14:paraId="2FA529E0" w14:textId="15CC3A01" w:rsidR="006242D3" w:rsidRPr="006242D3" w:rsidRDefault="006D5665" w:rsidP="00C924D2">
      <w:pPr>
        <w:numPr>
          <w:ilvl w:val="12"/>
          <w:numId w:val="0"/>
        </w:numPr>
        <w:spacing w:line="480" w:lineRule="auto"/>
        <w:ind w:firstLine="720"/>
        <w:rPr>
          <w:rFonts w:asciiTheme="majorHAnsi" w:hAnsiTheme="majorHAnsi" w:cs="Times New Roman"/>
        </w:rPr>
      </w:pPr>
      <w:r>
        <w:rPr>
          <w:rFonts w:asciiTheme="majorHAnsi" w:hAnsiTheme="majorHAnsi" w:cs="Times New Roman"/>
        </w:rPr>
        <w:t>T</w:t>
      </w:r>
      <w:r w:rsidR="006242D3" w:rsidRPr="006242D3">
        <w:rPr>
          <w:rFonts w:asciiTheme="majorHAnsi" w:hAnsiTheme="majorHAnsi" w:cs="Times New Roman"/>
        </w:rPr>
        <w:t xml:space="preserve">he framework of </w:t>
      </w:r>
      <w:r w:rsidR="009A7786">
        <w:rPr>
          <w:rFonts w:asciiTheme="majorHAnsi" w:hAnsiTheme="majorHAnsi" w:cs="Times New Roman"/>
        </w:rPr>
        <w:t>HR</w:t>
      </w:r>
      <w:r w:rsidR="006242D3" w:rsidRPr="006242D3">
        <w:rPr>
          <w:rFonts w:asciiTheme="majorHAnsi" w:hAnsiTheme="majorHAnsi" w:cs="Times New Roman"/>
        </w:rPr>
        <w:t xml:space="preserve"> is highly contested; both within and between communities of activists and organizers committed to the struggle and by the ‘state’ and its apparatuses.</w:t>
      </w:r>
      <w:r w:rsidR="00C674A7">
        <w:rPr>
          <w:rFonts w:asciiTheme="majorHAnsi" w:hAnsiTheme="majorHAnsi" w:cs="Times New Roman"/>
        </w:rPr>
        <w:t xml:space="preserve"> </w:t>
      </w:r>
      <w:r w:rsidR="006242D3" w:rsidRPr="006242D3">
        <w:rPr>
          <w:rFonts w:asciiTheme="majorHAnsi" w:hAnsiTheme="majorHAnsi" w:cs="Times New Roman"/>
        </w:rPr>
        <w:t xml:space="preserve">Within this struggle, there are serious disparities in power which should not be taken for granted. ‘The state’ holds a monopoly on violence, yet within the fissures of its assemblage—as like bodies encounter and build power—it can be (re)imagined by an abolition affective praxis. </w:t>
      </w:r>
      <w:proofErr w:type="spellStart"/>
      <w:r w:rsidR="006242D3" w:rsidRPr="006242D3">
        <w:rPr>
          <w:rFonts w:asciiTheme="majorHAnsi" w:hAnsiTheme="majorHAnsi" w:cs="Times New Roman"/>
        </w:rPr>
        <w:t>Schept</w:t>
      </w:r>
      <w:proofErr w:type="spellEnd"/>
      <w:r w:rsidR="006242D3" w:rsidRPr="006242D3">
        <w:rPr>
          <w:rFonts w:asciiTheme="majorHAnsi" w:hAnsiTheme="majorHAnsi" w:cs="Times New Roman"/>
        </w:rPr>
        <w:t xml:space="preserve"> and Brown (2016:11) contend, “if notions of justice are severed from state punishment and instead understood as fundamentally social—joined inextricably to individual and collective safety from all violence, including the violence of precarity and the violence of the state—then we may begin to imagine new ways of addressing our needs.” Institutionalized sites of singular-service harm reduction are incapable of meeting the needs of multiply marginalized drug users, not least because care is so deeply entwined with the carceral within them; nor is it the intention. The punitive relies upon the supportive to conceal those that “trouble” and to (re)produce the dominant order; yet, within those gaps something else arises—furtive care networks where, in this case drug users, create communities of mutual support that provide access to resources, like food, shelter, transportation.</w:t>
      </w:r>
    </w:p>
    <w:p w14:paraId="4784F66A" w14:textId="77777777" w:rsidR="002E0E3E" w:rsidRDefault="006242D3" w:rsidP="002E0E3E">
      <w:pPr>
        <w:numPr>
          <w:ilvl w:val="12"/>
          <w:numId w:val="0"/>
        </w:numPr>
        <w:spacing w:line="480" w:lineRule="auto"/>
        <w:ind w:firstLine="720"/>
        <w:rPr>
          <w:rFonts w:asciiTheme="majorHAnsi" w:hAnsiTheme="majorHAnsi" w:cs="Times New Roman"/>
        </w:rPr>
      </w:pPr>
      <w:r w:rsidRPr="006242D3">
        <w:rPr>
          <w:rFonts w:asciiTheme="majorHAnsi" w:hAnsiTheme="majorHAnsi" w:cs="Times New Roman"/>
        </w:rPr>
        <w:t xml:space="preserve">The institutionalization of harm reduction may have brought these practices “above-ground,” but they are still mired in the radical roots of the framework’s inception. While the historiography of </w:t>
      </w:r>
      <w:r w:rsidR="00AE57D6">
        <w:rPr>
          <w:rFonts w:asciiTheme="majorHAnsi" w:hAnsiTheme="majorHAnsi" w:cs="Times New Roman"/>
        </w:rPr>
        <w:t>HR</w:t>
      </w:r>
      <w:r w:rsidRPr="006242D3">
        <w:rPr>
          <w:rFonts w:asciiTheme="majorHAnsi" w:hAnsiTheme="majorHAnsi" w:cs="Times New Roman"/>
        </w:rPr>
        <w:t xml:space="preserve"> is full of divisions and contestation, it is within those contingencies where its affective practices are mobilized by drug users</w:t>
      </w:r>
      <w:r w:rsidR="00AE57D6">
        <w:rPr>
          <w:rFonts w:asciiTheme="majorHAnsi" w:hAnsiTheme="majorHAnsi" w:cs="Times New Roman"/>
        </w:rPr>
        <w:t xml:space="preserve">, organizers, and activists </w:t>
      </w:r>
      <w:r w:rsidRPr="006242D3">
        <w:rPr>
          <w:rFonts w:asciiTheme="majorHAnsi" w:hAnsiTheme="majorHAnsi" w:cs="Times New Roman"/>
        </w:rPr>
        <w:t xml:space="preserve">committed to the struggle to (re)define harm and imagine what </w:t>
      </w:r>
      <w:proofErr w:type="spellStart"/>
      <w:r w:rsidRPr="006242D3">
        <w:rPr>
          <w:rFonts w:asciiTheme="majorHAnsi" w:hAnsiTheme="majorHAnsi" w:cs="Times New Roman"/>
        </w:rPr>
        <w:t>Kawehipuaakahaopulani</w:t>
      </w:r>
      <w:proofErr w:type="spellEnd"/>
      <w:r w:rsidRPr="006242D3">
        <w:rPr>
          <w:rFonts w:asciiTheme="majorHAnsi" w:hAnsiTheme="majorHAnsi" w:cs="Times New Roman"/>
        </w:rPr>
        <w:t xml:space="preserve"> </w:t>
      </w:r>
      <w:r w:rsidRPr="006242D3">
        <w:rPr>
          <w:rFonts w:asciiTheme="majorHAnsi" w:hAnsiTheme="majorHAnsi" w:cs="Times New Roman"/>
        </w:rPr>
        <w:lastRenderedPageBreak/>
        <w:t xml:space="preserve">Hobart &amp; </w:t>
      </w:r>
      <w:proofErr w:type="spellStart"/>
      <w:r w:rsidRPr="006242D3">
        <w:rPr>
          <w:rFonts w:asciiTheme="majorHAnsi" w:hAnsiTheme="majorHAnsi" w:cs="Times New Roman"/>
        </w:rPr>
        <w:t>Kneese</w:t>
      </w:r>
      <w:proofErr w:type="spellEnd"/>
      <w:r w:rsidRPr="006242D3">
        <w:rPr>
          <w:rFonts w:asciiTheme="majorHAnsi" w:hAnsiTheme="majorHAnsi" w:cs="Times New Roman"/>
        </w:rPr>
        <w:t>, citing Povinelli (2021), call</w:t>
      </w:r>
      <w:r w:rsidR="003A1A91">
        <w:rPr>
          <w:rFonts w:asciiTheme="majorHAnsi" w:hAnsiTheme="majorHAnsi" w:cs="Times New Roman"/>
        </w:rPr>
        <w:t xml:space="preserve"> an </w:t>
      </w:r>
      <w:r w:rsidRPr="006242D3">
        <w:rPr>
          <w:rFonts w:asciiTheme="majorHAnsi" w:hAnsiTheme="majorHAnsi" w:cs="Times New Roman"/>
        </w:rPr>
        <w:t>“otherwise”—where radical nature emerges through people’s audacity to produce and apply, effect (and affect) care in spite of dark histories and futures.</w:t>
      </w:r>
      <w:r w:rsidR="00191AF4">
        <w:rPr>
          <w:rFonts w:asciiTheme="majorHAnsi" w:hAnsiTheme="majorHAnsi" w:cs="Times New Roman"/>
        </w:rPr>
        <w:t xml:space="preserve"> </w:t>
      </w:r>
      <w:r w:rsidR="00EE1631" w:rsidRPr="00EE1631">
        <w:rPr>
          <w:rFonts w:asciiTheme="majorHAnsi" w:hAnsiTheme="majorHAnsi" w:cs="Times New Roman"/>
          <w:bCs/>
        </w:rPr>
        <w:t xml:space="preserve">Public health-based sites of </w:t>
      </w:r>
      <w:r w:rsidR="00CF7618">
        <w:rPr>
          <w:rFonts w:asciiTheme="majorHAnsi" w:hAnsiTheme="majorHAnsi" w:cs="Times New Roman"/>
          <w:bCs/>
        </w:rPr>
        <w:t>HR</w:t>
      </w:r>
      <w:r w:rsidR="00EE1631" w:rsidRPr="00EE1631">
        <w:rPr>
          <w:rFonts w:asciiTheme="majorHAnsi" w:hAnsiTheme="majorHAnsi" w:cs="Times New Roman"/>
          <w:bCs/>
        </w:rPr>
        <w:t xml:space="preserve"> enrich analyses of political life by highlighting the embodied practices of resistance that are emergent within it. </w:t>
      </w:r>
      <w:r w:rsidR="00C924D2">
        <w:rPr>
          <w:rFonts w:asciiTheme="majorHAnsi" w:hAnsiTheme="majorHAnsi" w:cs="Times New Roman"/>
          <w:bCs/>
        </w:rPr>
        <w:t xml:space="preserve">Within these sites the </w:t>
      </w:r>
      <w:r w:rsidR="00EE1631" w:rsidRPr="00EE1631">
        <w:rPr>
          <w:rFonts w:asciiTheme="majorHAnsi" w:hAnsiTheme="majorHAnsi" w:cs="Times New Roman"/>
          <w:bCs/>
        </w:rPr>
        <w:t xml:space="preserve">carceral is encountered but this encounter is never ‘complete;’ </w:t>
      </w:r>
      <w:r w:rsidR="00C924D2">
        <w:rPr>
          <w:rFonts w:asciiTheme="majorHAnsi" w:hAnsiTheme="majorHAnsi" w:cs="Times New Roman"/>
          <w:bCs/>
        </w:rPr>
        <w:t>it is</w:t>
      </w:r>
      <w:r w:rsidR="00EE1631" w:rsidRPr="00EE1631">
        <w:rPr>
          <w:rFonts w:asciiTheme="majorHAnsi" w:hAnsiTheme="majorHAnsi" w:cs="Times New Roman"/>
          <w:bCs/>
        </w:rPr>
        <w:t xml:space="preserve"> </w:t>
      </w:r>
      <w:proofErr w:type="spellStart"/>
      <w:r w:rsidR="00EE1631" w:rsidRPr="00EE1631">
        <w:rPr>
          <w:rFonts w:asciiTheme="majorHAnsi" w:hAnsiTheme="majorHAnsi" w:cs="Times New Roman"/>
          <w:bCs/>
        </w:rPr>
        <w:t>is</w:t>
      </w:r>
      <w:proofErr w:type="spellEnd"/>
      <w:r w:rsidR="00EE1631" w:rsidRPr="00EE1631">
        <w:rPr>
          <w:rFonts w:asciiTheme="majorHAnsi" w:hAnsiTheme="majorHAnsi" w:cs="Times New Roman"/>
          <w:bCs/>
        </w:rPr>
        <w:t xml:space="preserve"> not totalizing.</w:t>
      </w:r>
      <w:r w:rsidR="002E0E3E" w:rsidRPr="002E0E3E">
        <w:rPr>
          <w:rFonts w:asciiTheme="majorHAnsi" w:hAnsiTheme="majorHAnsi" w:cs="Times New Roman"/>
        </w:rPr>
        <w:t xml:space="preserve"> </w:t>
      </w:r>
    </w:p>
    <w:p w14:paraId="2FAF5924" w14:textId="3FD2471C" w:rsidR="006D5665" w:rsidRDefault="002E0E3E" w:rsidP="00405A2C">
      <w:pPr>
        <w:numPr>
          <w:ilvl w:val="12"/>
          <w:numId w:val="0"/>
        </w:numPr>
        <w:spacing w:line="480" w:lineRule="auto"/>
        <w:ind w:firstLine="720"/>
        <w:rPr>
          <w:rFonts w:asciiTheme="majorHAnsi" w:hAnsiTheme="majorHAnsi" w:cs="Times New Roman"/>
        </w:rPr>
      </w:pPr>
      <w:r w:rsidRPr="009A3D51">
        <w:rPr>
          <w:rFonts w:asciiTheme="majorHAnsi" w:hAnsiTheme="majorHAnsi" w:cs="Times New Roman"/>
        </w:rPr>
        <w:t xml:space="preserve">In the past decade, the </w:t>
      </w:r>
      <w:r>
        <w:rPr>
          <w:rFonts w:asciiTheme="majorHAnsi" w:hAnsiTheme="majorHAnsi" w:cs="Times New Roman"/>
        </w:rPr>
        <w:t>US</w:t>
      </w:r>
      <w:r w:rsidRPr="009A3D51">
        <w:rPr>
          <w:rFonts w:asciiTheme="majorHAnsi" w:hAnsiTheme="majorHAnsi" w:cs="Times New Roman"/>
        </w:rPr>
        <w:t xml:space="preserve"> has seen a vast expansion of </w:t>
      </w:r>
      <w:r>
        <w:rPr>
          <w:rFonts w:asciiTheme="majorHAnsi" w:hAnsiTheme="majorHAnsi" w:cs="Times New Roman"/>
        </w:rPr>
        <w:t>HR</w:t>
      </w:r>
      <w:r w:rsidRPr="009A3D51">
        <w:rPr>
          <w:rFonts w:asciiTheme="majorHAnsi" w:hAnsiTheme="majorHAnsi" w:cs="Times New Roman"/>
        </w:rPr>
        <w:t xml:space="preserve"> services throughout the country, with an influx of programs being established in rural regions—like </w:t>
      </w:r>
      <w:r>
        <w:rPr>
          <w:rFonts w:asciiTheme="majorHAnsi" w:hAnsiTheme="majorHAnsi" w:cs="Times New Roman"/>
        </w:rPr>
        <w:t>Southern Appalachia</w:t>
      </w:r>
      <w:r w:rsidRPr="009A3D51">
        <w:rPr>
          <w:rFonts w:asciiTheme="majorHAnsi" w:hAnsiTheme="majorHAnsi" w:cs="Times New Roman"/>
        </w:rPr>
        <w:t xml:space="preserve">—in the effort to combat endemic rates of opioid overdose deaths. The implementation of such programs, such as </w:t>
      </w:r>
      <w:r>
        <w:rPr>
          <w:rFonts w:asciiTheme="majorHAnsi" w:hAnsiTheme="majorHAnsi" w:cs="Times New Roman"/>
        </w:rPr>
        <w:t>NEPs</w:t>
      </w:r>
      <w:r w:rsidRPr="009A3D51">
        <w:rPr>
          <w:rFonts w:asciiTheme="majorHAnsi" w:hAnsiTheme="majorHAnsi" w:cs="Times New Roman"/>
        </w:rPr>
        <w:t xml:space="preserve"> and naloxone distribution sites, is an achievement hard won by drug-user communities, grassroots activists, and allies who have fought tirelessly against moralistic condemnation and hyper-punitive drug control policies to obtain access to health, healthcare, and other vital resources while drug use is continue</w:t>
      </w:r>
      <w:r w:rsidR="00100671">
        <w:rPr>
          <w:rFonts w:asciiTheme="majorHAnsi" w:hAnsiTheme="majorHAnsi" w:cs="Times New Roman"/>
        </w:rPr>
        <w:t>d.</w:t>
      </w:r>
      <w:r w:rsidR="009A7786">
        <w:rPr>
          <w:rFonts w:asciiTheme="majorHAnsi" w:hAnsiTheme="majorHAnsi" w:cs="Times New Roman"/>
        </w:rPr>
        <w:t xml:space="preserve"> </w:t>
      </w:r>
      <w:r w:rsidR="00030CA9">
        <w:rPr>
          <w:rFonts w:asciiTheme="majorHAnsi" w:hAnsiTheme="majorHAnsi" w:cs="Times New Roman"/>
        </w:rPr>
        <w:t xml:space="preserve">However, these programs will not bring the crises condensed within the opioid crisis to an end for drug users. </w:t>
      </w:r>
      <w:r w:rsidR="00B016BB">
        <w:rPr>
          <w:rFonts w:asciiTheme="majorHAnsi" w:hAnsiTheme="majorHAnsi" w:cs="Times New Roman"/>
        </w:rPr>
        <w:t>To move this project forward necessitates actively</w:t>
      </w:r>
      <w:r w:rsidR="000F2E7B">
        <w:rPr>
          <w:rFonts w:asciiTheme="majorHAnsi" w:hAnsiTheme="majorHAnsi" w:cs="Times New Roman"/>
        </w:rPr>
        <w:t xml:space="preserve"> working</w:t>
      </w:r>
      <w:r w:rsidR="00B016BB">
        <w:rPr>
          <w:rFonts w:asciiTheme="majorHAnsi" w:hAnsiTheme="majorHAnsi" w:cs="Times New Roman"/>
        </w:rPr>
        <w:t xml:space="preserve"> within those spaces</w:t>
      </w:r>
      <w:r w:rsidR="00405A2C">
        <w:rPr>
          <w:rFonts w:asciiTheme="majorHAnsi" w:hAnsiTheme="majorHAnsi" w:cs="Times New Roman"/>
        </w:rPr>
        <w:t>.</w:t>
      </w:r>
    </w:p>
    <w:p w14:paraId="00FED105" w14:textId="582D3BE3" w:rsidR="003B3E1D" w:rsidRDefault="003B3E1D" w:rsidP="00405A2C">
      <w:pPr>
        <w:numPr>
          <w:ilvl w:val="12"/>
          <w:numId w:val="0"/>
        </w:numPr>
        <w:spacing w:line="480" w:lineRule="auto"/>
        <w:ind w:firstLine="720"/>
        <w:rPr>
          <w:rFonts w:asciiTheme="majorHAnsi" w:hAnsiTheme="majorHAnsi" w:cs="Times New Roman"/>
        </w:rPr>
      </w:pPr>
    </w:p>
    <w:p w14:paraId="5A5F4CEE" w14:textId="749CF8DE" w:rsidR="003B3E1D" w:rsidRDefault="003B3E1D" w:rsidP="00405A2C">
      <w:pPr>
        <w:numPr>
          <w:ilvl w:val="12"/>
          <w:numId w:val="0"/>
        </w:numPr>
        <w:spacing w:line="480" w:lineRule="auto"/>
        <w:ind w:firstLine="720"/>
        <w:rPr>
          <w:rFonts w:asciiTheme="majorHAnsi" w:hAnsiTheme="majorHAnsi" w:cs="Times New Roman"/>
        </w:rPr>
      </w:pPr>
    </w:p>
    <w:p w14:paraId="4504495F" w14:textId="1429CF6E" w:rsidR="003B3E1D" w:rsidRDefault="003B3E1D" w:rsidP="00405A2C">
      <w:pPr>
        <w:numPr>
          <w:ilvl w:val="12"/>
          <w:numId w:val="0"/>
        </w:numPr>
        <w:spacing w:line="480" w:lineRule="auto"/>
        <w:ind w:firstLine="720"/>
        <w:rPr>
          <w:rFonts w:asciiTheme="majorHAnsi" w:hAnsiTheme="majorHAnsi" w:cs="Times New Roman"/>
        </w:rPr>
      </w:pPr>
    </w:p>
    <w:p w14:paraId="23075B2C" w14:textId="6BE17010" w:rsidR="003B3E1D" w:rsidRDefault="003B3E1D" w:rsidP="00405A2C">
      <w:pPr>
        <w:numPr>
          <w:ilvl w:val="12"/>
          <w:numId w:val="0"/>
        </w:numPr>
        <w:spacing w:line="480" w:lineRule="auto"/>
        <w:ind w:firstLine="720"/>
        <w:rPr>
          <w:rFonts w:asciiTheme="majorHAnsi" w:hAnsiTheme="majorHAnsi" w:cs="Times New Roman"/>
        </w:rPr>
      </w:pPr>
    </w:p>
    <w:p w14:paraId="4294F4BF" w14:textId="0C7B161C" w:rsidR="003B3E1D" w:rsidRDefault="003B3E1D" w:rsidP="00405A2C">
      <w:pPr>
        <w:numPr>
          <w:ilvl w:val="12"/>
          <w:numId w:val="0"/>
        </w:numPr>
        <w:spacing w:line="480" w:lineRule="auto"/>
        <w:ind w:firstLine="720"/>
        <w:rPr>
          <w:rFonts w:asciiTheme="majorHAnsi" w:hAnsiTheme="majorHAnsi" w:cs="Times New Roman"/>
        </w:rPr>
      </w:pPr>
    </w:p>
    <w:p w14:paraId="690BDF3A" w14:textId="1B750ECE" w:rsidR="003B3E1D" w:rsidRDefault="003B3E1D" w:rsidP="00405A2C">
      <w:pPr>
        <w:numPr>
          <w:ilvl w:val="12"/>
          <w:numId w:val="0"/>
        </w:numPr>
        <w:spacing w:line="480" w:lineRule="auto"/>
        <w:ind w:firstLine="720"/>
        <w:rPr>
          <w:rFonts w:asciiTheme="majorHAnsi" w:hAnsiTheme="majorHAnsi" w:cs="Times New Roman"/>
        </w:rPr>
      </w:pPr>
    </w:p>
    <w:p w14:paraId="74C5C275" w14:textId="41B743F1" w:rsidR="003B3E1D" w:rsidRDefault="003B3E1D" w:rsidP="00405A2C">
      <w:pPr>
        <w:numPr>
          <w:ilvl w:val="12"/>
          <w:numId w:val="0"/>
        </w:numPr>
        <w:spacing w:line="480" w:lineRule="auto"/>
        <w:ind w:firstLine="720"/>
        <w:rPr>
          <w:rFonts w:asciiTheme="majorHAnsi" w:hAnsiTheme="majorHAnsi" w:cs="Times New Roman"/>
        </w:rPr>
      </w:pPr>
    </w:p>
    <w:p w14:paraId="56634941" w14:textId="52553654" w:rsidR="00236E6D" w:rsidRPr="006242D3" w:rsidRDefault="00236E6D" w:rsidP="009327D0">
      <w:pPr>
        <w:pStyle w:val="AltHeading1"/>
      </w:pPr>
      <w:bookmarkStart w:id="55" w:name="_Toc427156483"/>
      <w:bookmarkStart w:id="56" w:name="_Toc133884537"/>
      <w:r w:rsidRPr="006242D3">
        <w:lastRenderedPageBreak/>
        <w:t>L</w:t>
      </w:r>
      <w:r w:rsidR="00E91931" w:rsidRPr="006242D3">
        <w:t>ist of References</w:t>
      </w:r>
      <w:bookmarkEnd w:id="46"/>
      <w:bookmarkEnd w:id="47"/>
      <w:bookmarkEnd w:id="55"/>
      <w:bookmarkEnd w:id="56"/>
    </w:p>
    <w:p w14:paraId="147D3A07"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86" w:hanging="486"/>
        <w:rPr>
          <w:rFonts w:ascii="Cambria" w:hAnsi="Cambria" w:cs="Times New Roman"/>
        </w:rPr>
      </w:pPr>
      <w:r w:rsidRPr="00A63FC7">
        <w:rPr>
          <w:rFonts w:ascii="Cambria" w:hAnsi="Cambria" w:cs="Times New Roman"/>
        </w:rPr>
        <w:t xml:space="preserve">ACLU. (n.d.). </w:t>
      </w:r>
      <w:r w:rsidRPr="00A63FC7">
        <w:rPr>
          <w:rFonts w:ascii="Cambria" w:hAnsi="Cambria" w:cs="Times New Roman"/>
          <w:i/>
          <w:iCs/>
        </w:rPr>
        <w:t>Against Drug Prohibition</w:t>
      </w:r>
      <w:r w:rsidRPr="00A63FC7">
        <w:rPr>
          <w:rFonts w:ascii="Cambria" w:hAnsi="Cambria" w:cs="Times New Roman"/>
        </w:rPr>
        <w:t xml:space="preserve">. American Civil Liberties Union. Retrieved April 28, 2023, from </w:t>
      </w:r>
      <w:hyperlink r:id="rId24" w:history="1">
        <w:r w:rsidRPr="00A63FC7">
          <w:rPr>
            <w:rStyle w:val="Hyperlink"/>
            <w:rFonts w:ascii="Cambria" w:hAnsi="Cambria" w:cs="Times New Roman"/>
          </w:rPr>
          <w:t>https://www.aclu.org/other/against-drug-prohibition</w:t>
        </w:r>
      </w:hyperlink>
    </w:p>
    <w:p w14:paraId="2327E820"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360" w:hanging="360"/>
        <w:rPr>
          <w:rFonts w:ascii="Cambria" w:hAnsi="Cambria" w:cs="Times New Roman"/>
        </w:rPr>
      </w:pPr>
      <w:r w:rsidRPr="00A63FC7">
        <w:rPr>
          <w:rFonts w:ascii="Cambria" w:hAnsi="Cambria" w:cs="Times New Roman"/>
        </w:rPr>
        <w:t xml:space="preserve">ACLU. (2022). </w:t>
      </w:r>
      <w:r w:rsidRPr="00A63FC7">
        <w:rPr>
          <w:rFonts w:ascii="Cambria" w:hAnsi="Cambria" w:cs="Times New Roman"/>
          <w:i/>
          <w:iCs/>
        </w:rPr>
        <w:t>Against Drug Prohibition</w:t>
      </w:r>
      <w:r w:rsidRPr="00A63FC7">
        <w:rPr>
          <w:rFonts w:ascii="Cambria" w:hAnsi="Cambria" w:cs="Times New Roman"/>
        </w:rPr>
        <w:t xml:space="preserve">. American Civil Liberties Union. </w:t>
      </w:r>
      <w:hyperlink r:id="rId25" w:history="1">
        <w:r w:rsidRPr="00A63FC7">
          <w:rPr>
            <w:rStyle w:val="Hyperlink"/>
            <w:rFonts w:ascii="Cambria" w:hAnsi="Cambria" w:cs="Times New Roman"/>
          </w:rPr>
          <w:t>https://www.aclu.org/other/against-drug-prohibition</w:t>
        </w:r>
      </w:hyperlink>
    </w:p>
    <w:p w14:paraId="4D00E2FE"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360" w:hanging="360"/>
        <w:rPr>
          <w:rFonts w:ascii="Cambria" w:hAnsi="Cambria" w:cs="Times New Roman"/>
        </w:rPr>
      </w:pPr>
      <w:r w:rsidRPr="00A63FC7">
        <w:rPr>
          <w:rFonts w:ascii="Cambria" w:hAnsi="Cambria" w:cs="Times New Roman"/>
        </w:rPr>
        <w:t xml:space="preserve">ACTUP Archive. (1987). </w:t>
      </w:r>
      <w:proofErr w:type="spellStart"/>
      <w:r w:rsidRPr="00A63FC7">
        <w:rPr>
          <w:rFonts w:ascii="Cambria" w:hAnsi="Cambria" w:cs="Times New Roman"/>
          <w:i/>
          <w:iCs/>
        </w:rPr>
        <w:t>AIDSGate</w:t>
      </w:r>
      <w:proofErr w:type="spellEnd"/>
      <w:r w:rsidRPr="00A63FC7">
        <w:rPr>
          <w:rFonts w:ascii="Cambria" w:hAnsi="Cambria" w:cs="Times New Roman"/>
          <w:i/>
          <w:iCs/>
        </w:rPr>
        <w:t>. This political scandal must be investigated! | AIDS Education Posters</w:t>
      </w:r>
      <w:r w:rsidRPr="00A63FC7">
        <w:rPr>
          <w:rFonts w:ascii="Cambria" w:hAnsi="Cambria" w:cs="Times New Roman"/>
        </w:rPr>
        <w:t xml:space="preserve">. </w:t>
      </w:r>
      <w:hyperlink r:id="rId26" w:history="1">
        <w:r w:rsidRPr="00A63FC7">
          <w:rPr>
            <w:rStyle w:val="Hyperlink"/>
            <w:rFonts w:ascii="Cambria" w:hAnsi="Cambria" w:cs="Times New Roman"/>
          </w:rPr>
          <w:t>https://aep.lib.rochester.edu/node/41635</w:t>
        </w:r>
      </w:hyperlink>
    </w:p>
    <w:p w14:paraId="361109F5"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360" w:hanging="360"/>
        <w:rPr>
          <w:rFonts w:ascii="Cambria" w:hAnsi="Cambria" w:cs="Times New Roman"/>
        </w:rPr>
      </w:pPr>
      <w:proofErr w:type="spellStart"/>
      <w:r w:rsidRPr="00A63FC7">
        <w:rPr>
          <w:rFonts w:ascii="Cambria" w:hAnsi="Cambria" w:cs="Times New Roman"/>
        </w:rPr>
        <w:t>Åhäll</w:t>
      </w:r>
      <w:proofErr w:type="spellEnd"/>
      <w:r w:rsidRPr="00A63FC7">
        <w:rPr>
          <w:rFonts w:ascii="Cambria" w:hAnsi="Cambria" w:cs="Times New Roman"/>
        </w:rPr>
        <w:t xml:space="preserve">, L. (2019). Feeling Everyday IR: Embodied, affective, </w:t>
      </w:r>
      <w:proofErr w:type="spellStart"/>
      <w:r w:rsidRPr="00A63FC7">
        <w:rPr>
          <w:rFonts w:ascii="Cambria" w:hAnsi="Cambria" w:cs="Times New Roman"/>
        </w:rPr>
        <w:t>militarising</w:t>
      </w:r>
      <w:proofErr w:type="spellEnd"/>
      <w:r w:rsidRPr="00A63FC7">
        <w:rPr>
          <w:rFonts w:ascii="Cambria" w:hAnsi="Cambria" w:cs="Times New Roman"/>
        </w:rPr>
        <w:t xml:space="preserve"> movement as choreography of war. </w:t>
      </w:r>
      <w:r w:rsidRPr="00A63FC7">
        <w:rPr>
          <w:rFonts w:ascii="Cambria" w:hAnsi="Cambria" w:cs="Times New Roman"/>
          <w:i/>
          <w:iCs/>
        </w:rPr>
        <w:t>Cooperation and Conflict</w:t>
      </w:r>
      <w:r w:rsidRPr="00A63FC7">
        <w:rPr>
          <w:rFonts w:ascii="Cambria" w:hAnsi="Cambria" w:cs="Times New Roman"/>
        </w:rPr>
        <w:t xml:space="preserve">, </w:t>
      </w:r>
      <w:r w:rsidRPr="00A63FC7">
        <w:rPr>
          <w:rFonts w:ascii="Cambria" w:hAnsi="Cambria" w:cs="Times New Roman"/>
          <w:i/>
          <w:iCs/>
        </w:rPr>
        <w:t>54</w:t>
      </w:r>
      <w:r w:rsidRPr="00A63FC7">
        <w:rPr>
          <w:rFonts w:ascii="Cambria" w:hAnsi="Cambria" w:cs="Times New Roman"/>
        </w:rPr>
        <w:t xml:space="preserve">(2), 149–166. </w:t>
      </w:r>
      <w:hyperlink r:id="rId27" w:history="1">
        <w:r w:rsidRPr="00A63FC7">
          <w:rPr>
            <w:rStyle w:val="Hyperlink"/>
            <w:rFonts w:ascii="Cambria" w:hAnsi="Cambria" w:cs="Times New Roman"/>
          </w:rPr>
          <w:t>https://doi.org/10.1177/0010836718807501</w:t>
        </w:r>
      </w:hyperlink>
    </w:p>
    <w:p w14:paraId="46B7D41F"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50" w:hanging="450"/>
        <w:rPr>
          <w:rFonts w:ascii="Cambria" w:hAnsi="Cambria" w:cs="Times New Roman"/>
        </w:rPr>
      </w:pPr>
      <w:r w:rsidRPr="00A63FC7">
        <w:rPr>
          <w:rFonts w:ascii="Cambria" w:hAnsi="Cambria" w:cs="Times New Roman"/>
        </w:rPr>
        <w:t xml:space="preserve">Ahmed, S. (2014). </w:t>
      </w:r>
      <w:r w:rsidRPr="00A63FC7">
        <w:rPr>
          <w:rFonts w:ascii="Cambria" w:hAnsi="Cambria" w:cs="Times New Roman"/>
          <w:i/>
          <w:iCs/>
        </w:rPr>
        <w:t>The Cultural Politics of Emotion</w:t>
      </w:r>
      <w:r w:rsidRPr="00A63FC7">
        <w:rPr>
          <w:rFonts w:ascii="Cambria" w:hAnsi="Cambria" w:cs="Times New Roman"/>
        </w:rPr>
        <w:t xml:space="preserve"> (NED-New edition, 2). Edinburgh University Press. </w:t>
      </w:r>
      <w:hyperlink r:id="rId28" w:history="1">
        <w:r w:rsidRPr="00A63FC7">
          <w:rPr>
            <w:rStyle w:val="Hyperlink"/>
            <w:rFonts w:ascii="Cambria" w:hAnsi="Cambria" w:cs="Times New Roman"/>
          </w:rPr>
          <w:t>https://www.jstor.org.proxy.lib.utk.edu:90/stable/10.3366/j.ctt1g09x4q</w:t>
        </w:r>
      </w:hyperlink>
    </w:p>
    <w:p w14:paraId="1551741E"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Akbar, A. (2020). An Abolitionist Horizon for Police (Reform). </w:t>
      </w:r>
      <w:r w:rsidRPr="00A63FC7">
        <w:rPr>
          <w:rFonts w:ascii="Cambria" w:hAnsi="Cambria" w:cs="Times New Roman"/>
          <w:i/>
          <w:iCs/>
        </w:rPr>
        <w:t>SSRN Electronic Journal</w:t>
      </w:r>
      <w:r w:rsidRPr="00A63FC7">
        <w:rPr>
          <w:rFonts w:ascii="Cambria" w:hAnsi="Cambria" w:cs="Times New Roman"/>
        </w:rPr>
        <w:t xml:space="preserve">. </w:t>
      </w:r>
      <w:hyperlink r:id="rId29" w:history="1">
        <w:r w:rsidRPr="00A63FC7">
          <w:rPr>
            <w:rStyle w:val="Hyperlink"/>
            <w:rFonts w:ascii="Cambria" w:hAnsi="Cambria" w:cs="Times New Roman"/>
          </w:rPr>
          <w:t>https://doi.org/10.2139/ssrn.3670952</w:t>
        </w:r>
      </w:hyperlink>
    </w:p>
    <w:p w14:paraId="70E067FB"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Altman, C. (n.d.). </w:t>
      </w:r>
      <w:r w:rsidRPr="00A63FC7">
        <w:rPr>
          <w:rFonts w:ascii="Cambria" w:hAnsi="Cambria" w:cs="Times New Roman"/>
          <w:i/>
          <w:iCs/>
        </w:rPr>
        <w:t>Lift clean needle exchange ban in name of public health</w:t>
      </w:r>
      <w:r w:rsidRPr="00A63FC7">
        <w:rPr>
          <w:rFonts w:ascii="Cambria" w:hAnsi="Cambria" w:cs="Times New Roman"/>
        </w:rPr>
        <w:t xml:space="preserve">. The Courier-Journal. Retrieved March 30, 2023, from </w:t>
      </w:r>
      <w:hyperlink r:id="rId30" w:history="1">
        <w:r w:rsidRPr="00A63FC7">
          <w:rPr>
            <w:rStyle w:val="Hyperlink"/>
            <w:rFonts w:ascii="Cambria" w:hAnsi="Cambria" w:cs="Times New Roman"/>
          </w:rPr>
          <w:t>https://www.courier-journal.com/story/opinion/contributors/2015/03/24/lift-clean-needle-exchange-ban-name-public-health/70371456/</w:t>
        </w:r>
      </w:hyperlink>
    </w:p>
    <w:p w14:paraId="6C01F427"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Anglin, M. (1997a). Aids in Appalachia: Medical Pathologies and the Problem of Identity. </w:t>
      </w:r>
      <w:r w:rsidRPr="00A63FC7">
        <w:rPr>
          <w:rFonts w:ascii="Cambria" w:hAnsi="Cambria" w:cs="Times New Roman"/>
          <w:i/>
          <w:iCs/>
        </w:rPr>
        <w:t>Journal of Appalachian Studies</w:t>
      </w:r>
      <w:r w:rsidRPr="00A63FC7">
        <w:rPr>
          <w:rFonts w:ascii="Cambria" w:hAnsi="Cambria" w:cs="Times New Roman"/>
        </w:rPr>
        <w:t xml:space="preserve">, </w:t>
      </w:r>
      <w:r w:rsidRPr="00A63FC7">
        <w:rPr>
          <w:rFonts w:ascii="Cambria" w:hAnsi="Cambria" w:cs="Times New Roman"/>
          <w:i/>
          <w:iCs/>
        </w:rPr>
        <w:t>3</w:t>
      </w:r>
      <w:r w:rsidRPr="00A63FC7">
        <w:rPr>
          <w:rFonts w:ascii="Cambria" w:hAnsi="Cambria" w:cs="Times New Roman"/>
        </w:rPr>
        <w:t>(2), 171–187.</w:t>
      </w:r>
    </w:p>
    <w:p w14:paraId="220072A2"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Anglin, M. (1997b). Aids in Appalachia: Medical Pathologies and the Problem of Identity. </w:t>
      </w:r>
      <w:r w:rsidRPr="00A63FC7">
        <w:rPr>
          <w:rFonts w:ascii="Cambria" w:hAnsi="Cambria" w:cs="Times New Roman"/>
          <w:i/>
          <w:iCs/>
        </w:rPr>
        <w:t>Journal of Appalachian Studies</w:t>
      </w:r>
      <w:r w:rsidRPr="00A63FC7">
        <w:rPr>
          <w:rFonts w:ascii="Cambria" w:hAnsi="Cambria" w:cs="Times New Roman"/>
        </w:rPr>
        <w:t xml:space="preserve">, </w:t>
      </w:r>
      <w:r w:rsidRPr="00A63FC7">
        <w:rPr>
          <w:rFonts w:ascii="Cambria" w:hAnsi="Cambria" w:cs="Times New Roman"/>
          <w:i/>
          <w:iCs/>
        </w:rPr>
        <w:t>3</w:t>
      </w:r>
      <w:r w:rsidRPr="00A63FC7">
        <w:rPr>
          <w:rFonts w:ascii="Cambria" w:hAnsi="Cambria" w:cs="Times New Roman"/>
        </w:rPr>
        <w:t>(2), 171–187.</w:t>
      </w:r>
    </w:p>
    <w:p w14:paraId="063A6B13"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Armstrong, D. (2019, November 19). How Purdue planted its “anti-story” and delayed the reckoning for its role in the opioid epidemic. </w:t>
      </w:r>
      <w:r w:rsidRPr="00A63FC7">
        <w:rPr>
          <w:rFonts w:ascii="Cambria" w:hAnsi="Cambria" w:cs="Times New Roman"/>
          <w:i/>
          <w:iCs/>
        </w:rPr>
        <w:t>STAT</w:t>
      </w:r>
      <w:r w:rsidRPr="00A63FC7">
        <w:rPr>
          <w:rFonts w:ascii="Cambria" w:hAnsi="Cambria" w:cs="Times New Roman"/>
        </w:rPr>
        <w:t xml:space="preserve">. </w:t>
      </w:r>
      <w:hyperlink r:id="rId31" w:history="1">
        <w:r w:rsidRPr="00A63FC7">
          <w:rPr>
            <w:rStyle w:val="Hyperlink"/>
            <w:rFonts w:ascii="Cambria" w:hAnsi="Cambria" w:cs="Times New Roman"/>
          </w:rPr>
          <w:t>https://www.statnews.com/2019/11/19/how-purdue-pharma-planted-its-anti-story/</w:t>
        </w:r>
      </w:hyperlink>
    </w:p>
    <w:p w14:paraId="0A2A708D"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ARPO. (2019, April 17). </w:t>
      </w:r>
      <w:r w:rsidRPr="00A63FC7">
        <w:rPr>
          <w:rFonts w:ascii="Cambria" w:hAnsi="Cambria" w:cs="Times New Roman"/>
          <w:i/>
          <w:iCs/>
        </w:rPr>
        <w:t>2019 Appalachian Region Opioid Takedown</w:t>
      </w:r>
      <w:r w:rsidRPr="00A63FC7">
        <w:rPr>
          <w:rFonts w:ascii="Cambria" w:hAnsi="Cambria" w:cs="Times New Roman"/>
        </w:rPr>
        <w:t xml:space="preserve">. Office of Inspector General | Government Oversight | U.S. Department of Health and Human Services. </w:t>
      </w:r>
      <w:hyperlink r:id="rId32" w:history="1">
        <w:r w:rsidRPr="00A63FC7">
          <w:rPr>
            <w:rStyle w:val="Hyperlink"/>
            <w:rFonts w:ascii="Cambria" w:hAnsi="Cambria" w:cs="Times New Roman"/>
          </w:rPr>
          <w:t>https://oig.hhs.gov/newsroom/media-materials/2019-arpo-takedown/</w:t>
        </w:r>
      </w:hyperlink>
    </w:p>
    <w:p w14:paraId="192C90FD"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Baird, B. (2018, March 15). Syringe exchange program provides users with clean needles, offers help. </w:t>
      </w:r>
      <w:r w:rsidRPr="00A63FC7">
        <w:rPr>
          <w:rFonts w:ascii="Cambria" w:hAnsi="Cambria" w:cs="Times New Roman"/>
          <w:i/>
          <w:iCs/>
        </w:rPr>
        <w:t>WKRN News 2</w:t>
      </w:r>
      <w:r w:rsidRPr="00A63FC7">
        <w:rPr>
          <w:rFonts w:ascii="Cambria" w:hAnsi="Cambria" w:cs="Times New Roman"/>
        </w:rPr>
        <w:t xml:space="preserve">. </w:t>
      </w:r>
      <w:hyperlink r:id="rId33" w:history="1">
        <w:r w:rsidRPr="00A63FC7">
          <w:rPr>
            <w:rStyle w:val="Hyperlink"/>
            <w:rFonts w:ascii="Cambria" w:hAnsi="Cambria" w:cs="Times New Roman"/>
          </w:rPr>
          <w:t>https://www.wkrn.com/special-reports/tennessees-opioid-crisis/syringe-exchange-program-provides-users-with-clean-needles-offers-help/</w:t>
        </w:r>
      </w:hyperlink>
    </w:p>
    <w:p w14:paraId="5DC3037D"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Bardasz</w:t>
      </w:r>
      <w:proofErr w:type="spellEnd"/>
      <w:r w:rsidRPr="00A63FC7">
        <w:rPr>
          <w:rFonts w:ascii="Cambria" w:hAnsi="Cambria" w:cs="Times New Roman"/>
        </w:rPr>
        <w:t xml:space="preserve">, N. (2022, September 23). </w:t>
      </w:r>
      <w:r w:rsidRPr="00A63FC7">
        <w:rPr>
          <w:rFonts w:ascii="Cambria" w:hAnsi="Cambria" w:cs="Times New Roman"/>
          <w:i/>
          <w:iCs/>
        </w:rPr>
        <w:t xml:space="preserve">How The </w:t>
      </w:r>
      <w:proofErr w:type="spellStart"/>
      <w:r w:rsidRPr="00A63FC7">
        <w:rPr>
          <w:rFonts w:ascii="Cambria" w:hAnsi="Cambria" w:cs="Times New Roman"/>
          <w:i/>
          <w:iCs/>
        </w:rPr>
        <w:t>Sacklers</w:t>
      </w:r>
      <w:proofErr w:type="spellEnd"/>
      <w:r w:rsidRPr="00A63FC7">
        <w:rPr>
          <w:rFonts w:ascii="Cambria" w:hAnsi="Cambria" w:cs="Times New Roman"/>
          <w:i/>
          <w:iCs/>
        </w:rPr>
        <w:t xml:space="preserve"> Got (And Stayed) Rich</w:t>
      </w:r>
      <w:r w:rsidRPr="00A63FC7">
        <w:rPr>
          <w:rFonts w:ascii="Cambria" w:hAnsi="Cambria" w:cs="Times New Roman"/>
        </w:rPr>
        <w:t xml:space="preserve">. More Perfect Union. </w:t>
      </w:r>
      <w:hyperlink r:id="rId34" w:history="1">
        <w:r w:rsidRPr="00A63FC7">
          <w:rPr>
            <w:rStyle w:val="Hyperlink"/>
            <w:rFonts w:ascii="Cambria" w:hAnsi="Cambria" w:cs="Times New Roman"/>
          </w:rPr>
          <w:t>https://perfectunion.us/how-the-sacklers-got-and-stayed-rich/</w:t>
        </w:r>
      </w:hyperlink>
    </w:p>
    <w:p w14:paraId="1D69BA7D"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Baron, I. Z., </w:t>
      </w:r>
      <w:proofErr w:type="spellStart"/>
      <w:r w:rsidRPr="00A63FC7">
        <w:rPr>
          <w:rFonts w:ascii="Cambria" w:hAnsi="Cambria" w:cs="Times New Roman"/>
        </w:rPr>
        <w:t>Havercroft</w:t>
      </w:r>
      <w:proofErr w:type="spellEnd"/>
      <w:r w:rsidRPr="00A63FC7">
        <w:rPr>
          <w:rFonts w:ascii="Cambria" w:hAnsi="Cambria" w:cs="Times New Roman"/>
        </w:rPr>
        <w:t xml:space="preserve">, J., </w:t>
      </w:r>
      <w:proofErr w:type="spellStart"/>
      <w:r w:rsidRPr="00A63FC7">
        <w:rPr>
          <w:rFonts w:ascii="Cambria" w:hAnsi="Cambria" w:cs="Times New Roman"/>
        </w:rPr>
        <w:t>Kamola</w:t>
      </w:r>
      <w:proofErr w:type="spellEnd"/>
      <w:r w:rsidRPr="00A63FC7">
        <w:rPr>
          <w:rFonts w:ascii="Cambria" w:hAnsi="Cambria" w:cs="Times New Roman"/>
        </w:rPr>
        <w:t xml:space="preserve">, I., </w:t>
      </w:r>
      <w:proofErr w:type="spellStart"/>
      <w:r w:rsidRPr="00A63FC7">
        <w:rPr>
          <w:rFonts w:ascii="Cambria" w:hAnsi="Cambria" w:cs="Times New Roman"/>
        </w:rPr>
        <w:t>Koomen</w:t>
      </w:r>
      <w:proofErr w:type="spellEnd"/>
      <w:r w:rsidRPr="00A63FC7">
        <w:rPr>
          <w:rFonts w:ascii="Cambria" w:hAnsi="Cambria" w:cs="Times New Roman"/>
        </w:rPr>
        <w:t xml:space="preserve">, J., Murphy, J., &amp; Prichard, A. (2019). Liberal Pacification and the Phenomenology of Violence. </w:t>
      </w:r>
      <w:r w:rsidRPr="00A63FC7">
        <w:rPr>
          <w:rFonts w:ascii="Cambria" w:hAnsi="Cambria" w:cs="Times New Roman"/>
          <w:i/>
          <w:iCs/>
        </w:rPr>
        <w:t>International Studies Quarterly</w:t>
      </w:r>
      <w:r w:rsidRPr="00A63FC7">
        <w:rPr>
          <w:rFonts w:ascii="Cambria" w:hAnsi="Cambria" w:cs="Times New Roman"/>
        </w:rPr>
        <w:t xml:space="preserve">, </w:t>
      </w:r>
      <w:r w:rsidRPr="00A63FC7">
        <w:rPr>
          <w:rFonts w:ascii="Cambria" w:hAnsi="Cambria" w:cs="Times New Roman"/>
          <w:i/>
          <w:iCs/>
        </w:rPr>
        <w:t>63</w:t>
      </w:r>
      <w:r w:rsidRPr="00A63FC7">
        <w:rPr>
          <w:rFonts w:ascii="Cambria" w:hAnsi="Cambria" w:cs="Times New Roman"/>
        </w:rPr>
        <w:t xml:space="preserve">(1), 199–212. </w:t>
      </w:r>
      <w:hyperlink r:id="rId35" w:history="1">
        <w:r w:rsidRPr="00A63FC7">
          <w:rPr>
            <w:rStyle w:val="Hyperlink"/>
            <w:rFonts w:ascii="Cambria" w:hAnsi="Cambria" w:cs="Times New Roman"/>
          </w:rPr>
          <w:t>https://doi.org/10.1093/isq/sqy060</w:t>
        </w:r>
      </w:hyperlink>
    </w:p>
    <w:p w14:paraId="7C240C59"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Barr, S. (2011, December 21). Needle-Exchange Programs Face New Federal Funding Ban. </w:t>
      </w:r>
      <w:r w:rsidRPr="00A63FC7">
        <w:rPr>
          <w:rFonts w:ascii="Cambria" w:hAnsi="Cambria" w:cs="Times New Roman"/>
          <w:i/>
          <w:iCs/>
        </w:rPr>
        <w:t>Kaiser Health News</w:t>
      </w:r>
      <w:r w:rsidRPr="00A63FC7">
        <w:rPr>
          <w:rFonts w:ascii="Cambria" w:hAnsi="Cambria" w:cs="Times New Roman"/>
        </w:rPr>
        <w:t xml:space="preserve">. </w:t>
      </w:r>
      <w:hyperlink r:id="rId36" w:history="1">
        <w:r w:rsidRPr="00A63FC7">
          <w:rPr>
            <w:rStyle w:val="Hyperlink"/>
            <w:rFonts w:ascii="Cambria" w:hAnsi="Cambria" w:cs="Times New Roman"/>
          </w:rPr>
          <w:t>https://khn.org/news/needle-exchange-federal-funding/</w:t>
        </w:r>
      </w:hyperlink>
    </w:p>
    <w:p w14:paraId="0DFAA25A"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Bassett, M. T. (2016). Beyond Berets: The Black Panthers as Health Activists. </w:t>
      </w:r>
      <w:r w:rsidRPr="00A63FC7">
        <w:rPr>
          <w:rFonts w:ascii="Cambria" w:hAnsi="Cambria" w:cs="Times New Roman"/>
          <w:i/>
          <w:iCs/>
        </w:rPr>
        <w:t>American Journal of Public Health</w:t>
      </w:r>
      <w:r w:rsidRPr="00A63FC7">
        <w:rPr>
          <w:rFonts w:ascii="Cambria" w:hAnsi="Cambria" w:cs="Times New Roman"/>
        </w:rPr>
        <w:t xml:space="preserve">, </w:t>
      </w:r>
      <w:r w:rsidRPr="00A63FC7">
        <w:rPr>
          <w:rFonts w:ascii="Cambria" w:hAnsi="Cambria" w:cs="Times New Roman"/>
          <w:i/>
          <w:iCs/>
        </w:rPr>
        <w:t>106</w:t>
      </w:r>
      <w:r w:rsidRPr="00A63FC7">
        <w:rPr>
          <w:rFonts w:ascii="Cambria" w:hAnsi="Cambria" w:cs="Times New Roman"/>
        </w:rPr>
        <w:t xml:space="preserve">(10), 1741–1743. </w:t>
      </w:r>
      <w:hyperlink r:id="rId37" w:history="1">
        <w:r w:rsidRPr="00A63FC7">
          <w:rPr>
            <w:rStyle w:val="Hyperlink"/>
            <w:rFonts w:ascii="Cambria" w:hAnsi="Cambria" w:cs="Times New Roman"/>
          </w:rPr>
          <w:t>https://doi.org/10.2105/AJPH.2016.303412</w:t>
        </w:r>
      </w:hyperlink>
    </w:p>
    <w:p w14:paraId="63331F73"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Beauchamp, G. A., Winstanley, E. L., Ryan, S. A., &amp; Lyons, M. S. (2014). Moving Beyond Misuse and Diversion: The Urgent Need to Consider the Role of Iatrogenic Addiction </w:t>
      </w:r>
      <w:r w:rsidRPr="00A63FC7">
        <w:rPr>
          <w:rFonts w:ascii="Cambria" w:hAnsi="Cambria" w:cs="Times New Roman"/>
        </w:rPr>
        <w:lastRenderedPageBreak/>
        <w:t xml:space="preserve">in the Current Opioid Epidemic. </w:t>
      </w:r>
      <w:r w:rsidRPr="00A63FC7">
        <w:rPr>
          <w:rFonts w:ascii="Cambria" w:hAnsi="Cambria" w:cs="Times New Roman"/>
          <w:i/>
          <w:iCs/>
        </w:rPr>
        <w:t>American Journal of Public Health</w:t>
      </w:r>
      <w:r w:rsidRPr="00A63FC7">
        <w:rPr>
          <w:rFonts w:ascii="Cambria" w:hAnsi="Cambria" w:cs="Times New Roman"/>
        </w:rPr>
        <w:t xml:space="preserve">, </w:t>
      </w:r>
      <w:r w:rsidRPr="00A63FC7">
        <w:rPr>
          <w:rFonts w:ascii="Cambria" w:hAnsi="Cambria" w:cs="Times New Roman"/>
          <w:i/>
          <w:iCs/>
        </w:rPr>
        <w:t>104</w:t>
      </w:r>
      <w:r w:rsidRPr="00A63FC7">
        <w:rPr>
          <w:rFonts w:ascii="Cambria" w:hAnsi="Cambria" w:cs="Times New Roman"/>
        </w:rPr>
        <w:t xml:space="preserve">(11), 2023–2029. </w:t>
      </w:r>
      <w:hyperlink r:id="rId38" w:history="1">
        <w:r w:rsidRPr="00A63FC7">
          <w:rPr>
            <w:rStyle w:val="Hyperlink"/>
            <w:rFonts w:ascii="Cambria" w:hAnsi="Cambria" w:cs="Times New Roman"/>
          </w:rPr>
          <w:t>https://doi.org/10.2105/AJPH.2014.302147</w:t>
        </w:r>
      </w:hyperlink>
    </w:p>
    <w:p w14:paraId="3B4A66EE"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Ben-</w:t>
      </w:r>
      <w:proofErr w:type="spellStart"/>
      <w:r w:rsidRPr="00A63FC7">
        <w:rPr>
          <w:rFonts w:ascii="Cambria" w:hAnsi="Cambria" w:cs="Times New Roman"/>
        </w:rPr>
        <w:t>Mosche</w:t>
      </w:r>
      <w:proofErr w:type="spellEnd"/>
      <w:r w:rsidRPr="00A63FC7">
        <w:rPr>
          <w:rFonts w:ascii="Cambria" w:hAnsi="Cambria" w:cs="Times New Roman"/>
        </w:rPr>
        <w:t xml:space="preserve">, L. (n.d.). The Tension Between Abolition and Reform. In </w:t>
      </w:r>
      <w:r w:rsidRPr="00A63FC7">
        <w:rPr>
          <w:rFonts w:ascii="Cambria" w:hAnsi="Cambria" w:cs="Times New Roman"/>
          <w:i/>
          <w:iCs/>
        </w:rPr>
        <w:t>Dropbox</w:t>
      </w:r>
      <w:r w:rsidRPr="00A63FC7">
        <w:rPr>
          <w:rFonts w:ascii="Cambria" w:hAnsi="Cambria" w:cs="Times New Roman"/>
        </w:rPr>
        <w:t xml:space="preserve">. Retrieved March 21, 2023, from </w:t>
      </w:r>
      <w:hyperlink r:id="rId39" w:history="1">
        <w:r w:rsidRPr="00A63FC7">
          <w:rPr>
            <w:rStyle w:val="Hyperlink"/>
            <w:rFonts w:ascii="Cambria" w:hAnsi="Cambria" w:cs="Times New Roman"/>
          </w:rPr>
          <w:t>https://www.dropbox.com/s/gl8rprid1qk93ek/Ben-Mosche_tension_between_abolition_reform.pdf?dl=0</w:t>
        </w:r>
      </w:hyperlink>
    </w:p>
    <w:p w14:paraId="305B7E5F"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Berlant, L. (2007). Slow Death (Sovereignty, Obesity, Lateral Agency). </w:t>
      </w:r>
      <w:r w:rsidRPr="00A63FC7">
        <w:rPr>
          <w:rFonts w:ascii="Cambria" w:hAnsi="Cambria" w:cs="Times New Roman"/>
          <w:i/>
          <w:iCs/>
        </w:rPr>
        <w:t>Critical Inquiry</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 xml:space="preserve">(4), 754–780. </w:t>
      </w:r>
      <w:hyperlink r:id="rId40" w:history="1">
        <w:r w:rsidRPr="00A63FC7">
          <w:rPr>
            <w:rStyle w:val="Hyperlink"/>
            <w:rFonts w:ascii="Cambria" w:hAnsi="Cambria" w:cs="Times New Roman"/>
          </w:rPr>
          <w:t>https://doi.org/10.1086/521568</w:t>
        </w:r>
      </w:hyperlink>
    </w:p>
    <w:p w14:paraId="410BC80C"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Berlant, L. (2020). </w:t>
      </w:r>
      <w:r w:rsidRPr="00A63FC7">
        <w:rPr>
          <w:rFonts w:ascii="Cambria" w:hAnsi="Cambria" w:cs="Times New Roman"/>
          <w:i/>
          <w:iCs/>
        </w:rPr>
        <w:t>Cruel optimism</w:t>
      </w:r>
      <w:r w:rsidRPr="00A63FC7">
        <w:rPr>
          <w:rFonts w:ascii="Cambria" w:hAnsi="Cambria" w:cs="Times New Roman"/>
        </w:rPr>
        <w:t>. Duke University Press.</w:t>
      </w:r>
    </w:p>
    <w:p w14:paraId="7C063D69"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Bixler, D., Corby-Lee, G., </w:t>
      </w:r>
      <w:proofErr w:type="spellStart"/>
      <w:r w:rsidRPr="00A63FC7">
        <w:rPr>
          <w:rFonts w:ascii="Cambria" w:hAnsi="Cambria" w:cs="Times New Roman"/>
        </w:rPr>
        <w:t>Proescholdbell</w:t>
      </w:r>
      <w:proofErr w:type="spellEnd"/>
      <w:r w:rsidRPr="00A63FC7">
        <w:rPr>
          <w:rFonts w:ascii="Cambria" w:hAnsi="Cambria" w:cs="Times New Roman"/>
        </w:rPr>
        <w:t xml:space="preserve">, S., Ramirez, T., Kilkenny, M. E., </w:t>
      </w:r>
      <w:proofErr w:type="spellStart"/>
      <w:r w:rsidRPr="00A63FC7">
        <w:rPr>
          <w:rFonts w:ascii="Cambria" w:hAnsi="Cambria" w:cs="Times New Roman"/>
        </w:rPr>
        <w:t>LaRocco</w:t>
      </w:r>
      <w:proofErr w:type="spellEnd"/>
      <w:r w:rsidRPr="00A63FC7">
        <w:rPr>
          <w:rFonts w:ascii="Cambria" w:hAnsi="Cambria" w:cs="Times New Roman"/>
        </w:rPr>
        <w:t xml:space="preserve">, M., Childs, R., </w:t>
      </w:r>
      <w:proofErr w:type="spellStart"/>
      <w:r w:rsidRPr="00A63FC7">
        <w:rPr>
          <w:rFonts w:ascii="Cambria" w:hAnsi="Cambria" w:cs="Times New Roman"/>
        </w:rPr>
        <w:t>Brumage</w:t>
      </w:r>
      <w:proofErr w:type="spellEnd"/>
      <w:r w:rsidRPr="00A63FC7">
        <w:rPr>
          <w:rFonts w:ascii="Cambria" w:hAnsi="Cambria" w:cs="Times New Roman"/>
        </w:rPr>
        <w:t xml:space="preserve">, M. R., Settle, A. D., </w:t>
      </w:r>
      <w:proofErr w:type="spellStart"/>
      <w:r w:rsidRPr="00A63FC7">
        <w:rPr>
          <w:rFonts w:ascii="Cambria" w:hAnsi="Cambria" w:cs="Times New Roman"/>
        </w:rPr>
        <w:t>Teshale</w:t>
      </w:r>
      <w:proofErr w:type="spellEnd"/>
      <w:r w:rsidRPr="00A63FC7">
        <w:rPr>
          <w:rFonts w:ascii="Cambria" w:hAnsi="Cambria" w:cs="Times New Roman"/>
        </w:rPr>
        <w:t xml:space="preserve">, E. H., &amp; Asher, A. (2018). Access to Syringe Services Programs—Kentucky, North Carolina, and West Virginia, 2013–2017. </w:t>
      </w:r>
      <w:r w:rsidRPr="00A63FC7">
        <w:rPr>
          <w:rFonts w:ascii="Cambria" w:hAnsi="Cambria" w:cs="Times New Roman"/>
          <w:i/>
          <w:iCs/>
        </w:rPr>
        <w:t>MMWR. Morbidity and Mortality Weekly Report</w:t>
      </w:r>
      <w:r w:rsidRPr="00A63FC7">
        <w:rPr>
          <w:rFonts w:ascii="Cambria" w:hAnsi="Cambria" w:cs="Times New Roman"/>
        </w:rPr>
        <w:t xml:space="preserve">, </w:t>
      </w:r>
      <w:r w:rsidRPr="00A63FC7">
        <w:rPr>
          <w:rFonts w:ascii="Cambria" w:hAnsi="Cambria" w:cs="Times New Roman"/>
          <w:i/>
          <w:iCs/>
        </w:rPr>
        <w:t>67</w:t>
      </w:r>
      <w:r w:rsidRPr="00A63FC7">
        <w:rPr>
          <w:rFonts w:ascii="Cambria" w:hAnsi="Cambria" w:cs="Times New Roman"/>
        </w:rPr>
        <w:t xml:space="preserve">(18), 529–532. </w:t>
      </w:r>
      <w:hyperlink r:id="rId41" w:history="1">
        <w:r w:rsidRPr="00A63FC7">
          <w:rPr>
            <w:rStyle w:val="Hyperlink"/>
            <w:rFonts w:ascii="Cambria" w:hAnsi="Cambria" w:cs="Times New Roman"/>
          </w:rPr>
          <w:t>https://doi.org/10.15585/mmwr.mm6718a5</w:t>
        </w:r>
      </w:hyperlink>
    </w:p>
    <w:p w14:paraId="166EE92C"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Blakenship</w:t>
      </w:r>
      <w:proofErr w:type="spellEnd"/>
      <w:r w:rsidRPr="00A63FC7">
        <w:rPr>
          <w:rFonts w:ascii="Cambria" w:hAnsi="Cambria" w:cs="Times New Roman"/>
        </w:rPr>
        <w:t xml:space="preserve">, K. (n.d.). </w:t>
      </w:r>
      <w:r w:rsidRPr="00A63FC7">
        <w:rPr>
          <w:rFonts w:ascii="Cambria" w:hAnsi="Cambria" w:cs="Times New Roman"/>
          <w:i/>
          <w:iCs/>
        </w:rPr>
        <w:t>Who joins Purdue on pharma’s top 10 settlements list? Merck, GSK and Pfizer, for starters | Fierce Pharma</w:t>
      </w:r>
      <w:r w:rsidRPr="00A63FC7">
        <w:rPr>
          <w:rFonts w:ascii="Cambria" w:hAnsi="Cambria" w:cs="Times New Roman"/>
        </w:rPr>
        <w:t xml:space="preserve">. Retrieved April 28, 2023, from </w:t>
      </w:r>
      <w:hyperlink r:id="rId42" w:history="1">
        <w:r w:rsidRPr="00A63FC7">
          <w:rPr>
            <w:rStyle w:val="Hyperlink"/>
            <w:rFonts w:ascii="Cambria" w:hAnsi="Cambria" w:cs="Times New Roman"/>
          </w:rPr>
          <w:t>https://www.fiercepharma.com/pharma/merck-gsk-pfizer-j-j-among-top-10-u-s-pharma-settlements-all-time</w:t>
        </w:r>
      </w:hyperlink>
    </w:p>
    <w:p w14:paraId="37F3F28F"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Blanchard, S. K. (n.d.). </w:t>
      </w:r>
      <w:r w:rsidRPr="00A63FC7">
        <w:rPr>
          <w:rFonts w:ascii="Cambria" w:hAnsi="Cambria" w:cs="Times New Roman"/>
          <w:i/>
          <w:iCs/>
        </w:rPr>
        <w:t>The Artist Making Harm Reduction Gay Again</w:t>
      </w:r>
      <w:r w:rsidRPr="00A63FC7">
        <w:rPr>
          <w:rFonts w:ascii="Cambria" w:hAnsi="Cambria" w:cs="Times New Roman"/>
        </w:rPr>
        <w:t xml:space="preserve">. Retrieved February 11, 2021, from </w:t>
      </w:r>
      <w:hyperlink r:id="rId43" w:history="1">
        <w:r w:rsidRPr="00A63FC7">
          <w:rPr>
            <w:rStyle w:val="Hyperlink"/>
            <w:rFonts w:ascii="Cambria" w:hAnsi="Cambria" w:cs="Times New Roman"/>
          </w:rPr>
          <w:t>https://filtermag.org/queer-art-harm-reduction-ripley-soprano/</w:t>
        </w:r>
      </w:hyperlink>
    </w:p>
    <w:p w14:paraId="24AD2CEB" w14:textId="77777777" w:rsidR="00A63FC7" w:rsidRPr="00A63FC7" w:rsidRDefault="00A63FC7" w:rsidP="009327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Blanchard, S. K. (2019, June 6). How Drug Policy Fuels the Genocide of Indigenous Women in Canada. </w:t>
      </w:r>
      <w:r w:rsidRPr="00A63FC7">
        <w:rPr>
          <w:rFonts w:ascii="Cambria" w:hAnsi="Cambria" w:cs="Times New Roman"/>
          <w:i/>
          <w:iCs/>
        </w:rPr>
        <w:t>Filter</w:t>
      </w:r>
      <w:r w:rsidRPr="00A63FC7">
        <w:rPr>
          <w:rFonts w:ascii="Cambria" w:hAnsi="Cambria" w:cs="Times New Roman"/>
        </w:rPr>
        <w:t xml:space="preserve">. </w:t>
      </w:r>
      <w:hyperlink r:id="rId44" w:history="1">
        <w:r w:rsidRPr="00A63FC7">
          <w:rPr>
            <w:rStyle w:val="Hyperlink"/>
            <w:rFonts w:ascii="Cambria" w:hAnsi="Cambria" w:cs="Times New Roman"/>
          </w:rPr>
          <w:t>https://filtermag.org/how-drug-policy-fuels-genocide-indigenous-women-canada/</w:t>
        </w:r>
      </w:hyperlink>
    </w:p>
    <w:p w14:paraId="22A10C77" w14:textId="77777777" w:rsidR="00A63FC7" w:rsidRPr="00A63FC7" w:rsidRDefault="00A63FC7" w:rsidP="005E58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Blevins, C. (n.d.). </w:t>
      </w:r>
      <w:r w:rsidRPr="00A63FC7">
        <w:rPr>
          <w:rFonts w:ascii="Cambria" w:hAnsi="Cambria" w:cs="Times New Roman"/>
          <w:i/>
          <w:iCs/>
        </w:rPr>
        <w:t>Concept Map: How Did We Get Here?</w:t>
      </w:r>
      <w:r w:rsidRPr="00A63FC7">
        <w:rPr>
          <w:rFonts w:ascii="Cambria" w:hAnsi="Cambria" w:cs="Times New Roman"/>
        </w:rPr>
        <w:t xml:space="preserve"> Retrieved April 28, 2023, from </w:t>
      </w:r>
      <w:hyperlink r:id="rId45" w:history="1">
        <w:r w:rsidRPr="00A63FC7">
          <w:rPr>
            <w:rStyle w:val="Hyperlink"/>
            <w:rFonts w:ascii="Cambria" w:hAnsi="Cambria" w:cs="Times New Roman"/>
          </w:rPr>
          <w:t>https://caseybowser.com/sackler.html</w:t>
        </w:r>
      </w:hyperlink>
    </w:p>
    <w:p w14:paraId="1767E396" w14:textId="77777777" w:rsidR="00A63FC7" w:rsidRPr="00A63FC7" w:rsidRDefault="00A63FC7" w:rsidP="005E58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Bourgois</w:t>
      </w:r>
      <w:proofErr w:type="spellEnd"/>
      <w:r w:rsidRPr="00A63FC7">
        <w:rPr>
          <w:rFonts w:ascii="Cambria" w:hAnsi="Cambria" w:cs="Times New Roman"/>
        </w:rPr>
        <w:t xml:space="preserve">, P., &amp; Schonberg, J. (2009). </w:t>
      </w:r>
      <w:r w:rsidRPr="00A63FC7">
        <w:rPr>
          <w:rFonts w:ascii="Cambria" w:hAnsi="Cambria" w:cs="Times New Roman"/>
          <w:i/>
          <w:iCs/>
        </w:rPr>
        <w:t xml:space="preserve">Righteous </w:t>
      </w:r>
      <w:proofErr w:type="spellStart"/>
      <w:r w:rsidRPr="00A63FC7">
        <w:rPr>
          <w:rFonts w:ascii="Cambria" w:hAnsi="Cambria" w:cs="Times New Roman"/>
          <w:i/>
          <w:iCs/>
        </w:rPr>
        <w:t>Dopefiend</w:t>
      </w:r>
      <w:proofErr w:type="spellEnd"/>
      <w:r w:rsidRPr="00A63FC7">
        <w:rPr>
          <w:rFonts w:ascii="Cambria" w:hAnsi="Cambria" w:cs="Times New Roman"/>
        </w:rPr>
        <w:t xml:space="preserve">. </w:t>
      </w:r>
      <w:hyperlink r:id="rId46" w:history="1">
        <w:r w:rsidRPr="00A63FC7">
          <w:rPr>
            <w:rStyle w:val="Hyperlink"/>
            <w:rFonts w:ascii="Cambria" w:hAnsi="Cambria" w:cs="Times New Roman"/>
          </w:rPr>
          <w:t>https://www.ucpress.edu/book/9780520254985/righteous-dopefiend</w:t>
        </w:r>
      </w:hyperlink>
    </w:p>
    <w:p w14:paraId="0792A75F" w14:textId="54F92FD4" w:rsidR="00A63FC7" w:rsidRPr="00A63FC7" w:rsidRDefault="00A63FC7" w:rsidP="005E58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Breen, T. (2020, February 6). </w:t>
      </w:r>
      <w:r w:rsidRPr="00A63FC7">
        <w:rPr>
          <w:rFonts w:ascii="Cambria" w:hAnsi="Cambria" w:cs="Times New Roman"/>
          <w:i/>
          <w:iCs/>
        </w:rPr>
        <w:t>Cops Offer Addicts Clean Needles, Pipes | New Haven Independent</w:t>
      </w:r>
      <w:r w:rsidRPr="00A63FC7">
        <w:rPr>
          <w:rFonts w:ascii="Cambria" w:hAnsi="Cambria" w:cs="Times New Roman"/>
        </w:rPr>
        <w:t>.</w:t>
      </w:r>
      <w:r w:rsidR="005E588B">
        <w:rPr>
          <w:rFonts w:ascii="Cambria" w:hAnsi="Cambria" w:cs="Times New Roman"/>
        </w:rPr>
        <w:t xml:space="preserve"> </w:t>
      </w:r>
      <w:r w:rsidR="005E588B" w:rsidRPr="005E588B">
        <w:rPr>
          <w:rFonts w:ascii="Cambria" w:hAnsi="Cambria" w:cs="Times New Roman"/>
        </w:rPr>
        <w:t>http://www.newhavenindependent.org/index.php/archives</w:t>
      </w:r>
      <w:r w:rsidR="005E588B" w:rsidRPr="005E588B">
        <w:rPr>
          <w:rFonts w:ascii="Cambria" w:hAnsi="Cambria" w:cs="Times New Roman"/>
        </w:rPr>
        <w:t xml:space="preserve"> </w:t>
      </w:r>
      <w:r w:rsidR="005E588B" w:rsidRPr="005E588B">
        <w:rPr>
          <w:rFonts w:ascii="Cambria" w:hAnsi="Cambria" w:cs="Times New Roman"/>
        </w:rPr>
        <w:t>/</w:t>
      </w:r>
      <w:r w:rsidR="005E588B" w:rsidRPr="005E588B">
        <w:rPr>
          <w:rFonts w:ascii="Cambria" w:hAnsi="Cambria" w:cs="Times New Roman"/>
        </w:rPr>
        <w:t>entry/</w:t>
      </w:r>
      <w:proofErr w:type="spellStart"/>
      <w:r w:rsidR="005E588B" w:rsidRPr="005E588B">
        <w:rPr>
          <w:rFonts w:ascii="Cambria" w:hAnsi="Cambria" w:cs="Times New Roman"/>
        </w:rPr>
        <w:t>harm_reduction</w:t>
      </w:r>
      <w:proofErr w:type="spellEnd"/>
      <w:r w:rsidR="005E588B" w:rsidRPr="005E588B">
        <w:rPr>
          <w:rFonts w:ascii="Cambria" w:hAnsi="Cambria" w:cs="Times New Roman"/>
        </w:rPr>
        <w:t>/</w:t>
      </w:r>
    </w:p>
    <w:p w14:paraId="202B8BA1"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Butler, S., &amp; </w:t>
      </w:r>
      <w:proofErr w:type="spellStart"/>
      <w:r w:rsidRPr="00A63FC7">
        <w:rPr>
          <w:rFonts w:ascii="Cambria" w:hAnsi="Cambria" w:cs="Times New Roman"/>
        </w:rPr>
        <w:t>Mayock</w:t>
      </w:r>
      <w:proofErr w:type="spellEnd"/>
      <w:r w:rsidRPr="00A63FC7">
        <w:rPr>
          <w:rFonts w:ascii="Cambria" w:hAnsi="Cambria" w:cs="Times New Roman"/>
        </w:rPr>
        <w:t xml:space="preserve">, P. (2005). ‘An Irish solution to an Irish problem’: Harm reduction and ambiguity in the drug policy of the Republic of Ireland. </w:t>
      </w:r>
      <w:r w:rsidRPr="00A63FC7">
        <w:rPr>
          <w:rFonts w:ascii="Cambria" w:hAnsi="Cambria" w:cs="Times New Roman"/>
          <w:i/>
          <w:iCs/>
        </w:rPr>
        <w:t>International Journal of Drug Policy</w:t>
      </w:r>
      <w:r w:rsidRPr="00A63FC7">
        <w:rPr>
          <w:rFonts w:ascii="Cambria" w:hAnsi="Cambria" w:cs="Times New Roman"/>
        </w:rPr>
        <w:t xml:space="preserve">, </w:t>
      </w:r>
      <w:r w:rsidRPr="00A63FC7">
        <w:rPr>
          <w:rFonts w:ascii="Cambria" w:hAnsi="Cambria" w:cs="Times New Roman"/>
          <w:i/>
          <w:iCs/>
        </w:rPr>
        <w:t>16</w:t>
      </w:r>
      <w:r w:rsidRPr="00A63FC7">
        <w:rPr>
          <w:rFonts w:ascii="Cambria" w:hAnsi="Cambria" w:cs="Times New Roman"/>
        </w:rPr>
        <w:t xml:space="preserve">(6), 415–422. </w:t>
      </w:r>
      <w:hyperlink r:id="rId47" w:history="1">
        <w:r w:rsidRPr="00A63FC7">
          <w:rPr>
            <w:rStyle w:val="Hyperlink"/>
            <w:rFonts w:ascii="Cambria" w:hAnsi="Cambria" w:cs="Times New Roman"/>
          </w:rPr>
          <w:t>https://doi.org/10.1016/j.drugpo.2005.07.002</w:t>
        </w:r>
      </w:hyperlink>
    </w:p>
    <w:p w14:paraId="41986818"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Callahan, R. (n.d.). </w:t>
      </w:r>
      <w:r w:rsidRPr="00A63FC7">
        <w:rPr>
          <w:rFonts w:ascii="Cambria" w:hAnsi="Cambria" w:cs="Times New Roman"/>
          <w:i/>
          <w:iCs/>
        </w:rPr>
        <w:t>Rogers spearheads effort to relax funding ban on needle exchange programs | News | somerset-kentucky.com</w:t>
      </w:r>
      <w:r w:rsidRPr="00A63FC7">
        <w:rPr>
          <w:rFonts w:ascii="Cambria" w:hAnsi="Cambria" w:cs="Times New Roman"/>
        </w:rPr>
        <w:t xml:space="preserve">. Retrieved April 5, 2023, from </w:t>
      </w:r>
      <w:hyperlink r:id="rId48" w:history="1">
        <w:r w:rsidRPr="00A63FC7">
          <w:rPr>
            <w:rStyle w:val="Hyperlink"/>
            <w:rFonts w:ascii="Cambria" w:hAnsi="Cambria" w:cs="Times New Roman"/>
          </w:rPr>
          <w:t>https://www.somerset-kentucky.com/news/rogers-spearheads-effort-to-relax-funding-ban-on-needle-exchange-programs/article_f3dc0880-b659-11e5-bc79-930023e6ab67.html</w:t>
        </w:r>
      </w:hyperlink>
    </w:p>
    <w:p w14:paraId="0EDE3AF0"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Camp, J. T. (2016). </w:t>
      </w:r>
      <w:r w:rsidRPr="00A63FC7">
        <w:rPr>
          <w:rFonts w:ascii="Cambria" w:hAnsi="Cambria" w:cs="Times New Roman"/>
          <w:i/>
          <w:iCs/>
        </w:rPr>
        <w:t>Incarcerating the crisis: Freedom struggles and the rise of the neoliberal state</w:t>
      </w:r>
      <w:r w:rsidRPr="00A63FC7">
        <w:rPr>
          <w:rFonts w:ascii="Cambria" w:hAnsi="Cambria" w:cs="Times New Roman"/>
        </w:rPr>
        <w:t xml:space="preserve"> (Vol. 43). Univ of California Press.</w:t>
      </w:r>
    </w:p>
    <w:p w14:paraId="7E87B0F9"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Campbell, N. (2002). </w:t>
      </w:r>
      <w:r w:rsidRPr="00A63FC7">
        <w:rPr>
          <w:rFonts w:ascii="Cambria" w:hAnsi="Cambria" w:cs="Times New Roman"/>
          <w:i/>
          <w:iCs/>
        </w:rPr>
        <w:t>Using Women Gender, Drug Policy, and Social Justice</w:t>
      </w:r>
      <w:r w:rsidRPr="00A63FC7">
        <w:rPr>
          <w:rFonts w:ascii="Cambria" w:hAnsi="Cambria" w:cs="Times New Roman"/>
        </w:rPr>
        <w:t>.</w:t>
      </w:r>
    </w:p>
    <w:p w14:paraId="369D2B9B"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Campbell, N. D., Olsen, J. P., &amp; Walden, L. C. (2008). </w:t>
      </w:r>
      <w:r w:rsidRPr="00A63FC7">
        <w:rPr>
          <w:rFonts w:ascii="Cambria" w:hAnsi="Cambria" w:cs="Times New Roman"/>
          <w:i/>
          <w:iCs/>
        </w:rPr>
        <w:t>The Narcotic Farm</w:t>
      </w:r>
      <w:r w:rsidRPr="00A63FC7">
        <w:rPr>
          <w:rFonts w:ascii="Cambria" w:hAnsi="Cambria" w:cs="Times New Roman"/>
        </w:rPr>
        <w:t>. Abrams.</w:t>
      </w:r>
    </w:p>
    <w:p w14:paraId="469EA98F"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Campbell, N. D., &amp; Shaw, S. J. (2008). INCITEMENTS TO DISCOURSE: Illicit Drugs, Harm Reduction, and the Production of Ethnographic Subjects. </w:t>
      </w:r>
      <w:r w:rsidRPr="00A63FC7">
        <w:rPr>
          <w:rFonts w:ascii="Cambria" w:hAnsi="Cambria" w:cs="Times New Roman"/>
          <w:i/>
          <w:iCs/>
        </w:rPr>
        <w:t>Cultural Anthropology</w:t>
      </w:r>
      <w:r w:rsidRPr="00A63FC7">
        <w:rPr>
          <w:rFonts w:ascii="Cambria" w:hAnsi="Cambria" w:cs="Times New Roman"/>
        </w:rPr>
        <w:t xml:space="preserve">, </w:t>
      </w:r>
      <w:r w:rsidRPr="00A63FC7">
        <w:rPr>
          <w:rFonts w:ascii="Cambria" w:hAnsi="Cambria" w:cs="Times New Roman"/>
          <w:i/>
          <w:iCs/>
        </w:rPr>
        <w:t>23</w:t>
      </w:r>
      <w:r w:rsidRPr="00A63FC7">
        <w:rPr>
          <w:rFonts w:ascii="Cambria" w:hAnsi="Cambria" w:cs="Times New Roman"/>
        </w:rPr>
        <w:t xml:space="preserve">(4), 688–717. </w:t>
      </w:r>
      <w:hyperlink r:id="rId49" w:history="1">
        <w:r w:rsidRPr="00A63FC7">
          <w:rPr>
            <w:rStyle w:val="Hyperlink"/>
            <w:rFonts w:ascii="Cambria" w:hAnsi="Cambria" w:cs="Times New Roman"/>
          </w:rPr>
          <w:t>https://doi.org/10.1111/j.1548-1360.2008.00023.x</w:t>
        </w:r>
      </w:hyperlink>
    </w:p>
    <w:p w14:paraId="4FDB9B08" w14:textId="77777777" w:rsidR="00A63FC7" w:rsidRPr="00A63FC7" w:rsidRDefault="00A63FC7" w:rsidP="00FF4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Carroll, T. (2007). Sculpting the Social Geography of Lower Manhattan: Artists and AIDS Activists in the 1980s and 1990s. </w:t>
      </w:r>
      <w:r w:rsidRPr="00A63FC7">
        <w:rPr>
          <w:rFonts w:ascii="Cambria" w:hAnsi="Cambria" w:cs="Times New Roman"/>
          <w:i/>
          <w:iCs/>
        </w:rPr>
        <w:t>Critical Planning</w:t>
      </w:r>
      <w:r w:rsidRPr="00A63FC7">
        <w:rPr>
          <w:rFonts w:ascii="Cambria" w:hAnsi="Cambria" w:cs="Times New Roman"/>
        </w:rPr>
        <w:t>, 31–46.</w:t>
      </w:r>
    </w:p>
    <w:p w14:paraId="36D751B5"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Castillo, T. (2019, July 23). When Harm Reduction Expansion Stifles Activism: A Lesson From Europe. </w:t>
      </w:r>
      <w:r w:rsidRPr="00A63FC7">
        <w:rPr>
          <w:rFonts w:ascii="Cambria" w:hAnsi="Cambria" w:cs="Times New Roman"/>
          <w:i/>
          <w:iCs/>
        </w:rPr>
        <w:t>Filter</w:t>
      </w:r>
      <w:r w:rsidRPr="00A63FC7">
        <w:rPr>
          <w:rFonts w:ascii="Cambria" w:hAnsi="Cambria" w:cs="Times New Roman"/>
        </w:rPr>
        <w:t xml:space="preserve">. </w:t>
      </w:r>
      <w:hyperlink r:id="rId50" w:history="1">
        <w:r w:rsidRPr="00A63FC7">
          <w:rPr>
            <w:rStyle w:val="Hyperlink"/>
            <w:rFonts w:ascii="Cambria" w:hAnsi="Cambria" w:cs="Times New Roman"/>
          </w:rPr>
          <w:t>https://filtermag.org/harm-reduction-expansion-activism/</w:t>
        </w:r>
      </w:hyperlink>
    </w:p>
    <w:p w14:paraId="7D665163"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Catte</w:t>
      </w:r>
      <w:proofErr w:type="spellEnd"/>
      <w:r w:rsidRPr="00A63FC7">
        <w:rPr>
          <w:rFonts w:ascii="Cambria" w:hAnsi="Cambria" w:cs="Times New Roman"/>
        </w:rPr>
        <w:t xml:space="preserve">, E. (2018). </w:t>
      </w:r>
      <w:r w:rsidRPr="00A63FC7">
        <w:rPr>
          <w:rFonts w:ascii="Cambria" w:hAnsi="Cambria" w:cs="Times New Roman"/>
          <w:i/>
          <w:iCs/>
        </w:rPr>
        <w:t>What You are Getting Wrong About Appalachia</w:t>
      </w:r>
      <w:r w:rsidRPr="00A63FC7">
        <w:rPr>
          <w:rFonts w:ascii="Cambria" w:hAnsi="Cambria" w:cs="Times New Roman"/>
        </w:rPr>
        <w:t xml:space="preserve"> (1st Edition). Belt Publishing. </w:t>
      </w:r>
      <w:hyperlink r:id="rId51" w:history="1">
        <w:r w:rsidRPr="00A63FC7">
          <w:rPr>
            <w:rStyle w:val="Hyperlink"/>
            <w:rFonts w:ascii="Cambria" w:hAnsi="Cambria" w:cs="Times New Roman"/>
          </w:rPr>
          <w:t>https://read.amazon.com/?asin=B07JN23TW7&amp;ref_=dbs_t_r_kcr</w:t>
        </w:r>
      </w:hyperlink>
    </w:p>
    <w:p w14:paraId="594D2B7D"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CDC. (2019, July 24). </w:t>
      </w:r>
      <w:r w:rsidRPr="00A63FC7">
        <w:rPr>
          <w:rFonts w:ascii="Cambria" w:hAnsi="Cambria" w:cs="Times New Roman"/>
          <w:i/>
          <w:iCs/>
        </w:rPr>
        <w:t>Syringe Services Programs (SSPs) Fact Sheet | CDC</w:t>
      </w:r>
      <w:r w:rsidRPr="00A63FC7">
        <w:rPr>
          <w:rFonts w:ascii="Cambria" w:hAnsi="Cambria" w:cs="Times New Roman"/>
        </w:rPr>
        <w:t xml:space="preserve">. </w:t>
      </w:r>
      <w:hyperlink r:id="rId52" w:history="1">
        <w:r w:rsidRPr="00A63FC7">
          <w:rPr>
            <w:rStyle w:val="Hyperlink"/>
            <w:rFonts w:ascii="Cambria" w:hAnsi="Cambria" w:cs="Times New Roman"/>
          </w:rPr>
          <w:t>https://www.cdc.gov/ssp/syringe-services-programs-factsheet.html</w:t>
        </w:r>
      </w:hyperlink>
    </w:p>
    <w:p w14:paraId="008A433D"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CDC. (2022a, June 1). </w:t>
      </w:r>
      <w:r w:rsidRPr="00A63FC7">
        <w:rPr>
          <w:rFonts w:ascii="Cambria" w:hAnsi="Cambria" w:cs="Times New Roman"/>
          <w:i/>
          <w:iCs/>
        </w:rPr>
        <w:t>Opioid Data Analysis and Resources | Opioids | CDC</w:t>
      </w:r>
      <w:r w:rsidRPr="00A63FC7">
        <w:rPr>
          <w:rFonts w:ascii="Cambria" w:hAnsi="Cambria" w:cs="Times New Roman"/>
        </w:rPr>
        <w:t xml:space="preserve">. </w:t>
      </w:r>
      <w:hyperlink r:id="rId53" w:history="1">
        <w:r w:rsidRPr="00A63FC7">
          <w:rPr>
            <w:rStyle w:val="Hyperlink"/>
            <w:rFonts w:ascii="Cambria" w:hAnsi="Cambria" w:cs="Times New Roman"/>
          </w:rPr>
          <w:t>https://www.cdc.gov/opioids/data/analysis-resources.html</w:t>
        </w:r>
      </w:hyperlink>
    </w:p>
    <w:p w14:paraId="5342330E"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CDC. (2022b, October 7). </w:t>
      </w:r>
      <w:r w:rsidRPr="00A63FC7">
        <w:rPr>
          <w:rFonts w:ascii="Cambria" w:hAnsi="Cambria" w:cs="Times New Roman"/>
          <w:i/>
          <w:iCs/>
        </w:rPr>
        <w:t>Understanding the Opioid Overdose Epidemic | Opioids | CDC</w:t>
      </w:r>
      <w:r w:rsidRPr="00A63FC7">
        <w:rPr>
          <w:rFonts w:ascii="Cambria" w:hAnsi="Cambria" w:cs="Times New Roman"/>
        </w:rPr>
        <w:t xml:space="preserve">. </w:t>
      </w:r>
      <w:hyperlink r:id="rId54" w:history="1">
        <w:r w:rsidRPr="00A63FC7">
          <w:rPr>
            <w:rStyle w:val="Hyperlink"/>
            <w:rFonts w:ascii="Cambria" w:hAnsi="Cambria" w:cs="Times New Roman"/>
          </w:rPr>
          <w:t>https://www.cdc.gov/opioids/basics/epidemic.html</w:t>
        </w:r>
      </w:hyperlink>
    </w:p>
    <w:p w14:paraId="2DAD8D42"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CDC. (2023). </w:t>
      </w:r>
      <w:r w:rsidRPr="00A63FC7">
        <w:rPr>
          <w:rFonts w:ascii="Cambria" w:hAnsi="Cambria" w:cs="Times New Roman"/>
          <w:i/>
          <w:iCs/>
        </w:rPr>
        <w:t>Summary of Information on The Safety and Effectiveness of Syringe Services Programs (SSPs) | CDC</w:t>
      </w:r>
      <w:r w:rsidRPr="00A63FC7">
        <w:rPr>
          <w:rFonts w:ascii="Cambria" w:hAnsi="Cambria" w:cs="Times New Roman"/>
        </w:rPr>
        <w:t xml:space="preserve">. Federal Centers for Disease Control and Prevention. </w:t>
      </w:r>
      <w:hyperlink r:id="rId55" w:history="1">
        <w:r w:rsidRPr="00A63FC7">
          <w:rPr>
            <w:rStyle w:val="Hyperlink"/>
            <w:rFonts w:ascii="Cambria" w:hAnsi="Cambria" w:cs="Times New Roman"/>
          </w:rPr>
          <w:t>https://www.cdc.gov/ssp/syringe-services-programs-summary.html</w:t>
        </w:r>
      </w:hyperlink>
    </w:p>
    <w:p w14:paraId="7610F4DD"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Centers for Disease Control and Prevention. (2015). </w:t>
      </w:r>
      <w:r w:rsidRPr="00A63FC7">
        <w:rPr>
          <w:rFonts w:ascii="Cambria" w:hAnsi="Cambria" w:cs="Times New Roman"/>
          <w:i/>
          <w:iCs/>
        </w:rPr>
        <w:t>Persons Who Inject Drugs (PWID)s: Vulnerable Counties and Jurisdictions</w:t>
      </w:r>
      <w:r w:rsidRPr="00A63FC7">
        <w:rPr>
          <w:rFonts w:ascii="Cambria" w:hAnsi="Cambria" w:cs="Times New Roman"/>
        </w:rPr>
        <w:t xml:space="preserve"> [Map]. </w:t>
      </w:r>
      <w:hyperlink r:id="rId56" w:history="1">
        <w:r w:rsidRPr="00A63FC7">
          <w:rPr>
            <w:rStyle w:val="Hyperlink"/>
            <w:rFonts w:ascii="Cambria" w:hAnsi="Cambria" w:cs="Times New Roman"/>
          </w:rPr>
          <w:t>https://www.cdc.gov/pwid/vulnerable-counties-data.html</w:t>
        </w:r>
      </w:hyperlink>
    </w:p>
    <w:p w14:paraId="038EC4F7"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Centers for Disease Control and Prevention. (2021). </w:t>
      </w:r>
      <w:r w:rsidRPr="00A63FC7">
        <w:rPr>
          <w:rFonts w:ascii="Cambria" w:hAnsi="Cambria" w:cs="Times New Roman"/>
          <w:i/>
          <w:iCs/>
        </w:rPr>
        <w:t>Vulnerable Counties and Jurisdictions Experiencing or At-Risk of Outbreaks | Persons Who Inject Drugs (PWID) | CDC</w:t>
      </w:r>
      <w:r w:rsidRPr="00A63FC7">
        <w:rPr>
          <w:rFonts w:ascii="Cambria" w:hAnsi="Cambria" w:cs="Times New Roman"/>
        </w:rPr>
        <w:t xml:space="preserve">. </w:t>
      </w:r>
      <w:hyperlink r:id="rId57" w:history="1">
        <w:r w:rsidRPr="00A63FC7">
          <w:rPr>
            <w:rStyle w:val="Hyperlink"/>
            <w:rFonts w:ascii="Cambria" w:hAnsi="Cambria" w:cs="Times New Roman"/>
          </w:rPr>
          <w:t>https://www.cdc.gov/pwid/vulnerable-counties-data.html</w:t>
        </w:r>
      </w:hyperlink>
    </w:p>
    <w:p w14:paraId="1726E2D1"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Centers for Disease Control and Prevention. (2022, October 19). </w:t>
      </w:r>
      <w:r w:rsidRPr="00A63FC7">
        <w:rPr>
          <w:rFonts w:ascii="Cambria" w:hAnsi="Cambria" w:cs="Times New Roman"/>
          <w:i/>
          <w:iCs/>
        </w:rPr>
        <w:t>Understanding Drug Overdoses and Deaths | Drug Overdose | CDC Injury Center</w:t>
      </w:r>
      <w:r w:rsidRPr="00A63FC7">
        <w:rPr>
          <w:rFonts w:ascii="Cambria" w:hAnsi="Cambria" w:cs="Times New Roman"/>
        </w:rPr>
        <w:t xml:space="preserve">. </w:t>
      </w:r>
      <w:hyperlink r:id="rId58" w:history="1">
        <w:r w:rsidRPr="00A63FC7">
          <w:rPr>
            <w:rStyle w:val="Hyperlink"/>
            <w:rFonts w:ascii="Cambria" w:hAnsi="Cambria" w:cs="Times New Roman"/>
          </w:rPr>
          <w:t>https://www.cdc.gov/drugoverdose/epidemic/index.html</w:t>
        </w:r>
      </w:hyperlink>
    </w:p>
    <w:p w14:paraId="49D83069"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Chen, J. (2011). Beyond human rights and public health: Citizenship issues in harm reduction. </w:t>
      </w:r>
      <w:r w:rsidRPr="00A63FC7">
        <w:rPr>
          <w:rFonts w:ascii="Cambria" w:hAnsi="Cambria" w:cs="Times New Roman"/>
          <w:i/>
          <w:iCs/>
        </w:rPr>
        <w:t>International Journal of Drug Policy</w:t>
      </w:r>
      <w:r w:rsidRPr="00A63FC7">
        <w:rPr>
          <w:rFonts w:ascii="Cambria" w:hAnsi="Cambria" w:cs="Times New Roman"/>
        </w:rPr>
        <w:t>, 5.</w:t>
      </w:r>
    </w:p>
    <w:p w14:paraId="05C606BD"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Chen, M. (2018, March 7). </w:t>
      </w:r>
      <w:r w:rsidRPr="00A63FC7">
        <w:rPr>
          <w:rFonts w:ascii="Cambria" w:hAnsi="Cambria" w:cs="Times New Roman"/>
          <w:i/>
          <w:iCs/>
        </w:rPr>
        <w:t>Is the Opioid Crisis Leading to a Spike in the White Incarceration Rate?</w:t>
      </w:r>
      <w:r w:rsidRPr="00A63FC7">
        <w:rPr>
          <w:rFonts w:ascii="Cambria" w:hAnsi="Cambria" w:cs="Times New Roman"/>
        </w:rPr>
        <w:t xml:space="preserve"> </w:t>
      </w:r>
      <w:hyperlink r:id="rId59" w:history="1">
        <w:r w:rsidRPr="00A63FC7">
          <w:rPr>
            <w:rStyle w:val="Hyperlink"/>
            <w:rFonts w:ascii="Cambria" w:hAnsi="Cambria" w:cs="Times New Roman"/>
          </w:rPr>
          <w:t>https://www.thenation.com/article/archive/the-opioid-crisis-has-led-to-a-spike-in-the-white-incarceration-rate/</w:t>
        </w:r>
      </w:hyperlink>
    </w:p>
    <w:p w14:paraId="18FD24EE"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Cheng, J.-F., </w:t>
      </w:r>
      <w:proofErr w:type="spellStart"/>
      <w:r w:rsidRPr="00A63FC7">
        <w:rPr>
          <w:rFonts w:ascii="Cambria" w:hAnsi="Cambria" w:cs="Times New Roman"/>
        </w:rPr>
        <w:t>Juhasz</w:t>
      </w:r>
      <w:proofErr w:type="spellEnd"/>
      <w:r w:rsidRPr="00A63FC7">
        <w:rPr>
          <w:rFonts w:ascii="Cambria" w:hAnsi="Cambria" w:cs="Times New Roman"/>
        </w:rPr>
        <w:t xml:space="preserve">, A., &amp; Shahani, N. (Eds.). (2020). </w:t>
      </w:r>
      <w:r w:rsidRPr="00A63FC7">
        <w:rPr>
          <w:rFonts w:ascii="Cambria" w:hAnsi="Cambria" w:cs="Times New Roman"/>
          <w:i/>
          <w:iCs/>
        </w:rPr>
        <w:t>AIDS and the distribution of crises</w:t>
      </w:r>
      <w:r w:rsidRPr="00A63FC7">
        <w:rPr>
          <w:rFonts w:ascii="Cambria" w:hAnsi="Cambria" w:cs="Times New Roman"/>
        </w:rPr>
        <w:t>. Duke University Press.</w:t>
      </w:r>
    </w:p>
    <w:p w14:paraId="427E6EA4"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Chris, C., Baker, C., Cooper, R., Kennedy, P. J., Madras, B., &amp; Bondi, P. (2017). </w:t>
      </w:r>
      <w:r w:rsidRPr="00A63FC7">
        <w:rPr>
          <w:rFonts w:ascii="Cambria" w:hAnsi="Cambria" w:cs="Times New Roman"/>
          <w:i/>
          <w:iCs/>
        </w:rPr>
        <w:t>The President’s Commission on Combatting Drug Addiction and the Opioid Crisis</w:t>
      </w:r>
      <w:r w:rsidRPr="00A63FC7">
        <w:rPr>
          <w:rFonts w:ascii="Cambria" w:hAnsi="Cambria" w:cs="Times New Roman"/>
        </w:rPr>
        <w:t xml:space="preserve"> (pp. 1–138). </w:t>
      </w:r>
      <w:hyperlink r:id="rId60" w:history="1">
        <w:r w:rsidRPr="00A63FC7">
          <w:rPr>
            <w:rStyle w:val="Hyperlink"/>
            <w:rFonts w:ascii="Cambria" w:hAnsi="Cambria" w:cs="Times New Roman"/>
          </w:rPr>
          <w:t>https://trumpwhitehouse.archives.gov/sites/whitehouse.gov/files/images/Final_Report_Draft_11-15-2017.pdf</w:t>
        </w:r>
      </w:hyperlink>
    </w:p>
    <w:p w14:paraId="07675B8E"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Christiansen, A. E., &amp; Hanson, J. J. (1996). Comedy as cure for tragedy: ACT UP and the rhetoric of AIDS. </w:t>
      </w:r>
      <w:r w:rsidRPr="00A63FC7">
        <w:rPr>
          <w:rFonts w:ascii="Cambria" w:hAnsi="Cambria" w:cs="Times New Roman"/>
          <w:i/>
          <w:iCs/>
        </w:rPr>
        <w:t>Quarterly Journal of Speech</w:t>
      </w:r>
      <w:r w:rsidRPr="00A63FC7">
        <w:rPr>
          <w:rFonts w:ascii="Cambria" w:hAnsi="Cambria" w:cs="Times New Roman"/>
        </w:rPr>
        <w:t xml:space="preserve">, </w:t>
      </w:r>
      <w:r w:rsidRPr="00A63FC7">
        <w:rPr>
          <w:rFonts w:ascii="Cambria" w:hAnsi="Cambria" w:cs="Times New Roman"/>
          <w:i/>
          <w:iCs/>
        </w:rPr>
        <w:t>82</w:t>
      </w:r>
      <w:r w:rsidRPr="00A63FC7">
        <w:rPr>
          <w:rFonts w:ascii="Cambria" w:hAnsi="Cambria" w:cs="Times New Roman"/>
        </w:rPr>
        <w:t>(2), 157–170.</w:t>
      </w:r>
    </w:p>
    <w:p w14:paraId="232FFF20"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Ciccarone</w:t>
      </w:r>
      <w:proofErr w:type="spellEnd"/>
      <w:r w:rsidRPr="00A63FC7">
        <w:rPr>
          <w:rFonts w:ascii="Cambria" w:hAnsi="Cambria" w:cs="Times New Roman"/>
        </w:rPr>
        <w:t xml:space="preserve">, D. (2019). The triple wave epidemic: Supply and demand drivers of the US opioid overdose crisis. </w:t>
      </w:r>
      <w:r w:rsidRPr="00A63FC7">
        <w:rPr>
          <w:rFonts w:ascii="Cambria" w:hAnsi="Cambria" w:cs="Times New Roman"/>
          <w:i/>
          <w:iCs/>
        </w:rPr>
        <w:t>The International Journal on Drug Policy</w:t>
      </w:r>
      <w:r w:rsidRPr="00A63FC7">
        <w:rPr>
          <w:rFonts w:ascii="Cambria" w:hAnsi="Cambria" w:cs="Times New Roman"/>
        </w:rPr>
        <w:t xml:space="preserve">, </w:t>
      </w:r>
      <w:r w:rsidRPr="00A63FC7">
        <w:rPr>
          <w:rFonts w:ascii="Cambria" w:hAnsi="Cambria" w:cs="Times New Roman"/>
          <w:i/>
          <w:iCs/>
        </w:rPr>
        <w:t>71</w:t>
      </w:r>
      <w:r w:rsidRPr="00A63FC7">
        <w:rPr>
          <w:rFonts w:ascii="Cambria" w:hAnsi="Cambria" w:cs="Times New Roman"/>
        </w:rPr>
        <w:t>, 183.</w:t>
      </w:r>
    </w:p>
    <w:p w14:paraId="035B2C5F"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Ciccarone</w:t>
      </w:r>
      <w:proofErr w:type="spellEnd"/>
      <w:r w:rsidRPr="00A63FC7">
        <w:rPr>
          <w:rFonts w:ascii="Cambria" w:hAnsi="Cambria" w:cs="Times New Roman"/>
        </w:rPr>
        <w:t xml:space="preserve">, D. (2021). The rise of illicit </w:t>
      </w:r>
      <w:proofErr w:type="spellStart"/>
      <w:r w:rsidRPr="00A63FC7">
        <w:rPr>
          <w:rFonts w:ascii="Cambria" w:hAnsi="Cambria" w:cs="Times New Roman"/>
        </w:rPr>
        <w:t>fentanyls</w:t>
      </w:r>
      <w:proofErr w:type="spellEnd"/>
      <w:r w:rsidRPr="00A63FC7">
        <w:rPr>
          <w:rFonts w:ascii="Cambria" w:hAnsi="Cambria" w:cs="Times New Roman"/>
        </w:rPr>
        <w:t xml:space="preserve">, stimulants and the fourth wave of the opioid overdose crisis. </w:t>
      </w:r>
      <w:r w:rsidRPr="00A63FC7">
        <w:rPr>
          <w:rFonts w:ascii="Cambria" w:hAnsi="Cambria" w:cs="Times New Roman"/>
          <w:i/>
          <w:iCs/>
        </w:rPr>
        <w:t>Current Opinion in Psychiatry</w:t>
      </w:r>
      <w:r w:rsidRPr="00A63FC7">
        <w:rPr>
          <w:rFonts w:ascii="Cambria" w:hAnsi="Cambria" w:cs="Times New Roman"/>
        </w:rPr>
        <w:t xml:space="preserve">, </w:t>
      </w:r>
      <w:r w:rsidRPr="00A63FC7">
        <w:rPr>
          <w:rFonts w:ascii="Cambria" w:hAnsi="Cambria" w:cs="Times New Roman"/>
          <w:i/>
          <w:iCs/>
        </w:rPr>
        <w:t>34</w:t>
      </w:r>
      <w:r w:rsidRPr="00A63FC7">
        <w:rPr>
          <w:rFonts w:ascii="Cambria" w:hAnsi="Cambria" w:cs="Times New Roman"/>
        </w:rPr>
        <w:t>(4), 344.</w:t>
      </w:r>
    </w:p>
    <w:p w14:paraId="5BC1DF66"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Clarke, J. (2010). Of Crises and Conjunctures: The Problem of the Present. </w:t>
      </w:r>
      <w:r w:rsidRPr="00A63FC7">
        <w:rPr>
          <w:rFonts w:ascii="Cambria" w:hAnsi="Cambria" w:cs="Times New Roman"/>
          <w:i/>
          <w:iCs/>
        </w:rPr>
        <w:t>Journal of Communication Inquiry</w:t>
      </w:r>
      <w:r w:rsidRPr="00A63FC7">
        <w:rPr>
          <w:rFonts w:ascii="Cambria" w:hAnsi="Cambria" w:cs="Times New Roman"/>
        </w:rPr>
        <w:t xml:space="preserve">, </w:t>
      </w:r>
      <w:r w:rsidRPr="00A63FC7">
        <w:rPr>
          <w:rFonts w:ascii="Cambria" w:hAnsi="Cambria" w:cs="Times New Roman"/>
          <w:i/>
          <w:iCs/>
        </w:rPr>
        <w:t>34</w:t>
      </w:r>
      <w:r w:rsidRPr="00A63FC7">
        <w:rPr>
          <w:rFonts w:ascii="Cambria" w:hAnsi="Cambria" w:cs="Times New Roman"/>
        </w:rPr>
        <w:t xml:space="preserve">(4), 337–354. </w:t>
      </w:r>
      <w:hyperlink r:id="rId61" w:history="1">
        <w:r w:rsidRPr="00A63FC7">
          <w:rPr>
            <w:rStyle w:val="Hyperlink"/>
            <w:rFonts w:ascii="Cambria" w:hAnsi="Cambria" w:cs="Times New Roman"/>
          </w:rPr>
          <w:t>https://doi.org/10.1177/0196859910382451</w:t>
        </w:r>
      </w:hyperlink>
    </w:p>
    <w:p w14:paraId="37A4304F"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Clarke, J. (2015). Stuart Hall and the theory and practice of articulation. </w:t>
      </w:r>
      <w:r w:rsidRPr="00A63FC7">
        <w:rPr>
          <w:rFonts w:ascii="Cambria" w:hAnsi="Cambria" w:cs="Times New Roman"/>
          <w:i/>
          <w:iCs/>
        </w:rPr>
        <w:t>Discourse: Studies in the Cultural Politics of Education</w:t>
      </w:r>
      <w:r w:rsidRPr="00A63FC7">
        <w:rPr>
          <w:rFonts w:ascii="Cambria" w:hAnsi="Cambria" w:cs="Times New Roman"/>
        </w:rPr>
        <w:t xml:space="preserve">, </w:t>
      </w:r>
      <w:r w:rsidRPr="00A63FC7">
        <w:rPr>
          <w:rFonts w:ascii="Cambria" w:hAnsi="Cambria" w:cs="Times New Roman"/>
          <w:i/>
          <w:iCs/>
        </w:rPr>
        <w:t>36</w:t>
      </w:r>
      <w:r w:rsidRPr="00A63FC7">
        <w:rPr>
          <w:rFonts w:ascii="Cambria" w:hAnsi="Cambria" w:cs="Times New Roman"/>
        </w:rPr>
        <w:t xml:space="preserve">(2), 275–286. </w:t>
      </w:r>
      <w:hyperlink r:id="rId62" w:history="1">
        <w:r w:rsidRPr="00A63FC7">
          <w:rPr>
            <w:rStyle w:val="Hyperlink"/>
            <w:rFonts w:ascii="Cambria" w:hAnsi="Cambria" w:cs="Times New Roman"/>
          </w:rPr>
          <w:t>https://doi.org/10.1080/01596306.2015.1013247</w:t>
        </w:r>
      </w:hyperlink>
    </w:p>
    <w:p w14:paraId="30DE21E3"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Cohen, A. (2017, July 6). </w:t>
      </w:r>
      <w:r w:rsidRPr="00A63FC7">
        <w:rPr>
          <w:rFonts w:ascii="Cambria" w:hAnsi="Cambria" w:cs="Times New Roman"/>
          <w:i/>
          <w:iCs/>
        </w:rPr>
        <w:t>Do Needle Exchanges Lead to Higher Rates of Drug Abuse?</w:t>
      </w:r>
      <w:r w:rsidRPr="00A63FC7">
        <w:rPr>
          <w:rFonts w:ascii="Cambria" w:hAnsi="Cambria" w:cs="Times New Roman"/>
        </w:rPr>
        <w:t xml:space="preserve"> Richard M. Fairbanks Foundation. </w:t>
      </w:r>
      <w:hyperlink r:id="rId63" w:history="1">
        <w:r w:rsidRPr="00A63FC7">
          <w:rPr>
            <w:rStyle w:val="Hyperlink"/>
            <w:rFonts w:ascii="Cambria" w:hAnsi="Cambria" w:cs="Times New Roman"/>
          </w:rPr>
          <w:t>https://www.rmff.org/2017/07/needle-exchanges-powerful-solution-drug-abuse/</w:t>
        </w:r>
      </w:hyperlink>
    </w:p>
    <w:p w14:paraId="54C6DD7A"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Cohen, P. F. (2014). </w:t>
      </w:r>
      <w:r w:rsidRPr="00A63FC7">
        <w:rPr>
          <w:rFonts w:ascii="Cambria" w:hAnsi="Cambria" w:cs="Times New Roman"/>
          <w:i/>
          <w:iCs/>
        </w:rPr>
        <w:t>Love and anger: Essays on aids, activism, and politics</w:t>
      </w:r>
      <w:r w:rsidRPr="00A63FC7">
        <w:rPr>
          <w:rFonts w:ascii="Cambria" w:hAnsi="Cambria" w:cs="Times New Roman"/>
        </w:rPr>
        <w:t>. Routledge.</w:t>
      </w:r>
    </w:p>
    <w:p w14:paraId="6C2B6D41"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Coulson, M., &amp; Hartman, M. (2022, February 16). </w:t>
      </w:r>
      <w:r w:rsidRPr="00A63FC7">
        <w:rPr>
          <w:rFonts w:ascii="Cambria" w:hAnsi="Cambria" w:cs="Times New Roman"/>
          <w:i/>
          <w:iCs/>
        </w:rPr>
        <w:t>What Is Harm Reduction? | Johns Hopkins | Bloomberg School of Public Health</w:t>
      </w:r>
      <w:r w:rsidRPr="00A63FC7">
        <w:rPr>
          <w:rFonts w:ascii="Cambria" w:hAnsi="Cambria" w:cs="Times New Roman"/>
        </w:rPr>
        <w:t xml:space="preserve">. </w:t>
      </w:r>
      <w:hyperlink r:id="rId64" w:history="1">
        <w:r w:rsidRPr="00A63FC7">
          <w:rPr>
            <w:rStyle w:val="Hyperlink"/>
            <w:rFonts w:ascii="Cambria" w:hAnsi="Cambria" w:cs="Times New Roman"/>
          </w:rPr>
          <w:t>https://publichealth.jhu.edu/2022/what-is-harm-reduction</w:t>
        </w:r>
      </w:hyperlink>
    </w:p>
    <w:p w14:paraId="590B51F2"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Courtwright</w:t>
      </w:r>
      <w:proofErr w:type="spellEnd"/>
      <w:r w:rsidRPr="00A63FC7">
        <w:rPr>
          <w:rFonts w:ascii="Cambria" w:hAnsi="Cambria" w:cs="Times New Roman"/>
        </w:rPr>
        <w:t xml:space="preserve">, D. T. (2001). </w:t>
      </w:r>
      <w:r w:rsidRPr="00A63FC7">
        <w:rPr>
          <w:rFonts w:ascii="Cambria" w:hAnsi="Cambria" w:cs="Times New Roman"/>
          <w:i/>
          <w:iCs/>
        </w:rPr>
        <w:t>Dark paradise: A history of opiate addiction in America</w:t>
      </w:r>
      <w:r w:rsidRPr="00A63FC7">
        <w:rPr>
          <w:rFonts w:ascii="Cambria" w:hAnsi="Cambria" w:cs="Times New Roman"/>
        </w:rPr>
        <w:t xml:space="preserve"> (Enl. ed). Harvard University Press.</w:t>
      </w:r>
    </w:p>
    <w:p w14:paraId="22538A28"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Crimp, D. (1989). Mourning and Militancy. </w:t>
      </w:r>
      <w:r w:rsidRPr="00A63FC7">
        <w:rPr>
          <w:rFonts w:ascii="Cambria" w:hAnsi="Cambria" w:cs="Times New Roman"/>
          <w:i/>
          <w:iCs/>
        </w:rPr>
        <w:t>October</w:t>
      </w:r>
      <w:r w:rsidRPr="00A63FC7">
        <w:rPr>
          <w:rFonts w:ascii="Cambria" w:hAnsi="Cambria" w:cs="Times New Roman"/>
        </w:rPr>
        <w:t xml:space="preserve">, </w:t>
      </w:r>
      <w:r w:rsidRPr="00A63FC7">
        <w:rPr>
          <w:rFonts w:ascii="Cambria" w:hAnsi="Cambria" w:cs="Times New Roman"/>
          <w:i/>
          <w:iCs/>
        </w:rPr>
        <w:t>51</w:t>
      </w:r>
      <w:r w:rsidRPr="00A63FC7">
        <w:rPr>
          <w:rFonts w:ascii="Cambria" w:hAnsi="Cambria" w:cs="Times New Roman"/>
        </w:rPr>
        <w:t xml:space="preserve">, 3–18. </w:t>
      </w:r>
      <w:hyperlink r:id="rId65" w:history="1">
        <w:r w:rsidRPr="00A63FC7">
          <w:rPr>
            <w:rStyle w:val="Hyperlink"/>
            <w:rFonts w:ascii="Cambria" w:hAnsi="Cambria" w:cs="Times New Roman"/>
          </w:rPr>
          <w:t>https://doi.org/10.2307/778889</w:t>
        </w:r>
      </w:hyperlink>
    </w:p>
    <w:p w14:paraId="79E7E0D1"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Crimp, D. (1992). Right On, Girlfriend! </w:t>
      </w:r>
      <w:r w:rsidRPr="00A63FC7">
        <w:rPr>
          <w:rFonts w:ascii="Cambria" w:hAnsi="Cambria" w:cs="Times New Roman"/>
          <w:i/>
          <w:iCs/>
        </w:rPr>
        <w:t>Social Text</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 xml:space="preserve">, 2–18. </w:t>
      </w:r>
      <w:hyperlink r:id="rId66" w:history="1">
        <w:r w:rsidRPr="00A63FC7">
          <w:rPr>
            <w:rStyle w:val="Hyperlink"/>
            <w:rFonts w:ascii="Cambria" w:hAnsi="Cambria" w:cs="Times New Roman"/>
          </w:rPr>
          <w:t>https://doi.org/10.2307/466431</w:t>
        </w:r>
      </w:hyperlink>
    </w:p>
    <w:p w14:paraId="4FA8AC48"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Cross, A. (2022, September 12). </w:t>
      </w:r>
      <w:r w:rsidRPr="00A63FC7">
        <w:rPr>
          <w:rFonts w:ascii="Cambria" w:hAnsi="Cambria" w:cs="Times New Roman"/>
          <w:i/>
          <w:iCs/>
        </w:rPr>
        <w:t>Ky. Has 82 syringe exchange programs in 63 counties, the most of any state, but state drug-control official says ‘That’s not enough’ – Kentucky Health News</w:t>
      </w:r>
      <w:r w:rsidRPr="00A63FC7">
        <w:rPr>
          <w:rFonts w:ascii="Cambria" w:hAnsi="Cambria" w:cs="Times New Roman"/>
        </w:rPr>
        <w:t xml:space="preserve">. </w:t>
      </w:r>
      <w:hyperlink r:id="rId67" w:history="1">
        <w:r w:rsidRPr="00A63FC7">
          <w:rPr>
            <w:rStyle w:val="Hyperlink"/>
            <w:rFonts w:ascii="Cambria" w:hAnsi="Cambria" w:cs="Times New Roman"/>
          </w:rPr>
          <w:t>https://cidev.uky.edu/kentuckyhealthnews/2022/09/12/ky-has-82-syringe-exchange-programs-in-63-counties-the-most-of-any-state-but-state-drug-control-official-says-thats-not-enough/</w:t>
        </w:r>
      </w:hyperlink>
    </w:p>
    <w:p w14:paraId="14E637D3" w14:textId="77777777" w:rsidR="00A63FC7" w:rsidRPr="00A63FC7" w:rsidRDefault="00A63FC7" w:rsidP="000E74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Culberson, J. A. (2011, December 23). </w:t>
      </w:r>
      <w:r w:rsidRPr="00A63FC7">
        <w:rPr>
          <w:rFonts w:ascii="Cambria" w:hAnsi="Cambria" w:cs="Times New Roman"/>
          <w:i/>
          <w:iCs/>
        </w:rPr>
        <w:t>H.R.2055 - 112th Congress (2011-2012): Consolidated Appropriations Act, 2012</w:t>
      </w:r>
      <w:r w:rsidRPr="00A63FC7">
        <w:rPr>
          <w:rFonts w:ascii="Cambria" w:hAnsi="Cambria" w:cs="Times New Roman"/>
        </w:rPr>
        <w:t xml:space="preserve"> (2011/2012) [Legislation]. </w:t>
      </w:r>
      <w:hyperlink r:id="rId68" w:history="1">
        <w:r w:rsidRPr="00A63FC7">
          <w:rPr>
            <w:rStyle w:val="Hyperlink"/>
            <w:rFonts w:ascii="Cambria" w:hAnsi="Cambria" w:cs="Times New Roman"/>
          </w:rPr>
          <w:t>http://www.congress.gov/</w:t>
        </w:r>
      </w:hyperlink>
    </w:p>
    <w:p w14:paraId="5EF8622E"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Davis, A. (2019a). Failure is always an option: The necessity, promise &amp; peril of radical contextualism. </w:t>
      </w:r>
      <w:r w:rsidRPr="00A63FC7">
        <w:rPr>
          <w:rFonts w:ascii="Cambria" w:hAnsi="Cambria" w:cs="Times New Roman"/>
          <w:i/>
          <w:iCs/>
        </w:rPr>
        <w:t>Cultural Studies</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(1), 46–56.</w:t>
      </w:r>
    </w:p>
    <w:p w14:paraId="79DB7851"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Davis, A. (2019b). Failure is always an option: The necessity, promise &amp; peril of radical contextualism. </w:t>
      </w:r>
      <w:r w:rsidRPr="00A63FC7">
        <w:rPr>
          <w:rFonts w:ascii="Cambria" w:hAnsi="Cambria" w:cs="Times New Roman"/>
          <w:i/>
          <w:iCs/>
        </w:rPr>
        <w:t>Cultural Studies</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 xml:space="preserve">(1), 46–56. </w:t>
      </w:r>
      <w:hyperlink r:id="rId69" w:history="1">
        <w:r w:rsidRPr="00A63FC7">
          <w:rPr>
            <w:rStyle w:val="Hyperlink"/>
            <w:rFonts w:ascii="Cambria" w:hAnsi="Cambria" w:cs="Times New Roman"/>
          </w:rPr>
          <w:t>https://doi.org/10.1080/09502386.2018.1544264</w:t>
        </w:r>
      </w:hyperlink>
    </w:p>
    <w:p w14:paraId="73A3B40F"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Davis, J. H. (2017, October 26). Trump Declares Opioid Crisis a ‘Health Emergency’ but Requests No Funds. </w:t>
      </w:r>
      <w:r w:rsidRPr="00A63FC7">
        <w:rPr>
          <w:rFonts w:ascii="Cambria" w:hAnsi="Cambria" w:cs="Times New Roman"/>
          <w:i/>
          <w:iCs/>
        </w:rPr>
        <w:t>The New York Times</w:t>
      </w:r>
      <w:r w:rsidRPr="00A63FC7">
        <w:rPr>
          <w:rFonts w:ascii="Cambria" w:hAnsi="Cambria" w:cs="Times New Roman"/>
        </w:rPr>
        <w:t xml:space="preserve">. </w:t>
      </w:r>
      <w:hyperlink r:id="rId70" w:history="1">
        <w:r w:rsidRPr="00A63FC7">
          <w:rPr>
            <w:rStyle w:val="Hyperlink"/>
            <w:rFonts w:ascii="Cambria" w:hAnsi="Cambria" w:cs="Times New Roman"/>
          </w:rPr>
          <w:t>https://www.nytimes.com/2017/10/26/us/politics/trump-opioid-crisis.html</w:t>
        </w:r>
      </w:hyperlink>
    </w:p>
    <w:p w14:paraId="6A3F8E5F"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Davis, S. M., </w:t>
      </w:r>
      <w:proofErr w:type="spellStart"/>
      <w:r w:rsidRPr="00A63FC7">
        <w:rPr>
          <w:rFonts w:ascii="Cambria" w:hAnsi="Cambria" w:cs="Times New Roman"/>
        </w:rPr>
        <w:t>Kristjansson</w:t>
      </w:r>
      <w:proofErr w:type="spellEnd"/>
      <w:r w:rsidRPr="00A63FC7">
        <w:rPr>
          <w:rFonts w:ascii="Cambria" w:hAnsi="Cambria" w:cs="Times New Roman"/>
        </w:rPr>
        <w:t xml:space="preserve">, A. L., Davidov, D., </w:t>
      </w:r>
      <w:proofErr w:type="spellStart"/>
      <w:r w:rsidRPr="00A63FC7">
        <w:rPr>
          <w:rFonts w:ascii="Cambria" w:hAnsi="Cambria" w:cs="Times New Roman"/>
        </w:rPr>
        <w:t>Zullig</w:t>
      </w:r>
      <w:proofErr w:type="spellEnd"/>
      <w:r w:rsidRPr="00A63FC7">
        <w:rPr>
          <w:rFonts w:ascii="Cambria" w:hAnsi="Cambria" w:cs="Times New Roman"/>
        </w:rPr>
        <w:t xml:space="preserve">, K., </w:t>
      </w:r>
      <w:proofErr w:type="spellStart"/>
      <w:r w:rsidRPr="00A63FC7">
        <w:rPr>
          <w:rFonts w:ascii="Cambria" w:hAnsi="Cambria" w:cs="Times New Roman"/>
        </w:rPr>
        <w:t>Baus</w:t>
      </w:r>
      <w:proofErr w:type="spellEnd"/>
      <w:r w:rsidRPr="00A63FC7">
        <w:rPr>
          <w:rFonts w:ascii="Cambria" w:hAnsi="Cambria" w:cs="Times New Roman"/>
        </w:rPr>
        <w:t xml:space="preserve">, A., &amp; Fisher, M. (2019). Barriers to using new needles encountered by rural Appalachian people who inject drugs: Implications for needle exchange. </w:t>
      </w:r>
      <w:r w:rsidRPr="00A63FC7">
        <w:rPr>
          <w:rFonts w:ascii="Cambria" w:hAnsi="Cambria" w:cs="Times New Roman"/>
          <w:i/>
          <w:iCs/>
        </w:rPr>
        <w:t>Harm Reduction Journal</w:t>
      </w:r>
      <w:r w:rsidRPr="00A63FC7">
        <w:rPr>
          <w:rFonts w:ascii="Cambria" w:hAnsi="Cambria" w:cs="Times New Roman"/>
        </w:rPr>
        <w:t xml:space="preserve">, </w:t>
      </w:r>
      <w:r w:rsidRPr="00A63FC7">
        <w:rPr>
          <w:rFonts w:ascii="Cambria" w:hAnsi="Cambria" w:cs="Times New Roman"/>
          <w:i/>
          <w:iCs/>
        </w:rPr>
        <w:t>16</w:t>
      </w:r>
      <w:r w:rsidRPr="00A63FC7">
        <w:rPr>
          <w:rFonts w:ascii="Cambria" w:hAnsi="Cambria" w:cs="Times New Roman"/>
        </w:rPr>
        <w:t xml:space="preserve">(1), 23. </w:t>
      </w:r>
      <w:hyperlink r:id="rId71" w:history="1">
        <w:r w:rsidRPr="00A63FC7">
          <w:rPr>
            <w:rStyle w:val="Hyperlink"/>
            <w:rFonts w:ascii="Cambria" w:hAnsi="Cambria" w:cs="Times New Roman"/>
          </w:rPr>
          <w:t>https://doi.org/10.1186/s12954-019-0295-5</w:t>
        </w:r>
      </w:hyperlink>
    </w:p>
    <w:p w14:paraId="2345B425"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De Sutter, L. (2017). </w:t>
      </w:r>
      <w:proofErr w:type="spellStart"/>
      <w:r w:rsidRPr="00A63FC7">
        <w:rPr>
          <w:rFonts w:ascii="Cambria" w:hAnsi="Cambria" w:cs="Times New Roman"/>
          <w:i/>
          <w:iCs/>
        </w:rPr>
        <w:t>Narcocapitalism</w:t>
      </w:r>
      <w:proofErr w:type="spellEnd"/>
      <w:r w:rsidRPr="00A63FC7">
        <w:rPr>
          <w:rFonts w:ascii="Cambria" w:hAnsi="Cambria" w:cs="Times New Roman"/>
          <w:i/>
          <w:iCs/>
        </w:rPr>
        <w:t xml:space="preserve">: Life in the age of </w:t>
      </w:r>
      <w:proofErr w:type="spellStart"/>
      <w:r w:rsidRPr="00A63FC7">
        <w:rPr>
          <w:rFonts w:ascii="Cambria" w:hAnsi="Cambria" w:cs="Times New Roman"/>
          <w:i/>
          <w:iCs/>
        </w:rPr>
        <w:t>anaesthesia</w:t>
      </w:r>
      <w:proofErr w:type="spellEnd"/>
      <w:r w:rsidRPr="00A63FC7">
        <w:rPr>
          <w:rFonts w:ascii="Cambria" w:hAnsi="Cambria" w:cs="Times New Roman"/>
        </w:rPr>
        <w:t>. Polity Press.</w:t>
      </w:r>
    </w:p>
    <w:p w14:paraId="441CBCEB"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Dean, M. (1998). Risk, Calculable and Incalculable. </w:t>
      </w:r>
      <w:proofErr w:type="spellStart"/>
      <w:r w:rsidRPr="00A63FC7">
        <w:rPr>
          <w:rFonts w:ascii="Cambria" w:hAnsi="Cambria" w:cs="Times New Roman"/>
          <w:i/>
          <w:iCs/>
        </w:rPr>
        <w:t>Soziale</w:t>
      </w:r>
      <w:proofErr w:type="spellEnd"/>
      <w:r w:rsidRPr="00A63FC7">
        <w:rPr>
          <w:rFonts w:ascii="Cambria" w:hAnsi="Cambria" w:cs="Times New Roman"/>
          <w:i/>
          <w:iCs/>
        </w:rPr>
        <w:t xml:space="preserve"> Welt</w:t>
      </w:r>
      <w:r w:rsidRPr="00A63FC7">
        <w:rPr>
          <w:rFonts w:ascii="Cambria" w:hAnsi="Cambria" w:cs="Times New Roman"/>
        </w:rPr>
        <w:t xml:space="preserve">, </w:t>
      </w:r>
      <w:r w:rsidRPr="00A63FC7">
        <w:rPr>
          <w:rFonts w:ascii="Cambria" w:hAnsi="Cambria" w:cs="Times New Roman"/>
          <w:i/>
          <w:iCs/>
        </w:rPr>
        <w:t>49</w:t>
      </w:r>
      <w:r w:rsidRPr="00A63FC7">
        <w:rPr>
          <w:rFonts w:ascii="Cambria" w:hAnsi="Cambria" w:cs="Times New Roman"/>
        </w:rPr>
        <w:t>(1), 25–42.</w:t>
      </w:r>
    </w:p>
    <w:p w14:paraId="1D88562B"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Delgado, C. (2004a). Evaluation of Needle Exchange Programs. </w:t>
      </w:r>
      <w:r w:rsidRPr="00A63FC7">
        <w:rPr>
          <w:rFonts w:ascii="Cambria" w:hAnsi="Cambria" w:cs="Times New Roman"/>
          <w:i/>
          <w:iCs/>
        </w:rPr>
        <w:t>Public Health Nursing</w:t>
      </w:r>
      <w:r w:rsidRPr="00A63FC7">
        <w:rPr>
          <w:rFonts w:ascii="Cambria" w:hAnsi="Cambria" w:cs="Times New Roman"/>
        </w:rPr>
        <w:t xml:space="preserve">, </w:t>
      </w:r>
      <w:r w:rsidRPr="00A63FC7">
        <w:rPr>
          <w:rFonts w:ascii="Cambria" w:hAnsi="Cambria" w:cs="Times New Roman"/>
          <w:i/>
          <w:iCs/>
        </w:rPr>
        <w:t>21</w:t>
      </w:r>
      <w:r w:rsidRPr="00A63FC7">
        <w:rPr>
          <w:rFonts w:ascii="Cambria" w:hAnsi="Cambria" w:cs="Times New Roman"/>
        </w:rPr>
        <w:t xml:space="preserve">(2), 171–178. </w:t>
      </w:r>
      <w:hyperlink r:id="rId72" w:history="1">
        <w:r w:rsidRPr="00A63FC7">
          <w:rPr>
            <w:rStyle w:val="Hyperlink"/>
            <w:rFonts w:ascii="Cambria" w:hAnsi="Cambria" w:cs="Times New Roman"/>
          </w:rPr>
          <w:t>https://doi.org/10.1111/j.0737-1209.2004.021211.x</w:t>
        </w:r>
      </w:hyperlink>
    </w:p>
    <w:p w14:paraId="125E7E73"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Delgado, C. (2004b). Evaluation of Needle Exchange Programs. </w:t>
      </w:r>
      <w:r w:rsidRPr="00A63FC7">
        <w:rPr>
          <w:rFonts w:ascii="Cambria" w:hAnsi="Cambria" w:cs="Times New Roman"/>
          <w:i/>
          <w:iCs/>
        </w:rPr>
        <w:t>Public Health Nursing</w:t>
      </w:r>
      <w:r w:rsidRPr="00A63FC7">
        <w:rPr>
          <w:rFonts w:ascii="Cambria" w:hAnsi="Cambria" w:cs="Times New Roman"/>
        </w:rPr>
        <w:t xml:space="preserve">, </w:t>
      </w:r>
      <w:r w:rsidRPr="00A63FC7">
        <w:rPr>
          <w:rFonts w:ascii="Cambria" w:hAnsi="Cambria" w:cs="Times New Roman"/>
          <w:i/>
          <w:iCs/>
        </w:rPr>
        <w:t>21</w:t>
      </w:r>
      <w:r w:rsidRPr="00A63FC7">
        <w:rPr>
          <w:rFonts w:ascii="Cambria" w:hAnsi="Cambria" w:cs="Times New Roman"/>
        </w:rPr>
        <w:t xml:space="preserve">(2), 171–178. </w:t>
      </w:r>
      <w:hyperlink r:id="rId73" w:history="1">
        <w:r w:rsidRPr="00A63FC7">
          <w:rPr>
            <w:rStyle w:val="Hyperlink"/>
            <w:rFonts w:ascii="Cambria" w:hAnsi="Cambria" w:cs="Times New Roman"/>
          </w:rPr>
          <w:t>https://doi.org/10.1111/j.0737-1209.2004.021211.x</w:t>
        </w:r>
      </w:hyperlink>
    </w:p>
    <w:p w14:paraId="4E25B88D"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Demko</w:t>
      </w:r>
      <w:proofErr w:type="spellEnd"/>
      <w:r w:rsidRPr="00A63FC7">
        <w:rPr>
          <w:rFonts w:ascii="Cambria" w:hAnsi="Cambria" w:cs="Times New Roman"/>
        </w:rPr>
        <w:t xml:space="preserve">, P. (2016a). How Pence’s slow walk on needle exchange helped propel Indiana’s health crisis. </w:t>
      </w:r>
      <w:r w:rsidRPr="00A63FC7">
        <w:rPr>
          <w:rFonts w:ascii="Cambria" w:hAnsi="Cambria" w:cs="Times New Roman"/>
          <w:i/>
          <w:iCs/>
        </w:rPr>
        <w:t>Politico</w:t>
      </w:r>
      <w:r w:rsidRPr="00A63FC7">
        <w:rPr>
          <w:rFonts w:ascii="Cambria" w:hAnsi="Cambria" w:cs="Times New Roman"/>
        </w:rPr>
        <w:t>.</w:t>
      </w:r>
    </w:p>
    <w:p w14:paraId="1825CA99" w14:textId="77777777" w:rsidR="00A63FC7" w:rsidRPr="00A63FC7" w:rsidRDefault="00A63FC7" w:rsidP="000F6A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Demko</w:t>
      </w:r>
      <w:proofErr w:type="spellEnd"/>
      <w:r w:rsidRPr="00A63FC7">
        <w:rPr>
          <w:rFonts w:ascii="Cambria" w:hAnsi="Cambria" w:cs="Times New Roman"/>
        </w:rPr>
        <w:t xml:space="preserve">, P. (2016b, August 7). </w:t>
      </w:r>
      <w:r w:rsidRPr="00A63FC7">
        <w:rPr>
          <w:rFonts w:ascii="Cambria" w:hAnsi="Cambria" w:cs="Times New Roman"/>
          <w:i/>
          <w:iCs/>
        </w:rPr>
        <w:t>How Pence’s slow walk on needle exchange helped propel Indiana’s health crisis</w:t>
      </w:r>
      <w:r w:rsidRPr="00A63FC7">
        <w:rPr>
          <w:rFonts w:ascii="Cambria" w:hAnsi="Cambria" w:cs="Times New Roman"/>
        </w:rPr>
        <w:t xml:space="preserve">. POLITICO. </w:t>
      </w:r>
      <w:hyperlink r:id="rId74" w:history="1">
        <w:r w:rsidRPr="00A63FC7">
          <w:rPr>
            <w:rStyle w:val="Hyperlink"/>
            <w:rFonts w:ascii="Cambria" w:hAnsi="Cambria" w:cs="Times New Roman"/>
          </w:rPr>
          <w:t>https://www.politico.com/story/2016/08/under-pences-leadership-response-to-heroin-epidemic-criticized-as-ineffective-226759</w:t>
        </w:r>
      </w:hyperlink>
    </w:p>
    <w:p w14:paraId="7CDA0D18"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Des </w:t>
      </w:r>
      <w:proofErr w:type="spellStart"/>
      <w:r w:rsidRPr="00A63FC7">
        <w:rPr>
          <w:rFonts w:ascii="Cambria" w:hAnsi="Cambria" w:cs="Times New Roman"/>
        </w:rPr>
        <w:t>Jarlais</w:t>
      </w:r>
      <w:proofErr w:type="spellEnd"/>
      <w:r w:rsidRPr="00A63FC7">
        <w:rPr>
          <w:rFonts w:ascii="Cambria" w:hAnsi="Cambria" w:cs="Times New Roman"/>
        </w:rPr>
        <w:t xml:space="preserve">, D. C. (2017). Harm reduction in the USA: The research perspective and an archive to David Purchase. </w:t>
      </w:r>
      <w:r w:rsidRPr="00A63FC7">
        <w:rPr>
          <w:rFonts w:ascii="Cambria" w:hAnsi="Cambria" w:cs="Times New Roman"/>
          <w:i/>
          <w:iCs/>
        </w:rPr>
        <w:t>Harm Reduction Journal</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(1), 51. </w:t>
      </w:r>
      <w:hyperlink r:id="rId75" w:history="1">
        <w:r w:rsidRPr="00A63FC7">
          <w:rPr>
            <w:rStyle w:val="Hyperlink"/>
            <w:rFonts w:ascii="Cambria" w:hAnsi="Cambria" w:cs="Times New Roman"/>
          </w:rPr>
          <w:t>https://doi.org/10.1186/s12954-017-0178-6</w:t>
        </w:r>
      </w:hyperlink>
    </w:p>
    <w:p w14:paraId="543556CA"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DeVerteuil</w:t>
      </w:r>
      <w:proofErr w:type="spellEnd"/>
      <w:r w:rsidRPr="00A63FC7">
        <w:rPr>
          <w:rFonts w:ascii="Cambria" w:hAnsi="Cambria" w:cs="Times New Roman"/>
        </w:rPr>
        <w:t xml:space="preserve">, G. (2014). Does the punitive need the supportive? A sympathetic critique of current grammars of urban injustice. </w:t>
      </w:r>
      <w:r w:rsidRPr="00A63FC7">
        <w:rPr>
          <w:rFonts w:ascii="Cambria" w:hAnsi="Cambria" w:cs="Times New Roman"/>
          <w:i/>
          <w:iCs/>
        </w:rPr>
        <w:t>Antipode</w:t>
      </w:r>
      <w:r w:rsidRPr="00A63FC7">
        <w:rPr>
          <w:rFonts w:ascii="Cambria" w:hAnsi="Cambria" w:cs="Times New Roman"/>
        </w:rPr>
        <w:t xml:space="preserve">, </w:t>
      </w:r>
      <w:r w:rsidRPr="00A63FC7">
        <w:rPr>
          <w:rFonts w:ascii="Cambria" w:hAnsi="Cambria" w:cs="Times New Roman"/>
          <w:i/>
          <w:iCs/>
        </w:rPr>
        <w:t>46</w:t>
      </w:r>
      <w:r w:rsidRPr="00A63FC7">
        <w:rPr>
          <w:rFonts w:ascii="Cambria" w:hAnsi="Cambria" w:cs="Times New Roman"/>
        </w:rPr>
        <w:t>(4), 874–893.</w:t>
      </w:r>
    </w:p>
    <w:p w14:paraId="1D4F7401"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DeWeerdt</w:t>
      </w:r>
      <w:proofErr w:type="spellEnd"/>
      <w:r w:rsidRPr="00A63FC7">
        <w:rPr>
          <w:rFonts w:ascii="Cambria" w:hAnsi="Cambria" w:cs="Times New Roman"/>
        </w:rPr>
        <w:t xml:space="preserve">, S. (2019). Tracing the US opioid crisis to its roots. </w:t>
      </w:r>
      <w:r w:rsidRPr="00A63FC7">
        <w:rPr>
          <w:rFonts w:ascii="Cambria" w:hAnsi="Cambria" w:cs="Times New Roman"/>
          <w:i/>
          <w:iCs/>
        </w:rPr>
        <w:t>Nature</w:t>
      </w:r>
      <w:r w:rsidRPr="00A63FC7">
        <w:rPr>
          <w:rFonts w:ascii="Cambria" w:hAnsi="Cambria" w:cs="Times New Roman"/>
        </w:rPr>
        <w:t xml:space="preserve">, </w:t>
      </w:r>
      <w:r w:rsidRPr="00A63FC7">
        <w:rPr>
          <w:rFonts w:ascii="Cambria" w:hAnsi="Cambria" w:cs="Times New Roman"/>
          <w:i/>
          <w:iCs/>
        </w:rPr>
        <w:t>573</w:t>
      </w:r>
      <w:r w:rsidRPr="00A63FC7">
        <w:rPr>
          <w:rFonts w:ascii="Cambria" w:hAnsi="Cambria" w:cs="Times New Roman"/>
        </w:rPr>
        <w:t xml:space="preserve">(7773), S10–S12. </w:t>
      </w:r>
      <w:hyperlink r:id="rId76" w:history="1">
        <w:r w:rsidRPr="00A63FC7">
          <w:rPr>
            <w:rStyle w:val="Hyperlink"/>
            <w:rFonts w:ascii="Cambria" w:hAnsi="Cambria" w:cs="Times New Roman"/>
          </w:rPr>
          <w:t>https://doi.org/10.1038/d41586-019-02686-2</w:t>
        </w:r>
      </w:hyperlink>
    </w:p>
    <w:p w14:paraId="0C21FE11"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DOJ. (2020, October 21). </w:t>
      </w:r>
      <w:r w:rsidRPr="00A63FC7">
        <w:rPr>
          <w:rFonts w:ascii="Cambria" w:hAnsi="Cambria" w:cs="Times New Roman"/>
          <w:i/>
          <w:iCs/>
        </w:rPr>
        <w:t>Justice Department Announces Global Resolution of Criminal and Civil Investigations with Opioid Manufacturer Purdue Pharma and Civil Settlement with Members of the Sackler Family</w:t>
      </w:r>
      <w:r w:rsidRPr="00A63FC7">
        <w:rPr>
          <w:rFonts w:ascii="Cambria" w:hAnsi="Cambria" w:cs="Times New Roman"/>
        </w:rPr>
        <w:t xml:space="preserve">. </w:t>
      </w:r>
      <w:hyperlink r:id="rId77" w:history="1">
        <w:r w:rsidRPr="00A63FC7">
          <w:rPr>
            <w:rStyle w:val="Hyperlink"/>
            <w:rFonts w:ascii="Cambria" w:hAnsi="Cambria" w:cs="Times New Roman"/>
          </w:rPr>
          <w:t>https://www.justice.gov/opa/pr/justice-department-announces-global-resolution-criminal-and-civil-investigations-opioid</w:t>
        </w:r>
      </w:hyperlink>
    </w:p>
    <w:p w14:paraId="0F1C9265"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Dresner</w:t>
      </w:r>
      <w:proofErr w:type="spellEnd"/>
      <w:r w:rsidRPr="00A63FC7">
        <w:rPr>
          <w:rFonts w:ascii="Cambria" w:hAnsi="Cambria" w:cs="Times New Roman"/>
        </w:rPr>
        <w:t xml:space="preserve">, A. (2018, May 7). </w:t>
      </w:r>
      <w:r w:rsidRPr="00A63FC7">
        <w:rPr>
          <w:rFonts w:ascii="Cambria" w:hAnsi="Cambria" w:cs="Times New Roman"/>
          <w:i/>
          <w:iCs/>
        </w:rPr>
        <w:t>(Re)claiming Language, Addict Edition</w:t>
      </w:r>
      <w:r w:rsidRPr="00A63FC7">
        <w:rPr>
          <w:rFonts w:ascii="Cambria" w:hAnsi="Cambria" w:cs="Times New Roman"/>
        </w:rPr>
        <w:t xml:space="preserve">. The Fix. </w:t>
      </w:r>
      <w:hyperlink r:id="rId78" w:history="1">
        <w:r w:rsidRPr="00A63FC7">
          <w:rPr>
            <w:rStyle w:val="Hyperlink"/>
            <w:rFonts w:ascii="Cambria" w:hAnsi="Cambria" w:cs="Times New Roman"/>
          </w:rPr>
          <w:t>https://www.thefix.com/reclaiming-language-addict-edition</w:t>
        </w:r>
      </w:hyperlink>
    </w:p>
    <w:p w14:paraId="5628D35A"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Ducre</w:t>
      </w:r>
      <w:proofErr w:type="spellEnd"/>
      <w:r w:rsidRPr="00A63FC7">
        <w:rPr>
          <w:rFonts w:ascii="Cambria" w:hAnsi="Cambria" w:cs="Times New Roman"/>
        </w:rPr>
        <w:t xml:space="preserve">, G. (n.d.). </w:t>
      </w:r>
      <w:r w:rsidRPr="00A63FC7">
        <w:rPr>
          <w:rFonts w:ascii="Cambria" w:hAnsi="Cambria" w:cs="Times New Roman"/>
          <w:i/>
          <w:iCs/>
        </w:rPr>
        <w:t>‘It was a gut punch’ | TN to reject federal funding from CDC to fight against HIV</w:t>
      </w:r>
      <w:r w:rsidRPr="00A63FC7">
        <w:rPr>
          <w:rFonts w:ascii="Cambria" w:hAnsi="Cambria" w:cs="Times New Roman"/>
        </w:rPr>
        <w:t xml:space="preserve">. Retrieved April 28, 2023, from </w:t>
      </w:r>
      <w:hyperlink r:id="rId79" w:history="1">
        <w:r w:rsidRPr="00A63FC7">
          <w:rPr>
            <w:rStyle w:val="Hyperlink"/>
            <w:rFonts w:ascii="Cambria" w:hAnsi="Cambria" w:cs="Times New Roman"/>
          </w:rPr>
          <w:t>https://www.wvlt.tv/2023/01/20/it-was-gut-punch-tn-reject-federal-funding-cdc-fight-against-hiv/</w:t>
        </w:r>
      </w:hyperlink>
    </w:p>
    <w:p w14:paraId="77411968"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Eller, R. D. (2014). The war on poverty in Appalachia. </w:t>
      </w:r>
      <w:r w:rsidRPr="00A63FC7">
        <w:rPr>
          <w:rFonts w:ascii="Cambria" w:hAnsi="Cambria" w:cs="Times New Roman"/>
          <w:i/>
          <w:iCs/>
        </w:rPr>
        <w:t>Keynote Address at the “A Region Reflects: Seeking Truth, Seeking Vision” Conference. Athens, OH</w:t>
      </w:r>
      <w:r w:rsidRPr="00A63FC7">
        <w:rPr>
          <w:rFonts w:ascii="Cambria" w:hAnsi="Cambria" w:cs="Times New Roman"/>
        </w:rPr>
        <w:t>.</w:t>
      </w:r>
    </w:p>
    <w:p w14:paraId="17789256"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Enck-Wanzer</w:t>
      </w:r>
      <w:proofErr w:type="spellEnd"/>
      <w:r w:rsidRPr="00A63FC7">
        <w:rPr>
          <w:rFonts w:ascii="Cambria" w:hAnsi="Cambria" w:cs="Times New Roman"/>
        </w:rPr>
        <w:t xml:space="preserve">, D. (Ed.). (2010). </w:t>
      </w:r>
      <w:r w:rsidRPr="00A63FC7">
        <w:rPr>
          <w:rFonts w:ascii="Cambria" w:hAnsi="Cambria" w:cs="Times New Roman"/>
          <w:i/>
          <w:iCs/>
        </w:rPr>
        <w:t>The Young Lords: A reader</w:t>
      </w:r>
      <w:r w:rsidRPr="00A63FC7">
        <w:rPr>
          <w:rFonts w:ascii="Cambria" w:hAnsi="Cambria" w:cs="Times New Roman"/>
        </w:rPr>
        <w:t>. New York University Press.</w:t>
      </w:r>
    </w:p>
    <w:p w14:paraId="0792A1EC" w14:textId="77777777" w:rsidR="00A63FC7" w:rsidRPr="00A63FC7" w:rsidRDefault="00A63FC7" w:rsidP="000A44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Esparza, R. (2019). Black bodies on lockdown: AIDS moral panic and the criminalization of HIV in times of White injury. </w:t>
      </w:r>
      <w:r w:rsidRPr="00A63FC7">
        <w:rPr>
          <w:rFonts w:ascii="Cambria" w:hAnsi="Cambria" w:cs="Times New Roman"/>
          <w:i/>
          <w:iCs/>
        </w:rPr>
        <w:t>The Journal of African American History</w:t>
      </w:r>
      <w:r w:rsidRPr="00A63FC7">
        <w:rPr>
          <w:rFonts w:ascii="Cambria" w:hAnsi="Cambria" w:cs="Times New Roman"/>
        </w:rPr>
        <w:t xml:space="preserve">, </w:t>
      </w:r>
      <w:r w:rsidRPr="00A63FC7">
        <w:rPr>
          <w:rFonts w:ascii="Cambria" w:hAnsi="Cambria" w:cs="Times New Roman"/>
          <w:i/>
          <w:iCs/>
        </w:rPr>
        <w:t>104</w:t>
      </w:r>
      <w:r w:rsidRPr="00A63FC7">
        <w:rPr>
          <w:rFonts w:ascii="Cambria" w:hAnsi="Cambria" w:cs="Times New Roman"/>
        </w:rPr>
        <w:t>(2), 250–280.</w:t>
      </w:r>
    </w:p>
    <w:p w14:paraId="1F5A8273"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lastRenderedPageBreak/>
        <w:t>Eversman</w:t>
      </w:r>
      <w:proofErr w:type="spellEnd"/>
      <w:r w:rsidRPr="00A63FC7">
        <w:rPr>
          <w:rFonts w:ascii="Cambria" w:hAnsi="Cambria" w:cs="Times New Roman"/>
        </w:rPr>
        <w:t xml:space="preserve">, M. H. (2015a). “We Want a Living Solution”: Views of Harm Reduction Programs in Black U.S. Communities. </w:t>
      </w:r>
      <w:r w:rsidRPr="00A63FC7">
        <w:rPr>
          <w:rFonts w:ascii="Cambria" w:hAnsi="Cambria" w:cs="Times New Roman"/>
          <w:i/>
          <w:iCs/>
        </w:rPr>
        <w:t>Journal of Ethnicity in Substance Abuse</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(2), 187–207. </w:t>
      </w:r>
      <w:hyperlink r:id="rId80" w:history="1">
        <w:r w:rsidRPr="00A63FC7">
          <w:rPr>
            <w:rStyle w:val="Hyperlink"/>
            <w:rFonts w:ascii="Cambria" w:hAnsi="Cambria" w:cs="Times New Roman"/>
          </w:rPr>
          <w:t>https://doi.org/10.1080/15332640.2014.976803</w:t>
        </w:r>
      </w:hyperlink>
    </w:p>
    <w:p w14:paraId="6E4B3397"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Eversman</w:t>
      </w:r>
      <w:proofErr w:type="spellEnd"/>
      <w:r w:rsidRPr="00A63FC7">
        <w:rPr>
          <w:rFonts w:ascii="Cambria" w:hAnsi="Cambria" w:cs="Times New Roman"/>
        </w:rPr>
        <w:t xml:space="preserve">, M. H. (2015b). Harm reduction in U.S. tobacco control: Constructions in textual news media. </w:t>
      </w:r>
      <w:r w:rsidRPr="00A63FC7">
        <w:rPr>
          <w:rFonts w:ascii="Cambria" w:hAnsi="Cambria" w:cs="Times New Roman"/>
          <w:i/>
          <w:iCs/>
        </w:rPr>
        <w:t>The International Journal on Drug Policy</w:t>
      </w:r>
      <w:r w:rsidRPr="00A63FC7">
        <w:rPr>
          <w:rFonts w:ascii="Cambria" w:hAnsi="Cambria" w:cs="Times New Roman"/>
        </w:rPr>
        <w:t xml:space="preserve">, </w:t>
      </w:r>
      <w:r w:rsidRPr="00A63FC7">
        <w:rPr>
          <w:rFonts w:ascii="Cambria" w:hAnsi="Cambria" w:cs="Times New Roman"/>
          <w:i/>
          <w:iCs/>
        </w:rPr>
        <w:t>26</w:t>
      </w:r>
      <w:r w:rsidRPr="00A63FC7">
        <w:rPr>
          <w:rFonts w:ascii="Cambria" w:hAnsi="Cambria" w:cs="Times New Roman"/>
        </w:rPr>
        <w:t xml:space="preserve">(6), 575–582. </w:t>
      </w:r>
      <w:hyperlink r:id="rId81" w:history="1">
        <w:r w:rsidRPr="00A63FC7">
          <w:rPr>
            <w:rStyle w:val="Hyperlink"/>
            <w:rFonts w:ascii="Cambria" w:hAnsi="Cambria" w:cs="Times New Roman"/>
          </w:rPr>
          <w:t>https://doi.org/10.1016/j.drugpo.2015.01.018</w:t>
        </w:r>
      </w:hyperlink>
    </w:p>
    <w:p w14:paraId="56072270"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Fauber</w:t>
      </w:r>
      <w:proofErr w:type="spellEnd"/>
      <w:r w:rsidRPr="00A63FC7">
        <w:rPr>
          <w:rFonts w:ascii="Cambria" w:hAnsi="Cambria" w:cs="Times New Roman"/>
        </w:rPr>
        <w:t xml:space="preserve">, J., &amp; Gabler, E. (2019, May 17). </w:t>
      </w:r>
      <w:r w:rsidRPr="00A63FC7">
        <w:rPr>
          <w:rFonts w:ascii="Cambria" w:hAnsi="Cambria" w:cs="Times New Roman"/>
          <w:i/>
          <w:iCs/>
        </w:rPr>
        <w:t>What happened to the poster children of OxyContin?</w:t>
      </w:r>
      <w:r w:rsidRPr="00A63FC7">
        <w:rPr>
          <w:rFonts w:ascii="Cambria" w:hAnsi="Cambria" w:cs="Times New Roman"/>
        </w:rPr>
        <w:t xml:space="preserve"> Milwaukee Journal Sentinel. </w:t>
      </w:r>
      <w:hyperlink r:id="rId82" w:history="1">
        <w:r w:rsidRPr="00A63FC7">
          <w:rPr>
            <w:rStyle w:val="Hyperlink"/>
            <w:rFonts w:ascii="Cambria" w:hAnsi="Cambria" w:cs="Times New Roman"/>
          </w:rPr>
          <w:t>https://www.jsonline.com/story/news/investigations/2019/05/17/what-happened-poster-children-oxycontin/3705244002/</w:t>
        </w:r>
      </w:hyperlink>
    </w:p>
    <w:p w14:paraId="6AC102D1"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Featherstone, D. (2017). Stuart Hall and our current conjuncture. </w:t>
      </w:r>
      <w:r w:rsidRPr="00A63FC7">
        <w:rPr>
          <w:rFonts w:ascii="Cambria" w:hAnsi="Cambria" w:cs="Times New Roman"/>
          <w:i/>
          <w:iCs/>
        </w:rPr>
        <w:t>IPPR Progressive Review</w:t>
      </w:r>
      <w:r w:rsidRPr="00A63FC7">
        <w:rPr>
          <w:rFonts w:ascii="Cambria" w:hAnsi="Cambria" w:cs="Times New Roman"/>
        </w:rPr>
        <w:t xml:space="preserve">, </w:t>
      </w:r>
      <w:r w:rsidRPr="00A63FC7">
        <w:rPr>
          <w:rFonts w:ascii="Cambria" w:hAnsi="Cambria" w:cs="Times New Roman"/>
          <w:i/>
          <w:iCs/>
        </w:rPr>
        <w:t>24</w:t>
      </w:r>
      <w:r w:rsidRPr="00A63FC7">
        <w:rPr>
          <w:rFonts w:ascii="Cambria" w:hAnsi="Cambria" w:cs="Times New Roman"/>
        </w:rPr>
        <w:t xml:space="preserve">(1), 36–44. </w:t>
      </w:r>
      <w:hyperlink r:id="rId83" w:history="1">
        <w:r w:rsidRPr="00A63FC7">
          <w:rPr>
            <w:rStyle w:val="Hyperlink"/>
            <w:rFonts w:ascii="Cambria" w:hAnsi="Cambria" w:cs="Times New Roman"/>
          </w:rPr>
          <w:t>https://doi.org/10.1111/newe.12035</w:t>
        </w:r>
      </w:hyperlink>
    </w:p>
    <w:p w14:paraId="09960DDB"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Fee, E., &amp; Krieger, N. (1993). </w:t>
      </w:r>
      <w:r w:rsidRPr="00A63FC7">
        <w:rPr>
          <w:rFonts w:ascii="Cambria" w:hAnsi="Cambria" w:cs="Times New Roman"/>
          <w:i/>
          <w:iCs/>
        </w:rPr>
        <w:t>Understanding AIDS: Historical Interpretations and the Limits of Biomedical Individualism</w:t>
      </w:r>
      <w:r w:rsidRPr="00A63FC7">
        <w:rPr>
          <w:rFonts w:ascii="Cambria" w:hAnsi="Cambria" w:cs="Times New Roman"/>
        </w:rPr>
        <w:t xml:space="preserve">. </w:t>
      </w:r>
      <w:r w:rsidRPr="00A63FC7">
        <w:rPr>
          <w:rFonts w:ascii="Cambria" w:hAnsi="Cambria" w:cs="Times New Roman"/>
          <w:i/>
          <w:iCs/>
        </w:rPr>
        <w:t>83</w:t>
      </w:r>
      <w:r w:rsidRPr="00A63FC7">
        <w:rPr>
          <w:rFonts w:ascii="Cambria" w:hAnsi="Cambria" w:cs="Times New Roman"/>
        </w:rPr>
        <w:t>(10), 10.</w:t>
      </w:r>
    </w:p>
    <w:p w14:paraId="5C9E3CAF"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Ferraiolo, K. (2007). From Killer Weed to Popular Medicine: The Evolution of American Drug Control Policy, 1937–2000. </w:t>
      </w:r>
      <w:r w:rsidRPr="00A63FC7">
        <w:rPr>
          <w:rFonts w:ascii="Cambria" w:hAnsi="Cambria" w:cs="Times New Roman"/>
          <w:i/>
          <w:iCs/>
        </w:rPr>
        <w:t>Journal of Policy History</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 xml:space="preserve">(2), 147–179. </w:t>
      </w:r>
      <w:hyperlink r:id="rId84" w:history="1">
        <w:r w:rsidRPr="00A63FC7">
          <w:rPr>
            <w:rStyle w:val="Hyperlink"/>
            <w:rFonts w:ascii="Cambria" w:hAnsi="Cambria" w:cs="Times New Roman"/>
          </w:rPr>
          <w:t>https://doi.org/10.1353/jph.2007.0009</w:t>
        </w:r>
      </w:hyperlink>
    </w:p>
    <w:p w14:paraId="3D8AF345"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Fraser, N. (2016a). Contradictions of Capital and Care. </w:t>
      </w:r>
      <w:r w:rsidRPr="00A63FC7">
        <w:rPr>
          <w:rFonts w:ascii="Cambria" w:hAnsi="Cambria" w:cs="Times New Roman"/>
          <w:i/>
          <w:iCs/>
        </w:rPr>
        <w:t>New Left Review</w:t>
      </w:r>
      <w:r w:rsidRPr="00A63FC7">
        <w:rPr>
          <w:rFonts w:ascii="Cambria" w:hAnsi="Cambria" w:cs="Times New Roman"/>
        </w:rPr>
        <w:t xml:space="preserve">, </w:t>
      </w:r>
      <w:r w:rsidRPr="00A63FC7">
        <w:rPr>
          <w:rFonts w:ascii="Cambria" w:hAnsi="Cambria" w:cs="Times New Roman"/>
          <w:i/>
          <w:iCs/>
        </w:rPr>
        <w:t>100</w:t>
      </w:r>
      <w:r w:rsidRPr="00A63FC7">
        <w:rPr>
          <w:rFonts w:ascii="Cambria" w:hAnsi="Cambria" w:cs="Times New Roman"/>
        </w:rPr>
        <w:t>, 99–117.</w:t>
      </w:r>
    </w:p>
    <w:p w14:paraId="16A374E9"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Fraser, N. (2016b). Contradictions of Capital and Care. </w:t>
      </w:r>
      <w:r w:rsidRPr="00A63FC7">
        <w:rPr>
          <w:rFonts w:ascii="Cambria" w:hAnsi="Cambria" w:cs="Times New Roman"/>
          <w:i/>
          <w:iCs/>
        </w:rPr>
        <w:t>New Left Review</w:t>
      </w:r>
      <w:r w:rsidRPr="00A63FC7">
        <w:rPr>
          <w:rFonts w:ascii="Cambria" w:hAnsi="Cambria" w:cs="Times New Roman"/>
        </w:rPr>
        <w:t xml:space="preserve">, </w:t>
      </w:r>
      <w:r w:rsidRPr="00A63FC7">
        <w:rPr>
          <w:rFonts w:ascii="Cambria" w:hAnsi="Cambria" w:cs="Times New Roman"/>
          <w:i/>
          <w:iCs/>
        </w:rPr>
        <w:t>100</w:t>
      </w:r>
      <w:r w:rsidRPr="00A63FC7">
        <w:rPr>
          <w:rFonts w:ascii="Cambria" w:hAnsi="Cambria" w:cs="Times New Roman"/>
        </w:rPr>
        <w:t>, 99–117.</w:t>
      </w:r>
    </w:p>
    <w:p w14:paraId="17C8D621" w14:textId="77777777" w:rsidR="00A63FC7" w:rsidRPr="00A63FC7" w:rsidRDefault="00A63FC7" w:rsidP="00E8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Gamson</w:t>
      </w:r>
      <w:proofErr w:type="spellEnd"/>
      <w:r w:rsidRPr="00A63FC7">
        <w:rPr>
          <w:rFonts w:ascii="Cambria" w:hAnsi="Cambria" w:cs="Times New Roman"/>
        </w:rPr>
        <w:t xml:space="preserve">, J. (1989). Silence, death, and the invisible enemy: AIDS activism and social movement “newness.” </w:t>
      </w:r>
      <w:r w:rsidRPr="00A63FC7">
        <w:rPr>
          <w:rFonts w:ascii="Cambria" w:hAnsi="Cambria" w:cs="Times New Roman"/>
          <w:i/>
          <w:iCs/>
        </w:rPr>
        <w:t>Social Problems</w:t>
      </w:r>
      <w:r w:rsidRPr="00A63FC7">
        <w:rPr>
          <w:rFonts w:ascii="Cambria" w:hAnsi="Cambria" w:cs="Times New Roman"/>
        </w:rPr>
        <w:t xml:space="preserve">, </w:t>
      </w:r>
      <w:r w:rsidRPr="00A63FC7">
        <w:rPr>
          <w:rFonts w:ascii="Cambria" w:hAnsi="Cambria" w:cs="Times New Roman"/>
          <w:i/>
          <w:iCs/>
        </w:rPr>
        <w:t>36</w:t>
      </w:r>
      <w:r w:rsidRPr="00A63FC7">
        <w:rPr>
          <w:rFonts w:ascii="Cambria" w:hAnsi="Cambria" w:cs="Times New Roman"/>
        </w:rPr>
        <w:t>(4), 351–367.</w:t>
      </w:r>
    </w:p>
    <w:p w14:paraId="0ECB6E68"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Geiger, R. K., &amp; </w:t>
      </w:r>
      <w:proofErr w:type="spellStart"/>
      <w:r w:rsidRPr="00A63FC7">
        <w:rPr>
          <w:rFonts w:ascii="Cambria" w:hAnsi="Cambria" w:cs="Times New Roman"/>
        </w:rPr>
        <w:t>Wolch</w:t>
      </w:r>
      <w:proofErr w:type="spellEnd"/>
      <w:r w:rsidRPr="00A63FC7">
        <w:rPr>
          <w:rFonts w:ascii="Cambria" w:hAnsi="Cambria" w:cs="Times New Roman"/>
        </w:rPr>
        <w:t xml:space="preserve">, J. R. (1986). A Shadow State? Voluntarism in Metropolitan Los Angeles. </w:t>
      </w:r>
      <w:r w:rsidRPr="00A63FC7">
        <w:rPr>
          <w:rFonts w:ascii="Cambria" w:hAnsi="Cambria" w:cs="Times New Roman"/>
          <w:i/>
          <w:iCs/>
        </w:rPr>
        <w:t>Environment and Planning D: Society and Space</w:t>
      </w:r>
      <w:r w:rsidRPr="00A63FC7">
        <w:rPr>
          <w:rFonts w:ascii="Cambria" w:hAnsi="Cambria" w:cs="Times New Roman"/>
        </w:rPr>
        <w:t xml:space="preserve">, </w:t>
      </w:r>
      <w:r w:rsidRPr="00A63FC7">
        <w:rPr>
          <w:rFonts w:ascii="Cambria" w:hAnsi="Cambria" w:cs="Times New Roman"/>
          <w:i/>
          <w:iCs/>
        </w:rPr>
        <w:t>4</w:t>
      </w:r>
      <w:r w:rsidRPr="00A63FC7">
        <w:rPr>
          <w:rFonts w:ascii="Cambria" w:hAnsi="Cambria" w:cs="Times New Roman"/>
        </w:rPr>
        <w:t xml:space="preserve">(3), 351–366. </w:t>
      </w:r>
      <w:hyperlink r:id="rId85" w:history="1">
        <w:r w:rsidRPr="00A63FC7">
          <w:rPr>
            <w:rStyle w:val="Hyperlink"/>
            <w:rFonts w:ascii="Cambria" w:hAnsi="Cambria" w:cs="Times New Roman"/>
          </w:rPr>
          <w:t>https://doi.org/10.1068/d040351</w:t>
        </w:r>
      </w:hyperlink>
    </w:p>
    <w:p w14:paraId="2D574B06"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Gieringer</w:t>
      </w:r>
      <w:proofErr w:type="spellEnd"/>
      <w:r w:rsidRPr="00A63FC7">
        <w:rPr>
          <w:rFonts w:ascii="Cambria" w:hAnsi="Cambria" w:cs="Times New Roman"/>
        </w:rPr>
        <w:t xml:space="preserve">, D. (2009, February 6). The Opium Exclusion Act of 1909. </w:t>
      </w:r>
      <w:proofErr w:type="spellStart"/>
      <w:r w:rsidRPr="00A63FC7">
        <w:rPr>
          <w:rFonts w:ascii="Cambria" w:hAnsi="Cambria" w:cs="Times New Roman"/>
          <w:i/>
          <w:iCs/>
        </w:rPr>
        <w:t>CounterPunch</w:t>
      </w:r>
      <w:proofErr w:type="spellEnd"/>
      <w:r w:rsidRPr="00A63FC7">
        <w:rPr>
          <w:rFonts w:ascii="Cambria" w:hAnsi="Cambria" w:cs="Times New Roman"/>
        </w:rPr>
        <w:t xml:space="preserve">. </w:t>
      </w:r>
      <w:hyperlink r:id="rId86" w:history="1">
        <w:r w:rsidRPr="00A63FC7">
          <w:rPr>
            <w:rStyle w:val="Hyperlink"/>
            <w:rFonts w:ascii="Cambria" w:hAnsi="Cambria" w:cs="Times New Roman"/>
          </w:rPr>
          <w:t>https://www.counterpunch.org/2009/02/06/the-opium-exclusion-act-of-1909/</w:t>
        </w:r>
      </w:hyperlink>
    </w:p>
    <w:p w14:paraId="08E5E459"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Gilbert, J. (2019). This Conjuncture: For Stuart Hall. </w:t>
      </w:r>
      <w:r w:rsidRPr="00A63FC7">
        <w:rPr>
          <w:rFonts w:ascii="Cambria" w:hAnsi="Cambria" w:cs="Times New Roman"/>
          <w:i/>
          <w:iCs/>
        </w:rPr>
        <w:t>New Formations: A Journal of Culture/Theory/Politics</w:t>
      </w:r>
      <w:r w:rsidRPr="00A63FC7">
        <w:rPr>
          <w:rFonts w:ascii="Cambria" w:hAnsi="Cambria" w:cs="Times New Roman"/>
        </w:rPr>
        <w:t xml:space="preserve">, </w:t>
      </w:r>
      <w:r w:rsidRPr="00A63FC7">
        <w:rPr>
          <w:rFonts w:ascii="Cambria" w:hAnsi="Cambria" w:cs="Times New Roman"/>
          <w:i/>
          <w:iCs/>
        </w:rPr>
        <w:t>96</w:t>
      </w:r>
      <w:r w:rsidRPr="00A63FC7">
        <w:rPr>
          <w:rFonts w:ascii="Cambria" w:hAnsi="Cambria" w:cs="Times New Roman"/>
        </w:rPr>
        <w:t>(1), 5–37.</w:t>
      </w:r>
    </w:p>
    <w:p w14:paraId="7675E286"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Gosset</w:t>
      </w:r>
      <w:proofErr w:type="spellEnd"/>
      <w:r w:rsidRPr="00A63FC7">
        <w:rPr>
          <w:rFonts w:ascii="Cambria" w:hAnsi="Cambria" w:cs="Times New Roman"/>
        </w:rPr>
        <w:t xml:space="preserve">, C. (2014). </w:t>
      </w:r>
      <w:r w:rsidRPr="00A63FC7">
        <w:rPr>
          <w:rFonts w:ascii="Cambria" w:hAnsi="Cambria" w:cs="Times New Roman"/>
          <w:i/>
          <w:iCs/>
        </w:rPr>
        <w:t>We Will Not Rest in Peace: AIDS Activism, Black Radicalism, Queer and/or Trans Resistance</w:t>
      </w:r>
      <w:r w:rsidRPr="00A63FC7">
        <w:rPr>
          <w:rFonts w:ascii="Cambria" w:hAnsi="Cambria" w:cs="Times New Roman"/>
        </w:rPr>
        <w:t>. Routledge.</w:t>
      </w:r>
    </w:p>
    <w:p w14:paraId="238037BA"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Gould, D. (2002). Life During Wartime: Emotions and The Development of Act Up. </w:t>
      </w:r>
      <w:r w:rsidRPr="00A63FC7">
        <w:rPr>
          <w:rFonts w:ascii="Cambria" w:hAnsi="Cambria" w:cs="Times New Roman"/>
          <w:i/>
          <w:iCs/>
        </w:rPr>
        <w:t>Mobilization: An International Quarterly</w:t>
      </w:r>
      <w:r w:rsidRPr="00A63FC7">
        <w:rPr>
          <w:rFonts w:ascii="Cambria" w:hAnsi="Cambria" w:cs="Times New Roman"/>
        </w:rPr>
        <w:t xml:space="preserve">, </w:t>
      </w:r>
      <w:r w:rsidRPr="00A63FC7">
        <w:rPr>
          <w:rFonts w:ascii="Cambria" w:hAnsi="Cambria" w:cs="Times New Roman"/>
          <w:i/>
          <w:iCs/>
        </w:rPr>
        <w:t>7</w:t>
      </w:r>
      <w:r w:rsidRPr="00A63FC7">
        <w:rPr>
          <w:rFonts w:ascii="Cambria" w:hAnsi="Cambria" w:cs="Times New Roman"/>
        </w:rPr>
        <w:t xml:space="preserve">(2), 177–200. </w:t>
      </w:r>
      <w:hyperlink r:id="rId87" w:history="1">
        <w:r w:rsidRPr="00A63FC7">
          <w:rPr>
            <w:rStyle w:val="Hyperlink"/>
            <w:rFonts w:ascii="Cambria" w:hAnsi="Cambria" w:cs="Times New Roman"/>
          </w:rPr>
          <w:t>https://doi.org/10.17813/maiq.7.2.8u264427k88vl764</w:t>
        </w:r>
      </w:hyperlink>
    </w:p>
    <w:p w14:paraId="08E69697"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Gould, D. B. (2012). ACT UP, Racism, and the Question of How To Use History. </w:t>
      </w:r>
      <w:r w:rsidRPr="00A63FC7">
        <w:rPr>
          <w:rFonts w:ascii="Cambria" w:hAnsi="Cambria" w:cs="Times New Roman"/>
          <w:i/>
          <w:iCs/>
        </w:rPr>
        <w:t>Quarterly Journal of Speech</w:t>
      </w:r>
      <w:r w:rsidRPr="00A63FC7">
        <w:rPr>
          <w:rFonts w:ascii="Cambria" w:hAnsi="Cambria" w:cs="Times New Roman"/>
        </w:rPr>
        <w:t xml:space="preserve">, </w:t>
      </w:r>
      <w:r w:rsidRPr="00A63FC7">
        <w:rPr>
          <w:rFonts w:ascii="Cambria" w:hAnsi="Cambria" w:cs="Times New Roman"/>
          <w:i/>
          <w:iCs/>
        </w:rPr>
        <w:t>98</w:t>
      </w:r>
      <w:r w:rsidRPr="00A63FC7">
        <w:rPr>
          <w:rFonts w:ascii="Cambria" w:hAnsi="Cambria" w:cs="Times New Roman"/>
        </w:rPr>
        <w:t xml:space="preserve">(1), 54–62. </w:t>
      </w:r>
      <w:hyperlink r:id="rId88" w:history="1">
        <w:r w:rsidRPr="00A63FC7">
          <w:rPr>
            <w:rStyle w:val="Hyperlink"/>
            <w:rFonts w:ascii="Cambria" w:hAnsi="Cambria" w:cs="Times New Roman"/>
          </w:rPr>
          <w:t>https://doi.org/10.1080/00335630.2011.638661</w:t>
        </w:r>
      </w:hyperlink>
    </w:p>
    <w:p w14:paraId="112BE54B"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Gowan, T., &amp; Whetstone, S. (2012). Making the criminal addict: Subjectivity and social control in a strong-arm rehab. </w:t>
      </w:r>
      <w:r w:rsidRPr="00A63FC7">
        <w:rPr>
          <w:rFonts w:ascii="Cambria" w:hAnsi="Cambria" w:cs="Times New Roman"/>
          <w:i/>
          <w:iCs/>
        </w:rPr>
        <w:t>Punishment &amp; Society</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(1), 69–93. </w:t>
      </w:r>
      <w:hyperlink r:id="rId89" w:history="1">
        <w:r w:rsidRPr="00A63FC7">
          <w:rPr>
            <w:rStyle w:val="Hyperlink"/>
            <w:rFonts w:ascii="Cambria" w:hAnsi="Cambria" w:cs="Times New Roman"/>
          </w:rPr>
          <w:t>https://doi.org/10.1177/1462474511424684</w:t>
        </w:r>
      </w:hyperlink>
    </w:p>
    <w:p w14:paraId="5C0817D4"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Gowan, T., Whetstone, S., &amp; Andic, T. (2012). Addiction, agency, and the politics of self-control: Doing harm reduction in a heroin users’ group. </w:t>
      </w:r>
      <w:r w:rsidRPr="00A63FC7">
        <w:rPr>
          <w:rFonts w:ascii="Cambria" w:hAnsi="Cambria" w:cs="Times New Roman"/>
          <w:i/>
          <w:iCs/>
        </w:rPr>
        <w:t>Social Science &amp; Medicine</w:t>
      </w:r>
      <w:r w:rsidRPr="00A63FC7">
        <w:rPr>
          <w:rFonts w:ascii="Cambria" w:hAnsi="Cambria" w:cs="Times New Roman"/>
        </w:rPr>
        <w:t xml:space="preserve">, </w:t>
      </w:r>
      <w:r w:rsidRPr="00A63FC7">
        <w:rPr>
          <w:rFonts w:ascii="Cambria" w:hAnsi="Cambria" w:cs="Times New Roman"/>
          <w:i/>
          <w:iCs/>
        </w:rPr>
        <w:t>74</w:t>
      </w:r>
      <w:r w:rsidRPr="00A63FC7">
        <w:rPr>
          <w:rFonts w:ascii="Cambria" w:hAnsi="Cambria" w:cs="Times New Roman"/>
        </w:rPr>
        <w:t xml:space="preserve">(8), 1251–1260. </w:t>
      </w:r>
      <w:hyperlink r:id="rId90" w:history="1">
        <w:r w:rsidRPr="00A63FC7">
          <w:rPr>
            <w:rStyle w:val="Hyperlink"/>
            <w:rFonts w:ascii="Cambria" w:hAnsi="Cambria" w:cs="Times New Roman"/>
          </w:rPr>
          <w:t>https://doi.org/10.1016/j.socscimed.2011.11.045</w:t>
        </w:r>
      </w:hyperlink>
    </w:p>
    <w:p w14:paraId="3D8718F3" w14:textId="77777777" w:rsidR="00A63FC7" w:rsidRPr="00A63FC7" w:rsidRDefault="00A63FC7" w:rsidP="00CB37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Graves, L. (2012, March 21). </w:t>
      </w:r>
      <w:r w:rsidRPr="00A63FC7">
        <w:rPr>
          <w:rFonts w:ascii="Cambria" w:hAnsi="Cambria" w:cs="Times New Roman"/>
          <w:i/>
          <w:iCs/>
        </w:rPr>
        <w:t xml:space="preserve">Police Arrest 29 </w:t>
      </w:r>
      <w:proofErr w:type="gramStart"/>
      <w:r w:rsidRPr="00A63FC7">
        <w:rPr>
          <w:rFonts w:ascii="Cambria" w:hAnsi="Cambria" w:cs="Times New Roman"/>
          <w:i/>
          <w:iCs/>
        </w:rPr>
        <w:t>At</w:t>
      </w:r>
      <w:proofErr w:type="gramEnd"/>
      <w:r w:rsidRPr="00A63FC7">
        <w:rPr>
          <w:rFonts w:ascii="Cambria" w:hAnsi="Cambria" w:cs="Times New Roman"/>
          <w:i/>
          <w:iCs/>
        </w:rPr>
        <w:t xml:space="preserve"> Capitol For Protesting Clean Needle Exchange Ban</w:t>
      </w:r>
      <w:r w:rsidRPr="00A63FC7">
        <w:rPr>
          <w:rFonts w:ascii="Cambria" w:hAnsi="Cambria" w:cs="Times New Roman"/>
        </w:rPr>
        <w:t xml:space="preserve">. HuffPost. </w:t>
      </w:r>
      <w:hyperlink r:id="rId91" w:history="1">
        <w:r w:rsidRPr="00A63FC7">
          <w:rPr>
            <w:rStyle w:val="Hyperlink"/>
            <w:rFonts w:ascii="Cambria" w:hAnsi="Cambria" w:cs="Times New Roman"/>
          </w:rPr>
          <w:t>https://www.huffpost.com/entry/aids-activists-arrested-clean-needle-exchange_n_1370525</w:t>
        </w:r>
      </w:hyperlink>
    </w:p>
    <w:p w14:paraId="02D50290" w14:textId="77777777" w:rsidR="00A63FC7" w:rsidRPr="00A63FC7" w:rsidRDefault="00A63FC7" w:rsidP="007F72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Grayson, D., &amp; Little, B. (n.d.). Conjunctural analysis and the crisis of ideas. </w:t>
      </w:r>
      <w:r w:rsidRPr="00A63FC7">
        <w:rPr>
          <w:rFonts w:ascii="Cambria" w:hAnsi="Cambria" w:cs="Times New Roman"/>
          <w:i/>
          <w:iCs/>
        </w:rPr>
        <w:t>Soundings: Critical Terms</w:t>
      </w:r>
      <w:r w:rsidRPr="00A63FC7">
        <w:rPr>
          <w:rFonts w:ascii="Cambria" w:hAnsi="Cambria" w:cs="Times New Roman"/>
        </w:rPr>
        <w:t>, 59–75.</w:t>
      </w:r>
    </w:p>
    <w:p w14:paraId="40D01173"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Hall, S. (1991). </w:t>
      </w:r>
      <w:r w:rsidRPr="00A63FC7">
        <w:rPr>
          <w:rFonts w:ascii="Cambria" w:hAnsi="Cambria" w:cs="Times New Roman"/>
          <w:i/>
          <w:iCs/>
        </w:rPr>
        <w:t>Cultural Studies and its Theoretical Legacies</w:t>
      </w:r>
      <w:r w:rsidRPr="00A63FC7">
        <w:rPr>
          <w:rFonts w:ascii="Cambria" w:hAnsi="Cambria" w:cs="Times New Roman"/>
        </w:rPr>
        <w:t xml:space="preserve">. </w:t>
      </w:r>
      <w:hyperlink r:id="rId92" w:history="1">
        <w:r w:rsidRPr="00A63FC7">
          <w:rPr>
            <w:rStyle w:val="Hyperlink"/>
            <w:rFonts w:ascii="Cambria" w:hAnsi="Cambria" w:cs="Times New Roman"/>
          </w:rPr>
          <w:t>https://msuweb.montclair.edu/~furrg/pursuits/hallcultstuds.html</w:t>
        </w:r>
      </w:hyperlink>
    </w:p>
    <w:p w14:paraId="093A3908"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Hall, S., &amp; Massey, D. (2010). Interpreting the crisis. </w:t>
      </w:r>
      <w:r w:rsidRPr="00A63FC7">
        <w:rPr>
          <w:rFonts w:ascii="Cambria" w:hAnsi="Cambria" w:cs="Times New Roman"/>
          <w:i/>
          <w:iCs/>
        </w:rPr>
        <w:t>Soundings</w:t>
      </w:r>
      <w:r w:rsidRPr="00A63FC7">
        <w:rPr>
          <w:rFonts w:ascii="Cambria" w:hAnsi="Cambria" w:cs="Times New Roman"/>
        </w:rPr>
        <w:t xml:space="preserve">, </w:t>
      </w:r>
      <w:r w:rsidRPr="00A63FC7">
        <w:rPr>
          <w:rFonts w:ascii="Cambria" w:hAnsi="Cambria" w:cs="Times New Roman"/>
          <w:i/>
          <w:iCs/>
        </w:rPr>
        <w:t>44</w:t>
      </w:r>
      <w:r w:rsidRPr="00A63FC7">
        <w:rPr>
          <w:rFonts w:ascii="Cambria" w:hAnsi="Cambria" w:cs="Times New Roman"/>
        </w:rPr>
        <w:t xml:space="preserve">(44), 57–71. </w:t>
      </w:r>
      <w:hyperlink r:id="rId93" w:history="1">
        <w:r w:rsidRPr="00A63FC7">
          <w:rPr>
            <w:rStyle w:val="Hyperlink"/>
            <w:rFonts w:ascii="Cambria" w:hAnsi="Cambria" w:cs="Times New Roman"/>
          </w:rPr>
          <w:t>https://doi.org/10.3898/136266210791036791</w:t>
        </w:r>
      </w:hyperlink>
    </w:p>
    <w:p w14:paraId="19AAA0A1"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Hall, S., Reiner, R., </w:t>
      </w:r>
      <w:proofErr w:type="spellStart"/>
      <w:r w:rsidRPr="00A63FC7">
        <w:rPr>
          <w:rFonts w:ascii="Cambria" w:hAnsi="Cambria" w:cs="Times New Roman"/>
        </w:rPr>
        <w:t>Critcher</w:t>
      </w:r>
      <w:proofErr w:type="spellEnd"/>
      <w:r w:rsidRPr="00A63FC7">
        <w:rPr>
          <w:rFonts w:ascii="Cambria" w:hAnsi="Cambria" w:cs="Times New Roman"/>
        </w:rPr>
        <w:t xml:space="preserve">, C., Jefferson, T., Clark, J., &amp; Roberts, B. (1978). </w:t>
      </w:r>
      <w:r w:rsidRPr="00A63FC7">
        <w:rPr>
          <w:rFonts w:ascii="Cambria" w:hAnsi="Cambria" w:cs="Times New Roman"/>
          <w:i/>
          <w:iCs/>
        </w:rPr>
        <w:t>Policing the Crisis: Mugging, the State, and Law and Order</w:t>
      </w:r>
      <w:r w:rsidRPr="00A63FC7">
        <w:rPr>
          <w:rFonts w:ascii="Cambria" w:hAnsi="Cambria" w:cs="Times New Roman"/>
        </w:rPr>
        <w:t xml:space="preserve"> (Vol. 29). </w:t>
      </w:r>
      <w:hyperlink r:id="rId94" w:history="1">
        <w:r w:rsidRPr="00A63FC7">
          <w:rPr>
            <w:rStyle w:val="Hyperlink"/>
            <w:rFonts w:ascii="Cambria" w:hAnsi="Cambria" w:cs="Times New Roman"/>
          </w:rPr>
          <w:t>https://www.jstor.org/stable/589668?origin=crossref</w:t>
        </w:r>
      </w:hyperlink>
    </w:p>
    <w:p w14:paraId="41E10739"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Hanhardt</w:t>
      </w:r>
      <w:proofErr w:type="spellEnd"/>
      <w:r w:rsidRPr="00A63FC7">
        <w:rPr>
          <w:rFonts w:ascii="Cambria" w:hAnsi="Cambria" w:cs="Times New Roman"/>
        </w:rPr>
        <w:t xml:space="preserve">, C. B. (2018). “Dead Addicts Don’t Recover”: ACT UP’s Needle Exchange and the Subjects of Queer Activist History. </w:t>
      </w:r>
      <w:r w:rsidRPr="00A63FC7">
        <w:rPr>
          <w:rFonts w:ascii="Cambria" w:hAnsi="Cambria" w:cs="Times New Roman"/>
          <w:i/>
          <w:iCs/>
        </w:rPr>
        <w:t>GLQ: A Journal of Lesbian and Gay Studies</w:t>
      </w:r>
      <w:r w:rsidRPr="00A63FC7">
        <w:rPr>
          <w:rFonts w:ascii="Cambria" w:hAnsi="Cambria" w:cs="Times New Roman"/>
        </w:rPr>
        <w:t xml:space="preserve">, </w:t>
      </w:r>
      <w:r w:rsidRPr="00A63FC7">
        <w:rPr>
          <w:rFonts w:ascii="Cambria" w:hAnsi="Cambria" w:cs="Times New Roman"/>
          <w:i/>
          <w:iCs/>
        </w:rPr>
        <w:t>24</w:t>
      </w:r>
      <w:r w:rsidRPr="00A63FC7">
        <w:rPr>
          <w:rFonts w:ascii="Cambria" w:hAnsi="Cambria" w:cs="Times New Roman"/>
        </w:rPr>
        <w:t>(4), 421–444.</w:t>
      </w:r>
    </w:p>
    <w:p w14:paraId="70DEDB2A"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Hansen, H., &amp; Netherland, J. (2016). Is the Prescription Opioid Epidemic a White Problem? </w:t>
      </w:r>
      <w:r w:rsidRPr="00A63FC7">
        <w:rPr>
          <w:rFonts w:ascii="Cambria" w:hAnsi="Cambria" w:cs="Times New Roman"/>
          <w:i/>
          <w:iCs/>
        </w:rPr>
        <w:t>American Journal of Public Health</w:t>
      </w:r>
      <w:r w:rsidRPr="00A63FC7">
        <w:rPr>
          <w:rFonts w:ascii="Cambria" w:hAnsi="Cambria" w:cs="Times New Roman"/>
        </w:rPr>
        <w:t xml:space="preserve">, </w:t>
      </w:r>
      <w:r w:rsidRPr="00A63FC7">
        <w:rPr>
          <w:rFonts w:ascii="Cambria" w:hAnsi="Cambria" w:cs="Times New Roman"/>
          <w:i/>
          <w:iCs/>
        </w:rPr>
        <w:t>106</w:t>
      </w:r>
      <w:r w:rsidRPr="00A63FC7">
        <w:rPr>
          <w:rFonts w:ascii="Cambria" w:hAnsi="Cambria" w:cs="Times New Roman"/>
        </w:rPr>
        <w:t xml:space="preserve">(12), 2127–2129. </w:t>
      </w:r>
      <w:hyperlink r:id="rId95" w:history="1">
        <w:r w:rsidRPr="00A63FC7">
          <w:rPr>
            <w:rStyle w:val="Hyperlink"/>
            <w:rFonts w:ascii="Cambria" w:hAnsi="Cambria" w:cs="Times New Roman"/>
          </w:rPr>
          <w:t>https://doi.org/10.2105/AJPH.2016.303483</w:t>
        </w:r>
      </w:hyperlink>
    </w:p>
    <w:p w14:paraId="308AC2B6"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Hansen, H., Netherland, J., &amp; Herzberg, D. (2023). </w:t>
      </w:r>
      <w:r w:rsidRPr="00A63FC7">
        <w:rPr>
          <w:rFonts w:ascii="Cambria" w:hAnsi="Cambria" w:cs="Times New Roman"/>
          <w:i/>
          <w:iCs/>
        </w:rPr>
        <w:t>Whiteout: How Racial Capitalism Changed the Color of Opioids in America</w:t>
      </w:r>
      <w:r w:rsidRPr="00A63FC7">
        <w:rPr>
          <w:rFonts w:ascii="Cambria" w:hAnsi="Cambria" w:cs="Times New Roman"/>
        </w:rPr>
        <w:t>. Univ of California Press.</w:t>
      </w:r>
    </w:p>
    <w:p w14:paraId="565C7BAF"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Haritaworn</w:t>
      </w:r>
      <w:proofErr w:type="spellEnd"/>
      <w:r w:rsidRPr="00A63FC7">
        <w:rPr>
          <w:rFonts w:ascii="Cambria" w:hAnsi="Cambria" w:cs="Times New Roman"/>
        </w:rPr>
        <w:t xml:space="preserve">, J., </w:t>
      </w:r>
      <w:proofErr w:type="spellStart"/>
      <w:r w:rsidRPr="00A63FC7">
        <w:rPr>
          <w:rFonts w:ascii="Cambria" w:hAnsi="Cambria" w:cs="Times New Roman"/>
        </w:rPr>
        <w:t>Kuntsman</w:t>
      </w:r>
      <w:proofErr w:type="spellEnd"/>
      <w:r w:rsidRPr="00A63FC7">
        <w:rPr>
          <w:rFonts w:ascii="Cambria" w:hAnsi="Cambria" w:cs="Times New Roman"/>
        </w:rPr>
        <w:t xml:space="preserve">, A., &amp; </w:t>
      </w:r>
      <w:proofErr w:type="spellStart"/>
      <w:r w:rsidRPr="00A63FC7">
        <w:rPr>
          <w:rFonts w:ascii="Cambria" w:hAnsi="Cambria" w:cs="Times New Roman"/>
        </w:rPr>
        <w:t>Posocco</w:t>
      </w:r>
      <w:proofErr w:type="spellEnd"/>
      <w:r w:rsidRPr="00A63FC7">
        <w:rPr>
          <w:rFonts w:ascii="Cambria" w:hAnsi="Cambria" w:cs="Times New Roman"/>
        </w:rPr>
        <w:t xml:space="preserve">, S. (2014). Introduction. In </w:t>
      </w:r>
      <w:r w:rsidRPr="00A63FC7">
        <w:rPr>
          <w:rFonts w:ascii="Cambria" w:hAnsi="Cambria" w:cs="Times New Roman"/>
          <w:i/>
          <w:iCs/>
        </w:rPr>
        <w:t xml:space="preserve">Queer </w:t>
      </w:r>
      <w:proofErr w:type="spellStart"/>
      <w:r w:rsidRPr="00A63FC7">
        <w:rPr>
          <w:rFonts w:ascii="Cambria" w:hAnsi="Cambria" w:cs="Times New Roman"/>
          <w:i/>
          <w:iCs/>
        </w:rPr>
        <w:t>Necropolitics</w:t>
      </w:r>
      <w:proofErr w:type="spellEnd"/>
      <w:r w:rsidRPr="00A63FC7">
        <w:rPr>
          <w:rFonts w:ascii="Cambria" w:hAnsi="Cambria" w:cs="Times New Roman"/>
        </w:rPr>
        <w:t>. Routledge.</w:t>
      </w:r>
    </w:p>
    <w:p w14:paraId="3501D1ED"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Harris, S. C. (2003). Pathological Possibilities: Contagion and Empire in Doyle’s Sherlock Holmes Stories. </w:t>
      </w:r>
      <w:r w:rsidRPr="00A63FC7">
        <w:rPr>
          <w:rFonts w:ascii="Cambria" w:hAnsi="Cambria" w:cs="Times New Roman"/>
          <w:i/>
          <w:iCs/>
        </w:rPr>
        <w:t>Victorian Literature and Culture</w:t>
      </w:r>
      <w:r w:rsidRPr="00A63FC7">
        <w:rPr>
          <w:rFonts w:ascii="Cambria" w:hAnsi="Cambria" w:cs="Times New Roman"/>
        </w:rPr>
        <w:t xml:space="preserve">, </w:t>
      </w:r>
      <w:r w:rsidRPr="00A63FC7">
        <w:rPr>
          <w:rFonts w:ascii="Cambria" w:hAnsi="Cambria" w:cs="Times New Roman"/>
          <w:i/>
          <w:iCs/>
        </w:rPr>
        <w:t>31</w:t>
      </w:r>
      <w:r w:rsidRPr="00A63FC7">
        <w:rPr>
          <w:rFonts w:ascii="Cambria" w:hAnsi="Cambria" w:cs="Times New Roman"/>
        </w:rPr>
        <w:t>(2), 447–466.</w:t>
      </w:r>
    </w:p>
    <w:p w14:paraId="21DF3369" w14:textId="77777777" w:rsidR="00A63FC7" w:rsidRPr="00A63FC7" w:rsidRDefault="00A63FC7" w:rsidP="001720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Harris, Z. (n.d.). </w:t>
      </w:r>
      <w:r w:rsidRPr="00A63FC7">
        <w:rPr>
          <w:rFonts w:ascii="Cambria" w:hAnsi="Cambria" w:cs="Times New Roman"/>
          <w:i/>
          <w:iCs/>
        </w:rPr>
        <w:t>Coal, Land, and Ideology: Inventions of Appalachia in the Mind of the American Ruling Class</w:t>
      </w:r>
      <w:r w:rsidRPr="00A63FC7">
        <w:rPr>
          <w:rFonts w:ascii="Cambria" w:hAnsi="Cambria" w:cs="Times New Roman"/>
        </w:rPr>
        <w:t>. 123.</w:t>
      </w:r>
    </w:p>
    <w:p w14:paraId="0AC41379"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Hassan, S. A. (n.d.). Our Right to Heal: Liberatory Harm Reduction. </w:t>
      </w:r>
      <w:r w:rsidRPr="00A63FC7">
        <w:rPr>
          <w:rFonts w:ascii="Cambria" w:hAnsi="Cambria" w:cs="Times New Roman"/>
          <w:i/>
          <w:iCs/>
        </w:rPr>
        <w:t>YES! Magazine</w:t>
      </w:r>
      <w:r w:rsidRPr="00A63FC7">
        <w:rPr>
          <w:rFonts w:ascii="Cambria" w:hAnsi="Cambria" w:cs="Times New Roman"/>
        </w:rPr>
        <w:t xml:space="preserve">. Retrieved April 5, 2023, from </w:t>
      </w:r>
      <w:hyperlink r:id="rId96" w:history="1">
        <w:r w:rsidRPr="00A63FC7">
          <w:rPr>
            <w:rStyle w:val="Hyperlink"/>
            <w:rFonts w:ascii="Cambria" w:hAnsi="Cambria" w:cs="Times New Roman"/>
          </w:rPr>
          <w:t>https://www.yesmagazine.org/health-happiness/2023/01/19/harm-reduction</w:t>
        </w:r>
      </w:hyperlink>
    </w:p>
    <w:p w14:paraId="1F2BB1A5"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Herzberg, D. (2022, July 26). </w:t>
      </w:r>
      <w:r w:rsidRPr="00A63FC7">
        <w:rPr>
          <w:rFonts w:ascii="Cambria" w:hAnsi="Cambria" w:cs="Times New Roman"/>
          <w:i/>
          <w:iCs/>
        </w:rPr>
        <w:t xml:space="preserve">The opioid crisis isn’t just the </w:t>
      </w:r>
      <w:proofErr w:type="spellStart"/>
      <w:r w:rsidRPr="00A63FC7">
        <w:rPr>
          <w:rFonts w:ascii="Cambria" w:hAnsi="Cambria" w:cs="Times New Roman"/>
          <w:i/>
          <w:iCs/>
        </w:rPr>
        <w:t>Sacklers</w:t>
      </w:r>
      <w:proofErr w:type="spellEnd"/>
      <w:r w:rsidRPr="00A63FC7">
        <w:rPr>
          <w:rFonts w:ascii="Cambria" w:hAnsi="Cambria" w:cs="Times New Roman"/>
          <w:i/>
          <w:iCs/>
        </w:rPr>
        <w:t>’ fault – and making Purdue Pharma pay isn’t enough on its own to fix the pharmaceutical industry’s deeper problems</w:t>
      </w:r>
      <w:r w:rsidRPr="00A63FC7">
        <w:rPr>
          <w:rFonts w:ascii="Cambria" w:hAnsi="Cambria" w:cs="Times New Roman"/>
        </w:rPr>
        <w:t xml:space="preserve">. The Conversation. </w:t>
      </w:r>
      <w:hyperlink r:id="rId97" w:history="1">
        <w:r w:rsidRPr="00A63FC7">
          <w:rPr>
            <w:rStyle w:val="Hyperlink"/>
            <w:rFonts w:ascii="Cambria" w:hAnsi="Cambria" w:cs="Times New Roman"/>
          </w:rPr>
          <w:t>http://theconversation.com/the-opioid-crisis-isnt-just-the-sacklers-fault-and-making-purdue-pharma-pay-isnt-enough-on-its-own-to-fix-the-pharmaceutical-industrys-deeper-problems-178710</w:t>
        </w:r>
      </w:hyperlink>
    </w:p>
    <w:p w14:paraId="6A4AD29E"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HHS. (2016). </w:t>
      </w:r>
      <w:r w:rsidRPr="00A63FC7">
        <w:rPr>
          <w:rFonts w:ascii="Cambria" w:hAnsi="Cambria" w:cs="Times New Roman"/>
          <w:i/>
          <w:iCs/>
        </w:rPr>
        <w:t>Department of Health and Human Services Implementation Guidance to Support Certain Components of Syringe Services Programs, 2016</w:t>
      </w:r>
      <w:r w:rsidRPr="00A63FC7">
        <w:rPr>
          <w:rFonts w:ascii="Cambria" w:hAnsi="Cambria" w:cs="Times New Roman"/>
        </w:rPr>
        <w:t xml:space="preserve"> (p. 22). Department of Health and Human Services.</w:t>
      </w:r>
    </w:p>
    <w:p w14:paraId="537EE2C5"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Higham</w:t>
      </w:r>
      <w:proofErr w:type="spellEnd"/>
      <w:r w:rsidRPr="00A63FC7">
        <w:rPr>
          <w:rFonts w:ascii="Cambria" w:hAnsi="Cambria" w:cs="Times New Roman"/>
        </w:rPr>
        <w:t xml:space="preserve">, S., &amp; Bernstein, L. (2017, October 15). </w:t>
      </w:r>
      <w:r w:rsidRPr="00A63FC7">
        <w:rPr>
          <w:rFonts w:ascii="Cambria" w:hAnsi="Cambria" w:cs="Times New Roman"/>
          <w:i/>
          <w:iCs/>
        </w:rPr>
        <w:t>How Congress allied with drug company lobbyists to derail the DEA’s war on opioids</w:t>
      </w:r>
      <w:r w:rsidRPr="00A63FC7">
        <w:rPr>
          <w:rFonts w:ascii="Cambria" w:hAnsi="Cambria" w:cs="Times New Roman"/>
        </w:rPr>
        <w:t xml:space="preserve">. Washington Post. </w:t>
      </w:r>
      <w:hyperlink r:id="rId98" w:history="1">
        <w:r w:rsidRPr="00A63FC7">
          <w:rPr>
            <w:rStyle w:val="Hyperlink"/>
            <w:rFonts w:ascii="Cambria" w:hAnsi="Cambria" w:cs="Times New Roman"/>
          </w:rPr>
          <w:t>https://www.washingtonpost.com/graphics/2017/investigations/dea-drug-industry-congress/</w:t>
        </w:r>
      </w:hyperlink>
    </w:p>
    <w:p w14:paraId="45CE8492"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Hirschfield-Davis, J. (2017, October 26). </w:t>
      </w:r>
      <w:r w:rsidRPr="00A63FC7">
        <w:rPr>
          <w:rFonts w:ascii="Cambria" w:hAnsi="Cambria" w:cs="Times New Roman"/>
          <w:i/>
          <w:iCs/>
        </w:rPr>
        <w:t>Trump Declares Opioid Crisis a ‘Health Emergency’ but Requests No Funds—The New York Times</w:t>
      </w:r>
      <w:r w:rsidRPr="00A63FC7">
        <w:rPr>
          <w:rFonts w:ascii="Cambria" w:hAnsi="Cambria" w:cs="Times New Roman"/>
        </w:rPr>
        <w:t xml:space="preserve">. New York Times. </w:t>
      </w:r>
      <w:hyperlink r:id="rId99" w:history="1">
        <w:r w:rsidRPr="00A63FC7">
          <w:rPr>
            <w:rStyle w:val="Hyperlink"/>
            <w:rFonts w:ascii="Cambria" w:hAnsi="Cambria" w:cs="Times New Roman"/>
          </w:rPr>
          <w:t>https://www.nytimes.com/2017/10/26/us/politics/trump-opioid-crisis.html</w:t>
        </w:r>
      </w:hyperlink>
    </w:p>
    <w:p w14:paraId="1EC0A930"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Hoak</w:t>
      </w:r>
      <w:proofErr w:type="spellEnd"/>
      <w:r w:rsidRPr="00A63FC7">
        <w:rPr>
          <w:rFonts w:ascii="Cambria" w:hAnsi="Cambria" w:cs="Times New Roman"/>
        </w:rPr>
        <w:t xml:space="preserve">, A. (2023, March 17). </w:t>
      </w:r>
      <w:r w:rsidRPr="00A63FC7">
        <w:rPr>
          <w:rFonts w:ascii="Cambria" w:hAnsi="Cambria" w:cs="Times New Roman"/>
          <w:i/>
          <w:iCs/>
        </w:rPr>
        <w:t>Drug-related overdose deaths: Should alleged dealers be charged in Virginia? | WSET</w:t>
      </w:r>
      <w:r w:rsidRPr="00A63FC7">
        <w:rPr>
          <w:rFonts w:ascii="Cambria" w:hAnsi="Cambria" w:cs="Times New Roman"/>
        </w:rPr>
        <w:t xml:space="preserve">. </w:t>
      </w:r>
      <w:hyperlink r:id="rId100" w:history="1">
        <w:r w:rsidRPr="00A63FC7">
          <w:rPr>
            <w:rStyle w:val="Hyperlink"/>
            <w:rFonts w:ascii="Cambria" w:hAnsi="Cambria" w:cs="Times New Roman"/>
          </w:rPr>
          <w:t>https://wset.com/news/local/drug-related-overdose-deaths-should-alleged-dealers-be-charged-in-virginia</w:t>
        </w:r>
      </w:hyperlink>
    </w:p>
    <w:p w14:paraId="6027493D"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Hobart, H. J. K., &amp; </w:t>
      </w:r>
      <w:proofErr w:type="spellStart"/>
      <w:r w:rsidRPr="00A63FC7">
        <w:rPr>
          <w:rFonts w:ascii="Cambria" w:hAnsi="Cambria" w:cs="Times New Roman"/>
        </w:rPr>
        <w:t>Kneese</w:t>
      </w:r>
      <w:proofErr w:type="spellEnd"/>
      <w:r w:rsidRPr="00A63FC7">
        <w:rPr>
          <w:rFonts w:ascii="Cambria" w:hAnsi="Cambria" w:cs="Times New Roman"/>
        </w:rPr>
        <w:t xml:space="preserve">, T. (2020). Radical Care: Survival Strategies for Uncertain Times. </w:t>
      </w:r>
      <w:r w:rsidRPr="00A63FC7">
        <w:rPr>
          <w:rFonts w:ascii="Cambria" w:hAnsi="Cambria" w:cs="Times New Roman"/>
          <w:i/>
          <w:iCs/>
        </w:rPr>
        <w:t>Social Text</w:t>
      </w:r>
      <w:r w:rsidRPr="00A63FC7">
        <w:rPr>
          <w:rFonts w:ascii="Cambria" w:hAnsi="Cambria" w:cs="Times New Roman"/>
        </w:rPr>
        <w:t xml:space="preserve">, </w:t>
      </w:r>
      <w:r w:rsidRPr="00A63FC7">
        <w:rPr>
          <w:rFonts w:ascii="Cambria" w:hAnsi="Cambria" w:cs="Times New Roman"/>
          <w:i/>
          <w:iCs/>
        </w:rPr>
        <w:t>38</w:t>
      </w:r>
      <w:r w:rsidRPr="00A63FC7">
        <w:rPr>
          <w:rFonts w:ascii="Cambria" w:hAnsi="Cambria" w:cs="Times New Roman"/>
        </w:rPr>
        <w:t xml:space="preserve">(1 (142)), 1–16. </w:t>
      </w:r>
      <w:hyperlink r:id="rId101" w:history="1">
        <w:r w:rsidRPr="00A63FC7">
          <w:rPr>
            <w:rStyle w:val="Hyperlink"/>
            <w:rFonts w:ascii="Cambria" w:hAnsi="Cambria" w:cs="Times New Roman"/>
          </w:rPr>
          <w:t>https://doi.org/10.1215/01642472-7971067</w:t>
        </w:r>
      </w:hyperlink>
    </w:p>
    <w:p w14:paraId="5E3188D8"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lastRenderedPageBreak/>
        <w:t>Hodousek</w:t>
      </w:r>
      <w:proofErr w:type="spellEnd"/>
      <w:r w:rsidRPr="00A63FC7">
        <w:rPr>
          <w:rFonts w:ascii="Cambria" w:hAnsi="Cambria" w:cs="Times New Roman"/>
        </w:rPr>
        <w:t xml:space="preserve">, C. (2015, August 19). Capito supports federal funding to benefit rising drug problems in W.Va. </w:t>
      </w:r>
      <w:r w:rsidRPr="00A63FC7">
        <w:rPr>
          <w:rFonts w:ascii="Cambria" w:hAnsi="Cambria" w:cs="Times New Roman"/>
          <w:i/>
          <w:iCs/>
        </w:rPr>
        <w:t xml:space="preserve">WV </w:t>
      </w:r>
      <w:proofErr w:type="spellStart"/>
      <w:r w:rsidRPr="00A63FC7">
        <w:rPr>
          <w:rFonts w:ascii="Cambria" w:hAnsi="Cambria" w:cs="Times New Roman"/>
          <w:i/>
          <w:iCs/>
        </w:rPr>
        <w:t>MetroNews</w:t>
      </w:r>
      <w:proofErr w:type="spellEnd"/>
      <w:r w:rsidRPr="00A63FC7">
        <w:rPr>
          <w:rFonts w:ascii="Cambria" w:hAnsi="Cambria" w:cs="Times New Roman"/>
        </w:rPr>
        <w:t xml:space="preserve">. </w:t>
      </w:r>
      <w:hyperlink r:id="rId102" w:history="1">
        <w:r w:rsidRPr="00A63FC7">
          <w:rPr>
            <w:rStyle w:val="Hyperlink"/>
            <w:rFonts w:ascii="Cambria" w:hAnsi="Cambria" w:cs="Times New Roman"/>
          </w:rPr>
          <w:t>https://wvmetronews.com/2015/08/19/capito-supports-federal-funding-to-benefit-rising-drug-problems-in-w-va/</w:t>
        </w:r>
      </w:hyperlink>
    </w:p>
    <w:p w14:paraId="2D5B9E96"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Hook, C. J., &amp; Rose Markus, H. (2020). Health in the United States: Are Appeals to Choice and Personal Responsibility Making Americans Sick? </w:t>
      </w:r>
      <w:r w:rsidRPr="00A63FC7">
        <w:rPr>
          <w:rFonts w:ascii="Cambria" w:hAnsi="Cambria" w:cs="Times New Roman"/>
          <w:i/>
          <w:iCs/>
        </w:rPr>
        <w:t>Perspectives on Psychological Science</w:t>
      </w:r>
      <w:r w:rsidRPr="00A63FC7">
        <w:rPr>
          <w:rFonts w:ascii="Cambria" w:hAnsi="Cambria" w:cs="Times New Roman"/>
        </w:rPr>
        <w:t xml:space="preserve">, </w:t>
      </w:r>
      <w:r w:rsidRPr="00A63FC7">
        <w:rPr>
          <w:rFonts w:ascii="Cambria" w:hAnsi="Cambria" w:cs="Times New Roman"/>
          <w:i/>
          <w:iCs/>
        </w:rPr>
        <w:t>15</w:t>
      </w:r>
      <w:r w:rsidRPr="00A63FC7">
        <w:rPr>
          <w:rFonts w:ascii="Cambria" w:hAnsi="Cambria" w:cs="Times New Roman"/>
        </w:rPr>
        <w:t xml:space="preserve">(3), 643–664. </w:t>
      </w:r>
      <w:hyperlink r:id="rId103" w:history="1">
        <w:r w:rsidRPr="00A63FC7">
          <w:rPr>
            <w:rStyle w:val="Hyperlink"/>
            <w:rFonts w:ascii="Cambria" w:hAnsi="Cambria" w:cs="Times New Roman"/>
          </w:rPr>
          <w:t>https://doi.org/10.1177/1745691619896252</w:t>
        </w:r>
      </w:hyperlink>
    </w:p>
    <w:p w14:paraId="2EDFAB59"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https://www.abc.net.au/news/conor-duffy/3941608. (2019, March 18). The small-town doctor taking on the billionaire family blamed for America’s opioid crisis. </w:t>
      </w:r>
      <w:r w:rsidRPr="00A63FC7">
        <w:rPr>
          <w:rFonts w:ascii="Cambria" w:hAnsi="Cambria" w:cs="Times New Roman"/>
          <w:i/>
          <w:iCs/>
        </w:rPr>
        <w:t>ABC News</w:t>
      </w:r>
      <w:r w:rsidRPr="00A63FC7">
        <w:rPr>
          <w:rFonts w:ascii="Cambria" w:hAnsi="Cambria" w:cs="Times New Roman"/>
        </w:rPr>
        <w:t xml:space="preserve">. </w:t>
      </w:r>
      <w:hyperlink r:id="rId104" w:history="1">
        <w:r w:rsidRPr="00A63FC7">
          <w:rPr>
            <w:rStyle w:val="Hyperlink"/>
            <w:rFonts w:ascii="Cambria" w:hAnsi="Cambria" w:cs="Times New Roman"/>
          </w:rPr>
          <w:t>https://www.abc.net.au/news/2019-03-19/the-small-town-doctor-taking-on-the-sackler-family/10910916</w:t>
        </w:r>
      </w:hyperlink>
    </w:p>
    <w:p w14:paraId="55BD3A6A"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Hulme, E. (1995). </w:t>
      </w:r>
      <w:r w:rsidRPr="00A63FC7">
        <w:rPr>
          <w:rFonts w:ascii="Cambria" w:hAnsi="Cambria" w:cs="Times New Roman"/>
          <w:i/>
          <w:iCs/>
        </w:rPr>
        <w:t xml:space="preserve">“The sermon </w:t>
      </w:r>
      <w:proofErr w:type="spellStart"/>
      <w:r w:rsidRPr="00A63FC7">
        <w:rPr>
          <w:rFonts w:ascii="Cambria" w:hAnsi="Cambria" w:cs="Times New Roman"/>
          <w:i/>
          <w:iCs/>
        </w:rPr>
        <w:t>againts</w:t>
      </w:r>
      <w:proofErr w:type="spellEnd"/>
      <w:r w:rsidRPr="00A63FC7">
        <w:rPr>
          <w:rFonts w:ascii="Cambria" w:hAnsi="Cambria" w:cs="Times New Roman"/>
          <w:i/>
          <w:iCs/>
        </w:rPr>
        <w:t xml:space="preserve"> funding AIDS programs” | Etta Hulme Cartoon Archive</w:t>
      </w:r>
      <w:r w:rsidRPr="00A63FC7">
        <w:rPr>
          <w:rFonts w:ascii="Cambria" w:hAnsi="Cambria" w:cs="Times New Roman"/>
        </w:rPr>
        <w:t xml:space="preserve"> [Political Cartoon]. </w:t>
      </w:r>
      <w:hyperlink r:id="rId105" w:history="1">
        <w:r w:rsidRPr="00A63FC7">
          <w:rPr>
            <w:rStyle w:val="Hyperlink"/>
            <w:rFonts w:ascii="Cambria" w:hAnsi="Cambria" w:cs="Times New Roman"/>
          </w:rPr>
          <w:t>https://libraries.uta.edu/ettahulme/image/20108910</w:t>
        </w:r>
      </w:hyperlink>
    </w:p>
    <w:p w14:paraId="5776E07A"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Hulse, C. (2015, May 16). Surge in Cases of H.I.V. Tests U.S. Policy on Needle Exchanges. </w:t>
      </w:r>
      <w:r w:rsidRPr="00A63FC7">
        <w:rPr>
          <w:rFonts w:ascii="Cambria" w:hAnsi="Cambria" w:cs="Times New Roman"/>
          <w:i/>
          <w:iCs/>
        </w:rPr>
        <w:t>The New York Times</w:t>
      </w:r>
      <w:r w:rsidRPr="00A63FC7">
        <w:rPr>
          <w:rFonts w:ascii="Cambria" w:hAnsi="Cambria" w:cs="Times New Roman"/>
        </w:rPr>
        <w:t xml:space="preserve">. </w:t>
      </w:r>
      <w:hyperlink r:id="rId106" w:history="1">
        <w:r w:rsidRPr="00A63FC7">
          <w:rPr>
            <w:rStyle w:val="Hyperlink"/>
            <w:rFonts w:ascii="Cambria" w:hAnsi="Cambria" w:cs="Times New Roman"/>
          </w:rPr>
          <w:t>https://www.nytimes.com/2015/05/17/us/surge-in-cases-of-hiv-tests-us-policy-on-needle-exchanges.html</w:t>
        </w:r>
      </w:hyperlink>
    </w:p>
    <w:p w14:paraId="068E9EB6"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Hunt-Ferguson, R. (n.d.). </w:t>
      </w:r>
      <w:r w:rsidRPr="00A63FC7">
        <w:rPr>
          <w:rFonts w:ascii="Cambria" w:hAnsi="Cambria" w:cs="Times New Roman"/>
          <w:i/>
          <w:iCs/>
        </w:rPr>
        <w:t>Mothers against Jesse in Congress: Grassroots maternalism and the cultural politics of the AIDS crisis in North Carolina—Document—Gale Academic OneFile</w:t>
      </w:r>
      <w:r w:rsidRPr="00A63FC7">
        <w:rPr>
          <w:rFonts w:ascii="Cambria" w:hAnsi="Cambria" w:cs="Times New Roman"/>
        </w:rPr>
        <w:t xml:space="preserve">. Retrieved April 3, 2023, from </w:t>
      </w:r>
      <w:hyperlink r:id="rId107" w:history="1">
        <w:r w:rsidRPr="00A63FC7">
          <w:rPr>
            <w:rStyle w:val="Hyperlink"/>
            <w:rFonts w:ascii="Cambria" w:hAnsi="Cambria" w:cs="Times New Roman"/>
          </w:rPr>
          <w:t>https://go-gale-com.utk.idm.oclc.org/ps/i.do?id=GALE%7CA481354131&amp;sid=googleScholar&amp;v=2.1&amp;it=r&amp;linkaccess=abs&amp;issn=00224642&amp;p=AONE&amp;sw=w&amp;userGroupName=tel_a_utl</w:t>
        </w:r>
      </w:hyperlink>
    </w:p>
    <w:p w14:paraId="286B5F4C" w14:textId="77777777" w:rsidR="00A63FC7" w:rsidRPr="00A63FC7" w:rsidRDefault="00A63FC7" w:rsidP="008361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Inch, A., &amp; Shepherd, E. (2020). Thinking </w:t>
      </w:r>
      <w:proofErr w:type="spellStart"/>
      <w:r w:rsidRPr="00A63FC7">
        <w:rPr>
          <w:rFonts w:ascii="Cambria" w:hAnsi="Cambria" w:cs="Times New Roman"/>
        </w:rPr>
        <w:t>conjuncturally</w:t>
      </w:r>
      <w:proofErr w:type="spellEnd"/>
      <w:r w:rsidRPr="00A63FC7">
        <w:rPr>
          <w:rFonts w:ascii="Cambria" w:hAnsi="Cambria" w:cs="Times New Roman"/>
        </w:rPr>
        <w:t xml:space="preserve"> about ideology, housing and English planning. </w:t>
      </w:r>
      <w:r w:rsidRPr="00A63FC7">
        <w:rPr>
          <w:rFonts w:ascii="Cambria" w:hAnsi="Cambria" w:cs="Times New Roman"/>
          <w:i/>
          <w:iCs/>
        </w:rPr>
        <w:t>Planning Theory</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(1), 59–79.</w:t>
      </w:r>
    </w:p>
    <w:p w14:paraId="3A339C69"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Jama, S. (2018, October 18). Safer Consumption Spaces: Three Underground Models. </w:t>
      </w:r>
      <w:r w:rsidRPr="00A63FC7">
        <w:rPr>
          <w:rFonts w:ascii="Cambria" w:hAnsi="Cambria" w:cs="Times New Roman"/>
          <w:i/>
          <w:iCs/>
        </w:rPr>
        <w:t>Filter</w:t>
      </w:r>
      <w:r w:rsidRPr="00A63FC7">
        <w:rPr>
          <w:rFonts w:ascii="Cambria" w:hAnsi="Cambria" w:cs="Times New Roman"/>
        </w:rPr>
        <w:t xml:space="preserve">. </w:t>
      </w:r>
      <w:hyperlink r:id="rId108" w:history="1">
        <w:r w:rsidRPr="00A63FC7">
          <w:rPr>
            <w:rStyle w:val="Hyperlink"/>
            <w:rFonts w:ascii="Cambria" w:hAnsi="Cambria" w:cs="Times New Roman"/>
          </w:rPr>
          <w:t>https://filtermag.org/what-do-we-want-from-safer-consumption-spaces-seattle-has-three-underground-models/</w:t>
        </w:r>
      </w:hyperlink>
    </w:p>
    <w:p w14:paraId="69042BA7"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Jones, N. (n.d.). </w:t>
      </w:r>
      <w:r w:rsidRPr="00A63FC7">
        <w:rPr>
          <w:rFonts w:ascii="Cambria" w:hAnsi="Cambria" w:cs="Times New Roman"/>
          <w:i/>
          <w:iCs/>
        </w:rPr>
        <w:t>Black Leadership in Harm Reduction</w:t>
      </w:r>
      <w:r w:rsidRPr="00A63FC7">
        <w:rPr>
          <w:rFonts w:ascii="Cambria" w:hAnsi="Cambria" w:cs="Times New Roman"/>
        </w:rPr>
        <w:t>. 15.</w:t>
      </w:r>
    </w:p>
    <w:p w14:paraId="600B98C2"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Joseph, A. (2016a, August 22). 26 overdoses in just hours: Inside a community on the front lines of the opioid epidemic. </w:t>
      </w:r>
      <w:r w:rsidRPr="00A63FC7">
        <w:rPr>
          <w:rFonts w:ascii="Cambria" w:hAnsi="Cambria" w:cs="Times New Roman"/>
          <w:i/>
          <w:iCs/>
        </w:rPr>
        <w:t>STAT</w:t>
      </w:r>
      <w:r w:rsidRPr="00A63FC7">
        <w:rPr>
          <w:rFonts w:ascii="Cambria" w:hAnsi="Cambria" w:cs="Times New Roman"/>
        </w:rPr>
        <w:t xml:space="preserve">. </w:t>
      </w:r>
      <w:hyperlink r:id="rId109" w:history="1">
        <w:r w:rsidRPr="00A63FC7">
          <w:rPr>
            <w:rStyle w:val="Hyperlink"/>
            <w:rFonts w:ascii="Cambria" w:hAnsi="Cambria" w:cs="Times New Roman"/>
          </w:rPr>
          <w:t>https://www.statnews.com/2016/08/22/heroin-huntington-west-virginia-overdoses/</w:t>
        </w:r>
      </w:hyperlink>
    </w:p>
    <w:p w14:paraId="37F02451"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Joseph, A. (2016b, August 22). 26 overdoses in just hours: Inside a community on the front lines of the opioid epidemic. </w:t>
      </w:r>
      <w:r w:rsidRPr="00A63FC7">
        <w:rPr>
          <w:rFonts w:ascii="Cambria" w:hAnsi="Cambria" w:cs="Times New Roman"/>
          <w:i/>
          <w:iCs/>
        </w:rPr>
        <w:t>STAT</w:t>
      </w:r>
      <w:r w:rsidRPr="00A63FC7">
        <w:rPr>
          <w:rFonts w:ascii="Cambria" w:hAnsi="Cambria" w:cs="Times New Roman"/>
        </w:rPr>
        <w:t xml:space="preserve">. </w:t>
      </w:r>
      <w:hyperlink r:id="rId110" w:history="1">
        <w:r w:rsidRPr="00A63FC7">
          <w:rPr>
            <w:rStyle w:val="Hyperlink"/>
            <w:rFonts w:ascii="Cambria" w:hAnsi="Cambria" w:cs="Times New Roman"/>
          </w:rPr>
          <w:t>https://www.statnews.com/2016/08/22/heroin-huntington-west-virginia-overdoses/</w:t>
        </w:r>
      </w:hyperlink>
    </w:p>
    <w:p w14:paraId="12AE091A"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Kalichman</w:t>
      </w:r>
      <w:proofErr w:type="spellEnd"/>
      <w:r w:rsidRPr="00A63FC7">
        <w:rPr>
          <w:rFonts w:ascii="Cambria" w:hAnsi="Cambria" w:cs="Times New Roman"/>
        </w:rPr>
        <w:t xml:space="preserve">, S. C. (2009a). </w:t>
      </w:r>
      <w:r w:rsidRPr="00A63FC7">
        <w:rPr>
          <w:rFonts w:ascii="Cambria" w:hAnsi="Cambria" w:cs="Times New Roman"/>
          <w:i/>
          <w:iCs/>
        </w:rPr>
        <w:t>Denying AIDS: Conspiracy theories, pseudoscience, and human tragedy</w:t>
      </w:r>
      <w:r w:rsidRPr="00A63FC7">
        <w:rPr>
          <w:rFonts w:ascii="Cambria" w:hAnsi="Cambria" w:cs="Times New Roman"/>
        </w:rPr>
        <w:t>. Copernicus Books.</w:t>
      </w:r>
    </w:p>
    <w:p w14:paraId="399FDD79"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Kalichman</w:t>
      </w:r>
      <w:proofErr w:type="spellEnd"/>
      <w:r w:rsidRPr="00A63FC7">
        <w:rPr>
          <w:rFonts w:ascii="Cambria" w:hAnsi="Cambria" w:cs="Times New Roman"/>
        </w:rPr>
        <w:t xml:space="preserve">, S. C. (2009b). </w:t>
      </w:r>
      <w:r w:rsidRPr="00A63FC7">
        <w:rPr>
          <w:rFonts w:ascii="Cambria" w:hAnsi="Cambria" w:cs="Times New Roman"/>
          <w:i/>
          <w:iCs/>
        </w:rPr>
        <w:t>Denying AIDS: Conspiracy Theories, Pseudoscience, and Human Tragedy</w:t>
      </w:r>
      <w:r w:rsidRPr="00A63FC7">
        <w:rPr>
          <w:rFonts w:ascii="Cambria" w:hAnsi="Cambria" w:cs="Times New Roman"/>
        </w:rPr>
        <w:t>. Springer Science &amp; Business Media.</w:t>
      </w:r>
    </w:p>
    <w:p w14:paraId="4500392F"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Katz, J. D. (1945). ‘The Senators Were Revolted’: Homophobia and the Culture Wars. </w:t>
      </w:r>
      <w:r w:rsidRPr="00A63FC7">
        <w:rPr>
          <w:rFonts w:ascii="Cambria" w:hAnsi="Cambria" w:cs="Times New Roman"/>
          <w:i/>
          <w:iCs/>
        </w:rPr>
        <w:t>A Companion to Contemporary Art Since</w:t>
      </w:r>
      <w:r w:rsidRPr="00A63FC7">
        <w:rPr>
          <w:rFonts w:ascii="Cambria" w:hAnsi="Cambria" w:cs="Times New Roman"/>
        </w:rPr>
        <w:t>, 233–239.</w:t>
      </w:r>
    </w:p>
    <w:p w14:paraId="349E8BD4"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Kazatchkine</w:t>
      </w:r>
      <w:proofErr w:type="spellEnd"/>
      <w:r w:rsidRPr="00A63FC7">
        <w:rPr>
          <w:rFonts w:ascii="Cambria" w:hAnsi="Cambria" w:cs="Times New Roman"/>
        </w:rPr>
        <w:t xml:space="preserve">, M. (2009). </w:t>
      </w:r>
      <w:r w:rsidRPr="00A63FC7">
        <w:rPr>
          <w:rFonts w:ascii="Cambria" w:hAnsi="Cambria" w:cs="Times New Roman"/>
          <w:i/>
          <w:iCs/>
        </w:rPr>
        <w:t xml:space="preserve">Harm Reduction: From Evidence to Action - Keynote address by Michel </w:t>
      </w:r>
      <w:proofErr w:type="spellStart"/>
      <w:r w:rsidRPr="00A63FC7">
        <w:rPr>
          <w:rFonts w:ascii="Cambria" w:hAnsi="Cambria" w:cs="Times New Roman"/>
          <w:i/>
          <w:iCs/>
        </w:rPr>
        <w:t>Kazatchkine</w:t>
      </w:r>
      <w:proofErr w:type="spellEnd"/>
      <w:r w:rsidRPr="00A63FC7">
        <w:rPr>
          <w:rFonts w:ascii="Cambria" w:hAnsi="Cambria" w:cs="Times New Roman"/>
          <w:i/>
          <w:iCs/>
        </w:rPr>
        <w:t xml:space="preserve"> at Harm Reduction International’s 20th conference</w:t>
      </w:r>
      <w:r w:rsidRPr="00A63FC7">
        <w:rPr>
          <w:rFonts w:ascii="Cambria" w:hAnsi="Cambria" w:cs="Times New Roman"/>
        </w:rPr>
        <w:t xml:space="preserve">. Harm Reduction International. </w:t>
      </w:r>
      <w:hyperlink r:id="rId111" w:history="1">
        <w:r w:rsidRPr="00A63FC7">
          <w:rPr>
            <w:rStyle w:val="Hyperlink"/>
            <w:rFonts w:ascii="Cambria" w:hAnsi="Cambria" w:cs="Times New Roman"/>
          </w:rPr>
          <w:t>https://www.hri.global/contents/361</w:t>
        </w:r>
      </w:hyperlink>
    </w:p>
    <w:p w14:paraId="41670FFE"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Keane, H. (2003). Critiques of harm reduction, morality and the promise of human rights. </w:t>
      </w:r>
      <w:r w:rsidRPr="00A63FC7">
        <w:rPr>
          <w:rFonts w:ascii="Cambria" w:hAnsi="Cambria" w:cs="Times New Roman"/>
          <w:i/>
          <w:iCs/>
        </w:rPr>
        <w:t>International Journal of Drug Policy</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(3), 227–232. </w:t>
      </w:r>
      <w:hyperlink r:id="rId112" w:history="1">
        <w:r w:rsidRPr="00A63FC7">
          <w:rPr>
            <w:rStyle w:val="Hyperlink"/>
            <w:rFonts w:ascii="Cambria" w:hAnsi="Cambria" w:cs="Times New Roman"/>
          </w:rPr>
          <w:t>https://doi.org/10.1016/S0955-3959(02)00151-2</w:t>
        </w:r>
      </w:hyperlink>
    </w:p>
    <w:p w14:paraId="29DD6428"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Kelman</w:t>
      </w:r>
      <w:proofErr w:type="spellEnd"/>
      <w:r w:rsidRPr="00A63FC7">
        <w:rPr>
          <w:rFonts w:ascii="Cambria" w:hAnsi="Cambria" w:cs="Times New Roman"/>
        </w:rPr>
        <w:t xml:space="preserve">, B. (2022, March 29). At a Tennessee Crossroads, Two Pharmacies, a Monkey, and Millions of Pills. </w:t>
      </w:r>
      <w:r w:rsidRPr="00A63FC7">
        <w:rPr>
          <w:rFonts w:ascii="Cambria" w:hAnsi="Cambria" w:cs="Times New Roman"/>
          <w:i/>
          <w:iCs/>
        </w:rPr>
        <w:t>Kaiser Health News</w:t>
      </w:r>
      <w:r w:rsidRPr="00A63FC7">
        <w:rPr>
          <w:rFonts w:ascii="Cambria" w:hAnsi="Cambria" w:cs="Times New Roman"/>
        </w:rPr>
        <w:t xml:space="preserve">. </w:t>
      </w:r>
      <w:hyperlink r:id="rId113" w:history="1">
        <w:r w:rsidRPr="00A63FC7">
          <w:rPr>
            <w:rStyle w:val="Hyperlink"/>
            <w:rFonts w:ascii="Cambria" w:hAnsi="Cambria" w:cs="Times New Roman"/>
          </w:rPr>
          <w:t>https://khn.org/news/article/tennessee-pharmacies-opioid-pills-investigation/</w:t>
        </w:r>
      </w:hyperlink>
    </w:p>
    <w:p w14:paraId="2D58270D"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Kleinig, J. (n.d.). </w:t>
      </w:r>
      <w:r w:rsidRPr="00A63FC7">
        <w:rPr>
          <w:rFonts w:ascii="Cambria" w:hAnsi="Cambria" w:cs="Times New Roman"/>
          <w:i/>
          <w:iCs/>
        </w:rPr>
        <w:t>The Ethics of Harm Reduction</w:t>
      </w:r>
      <w:r w:rsidRPr="00A63FC7">
        <w:rPr>
          <w:rFonts w:ascii="Cambria" w:hAnsi="Cambria" w:cs="Times New Roman"/>
        </w:rPr>
        <w:t>. 17.</w:t>
      </w:r>
    </w:p>
    <w:p w14:paraId="29DEF35E"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Knight, V. (2019a, May 9). Needle Exchanges Find New Champions Among Republicans. </w:t>
      </w:r>
      <w:r w:rsidRPr="00A63FC7">
        <w:rPr>
          <w:rFonts w:ascii="Cambria" w:hAnsi="Cambria" w:cs="Times New Roman"/>
          <w:i/>
          <w:iCs/>
        </w:rPr>
        <w:t>Kaiser Health News</w:t>
      </w:r>
      <w:r w:rsidRPr="00A63FC7">
        <w:rPr>
          <w:rFonts w:ascii="Cambria" w:hAnsi="Cambria" w:cs="Times New Roman"/>
        </w:rPr>
        <w:t xml:space="preserve">. </w:t>
      </w:r>
      <w:hyperlink r:id="rId114" w:history="1">
        <w:r w:rsidRPr="00A63FC7">
          <w:rPr>
            <w:rStyle w:val="Hyperlink"/>
            <w:rFonts w:ascii="Cambria" w:hAnsi="Cambria" w:cs="Times New Roman"/>
          </w:rPr>
          <w:t>https://khn.org/news/needle-exchanges-find-new-champions-among-republicans/</w:t>
        </w:r>
      </w:hyperlink>
    </w:p>
    <w:p w14:paraId="692B2839"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Knight, V. (2019b, May 9). </w:t>
      </w:r>
      <w:r w:rsidRPr="00A63FC7">
        <w:rPr>
          <w:rFonts w:ascii="Cambria" w:hAnsi="Cambria" w:cs="Times New Roman"/>
          <w:i/>
          <w:iCs/>
        </w:rPr>
        <w:t>Needle Exchanges Find New Champions Among Republicans</w:t>
      </w:r>
      <w:r w:rsidRPr="00A63FC7">
        <w:rPr>
          <w:rFonts w:ascii="Cambria" w:hAnsi="Cambria" w:cs="Times New Roman"/>
        </w:rPr>
        <w:t xml:space="preserve">. Health News Florida. </w:t>
      </w:r>
      <w:hyperlink r:id="rId115" w:history="1">
        <w:r w:rsidRPr="00A63FC7">
          <w:rPr>
            <w:rStyle w:val="Hyperlink"/>
            <w:rFonts w:ascii="Cambria" w:hAnsi="Cambria" w:cs="Times New Roman"/>
          </w:rPr>
          <w:t>https://health.wusf.usf.edu/npr-health/2019-05-09/needle-exchanges-find-new-champions-among-republicans</w:t>
        </w:r>
      </w:hyperlink>
    </w:p>
    <w:p w14:paraId="37B3130F"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Koch, E. I. (1987, November 7). Opinion | Senator Helms’s Callousness Toward AIDS Victims. </w:t>
      </w:r>
      <w:r w:rsidRPr="00A63FC7">
        <w:rPr>
          <w:rFonts w:ascii="Cambria" w:hAnsi="Cambria" w:cs="Times New Roman"/>
          <w:i/>
          <w:iCs/>
        </w:rPr>
        <w:t>The New York Times</w:t>
      </w:r>
      <w:r w:rsidRPr="00A63FC7">
        <w:rPr>
          <w:rFonts w:ascii="Cambria" w:hAnsi="Cambria" w:cs="Times New Roman"/>
        </w:rPr>
        <w:t xml:space="preserve">. </w:t>
      </w:r>
      <w:hyperlink r:id="rId116" w:history="1">
        <w:r w:rsidRPr="00A63FC7">
          <w:rPr>
            <w:rStyle w:val="Hyperlink"/>
            <w:rFonts w:ascii="Cambria" w:hAnsi="Cambria" w:cs="Times New Roman"/>
          </w:rPr>
          <w:t>https://www.nytimes.com/1987/11/07/opinion/senator-helms-s-callousness-toward-aids-victims.html</w:t>
        </w:r>
      </w:hyperlink>
    </w:p>
    <w:p w14:paraId="6BEF060E"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Korostyshevsky</w:t>
      </w:r>
      <w:proofErr w:type="spellEnd"/>
      <w:r w:rsidRPr="00A63FC7">
        <w:rPr>
          <w:rFonts w:ascii="Cambria" w:hAnsi="Cambria" w:cs="Times New Roman"/>
        </w:rPr>
        <w:t xml:space="preserve">, D. (n.d.). </w:t>
      </w:r>
      <w:r w:rsidRPr="00A63FC7">
        <w:rPr>
          <w:rFonts w:ascii="Cambria" w:hAnsi="Cambria" w:cs="Times New Roman"/>
          <w:i/>
          <w:iCs/>
        </w:rPr>
        <w:t>Pathologizing and Criminalizing Intoxication: Addiction, Psychoactive Drugs, and the Ideological Underpinnings of the War on Drugs</w:t>
      </w:r>
      <w:r w:rsidRPr="00A63FC7">
        <w:rPr>
          <w:rFonts w:ascii="Cambria" w:hAnsi="Cambria" w:cs="Times New Roman"/>
        </w:rPr>
        <w:t>. 153.</w:t>
      </w:r>
    </w:p>
    <w:p w14:paraId="4BC83E99" w14:textId="77777777" w:rsidR="00A63FC7" w:rsidRPr="00A63FC7" w:rsidRDefault="00A63FC7" w:rsidP="000F1A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Kuwababa</w:t>
      </w:r>
      <w:proofErr w:type="spellEnd"/>
      <w:r w:rsidRPr="00A63FC7">
        <w:rPr>
          <w:rFonts w:ascii="Cambria" w:hAnsi="Cambria" w:cs="Times New Roman"/>
        </w:rPr>
        <w:t xml:space="preserve">, S. (2018, October 30). How the Young Lords Took Lincoln Hospital, Left a Health Activism Legacy. </w:t>
      </w:r>
      <w:r w:rsidRPr="00A63FC7">
        <w:rPr>
          <w:rFonts w:ascii="Cambria" w:hAnsi="Cambria" w:cs="Times New Roman"/>
          <w:i/>
          <w:iCs/>
        </w:rPr>
        <w:t>Filter</w:t>
      </w:r>
      <w:r w:rsidRPr="00A63FC7">
        <w:rPr>
          <w:rFonts w:ascii="Cambria" w:hAnsi="Cambria" w:cs="Times New Roman"/>
        </w:rPr>
        <w:t xml:space="preserve">. </w:t>
      </w:r>
      <w:hyperlink r:id="rId117" w:history="1">
        <w:r w:rsidRPr="00A63FC7">
          <w:rPr>
            <w:rStyle w:val="Hyperlink"/>
            <w:rFonts w:ascii="Cambria" w:hAnsi="Cambria" w:cs="Times New Roman"/>
          </w:rPr>
          <w:t>https://filtermag.org/how-the-young-lords-took-lincoln-hospital-and-left-a-health-activism-legacy/</w:t>
        </w:r>
      </w:hyperlink>
    </w:p>
    <w:p w14:paraId="5C1642A1"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Lawson, R. (2015). </w:t>
      </w:r>
      <w:r w:rsidRPr="00A63FC7">
        <w:rPr>
          <w:rFonts w:ascii="Cambria" w:hAnsi="Cambria" w:cs="Times New Roman"/>
          <w:i/>
          <w:iCs/>
        </w:rPr>
        <w:t>The Reagan Administration’s Unearthed Response to the AIDS Crisis Is Chilling</w:t>
      </w:r>
      <w:r w:rsidRPr="00A63FC7">
        <w:rPr>
          <w:rFonts w:ascii="Cambria" w:hAnsi="Cambria" w:cs="Times New Roman"/>
        </w:rPr>
        <w:t xml:space="preserve">. Vanity Fair. </w:t>
      </w:r>
      <w:hyperlink r:id="rId118" w:history="1">
        <w:r w:rsidRPr="00A63FC7">
          <w:rPr>
            <w:rStyle w:val="Hyperlink"/>
            <w:rFonts w:ascii="Cambria" w:hAnsi="Cambria" w:cs="Times New Roman"/>
          </w:rPr>
          <w:t>https://www.vanityfair.com/news/2015/11/reagan-administration-response-to-aids-crisis</w:t>
        </w:r>
      </w:hyperlink>
    </w:p>
    <w:p w14:paraId="5D070C87"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LEAD. (2020a). </w:t>
      </w:r>
      <w:r w:rsidRPr="00A63FC7">
        <w:rPr>
          <w:rFonts w:ascii="Cambria" w:hAnsi="Cambria" w:cs="Times New Roman"/>
          <w:i/>
          <w:iCs/>
        </w:rPr>
        <w:t>LEAD programs | LEAD National Support Bureau | United States</w:t>
      </w:r>
      <w:r w:rsidRPr="00A63FC7">
        <w:rPr>
          <w:rFonts w:ascii="Cambria" w:hAnsi="Cambria" w:cs="Times New Roman"/>
        </w:rPr>
        <w:t xml:space="preserve">. </w:t>
      </w:r>
      <w:hyperlink r:id="rId119" w:history="1">
        <w:r w:rsidRPr="00A63FC7">
          <w:rPr>
            <w:rStyle w:val="Hyperlink"/>
            <w:rFonts w:ascii="Cambria" w:hAnsi="Cambria" w:cs="Times New Roman"/>
          </w:rPr>
          <w:t>https://www.leadbureau.org/</w:t>
        </w:r>
      </w:hyperlink>
    </w:p>
    <w:p w14:paraId="7278826A"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LEAD. (2020b, September 17). The LEAD Program Faces a Reckoning for Centering Police. </w:t>
      </w:r>
      <w:r w:rsidRPr="00A63FC7">
        <w:rPr>
          <w:rFonts w:ascii="Cambria" w:hAnsi="Cambria" w:cs="Times New Roman"/>
          <w:i/>
          <w:iCs/>
        </w:rPr>
        <w:t>Filter</w:t>
      </w:r>
      <w:r w:rsidRPr="00A63FC7">
        <w:rPr>
          <w:rFonts w:ascii="Cambria" w:hAnsi="Cambria" w:cs="Times New Roman"/>
        </w:rPr>
        <w:t xml:space="preserve">. </w:t>
      </w:r>
      <w:hyperlink r:id="rId120" w:history="1">
        <w:r w:rsidRPr="00A63FC7">
          <w:rPr>
            <w:rStyle w:val="Hyperlink"/>
            <w:rFonts w:ascii="Cambria" w:hAnsi="Cambria" w:cs="Times New Roman"/>
          </w:rPr>
          <w:t>https://filtermag.org/lead-program-police/</w:t>
        </w:r>
      </w:hyperlink>
    </w:p>
    <w:p w14:paraId="14300184"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Legislative Analysis and Public Policy Association. (2021). </w:t>
      </w:r>
      <w:r w:rsidRPr="00A63FC7">
        <w:rPr>
          <w:rFonts w:ascii="Cambria" w:hAnsi="Cambria" w:cs="Times New Roman"/>
          <w:i/>
          <w:iCs/>
        </w:rPr>
        <w:t>Syringe Services Programs: Summary of State Laws</w:t>
      </w:r>
      <w:r w:rsidRPr="00A63FC7">
        <w:rPr>
          <w:rFonts w:ascii="Cambria" w:hAnsi="Cambria" w:cs="Times New Roman"/>
        </w:rPr>
        <w:t xml:space="preserve">. </w:t>
      </w:r>
      <w:hyperlink r:id="rId121" w:history="1">
        <w:r w:rsidRPr="00A63FC7">
          <w:rPr>
            <w:rStyle w:val="Hyperlink"/>
            <w:rFonts w:ascii="Cambria" w:hAnsi="Cambria" w:cs="Times New Roman"/>
          </w:rPr>
          <w:t>https://legislativeanalysis.org/wp-content/uploads/2021/11/Syringe-Services-Programs-FINAL.pdf</w:t>
        </w:r>
      </w:hyperlink>
    </w:p>
    <w:p w14:paraId="10B6D2BD"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Levine, D. (2021, January). You Are Witness to a Crime | Debra Levine. </w:t>
      </w:r>
      <w:r w:rsidRPr="00A63FC7">
        <w:rPr>
          <w:rFonts w:ascii="Cambria" w:hAnsi="Cambria" w:cs="Times New Roman"/>
          <w:i/>
          <w:iCs/>
        </w:rPr>
        <w:t>The Baffler</w:t>
      </w:r>
      <w:r w:rsidRPr="00A63FC7">
        <w:rPr>
          <w:rFonts w:ascii="Cambria" w:hAnsi="Cambria" w:cs="Times New Roman"/>
        </w:rPr>
        <w:t xml:space="preserve">, </w:t>
      </w:r>
      <w:r w:rsidRPr="00A63FC7">
        <w:rPr>
          <w:rFonts w:ascii="Cambria" w:hAnsi="Cambria" w:cs="Times New Roman"/>
          <w:i/>
          <w:iCs/>
        </w:rPr>
        <w:t>55</w:t>
      </w:r>
      <w:r w:rsidRPr="00A63FC7">
        <w:rPr>
          <w:rFonts w:ascii="Cambria" w:hAnsi="Cambria" w:cs="Times New Roman"/>
        </w:rPr>
        <w:t xml:space="preserve">. </w:t>
      </w:r>
      <w:hyperlink r:id="rId122" w:history="1">
        <w:r w:rsidRPr="00A63FC7">
          <w:rPr>
            <w:rStyle w:val="Hyperlink"/>
            <w:rFonts w:ascii="Cambria" w:hAnsi="Cambria" w:cs="Times New Roman"/>
          </w:rPr>
          <w:t>https://thebaffler.com/salvos/you-are-witness-to-a-crime-levine</w:t>
        </w:r>
      </w:hyperlink>
    </w:p>
    <w:p w14:paraId="50BF4F76"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Levine, H. G. (2002). </w:t>
      </w:r>
      <w:r w:rsidRPr="00A63FC7">
        <w:rPr>
          <w:rFonts w:ascii="Cambria" w:hAnsi="Cambria" w:cs="Times New Roman"/>
          <w:i/>
          <w:iCs/>
        </w:rPr>
        <w:t>The Secret of World Wide Drug Prohibition</w:t>
      </w:r>
      <w:r w:rsidRPr="00A63FC7">
        <w:rPr>
          <w:rFonts w:ascii="Cambria" w:hAnsi="Cambria" w:cs="Times New Roman"/>
        </w:rPr>
        <w:t xml:space="preserve">. </w:t>
      </w:r>
      <w:r w:rsidRPr="00A63FC7">
        <w:rPr>
          <w:rFonts w:ascii="Cambria" w:hAnsi="Cambria" w:cs="Times New Roman"/>
          <w:i/>
          <w:iCs/>
        </w:rPr>
        <w:t>2</w:t>
      </w:r>
      <w:r w:rsidRPr="00A63FC7">
        <w:rPr>
          <w:rFonts w:ascii="Cambria" w:hAnsi="Cambria" w:cs="Times New Roman"/>
        </w:rPr>
        <w:t>, 165–180.</w:t>
      </w:r>
    </w:p>
    <w:p w14:paraId="5658418D"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Licht, M. (2009, June 9). </w:t>
      </w:r>
      <w:r w:rsidRPr="00A63FC7">
        <w:rPr>
          <w:rFonts w:ascii="Cambria" w:hAnsi="Cambria" w:cs="Times New Roman"/>
          <w:i/>
          <w:iCs/>
        </w:rPr>
        <w:t>“Third Way” and Nine GOP Senators Say Big Insurance/Pharma Who Fund Their Campaigns Shouldn’t Face Public Plan Competition</w:t>
      </w:r>
      <w:r w:rsidRPr="00A63FC7">
        <w:rPr>
          <w:rFonts w:ascii="Cambria" w:hAnsi="Cambria" w:cs="Times New Roman"/>
        </w:rPr>
        <w:t xml:space="preserve">. </w:t>
      </w:r>
      <w:proofErr w:type="spellStart"/>
      <w:r w:rsidRPr="00A63FC7">
        <w:rPr>
          <w:rFonts w:ascii="Cambria" w:hAnsi="Cambria" w:cs="Times New Roman"/>
        </w:rPr>
        <w:t>Shadowproof</w:t>
      </w:r>
      <w:proofErr w:type="spellEnd"/>
      <w:r w:rsidRPr="00A63FC7">
        <w:rPr>
          <w:rFonts w:ascii="Cambria" w:hAnsi="Cambria" w:cs="Times New Roman"/>
        </w:rPr>
        <w:t xml:space="preserve">. </w:t>
      </w:r>
      <w:hyperlink r:id="rId123" w:history="1">
        <w:r w:rsidRPr="00A63FC7">
          <w:rPr>
            <w:rStyle w:val="Hyperlink"/>
            <w:rFonts w:ascii="Cambria" w:hAnsi="Cambria" w:cs="Times New Roman"/>
          </w:rPr>
          <w:t>https://shadowproof.com/2009/06/09/third-way-and-nine-gop-senators-say-big-insurancepharma-who-fund-their-campaigns-shouldnt-face-public-plan-competition/</w:t>
        </w:r>
      </w:hyperlink>
    </w:p>
    <w:p w14:paraId="12D79657"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Linnemann, T. (2016). </w:t>
      </w:r>
      <w:r w:rsidRPr="00A63FC7">
        <w:rPr>
          <w:rFonts w:ascii="Cambria" w:hAnsi="Cambria" w:cs="Times New Roman"/>
          <w:i/>
          <w:iCs/>
        </w:rPr>
        <w:t>Meth wars: Police, media, power</w:t>
      </w:r>
      <w:r w:rsidRPr="00A63FC7">
        <w:rPr>
          <w:rFonts w:ascii="Cambria" w:hAnsi="Cambria" w:cs="Times New Roman"/>
        </w:rPr>
        <w:t>. New York University Press.</w:t>
      </w:r>
    </w:p>
    <w:p w14:paraId="73AF5275"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Linnemann, T., &amp; Wall, T. (2013). ‘This is your face on meth’: The punitive spectacle of ‘white </w:t>
      </w:r>
      <w:proofErr w:type="spellStart"/>
      <w:r w:rsidRPr="00A63FC7">
        <w:rPr>
          <w:rFonts w:ascii="Cambria" w:hAnsi="Cambria" w:cs="Times New Roman"/>
        </w:rPr>
        <w:t>trash’in</w:t>
      </w:r>
      <w:proofErr w:type="spellEnd"/>
      <w:r w:rsidRPr="00A63FC7">
        <w:rPr>
          <w:rFonts w:ascii="Cambria" w:hAnsi="Cambria" w:cs="Times New Roman"/>
        </w:rPr>
        <w:t xml:space="preserve"> the rural war on drugs. </w:t>
      </w:r>
      <w:r w:rsidRPr="00A63FC7">
        <w:rPr>
          <w:rFonts w:ascii="Cambria" w:hAnsi="Cambria" w:cs="Times New Roman"/>
          <w:i/>
          <w:iCs/>
        </w:rPr>
        <w:t>Theoretical Criminology</w:t>
      </w:r>
      <w:r w:rsidRPr="00A63FC7">
        <w:rPr>
          <w:rFonts w:ascii="Cambria" w:hAnsi="Cambria" w:cs="Times New Roman"/>
        </w:rPr>
        <w:t xml:space="preserve">, </w:t>
      </w:r>
      <w:r w:rsidRPr="00A63FC7">
        <w:rPr>
          <w:rFonts w:ascii="Cambria" w:hAnsi="Cambria" w:cs="Times New Roman"/>
          <w:i/>
          <w:iCs/>
        </w:rPr>
        <w:t>17</w:t>
      </w:r>
      <w:r w:rsidRPr="00A63FC7">
        <w:rPr>
          <w:rFonts w:ascii="Cambria" w:hAnsi="Cambria" w:cs="Times New Roman"/>
        </w:rPr>
        <w:t>(3), 315–334.</w:t>
      </w:r>
    </w:p>
    <w:p w14:paraId="27FB3DF4" w14:textId="77777777" w:rsidR="00A63FC7" w:rsidRPr="00A63FC7" w:rsidRDefault="00A63FC7" w:rsidP="005013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Loftus, T. (2023, January 9). Pfizer gives $1 million to Republican Party of Kentucky to expand its headquarters. </w:t>
      </w:r>
      <w:r w:rsidRPr="00A63FC7">
        <w:rPr>
          <w:rFonts w:ascii="Cambria" w:hAnsi="Cambria" w:cs="Times New Roman"/>
          <w:i/>
          <w:iCs/>
        </w:rPr>
        <w:t>Kentucky Lantern</w:t>
      </w:r>
      <w:r w:rsidRPr="00A63FC7">
        <w:rPr>
          <w:rFonts w:ascii="Cambria" w:hAnsi="Cambria" w:cs="Times New Roman"/>
        </w:rPr>
        <w:t xml:space="preserve">. </w:t>
      </w:r>
      <w:hyperlink r:id="rId124" w:history="1">
        <w:r w:rsidRPr="00A63FC7">
          <w:rPr>
            <w:rStyle w:val="Hyperlink"/>
            <w:rFonts w:ascii="Cambria" w:hAnsi="Cambria" w:cs="Times New Roman"/>
          </w:rPr>
          <w:t>https://kentuckylantern.com/2023/01/09/pfizer-gives-1-million-to-republican-party-of-kentucky-to-expand-its-headquarters/</w:t>
        </w:r>
      </w:hyperlink>
    </w:p>
    <w:p w14:paraId="6C847F65"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Lopez, A. M. (2020). </w:t>
      </w:r>
      <w:proofErr w:type="spellStart"/>
      <w:r w:rsidRPr="00A63FC7">
        <w:rPr>
          <w:rFonts w:ascii="Cambria" w:hAnsi="Cambria" w:cs="Times New Roman"/>
        </w:rPr>
        <w:t>Necropolitics</w:t>
      </w:r>
      <w:proofErr w:type="spellEnd"/>
      <w:r w:rsidRPr="00A63FC7">
        <w:rPr>
          <w:rFonts w:ascii="Cambria" w:hAnsi="Cambria" w:cs="Times New Roman"/>
        </w:rPr>
        <w:t xml:space="preserve"> in the “Compassionate” City: Care/Brutality in San Francisco. </w:t>
      </w:r>
      <w:r w:rsidRPr="00A63FC7">
        <w:rPr>
          <w:rFonts w:ascii="Cambria" w:hAnsi="Cambria" w:cs="Times New Roman"/>
          <w:i/>
          <w:iCs/>
        </w:rPr>
        <w:t>Medical Anthropology</w:t>
      </w:r>
      <w:r w:rsidRPr="00A63FC7">
        <w:rPr>
          <w:rFonts w:ascii="Cambria" w:hAnsi="Cambria" w:cs="Times New Roman"/>
        </w:rPr>
        <w:t xml:space="preserve">, </w:t>
      </w:r>
      <w:r w:rsidRPr="00A63FC7">
        <w:rPr>
          <w:rFonts w:ascii="Cambria" w:hAnsi="Cambria" w:cs="Times New Roman"/>
          <w:i/>
          <w:iCs/>
        </w:rPr>
        <w:t>39</w:t>
      </w:r>
      <w:r w:rsidRPr="00A63FC7">
        <w:rPr>
          <w:rFonts w:ascii="Cambria" w:hAnsi="Cambria" w:cs="Times New Roman"/>
        </w:rPr>
        <w:t>(8), 751–764.</w:t>
      </w:r>
    </w:p>
    <w:p w14:paraId="32184A04"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Lopez, G. (2014, September 25). </w:t>
      </w:r>
      <w:r w:rsidRPr="00A63FC7">
        <w:rPr>
          <w:rFonts w:ascii="Cambria" w:hAnsi="Cambria" w:cs="Times New Roman"/>
          <w:i/>
          <w:iCs/>
        </w:rPr>
        <w:t>The federal government won’t change marijuana’s “schedule.” Here’s what that means.</w:t>
      </w:r>
      <w:r w:rsidRPr="00A63FC7">
        <w:rPr>
          <w:rFonts w:ascii="Cambria" w:hAnsi="Cambria" w:cs="Times New Roman"/>
        </w:rPr>
        <w:t xml:space="preserve"> Vox. </w:t>
      </w:r>
      <w:hyperlink r:id="rId125" w:history="1">
        <w:r w:rsidRPr="00A63FC7">
          <w:rPr>
            <w:rStyle w:val="Hyperlink"/>
            <w:rFonts w:ascii="Cambria" w:hAnsi="Cambria" w:cs="Times New Roman"/>
          </w:rPr>
          <w:t>https://www.vox.com/2014/9/25/6842187/drug-schedule-list-marijuana</w:t>
        </w:r>
      </w:hyperlink>
    </w:p>
    <w:p w14:paraId="68DC4CE6"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Love, H., &amp; </w:t>
      </w:r>
      <w:proofErr w:type="spellStart"/>
      <w:r w:rsidRPr="00A63FC7">
        <w:rPr>
          <w:rFonts w:ascii="Cambria" w:hAnsi="Cambria" w:cs="Times New Roman"/>
        </w:rPr>
        <w:t>Hadden-Loh</w:t>
      </w:r>
      <w:proofErr w:type="spellEnd"/>
      <w:r w:rsidRPr="00A63FC7">
        <w:rPr>
          <w:rFonts w:ascii="Cambria" w:hAnsi="Cambria" w:cs="Times New Roman"/>
        </w:rPr>
        <w:t xml:space="preserve">, T. (2020). </w:t>
      </w:r>
      <w:r w:rsidRPr="00A63FC7">
        <w:rPr>
          <w:rFonts w:ascii="Cambria" w:hAnsi="Cambria" w:cs="Times New Roman"/>
          <w:i/>
          <w:iCs/>
        </w:rPr>
        <w:t>The ‘rural-urban divide’ furthers myths about race and poverty—Concealing effective policy solutions</w:t>
      </w:r>
      <w:r w:rsidRPr="00A63FC7">
        <w:rPr>
          <w:rFonts w:ascii="Cambria" w:hAnsi="Cambria" w:cs="Times New Roman"/>
        </w:rPr>
        <w:t xml:space="preserve">. The Avenue. </w:t>
      </w:r>
      <w:hyperlink r:id="rId126" w:history="1">
        <w:r w:rsidRPr="00A63FC7">
          <w:rPr>
            <w:rStyle w:val="Hyperlink"/>
            <w:rFonts w:ascii="Cambria" w:hAnsi="Cambria" w:cs="Times New Roman"/>
          </w:rPr>
          <w:t>https://www.brookings.edu/blog/the-avenue/2020/12/08/the-rural-urban-divide-furthers-myths-about-race-and-poverty-concealing-effective-policy-solutions/</w:t>
        </w:r>
      </w:hyperlink>
    </w:p>
    <w:p w14:paraId="667EFE67"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Manchikanti</w:t>
      </w:r>
      <w:proofErr w:type="spellEnd"/>
      <w:r w:rsidRPr="00A63FC7">
        <w:rPr>
          <w:rFonts w:ascii="Cambria" w:hAnsi="Cambria" w:cs="Times New Roman"/>
        </w:rPr>
        <w:t xml:space="preserve">, L., Singh, V. M., </w:t>
      </w:r>
      <w:proofErr w:type="spellStart"/>
      <w:r w:rsidRPr="00A63FC7">
        <w:rPr>
          <w:rFonts w:ascii="Cambria" w:hAnsi="Cambria" w:cs="Times New Roman"/>
        </w:rPr>
        <w:t>Staats</w:t>
      </w:r>
      <w:proofErr w:type="spellEnd"/>
      <w:r w:rsidRPr="00A63FC7">
        <w:rPr>
          <w:rFonts w:ascii="Cambria" w:hAnsi="Cambria" w:cs="Times New Roman"/>
        </w:rPr>
        <w:t xml:space="preserve">, P. S., </w:t>
      </w:r>
      <w:proofErr w:type="spellStart"/>
      <w:r w:rsidRPr="00A63FC7">
        <w:rPr>
          <w:rFonts w:ascii="Cambria" w:hAnsi="Cambria" w:cs="Times New Roman"/>
        </w:rPr>
        <w:t>Trescot</w:t>
      </w:r>
      <w:proofErr w:type="spellEnd"/>
      <w:r w:rsidRPr="00A63FC7">
        <w:rPr>
          <w:rFonts w:ascii="Cambria" w:hAnsi="Cambria" w:cs="Times New Roman"/>
        </w:rPr>
        <w:t xml:space="preserve">, A. M., </w:t>
      </w:r>
      <w:proofErr w:type="spellStart"/>
      <w:r w:rsidRPr="00A63FC7">
        <w:rPr>
          <w:rFonts w:ascii="Cambria" w:hAnsi="Cambria" w:cs="Times New Roman"/>
        </w:rPr>
        <w:t>Prunskis</w:t>
      </w:r>
      <w:proofErr w:type="spellEnd"/>
      <w:r w:rsidRPr="00A63FC7">
        <w:rPr>
          <w:rFonts w:ascii="Cambria" w:hAnsi="Cambria" w:cs="Times New Roman"/>
        </w:rPr>
        <w:t xml:space="preserve">, J., </w:t>
      </w:r>
      <w:proofErr w:type="spellStart"/>
      <w:r w:rsidRPr="00A63FC7">
        <w:rPr>
          <w:rFonts w:ascii="Cambria" w:hAnsi="Cambria" w:cs="Times New Roman"/>
        </w:rPr>
        <w:t>Knezevic</w:t>
      </w:r>
      <w:proofErr w:type="spellEnd"/>
      <w:r w:rsidRPr="00A63FC7">
        <w:rPr>
          <w:rFonts w:ascii="Cambria" w:hAnsi="Cambria" w:cs="Times New Roman"/>
        </w:rPr>
        <w:t xml:space="preserve">, N. N., </w:t>
      </w:r>
      <w:proofErr w:type="spellStart"/>
      <w:r w:rsidRPr="00A63FC7">
        <w:rPr>
          <w:rFonts w:ascii="Cambria" w:hAnsi="Cambria" w:cs="Times New Roman"/>
        </w:rPr>
        <w:t>Soin</w:t>
      </w:r>
      <w:proofErr w:type="spellEnd"/>
      <w:r w:rsidRPr="00A63FC7">
        <w:rPr>
          <w:rFonts w:ascii="Cambria" w:hAnsi="Cambria" w:cs="Times New Roman"/>
        </w:rPr>
        <w:t xml:space="preserve">, A., Kaye, A. D., </w:t>
      </w:r>
      <w:proofErr w:type="spellStart"/>
      <w:r w:rsidRPr="00A63FC7">
        <w:rPr>
          <w:rFonts w:ascii="Cambria" w:hAnsi="Cambria" w:cs="Times New Roman"/>
        </w:rPr>
        <w:t>Atluri</w:t>
      </w:r>
      <w:proofErr w:type="spellEnd"/>
      <w:r w:rsidRPr="00A63FC7">
        <w:rPr>
          <w:rFonts w:ascii="Cambria" w:hAnsi="Cambria" w:cs="Times New Roman"/>
        </w:rPr>
        <w:t xml:space="preserve">, S., &amp; Boswell, M. V. (2022). Fourth wave of opioid (illicit drug) overdose deaths and diminishing access to prescription opioids and interventional techniques: Cause and effect. </w:t>
      </w:r>
      <w:r w:rsidRPr="00A63FC7">
        <w:rPr>
          <w:rFonts w:ascii="Cambria" w:hAnsi="Cambria" w:cs="Times New Roman"/>
          <w:i/>
          <w:iCs/>
        </w:rPr>
        <w:t>Pain Physician</w:t>
      </w:r>
      <w:r w:rsidRPr="00A63FC7">
        <w:rPr>
          <w:rFonts w:ascii="Cambria" w:hAnsi="Cambria" w:cs="Times New Roman"/>
        </w:rPr>
        <w:t xml:space="preserve">, </w:t>
      </w:r>
      <w:r w:rsidRPr="00A63FC7">
        <w:rPr>
          <w:rFonts w:ascii="Cambria" w:hAnsi="Cambria" w:cs="Times New Roman"/>
          <w:i/>
          <w:iCs/>
        </w:rPr>
        <w:t>25</w:t>
      </w:r>
      <w:r w:rsidRPr="00A63FC7">
        <w:rPr>
          <w:rFonts w:ascii="Cambria" w:hAnsi="Cambria" w:cs="Times New Roman"/>
        </w:rPr>
        <w:t>(2), 97.</w:t>
      </w:r>
    </w:p>
    <w:p w14:paraId="30F29002"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Manderson</w:t>
      </w:r>
      <w:proofErr w:type="spellEnd"/>
      <w:r w:rsidRPr="00A63FC7">
        <w:rPr>
          <w:rFonts w:ascii="Cambria" w:hAnsi="Cambria" w:cs="Times New Roman"/>
        </w:rPr>
        <w:t xml:space="preserve">, D. (1999). Symbolism and racism in drug history and policy. </w:t>
      </w:r>
      <w:r w:rsidRPr="00A63FC7">
        <w:rPr>
          <w:rFonts w:ascii="Cambria" w:hAnsi="Cambria" w:cs="Times New Roman"/>
          <w:i/>
          <w:iCs/>
        </w:rPr>
        <w:t>Drug and Alcohol Review</w:t>
      </w:r>
      <w:r w:rsidRPr="00A63FC7">
        <w:rPr>
          <w:rFonts w:ascii="Cambria" w:hAnsi="Cambria" w:cs="Times New Roman"/>
        </w:rPr>
        <w:t xml:space="preserve">, </w:t>
      </w:r>
      <w:r w:rsidRPr="00A63FC7">
        <w:rPr>
          <w:rFonts w:ascii="Cambria" w:hAnsi="Cambria" w:cs="Times New Roman"/>
          <w:i/>
          <w:iCs/>
        </w:rPr>
        <w:t>18</w:t>
      </w:r>
      <w:r w:rsidRPr="00A63FC7">
        <w:rPr>
          <w:rFonts w:ascii="Cambria" w:hAnsi="Cambria" w:cs="Times New Roman"/>
        </w:rPr>
        <w:t xml:space="preserve">(2), 179–186. </w:t>
      </w:r>
      <w:hyperlink r:id="rId127" w:history="1">
        <w:r w:rsidRPr="00A63FC7">
          <w:rPr>
            <w:rStyle w:val="Hyperlink"/>
            <w:rFonts w:ascii="Cambria" w:hAnsi="Cambria" w:cs="Times New Roman"/>
          </w:rPr>
          <w:t>https://doi.org/10.1080/09595239996617</w:t>
        </w:r>
      </w:hyperlink>
    </w:p>
    <w:p w14:paraId="648B675A"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Manderson</w:t>
      </w:r>
      <w:proofErr w:type="spellEnd"/>
      <w:r w:rsidRPr="00A63FC7">
        <w:rPr>
          <w:rFonts w:ascii="Cambria" w:hAnsi="Cambria" w:cs="Times New Roman"/>
        </w:rPr>
        <w:t xml:space="preserve">, D. R. (2013). From Zero Tolerance to Harm Reduction: “The Asylum Problem </w:t>
      </w:r>
      <w:proofErr w:type="spellStart"/>
      <w:r w:rsidRPr="00A63FC7">
        <w:rPr>
          <w:rFonts w:ascii="Cambria" w:hAnsi="Cambria" w:cs="Times New Roman"/>
        </w:rPr>
        <w:t>Problem</w:t>
      </w:r>
      <w:proofErr w:type="spellEnd"/>
      <w:r w:rsidRPr="00A63FC7">
        <w:rPr>
          <w:rFonts w:ascii="Cambria" w:hAnsi="Cambria" w:cs="Times New Roman"/>
        </w:rPr>
        <w:t xml:space="preserve">.” </w:t>
      </w:r>
      <w:r w:rsidRPr="00A63FC7">
        <w:rPr>
          <w:rFonts w:ascii="Cambria" w:hAnsi="Cambria" w:cs="Times New Roman"/>
          <w:i/>
          <w:iCs/>
        </w:rPr>
        <w:t>Refugee Survey Quarterly</w:t>
      </w:r>
      <w:r w:rsidRPr="00A63FC7">
        <w:rPr>
          <w:rFonts w:ascii="Cambria" w:hAnsi="Cambria" w:cs="Times New Roman"/>
        </w:rPr>
        <w:t xml:space="preserve">, </w:t>
      </w:r>
      <w:r w:rsidRPr="00A63FC7">
        <w:rPr>
          <w:rFonts w:ascii="Cambria" w:hAnsi="Cambria" w:cs="Times New Roman"/>
          <w:i/>
          <w:iCs/>
        </w:rPr>
        <w:t>32</w:t>
      </w:r>
      <w:r w:rsidRPr="00A63FC7">
        <w:rPr>
          <w:rFonts w:ascii="Cambria" w:hAnsi="Cambria" w:cs="Times New Roman"/>
        </w:rPr>
        <w:t xml:space="preserve">(4), 1–21. </w:t>
      </w:r>
      <w:hyperlink r:id="rId128" w:history="1">
        <w:r w:rsidRPr="00A63FC7">
          <w:rPr>
            <w:rStyle w:val="Hyperlink"/>
            <w:rFonts w:ascii="Cambria" w:hAnsi="Cambria" w:cs="Times New Roman"/>
          </w:rPr>
          <w:t>https://doi.org/10.1093/rsq/hdt019</w:t>
        </w:r>
      </w:hyperlink>
    </w:p>
    <w:p w14:paraId="5308E49A" w14:textId="77777777" w:rsidR="00A63FC7" w:rsidRPr="00A63FC7" w:rsidRDefault="00A63FC7" w:rsidP="001066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Massey, D. (1995). Places and Their Pasts. </w:t>
      </w:r>
      <w:r w:rsidRPr="00A63FC7">
        <w:rPr>
          <w:rFonts w:ascii="Cambria" w:hAnsi="Cambria" w:cs="Times New Roman"/>
          <w:i/>
          <w:iCs/>
        </w:rPr>
        <w:t>History Workshop Journal</w:t>
      </w:r>
      <w:r w:rsidRPr="00A63FC7">
        <w:rPr>
          <w:rFonts w:ascii="Cambria" w:hAnsi="Cambria" w:cs="Times New Roman"/>
        </w:rPr>
        <w:t xml:space="preserve">, </w:t>
      </w:r>
      <w:r w:rsidRPr="00A63FC7">
        <w:rPr>
          <w:rFonts w:ascii="Cambria" w:hAnsi="Cambria" w:cs="Times New Roman"/>
          <w:i/>
          <w:iCs/>
        </w:rPr>
        <w:t>39</w:t>
      </w:r>
      <w:r w:rsidRPr="00A63FC7">
        <w:rPr>
          <w:rFonts w:ascii="Cambria" w:hAnsi="Cambria" w:cs="Times New Roman"/>
        </w:rPr>
        <w:t>, 182–192.</w:t>
      </w:r>
    </w:p>
    <w:p w14:paraId="1736B9EB"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Mayfield, S., </w:t>
      </w:r>
      <w:proofErr w:type="spellStart"/>
      <w:r w:rsidRPr="00A63FC7">
        <w:rPr>
          <w:rFonts w:ascii="Cambria" w:hAnsi="Cambria" w:cs="Times New Roman"/>
        </w:rPr>
        <w:t>Humbaugh</w:t>
      </w:r>
      <w:proofErr w:type="spellEnd"/>
      <w:r w:rsidRPr="00A63FC7">
        <w:rPr>
          <w:rFonts w:ascii="Cambria" w:hAnsi="Cambria" w:cs="Times New Roman"/>
        </w:rPr>
        <w:t xml:space="preserve">, K., Taylor, A., &amp; Hoskins, J. (2015). </w:t>
      </w:r>
      <w:r w:rsidRPr="00A63FC7">
        <w:rPr>
          <w:rFonts w:ascii="Cambria" w:hAnsi="Cambria" w:cs="Times New Roman"/>
          <w:i/>
          <w:iCs/>
        </w:rPr>
        <w:t>Guidelines for Local Health Departments Implementing Needle Exchange Programs</w:t>
      </w:r>
      <w:r w:rsidRPr="00A63FC7">
        <w:rPr>
          <w:rFonts w:ascii="Cambria" w:hAnsi="Cambria" w:cs="Times New Roman"/>
        </w:rPr>
        <w:t>. Kentucky Public Health.</w:t>
      </w:r>
    </w:p>
    <w:p w14:paraId="29873B46"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McDonald, D. (2017, April 11). </w:t>
      </w:r>
      <w:r w:rsidRPr="00A63FC7">
        <w:rPr>
          <w:rFonts w:ascii="Cambria" w:hAnsi="Cambria" w:cs="Times New Roman"/>
          <w:i/>
          <w:iCs/>
        </w:rPr>
        <w:t>The Racist Roots of Marijuana Prohibition | David McDonald</w:t>
      </w:r>
      <w:r w:rsidRPr="00A63FC7">
        <w:rPr>
          <w:rFonts w:ascii="Cambria" w:hAnsi="Cambria" w:cs="Times New Roman"/>
        </w:rPr>
        <w:t xml:space="preserve">. </w:t>
      </w:r>
      <w:hyperlink r:id="rId129" w:history="1">
        <w:r w:rsidRPr="00A63FC7">
          <w:rPr>
            <w:rStyle w:val="Hyperlink"/>
            <w:rFonts w:ascii="Cambria" w:hAnsi="Cambria" w:cs="Times New Roman"/>
          </w:rPr>
          <w:t>https://fee.org/articles/the-racist-roots-of-marijuana-prohibition/</w:t>
        </w:r>
      </w:hyperlink>
    </w:p>
    <w:p w14:paraId="43F9AA2C"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McGivern, H. (2019, December 12). </w:t>
      </w:r>
      <w:r w:rsidRPr="00A63FC7">
        <w:rPr>
          <w:rFonts w:ascii="Cambria" w:hAnsi="Cambria" w:cs="Times New Roman"/>
          <w:i/>
          <w:iCs/>
        </w:rPr>
        <w:t>From the MoMA expansion to ‘</w:t>
      </w:r>
      <w:proofErr w:type="spellStart"/>
      <w:r w:rsidRPr="00A63FC7">
        <w:rPr>
          <w:rFonts w:ascii="Cambria" w:hAnsi="Cambria" w:cs="Times New Roman"/>
          <w:i/>
          <w:iCs/>
        </w:rPr>
        <w:t>artwashing</w:t>
      </w:r>
      <w:proofErr w:type="spellEnd"/>
      <w:r w:rsidRPr="00A63FC7">
        <w:rPr>
          <w:rFonts w:ascii="Cambria" w:hAnsi="Cambria" w:cs="Times New Roman"/>
          <w:i/>
          <w:iCs/>
        </w:rPr>
        <w:t>’ ill-gotten wealth: The major museum moments of 2019</w:t>
      </w:r>
      <w:r w:rsidRPr="00A63FC7">
        <w:rPr>
          <w:rFonts w:ascii="Cambria" w:hAnsi="Cambria" w:cs="Times New Roman"/>
        </w:rPr>
        <w:t xml:space="preserve">. The Art Newspaper - International Art News and Events. </w:t>
      </w:r>
      <w:hyperlink r:id="rId130" w:history="1">
        <w:r w:rsidRPr="00A63FC7">
          <w:rPr>
            <w:rStyle w:val="Hyperlink"/>
            <w:rFonts w:ascii="Cambria" w:hAnsi="Cambria" w:cs="Times New Roman"/>
          </w:rPr>
          <w:t>https://www.theartnewspaper.com/2019/12/12/from-the-moma-expansion-to-artwashing-ill-gotten-wealth-the-major-museum-moments-of-2019</w:t>
        </w:r>
      </w:hyperlink>
    </w:p>
    <w:p w14:paraId="5C02273C"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McGreal, C. (2021, May 16). Big pharma executives mocked ‘</w:t>
      </w:r>
      <w:proofErr w:type="spellStart"/>
      <w:r w:rsidRPr="00A63FC7">
        <w:rPr>
          <w:rFonts w:ascii="Cambria" w:hAnsi="Cambria" w:cs="Times New Roman"/>
        </w:rPr>
        <w:t>pillbillies</w:t>
      </w:r>
      <w:proofErr w:type="spellEnd"/>
      <w:r w:rsidRPr="00A63FC7">
        <w:rPr>
          <w:rFonts w:ascii="Cambria" w:hAnsi="Cambria" w:cs="Times New Roman"/>
        </w:rPr>
        <w:t xml:space="preserve">’ in emails, West Virginia opioid trial hears. </w:t>
      </w:r>
      <w:r w:rsidRPr="00A63FC7">
        <w:rPr>
          <w:rFonts w:ascii="Cambria" w:hAnsi="Cambria" w:cs="Times New Roman"/>
          <w:i/>
          <w:iCs/>
        </w:rPr>
        <w:t>The Guardian</w:t>
      </w:r>
      <w:r w:rsidRPr="00A63FC7">
        <w:rPr>
          <w:rFonts w:ascii="Cambria" w:hAnsi="Cambria" w:cs="Times New Roman"/>
        </w:rPr>
        <w:t xml:space="preserve">. </w:t>
      </w:r>
      <w:hyperlink r:id="rId131" w:history="1">
        <w:r w:rsidRPr="00A63FC7">
          <w:rPr>
            <w:rStyle w:val="Hyperlink"/>
            <w:rFonts w:ascii="Cambria" w:hAnsi="Cambria" w:cs="Times New Roman"/>
          </w:rPr>
          <w:t>https://www.theguardian.com/us-news/2021/may/16/amerisourcebergen-pillbillies-emails-west-virginia-opioid-trial-</w:t>
        </w:r>
      </w:hyperlink>
    </w:p>
    <w:p w14:paraId="59A80D0D"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McInnes, C., &amp; Rushton, S. (2013). HIV/AIDS and securitization theory &lt;sup/&gt;. </w:t>
      </w:r>
      <w:r w:rsidRPr="00A63FC7">
        <w:rPr>
          <w:rFonts w:ascii="Cambria" w:hAnsi="Cambria" w:cs="Times New Roman"/>
          <w:i/>
          <w:iCs/>
        </w:rPr>
        <w:t>European Journal of International Relations</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 xml:space="preserve">(1), 115–138. </w:t>
      </w:r>
      <w:hyperlink r:id="rId132" w:history="1">
        <w:r w:rsidRPr="00A63FC7">
          <w:rPr>
            <w:rStyle w:val="Hyperlink"/>
            <w:rFonts w:ascii="Cambria" w:hAnsi="Cambria" w:cs="Times New Roman"/>
          </w:rPr>
          <w:t>https://doi.org/10.1177/1354066111425258</w:t>
        </w:r>
      </w:hyperlink>
    </w:p>
    <w:p w14:paraId="1F0986EA"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McLean, K. (2011). The biopolitics of needle exchange in the United States. </w:t>
      </w:r>
      <w:r w:rsidRPr="00A63FC7">
        <w:rPr>
          <w:rFonts w:ascii="Cambria" w:hAnsi="Cambria" w:cs="Times New Roman"/>
          <w:i/>
          <w:iCs/>
        </w:rPr>
        <w:t>Critical Public Health</w:t>
      </w:r>
      <w:r w:rsidRPr="00A63FC7">
        <w:rPr>
          <w:rFonts w:ascii="Cambria" w:hAnsi="Cambria" w:cs="Times New Roman"/>
        </w:rPr>
        <w:t xml:space="preserve">, </w:t>
      </w:r>
      <w:r w:rsidRPr="00A63FC7">
        <w:rPr>
          <w:rFonts w:ascii="Cambria" w:hAnsi="Cambria" w:cs="Times New Roman"/>
          <w:i/>
          <w:iCs/>
        </w:rPr>
        <w:t>21</w:t>
      </w:r>
      <w:r w:rsidRPr="00A63FC7">
        <w:rPr>
          <w:rFonts w:ascii="Cambria" w:hAnsi="Cambria" w:cs="Times New Roman"/>
        </w:rPr>
        <w:t xml:space="preserve">(1), 71–79. </w:t>
      </w:r>
      <w:hyperlink r:id="rId133" w:history="1">
        <w:r w:rsidRPr="00A63FC7">
          <w:rPr>
            <w:rStyle w:val="Hyperlink"/>
            <w:rFonts w:ascii="Cambria" w:hAnsi="Cambria" w:cs="Times New Roman"/>
          </w:rPr>
          <w:t>https://doi.org/10.1080/09581591003653124</w:t>
        </w:r>
      </w:hyperlink>
    </w:p>
    <w:p w14:paraId="4B8974A8"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McLean, K. (2013). Reducing risk, producing order: The surprisingly disciplinary world of needle exchange. </w:t>
      </w:r>
      <w:r w:rsidRPr="00A63FC7">
        <w:rPr>
          <w:rFonts w:ascii="Cambria" w:hAnsi="Cambria" w:cs="Times New Roman"/>
          <w:i/>
          <w:iCs/>
        </w:rPr>
        <w:t>Contemporary Drug Problems</w:t>
      </w:r>
      <w:r w:rsidRPr="00A63FC7">
        <w:rPr>
          <w:rFonts w:ascii="Cambria" w:hAnsi="Cambria" w:cs="Times New Roman"/>
        </w:rPr>
        <w:t xml:space="preserve">, </w:t>
      </w:r>
      <w:r w:rsidRPr="00A63FC7">
        <w:rPr>
          <w:rFonts w:ascii="Cambria" w:hAnsi="Cambria" w:cs="Times New Roman"/>
          <w:i/>
          <w:iCs/>
        </w:rPr>
        <w:t>40</w:t>
      </w:r>
      <w:r w:rsidRPr="00A63FC7">
        <w:rPr>
          <w:rFonts w:ascii="Cambria" w:hAnsi="Cambria" w:cs="Times New Roman"/>
        </w:rPr>
        <w:t xml:space="preserve">(3), 415–445. </w:t>
      </w:r>
      <w:hyperlink r:id="rId134" w:history="1">
        <w:r w:rsidRPr="00A63FC7">
          <w:rPr>
            <w:rStyle w:val="Hyperlink"/>
            <w:rFonts w:ascii="Cambria" w:hAnsi="Cambria" w:cs="Times New Roman"/>
          </w:rPr>
          <w:t>https://doi.org/10.1177/009145091304000306</w:t>
        </w:r>
      </w:hyperlink>
    </w:p>
    <w:p w14:paraId="734D2CF7" w14:textId="77777777" w:rsidR="00A63FC7" w:rsidRPr="00A63FC7" w:rsidRDefault="00A63FC7" w:rsidP="00464B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McPhee, M. (2018). Miasmatic Performance. </w:t>
      </w:r>
      <w:r w:rsidRPr="00A63FC7">
        <w:rPr>
          <w:rFonts w:ascii="Cambria" w:hAnsi="Cambria" w:cs="Times New Roman"/>
          <w:i/>
          <w:iCs/>
        </w:rPr>
        <w:t>Performance Research</w:t>
      </w:r>
      <w:r w:rsidRPr="00A63FC7">
        <w:rPr>
          <w:rFonts w:ascii="Cambria" w:hAnsi="Cambria" w:cs="Times New Roman"/>
        </w:rPr>
        <w:t xml:space="preserve">, </w:t>
      </w:r>
      <w:r w:rsidRPr="00A63FC7">
        <w:rPr>
          <w:rFonts w:ascii="Cambria" w:hAnsi="Cambria" w:cs="Times New Roman"/>
          <w:i/>
          <w:iCs/>
        </w:rPr>
        <w:t>23</w:t>
      </w:r>
      <w:r w:rsidRPr="00A63FC7">
        <w:rPr>
          <w:rFonts w:ascii="Cambria" w:hAnsi="Cambria" w:cs="Times New Roman"/>
        </w:rPr>
        <w:t xml:space="preserve">(3), 100–111. </w:t>
      </w:r>
      <w:hyperlink r:id="rId135" w:history="1">
        <w:r w:rsidRPr="00A63FC7">
          <w:rPr>
            <w:rStyle w:val="Hyperlink"/>
            <w:rFonts w:ascii="Cambria" w:hAnsi="Cambria" w:cs="Times New Roman"/>
          </w:rPr>
          <w:t>https://doi.org/10.1080/13528165.2018.1495955</w:t>
        </w:r>
      </w:hyperlink>
    </w:p>
    <w:p w14:paraId="72C2FB0F"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Meier, B. (n.d.). </w:t>
      </w:r>
      <w:r w:rsidRPr="00A63FC7">
        <w:rPr>
          <w:rFonts w:ascii="Cambria" w:hAnsi="Cambria" w:cs="Times New Roman"/>
          <w:i/>
          <w:iCs/>
        </w:rPr>
        <w:t xml:space="preserve">A Nun, a Doctor and a Lawyer—And Deep Regret </w:t>
      </w:r>
      <w:proofErr w:type="gramStart"/>
      <w:r w:rsidRPr="00A63FC7">
        <w:rPr>
          <w:rFonts w:ascii="Cambria" w:hAnsi="Cambria" w:cs="Times New Roman"/>
          <w:i/>
          <w:iCs/>
        </w:rPr>
        <w:t>Over</w:t>
      </w:r>
      <w:proofErr w:type="gramEnd"/>
      <w:r w:rsidRPr="00A63FC7">
        <w:rPr>
          <w:rFonts w:ascii="Cambria" w:hAnsi="Cambria" w:cs="Times New Roman"/>
          <w:i/>
          <w:iCs/>
        </w:rPr>
        <w:t xml:space="preserve"> the Nation’s Handling of Opioids—The New York Times</w:t>
      </w:r>
      <w:r w:rsidRPr="00A63FC7">
        <w:rPr>
          <w:rFonts w:ascii="Cambria" w:hAnsi="Cambria" w:cs="Times New Roman"/>
        </w:rPr>
        <w:t xml:space="preserve">. Retrieved April 28, 2023, from </w:t>
      </w:r>
      <w:hyperlink r:id="rId136" w:history="1">
        <w:r w:rsidRPr="00A63FC7">
          <w:rPr>
            <w:rStyle w:val="Hyperlink"/>
            <w:rFonts w:ascii="Cambria" w:hAnsi="Cambria" w:cs="Times New Roman"/>
          </w:rPr>
          <w:t>https://www.nytimes.com/2019/08/18/health/opioids-purdue-pennington-gap.html</w:t>
        </w:r>
      </w:hyperlink>
    </w:p>
    <w:p w14:paraId="3D266E0D"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Mettler, K. (n.d.). </w:t>
      </w:r>
      <w:r w:rsidRPr="00A63FC7">
        <w:rPr>
          <w:rFonts w:ascii="Cambria" w:hAnsi="Cambria" w:cs="Times New Roman"/>
          <w:i/>
          <w:iCs/>
        </w:rPr>
        <w:t>Visual story | OxyContin and our opioid crisis: How the misleading marketing of one pain pill helped get America addicted</w:t>
      </w:r>
      <w:r w:rsidRPr="00A63FC7">
        <w:rPr>
          <w:rFonts w:ascii="Cambria" w:hAnsi="Cambria" w:cs="Times New Roman"/>
        </w:rPr>
        <w:t xml:space="preserve">. Washington Post. Retrieved April 16, 2023, from </w:t>
      </w:r>
      <w:hyperlink r:id="rId137" w:history="1">
        <w:r w:rsidRPr="00A63FC7">
          <w:rPr>
            <w:rStyle w:val="Hyperlink"/>
            <w:rFonts w:ascii="Cambria" w:hAnsi="Cambria" w:cs="Times New Roman"/>
          </w:rPr>
          <w:t>https://www.washingtonpost.com/graphics/2018/national/amp-stories/oxycontin-how-misleading-marketing-got-america-addicted/</w:t>
        </w:r>
      </w:hyperlink>
    </w:p>
    <w:p w14:paraId="0658CF74"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Michaud, L., van der </w:t>
      </w:r>
      <w:proofErr w:type="spellStart"/>
      <w:r w:rsidRPr="00A63FC7">
        <w:rPr>
          <w:rFonts w:ascii="Cambria" w:hAnsi="Cambria" w:cs="Times New Roman"/>
        </w:rPr>
        <w:t>Meulen</w:t>
      </w:r>
      <w:proofErr w:type="spellEnd"/>
      <w:r w:rsidRPr="00A63FC7">
        <w:rPr>
          <w:rFonts w:ascii="Cambria" w:hAnsi="Cambria" w:cs="Times New Roman"/>
        </w:rPr>
        <w:t xml:space="preserve">, E., &amp; </w:t>
      </w:r>
      <w:proofErr w:type="spellStart"/>
      <w:r w:rsidRPr="00A63FC7">
        <w:rPr>
          <w:rFonts w:ascii="Cambria" w:hAnsi="Cambria" w:cs="Times New Roman"/>
        </w:rPr>
        <w:t>Guta</w:t>
      </w:r>
      <w:proofErr w:type="spellEnd"/>
      <w:r w:rsidRPr="00A63FC7">
        <w:rPr>
          <w:rFonts w:ascii="Cambria" w:hAnsi="Cambria" w:cs="Times New Roman"/>
        </w:rPr>
        <w:t xml:space="preserve">, A. (2023). Between care and control: Examining surveillance practices in harm reduction. </w:t>
      </w:r>
      <w:r w:rsidRPr="00A63FC7">
        <w:rPr>
          <w:rFonts w:ascii="Cambria" w:hAnsi="Cambria" w:cs="Times New Roman"/>
          <w:i/>
          <w:iCs/>
        </w:rPr>
        <w:t>Contemporary Drug Problems</w:t>
      </w:r>
      <w:r w:rsidRPr="00A63FC7">
        <w:rPr>
          <w:rFonts w:ascii="Cambria" w:hAnsi="Cambria" w:cs="Times New Roman"/>
        </w:rPr>
        <w:t xml:space="preserve">, </w:t>
      </w:r>
      <w:r w:rsidRPr="00A63FC7">
        <w:rPr>
          <w:rFonts w:ascii="Cambria" w:hAnsi="Cambria" w:cs="Times New Roman"/>
          <w:i/>
          <w:iCs/>
        </w:rPr>
        <w:t>50</w:t>
      </w:r>
      <w:r w:rsidRPr="00A63FC7">
        <w:rPr>
          <w:rFonts w:ascii="Cambria" w:hAnsi="Cambria" w:cs="Times New Roman"/>
        </w:rPr>
        <w:t>(1), 3–24.</w:t>
      </w:r>
    </w:p>
    <w:p w14:paraId="181B49BE"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Miller, E. R., Moore, J. M., &amp; Bi, P. (2013). Harm Reduction Behind Bars: Prison Worker Perspectives. </w:t>
      </w:r>
      <w:r w:rsidRPr="00A63FC7">
        <w:rPr>
          <w:rFonts w:ascii="Cambria" w:hAnsi="Cambria" w:cs="Times New Roman"/>
          <w:i/>
          <w:iCs/>
        </w:rPr>
        <w:t>SAGE Open</w:t>
      </w:r>
      <w:r w:rsidRPr="00A63FC7">
        <w:rPr>
          <w:rFonts w:ascii="Cambria" w:hAnsi="Cambria" w:cs="Times New Roman"/>
        </w:rPr>
        <w:t xml:space="preserve">, </w:t>
      </w:r>
      <w:r w:rsidRPr="00A63FC7">
        <w:rPr>
          <w:rFonts w:ascii="Cambria" w:hAnsi="Cambria" w:cs="Times New Roman"/>
          <w:i/>
          <w:iCs/>
        </w:rPr>
        <w:t>3</w:t>
      </w:r>
      <w:r w:rsidRPr="00A63FC7">
        <w:rPr>
          <w:rFonts w:ascii="Cambria" w:hAnsi="Cambria" w:cs="Times New Roman"/>
        </w:rPr>
        <w:t xml:space="preserve">(3), 215824401349420. </w:t>
      </w:r>
      <w:hyperlink r:id="rId138" w:history="1">
        <w:r w:rsidRPr="00A63FC7">
          <w:rPr>
            <w:rStyle w:val="Hyperlink"/>
            <w:rFonts w:ascii="Cambria" w:hAnsi="Cambria" w:cs="Times New Roman"/>
          </w:rPr>
          <w:t>https://doi.org/10.1177/2158244013494209</w:t>
        </w:r>
      </w:hyperlink>
    </w:p>
    <w:p w14:paraId="69E8C521"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Moore, L. D., &amp; Wenger, L. D. (1995). The Social Context of Needle Exchange and User Self-Organization in San Francisco: Possibilities and Pitfalls. </w:t>
      </w:r>
      <w:r w:rsidRPr="00A63FC7">
        <w:rPr>
          <w:rFonts w:ascii="Cambria" w:hAnsi="Cambria" w:cs="Times New Roman"/>
          <w:i/>
          <w:iCs/>
        </w:rPr>
        <w:t>Journal of Drug Issues</w:t>
      </w:r>
      <w:r w:rsidRPr="00A63FC7">
        <w:rPr>
          <w:rFonts w:ascii="Cambria" w:hAnsi="Cambria" w:cs="Times New Roman"/>
        </w:rPr>
        <w:t xml:space="preserve">, </w:t>
      </w:r>
      <w:r w:rsidRPr="00A63FC7">
        <w:rPr>
          <w:rFonts w:ascii="Cambria" w:hAnsi="Cambria" w:cs="Times New Roman"/>
          <w:i/>
          <w:iCs/>
        </w:rPr>
        <w:t>25</w:t>
      </w:r>
      <w:r w:rsidRPr="00A63FC7">
        <w:rPr>
          <w:rFonts w:ascii="Cambria" w:hAnsi="Cambria" w:cs="Times New Roman"/>
        </w:rPr>
        <w:t xml:space="preserve">(3), 583–598. </w:t>
      </w:r>
      <w:hyperlink r:id="rId139" w:history="1">
        <w:r w:rsidRPr="00A63FC7">
          <w:rPr>
            <w:rStyle w:val="Hyperlink"/>
            <w:rFonts w:ascii="Cambria" w:hAnsi="Cambria" w:cs="Times New Roman"/>
          </w:rPr>
          <w:t>https://doi.org/10.1177/002204269502500305</w:t>
        </w:r>
      </w:hyperlink>
    </w:p>
    <w:p w14:paraId="21DF6B4A"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Moran, D., &amp; </w:t>
      </w:r>
      <w:proofErr w:type="spellStart"/>
      <w:r w:rsidRPr="00A63FC7">
        <w:rPr>
          <w:rFonts w:ascii="Cambria" w:hAnsi="Cambria" w:cs="Times New Roman"/>
        </w:rPr>
        <w:t>Schliehe</w:t>
      </w:r>
      <w:proofErr w:type="spellEnd"/>
      <w:r w:rsidRPr="00A63FC7">
        <w:rPr>
          <w:rFonts w:ascii="Cambria" w:hAnsi="Cambria" w:cs="Times New Roman"/>
        </w:rPr>
        <w:t xml:space="preserve">, A. K. (Eds.). (2017). </w:t>
      </w:r>
      <w:r w:rsidRPr="00A63FC7">
        <w:rPr>
          <w:rFonts w:ascii="Cambria" w:hAnsi="Cambria" w:cs="Times New Roman"/>
          <w:i/>
          <w:iCs/>
        </w:rPr>
        <w:t>Carceral Spatiality: Dialogues between Geography and Criminology</w:t>
      </w:r>
      <w:r w:rsidRPr="00A63FC7">
        <w:rPr>
          <w:rFonts w:ascii="Cambria" w:hAnsi="Cambria" w:cs="Times New Roman"/>
        </w:rPr>
        <w:t xml:space="preserve">. Palgrave Macmillan UK. </w:t>
      </w:r>
      <w:hyperlink r:id="rId140" w:history="1">
        <w:r w:rsidRPr="00A63FC7">
          <w:rPr>
            <w:rStyle w:val="Hyperlink"/>
            <w:rFonts w:ascii="Cambria" w:hAnsi="Cambria" w:cs="Times New Roman"/>
          </w:rPr>
          <w:t>https://doi.org/10.1057/978-1-137-56057-5</w:t>
        </w:r>
      </w:hyperlink>
    </w:p>
    <w:p w14:paraId="1323C9BB" w14:textId="77777777" w:rsidR="00A63FC7" w:rsidRPr="00A63FC7" w:rsidRDefault="00A63FC7" w:rsidP="002A34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Morgenstern, J., Hogue, A., Dauber, S., </w:t>
      </w:r>
      <w:proofErr w:type="spellStart"/>
      <w:r w:rsidRPr="00A63FC7">
        <w:rPr>
          <w:rFonts w:ascii="Cambria" w:hAnsi="Cambria" w:cs="Times New Roman"/>
        </w:rPr>
        <w:t>Dasaro</w:t>
      </w:r>
      <w:proofErr w:type="spellEnd"/>
      <w:r w:rsidRPr="00A63FC7">
        <w:rPr>
          <w:rFonts w:ascii="Cambria" w:hAnsi="Cambria" w:cs="Times New Roman"/>
        </w:rPr>
        <w:t xml:space="preserve">, C., &amp; </w:t>
      </w:r>
      <w:proofErr w:type="spellStart"/>
      <w:r w:rsidRPr="00A63FC7">
        <w:rPr>
          <w:rFonts w:ascii="Cambria" w:hAnsi="Cambria" w:cs="Times New Roman"/>
        </w:rPr>
        <w:t>Mckay</w:t>
      </w:r>
      <w:proofErr w:type="spellEnd"/>
      <w:r w:rsidRPr="00A63FC7">
        <w:rPr>
          <w:rFonts w:ascii="Cambria" w:hAnsi="Cambria" w:cs="Times New Roman"/>
        </w:rPr>
        <w:t xml:space="preserve">, J. R. (2009). Does Coordinated Care Management Improve Employment for Substance-Using Welfare Recipients? </w:t>
      </w:r>
      <w:r w:rsidRPr="00A63FC7">
        <w:rPr>
          <w:rFonts w:ascii="Cambria" w:hAnsi="Cambria" w:cs="Times New Roman"/>
          <w:i/>
          <w:iCs/>
        </w:rPr>
        <w:t>Journal of Studies on Alcohol and Drugs</w:t>
      </w:r>
      <w:r w:rsidRPr="00A63FC7">
        <w:rPr>
          <w:rFonts w:ascii="Cambria" w:hAnsi="Cambria" w:cs="Times New Roman"/>
        </w:rPr>
        <w:t xml:space="preserve">, </w:t>
      </w:r>
      <w:r w:rsidRPr="00A63FC7">
        <w:rPr>
          <w:rFonts w:ascii="Cambria" w:hAnsi="Cambria" w:cs="Times New Roman"/>
          <w:i/>
          <w:iCs/>
        </w:rPr>
        <w:t>70</w:t>
      </w:r>
      <w:r w:rsidRPr="00A63FC7">
        <w:rPr>
          <w:rFonts w:ascii="Cambria" w:hAnsi="Cambria" w:cs="Times New Roman"/>
        </w:rPr>
        <w:t>(6), 955–963.</w:t>
      </w:r>
    </w:p>
    <w:p w14:paraId="5EFEC839"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Morrissey, B., Hughes, T., </w:t>
      </w:r>
      <w:proofErr w:type="spellStart"/>
      <w:r w:rsidRPr="00A63FC7">
        <w:rPr>
          <w:rFonts w:ascii="Cambria" w:hAnsi="Cambria" w:cs="Times New Roman"/>
        </w:rPr>
        <w:t>Ostrach</w:t>
      </w:r>
      <w:proofErr w:type="spellEnd"/>
      <w:r w:rsidRPr="00A63FC7">
        <w:rPr>
          <w:rFonts w:ascii="Cambria" w:hAnsi="Cambria" w:cs="Times New Roman"/>
        </w:rPr>
        <w:t xml:space="preserve">, B., Wilson, L., Getty, R., Combs, T. L., Bennett, J., &amp; Carroll, J. J. (2022). “They don’t go by the law around here”: Law enforcement interactions after the legalization of syringe services programs in North Carolina. </w:t>
      </w:r>
      <w:r w:rsidRPr="00A63FC7">
        <w:rPr>
          <w:rFonts w:ascii="Cambria" w:hAnsi="Cambria" w:cs="Times New Roman"/>
          <w:i/>
          <w:iCs/>
        </w:rPr>
        <w:t>Harm Reduction Journal</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(1), 1–13.</w:t>
      </w:r>
    </w:p>
    <w:p w14:paraId="6F5422DF"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Mountian</w:t>
      </w:r>
      <w:proofErr w:type="spellEnd"/>
      <w:r w:rsidRPr="00A63FC7">
        <w:rPr>
          <w:rFonts w:ascii="Cambria" w:hAnsi="Cambria" w:cs="Times New Roman"/>
        </w:rPr>
        <w:t xml:space="preserve">, I. (2013). </w:t>
      </w:r>
      <w:r w:rsidRPr="00A63FC7">
        <w:rPr>
          <w:rFonts w:ascii="Cambria" w:hAnsi="Cambria" w:cs="Times New Roman"/>
          <w:i/>
          <w:iCs/>
        </w:rPr>
        <w:t>Cultural ecstasies: Drugs, gender and the social imaginary</w:t>
      </w:r>
      <w:r w:rsidRPr="00A63FC7">
        <w:rPr>
          <w:rFonts w:ascii="Cambria" w:hAnsi="Cambria" w:cs="Times New Roman"/>
        </w:rPr>
        <w:t>. Routledge.</w:t>
      </w:r>
    </w:p>
    <w:p w14:paraId="09CAC1FF"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Murch, D. (n.d.). </w:t>
      </w:r>
      <w:r w:rsidRPr="00A63FC7">
        <w:rPr>
          <w:rFonts w:ascii="Cambria" w:hAnsi="Cambria" w:cs="Times New Roman"/>
          <w:i/>
          <w:iCs/>
        </w:rPr>
        <w:t>How Race Made the Opioid Crisis</w:t>
      </w:r>
      <w:r w:rsidRPr="00A63FC7">
        <w:rPr>
          <w:rFonts w:ascii="Cambria" w:hAnsi="Cambria" w:cs="Times New Roman"/>
        </w:rPr>
        <w:t xml:space="preserve">. Boston Review. Retrieved April 28, 2023, from </w:t>
      </w:r>
      <w:hyperlink r:id="rId141" w:history="1">
        <w:r w:rsidRPr="00A63FC7">
          <w:rPr>
            <w:rStyle w:val="Hyperlink"/>
            <w:rFonts w:ascii="Cambria" w:hAnsi="Cambria" w:cs="Times New Roman"/>
          </w:rPr>
          <w:t>https://www.bostonreview.net/forum/donna-murch-how-race-made-opioid-crisis/</w:t>
        </w:r>
      </w:hyperlink>
    </w:p>
    <w:p w14:paraId="42810637"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Nadelmann</w:t>
      </w:r>
      <w:proofErr w:type="spellEnd"/>
      <w:r w:rsidRPr="00A63FC7">
        <w:rPr>
          <w:rFonts w:ascii="Cambria" w:hAnsi="Cambria" w:cs="Times New Roman"/>
        </w:rPr>
        <w:t xml:space="preserve">, E., &amp; LaSalle, L. (2017). Two steps forward, one step back: Current harm reduction policy and politics in the United States. </w:t>
      </w:r>
      <w:r w:rsidRPr="00A63FC7">
        <w:rPr>
          <w:rFonts w:ascii="Cambria" w:hAnsi="Cambria" w:cs="Times New Roman"/>
          <w:i/>
          <w:iCs/>
        </w:rPr>
        <w:t>Harm Reduction Journal</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(1), 37. </w:t>
      </w:r>
      <w:hyperlink r:id="rId142" w:history="1">
        <w:r w:rsidRPr="00A63FC7">
          <w:rPr>
            <w:rStyle w:val="Hyperlink"/>
            <w:rFonts w:ascii="Cambria" w:hAnsi="Cambria" w:cs="Times New Roman"/>
          </w:rPr>
          <w:t>https://doi.org/10.1186/s12954-017-0157-y</w:t>
        </w:r>
      </w:hyperlink>
    </w:p>
    <w:p w14:paraId="6AD836C2"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Navaro-Yashin</w:t>
      </w:r>
      <w:proofErr w:type="spellEnd"/>
      <w:r w:rsidRPr="00A63FC7">
        <w:rPr>
          <w:rFonts w:ascii="Cambria" w:hAnsi="Cambria" w:cs="Times New Roman"/>
        </w:rPr>
        <w:t xml:space="preserve">, Y. (2006). Affect in the civil service: A study of a modern state-system. </w:t>
      </w:r>
      <w:r w:rsidRPr="00A63FC7">
        <w:rPr>
          <w:rFonts w:ascii="Cambria" w:hAnsi="Cambria" w:cs="Times New Roman"/>
          <w:i/>
          <w:iCs/>
        </w:rPr>
        <w:t>Postcolonial Studies</w:t>
      </w:r>
      <w:r w:rsidRPr="00A63FC7">
        <w:rPr>
          <w:rFonts w:ascii="Cambria" w:hAnsi="Cambria" w:cs="Times New Roman"/>
        </w:rPr>
        <w:t xml:space="preserve">, </w:t>
      </w:r>
      <w:r w:rsidRPr="00A63FC7">
        <w:rPr>
          <w:rFonts w:ascii="Cambria" w:hAnsi="Cambria" w:cs="Times New Roman"/>
          <w:i/>
          <w:iCs/>
        </w:rPr>
        <w:t>9</w:t>
      </w:r>
      <w:r w:rsidRPr="00A63FC7">
        <w:rPr>
          <w:rFonts w:ascii="Cambria" w:hAnsi="Cambria" w:cs="Times New Roman"/>
        </w:rPr>
        <w:t xml:space="preserve">(3), 281–294. </w:t>
      </w:r>
      <w:hyperlink r:id="rId143" w:history="1">
        <w:r w:rsidRPr="00A63FC7">
          <w:rPr>
            <w:rStyle w:val="Hyperlink"/>
            <w:rFonts w:ascii="Cambria" w:hAnsi="Cambria" w:cs="Times New Roman"/>
          </w:rPr>
          <w:t>https://doi.org/10.1080/13688790600824997</w:t>
        </w:r>
      </w:hyperlink>
    </w:p>
    <w:p w14:paraId="03B994F6"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Netherland, J., &amp; Hansen, H. (2017a). White opioids: Pharmaceutical race and the war on drugs that wasn’t. </w:t>
      </w:r>
      <w:proofErr w:type="spellStart"/>
      <w:r w:rsidRPr="00A63FC7">
        <w:rPr>
          <w:rFonts w:ascii="Cambria" w:hAnsi="Cambria" w:cs="Times New Roman"/>
          <w:i/>
          <w:iCs/>
        </w:rPr>
        <w:t>BioSocieties</w:t>
      </w:r>
      <w:proofErr w:type="spellEnd"/>
      <w:r w:rsidRPr="00A63FC7">
        <w:rPr>
          <w:rFonts w:ascii="Cambria" w:hAnsi="Cambria" w:cs="Times New Roman"/>
        </w:rPr>
        <w:t xml:space="preserve">, </w:t>
      </w:r>
      <w:r w:rsidRPr="00A63FC7">
        <w:rPr>
          <w:rFonts w:ascii="Cambria" w:hAnsi="Cambria" w:cs="Times New Roman"/>
          <w:i/>
          <w:iCs/>
        </w:rPr>
        <w:t>12</w:t>
      </w:r>
      <w:r w:rsidRPr="00A63FC7">
        <w:rPr>
          <w:rFonts w:ascii="Cambria" w:hAnsi="Cambria" w:cs="Times New Roman"/>
        </w:rPr>
        <w:t xml:space="preserve">(2), 217–238. </w:t>
      </w:r>
      <w:hyperlink r:id="rId144" w:history="1">
        <w:r w:rsidRPr="00A63FC7">
          <w:rPr>
            <w:rStyle w:val="Hyperlink"/>
            <w:rFonts w:ascii="Cambria" w:hAnsi="Cambria" w:cs="Times New Roman"/>
          </w:rPr>
          <w:t>https://doi.org/10.1057/biosoc.2015.46</w:t>
        </w:r>
      </w:hyperlink>
    </w:p>
    <w:p w14:paraId="019444D0"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Netherland, J., &amp; Hansen, H. (2017b). White opioids: Pharmaceutical race and the war on drugs that wasn’t. </w:t>
      </w:r>
      <w:proofErr w:type="spellStart"/>
      <w:r w:rsidRPr="00A63FC7">
        <w:rPr>
          <w:rFonts w:ascii="Cambria" w:hAnsi="Cambria" w:cs="Times New Roman"/>
          <w:i/>
          <w:iCs/>
        </w:rPr>
        <w:t>BioSocieties</w:t>
      </w:r>
      <w:proofErr w:type="spellEnd"/>
      <w:r w:rsidRPr="00A63FC7">
        <w:rPr>
          <w:rFonts w:ascii="Cambria" w:hAnsi="Cambria" w:cs="Times New Roman"/>
        </w:rPr>
        <w:t xml:space="preserve">, </w:t>
      </w:r>
      <w:r w:rsidRPr="00A63FC7">
        <w:rPr>
          <w:rFonts w:ascii="Cambria" w:hAnsi="Cambria" w:cs="Times New Roman"/>
          <w:i/>
          <w:iCs/>
        </w:rPr>
        <w:t>12</w:t>
      </w:r>
      <w:r w:rsidRPr="00A63FC7">
        <w:rPr>
          <w:rFonts w:ascii="Cambria" w:hAnsi="Cambria" w:cs="Times New Roman"/>
        </w:rPr>
        <w:t xml:space="preserve">(2), 217–238. </w:t>
      </w:r>
      <w:hyperlink r:id="rId145" w:history="1">
        <w:r w:rsidRPr="00A63FC7">
          <w:rPr>
            <w:rStyle w:val="Hyperlink"/>
            <w:rFonts w:ascii="Cambria" w:hAnsi="Cambria" w:cs="Times New Roman"/>
          </w:rPr>
          <w:t>https://doi.org/10.1057/biosoc.2015.46</w:t>
        </w:r>
      </w:hyperlink>
    </w:p>
    <w:p w14:paraId="30208FD1"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Newsome, W. J. (2022). </w:t>
      </w:r>
      <w:r w:rsidRPr="00A63FC7">
        <w:rPr>
          <w:rFonts w:ascii="Cambria" w:hAnsi="Cambria" w:cs="Times New Roman"/>
          <w:i/>
          <w:iCs/>
        </w:rPr>
        <w:t>Pink Triangle Legacies: Coming Out in the Shadow of the Holocaust</w:t>
      </w:r>
      <w:r w:rsidRPr="00A63FC7">
        <w:rPr>
          <w:rFonts w:ascii="Cambria" w:hAnsi="Cambria" w:cs="Times New Roman"/>
        </w:rPr>
        <w:t>. Cornell University Press.</w:t>
      </w:r>
    </w:p>
    <w:p w14:paraId="6C3A1DDD" w14:textId="77777777" w:rsidR="00A63FC7" w:rsidRPr="00A63FC7" w:rsidRDefault="00A63FC7" w:rsidP="009B5F5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Niculescu, A. (n.d.). </w:t>
      </w:r>
      <w:r w:rsidRPr="00A63FC7">
        <w:rPr>
          <w:rFonts w:ascii="Cambria" w:hAnsi="Cambria" w:cs="Times New Roman"/>
          <w:i/>
          <w:iCs/>
        </w:rPr>
        <w:t>Harm Reduction, Biopower, and Micropolitical Resistance at the Syringe Exchange Program of Prevention Point Philadelphia</w:t>
      </w:r>
      <w:r w:rsidRPr="00A63FC7">
        <w:rPr>
          <w:rFonts w:ascii="Cambria" w:hAnsi="Cambria" w:cs="Times New Roman"/>
        </w:rPr>
        <w:t>. 114.</w:t>
      </w:r>
    </w:p>
    <w:p w14:paraId="0C98A3EF"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Niemeyer, S. (n.d.). </w:t>
      </w:r>
      <w:r w:rsidRPr="00A63FC7">
        <w:rPr>
          <w:rFonts w:ascii="Cambria" w:hAnsi="Cambria" w:cs="Times New Roman"/>
          <w:i/>
          <w:iCs/>
        </w:rPr>
        <w:t xml:space="preserve">Heroin Addicts Vs Junkies—A request. |—Memoires of a </w:t>
      </w:r>
      <w:proofErr w:type="spellStart"/>
      <w:r w:rsidRPr="00A63FC7">
        <w:rPr>
          <w:rFonts w:ascii="Cambria" w:hAnsi="Cambria" w:cs="Times New Roman"/>
          <w:i/>
          <w:iCs/>
        </w:rPr>
        <w:t>Heroinhead</w:t>
      </w:r>
      <w:proofErr w:type="spellEnd"/>
      <w:r w:rsidRPr="00A63FC7">
        <w:rPr>
          <w:rFonts w:ascii="Cambria" w:hAnsi="Cambria" w:cs="Times New Roman"/>
          <w:i/>
          <w:iCs/>
        </w:rPr>
        <w:t xml:space="preserve"> -</w:t>
      </w:r>
      <w:r w:rsidRPr="00A63FC7">
        <w:rPr>
          <w:rFonts w:ascii="Cambria" w:hAnsi="Cambria" w:cs="Times New Roman"/>
        </w:rPr>
        <w:t xml:space="preserve">. Retrieved February 11, 2021, from </w:t>
      </w:r>
      <w:hyperlink r:id="rId146" w:history="1">
        <w:r w:rsidRPr="00A63FC7">
          <w:rPr>
            <w:rStyle w:val="Hyperlink"/>
            <w:rFonts w:ascii="Cambria" w:hAnsi="Cambria" w:cs="Times New Roman"/>
          </w:rPr>
          <w:t>http://memoiresofaheroinhead.blogspot.com/2009/04/heroin-addicts-vs-junkies-request.html</w:t>
        </w:r>
      </w:hyperlink>
    </w:p>
    <w:p w14:paraId="56D5AE43"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O’Brien, M. E. (2019, July 15). Junkie Communism. </w:t>
      </w:r>
      <w:r w:rsidRPr="00A63FC7">
        <w:rPr>
          <w:rFonts w:ascii="Cambria" w:hAnsi="Cambria" w:cs="Times New Roman"/>
          <w:i/>
          <w:iCs/>
        </w:rPr>
        <w:t>Commune</w:t>
      </w:r>
      <w:r w:rsidRPr="00A63FC7">
        <w:rPr>
          <w:rFonts w:ascii="Cambria" w:hAnsi="Cambria" w:cs="Times New Roman"/>
        </w:rPr>
        <w:t xml:space="preserve">. </w:t>
      </w:r>
      <w:hyperlink r:id="rId147" w:history="1">
        <w:r w:rsidRPr="00A63FC7">
          <w:rPr>
            <w:rStyle w:val="Hyperlink"/>
            <w:rFonts w:ascii="Cambria" w:hAnsi="Cambria" w:cs="Times New Roman"/>
          </w:rPr>
          <w:t>https://communemag.com/junkie-communism/</w:t>
        </w:r>
      </w:hyperlink>
    </w:p>
    <w:p w14:paraId="5E8B2125"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Ohringer</w:t>
      </w:r>
      <w:proofErr w:type="spellEnd"/>
      <w:r w:rsidRPr="00A63FC7">
        <w:rPr>
          <w:rFonts w:ascii="Cambria" w:hAnsi="Cambria" w:cs="Times New Roman"/>
        </w:rPr>
        <w:t xml:space="preserve">, A. R., </w:t>
      </w:r>
      <w:proofErr w:type="spellStart"/>
      <w:r w:rsidRPr="00A63FC7">
        <w:rPr>
          <w:rFonts w:ascii="Cambria" w:hAnsi="Cambria" w:cs="Times New Roman"/>
        </w:rPr>
        <w:t>Ezer</w:t>
      </w:r>
      <w:proofErr w:type="spellEnd"/>
      <w:r w:rsidRPr="00A63FC7">
        <w:rPr>
          <w:rFonts w:ascii="Cambria" w:hAnsi="Cambria" w:cs="Times New Roman"/>
        </w:rPr>
        <w:t xml:space="preserve">, T., &amp; Serota, D. P. (2020a). Prison-based harm reduction services are needed to address the dual substance use disorder and infectious disease epidemics in US prisons. </w:t>
      </w:r>
      <w:proofErr w:type="spellStart"/>
      <w:r w:rsidRPr="00A63FC7">
        <w:rPr>
          <w:rFonts w:ascii="Cambria" w:hAnsi="Cambria" w:cs="Times New Roman"/>
          <w:i/>
          <w:iCs/>
        </w:rPr>
        <w:t>EClinicalMedicine</w:t>
      </w:r>
      <w:proofErr w:type="spellEnd"/>
      <w:r w:rsidRPr="00A63FC7">
        <w:rPr>
          <w:rFonts w:ascii="Cambria" w:hAnsi="Cambria" w:cs="Times New Roman"/>
        </w:rPr>
        <w:t xml:space="preserve">, </w:t>
      </w:r>
      <w:r w:rsidRPr="00A63FC7">
        <w:rPr>
          <w:rFonts w:ascii="Cambria" w:hAnsi="Cambria" w:cs="Times New Roman"/>
          <w:i/>
          <w:iCs/>
        </w:rPr>
        <w:t>22</w:t>
      </w:r>
      <w:r w:rsidRPr="00A63FC7">
        <w:rPr>
          <w:rFonts w:ascii="Cambria" w:hAnsi="Cambria" w:cs="Times New Roman"/>
        </w:rPr>
        <w:t xml:space="preserve">, 100367. </w:t>
      </w:r>
      <w:hyperlink r:id="rId148" w:history="1">
        <w:r w:rsidRPr="00A63FC7">
          <w:rPr>
            <w:rStyle w:val="Hyperlink"/>
            <w:rFonts w:ascii="Cambria" w:hAnsi="Cambria" w:cs="Times New Roman"/>
          </w:rPr>
          <w:t>https://doi.org/10.1016/j.eclinm.2020.100367</w:t>
        </w:r>
      </w:hyperlink>
    </w:p>
    <w:p w14:paraId="1A837C5C"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Ohringer</w:t>
      </w:r>
      <w:proofErr w:type="spellEnd"/>
      <w:r w:rsidRPr="00A63FC7">
        <w:rPr>
          <w:rFonts w:ascii="Cambria" w:hAnsi="Cambria" w:cs="Times New Roman"/>
        </w:rPr>
        <w:t xml:space="preserve">, A. R., </w:t>
      </w:r>
      <w:proofErr w:type="spellStart"/>
      <w:r w:rsidRPr="00A63FC7">
        <w:rPr>
          <w:rFonts w:ascii="Cambria" w:hAnsi="Cambria" w:cs="Times New Roman"/>
        </w:rPr>
        <w:t>Ezer</w:t>
      </w:r>
      <w:proofErr w:type="spellEnd"/>
      <w:r w:rsidRPr="00A63FC7">
        <w:rPr>
          <w:rFonts w:ascii="Cambria" w:hAnsi="Cambria" w:cs="Times New Roman"/>
        </w:rPr>
        <w:t xml:space="preserve">, T., &amp; Serota, D. P. (2020b). Prison-based harm reduction services are needed to address the dual substance use disorder and infectious disease epidemics in US prisons. </w:t>
      </w:r>
      <w:proofErr w:type="spellStart"/>
      <w:r w:rsidRPr="00A63FC7">
        <w:rPr>
          <w:rFonts w:ascii="Cambria" w:hAnsi="Cambria" w:cs="Times New Roman"/>
          <w:i/>
          <w:iCs/>
        </w:rPr>
        <w:t>EClinicalMedicine</w:t>
      </w:r>
      <w:proofErr w:type="spellEnd"/>
      <w:r w:rsidRPr="00A63FC7">
        <w:rPr>
          <w:rFonts w:ascii="Cambria" w:hAnsi="Cambria" w:cs="Times New Roman"/>
        </w:rPr>
        <w:t xml:space="preserve">, </w:t>
      </w:r>
      <w:r w:rsidRPr="00A63FC7">
        <w:rPr>
          <w:rFonts w:ascii="Cambria" w:hAnsi="Cambria" w:cs="Times New Roman"/>
          <w:i/>
          <w:iCs/>
        </w:rPr>
        <w:t>22</w:t>
      </w:r>
      <w:r w:rsidRPr="00A63FC7">
        <w:rPr>
          <w:rFonts w:ascii="Cambria" w:hAnsi="Cambria" w:cs="Times New Roman"/>
        </w:rPr>
        <w:t xml:space="preserve">. </w:t>
      </w:r>
      <w:hyperlink r:id="rId149" w:history="1">
        <w:r w:rsidRPr="00A63FC7">
          <w:rPr>
            <w:rStyle w:val="Hyperlink"/>
            <w:rFonts w:ascii="Cambria" w:hAnsi="Cambria" w:cs="Times New Roman"/>
          </w:rPr>
          <w:t>https://doi.org/10.1016/j.eclinm.2020.100367</w:t>
        </w:r>
      </w:hyperlink>
    </w:p>
    <w:p w14:paraId="414688D3"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Ordower, J. (2022, October 11). </w:t>
      </w:r>
      <w:r w:rsidRPr="00A63FC7">
        <w:rPr>
          <w:rFonts w:ascii="Cambria" w:hAnsi="Cambria" w:cs="Times New Roman"/>
          <w:i/>
          <w:iCs/>
        </w:rPr>
        <w:t>ACT UP Was a Vanguard Organization</w:t>
      </w:r>
      <w:r w:rsidRPr="00A63FC7">
        <w:rPr>
          <w:rFonts w:ascii="Cambria" w:hAnsi="Cambria" w:cs="Times New Roman"/>
        </w:rPr>
        <w:t xml:space="preserve">. The Forge. </w:t>
      </w:r>
      <w:hyperlink r:id="rId150" w:history="1">
        <w:r w:rsidRPr="00A63FC7">
          <w:rPr>
            <w:rStyle w:val="Hyperlink"/>
            <w:rFonts w:ascii="Cambria" w:hAnsi="Cambria" w:cs="Times New Roman"/>
          </w:rPr>
          <w:t>https://forgeorganizing.org/article/act-was-vanguard-organization</w:t>
        </w:r>
      </w:hyperlink>
    </w:p>
    <w:p w14:paraId="49FBD15B"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Padamsee</w:t>
      </w:r>
      <w:proofErr w:type="spellEnd"/>
      <w:r w:rsidRPr="00A63FC7">
        <w:rPr>
          <w:rFonts w:ascii="Cambria" w:hAnsi="Cambria" w:cs="Times New Roman"/>
        </w:rPr>
        <w:t xml:space="preserve">, T. J. (2017). The Politics of Prevention: Lessons from the Neglected History of US </w:t>
      </w:r>
      <w:proofErr w:type="spellStart"/>
      <w:r w:rsidRPr="00A63FC7">
        <w:rPr>
          <w:rFonts w:ascii="Cambria" w:hAnsi="Cambria" w:cs="Times New Roman"/>
        </w:rPr>
        <w:t>Hiv</w:t>
      </w:r>
      <w:proofErr w:type="spellEnd"/>
      <w:r w:rsidRPr="00A63FC7">
        <w:rPr>
          <w:rFonts w:ascii="Cambria" w:hAnsi="Cambria" w:cs="Times New Roman"/>
        </w:rPr>
        <w:t xml:space="preserve">/Aids Policy. </w:t>
      </w:r>
      <w:r w:rsidRPr="00A63FC7">
        <w:rPr>
          <w:rFonts w:ascii="Cambria" w:hAnsi="Cambria" w:cs="Times New Roman"/>
          <w:i/>
          <w:iCs/>
        </w:rPr>
        <w:t>Journal of Health Politics, Policy and Law</w:t>
      </w:r>
      <w:r w:rsidRPr="00A63FC7">
        <w:rPr>
          <w:rFonts w:ascii="Cambria" w:hAnsi="Cambria" w:cs="Times New Roman"/>
        </w:rPr>
        <w:t xml:space="preserve">, </w:t>
      </w:r>
      <w:r w:rsidRPr="00A63FC7">
        <w:rPr>
          <w:rFonts w:ascii="Cambria" w:hAnsi="Cambria" w:cs="Times New Roman"/>
          <w:i/>
          <w:iCs/>
        </w:rPr>
        <w:t>42</w:t>
      </w:r>
      <w:r w:rsidRPr="00A63FC7">
        <w:rPr>
          <w:rFonts w:ascii="Cambria" w:hAnsi="Cambria" w:cs="Times New Roman"/>
        </w:rPr>
        <w:t xml:space="preserve">(1), 73–122. </w:t>
      </w:r>
      <w:hyperlink r:id="rId151" w:history="1">
        <w:r w:rsidRPr="00A63FC7">
          <w:rPr>
            <w:rStyle w:val="Hyperlink"/>
            <w:rFonts w:ascii="Cambria" w:hAnsi="Cambria" w:cs="Times New Roman"/>
          </w:rPr>
          <w:t>https://doi.org/10.1215/03616878-3702782</w:t>
        </w:r>
      </w:hyperlink>
    </w:p>
    <w:p w14:paraId="5C9B6D91" w14:textId="77777777" w:rsidR="00A63FC7" w:rsidRPr="00A63FC7" w:rsidRDefault="00A63FC7" w:rsidP="00B409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Padamsee</w:t>
      </w:r>
      <w:proofErr w:type="spellEnd"/>
      <w:r w:rsidRPr="00A63FC7">
        <w:rPr>
          <w:rFonts w:ascii="Cambria" w:hAnsi="Cambria" w:cs="Times New Roman"/>
        </w:rPr>
        <w:t xml:space="preserve">, T. J. (2020a). Fighting an Epidemic in Political Context: Thirty-Five Years of HIV/AIDS Policy Making in the United States. </w:t>
      </w:r>
      <w:r w:rsidRPr="00A63FC7">
        <w:rPr>
          <w:rFonts w:ascii="Cambria" w:hAnsi="Cambria" w:cs="Times New Roman"/>
          <w:i/>
          <w:iCs/>
        </w:rPr>
        <w:t>Social History of Medicine</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 xml:space="preserve">(3), 1001–1028. </w:t>
      </w:r>
      <w:hyperlink r:id="rId152" w:history="1">
        <w:r w:rsidRPr="00A63FC7">
          <w:rPr>
            <w:rStyle w:val="Hyperlink"/>
            <w:rFonts w:ascii="Cambria" w:hAnsi="Cambria" w:cs="Times New Roman"/>
          </w:rPr>
          <w:t>https://doi.org/10.1093/shm/hky108</w:t>
        </w:r>
      </w:hyperlink>
    </w:p>
    <w:p w14:paraId="51C747E4"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lastRenderedPageBreak/>
        <w:t>Padamsee</w:t>
      </w:r>
      <w:proofErr w:type="spellEnd"/>
      <w:r w:rsidRPr="00A63FC7">
        <w:rPr>
          <w:rFonts w:ascii="Cambria" w:hAnsi="Cambria" w:cs="Times New Roman"/>
        </w:rPr>
        <w:t xml:space="preserve">, T. J. (2020b). Fighting an Epidemic in Political Context: Thirty-Five Years of HIV/AIDS Policy Making in the United States. </w:t>
      </w:r>
      <w:r w:rsidRPr="00A63FC7">
        <w:rPr>
          <w:rFonts w:ascii="Cambria" w:hAnsi="Cambria" w:cs="Times New Roman"/>
          <w:i/>
          <w:iCs/>
        </w:rPr>
        <w:t>Social History of Medicine</w:t>
      </w:r>
      <w:r w:rsidRPr="00A63FC7">
        <w:rPr>
          <w:rFonts w:ascii="Cambria" w:hAnsi="Cambria" w:cs="Times New Roman"/>
        </w:rPr>
        <w:t xml:space="preserve">, </w:t>
      </w:r>
      <w:r w:rsidRPr="00A63FC7">
        <w:rPr>
          <w:rFonts w:ascii="Cambria" w:hAnsi="Cambria" w:cs="Times New Roman"/>
          <w:i/>
          <w:iCs/>
        </w:rPr>
        <w:t>33</w:t>
      </w:r>
      <w:r w:rsidRPr="00A63FC7">
        <w:rPr>
          <w:rFonts w:ascii="Cambria" w:hAnsi="Cambria" w:cs="Times New Roman"/>
        </w:rPr>
        <w:t xml:space="preserve">(3), 1001–1028. </w:t>
      </w:r>
      <w:hyperlink r:id="rId153" w:history="1">
        <w:r w:rsidRPr="00A63FC7">
          <w:rPr>
            <w:rStyle w:val="Hyperlink"/>
            <w:rFonts w:ascii="Cambria" w:hAnsi="Cambria" w:cs="Times New Roman"/>
          </w:rPr>
          <w:t>https://doi.org/10.1093/shm/hky108</w:t>
        </w:r>
      </w:hyperlink>
    </w:p>
    <w:p w14:paraId="651DC51A"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PAIN. (2022). </w:t>
      </w:r>
      <w:r w:rsidRPr="00A63FC7">
        <w:rPr>
          <w:rFonts w:ascii="Cambria" w:hAnsi="Cambria" w:cs="Times New Roman"/>
          <w:i/>
          <w:iCs/>
        </w:rPr>
        <w:t>P.A.I.N Homepage</w:t>
      </w:r>
      <w:r w:rsidRPr="00A63FC7">
        <w:rPr>
          <w:rFonts w:ascii="Cambria" w:hAnsi="Cambria" w:cs="Times New Roman"/>
        </w:rPr>
        <w:t xml:space="preserve">. </w:t>
      </w:r>
      <w:hyperlink r:id="rId154" w:history="1">
        <w:r w:rsidRPr="00A63FC7">
          <w:rPr>
            <w:rStyle w:val="Hyperlink"/>
            <w:rFonts w:ascii="Cambria" w:hAnsi="Cambria" w:cs="Times New Roman"/>
          </w:rPr>
          <w:t>https://www.sacklerpain.org/</w:t>
        </w:r>
      </w:hyperlink>
    </w:p>
    <w:p w14:paraId="421F5707"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Paykamian</w:t>
      </w:r>
      <w:proofErr w:type="spellEnd"/>
      <w:r w:rsidRPr="00A63FC7">
        <w:rPr>
          <w:rFonts w:ascii="Cambria" w:hAnsi="Cambria" w:cs="Times New Roman"/>
        </w:rPr>
        <w:t xml:space="preserve">, B. (n.d.). </w:t>
      </w:r>
      <w:r w:rsidRPr="00A63FC7">
        <w:rPr>
          <w:rFonts w:ascii="Cambria" w:hAnsi="Cambria" w:cs="Times New Roman"/>
          <w:i/>
          <w:iCs/>
        </w:rPr>
        <w:t>ETSU starts new syringe exchange program | | johnsoncitypress.com</w:t>
      </w:r>
      <w:r w:rsidRPr="00A63FC7">
        <w:rPr>
          <w:rFonts w:ascii="Cambria" w:hAnsi="Cambria" w:cs="Times New Roman"/>
        </w:rPr>
        <w:t xml:space="preserve">. Retrieved April 28, 2023, from </w:t>
      </w:r>
      <w:hyperlink r:id="rId155" w:history="1">
        <w:r w:rsidRPr="00A63FC7">
          <w:rPr>
            <w:rStyle w:val="Hyperlink"/>
            <w:rFonts w:ascii="Cambria" w:hAnsi="Cambria" w:cs="Times New Roman"/>
          </w:rPr>
          <w:t>https://www.johnsoncitypress.com/etsu-starts-new-syringe-exchange-program/article_c9abc4ea-99d1-54af-bb4a-eb7ed1e27104.html</w:t>
        </w:r>
      </w:hyperlink>
    </w:p>
    <w:p w14:paraId="475A868D"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Peine</w:t>
      </w:r>
      <w:proofErr w:type="spellEnd"/>
      <w:r w:rsidRPr="00A63FC7">
        <w:rPr>
          <w:rFonts w:ascii="Cambria" w:hAnsi="Cambria" w:cs="Times New Roman"/>
        </w:rPr>
        <w:t xml:space="preserve">, E. K., </w:t>
      </w:r>
      <w:proofErr w:type="spellStart"/>
      <w:r w:rsidRPr="00A63FC7">
        <w:rPr>
          <w:rFonts w:ascii="Cambria" w:hAnsi="Cambria" w:cs="Times New Roman"/>
        </w:rPr>
        <w:t>Azano</w:t>
      </w:r>
      <w:proofErr w:type="spellEnd"/>
      <w:r w:rsidRPr="00A63FC7">
        <w:rPr>
          <w:rFonts w:ascii="Cambria" w:hAnsi="Cambria" w:cs="Times New Roman"/>
        </w:rPr>
        <w:t xml:space="preserve">, A. P., &amp; </w:t>
      </w:r>
      <w:proofErr w:type="spellStart"/>
      <w:r w:rsidRPr="00A63FC7">
        <w:rPr>
          <w:rFonts w:ascii="Cambria" w:hAnsi="Cambria" w:cs="Times New Roman"/>
        </w:rPr>
        <w:t>Schafft</w:t>
      </w:r>
      <w:proofErr w:type="spellEnd"/>
      <w:r w:rsidRPr="00A63FC7">
        <w:rPr>
          <w:rFonts w:ascii="Cambria" w:hAnsi="Cambria" w:cs="Times New Roman"/>
        </w:rPr>
        <w:t xml:space="preserve">, K. A. (2020). Beyond cultural and structural explanations of regional underdevelopment: Identity and dispossession in Appalachia. </w:t>
      </w:r>
      <w:r w:rsidRPr="00A63FC7">
        <w:rPr>
          <w:rFonts w:ascii="Cambria" w:hAnsi="Cambria" w:cs="Times New Roman"/>
          <w:i/>
          <w:iCs/>
        </w:rPr>
        <w:t>Journal of Appalachian Studies</w:t>
      </w:r>
      <w:r w:rsidRPr="00A63FC7">
        <w:rPr>
          <w:rFonts w:ascii="Cambria" w:hAnsi="Cambria" w:cs="Times New Roman"/>
        </w:rPr>
        <w:t xml:space="preserve">, </w:t>
      </w:r>
      <w:r w:rsidRPr="00A63FC7">
        <w:rPr>
          <w:rFonts w:ascii="Cambria" w:hAnsi="Cambria" w:cs="Times New Roman"/>
          <w:i/>
          <w:iCs/>
        </w:rPr>
        <w:t>26</w:t>
      </w:r>
      <w:r w:rsidRPr="00A63FC7">
        <w:rPr>
          <w:rFonts w:ascii="Cambria" w:hAnsi="Cambria" w:cs="Times New Roman"/>
        </w:rPr>
        <w:t>(1), 40–56.</w:t>
      </w:r>
    </w:p>
    <w:p w14:paraId="76E8B559"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Pereira, M., &amp; Scott, J. (2017). Harm reduction and the ethics of drug use: Contemporary techniques of self-governance. </w:t>
      </w:r>
      <w:r w:rsidRPr="00A63FC7">
        <w:rPr>
          <w:rFonts w:ascii="Cambria" w:hAnsi="Cambria" w:cs="Times New Roman"/>
          <w:i/>
          <w:iCs/>
        </w:rPr>
        <w:t>Health Sociology Review</w:t>
      </w:r>
      <w:r w:rsidRPr="00A63FC7">
        <w:rPr>
          <w:rFonts w:ascii="Cambria" w:hAnsi="Cambria" w:cs="Times New Roman"/>
        </w:rPr>
        <w:t xml:space="preserve">, </w:t>
      </w:r>
      <w:r w:rsidRPr="00A63FC7">
        <w:rPr>
          <w:rFonts w:ascii="Cambria" w:hAnsi="Cambria" w:cs="Times New Roman"/>
          <w:i/>
          <w:iCs/>
        </w:rPr>
        <w:t>26</w:t>
      </w:r>
      <w:r w:rsidRPr="00A63FC7">
        <w:rPr>
          <w:rFonts w:ascii="Cambria" w:hAnsi="Cambria" w:cs="Times New Roman"/>
        </w:rPr>
        <w:t xml:space="preserve">(1), 69–83. </w:t>
      </w:r>
      <w:hyperlink r:id="rId156" w:history="1">
        <w:r w:rsidRPr="00A63FC7">
          <w:rPr>
            <w:rStyle w:val="Hyperlink"/>
            <w:rFonts w:ascii="Cambria" w:hAnsi="Cambria" w:cs="Times New Roman"/>
          </w:rPr>
          <w:t>https://doi.org/10.1080/14461242.2016.1184583</w:t>
        </w:r>
      </w:hyperlink>
    </w:p>
    <w:p w14:paraId="58820746"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Pereira, P. J. dos R. (2021). Drugs, Violence, and Capitalism: The Expansion of Opioid Use in the Americas. </w:t>
      </w:r>
      <w:r w:rsidRPr="00A63FC7">
        <w:rPr>
          <w:rFonts w:ascii="Cambria" w:hAnsi="Cambria" w:cs="Times New Roman"/>
          <w:i/>
          <w:iCs/>
        </w:rPr>
        <w:t>Latin American Perspectives</w:t>
      </w:r>
      <w:r w:rsidRPr="00A63FC7">
        <w:rPr>
          <w:rFonts w:ascii="Cambria" w:hAnsi="Cambria" w:cs="Times New Roman"/>
        </w:rPr>
        <w:t xml:space="preserve">, </w:t>
      </w:r>
      <w:r w:rsidRPr="00A63FC7">
        <w:rPr>
          <w:rFonts w:ascii="Cambria" w:hAnsi="Cambria" w:cs="Times New Roman"/>
          <w:i/>
          <w:iCs/>
        </w:rPr>
        <w:t>48</w:t>
      </w:r>
      <w:r w:rsidRPr="00A63FC7">
        <w:rPr>
          <w:rFonts w:ascii="Cambria" w:hAnsi="Cambria" w:cs="Times New Roman"/>
        </w:rPr>
        <w:t xml:space="preserve">(1), 184–201. </w:t>
      </w:r>
      <w:hyperlink r:id="rId157" w:history="1">
        <w:r w:rsidRPr="00A63FC7">
          <w:rPr>
            <w:rStyle w:val="Hyperlink"/>
            <w:rFonts w:ascii="Cambria" w:hAnsi="Cambria" w:cs="Times New Roman"/>
          </w:rPr>
          <w:t>https://doi.org/10.1177/0094582X20975007</w:t>
        </w:r>
      </w:hyperlink>
    </w:p>
    <w:p w14:paraId="0F5DF0A9"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Pernick</w:t>
      </w:r>
      <w:proofErr w:type="spellEnd"/>
      <w:r w:rsidRPr="00A63FC7">
        <w:rPr>
          <w:rFonts w:ascii="Cambria" w:hAnsi="Cambria" w:cs="Times New Roman"/>
        </w:rPr>
        <w:t xml:space="preserve">, M. S. (1997). Eugenics and public health in American history. </w:t>
      </w:r>
      <w:r w:rsidRPr="00A63FC7">
        <w:rPr>
          <w:rFonts w:ascii="Cambria" w:hAnsi="Cambria" w:cs="Times New Roman"/>
          <w:i/>
          <w:iCs/>
        </w:rPr>
        <w:t>American Journal of Public Health</w:t>
      </w:r>
      <w:r w:rsidRPr="00A63FC7">
        <w:rPr>
          <w:rFonts w:ascii="Cambria" w:hAnsi="Cambria" w:cs="Times New Roman"/>
        </w:rPr>
        <w:t xml:space="preserve">, </w:t>
      </w:r>
      <w:r w:rsidRPr="00A63FC7">
        <w:rPr>
          <w:rFonts w:ascii="Cambria" w:hAnsi="Cambria" w:cs="Times New Roman"/>
          <w:i/>
          <w:iCs/>
        </w:rPr>
        <w:t>87</w:t>
      </w:r>
      <w:r w:rsidRPr="00A63FC7">
        <w:rPr>
          <w:rFonts w:ascii="Cambria" w:hAnsi="Cambria" w:cs="Times New Roman"/>
        </w:rPr>
        <w:t>(11), 1767–1772.</w:t>
      </w:r>
    </w:p>
    <w:p w14:paraId="21E629E9" w14:textId="77777777" w:rsidR="00A63FC7" w:rsidRPr="00A63FC7" w:rsidRDefault="00A63FC7" w:rsidP="004E12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Peters, P. J., </w:t>
      </w:r>
      <w:proofErr w:type="spellStart"/>
      <w:r w:rsidRPr="00A63FC7">
        <w:rPr>
          <w:rFonts w:ascii="Cambria" w:hAnsi="Cambria" w:cs="Times New Roman"/>
        </w:rPr>
        <w:t>Pontones</w:t>
      </w:r>
      <w:proofErr w:type="spellEnd"/>
      <w:r w:rsidRPr="00A63FC7">
        <w:rPr>
          <w:rFonts w:ascii="Cambria" w:hAnsi="Cambria" w:cs="Times New Roman"/>
        </w:rPr>
        <w:t xml:space="preserve">, P., Hoover, K. W., Patel, M. R., </w:t>
      </w:r>
      <w:proofErr w:type="spellStart"/>
      <w:r w:rsidRPr="00A63FC7">
        <w:rPr>
          <w:rFonts w:ascii="Cambria" w:hAnsi="Cambria" w:cs="Times New Roman"/>
        </w:rPr>
        <w:t>Galang</w:t>
      </w:r>
      <w:proofErr w:type="spellEnd"/>
      <w:r w:rsidRPr="00A63FC7">
        <w:rPr>
          <w:rFonts w:ascii="Cambria" w:hAnsi="Cambria" w:cs="Times New Roman"/>
        </w:rPr>
        <w:t xml:space="preserve">, R. R., Shields, J., Blosser, S. J., Spiller, M. W., Combs, B., Switzer, W. M., Conrad, C., Gentry, J., </w:t>
      </w:r>
      <w:proofErr w:type="spellStart"/>
      <w:r w:rsidRPr="00A63FC7">
        <w:rPr>
          <w:rFonts w:ascii="Cambria" w:hAnsi="Cambria" w:cs="Times New Roman"/>
        </w:rPr>
        <w:t>Khudyakov</w:t>
      </w:r>
      <w:proofErr w:type="spellEnd"/>
      <w:r w:rsidRPr="00A63FC7">
        <w:rPr>
          <w:rFonts w:ascii="Cambria" w:hAnsi="Cambria" w:cs="Times New Roman"/>
        </w:rPr>
        <w:t xml:space="preserve">, Y., Waterhouse, D., Owen, S. M., Chapman, E., Roseberry, J. C., McCants, V., </w:t>
      </w:r>
      <w:proofErr w:type="spellStart"/>
      <w:r w:rsidRPr="00A63FC7">
        <w:rPr>
          <w:rFonts w:ascii="Cambria" w:hAnsi="Cambria" w:cs="Times New Roman"/>
        </w:rPr>
        <w:t>Weidle</w:t>
      </w:r>
      <w:proofErr w:type="spellEnd"/>
      <w:r w:rsidRPr="00A63FC7">
        <w:rPr>
          <w:rFonts w:ascii="Cambria" w:hAnsi="Cambria" w:cs="Times New Roman"/>
        </w:rPr>
        <w:t xml:space="preserve">, P. J., … </w:t>
      </w:r>
      <w:proofErr w:type="spellStart"/>
      <w:r w:rsidRPr="00A63FC7">
        <w:rPr>
          <w:rFonts w:ascii="Cambria" w:hAnsi="Cambria" w:cs="Times New Roman"/>
        </w:rPr>
        <w:t>Duwve</w:t>
      </w:r>
      <w:proofErr w:type="spellEnd"/>
      <w:r w:rsidRPr="00A63FC7">
        <w:rPr>
          <w:rFonts w:ascii="Cambria" w:hAnsi="Cambria" w:cs="Times New Roman"/>
        </w:rPr>
        <w:t xml:space="preserve">, J. M. (2016a). HIV Infection Linked to Injection Use of Oxymorphone in </w:t>
      </w:r>
      <w:r w:rsidRPr="00A63FC7">
        <w:rPr>
          <w:rFonts w:ascii="Cambria" w:hAnsi="Cambria" w:cs="Times New Roman"/>
        </w:rPr>
        <w:lastRenderedPageBreak/>
        <w:t xml:space="preserve">Indiana, 2014–2015. </w:t>
      </w:r>
      <w:r w:rsidRPr="00A63FC7">
        <w:rPr>
          <w:rFonts w:ascii="Cambria" w:hAnsi="Cambria" w:cs="Times New Roman"/>
          <w:i/>
          <w:iCs/>
        </w:rPr>
        <w:t>New England Journal of Medicine</w:t>
      </w:r>
      <w:r w:rsidRPr="00A63FC7">
        <w:rPr>
          <w:rFonts w:ascii="Cambria" w:hAnsi="Cambria" w:cs="Times New Roman"/>
        </w:rPr>
        <w:t xml:space="preserve">, </w:t>
      </w:r>
      <w:r w:rsidRPr="00A63FC7">
        <w:rPr>
          <w:rFonts w:ascii="Cambria" w:hAnsi="Cambria" w:cs="Times New Roman"/>
          <w:i/>
          <w:iCs/>
        </w:rPr>
        <w:t>375</w:t>
      </w:r>
      <w:r w:rsidRPr="00A63FC7">
        <w:rPr>
          <w:rFonts w:ascii="Cambria" w:hAnsi="Cambria" w:cs="Times New Roman"/>
        </w:rPr>
        <w:t xml:space="preserve">(3), 229–239. </w:t>
      </w:r>
      <w:hyperlink r:id="rId158" w:history="1">
        <w:r w:rsidRPr="00A63FC7">
          <w:rPr>
            <w:rStyle w:val="Hyperlink"/>
            <w:rFonts w:ascii="Cambria" w:hAnsi="Cambria" w:cs="Times New Roman"/>
          </w:rPr>
          <w:t>https://doi.org/10.1056/NEJMoa1515195</w:t>
        </w:r>
      </w:hyperlink>
    </w:p>
    <w:p w14:paraId="15E2910F"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Peters, P. J., </w:t>
      </w:r>
      <w:proofErr w:type="spellStart"/>
      <w:r w:rsidRPr="00A63FC7">
        <w:rPr>
          <w:rFonts w:ascii="Cambria" w:hAnsi="Cambria" w:cs="Times New Roman"/>
        </w:rPr>
        <w:t>Pontones</w:t>
      </w:r>
      <w:proofErr w:type="spellEnd"/>
      <w:r w:rsidRPr="00A63FC7">
        <w:rPr>
          <w:rFonts w:ascii="Cambria" w:hAnsi="Cambria" w:cs="Times New Roman"/>
        </w:rPr>
        <w:t xml:space="preserve">, P., Hoover, K. W., Patel, M. R., </w:t>
      </w:r>
      <w:proofErr w:type="spellStart"/>
      <w:r w:rsidRPr="00A63FC7">
        <w:rPr>
          <w:rFonts w:ascii="Cambria" w:hAnsi="Cambria" w:cs="Times New Roman"/>
        </w:rPr>
        <w:t>Galang</w:t>
      </w:r>
      <w:proofErr w:type="spellEnd"/>
      <w:r w:rsidRPr="00A63FC7">
        <w:rPr>
          <w:rFonts w:ascii="Cambria" w:hAnsi="Cambria" w:cs="Times New Roman"/>
        </w:rPr>
        <w:t xml:space="preserve">, R. R., Shields, J., Blosser, S. J., Spiller, M. W., Combs, B., Switzer, W. M., Conrad, C., Gentry, J., </w:t>
      </w:r>
      <w:proofErr w:type="spellStart"/>
      <w:r w:rsidRPr="00A63FC7">
        <w:rPr>
          <w:rFonts w:ascii="Cambria" w:hAnsi="Cambria" w:cs="Times New Roman"/>
        </w:rPr>
        <w:t>Khudyakov</w:t>
      </w:r>
      <w:proofErr w:type="spellEnd"/>
      <w:r w:rsidRPr="00A63FC7">
        <w:rPr>
          <w:rFonts w:ascii="Cambria" w:hAnsi="Cambria" w:cs="Times New Roman"/>
        </w:rPr>
        <w:t xml:space="preserve">, Y., Waterhouse, D., Owen, S. M., Chapman, E., Roseberry, J. C., McCants, V., </w:t>
      </w:r>
      <w:proofErr w:type="spellStart"/>
      <w:r w:rsidRPr="00A63FC7">
        <w:rPr>
          <w:rFonts w:ascii="Cambria" w:hAnsi="Cambria" w:cs="Times New Roman"/>
        </w:rPr>
        <w:t>Weidle</w:t>
      </w:r>
      <w:proofErr w:type="spellEnd"/>
      <w:r w:rsidRPr="00A63FC7">
        <w:rPr>
          <w:rFonts w:ascii="Cambria" w:hAnsi="Cambria" w:cs="Times New Roman"/>
        </w:rPr>
        <w:t xml:space="preserve">, P. J., … </w:t>
      </w:r>
      <w:proofErr w:type="spellStart"/>
      <w:r w:rsidRPr="00A63FC7">
        <w:rPr>
          <w:rFonts w:ascii="Cambria" w:hAnsi="Cambria" w:cs="Times New Roman"/>
        </w:rPr>
        <w:t>Duwve</w:t>
      </w:r>
      <w:proofErr w:type="spellEnd"/>
      <w:r w:rsidRPr="00A63FC7">
        <w:rPr>
          <w:rFonts w:ascii="Cambria" w:hAnsi="Cambria" w:cs="Times New Roman"/>
        </w:rPr>
        <w:t xml:space="preserve">, J. M. (2016b). HIV Infection Linked to Injection Use of Oxymorphone in Indiana, 2014–2015. </w:t>
      </w:r>
      <w:r w:rsidRPr="00A63FC7">
        <w:rPr>
          <w:rFonts w:ascii="Cambria" w:hAnsi="Cambria" w:cs="Times New Roman"/>
          <w:i/>
          <w:iCs/>
        </w:rPr>
        <w:t>New England Journal of Medicine</w:t>
      </w:r>
      <w:r w:rsidRPr="00A63FC7">
        <w:rPr>
          <w:rFonts w:ascii="Cambria" w:hAnsi="Cambria" w:cs="Times New Roman"/>
        </w:rPr>
        <w:t xml:space="preserve">, </w:t>
      </w:r>
      <w:r w:rsidRPr="00A63FC7">
        <w:rPr>
          <w:rFonts w:ascii="Cambria" w:hAnsi="Cambria" w:cs="Times New Roman"/>
          <w:i/>
          <w:iCs/>
        </w:rPr>
        <w:t>375</w:t>
      </w:r>
      <w:r w:rsidRPr="00A63FC7">
        <w:rPr>
          <w:rFonts w:ascii="Cambria" w:hAnsi="Cambria" w:cs="Times New Roman"/>
        </w:rPr>
        <w:t xml:space="preserve">(3), 229–239. </w:t>
      </w:r>
      <w:hyperlink r:id="rId159" w:history="1">
        <w:r w:rsidRPr="00A63FC7">
          <w:rPr>
            <w:rStyle w:val="Hyperlink"/>
            <w:rFonts w:ascii="Cambria" w:hAnsi="Cambria" w:cs="Times New Roman"/>
          </w:rPr>
          <w:t>https://doi.org/10.1056/NEJMoa1515195</w:t>
        </w:r>
      </w:hyperlink>
    </w:p>
    <w:p w14:paraId="2FE3B5E1"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Povinelli, E. (2021). </w:t>
      </w:r>
      <w:r w:rsidRPr="00A63FC7">
        <w:rPr>
          <w:rFonts w:ascii="Cambria" w:hAnsi="Cambria" w:cs="Times New Roman"/>
          <w:i/>
          <w:iCs/>
        </w:rPr>
        <w:t>ROUTES &amp; WORLDS.</w:t>
      </w:r>
      <w:r w:rsidRPr="00A63FC7">
        <w:rPr>
          <w:rFonts w:ascii="Cambria" w:hAnsi="Cambria" w:cs="Times New Roman"/>
        </w:rPr>
        <w:t xml:space="preserve"> STERNBERG PR.</w:t>
      </w:r>
    </w:p>
    <w:p w14:paraId="4DC552E0"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Proudfoot, J. (2019). The libidinal economy of revanchism: Illicit drugs, harm reduction, and the problem of enjoyment. </w:t>
      </w:r>
      <w:r w:rsidRPr="00A63FC7">
        <w:rPr>
          <w:rFonts w:ascii="Cambria" w:hAnsi="Cambria" w:cs="Times New Roman"/>
          <w:i/>
          <w:iCs/>
        </w:rPr>
        <w:t>Progress in Human Geography</w:t>
      </w:r>
      <w:r w:rsidRPr="00A63FC7">
        <w:rPr>
          <w:rFonts w:ascii="Cambria" w:hAnsi="Cambria" w:cs="Times New Roman"/>
        </w:rPr>
        <w:t xml:space="preserve">, </w:t>
      </w:r>
      <w:r w:rsidRPr="00A63FC7">
        <w:rPr>
          <w:rFonts w:ascii="Cambria" w:hAnsi="Cambria" w:cs="Times New Roman"/>
          <w:i/>
          <w:iCs/>
        </w:rPr>
        <w:t>43</w:t>
      </w:r>
      <w:r w:rsidRPr="00A63FC7">
        <w:rPr>
          <w:rFonts w:ascii="Cambria" w:hAnsi="Cambria" w:cs="Times New Roman"/>
        </w:rPr>
        <w:t xml:space="preserve">(2), 214–234. </w:t>
      </w:r>
      <w:hyperlink r:id="rId160" w:history="1">
        <w:r w:rsidRPr="00A63FC7">
          <w:rPr>
            <w:rStyle w:val="Hyperlink"/>
            <w:rFonts w:ascii="Cambria" w:hAnsi="Cambria" w:cs="Times New Roman"/>
          </w:rPr>
          <w:t>https://doi.org/10.1177/0309132517739143</w:t>
        </w:r>
      </w:hyperlink>
    </w:p>
    <w:p w14:paraId="260948EC"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Quinan, C., &amp; Thiele, K. (2020). </w:t>
      </w:r>
      <w:proofErr w:type="spellStart"/>
      <w:r w:rsidRPr="00A63FC7">
        <w:rPr>
          <w:rFonts w:ascii="Cambria" w:hAnsi="Cambria" w:cs="Times New Roman"/>
        </w:rPr>
        <w:t>Biopolitics</w:t>
      </w:r>
      <w:proofErr w:type="spellEnd"/>
      <w:r w:rsidRPr="00A63FC7">
        <w:rPr>
          <w:rFonts w:ascii="Cambria" w:hAnsi="Cambria" w:cs="Times New Roman"/>
        </w:rPr>
        <w:t xml:space="preserve">, </w:t>
      </w:r>
      <w:proofErr w:type="spellStart"/>
      <w:r w:rsidRPr="00A63FC7">
        <w:rPr>
          <w:rFonts w:ascii="Cambria" w:hAnsi="Cambria" w:cs="Times New Roman"/>
        </w:rPr>
        <w:t>necropolitics</w:t>
      </w:r>
      <w:proofErr w:type="spellEnd"/>
      <w:r w:rsidRPr="00A63FC7">
        <w:rPr>
          <w:rFonts w:ascii="Cambria" w:hAnsi="Cambria" w:cs="Times New Roman"/>
        </w:rPr>
        <w:t xml:space="preserve">, </w:t>
      </w:r>
      <w:proofErr w:type="spellStart"/>
      <w:r w:rsidRPr="00A63FC7">
        <w:rPr>
          <w:rFonts w:ascii="Cambria" w:hAnsi="Cambria" w:cs="Times New Roman"/>
        </w:rPr>
        <w:t>cosmopolitics</w:t>
      </w:r>
      <w:proofErr w:type="spellEnd"/>
      <w:r w:rsidRPr="00A63FC7">
        <w:rPr>
          <w:rFonts w:ascii="Cambria" w:hAnsi="Cambria" w:cs="Times New Roman"/>
        </w:rPr>
        <w:t xml:space="preserve"> – feminist and queer interventions: An introduction. </w:t>
      </w:r>
      <w:r w:rsidRPr="00A63FC7">
        <w:rPr>
          <w:rFonts w:ascii="Cambria" w:hAnsi="Cambria" w:cs="Times New Roman"/>
          <w:i/>
          <w:iCs/>
        </w:rPr>
        <w:t>Journal of Gender Studies</w:t>
      </w:r>
      <w:r w:rsidRPr="00A63FC7">
        <w:rPr>
          <w:rFonts w:ascii="Cambria" w:hAnsi="Cambria" w:cs="Times New Roman"/>
        </w:rPr>
        <w:t xml:space="preserve">, </w:t>
      </w:r>
      <w:r w:rsidRPr="00A63FC7">
        <w:rPr>
          <w:rFonts w:ascii="Cambria" w:hAnsi="Cambria" w:cs="Times New Roman"/>
          <w:i/>
          <w:iCs/>
        </w:rPr>
        <w:t>29</w:t>
      </w:r>
      <w:r w:rsidRPr="00A63FC7">
        <w:rPr>
          <w:rFonts w:ascii="Cambria" w:hAnsi="Cambria" w:cs="Times New Roman"/>
        </w:rPr>
        <w:t xml:space="preserve">(1), 1–8. </w:t>
      </w:r>
      <w:hyperlink r:id="rId161" w:history="1">
        <w:r w:rsidRPr="00A63FC7">
          <w:rPr>
            <w:rStyle w:val="Hyperlink"/>
            <w:rFonts w:ascii="Cambria" w:hAnsi="Cambria" w:cs="Times New Roman"/>
          </w:rPr>
          <w:t>https://doi.org/10.1080/09589236.2020.1693173</w:t>
        </w:r>
      </w:hyperlink>
    </w:p>
    <w:p w14:paraId="4D3F4EA4"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Rasnake</w:t>
      </w:r>
      <w:proofErr w:type="spellEnd"/>
      <w:r w:rsidRPr="00A63FC7">
        <w:rPr>
          <w:rFonts w:ascii="Cambria" w:hAnsi="Cambria" w:cs="Times New Roman"/>
        </w:rPr>
        <w:t xml:space="preserve">, M. S., Conger, N. G., McAllister, C. K., Holmes, K. K., &amp; </w:t>
      </w:r>
      <w:proofErr w:type="spellStart"/>
      <w:r w:rsidRPr="00A63FC7">
        <w:rPr>
          <w:rFonts w:ascii="Cambria" w:hAnsi="Cambria" w:cs="Times New Roman"/>
        </w:rPr>
        <w:t>Tramont</w:t>
      </w:r>
      <w:proofErr w:type="spellEnd"/>
      <w:r w:rsidRPr="00A63FC7">
        <w:rPr>
          <w:rFonts w:ascii="Cambria" w:hAnsi="Cambria" w:cs="Times New Roman"/>
        </w:rPr>
        <w:t xml:space="preserve">, E. C. (2005). History of U.S. Military Contributions to the Study of Sexually Transmitted Diseases. </w:t>
      </w:r>
      <w:r w:rsidRPr="00A63FC7">
        <w:rPr>
          <w:rFonts w:ascii="Cambria" w:hAnsi="Cambria" w:cs="Times New Roman"/>
          <w:i/>
          <w:iCs/>
        </w:rPr>
        <w:t>Military Medicine</w:t>
      </w:r>
      <w:r w:rsidRPr="00A63FC7">
        <w:rPr>
          <w:rFonts w:ascii="Cambria" w:hAnsi="Cambria" w:cs="Times New Roman"/>
        </w:rPr>
        <w:t xml:space="preserve">, </w:t>
      </w:r>
      <w:r w:rsidRPr="00A63FC7">
        <w:rPr>
          <w:rFonts w:ascii="Cambria" w:hAnsi="Cambria" w:cs="Times New Roman"/>
          <w:i/>
          <w:iCs/>
        </w:rPr>
        <w:t>170</w:t>
      </w:r>
      <w:r w:rsidRPr="00A63FC7">
        <w:rPr>
          <w:rFonts w:ascii="Cambria" w:hAnsi="Cambria" w:cs="Times New Roman"/>
        </w:rPr>
        <w:t xml:space="preserve">(4S), 61–65. </w:t>
      </w:r>
      <w:hyperlink r:id="rId162" w:history="1">
        <w:r w:rsidRPr="00A63FC7">
          <w:rPr>
            <w:rStyle w:val="Hyperlink"/>
            <w:rFonts w:ascii="Cambria" w:hAnsi="Cambria" w:cs="Times New Roman"/>
          </w:rPr>
          <w:t>https://doi.org/10.7205/MILMED.170.4S.61</w:t>
        </w:r>
      </w:hyperlink>
    </w:p>
    <w:p w14:paraId="10B8B94E" w14:textId="77777777" w:rsidR="00A63FC7" w:rsidRPr="00A63FC7" w:rsidRDefault="00A63FC7" w:rsidP="009A7F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Ray, B. (2022). </w:t>
      </w:r>
      <w:r w:rsidRPr="00A63FC7">
        <w:rPr>
          <w:rFonts w:ascii="Cambria" w:hAnsi="Cambria" w:cs="Times New Roman"/>
          <w:i/>
          <w:iCs/>
        </w:rPr>
        <w:t>Naloxone Vending Machine Implementation Report</w:t>
      </w:r>
      <w:r w:rsidRPr="00A63FC7">
        <w:rPr>
          <w:rFonts w:ascii="Cambria" w:hAnsi="Cambria" w:cs="Times New Roman"/>
        </w:rPr>
        <w:t xml:space="preserve"> (Appalachian/Midwest, pp. 1–11). Regional Judicial Opioid Initiative. </w:t>
      </w:r>
      <w:hyperlink r:id="rId163" w:history="1">
        <w:r w:rsidRPr="00A63FC7">
          <w:rPr>
            <w:rStyle w:val="Hyperlink"/>
            <w:rFonts w:ascii="Cambria" w:hAnsi="Cambria" w:cs="Times New Roman"/>
          </w:rPr>
          <w:t>https://www.ncsc.org/__data/assets/pdf_file/0034/79945/RJOI-Vending-Report-FINAL-July-2022.pdf</w:t>
        </w:r>
      </w:hyperlink>
    </w:p>
    <w:p w14:paraId="19A9A301"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lastRenderedPageBreak/>
        <w:t>Reddebrek</w:t>
      </w:r>
      <w:proofErr w:type="spellEnd"/>
      <w:r w:rsidRPr="00A63FC7">
        <w:rPr>
          <w:rFonts w:ascii="Cambria" w:hAnsi="Cambria" w:cs="Times New Roman"/>
        </w:rPr>
        <w:t xml:space="preserve">. (2019). </w:t>
      </w:r>
      <w:r w:rsidRPr="00A63FC7">
        <w:rPr>
          <w:rFonts w:ascii="Cambria" w:hAnsi="Cambria" w:cs="Times New Roman"/>
          <w:i/>
          <w:iCs/>
        </w:rPr>
        <w:t>1997-1998: AIDS activists (ACT UP) demand federal funding for needle exchange programs | libcom.org</w:t>
      </w:r>
      <w:r w:rsidRPr="00A63FC7">
        <w:rPr>
          <w:rFonts w:ascii="Cambria" w:hAnsi="Cambria" w:cs="Times New Roman"/>
        </w:rPr>
        <w:t xml:space="preserve">. </w:t>
      </w:r>
      <w:hyperlink r:id="rId164" w:history="1">
        <w:r w:rsidRPr="00A63FC7">
          <w:rPr>
            <w:rStyle w:val="Hyperlink"/>
            <w:rFonts w:ascii="Cambria" w:hAnsi="Cambria" w:cs="Times New Roman"/>
          </w:rPr>
          <w:t>https://libcom.org/article/1997-1998-aids-activists-act-demand-federal-funding-needle-exchange-programs</w:t>
        </w:r>
      </w:hyperlink>
    </w:p>
    <w:p w14:paraId="1BDF23A6"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Rep. Jeffries, H. S. [D-N.-8. (2022, March 15). </w:t>
      </w:r>
      <w:r w:rsidRPr="00A63FC7">
        <w:rPr>
          <w:rFonts w:ascii="Cambria" w:hAnsi="Cambria" w:cs="Times New Roman"/>
          <w:i/>
          <w:iCs/>
        </w:rPr>
        <w:t>Text - H.R.2471 - 117th Congress (2021-2022): Consolidated Appropriations Act, 2022</w:t>
      </w:r>
      <w:r w:rsidRPr="00A63FC7">
        <w:rPr>
          <w:rFonts w:ascii="Cambria" w:hAnsi="Cambria" w:cs="Times New Roman"/>
        </w:rPr>
        <w:t xml:space="preserve"> (03/15/2022) [Legislation]. </w:t>
      </w:r>
      <w:hyperlink r:id="rId165" w:history="1">
        <w:r w:rsidRPr="00A63FC7">
          <w:rPr>
            <w:rStyle w:val="Hyperlink"/>
            <w:rFonts w:ascii="Cambria" w:hAnsi="Cambria" w:cs="Times New Roman"/>
          </w:rPr>
          <w:t>http://www.congress.gov/</w:t>
        </w:r>
      </w:hyperlink>
    </w:p>
    <w:p w14:paraId="5A675951"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Rhodes, T., Harris, M., &amp; Martin, A. (2013). Negotiating access to medical treatment and the making of patient citizenship: The case of hepatitis C treatment. </w:t>
      </w:r>
      <w:r w:rsidRPr="00A63FC7">
        <w:rPr>
          <w:rFonts w:ascii="Cambria" w:hAnsi="Cambria" w:cs="Times New Roman"/>
          <w:i/>
          <w:iCs/>
        </w:rPr>
        <w:t>Sociology of Health &amp; Illness</w:t>
      </w:r>
      <w:r w:rsidRPr="00A63FC7">
        <w:rPr>
          <w:rFonts w:ascii="Cambria" w:hAnsi="Cambria" w:cs="Times New Roman"/>
        </w:rPr>
        <w:t xml:space="preserve">, </w:t>
      </w:r>
      <w:r w:rsidRPr="00A63FC7">
        <w:rPr>
          <w:rFonts w:ascii="Cambria" w:hAnsi="Cambria" w:cs="Times New Roman"/>
          <w:i/>
          <w:iCs/>
        </w:rPr>
        <w:t>35</w:t>
      </w:r>
      <w:r w:rsidRPr="00A63FC7">
        <w:rPr>
          <w:rFonts w:ascii="Cambria" w:hAnsi="Cambria" w:cs="Times New Roman"/>
        </w:rPr>
        <w:t xml:space="preserve">(7), 1023–1044. </w:t>
      </w:r>
      <w:hyperlink r:id="rId166" w:history="1">
        <w:r w:rsidRPr="00A63FC7">
          <w:rPr>
            <w:rStyle w:val="Hyperlink"/>
            <w:rFonts w:ascii="Cambria" w:hAnsi="Cambria" w:cs="Times New Roman"/>
          </w:rPr>
          <w:t>https://doi.org/10.1111/1467-9566.12018</w:t>
        </w:r>
      </w:hyperlink>
    </w:p>
    <w:p w14:paraId="49DA533D"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Rich, J. D., &amp; </w:t>
      </w:r>
      <w:proofErr w:type="spellStart"/>
      <w:r w:rsidRPr="00A63FC7">
        <w:rPr>
          <w:rFonts w:ascii="Cambria" w:hAnsi="Cambria" w:cs="Times New Roman"/>
        </w:rPr>
        <w:t>Adashi</w:t>
      </w:r>
      <w:proofErr w:type="spellEnd"/>
      <w:r w:rsidRPr="00A63FC7">
        <w:rPr>
          <w:rFonts w:ascii="Cambria" w:hAnsi="Cambria" w:cs="Times New Roman"/>
        </w:rPr>
        <w:t xml:space="preserve">, E. Y. (2015). Ideological anachronism involving needle and syringe exchange programs: Lessons from the Indiana HIV outbreak. </w:t>
      </w:r>
      <w:r w:rsidRPr="00A63FC7">
        <w:rPr>
          <w:rFonts w:ascii="Cambria" w:hAnsi="Cambria" w:cs="Times New Roman"/>
          <w:i/>
          <w:iCs/>
        </w:rPr>
        <w:t>Jama</w:t>
      </w:r>
      <w:r w:rsidRPr="00A63FC7">
        <w:rPr>
          <w:rFonts w:ascii="Cambria" w:hAnsi="Cambria" w:cs="Times New Roman"/>
        </w:rPr>
        <w:t xml:space="preserve">, </w:t>
      </w:r>
      <w:r w:rsidRPr="00A63FC7">
        <w:rPr>
          <w:rFonts w:ascii="Cambria" w:hAnsi="Cambria" w:cs="Times New Roman"/>
          <w:i/>
          <w:iCs/>
        </w:rPr>
        <w:t>314</w:t>
      </w:r>
      <w:r w:rsidRPr="00A63FC7">
        <w:rPr>
          <w:rFonts w:ascii="Cambria" w:hAnsi="Cambria" w:cs="Times New Roman"/>
        </w:rPr>
        <w:t>(1), 23–24.</w:t>
      </w:r>
    </w:p>
    <w:p w14:paraId="57B82AB1"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Richards, E. P., &amp; Rathbun, K. C. (1999). The Role of the Police Power in 21st Century Public Health: </w:t>
      </w:r>
      <w:r w:rsidRPr="00A63FC7">
        <w:rPr>
          <w:rFonts w:ascii="Cambria" w:hAnsi="Cambria" w:cs="Times New Roman"/>
          <w:i/>
          <w:iCs/>
        </w:rPr>
        <w:t>Sexually Transmitted Diseases</w:t>
      </w:r>
      <w:r w:rsidRPr="00A63FC7">
        <w:rPr>
          <w:rFonts w:ascii="Cambria" w:hAnsi="Cambria" w:cs="Times New Roman"/>
        </w:rPr>
        <w:t xml:space="preserve">, </w:t>
      </w:r>
      <w:r w:rsidRPr="00A63FC7">
        <w:rPr>
          <w:rFonts w:ascii="Cambria" w:hAnsi="Cambria" w:cs="Times New Roman"/>
          <w:i/>
          <w:iCs/>
        </w:rPr>
        <w:t>26</w:t>
      </w:r>
      <w:r w:rsidRPr="00A63FC7">
        <w:rPr>
          <w:rFonts w:ascii="Cambria" w:hAnsi="Cambria" w:cs="Times New Roman"/>
        </w:rPr>
        <w:t xml:space="preserve">(6), 350–357. </w:t>
      </w:r>
      <w:hyperlink r:id="rId167" w:history="1">
        <w:r w:rsidRPr="00A63FC7">
          <w:rPr>
            <w:rStyle w:val="Hyperlink"/>
            <w:rFonts w:ascii="Cambria" w:hAnsi="Cambria" w:cs="Times New Roman"/>
          </w:rPr>
          <w:t>https://doi.org/10.1097/00007435-199907000-00008</w:t>
        </w:r>
      </w:hyperlink>
    </w:p>
    <w:p w14:paraId="4F4AB8D8"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RICHARDS III, E. P., &amp; Rathbun, K. C. (1999). The role of the police power in 21st century public health. </w:t>
      </w:r>
      <w:r w:rsidRPr="00A63FC7">
        <w:rPr>
          <w:rFonts w:ascii="Cambria" w:hAnsi="Cambria" w:cs="Times New Roman"/>
          <w:i/>
          <w:iCs/>
        </w:rPr>
        <w:t>Sexually Transmitted Diseases</w:t>
      </w:r>
      <w:r w:rsidRPr="00A63FC7">
        <w:rPr>
          <w:rFonts w:ascii="Cambria" w:hAnsi="Cambria" w:cs="Times New Roman"/>
        </w:rPr>
        <w:t>, 350–357.</w:t>
      </w:r>
    </w:p>
    <w:p w14:paraId="00A20992"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Roe, G. (2005). Harm reduction as paradigm: Is better than bad good enough? The origins of harm reduction. </w:t>
      </w:r>
      <w:r w:rsidRPr="00A63FC7">
        <w:rPr>
          <w:rFonts w:ascii="Cambria" w:hAnsi="Cambria" w:cs="Times New Roman"/>
          <w:i/>
          <w:iCs/>
        </w:rPr>
        <w:t>Critical Public Health</w:t>
      </w:r>
      <w:r w:rsidRPr="00A63FC7">
        <w:rPr>
          <w:rFonts w:ascii="Cambria" w:hAnsi="Cambria" w:cs="Times New Roman"/>
        </w:rPr>
        <w:t xml:space="preserve">, </w:t>
      </w:r>
      <w:r w:rsidRPr="00A63FC7">
        <w:rPr>
          <w:rFonts w:ascii="Cambria" w:hAnsi="Cambria" w:cs="Times New Roman"/>
          <w:i/>
          <w:iCs/>
        </w:rPr>
        <w:t>15</w:t>
      </w:r>
      <w:r w:rsidRPr="00A63FC7">
        <w:rPr>
          <w:rFonts w:ascii="Cambria" w:hAnsi="Cambria" w:cs="Times New Roman"/>
        </w:rPr>
        <w:t xml:space="preserve">(3), 243–250. </w:t>
      </w:r>
      <w:hyperlink r:id="rId168" w:history="1">
        <w:r w:rsidRPr="00A63FC7">
          <w:rPr>
            <w:rStyle w:val="Hyperlink"/>
            <w:rFonts w:ascii="Cambria" w:hAnsi="Cambria" w:cs="Times New Roman"/>
          </w:rPr>
          <w:t>https://doi.org/10.1080/09581590500372188</w:t>
        </w:r>
      </w:hyperlink>
    </w:p>
    <w:p w14:paraId="6355C402"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Rosenthal, R. J., &amp; Faris, S. B. (2019a). The etymology and early history of ‘addiction.’ </w:t>
      </w:r>
      <w:r w:rsidRPr="00A63FC7">
        <w:rPr>
          <w:rFonts w:ascii="Cambria" w:hAnsi="Cambria" w:cs="Times New Roman"/>
          <w:i/>
          <w:iCs/>
        </w:rPr>
        <w:t>Addiction Research &amp; Theory</w:t>
      </w:r>
      <w:r w:rsidRPr="00A63FC7">
        <w:rPr>
          <w:rFonts w:ascii="Cambria" w:hAnsi="Cambria" w:cs="Times New Roman"/>
        </w:rPr>
        <w:t xml:space="preserve">, </w:t>
      </w:r>
      <w:r w:rsidRPr="00A63FC7">
        <w:rPr>
          <w:rFonts w:ascii="Cambria" w:hAnsi="Cambria" w:cs="Times New Roman"/>
          <w:i/>
          <w:iCs/>
        </w:rPr>
        <w:t>27</w:t>
      </w:r>
      <w:r w:rsidRPr="00A63FC7">
        <w:rPr>
          <w:rFonts w:ascii="Cambria" w:hAnsi="Cambria" w:cs="Times New Roman"/>
        </w:rPr>
        <w:t>(5), 437–449.</w:t>
      </w:r>
    </w:p>
    <w:p w14:paraId="6C4D73BE" w14:textId="77777777" w:rsidR="00A63FC7" w:rsidRPr="00A63FC7" w:rsidRDefault="00A63FC7" w:rsidP="007911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Rosenthal, R. J., &amp; Faris, S. B. (2019b). The etymology and early history of ‘addiction.’ </w:t>
      </w:r>
      <w:r w:rsidRPr="00A63FC7">
        <w:rPr>
          <w:rFonts w:ascii="Cambria" w:hAnsi="Cambria" w:cs="Times New Roman"/>
          <w:i/>
          <w:iCs/>
        </w:rPr>
        <w:t>Addiction Research &amp; Theory</w:t>
      </w:r>
      <w:r w:rsidRPr="00A63FC7">
        <w:rPr>
          <w:rFonts w:ascii="Cambria" w:hAnsi="Cambria" w:cs="Times New Roman"/>
        </w:rPr>
        <w:t xml:space="preserve">, </w:t>
      </w:r>
      <w:r w:rsidRPr="00A63FC7">
        <w:rPr>
          <w:rFonts w:ascii="Cambria" w:hAnsi="Cambria" w:cs="Times New Roman"/>
          <w:i/>
          <w:iCs/>
        </w:rPr>
        <w:t>27</w:t>
      </w:r>
      <w:r w:rsidRPr="00A63FC7">
        <w:rPr>
          <w:rFonts w:ascii="Cambria" w:hAnsi="Cambria" w:cs="Times New Roman"/>
        </w:rPr>
        <w:t xml:space="preserve">(5), 437–449. </w:t>
      </w:r>
      <w:hyperlink r:id="rId169" w:history="1">
        <w:r w:rsidRPr="00A63FC7">
          <w:rPr>
            <w:rStyle w:val="Hyperlink"/>
            <w:rFonts w:ascii="Cambria" w:hAnsi="Cambria" w:cs="Times New Roman"/>
          </w:rPr>
          <w:t>https://doi.org/10.1080/16066359.2018.1543412</w:t>
        </w:r>
      </w:hyperlink>
    </w:p>
    <w:p w14:paraId="725E1E5B"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Russo, V. (1988a). </w:t>
      </w:r>
      <w:r w:rsidRPr="00A63FC7">
        <w:rPr>
          <w:rFonts w:ascii="Cambria" w:hAnsi="Cambria" w:cs="Times New Roman"/>
          <w:i/>
          <w:iCs/>
        </w:rPr>
        <w:t>Why We Fight (1988) | Vito Russo</w:t>
      </w:r>
      <w:r w:rsidRPr="00A63FC7">
        <w:rPr>
          <w:rFonts w:ascii="Cambria" w:hAnsi="Cambria" w:cs="Times New Roman"/>
        </w:rPr>
        <w:t xml:space="preserve">. </w:t>
      </w:r>
      <w:hyperlink r:id="rId170" w:history="1">
        <w:r w:rsidRPr="00A63FC7">
          <w:rPr>
            <w:rStyle w:val="Hyperlink"/>
            <w:rFonts w:ascii="Cambria" w:hAnsi="Cambria" w:cs="Times New Roman"/>
          </w:rPr>
          <w:t>https://www.historyisaweapon.com/defcon1/russowhywefight.html</w:t>
        </w:r>
      </w:hyperlink>
    </w:p>
    <w:p w14:paraId="1FBF7D46"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Russo, V. (1988b, October 10). </w:t>
      </w:r>
      <w:r w:rsidRPr="00A63FC7">
        <w:rPr>
          <w:rFonts w:ascii="Cambria" w:hAnsi="Cambria" w:cs="Times New Roman"/>
          <w:i/>
          <w:iCs/>
        </w:rPr>
        <w:t>Why We Fight</w:t>
      </w:r>
      <w:r w:rsidRPr="00A63FC7">
        <w:rPr>
          <w:rFonts w:ascii="Cambria" w:hAnsi="Cambria" w:cs="Times New Roman"/>
        </w:rPr>
        <w:t xml:space="preserve"> [Speech]. </w:t>
      </w:r>
      <w:hyperlink r:id="rId171" w:history="1">
        <w:r w:rsidRPr="00A63FC7">
          <w:rPr>
            <w:rStyle w:val="Hyperlink"/>
            <w:rFonts w:ascii="Cambria" w:hAnsi="Cambria" w:cs="Times New Roman"/>
          </w:rPr>
          <w:t>https://www.georgeaumoithe.com/wp-content/uploads/2017/11/ACT-UP-Aumoithe.pdf</w:t>
        </w:r>
      </w:hyperlink>
    </w:p>
    <w:p w14:paraId="1035B5C8"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Santoro, T. N., &amp; Santoro, J. D. (2018). Racial Bias in the US Opioid Epidemic: A Review of the History of Systemic Bias and Implications for Care. </w:t>
      </w:r>
      <w:proofErr w:type="spellStart"/>
      <w:r w:rsidRPr="00A63FC7">
        <w:rPr>
          <w:rFonts w:ascii="Cambria" w:hAnsi="Cambria" w:cs="Times New Roman"/>
          <w:i/>
          <w:iCs/>
        </w:rPr>
        <w:t>Cureus</w:t>
      </w:r>
      <w:proofErr w:type="spellEnd"/>
      <w:r w:rsidRPr="00A63FC7">
        <w:rPr>
          <w:rFonts w:ascii="Cambria" w:hAnsi="Cambria" w:cs="Times New Roman"/>
        </w:rPr>
        <w:t xml:space="preserve">, </w:t>
      </w:r>
      <w:r w:rsidRPr="00A63FC7">
        <w:rPr>
          <w:rFonts w:ascii="Cambria" w:hAnsi="Cambria" w:cs="Times New Roman"/>
          <w:i/>
          <w:iCs/>
        </w:rPr>
        <w:t>10</w:t>
      </w:r>
      <w:r w:rsidRPr="00A63FC7">
        <w:rPr>
          <w:rFonts w:ascii="Cambria" w:hAnsi="Cambria" w:cs="Times New Roman"/>
        </w:rPr>
        <w:t xml:space="preserve">(12). </w:t>
      </w:r>
      <w:hyperlink r:id="rId172" w:history="1">
        <w:r w:rsidRPr="00A63FC7">
          <w:rPr>
            <w:rStyle w:val="Hyperlink"/>
            <w:rFonts w:ascii="Cambria" w:hAnsi="Cambria" w:cs="Times New Roman"/>
          </w:rPr>
          <w:t>https://doi.org/10.7759/cureus.3733</w:t>
        </w:r>
      </w:hyperlink>
    </w:p>
    <w:p w14:paraId="778B7AD7"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Scheer, R. (1997, August 12). </w:t>
      </w:r>
      <w:r w:rsidRPr="00A63FC7">
        <w:rPr>
          <w:rFonts w:ascii="Cambria" w:hAnsi="Cambria" w:cs="Times New Roman"/>
          <w:i/>
          <w:iCs/>
        </w:rPr>
        <w:t xml:space="preserve">Jesse Helms, the Senator </w:t>
      </w:r>
      <w:proofErr w:type="gramStart"/>
      <w:r w:rsidRPr="00A63FC7">
        <w:rPr>
          <w:rFonts w:ascii="Cambria" w:hAnsi="Cambria" w:cs="Times New Roman"/>
          <w:i/>
          <w:iCs/>
        </w:rPr>
        <w:t>From</w:t>
      </w:r>
      <w:proofErr w:type="gramEnd"/>
      <w:r w:rsidRPr="00A63FC7">
        <w:rPr>
          <w:rFonts w:ascii="Cambria" w:hAnsi="Cambria" w:cs="Times New Roman"/>
          <w:i/>
          <w:iCs/>
        </w:rPr>
        <w:t xml:space="preserve"> Hell</w:t>
      </w:r>
      <w:r w:rsidRPr="00A63FC7">
        <w:rPr>
          <w:rFonts w:ascii="Cambria" w:hAnsi="Cambria" w:cs="Times New Roman"/>
        </w:rPr>
        <w:t xml:space="preserve">. Los Angeles Times. </w:t>
      </w:r>
      <w:hyperlink r:id="rId173" w:history="1">
        <w:r w:rsidRPr="00A63FC7">
          <w:rPr>
            <w:rStyle w:val="Hyperlink"/>
            <w:rFonts w:ascii="Cambria" w:hAnsi="Cambria" w:cs="Times New Roman"/>
          </w:rPr>
          <w:t>https://www.latimes.com/archives/la-xpm-1997-aug-12-me-21784-story.html</w:t>
        </w:r>
      </w:hyperlink>
    </w:p>
    <w:p w14:paraId="3CF48B5B"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Scheper-Hughes, N. (1996). Small wars and invisible genocides. </w:t>
      </w:r>
      <w:r w:rsidRPr="00A63FC7">
        <w:rPr>
          <w:rFonts w:ascii="Cambria" w:hAnsi="Cambria" w:cs="Times New Roman"/>
          <w:i/>
          <w:iCs/>
        </w:rPr>
        <w:t>Social Science &amp; Medicine</w:t>
      </w:r>
      <w:r w:rsidRPr="00A63FC7">
        <w:rPr>
          <w:rFonts w:ascii="Cambria" w:hAnsi="Cambria" w:cs="Times New Roman"/>
        </w:rPr>
        <w:t xml:space="preserve">, </w:t>
      </w:r>
      <w:r w:rsidRPr="00A63FC7">
        <w:rPr>
          <w:rFonts w:ascii="Cambria" w:hAnsi="Cambria" w:cs="Times New Roman"/>
          <w:i/>
          <w:iCs/>
        </w:rPr>
        <w:t>43</w:t>
      </w:r>
      <w:r w:rsidRPr="00A63FC7">
        <w:rPr>
          <w:rFonts w:ascii="Cambria" w:hAnsi="Cambria" w:cs="Times New Roman"/>
        </w:rPr>
        <w:t xml:space="preserve">(5), 889–900. </w:t>
      </w:r>
      <w:hyperlink r:id="rId174" w:history="1">
        <w:r w:rsidRPr="00A63FC7">
          <w:rPr>
            <w:rStyle w:val="Hyperlink"/>
            <w:rFonts w:ascii="Cambria" w:hAnsi="Cambria" w:cs="Times New Roman"/>
          </w:rPr>
          <w:t>https://doi.org/10.1016/0277-9536(96)00152-9</w:t>
        </w:r>
      </w:hyperlink>
    </w:p>
    <w:p w14:paraId="0C9308A4"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Schiavi</w:t>
      </w:r>
      <w:proofErr w:type="spellEnd"/>
      <w:r w:rsidRPr="00A63FC7">
        <w:rPr>
          <w:rFonts w:ascii="Cambria" w:hAnsi="Cambria" w:cs="Times New Roman"/>
        </w:rPr>
        <w:t xml:space="preserve">, M. (2011). </w:t>
      </w:r>
      <w:r w:rsidRPr="00A63FC7">
        <w:rPr>
          <w:rFonts w:ascii="Cambria" w:hAnsi="Cambria" w:cs="Times New Roman"/>
          <w:i/>
          <w:iCs/>
        </w:rPr>
        <w:t>Celluloid Activist: The Life and Times of Vito Russo</w:t>
      </w:r>
      <w:r w:rsidRPr="00A63FC7">
        <w:rPr>
          <w:rFonts w:ascii="Cambria" w:hAnsi="Cambria" w:cs="Times New Roman"/>
        </w:rPr>
        <w:t>. Univ of Wisconsin Press.</w:t>
      </w:r>
    </w:p>
    <w:p w14:paraId="7FBF223D"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Schreiner, B. (2015, April 9). McConnell, drug czar talk heroin in N. Ky. </w:t>
      </w:r>
      <w:r w:rsidRPr="00A63FC7">
        <w:rPr>
          <w:rFonts w:ascii="Cambria" w:hAnsi="Cambria" w:cs="Times New Roman"/>
          <w:i/>
          <w:iCs/>
        </w:rPr>
        <w:t>Courier Journal</w:t>
      </w:r>
      <w:r w:rsidRPr="00A63FC7">
        <w:rPr>
          <w:rFonts w:ascii="Cambria" w:hAnsi="Cambria" w:cs="Times New Roman"/>
        </w:rPr>
        <w:t xml:space="preserve">. </w:t>
      </w:r>
      <w:hyperlink r:id="rId175" w:history="1">
        <w:r w:rsidRPr="00A63FC7">
          <w:rPr>
            <w:rStyle w:val="Hyperlink"/>
            <w:rFonts w:ascii="Cambria" w:hAnsi="Cambria" w:cs="Times New Roman"/>
          </w:rPr>
          <w:t>https://www.courier-journal.com/story/news/local/2015/04/09/mcconnell-botticelli/25544135/</w:t>
        </w:r>
      </w:hyperlink>
    </w:p>
    <w:p w14:paraId="629173DF" w14:textId="77777777" w:rsidR="00A63FC7" w:rsidRPr="00A63FC7" w:rsidRDefault="00A63FC7" w:rsidP="006D10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Schulman, S. (2021a). </w:t>
      </w:r>
      <w:r w:rsidRPr="00A63FC7">
        <w:rPr>
          <w:rFonts w:ascii="Cambria" w:hAnsi="Cambria" w:cs="Times New Roman"/>
          <w:i/>
          <w:iCs/>
        </w:rPr>
        <w:t>Let the record show: A political history of ACT UP New York, 1987-1993</w:t>
      </w:r>
      <w:r w:rsidRPr="00A63FC7">
        <w:rPr>
          <w:rFonts w:ascii="Cambria" w:hAnsi="Cambria" w:cs="Times New Roman"/>
        </w:rPr>
        <w:t>. Farrar, Straus and Giroux.</w:t>
      </w:r>
    </w:p>
    <w:p w14:paraId="011719A4"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Schulman, S. (2021b). </w:t>
      </w:r>
      <w:r w:rsidRPr="00A63FC7">
        <w:rPr>
          <w:rFonts w:ascii="Cambria" w:hAnsi="Cambria" w:cs="Times New Roman"/>
          <w:i/>
          <w:iCs/>
        </w:rPr>
        <w:t>Let the record show: A political history of ACT UP New York, 1987-1993</w:t>
      </w:r>
      <w:r w:rsidRPr="00A63FC7">
        <w:rPr>
          <w:rFonts w:ascii="Cambria" w:hAnsi="Cambria" w:cs="Times New Roman"/>
        </w:rPr>
        <w:t>. Farrar, Straus and Giroux.</w:t>
      </w:r>
    </w:p>
    <w:p w14:paraId="6E3F6412"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Schulte, F. (n.d.). </w:t>
      </w:r>
      <w:r w:rsidRPr="00A63FC7">
        <w:rPr>
          <w:rFonts w:ascii="Cambria" w:hAnsi="Cambria" w:cs="Times New Roman"/>
          <w:i/>
          <w:iCs/>
        </w:rPr>
        <w:t xml:space="preserve">Purdue Pharma’s Sales Pitch Downplayed Risks </w:t>
      </w:r>
      <w:proofErr w:type="gramStart"/>
      <w:r w:rsidRPr="00A63FC7">
        <w:rPr>
          <w:rFonts w:ascii="Cambria" w:hAnsi="Cambria" w:cs="Times New Roman"/>
          <w:i/>
          <w:iCs/>
        </w:rPr>
        <w:t>Of</w:t>
      </w:r>
      <w:proofErr w:type="gramEnd"/>
      <w:r w:rsidRPr="00A63FC7">
        <w:rPr>
          <w:rFonts w:ascii="Cambria" w:hAnsi="Cambria" w:cs="Times New Roman"/>
          <w:i/>
          <w:iCs/>
        </w:rPr>
        <w:t xml:space="preserve"> Opioid Addiction</w:t>
      </w:r>
      <w:r w:rsidRPr="00A63FC7">
        <w:rPr>
          <w:rFonts w:ascii="Cambria" w:hAnsi="Cambria" w:cs="Times New Roman"/>
        </w:rPr>
        <w:t xml:space="preserve">. Retrieved April 8, 2023, from </w:t>
      </w:r>
      <w:hyperlink r:id="rId176" w:history="1">
        <w:r w:rsidRPr="00A63FC7">
          <w:rPr>
            <w:rStyle w:val="Hyperlink"/>
            <w:rFonts w:ascii="Cambria" w:hAnsi="Cambria" w:cs="Times New Roman"/>
          </w:rPr>
          <w:t>https://www.healthleadersmedia.com/clinical-care/purdue-pharmas-sales-pitch-downplayed-risks-opioid-addiction</w:t>
        </w:r>
      </w:hyperlink>
    </w:p>
    <w:p w14:paraId="10EEE8ED"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Schwarz, A., &amp; Smith, M. (2015, March 26). Needle Exchange Is Allowed After H.I.V. Outbreak in an Indiana County. </w:t>
      </w:r>
      <w:r w:rsidRPr="00A63FC7">
        <w:rPr>
          <w:rFonts w:ascii="Cambria" w:hAnsi="Cambria" w:cs="Times New Roman"/>
          <w:i/>
          <w:iCs/>
        </w:rPr>
        <w:t>The New York Times</w:t>
      </w:r>
      <w:r w:rsidRPr="00A63FC7">
        <w:rPr>
          <w:rFonts w:ascii="Cambria" w:hAnsi="Cambria" w:cs="Times New Roman"/>
        </w:rPr>
        <w:t xml:space="preserve">. </w:t>
      </w:r>
      <w:hyperlink r:id="rId177" w:history="1">
        <w:r w:rsidRPr="00A63FC7">
          <w:rPr>
            <w:rStyle w:val="Hyperlink"/>
            <w:rFonts w:ascii="Cambria" w:hAnsi="Cambria" w:cs="Times New Roman"/>
          </w:rPr>
          <w:t>https://www.nytimes.com/2015/03/27/us/indiana-declares-health-emergency-after-hiv-outbreak.html</w:t>
        </w:r>
      </w:hyperlink>
    </w:p>
    <w:p w14:paraId="386A77C8"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Shahani, N. (2016). How to Survive the Whitewashing of AIDS: Global Pasts, Transnational Futures. </w:t>
      </w:r>
      <w:r w:rsidRPr="00A63FC7">
        <w:rPr>
          <w:rFonts w:ascii="Cambria" w:hAnsi="Cambria" w:cs="Times New Roman"/>
          <w:i/>
          <w:iCs/>
        </w:rPr>
        <w:t>QED: A Journal in GLBTQ Worldmaking</w:t>
      </w:r>
      <w:r w:rsidRPr="00A63FC7">
        <w:rPr>
          <w:rFonts w:ascii="Cambria" w:hAnsi="Cambria" w:cs="Times New Roman"/>
        </w:rPr>
        <w:t xml:space="preserve">, </w:t>
      </w:r>
      <w:r w:rsidRPr="00A63FC7">
        <w:rPr>
          <w:rFonts w:ascii="Cambria" w:hAnsi="Cambria" w:cs="Times New Roman"/>
          <w:i/>
          <w:iCs/>
        </w:rPr>
        <w:t>3</w:t>
      </w:r>
      <w:r w:rsidRPr="00A63FC7">
        <w:rPr>
          <w:rFonts w:ascii="Cambria" w:hAnsi="Cambria" w:cs="Times New Roman"/>
        </w:rPr>
        <w:t xml:space="preserve">(1), 1–33. </w:t>
      </w:r>
      <w:hyperlink r:id="rId178" w:history="1">
        <w:r w:rsidRPr="00A63FC7">
          <w:rPr>
            <w:rStyle w:val="Hyperlink"/>
            <w:rFonts w:ascii="Cambria" w:hAnsi="Cambria" w:cs="Times New Roman"/>
          </w:rPr>
          <w:t>https://doi.org/10.14321/qed.3.1.0001</w:t>
        </w:r>
      </w:hyperlink>
    </w:p>
    <w:p w14:paraId="67820986"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Shalhoub</w:t>
      </w:r>
      <w:proofErr w:type="spellEnd"/>
      <w:r w:rsidRPr="00A63FC7">
        <w:rPr>
          <w:rFonts w:ascii="Cambria" w:hAnsi="Cambria" w:cs="Times New Roman"/>
        </w:rPr>
        <w:t xml:space="preserve">-Kevorkian, N. (2017). The Occupation of the Senses: The Prosthetic and Aesthetic of State Terror. </w:t>
      </w:r>
      <w:r w:rsidRPr="00A63FC7">
        <w:rPr>
          <w:rFonts w:ascii="Cambria" w:hAnsi="Cambria" w:cs="Times New Roman"/>
          <w:i/>
          <w:iCs/>
        </w:rPr>
        <w:t>The British Journal of Criminology</w:t>
      </w:r>
      <w:r w:rsidRPr="00A63FC7">
        <w:rPr>
          <w:rFonts w:ascii="Cambria" w:hAnsi="Cambria" w:cs="Times New Roman"/>
        </w:rPr>
        <w:t xml:space="preserve">, </w:t>
      </w:r>
      <w:r w:rsidRPr="00A63FC7">
        <w:rPr>
          <w:rFonts w:ascii="Cambria" w:hAnsi="Cambria" w:cs="Times New Roman"/>
          <w:i/>
          <w:iCs/>
        </w:rPr>
        <w:t>57</w:t>
      </w:r>
      <w:r w:rsidRPr="00A63FC7">
        <w:rPr>
          <w:rFonts w:ascii="Cambria" w:hAnsi="Cambria" w:cs="Times New Roman"/>
        </w:rPr>
        <w:t xml:space="preserve">(6), 1279–1300. </w:t>
      </w:r>
      <w:hyperlink r:id="rId179" w:history="1">
        <w:r w:rsidRPr="00A63FC7">
          <w:rPr>
            <w:rStyle w:val="Hyperlink"/>
            <w:rFonts w:ascii="Cambria" w:hAnsi="Cambria" w:cs="Times New Roman"/>
          </w:rPr>
          <w:t>https://doi.org/10.1093/bjc/azw066</w:t>
        </w:r>
      </w:hyperlink>
    </w:p>
    <w:p w14:paraId="02B439AB"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Shaw, S. J. (2012). </w:t>
      </w:r>
      <w:r w:rsidRPr="00A63FC7">
        <w:rPr>
          <w:rFonts w:ascii="Cambria" w:hAnsi="Cambria" w:cs="Times New Roman"/>
          <w:i/>
          <w:iCs/>
        </w:rPr>
        <w:t>Governing How We Care: Contesting Community and Defining Difference in U.S. Public Health Programs</w:t>
      </w:r>
      <w:r w:rsidRPr="00A63FC7">
        <w:rPr>
          <w:rFonts w:ascii="Cambria" w:hAnsi="Cambria" w:cs="Times New Roman"/>
        </w:rPr>
        <w:t>. Temple University Press.</w:t>
      </w:r>
    </w:p>
    <w:p w14:paraId="5714FC62"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Shihipar</w:t>
      </w:r>
      <w:proofErr w:type="spellEnd"/>
      <w:r w:rsidRPr="00A63FC7">
        <w:rPr>
          <w:rFonts w:ascii="Cambria" w:hAnsi="Cambria" w:cs="Times New Roman"/>
        </w:rPr>
        <w:t xml:space="preserve">, A. (2021, January 11). A Harm Reductionist’s Case for Abolition. </w:t>
      </w:r>
      <w:r w:rsidRPr="00A63FC7">
        <w:rPr>
          <w:rFonts w:ascii="Cambria" w:hAnsi="Cambria" w:cs="Times New Roman"/>
          <w:i/>
          <w:iCs/>
        </w:rPr>
        <w:t>Filter</w:t>
      </w:r>
      <w:r w:rsidRPr="00A63FC7">
        <w:rPr>
          <w:rFonts w:ascii="Cambria" w:hAnsi="Cambria" w:cs="Times New Roman"/>
        </w:rPr>
        <w:t xml:space="preserve">. </w:t>
      </w:r>
      <w:hyperlink r:id="rId180" w:history="1">
        <w:r w:rsidRPr="00A63FC7">
          <w:rPr>
            <w:rStyle w:val="Hyperlink"/>
            <w:rFonts w:ascii="Cambria" w:hAnsi="Cambria" w:cs="Times New Roman"/>
          </w:rPr>
          <w:t>https://filtermag.org/harm-reduction-abolition/</w:t>
        </w:r>
      </w:hyperlink>
    </w:p>
    <w:p w14:paraId="5B231C56" w14:textId="77777777" w:rsidR="00A63FC7" w:rsidRPr="00A63FC7" w:rsidRDefault="00A63FC7" w:rsidP="007C1A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Shore, K. (2021). Targeting Vulnerability with Electronic Location Monitoring: Paternalistic Surveillance and the Distortion of Risk as a Mode of Carceral Expansion. </w:t>
      </w:r>
      <w:r w:rsidRPr="00A63FC7">
        <w:rPr>
          <w:rFonts w:ascii="Cambria" w:hAnsi="Cambria" w:cs="Times New Roman"/>
          <w:i/>
          <w:iCs/>
        </w:rPr>
        <w:t>Critical Criminology</w:t>
      </w:r>
      <w:r w:rsidRPr="00A63FC7">
        <w:rPr>
          <w:rFonts w:ascii="Cambria" w:hAnsi="Cambria" w:cs="Times New Roman"/>
        </w:rPr>
        <w:t xml:space="preserve">, </w:t>
      </w:r>
      <w:r w:rsidRPr="00A63FC7">
        <w:rPr>
          <w:rFonts w:ascii="Cambria" w:hAnsi="Cambria" w:cs="Times New Roman"/>
          <w:i/>
          <w:iCs/>
        </w:rPr>
        <w:t>29</w:t>
      </w:r>
      <w:r w:rsidRPr="00A63FC7">
        <w:rPr>
          <w:rFonts w:ascii="Cambria" w:hAnsi="Cambria" w:cs="Times New Roman"/>
        </w:rPr>
        <w:t xml:space="preserve">(1), 75–92. </w:t>
      </w:r>
      <w:hyperlink r:id="rId181" w:history="1">
        <w:r w:rsidRPr="00A63FC7">
          <w:rPr>
            <w:rStyle w:val="Hyperlink"/>
            <w:rFonts w:ascii="Cambria" w:hAnsi="Cambria" w:cs="Times New Roman"/>
          </w:rPr>
          <w:t>https://doi.org/10.1007/s10612-021-09558-0</w:t>
        </w:r>
      </w:hyperlink>
    </w:p>
    <w:p w14:paraId="6D02ECD3"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Simon, R. (n.d.). Classics in Politics: Antonio Gramsci. In </w:t>
      </w:r>
      <w:r w:rsidRPr="00A63FC7">
        <w:rPr>
          <w:rFonts w:ascii="Cambria" w:hAnsi="Cambria" w:cs="Times New Roman"/>
          <w:i/>
          <w:iCs/>
        </w:rPr>
        <w:t>Postscript: Gramsci and Us Stuart Hall*</w:t>
      </w:r>
      <w:r w:rsidRPr="00A63FC7">
        <w:rPr>
          <w:rFonts w:ascii="Cambria" w:hAnsi="Cambria" w:cs="Times New Roman"/>
        </w:rPr>
        <w:t xml:space="preserve"> (pp. 129–147). </w:t>
      </w:r>
      <w:hyperlink r:id="rId182" w:history="1">
        <w:r w:rsidRPr="00A63FC7">
          <w:rPr>
            <w:rStyle w:val="Hyperlink"/>
            <w:rFonts w:ascii="Cambria" w:hAnsi="Cambria" w:cs="Times New Roman"/>
          </w:rPr>
          <w:t>http://www.ram-wan.net/restrepo/hall/gramsci%20and%20us.pdf</w:t>
        </w:r>
      </w:hyperlink>
    </w:p>
    <w:p w14:paraId="244455D6"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Sisk, T., &amp; </w:t>
      </w:r>
      <w:proofErr w:type="spellStart"/>
      <w:r w:rsidRPr="00A63FC7">
        <w:rPr>
          <w:rFonts w:ascii="Cambria" w:hAnsi="Cambria" w:cs="Times New Roman"/>
        </w:rPr>
        <w:t>Kranitz</w:t>
      </w:r>
      <w:proofErr w:type="spellEnd"/>
      <w:r w:rsidRPr="00A63FC7">
        <w:rPr>
          <w:rFonts w:ascii="Cambria" w:hAnsi="Cambria" w:cs="Times New Roman"/>
        </w:rPr>
        <w:t xml:space="preserve">, S. (n.d.). Remarkable photos show what harm reduction actually looks like. </w:t>
      </w:r>
      <w:r w:rsidRPr="00A63FC7">
        <w:rPr>
          <w:rFonts w:ascii="Cambria" w:hAnsi="Cambria" w:cs="Times New Roman"/>
          <w:i/>
          <w:iCs/>
        </w:rPr>
        <w:t>Mother Jones</w:t>
      </w:r>
      <w:r w:rsidRPr="00A63FC7">
        <w:rPr>
          <w:rFonts w:ascii="Cambria" w:hAnsi="Cambria" w:cs="Times New Roman"/>
        </w:rPr>
        <w:t xml:space="preserve">. Retrieved April 3, 2023, from </w:t>
      </w:r>
      <w:hyperlink r:id="rId183" w:history="1">
        <w:r w:rsidRPr="00A63FC7">
          <w:rPr>
            <w:rStyle w:val="Hyperlink"/>
            <w:rFonts w:ascii="Cambria" w:hAnsi="Cambria" w:cs="Times New Roman"/>
          </w:rPr>
          <w:t>https://www.motherjones.com/politics/2022/11/harm-reduction-opioid-overdose-naloxone-epidemic-biden/</w:t>
        </w:r>
      </w:hyperlink>
    </w:p>
    <w:p w14:paraId="6C9DBDE5"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Slavey. (2021, August 26). </w:t>
      </w:r>
      <w:r w:rsidRPr="00A63FC7">
        <w:rPr>
          <w:rFonts w:ascii="Cambria" w:hAnsi="Cambria" w:cs="Times New Roman"/>
          <w:i/>
          <w:iCs/>
        </w:rPr>
        <w:t>Somerset residents raise concerns about homeless, discarded drug needles | News | somerset-kentucky.com</w:t>
      </w:r>
      <w:r w:rsidRPr="00A63FC7">
        <w:rPr>
          <w:rFonts w:ascii="Cambria" w:hAnsi="Cambria" w:cs="Times New Roman"/>
        </w:rPr>
        <w:t xml:space="preserve">. Commonwealth Journal. </w:t>
      </w:r>
      <w:hyperlink r:id="rId184" w:history="1">
        <w:r w:rsidRPr="00A63FC7">
          <w:rPr>
            <w:rStyle w:val="Hyperlink"/>
            <w:rFonts w:ascii="Cambria" w:hAnsi="Cambria" w:cs="Times New Roman"/>
          </w:rPr>
          <w:t>https://www.somerset-kentucky.com/news/somerset-residents-raise-concerns-about-homeless-discarded-drug-needles/article_7a5c02e8-06ae-11ec-8738-ef36eb731e96.html</w:t>
        </w:r>
      </w:hyperlink>
    </w:p>
    <w:p w14:paraId="7A8ADB25"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Smith, C. B. R. (2012). Harm reduction as anarchist practice: A user’s guide to capitalism and addiction in North America. </w:t>
      </w:r>
      <w:r w:rsidRPr="00A63FC7">
        <w:rPr>
          <w:rFonts w:ascii="Cambria" w:hAnsi="Cambria" w:cs="Times New Roman"/>
          <w:i/>
          <w:iCs/>
        </w:rPr>
        <w:t>Critical Public Health</w:t>
      </w:r>
      <w:r w:rsidRPr="00A63FC7">
        <w:rPr>
          <w:rFonts w:ascii="Cambria" w:hAnsi="Cambria" w:cs="Times New Roman"/>
        </w:rPr>
        <w:t xml:space="preserve">, </w:t>
      </w:r>
      <w:r w:rsidRPr="00A63FC7">
        <w:rPr>
          <w:rFonts w:ascii="Cambria" w:hAnsi="Cambria" w:cs="Times New Roman"/>
          <w:i/>
          <w:iCs/>
        </w:rPr>
        <w:t>22</w:t>
      </w:r>
      <w:r w:rsidRPr="00A63FC7">
        <w:rPr>
          <w:rFonts w:ascii="Cambria" w:hAnsi="Cambria" w:cs="Times New Roman"/>
        </w:rPr>
        <w:t xml:space="preserve">(2), 209–221. </w:t>
      </w:r>
      <w:hyperlink r:id="rId185" w:history="1">
        <w:r w:rsidRPr="00A63FC7">
          <w:rPr>
            <w:rStyle w:val="Hyperlink"/>
            <w:rFonts w:ascii="Cambria" w:hAnsi="Cambria" w:cs="Times New Roman"/>
          </w:rPr>
          <w:t>https://doi.org/10.1080/09581596.2011.611487</w:t>
        </w:r>
      </w:hyperlink>
    </w:p>
    <w:p w14:paraId="3C061C71"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Smith, C. B. R. (2015). </w:t>
      </w:r>
      <w:r w:rsidRPr="00A63FC7">
        <w:rPr>
          <w:rFonts w:ascii="Cambria" w:hAnsi="Cambria" w:cs="Times New Roman"/>
          <w:i/>
          <w:iCs/>
        </w:rPr>
        <w:t>Addiction, Modernity, and the City: A users’ guide to urban space.</w:t>
      </w:r>
      <w:r w:rsidRPr="00A63FC7">
        <w:rPr>
          <w:rFonts w:ascii="Cambria" w:hAnsi="Cambria" w:cs="Times New Roman"/>
        </w:rPr>
        <w:t xml:space="preserve"> ROUTLEDGE.</w:t>
      </w:r>
    </w:p>
    <w:p w14:paraId="517DFA95"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Snorton</w:t>
      </w:r>
      <w:proofErr w:type="spellEnd"/>
      <w:r w:rsidRPr="00A63FC7">
        <w:rPr>
          <w:rFonts w:ascii="Cambria" w:hAnsi="Cambria" w:cs="Times New Roman"/>
        </w:rPr>
        <w:t xml:space="preserve">, C. R. (2020). Afterword. On crisis and abolition. In </w:t>
      </w:r>
      <w:r w:rsidRPr="00A63FC7">
        <w:rPr>
          <w:rFonts w:ascii="Cambria" w:hAnsi="Cambria" w:cs="Times New Roman"/>
          <w:i/>
          <w:iCs/>
        </w:rPr>
        <w:t>AIDS and the Distribution of Crises</w:t>
      </w:r>
      <w:r w:rsidRPr="00A63FC7">
        <w:rPr>
          <w:rFonts w:ascii="Cambria" w:hAnsi="Cambria" w:cs="Times New Roman"/>
        </w:rPr>
        <w:t xml:space="preserve"> (pp. 313–318). Duke University Press.</w:t>
      </w:r>
    </w:p>
    <w:p w14:paraId="690316AB"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Sontag, S. (1997). AIDS and its metaphors. </w:t>
      </w:r>
      <w:r w:rsidRPr="00A63FC7">
        <w:rPr>
          <w:rFonts w:ascii="Cambria" w:hAnsi="Cambria" w:cs="Times New Roman"/>
          <w:i/>
          <w:iCs/>
        </w:rPr>
        <w:t>The Disability Studies Reader</w:t>
      </w:r>
      <w:r w:rsidRPr="00A63FC7">
        <w:rPr>
          <w:rFonts w:ascii="Cambria" w:hAnsi="Cambria" w:cs="Times New Roman"/>
        </w:rPr>
        <w:t>, 232–240.</w:t>
      </w:r>
    </w:p>
    <w:p w14:paraId="36899795" w14:textId="77777777" w:rsidR="00A63FC7" w:rsidRPr="00A63FC7" w:rsidRDefault="00A63FC7" w:rsidP="003D19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Souleymanov</w:t>
      </w:r>
      <w:proofErr w:type="spellEnd"/>
      <w:r w:rsidRPr="00A63FC7">
        <w:rPr>
          <w:rFonts w:ascii="Cambria" w:hAnsi="Cambria" w:cs="Times New Roman"/>
        </w:rPr>
        <w:t xml:space="preserve">, R., &amp; Allman, D. (2016). Articulating Connections between the Harm-Reduction Paradigm and the </w:t>
      </w:r>
      <w:proofErr w:type="spellStart"/>
      <w:r w:rsidRPr="00A63FC7">
        <w:rPr>
          <w:rFonts w:ascii="Cambria" w:hAnsi="Cambria" w:cs="Times New Roman"/>
        </w:rPr>
        <w:t>Marginalisation</w:t>
      </w:r>
      <w:proofErr w:type="spellEnd"/>
      <w:r w:rsidRPr="00A63FC7">
        <w:rPr>
          <w:rFonts w:ascii="Cambria" w:hAnsi="Cambria" w:cs="Times New Roman"/>
        </w:rPr>
        <w:t xml:space="preserve"> of People Who Use Illicit Drugs. </w:t>
      </w:r>
      <w:r w:rsidRPr="00A63FC7">
        <w:rPr>
          <w:rFonts w:ascii="Cambria" w:hAnsi="Cambria" w:cs="Times New Roman"/>
          <w:i/>
          <w:iCs/>
        </w:rPr>
        <w:t>British Journal of Social Work</w:t>
      </w:r>
      <w:r w:rsidRPr="00A63FC7">
        <w:rPr>
          <w:rFonts w:ascii="Cambria" w:hAnsi="Cambria" w:cs="Times New Roman"/>
        </w:rPr>
        <w:t xml:space="preserve">, </w:t>
      </w:r>
      <w:r w:rsidRPr="00A63FC7">
        <w:rPr>
          <w:rFonts w:ascii="Cambria" w:hAnsi="Cambria" w:cs="Times New Roman"/>
          <w:i/>
          <w:iCs/>
        </w:rPr>
        <w:t>46</w:t>
      </w:r>
      <w:r w:rsidRPr="00A63FC7">
        <w:rPr>
          <w:rFonts w:ascii="Cambria" w:hAnsi="Cambria" w:cs="Times New Roman"/>
        </w:rPr>
        <w:t xml:space="preserve">(5), 1429–1445. </w:t>
      </w:r>
      <w:hyperlink r:id="rId186" w:history="1">
        <w:r w:rsidRPr="00A63FC7">
          <w:rPr>
            <w:rStyle w:val="Hyperlink"/>
            <w:rFonts w:ascii="Cambria" w:hAnsi="Cambria" w:cs="Times New Roman"/>
          </w:rPr>
          <w:t>https://doi.org/10.1093/bjsw/bcv067</w:t>
        </w:r>
      </w:hyperlink>
    </w:p>
    <w:p w14:paraId="5788F376"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Spade, D. (2020). </w:t>
      </w:r>
      <w:r w:rsidRPr="00A63FC7">
        <w:rPr>
          <w:rFonts w:ascii="Cambria" w:hAnsi="Cambria" w:cs="Times New Roman"/>
          <w:i/>
          <w:iCs/>
        </w:rPr>
        <w:t>Mutual aid: Building solidarity during this crisis (and the next)</w:t>
      </w:r>
      <w:r w:rsidRPr="00A63FC7">
        <w:rPr>
          <w:rFonts w:ascii="Cambria" w:hAnsi="Cambria" w:cs="Times New Roman"/>
        </w:rPr>
        <w:t>. Verso.</w:t>
      </w:r>
    </w:p>
    <w:p w14:paraId="3BF0E8E2"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SPIEGEL, A. M. (2019). THE JEREMIAH METZGER LECTURE: A BRIEF HISTORY OF EUGENICS IN AMERICA: IMPLICATIONS FOR MEDICINE IN THE 21ST CENTURY. </w:t>
      </w:r>
      <w:r w:rsidRPr="00A63FC7">
        <w:rPr>
          <w:rFonts w:ascii="Cambria" w:hAnsi="Cambria" w:cs="Times New Roman"/>
          <w:i/>
          <w:iCs/>
        </w:rPr>
        <w:t>Transactions of the American Clinical and Climatological Association</w:t>
      </w:r>
      <w:r w:rsidRPr="00A63FC7">
        <w:rPr>
          <w:rFonts w:ascii="Cambria" w:hAnsi="Cambria" w:cs="Times New Roman"/>
        </w:rPr>
        <w:t xml:space="preserve">, </w:t>
      </w:r>
      <w:r w:rsidRPr="00A63FC7">
        <w:rPr>
          <w:rFonts w:ascii="Cambria" w:hAnsi="Cambria" w:cs="Times New Roman"/>
          <w:i/>
          <w:iCs/>
        </w:rPr>
        <w:t>130</w:t>
      </w:r>
      <w:r w:rsidRPr="00A63FC7">
        <w:rPr>
          <w:rFonts w:ascii="Cambria" w:hAnsi="Cambria" w:cs="Times New Roman"/>
        </w:rPr>
        <w:t>, 216–234.</w:t>
      </w:r>
    </w:p>
    <w:p w14:paraId="2422F8F9"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Spielman, D. (2018). Marxism, Cultural Studies, and the “Principle </w:t>
      </w:r>
      <w:proofErr w:type="gramStart"/>
      <w:r w:rsidRPr="00A63FC7">
        <w:rPr>
          <w:rFonts w:ascii="Cambria" w:hAnsi="Cambria" w:cs="Times New Roman"/>
        </w:rPr>
        <w:t>Of</w:t>
      </w:r>
      <w:proofErr w:type="gramEnd"/>
      <w:r w:rsidRPr="00A63FC7">
        <w:rPr>
          <w:rFonts w:ascii="Cambria" w:hAnsi="Cambria" w:cs="Times New Roman"/>
        </w:rPr>
        <w:t xml:space="preserve"> Historical Specification”: On The Form of Historical Time in Conjunctural Analysis. </w:t>
      </w:r>
      <w:r w:rsidRPr="00A63FC7">
        <w:rPr>
          <w:rFonts w:ascii="Cambria" w:hAnsi="Cambria" w:cs="Times New Roman"/>
          <w:i/>
          <w:iCs/>
        </w:rPr>
        <w:t>Lateral</w:t>
      </w:r>
      <w:r w:rsidRPr="00A63FC7">
        <w:rPr>
          <w:rFonts w:ascii="Cambria" w:hAnsi="Cambria" w:cs="Times New Roman"/>
        </w:rPr>
        <w:t xml:space="preserve">, </w:t>
      </w:r>
      <w:r w:rsidRPr="00A63FC7">
        <w:rPr>
          <w:rFonts w:ascii="Cambria" w:hAnsi="Cambria" w:cs="Times New Roman"/>
          <w:i/>
          <w:iCs/>
        </w:rPr>
        <w:t>7</w:t>
      </w:r>
      <w:r w:rsidRPr="00A63FC7">
        <w:rPr>
          <w:rFonts w:ascii="Cambria" w:hAnsi="Cambria" w:cs="Times New Roman"/>
        </w:rPr>
        <w:t xml:space="preserve">(1). </w:t>
      </w:r>
      <w:hyperlink r:id="rId187" w:history="1">
        <w:r w:rsidRPr="00A63FC7">
          <w:rPr>
            <w:rStyle w:val="Hyperlink"/>
            <w:rFonts w:ascii="Cambria" w:hAnsi="Cambria" w:cs="Times New Roman"/>
          </w:rPr>
          <w:t>https://doi.org/10.25158/L7.1.5</w:t>
        </w:r>
      </w:hyperlink>
    </w:p>
    <w:p w14:paraId="6CB63E3F"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Stern, G. (n.d.). </w:t>
      </w:r>
      <w:r w:rsidRPr="00A63FC7">
        <w:rPr>
          <w:rFonts w:ascii="Cambria" w:hAnsi="Cambria" w:cs="Times New Roman"/>
          <w:i/>
          <w:iCs/>
        </w:rPr>
        <w:t>States eye harsher fentanyl penalties | wbir.com</w:t>
      </w:r>
      <w:r w:rsidRPr="00A63FC7">
        <w:rPr>
          <w:rFonts w:ascii="Cambria" w:hAnsi="Cambria" w:cs="Times New Roman"/>
        </w:rPr>
        <w:t xml:space="preserve">. Retrieved April 28, 2023, from </w:t>
      </w:r>
      <w:hyperlink r:id="rId188" w:history="1">
        <w:r w:rsidRPr="00A63FC7">
          <w:rPr>
            <w:rStyle w:val="Hyperlink"/>
            <w:rFonts w:ascii="Cambria" w:hAnsi="Cambria" w:cs="Times New Roman"/>
          </w:rPr>
          <w:t>https://www.wbir.com/article/news/nation-world/harsher-fentanyl-penalties-states/507-000badc0-d604-48ac-adc4-798e3e054bd3</w:t>
        </w:r>
      </w:hyperlink>
    </w:p>
    <w:p w14:paraId="267EF644"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Stimpunks</w:t>
      </w:r>
      <w:proofErr w:type="spellEnd"/>
      <w:r w:rsidRPr="00A63FC7">
        <w:rPr>
          <w:rFonts w:ascii="Cambria" w:hAnsi="Cambria" w:cs="Times New Roman"/>
        </w:rPr>
        <w:t xml:space="preserve">. (2023a, February 8). </w:t>
      </w:r>
      <w:r w:rsidRPr="00A63FC7">
        <w:rPr>
          <w:rFonts w:ascii="Cambria" w:hAnsi="Cambria" w:cs="Times New Roman"/>
          <w:i/>
          <w:iCs/>
        </w:rPr>
        <w:t>Harm Reduction</w:t>
      </w:r>
      <w:r w:rsidRPr="00A63FC7">
        <w:rPr>
          <w:rFonts w:ascii="Cambria" w:hAnsi="Cambria" w:cs="Times New Roman"/>
        </w:rPr>
        <w:t xml:space="preserve">. </w:t>
      </w:r>
      <w:proofErr w:type="spellStart"/>
      <w:r w:rsidRPr="00A63FC7">
        <w:rPr>
          <w:rFonts w:ascii="Cambria" w:hAnsi="Cambria" w:cs="Times New Roman"/>
        </w:rPr>
        <w:t>Stimpunks</w:t>
      </w:r>
      <w:proofErr w:type="spellEnd"/>
      <w:r w:rsidRPr="00A63FC7">
        <w:rPr>
          <w:rFonts w:ascii="Cambria" w:hAnsi="Cambria" w:cs="Times New Roman"/>
        </w:rPr>
        <w:t xml:space="preserve"> Foundation. </w:t>
      </w:r>
      <w:hyperlink r:id="rId189" w:history="1">
        <w:r w:rsidRPr="00A63FC7">
          <w:rPr>
            <w:rStyle w:val="Hyperlink"/>
            <w:rFonts w:ascii="Cambria" w:hAnsi="Cambria" w:cs="Times New Roman"/>
          </w:rPr>
          <w:t>https://stimpunks.org/glossary/harm-reduction/</w:t>
        </w:r>
      </w:hyperlink>
    </w:p>
    <w:p w14:paraId="6FBA6073"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Stimpunks</w:t>
      </w:r>
      <w:proofErr w:type="spellEnd"/>
      <w:r w:rsidRPr="00A63FC7">
        <w:rPr>
          <w:rFonts w:ascii="Cambria" w:hAnsi="Cambria" w:cs="Times New Roman"/>
        </w:rPr>
        <w:t xml:space="preserve">. (2023b, February 8). </w:t>
      </w:r>
      <w:r w:rsidRPr="00A63FC7">
        <w:rPr>
          <w:rFonts w:ascii="Cambria" w:hAnsi="Cambria" w:cs="Times New Roman"/>
          <w:i/>
          <w:iCs/>
        </w:rPr>
        <w:t>Harm Reduction</w:t>
      </w:r>
      <w:r w:rsidRPr="00A63FC7">
        <w:rPr>
          <w:rFonts w:ascii="Cambria" w:hAnsi="Cambria" w:cs="Times New Roman"/>
        </w:rPr>
        <w:t xml:space="preserve">. </w:t>
      </w:r>
      <w:proofErr w:type="spellStart"/>
      <w:r w:rsidRPr="00A63FC7">
        <w:rPr>
          <w:rFonts w:ascii="Cambria" w:hAnsi="Cambria" w:cs="Times New Roman"/>
        </w:rPr>
        <w:t>Stimpunks</w:t>
      </w:r>
      <w:proofErr w:type="spellEnd"/>
      <w:r w:rsidRPr="00A63FC7">
        <w:rPr>
          <w:rFonts w:ascii="Cambria" w:hAnsi="Cambria" w:cs="Times New Roman"/>
        </w:rPr>
        <w:t xml:space="preserve"> Foundation. </w:t>
      </w:r>
      <w:hyperlink r:id="rId190" w:history="1">
        <w:r w:rsidRPr="00A63FC7">
          <w:rPr>
            <w:rStyle w:val="Hyperlink"/>
            <w:rFonts w:ascii="Cambria" w:hAnsi="Cambria" w:cs="Times New Roman"/>
          </w:rPr>
          <w:t>https://stimpunks.org/glossary/harm-reduction/</w:t>
        </w:r>
      </w:hyperlink>
    </w:p>
    <w:p w14:paraId="5C12FC22"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Stoller, N. E. (1998). </w:t>
      </w:r>
      <w:r w:rsidRPr="00A63FC7">
        <w:rPr>
          <w:rFonts w:ascii="Cambria" w:hAnsi="Cambria" w:cs="Times New Roman"/>
          <w:i/>
          <w:iCs/>
        </w:rPr>
        <w:t>Lessons from the damned: Queers, whores, and junkies respond to AIDS</w:t>
      </w:r>
      <w:r w:rsidRPr="00A63FC7">
        <w:rPr>
          <w:rFonts w:ascii="Cambria" w:hAnsi="Cambria" w:cs="Times New Roman"/>
        </w:rPr>
        <w:t>. Routledge.</w:t>
      </w:r>
    </w:p>
    <w:p w14:paraId="5F5F94F8"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Strike, C., &amp; Watson, T. M. (2018). Relationships, training, and formal agreements between needle and syringe programs and police. </w:t>
      </w:r>
      <w:r w:rsidRPr="00A63FC7">
        <w:rPr>
          <w:rFonts w:ascii="Cambria" w:hAnsi="Cambria" w:cs="Times New Roman"/>
          <w:i/>
          <w:iCs/>
        </w:rPr>
        <w:t>Health Promotion Practice</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(5), 741–746.</w:t>
      </w:r>
    </w:p>
    <w:p w14:paraId="70E2C828"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Stubblefield, A. (2007). “Beyond the pale”: Tainted whiteness, cognitive disability, and eugenic sterilization. </w:t>
      </w:r>
      <w:r w:rsidRPr="00A63FC7">
        <w:rPr>
          <w:rFonts w:ascii="Cambria" w:hAnsi="Cambria" w:cs="Times New Roman"/>
          <w:i/>
          <w:iCs/>
        </w:rPr>
        <w:t>Hypatia</w:t>
      </w:r>
      <w:r w:rsidRPr="00A63FC7">
        <w:rPr>
          <w:rFonts w:ascii="Cambria" w:hAnsi="Cambria" w:cs="Times New Roman"/>
        </w:rPr>
        <w:t xml:space="preserve">, </w:t>
      </w:r>
      <w:r w:rsidRPr="00A63FC7">
        <w:rPr>
          <w:rFonts w:ascii="Cambria" w:hAnsi="Cambria" w:cs="Times New Roman"/>
          <w:i/>
          <w:iCs/>
        </w:rPr>
        <w:t>22</w:t>
      </w:r>
      <w:r w:rsidRPr="00A63FC7">
        <w:rPr>
          <w:rFonts w:ascii="Cambria" w:hAnsi="Cambria" w:cs="Times New Roman"/>
        </w:rPr>
        <w:t>(2), 162–181.</w:t>
      </w:r>
    </w:p>
    <w:p w14:paraId="47258D1C" w14:textId="77777777" w:rsidR="00A63FC7" w:rsidRPr="00A63FC7" w:rsidRDefault="00A63FC7" w:rsidP="002507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Sumner, S. (2015, May 31). </w:t>
      </w:r>
      <w:r w:rsidRPr="00A63FC7">
        <w:rPr>
          <w:rFonts w:ascii="Cambria" w:hAnsi="Cambria" w:cs="Times New Roman"/>
          <w:i/>
          <w:iCs/>
        </w:rPr>
        <w:t>“Forcing” the GOP to accept needles</w:t>
      </w:r>
      <w:r w:rsidRPr="00A63FC7">
        <w:rPr>
          <w:rFonts w:ascii="Cambria" w:hAnsi="Cambria" w:cs="Times New Roman"/>
        </w:rPr>
        <w:t xml:space="preserve">. </w:t>
      </w:r>
      <w:proofErr w:type="spellStart"/>
      <w:r w:rsidRPr="00A63FC7">
        <w:rPr>
          <w:rFonts w:ascii="Cambria" w:hAnsi="Cambria" w:cs="Times New Roman"/>
        </w:rPr>
        <w:t>Econlib</w:t>
      </w:r>
      <w:proofErr w:type="spellEnd"/>
      <w:r w:rsidRPr="00A63FC7">
        <w:rPr>
          <w:rFonts w:ascii="Cambria" w:hAnsi="Cambria" w:cs="Times New Roman"/>
        </w:rPr>
        <w:t xml:space="preserve">. </w:t>
      </w:r>
      <w:hyperlink r:id="rId191" w:history="1">
        <w:r w:rsidRPr="00A63FC7">
          <w:rPr>
            <w:rStyle w:val="Hyperlink"/>
            <w:rFonts w:ascii="Cambria" w:hAnsi="Cambria" w:cs="Times New Roman"/>
          </w:rPr>
          <w:t>https://www.econlib.org/archives/2015/05/forcing_the_gop.html</w:t>
        </w:r>
      </w:hyperlink>
    </w:p>
    <w:p w14:paraId="06A33847"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lastRenderedPageBreak/>
        <w:t>Szott</w:t>
      </w:r>
      <w:proofErr w:type="spellEnd"/>
      <w:r w:rsidRPr="00A63FC7">
        <w:rPr>
          <w:rFonts w:ascii="Cambria" w:hAnsi="Cambria" w:cs="Times New Roman"/>
        </w:rPr>
        <w:t xml:space="preserve">, K. (2015a). Contingencies of the will: Uses of harm reduction and the disease model of addiction among health care practitioners. </w:t>
      </w:r>
      <w:r w:rsidRPr="00A63FC7">
        <w:rPr>
          <w:rFonts w:ascii="Cambria" w:hAnsi="Cambria" w:cs="Times New Roman"/>
          <w:i/>
          <w:iCs/>
        </w:rPr>
        <w:t>Health: An Interdisciplinary Journal for the Social Study of Health, Illness and Medicine</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 xml:space="preserve">(5), 507–522. </w:t>
      </w:r>
      <w:hyperlink r:id="rId192" w:history="1">
        <w:r w:rsidRPr="00A63FC7">
          <w:rPr>
            <w:rStyle w:val="Hyperlink"/>
            <w:rFonts w:ascii="Cambria" w:hAnsi="Cambria" w:cs="Times New Roman"/>
          </w:rPr>
          <w:t>https://doi.org/10.1177/1363459314556904</w:t>
        </w:r>
      </w:hyperlink>
    </w:p>
    <w:p w14:paraId="3EB2ABBF"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Szott</w:t>
      </w:r>
      <w:proofErr w:type="spellEnd"/>
      <w:r w:rsidRPr="00A63FC7">
        <w:rPr>
          <w:rFonts w:ascii="Cambria" w:hAnsi="Cambria" w:cs="Times New Roman"/>
        </w:rPr>
        <w:t xml:space="preserve">, K. (2015b). Contingencies of the will: Uses of harm reduction and the disease model of addiction among health care practitioners. </w:t>
      </w:r>
      <w:r w:rsidRPr="00A63FC7">
        <w:rPr>
          <w:rFonts w:ascii="Cambria" w:hAnsi="Cambria" w:cs="Times New Roman"/>
          <w:i/>
          <w:iCs/>
        </w:rPr>
        <w:t>Health (London, England : 1997)</w:t>
      </w:r>
      <w:r w:rsidRPr="00A63FC7">
        <w:rPr>
          <w:rFonts w:ascii="Cambria" w:hAnsi="Cambria" w:cs="Times New Roman"/>
        </w:rPr>
        <w:t xml:space="preserve">, </w:t>
      </w:r>
      <w:r w:rsidRPr="00A63FC7">
        <w:rPr>
          <w:rFonts w:ascii="Cambria" w:hAnsi="Cambria" w:cs="Times New Roman"/>
          <w:i/>
          <w:iCs/>
        </w:rPr>
        <w:t>19</w:t>
      </w:r>
      <w:r w:rsidRPr="00A63FC7">
        <w:rPr>
          <w:rFonts w:ascii="Cambria" w:hAnsi="Cambria" w:cs="Times New Roman"/>
        </w:rPr>
        <w:t xml:space="preserve">(5), 507–522. </w:t>
      </w:r>
      <w:hyperlink r:id="rId193" w:history="1">
        <w:r w:rsidRPr="00A63FC7">
          <w:rPr>
            <w:rStyle w:val="Hyperlink"/>
            <w:rFonts w:ascii="Cambria" w:hAnsi="Cambria" w:cs="Times New Roman"/>
          </w:rPr>
          <w:t>https://doi.org/10.1177/1363459314556904</w:t>
        </w:r>
      </w:hyperlink>
    </w:p>
    <w:p w14:paraId="6773A1D1"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Tabor, M. C. (1970). </w:t>
      </w:r>
      <w:r w:rsidRPr="00A63FC7">
        <w:rPr>
          <w:rFonts w:ascii="Cambria" w:hAnsi="Cambria" w:cs="Times New Roman"/>
          <w:i/>
          <w:iCs/>
        </w:rPr>
        <w:t>Capitalism Plus Dope Equals Genocide</w:t>
      </w:r>
      <w:r w:rsidRPr="00A63FC7">
        <w:rPr>
          <w:rFonts w:ascii="Cambria" w:hAnsi="Cambria" w:cs="Times New Roman"/>
        </w:rPr>
        <w:t xml:space="preserve">. </w:t>
      </w:r>
      <w:hyperlink r:id="rId194" w:history="1">
        <w:r w:rsidRPr="00A63FC7">
          <w:rPr>
            <w:rStyle w:val="Hyperlink"/>
            <w:rFonts w:ascii="Cambria" w:hAnsi="Cambria" w:cs="Times New Roman"/>
          </w:rPr>
          <w:t>https://www.marxists.org/history/usa/workers/black-panthers/1970/dope.htm</w:t>
        </w:r>
      </w:hyperlink>
    </w:p>
    <w:p w14:paraId="5A13AA30"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Senate Bill, 334, 2021 (RS), §16—63—3 (2021).</w:t>
      </w:r>
    </w:p>
    <w:p w14:paraId="3F74D66B"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Tempalski</w:t>
      </w:r>
      <w:proofErr w:type="spellEnd"/>
      <w:r w:rsidRPr="00A63FC7">
        <w:rPr>
          <w:rFonts w:ascii="Cambria" w:hAnsi="Cambria" w:cs="Times New Roman"/>
        </w:rPr>
        <w:t xml:space="preserve">, B., </w:t>
      </w:r>
      <w:proofErr w:type="spellStart"/>
      <w:r w:rsidRPr="00A63FC7">
        <w:rPr>
          <w:rFonts w:ascii="Cambria" w:hAnsi="Cambria" w:cs="Times New Roman"/>
        </w:rPr>
        <w:t>Flom</w:t>
      </w:r>
      <w:proofErr w:type="spellEnd"/>
      <w:r w:rsidRPr="00A63FC7">
        <w:rPr>
          <w:rFonts w:ascii="Cambria" w:hAnsi="Cambria" w:cs="Times New Roman"/>
        </w:rPr>
        <w:t xml:space="preserve">, P. L., Friedman, S. R., Des </w:t>
      </w:r>
      <w:proofErr w:type="spellStart"/>
      <w:r w:rsidRPr="00A63FC7">
        <w:rPr>
          <w:rFonts w:ascii="Cambria" w:hAnsi="Cambria" w:cs="Times New Roman"/>
        </w:rPr>
        <w:t>Jarlais</w:t>
      </w:r>
      <w:proofErr w:type="spellEnd"/>
      <w:r w:rsidRPr="00A63FC7">
        <w:rPr>
          <w:rFonts w:ascii="Cambria" w:hAnsi="Cambria" w:cs="Times New Roman"/>
        </w:rPr>
        <w:t xml:space="preserve">, D. C., Friedman, J. J., McKnight, C., &amp; Friedman, R. (2007). Social and Political Factors Predicting the Presence of Syringe Exchange Programs in 96 US Metropolitan Areas. </w:t>
      </w:r>
      <w:r w:rsidRPr="00A63FC7">
        <w:rPr>
          <w:rFonts w:ascii="Cambria" w:hAnsi="Cambria" w:cs="Times New Roman"/>
          <w:i/>
          <w:iCs/>
        </w:rPr>
        <w:t>American Journal of Public Health</w:t>
      </w:r>
      <w:r w:rsidRPr="00A63FC7">
        <w:rPr>
          <w:rFonts w:ascii="Cambria" w:hAnsi="Cambria" w:cs="Times New Roman"/>
        </w:rPr>
        <w:t xml:space="preserve">, </w:t>
      </w:r>
      <w:r w:rsidRPr="00A63FC7">
        <w:rPr>
          <w:rFonts w:ascii="Cambria" w:hAnsi="Cambria" w:cs="Times New Roman"/>
          <w:i/>
          <w:iCs/>
        </w:rPr>
        <w:t>97</w:t>
      </w:r>
      <w:r w:rsidRPr="00A63FC7">
        <w:rPr>
          <w:rFonts w:ascii="Cambria" w:hAnsi="Cambria" w:cs="Times New Roman"/>
        </w:rPr>
        <w:t xml:space="preserve">(3), 437–447. </w:t>
      </w:r>
      <w:hyperlink r:id="rId195" w:history="1">
        <w:r w:rsidRPr="00A63FC7">
          <w:rPr>
            <w:rStyle w:val="Hyperlink"/>
            <w:rFonts w:ascii="Cambria" w:hAnsi="Cambria" w:cs="Times New Roman"/>
          </w:rPr>
          <w:t>https://doi.org/10.2105/AJPH.2005.065961</w:t>
        </w:r>
      </w:hyperlink>
    </w:p>
    <w:p w14:paraId="00529EB1" w14:textId="77777777" w:rsid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Style w:val="Hyperlink"/>
          <w:rFonts w:ascii="Cambria" w:hAnsi="Cambria" w:cs="Times New Roman"/>
        </w:rPr>
      </w:pPr>
      <w:r w:rsidRPr="00A63FC7">
        <w:rPr>
          <w:rFonts w:ascii="Cambria" w:hAnsi="Cambria" w:cs="Times New Roman"/>
        </w:rPr>
        <w:t xml:space="preserve">Tennessee Code § 68-1-136. (2019). </w:t>
      </w:r>
      <w:r w:rsidRPr="00A63FC7">
        <w:rPr>
          <w:rFonts w:ascii="Cambria" w:hAnsi="Cambria" w:cs="Times New Roman"/>
          <w:i/>
          <w:iCs/>
        </w:rPr>
        <w:t xml:space="preserve">Tennessee Code § 68-1-136 (2019)—Needle and hypodermic syringe exchange program. : 2019 Tennessee Code: US Codes and Statutes: US Law: </w:t>
      </w:r>
      <w:proofErr w:type="spellStart"/>
      <w:r w:rsidRPr="00A63FC7">
        <w:rPr>
          <w:rFonts w:ascii="Cambria" w:hAnsi="Cambria" w:cs="Times New Roman"/>
          <w:i/>
          <w:iCs/>
        </w:rPr>
        <w:t>Justia</w:t>
      </w:r>
      <w:proofErr w:type="spellEnd"/>
      <w:r w:rsidRPr="00A63FC7">
        <w:rPr>
          <w:rFonts w:ascii="Cambria" w:hAnsi="Cambria" w:cs="Times New Roman"/>
        </w:rPr>
        <w:t xml:space="preserve">. </w:t>
      </w:r>
      <w:hyperlink r:id="rId196" w:history="1">
        <w:r w:rsidRPr="00A63FC7">
          <w:rPr>
            <w:rStyle w:val="Hyperlink"/>
            <w:rFonts w:ascii="Cambria" w:hAnsi="Cambria" w:cs="Times New Roman"/>
          </w:rPr>
          <w:t>https://law.justia.com/codes/tennessee/2019/title-68/health/chapter-1/part-1/section-68-1-136/</w:t>
        </w:r>
      </w:hyperlink>
    </w:p>
    <w:p w14:paraId="27603357" w14:textId="1871FBB2" w:rsidR="003E0256" w:rsidRPr="00A63FC7" w:rsidRDefault="003E0256"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3E0256">
        <w:rPr>
          <w:rFonts w:ascii="Cambria" w:hAnsi="Cambria" w:cs="Times New Roman"/>
        </w:rPr>
        <w:t xml:space="preserve">Tiger, R. (2017). Race, class, and the framing of drug epidemics. </w:t>
      </w:r>
      <w:r w:rsidRPr="003E0256">
        <w:rPr>
          <w:rFonts w:ascii="Cambria" w:hAnsi="Cambria" w:cs="Times New Roman"/>
          <w:i/>
          <w:iCs/>
        </w:rPr>
        <w:t>Contexts</w:t>
      </w:r>
      <w:r w:rsidRPr="003E0256">
        <w:rPr>
          <w:rFonts w:ascii="Cambria" w:hAnsi="Cambria" w:cs="Times New Roman"/>
        </w:rPr>
        <w:t xml:space="preserve">, </w:t>
      </w:r>
      <w:r w:rsidRPr="003E0256">
        <w:rPr>
          <w:rFonts w:ascii="Cambria" w:hAnsi="Cambria" w:cs="Times New Roman"/>
          <w:i/>
          <w:iCs/>
        </w:rPr>
        <w:t>16</w:t>
      </w:r>
      <w:r w:rsidRPr="003E0256">
        <w:rPr>
          <w:rFonts w:ascii="Cambria" w:hAnsi="Cambria" w:cs="Times New Roman"/>
        </w:rPr>
        <w:t>(4), 46–51</w:t>
      </w:r>
    </w:p>
    <w:p w14:paraId="7C9E9B47" w14:textId="77777777" w:rsidR="00A63FC7" w:rsidRPr="00A63FC7" w:rsidRDefault="00A63FC7" w:rsidP="00C0739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The Center for HIV Law and Policy. (2018). </w:t>
      </w:r>
      <w:r w:rsidRPr="00A63FC7">
        <w:rPr>
          <w:rFonts w:ascii="Cambria" w:hAnsi="Cambria" w:cs="Times New Roman"/>
          <w:i/>
          <w:iCs/>
        </w:rPr>
        <w:t>HIV Criminalization in the United States: Kentucky</w:t>
      </w:r>
      <w:r w:rsidRPr="00A63FC7">
        <w:rPr>
          <w:rFonts w:ascii="Cambria" w:hAnsi="Cambria" w:cs="Times New Roman"/>
        </w:rPr>
        <w:t xml:space="preserve">. </w:t>
      </w:r>
      <w:hyperlink r:id="rId197" w:history="1">
        <w:r w:rsidRPr="00A63FC7">
          <w:rPr>
            <w:rStyle w:val="Hyperlink"/>
            <w:rFonts w:ascii="Cambria" w:hAnsi="Cambria" w:cs="Times New Roman"/>
          </w:rPr>
          <w:t>https://www.hivlawandpolicy.org/sites/default/files/Kentucky%20-%20Excerpt%20from%20CHLP%27s%20Sourcebook%20on%20HIV%20Criminalization%20in%20the%20U.S._0.pdf</w:t>
        </w:r>
      </w:hyperlink>
    </w:p>
    <w:p w14:paraId="6BB7EEB9" w14:textId="77777777" w:rsidR="00A63FC7" w:rsidRPr="00A63FC7" w:rsidRDefault="00A63FC7" w:rsidP="00872B0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The Enterprise. (2020, April 20). </w:t>
      </w:r>
      <w:r w:rsidRPr="00A63FC7">
        <w:rPr>
          <w:rFonts w:ascii="Cambria" w:hAnsi="Cambria" w:cs="Times New Roman"/>
          <w:i/>
          <w:iCs/>
        </w:rPr>
        <w:t>Ford aims to solve U.S. Coal problem with Clay County | Manchester Enterprise | nolangroupmedia.com</w:t>
      </w:r>
      <w:r w:rsidRPr="00A63FC7">
        <w:rPr>
          <w:rFonts w:ascii="Cambria" w:hAnsi="Cambria" w:cs="Times New Roman"/>
        </w:rPr>
        <w:t xml:space="preserve">. The Enterprise. </w:t>
      </w:r>
      <w:hyperlink r:id="rId198" w:history="1">
        <w:r w:rsidRPr="00A63FC7">
          <w:rPr>
            <w:rStyle w:val="Hyperlink"/>
            <w:rFonts w:ascii="Cambria" w:hAnsi="Cambria" w:cs="Times New Roman"/>
          </w:rPr>
          <w:t>https://www.nolangroupmedia.com/manchester_enterprise/ford-aims-to-solve-u-s-coal-problem-with-clay-county/article_dcda2a36-7c5c-11ea-80fd-4fd624a95750.html</w:t>
        </w:r>
      </w:hyperlink>
    </w:p>
    <w:p w14:paraId="0A4E2812" w14:textId="77777777" w:rsidR="00A63FC7" w:rsidRPr="00A63FC7" w:rsidRDefault="00A63FC7" w:rsidP="00872B0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The Narcotics Farms. (2010, November 12). The Narcotic Farms: Drug Treatment &amp; Incarceration 1935-1975. </w:t>
      </w:r>
      <w:r w:rsidRPr="00A63FC7">
        <w:rPr>
          <w:rFonts w:ascii="Cambria" w:hAnsi="Cambria" w:cs="Times New Roman"/>
          <w:i/>
          <w:iCs/>
        </w:rPr>
        <w:t>Prison Culture</w:t>
      </w:r>
      <w:r w:rsidRPr="00A63FC7">
        <w:rPr>
          <w:rFonts w:ascii="Cambria" w:hAnsi="Cambria" w:cs="Times New Roman"/>
        </w:rPr>
        <w:t>.</w:t>
      </w:r>
    </w:p>
    <w:p w14:paraId="7363ED90" w14:textId="77777777" w:rsidR="00A63FC7" w:rsidRPr="00A63FC7" w:rsidRDefault="00A63FC7" w:rsidP="00872B0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i/>
          <w:iCs/>
        </w:rPr>
        <w:t>The OxyContin Abuse Problem</w:t>
      </w:r>
      <w:r w:rsidRPr="00A63FC7">
        <w:rPr>
          <w:rFonts w:ascii="Cambria" w:hAnsi="Cambria" w:cs="Times New Roman"/>
        </w:rPr>
        <w:t xml:space="preserve"> (p. 19). (2002).</w:t>
      </w:r>
    </w:p>
    <w:p w14:paraId="5B9DA1E6" w14:textId="77777777" w:rsidR="00A63FC7" w:rsidRPr="00A63FC7" w:rsidRDefault="00A63FC7" w:rsidP="003203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i/>
          <w:iCs/>
        </w:rPr>
        <w:t>The Role of Purdue Pharma and the Sackler Family in the Opioid Epidemic</w:t>
      </w:r>
      <w:r w:rsidRPr="00A63FC7">
        <w:rPr>
          <w:rFonts w:ascii="Cambria" w:hAnsi="Cambria" w:cs="Times New Roman"/>
        </w:rPr>
        <w:t xml:space="preserve">. (2020). U.S. Government Publishing Office. </w:t>
      </w:r>
      <w:hyperlink r:id="rId199" w:history="1">
        <w:r w:rsidRPr="00A63FC7">
          <w:rPr>
            <w:rStyle w:val="Hyperlink"/>
            <w:rFonts w:ascii="Cambria" w:hAnsi="Cambria" w:cs="Times New Roman"/>
          </w:rPr>
          <w:t>https://www.govinfo.gov/content/pkg/CHRG-116hhrg43010/html/CHRG-116hhrg43010.htm</w:t>
        </w:r>
      </w:hyperlink>
    </w:p>
    <w:p w14:paraId="4958E6AC" w14:textId="77777777" w:rsidR="00A63FC7" w:rsidRPr="00A63FC7" w:rsidRDefault="00A63FC7" w:rsidP="003203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Thomas, S. B., &amp; Quinn, S. C. (1993). The Burdens of Race and History on Black Americans’ Attitudes toward Needle Exchange Policy to Prevent HIV Disease. </w:t>
      </w:r>
      <w:r w:rsidRPr="00A63FC7">
        <w:rPr>
          <w:rFonts w:ascii="Cambria" w:hAnsi="Cambria" w:cs="Times New Roman"/>
          <w:i/>
          <w:iCs/>
        </w:rPr>
        <w:t>Journal of Public Health Policy</w:t>
      </w:r>
      <w:r w:rsidRPr="00A63FC7">
        <w:rPr>
          <w:rFonts w:ascii="Cambria" w:hAnsi="Cambria" w:cs="Times New Roman"/>
        </w:rPr>
        <w:t xml:space="preserve">, </w:t>
      </w:r>
      <w:r w:rsidRPr="00A63FC7">
        <w:rPr>
          <w:rFonts w:ascii="Cambria" w:hAnsi="Cambria" w:cs="Times New Roman"/>
          <w:i/>
          <w:iCs/>
        </w:rPr>
        <w:t>14</w:t>
      </w:r>
      <w:r w:rsidRPr="00A63FC7">
        <w:rPr>
          <w:rFonts w:ascii="Cambria" w:hAnsi="Cambria" w:cs="Times New Roman"/>
        </w:rPr>
        <w:t xml:space="preserve">(3), 320–347. </w:t>
      </w:r>
      <w:hyperlink r:id="rId200" w:history="1">
        <w:r w:rsidRPr="00A63FC7">
          <w:rPr>
            <w:rStyle w:val="Hyperlink"/>
            <w:rFonts w:ascii="Cambria" w:hAnsi="Cambria" w:cs="Times New Roman"/>
          </w:rPr>
          <w:t>https://doi.org/10.2307/3343042</w:t>
        </w:r>
      </w:hyperlink>
    </w:p>
    <w:p w14:paraId="72962075" w14:textId="77777777" w:rsidR="00A63FC7" w:rsidRPr="00A63FC7" w:rsidRDefault="00A63FC7" w:rsidP="003203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Thrasher, S. W. (2019a, December 2). Opinion | H.I.V. Is Coming to Rural America. </w:t>
      </w:r>
      <w:r w:rsidRPr="00A63FC7">
        <w:rPr>
          <w:rFonts w:ascii="Cambria" w:hAnsi="Cambria" w:cs="Times New Roman"/>
          <w:i/>
          <w:iCs/>
        </w:rPr>
        <w:t>The New York Times</w:t>
      </w:r>
      <w:r w:rsidRPr="00A63FC7">
        <w:rPr>
          <w:rFonts w:ascii="Cambria" w:hAnsi="Cambria" w:cs="Times New Roman"/>
        </w:rPr>
        <w:t xml:space="preserve">. </w:t>
      </w:r>
      <w:hyperlink r:id="rId201" w:history="1">
        <w:r w:rsidRPr="00A63FC7">
          <w:rPr>
            <w:rStyle w:val="Hyperlink"/>
            <w:rFonts w:ascii="Cambria" w:hAnsi="Cambria" w:cs="Times New Roman"/>
          </w:rPr>
          <w:t>https://www.nytimes.com/2019/12/01/opinion/hiv-aids-rural-america.html</w:t>
        </w:r>
      </w:hyperlink>
    </w:p>
    <w:p w14:paraId="04682FC1" w14:textId="77777777" w:rsidR="00A63FC7" w:rsidRPr="00A63FC7" w:rsidRDefault="00A63FC7" w:rsidP="003203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Thrasher, S. W. (2019b, December 2). Opinion | H.I.V. Is Coming to Rural America. </w:t>
      </w:r>
      <w:r w:rsidRPr="00A63FC7">
        <w:rPr>
          <w:rFonts w:ascii="Cambria" w:hAnsi="Cambria" w:cs="Times New Roman"/>
          <w:i/>
          <w:iCs/>
        </w:rPr>
        <w:t>The New York Times</w:t>
      </w:r>
      <w:r w:rsidRPr="00A63FC7">
        <w:rPr>
          <w:rFonts w:ascii="Cambria" w:hAnsi="Cambria" w:cs="Times New Roman"/>
        </w:rPr>
        <w:t xml:space="preserve">. </w:t>
      </w:r>
      <w:hyperlink r:id="rId202" w:history="1">
        <w:r w:rsidRPr="00A63FC7">
          <w:rPr>
            <w:rStyle w:val="Hyperlink"/>
            <w:rFonts w:ascii="Cambria" w:hAnsi="Cambria" w:cs="Times New Roman"/>
          </w:rPr>
          <w:t>https://www.nytimes.com/2019/12/01/opinion/hiv-aids-rural-america.html</w:t>
        </w:r>
      </w:hyperlink>
    </w:p>
    <w:p w14:paraId="2BFCAD58" w14:textId="77777777" w:rsidR="00A63FC7" w:rsidRPr="00A63FC7" w:rsidRDefault="00A63FC7" w:rsidP="003203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TN Code § 68-1-136. (2019). </w:t>
      </w:r>
      <w:r w:rsidRPr="00A63FC7">
        <w:rPr>
          <w:rFonts w:ascii="Cambria" w:hAnsi="Cambria" w:cs="Times New Roman"/>
          <w:i/>
          <w:iCs/>
        </w:rPr>
        <w:t>2019 Tennessee Code: Title 68 - Health, Safety and Environmental Protection </w:t>
      </w:r>
      <w:proofErr w:type="gramStart"/>
      <w:r w:rsidRPr="00A63FC7">
        <w:rPr>
          <w:rFonts w:ascii="Cambria" w:hAnsi="Cambria" w:cs="Times New Roman"/>
          <w:i/>
          <w:iCs/>
        </w:rPr>
        <w:t>::</w:t>
      </w:r>
      <w:proofErr w:type="gramEnd"/>
      <w:r w:rsidRPr="00A63FC7">
        <w:rPr>
          <w:rFonts w:ascii="Cambria" w:hAnsi="Cambria" w:cs="Times New Roman"/>
          <w:i/>
          <w:iCs/>
        </w:rPr>
        <w:t xml:space="preserve"> Health :: Chapter 1 - Department of Health :: Part 1 - General Provisions :: &amp;sect; 68-1-136. Needle and hypodermic syringe exchange </w:t>
      </w:r>
      <w:r w:rsidRPr="00A63FC7">
        <w:rPr>
          <w:rFonts w:ascii="Cambria" w:hAnsi="Cambria" w:cs="Times New Roman"/>
          <w:i/>
          <w:iCs/>
        </w:rPr>
        <w:lastRenderedPageBreak/>
        <w:t>program.</w:t>
      </w:r>
      <w:r w:rsidRPr="00A63FC7">
        <w:rPr>
          <w:rFonts w:ascii="Cambria" w:hAnsi="Cambria" w:cs="Times New Roman"/>
        </w:rPr>
        <w:t xml:space="preserve"> </w:t>
      </w:r>
      <w:proofErr w:type="spellStart"/>
      <w:r w:rsidRPr="00A63FC7">
        <w:rPr>
          <w:rFonts w:ascii="Cambria" w:hAnsi="Cambria" w:cs="Times New Roman"/>
        </w:rPr>
        <w:t>Justia</w:t>
      </w:r>
      <w:proofErr w:type="spellEnd"/>
      <w:r w:rsidRPr="00A63FC7">
        <w:rPr>
          <w:rFonts w:ascii="Cambria" w:hAnsi="Cambria" w:cs="Times New Roman"/>
        </w:rPr>
        <w:t xml:space="preserve"> Law. </w:t>
      </w:r>
      <w:hyperlink r:id="rId203" w:history="1">
        <w:r w:rsidRPr="00A63FC7">
          <w:rPr>
            <w:rStyle w:val="Hyperlink"/>
            <w:rFonts w:ascii="Cambria" w:hAnsi="Cambria" w:cs="Times New Roman"/>
          </w:rPr>
          <w:t>https://law.justia.com/codes/tennessee/2019/title-68/health/chapter-1/part-1/section-68-1-136/</w:t>
        </w:r>
      </w:hyperlink>
    </w:p>
    <w:p w14:paraId="1792E595"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TN Code § 68-1-136. (2021). </w:t>
      </w:r>
      <w:r w:rsidRPr="00A63FC7">
        <w:rPr>
          <w:rFonts w:ascii="Cambria" w:hAnsi="Cambria" w:cs="Times New Roman"/>
          <w:i/>
          <w:iCs/>
        </w:rPr>
        <w:t>2021 Tennessee Code: Title 68 - Health, Safety and Environmental Protection </w:t>
      </w:r>
      <w:proofErr w:type="gramStart"/>
      <w:r w:rsidRPr="00A63FC7">
        <w:rPr>
          <w:rFonts w:ascii="Cambria" w:hAnsi="Cambria" w:cs="Times New Roman"/>
          <w:i/>
          <w:iCs/>
        </w:rPr>
        <w:t>::</w:t>
      </w:r>
      <w:proofErr w:type="gramEnd"/>
      <w:r w:rsidRPr="00A63FC7">
        <w:rPr>
          <w:rFonts w:ascii="Cambria" w:hAnsi="Cambria" w:cs="Times New Roman"/>
          <w:i/>
          <w:iCs/>
        </w:rPr>
        <w:t xml:space="preserve"> Chapter 1 - Department of Health :: Part 1 - General Provisions :: &amp;sect; 68-1-136. Needle and Hypodermic Syringe Exchange Program</w:t>
      </w:r>
      <w:r w:rsidRPr="00A63FC7">
        <w:rPr>
          <w:rFonts w:ascii="Cambria" w:hAnsi="Cambria" w:cs="Times New Roman"/>
        </w:rPr>
        <w:t xml:space="preserve">. </w:t>
      </w:r>
      <w:proofErr w:type="spellStart"/>
      <w:r w:rsidRPr="00A63FC7">
        <w:rPr>
          <w:rFonts w:ascii="Cambria" w:hAnsi="Cambria" w:cs="Times New Roman"/>
        </w:rPr>
        <w:t>Justia</w:t>
      </w:r>
      <w:proofErr w:type="spellEnd"/>
      <w:r w:rsidRPr="00A63FC7">
        <w:rPr>
          <w:rFonts w:ascii="Cambria" w:hAnsi="Cambria" w:cs="Times New Roman"/>
        </w:rPr>
        <w:t xml:space="preserve"> Law. </w:t>
      </w:r>
      <w:hyperlink r:id="rId204" w:history="1">
        <w:r w:rsidRPr="00A63FC7">
          <w:rPr>
            <w:rStyle w:val="Hyperlink"/>
            <w:rFonts w:ascii="Cambria" w:hAnsi="Cambria" w:cs="Times New Roman"/>
          </w:rPr>
          <w:t>https://law.justia.com/codes/tennessee/2021/title-68/chapter-1/part-1/section-68-1-136/</w:t>
        </w:r>
      </w:hyperlink>
    </w:p>
    <w:p w14:paraId="797E4C15"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Treichler</w:t>
      </w:r>
      <w:proofErr w:type="spellEnd"/>
      <w:r w:rsidRPr="00A63FC7">
        <w:rPr>
          <w:rFonts w:ascii="Cambria" w:hAnsi="Cambria" w:cs="Times New Roman"/>
        </w:rPr>
        <w:t xml:space="preserve">, P. A. (1999). </w:t>
      </w:r>
      <w:r w:rsidRPr="00A63FC7">
        <w:rPr>
          <w:rFonts w:ascii="Cambria" w:hAnsi="Cambria" w:cs="Times New Roman"/>
          <w:i/>
          <w:iCs/>
        </w:rPr>
        <w:t>How to have theory in an epidemic: Cultural chronicles of AIDS</w:t>
      </w:r>
      <w:r w:rsidRPr="00A63FC7">
        <w:rPr>
          <w:rFonts w:ascii="Cambria" w:hAnsi="Cambria" w:cs="Times New Roman"/>
        </w:rPr>
        <w:t>. Duke University Press.</w:t>
      </w:r>
    </w:p>
    <w:p w14:paraId="7D39C25A"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Turner, W. B. (2009). </w:t>
      </w:r>
      <w:r w:rsidRPr="00A63FC7">
        <w:rPr>
          <w:rFonts w:ascii="Cambria" w:hAnsi="Cambria" w:cs="Times New Roman"/>
          <w:i/>
          <w:iCs/>
        </w:rPr>
        <w:t>“Adolph Reagan?” Ronald Reagan, Aids, and Lesbian/Gay Civil Rights</w:t>
      </w:r>
      <w:r w:rsidRPr="00A63FC7">
        <w:rPr>
          <w:rFonts w:ascii="Cambria" w:hAnsi="Cambria" w:cs="Times New Roman"/>
        </w:rPr>
        <w:t xml:space="preserve"> (SSRN Scholarly Paper ID 1433567). Social Science Research Network. </w:t>
      </w:r>
      <w:hyperlink r:id="rId205" w:history="1">
        <w:r w:rsidRPr="00A63FC7">
          <w:rPr>
            <w:rStyle w:val="Hyperlink"/>
            <w:rFonts w:ascii="Cambria" w:hAnsi="Cambria" w:cs="Times New Roman"/>
          </w:rPr>
          <w:t>https://doi.org/10.2139/ssrn.1433567</w:t>
        </w:r>
      </w:hyperlink>
    </w:p>
    <w:p w14:paraId="2BE1F94C"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Twohey</w:t>
      </w:r>
      <w:proofErr w:type="spellEnd"/>
      <w:r w:rsidRPr="00A63FC7">
        <w:rPr>
          <w:rFonts w:ascii="Cambria" w:hAnsi="Cambria" w:cs="Times New Roman"/>
        </w:rPr>
        <w:t xml:space="preserve">, M. (2016, August 7). Mike Pence’s Response to H.I.V. Outbreak: Prayer, Then a Change of Heart. </w:t>
      </w:r>
      <w:r w:rsidRPr="00A63FC7">
        <w:rPr>
          <w:rFonts w:ascii="Cambria" w:hAnsi="Cambria" w:cs="Times New Roman"/>
          <w:i/>
          <w:iCs/>
        </w:rPr>
        <w:t>The New York Times</w:t>
      </w:r>
      <w:r w:rsidRPr="00A63FC7">
        <w:rPr>
          <w:rFonts w:ascii="Cambria" w:hAnsi="Cambria" w:cs="Times New Roman"/>
        </w:rPr>
        <w:t xml:space="preserve">. </w:t>
      </w:r>
      <w:hyperlink r:id="rId206" w:history="1">
        <w:r w:rsidRPr="00A63FC7">
          <w:rPr>
            <w:rStyle w:val="Hyperlink"/>
            <w:rFonts w:ascii="Cambria" w:hAnsi="Cambria" w:cs="Times New Roman"/>
          </w:rPr>
          <w:t>https://www.nytimes.com/2016/08/08/us/politics/mike-pence-needle-exchanges-indiana.html</w:t>
        </w:r>
      </w:hyperlink>
    </w:p>
    <w:p w14:paraId="1725A32A"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Varenne</w:t>
      </w:r>
      <w:proofErr w:type="spellEnd"/>
      <w:r w:rsidRPr="00A63FC7">
        <w:rPr>
          <w:rFonts w:ascii="Cambria" w:hAnsi="Cambria" w:cs="Times New Roman"/>
        </w:rPr>
        <w:t xml:space="preserve">, H., &amp; Scroggins, M. (2015). Culture of poverty: Critique. </w:t>
      </w:r>
      <w:r w:rsidRPr="00A63FC7">
        <w:rPr>
          <w:rFonts w:ascii="Cambria" w:hAnsi="Cambria" w:cs="Times New Roman"/>
          <w:i/>
          <w:iCs/>
        </w:rPr>
        <w:t>International Encyclopedia of the Social &amp; Behavioral Sciences (2nd Ed., Pp. 590-595), Elsevier Ltd. Https://Doi. Org/10.1016/B978-0-08-097086-8.64091-6</w:t>
      </w:r>
      <w:r w:rsidRPr="00A63FC7">
        <w:rPr>
          <w:rFonts w:ascii="Cambria" w:hAnsi="Cambria" w:cs="Times New Roman"/>
        </w:rPr>
        <w:t>.</w:t>
      </w:r>
    </w:p>
    <w:p w14:paraId="19F151D6"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Vestal, C. (2016, June 6). </w:t>
      </w:r>
      <w:r w:rsidRPr="00A63FC7">
        <w:rPr>
          <w:rFonts w:ascii="Cambria" w:hAnsi="Cambria" w:cs="Times New Roman"/>
          <w:i/>
          <w:iCs/>
        </w:rPr>
        <w:t>Early results of W.Va. Town’s needle exchange program show progress</w:t>
      </w:r>
      <w:r w:rsidRPr="00A63FC7">
        <w:rPr>
          <w:rFonts w:ascii="Cambria" w:hAnsi="Cambria" w:cs="Times New Roman"/>
        </w:rPr>
        <w:t xml:space="preserve">. PBS NewsHour. </w:t>
      </w:r>
      <w:hyperlink r:id="rId207" w:history="1">
        <w:r w:rsidRPr="00A63FC7">
          <w:rPr>
            <w:rStyle w:val="Hyperlink"/>
            <w:rFonts w:ascii="Cambria" w:hAnsi="Cambria" w:cs="Times New Roman"/>
          </w:rPr>
          <w:t>https://www.pbs.org/newshour/health/early-results-of-w-va-towns-needle-exchange-program-shows-progress</w:t>
        </w:r>
      </w:hyperlink>
    </w:p>
    <w:p w14:paraId="59DD2E78"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lastRenderedPageBreak/>
        <w:t xml:space="preserve">Vestal, C. (2018, February 13). </w:t>
      </w:r>
      <w:r w:rsidRPr="00A63FC7">
        <w:rPr>
          <w:rFonts w:ascii="Cambria" w:hAnsi="Cambria" w:cs="Times New Roman"/>
          <w:i/>
          <w:iCs/>
        </w:rPr>
        <w:t>Why Police Backing Is Key to Needle Exchanges</w:t>
      </w:r>
      <w:r w:rsidRPr="00A63FC7">
        <w:rPr>
          <w:rFonts w:ascii="Cambria" w:hAnsi="Cambria" w:cs="Times New Roman"/>
        </w:rPr>
        <w:t xml:space="preserve">. </w:t>
      </w:r>
      <w:hyperlink r:id="rId208" w:history="1">
        <w:r w:rsidRPr="00A63FC7">
          <w:rPr>
            <w:rStyle w:val="Hyperlink"/>
            <w:rFonts w:ascii="Cambria" w:hAnsi="Cambria" w:cs="Times New Roman"/>
          </w:rPr>
          <w:t>http://pew.org/2Hc5r9R</w:t>
        </w:r>
      </w:hyperlink>
    </w:p>
    <w:p w14:paraId="154CA67C"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Wahbi</w:t>
      </w:r>
      <w:proofErr w:type="spellEnd"/>
      <w:r w:rsidRPr="00A63FC7">
        <w:rPr>
          <w:rFonts w:ascii="Cambria" w:hAnsi="Cambria" w:cs="Times New Roman"/>
        </w:rPr>
        <w:t xml:space="preserve">, R., &amp; </w:t>
      </w:r>
      <w:proofErr w:type="spellStart"/>
      <w:r w:rsidRPr="00A63FC7">
        <w:rPr>
          <w:rFonts w:ascii="Cambria" w:hAnsi="Cambria" w:cs="Times New Roman"/>
        </w:rPr>
        <w:t>Beletsky</w:t>
      </w:r>
      <w:proofErr w:type="spellEnd"/>
      <w:r w:rsidRPr="00A63FC7">
        <w:rPr>
          <w:rFonts w:ascii="Cambria" w:hAnsi="Cambria" w:cs="Times New Roman"/>
        </w:rPr>
        <w:t xml:space="preserve">, L. (2022). Involuntary Commitment as “Carceral-Health Service”: From Healthcare-to-Prison Pipeline to a Public Health Abolition Praxis. </w:t>
      </w:r>
      <w:r w:rsidRPr="00A63FC7">
        <w:rPr>
          <w:rFonts w:ascii="Cambria" w:hAnsi="Cambria" w:cs="Times New Roman"/>
          <w:i/>
          <w:iCs/>
        </w:rPr>
        <w:t>Journal of Law, Medicine &amp; Ethics</w:t>
      </w:r>
      <w:r w:rsidRPr="00A63FC7">
        <w:rPr>
          <w:rFonts w:ascii="Cambria" w:hAnsi="Cambria" w:cs="Times New Roman"/>
        </w:rPr>
        <w:t xml:space="preserve">, </w:t>
      </w:r>
      <w:r w:rsidRPr="00A63FC7">
        <w:rPr>
          <w:rFonts w:ascii="Cambria" w:hAnsi="Cambria" w:cs="Times New Roman"/>
          <w:i/>
          <w:iCs/>
        </w:rPr>
        <w:t>50</w:t>
      </w:r>
      <w:r w:rsidRPr="00A63FC7">
        <w:rPr>
          <w:rFonts w:ascii="Cambria" w:hAnsi="Cambria" w:cs="Times New Roman"/>
        </w:rPr>
        <w:t xml:space="preserve">(1), 23–30. </w:t>
      </w:r>
      <w:hyperlink r:id="rId209" w:history="1">
        <w:r w:rsidRPr="00A63FC7">
          <w:rPr>
            <w:rStyle w:val="Hyperlink"/>
            <w:rFonts w:ascii="Cambria" w:hAnsi="Cambria" w:cs="Times New Roman"/>
          </w:rPr>
          <w:t>https://doi.org/10.1017/jme.2022.5</w:t>
        </w:r>
      </w:hyperlink>
    </w:p>
    <w:p w14:paraId="389BA44F"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Webb, G. (1998). </w:t>
      </w:r>
      <w:r w:rsidRPr="00A63FC7">
        <w:rPr>
          <w:rFonts w:ascii="Cambria" w:hAnsi="Cambria" w:cs="Times New Roman"/>
          <w:i/>
          <w:iCs/>
        </w:rPr>
        <w:t>Dark Alliance The CIA, the Contras, and the Crack Cocaine Explosion.</w:t>
      </w:r>
      <w:r w:rsidRPr="00A63FC7">
        <w:rPr>
          <w:rFonts w:ascii="Cambria" w:hAnsi="Cambria" w:cs="Times New Roman"/>
        </w:rPr>
        <w:t xml:space="preserve"> Turnaround Publisher Services Ltd.</w:t>
      </w:r>
    </w:p>
    <w:p w14:paraId="45FB4C8E"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Weinmeyer</w:t>
      </w:r>
      <w:proofErr w:type="spellEnd"/>
      <w:r w:rsidRPr="00A63FC7">
        <w:rPr>
          <w:rFonts w:ascii="Cambria" w:hAnsi="Cambria" w:cs="Times New Roman"/>
        </w:rPr>
        <w:t xml:space="preserve">, R. (2016a). Needle Exchange Programs’ Status in US Politics. </w:t>
      </w:r>
      <w:r w:rsidRPr="00A63FC7">
        <w:rPr>
          <w:rFonts w:ascii="Cambria" w:hAnsi="Cambria" w:cs="Times New Roman"/>
          <w:i/>
          <w:iCs/>
        </w:rPr>
        <w:t>AMA Journal of Ethics</w:t>
      </w:r>
      <w:r w:rsidRPr="00A63FC7">
        <w:rPr>
          <w:rFonts w:ascii="Cambria" w:hAnsi="Cambria" w:cs="Times New Roman"/>
        </w:rPr>
        <w:t xml:space="preserve">, </w:t>
      </w:r>
      <w:r w:rsidRPr="00A63FC7">
        <w:rPr>
          <w:rFonts w:ascii="Cambria" w:hAnsi="Cambria" w:cs="Times New Roman"/>
          <w:i/>
          <w:iCs/>
        </w:rPr>
        <w:t>18</w:t>
      </w:r>
      <w:r w:rsidRPr="00A63FC7">
        <w:rPr>
          <w:rFonts w:ascii="Cambria" w:hAnsi="Cambria" w:cs="Times New Roman"/>
        </w:rPr>
        <w:t xml:space="preserve">(3), 252–257. </w:t>
      </w:r>
      <w:hyperlink r:id="rId210" w:history="1">
        <w:r w:rsidRPr="00A63FC7">
          <w:rPr>
            <w:rStyle w:val="Hyperlink"/>
            <w:rFonts w:ascii="Cambria" w:hAnsi="Cambria" w:cs="Times New Roman"/>
          </w:rPr>
          <w:t>https://doi.org/10.1001/journalofethics.2016.18.3.hlaw1-1603</w:t>
        </w:r>
      </w:hyperlink>
    </w:p>
    <w:p w14:paraId="54B4C5F7"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Weinmeyer</w:t>
      </w:r>
      <w:proofErr w:type="spellEnd"/>
      <w:r w:rsidRPr="00A63FC7">
        <w:rPr>
          <w:rFonts w:ascii="Cambria" w:hAnsi="Cambria" w:cs="Times New Roman"/>
        </w:rPr>
        <w:t xml:space="preserve">, R. (2016b). Needle Exchange Programs’ Status in US Politics. </w:t>
      </w:r>
      <w:r w:rsidRPr="00A63FC7">
        <w:rPr>
          <w:rFonts w:ascii="Cambria" w:hAnsi="Cambria" w:cs="Times New Roman"/>
          <w:i/>
          <w:iCs/>
        </w:rPr>
        <w:t>AMA Journal of Ethics</w:t>
      </w:r>
      <w:r w:rsidRPr="00A63FC7">
        <w:rPr>
          <w:rFonts w:ascii="Cambria" w:hAnsi="Cambria" w:cs="Times New Roman"/>
        </w:rPr>
        <w:t xml:space="preserve">, </w:t>
      </w:r>
      <w:r w:rsidRPr="00A63FC7">
        <w:rPr>
          <w:rFonts w:ascii="Cambria" w:hAnsi="Cambria" w:cs="Times New Roman"/>
          <w:i/>
          <w:iCs/>
        </w:rPr>
        <w:t>18</w:t>
      </w:r>
      <w:r w:rsidRPr="00A63FC7">
        <w:rPr>
          <w:rFonts w:ascii="Cambria" w:hAnsi="Cambria" w:cs="Times New Roman"/>
        </w:rPr>
        <w:t xml:space="preserve">(3), 252–257. </w:t>
      </w:r>
      <w:hyperlink r:id="rId211" w:history="1">
        <w:r w:rsidRPr="00A63FC7">
          <w:rPr>
            <w:rStyle w:val="Hyperlink"/>
            <w:rFonts w:ascii="Cambria" w:hAnsi="Cambria" w:cs="Times New Roman"/>
          </w:rPr>
          <w:t>https://doi.org/10.1001/journalofethics.2016.18.3.hlaw1-1603</w:t>
        </w:r>
      </w:hyperlink>
    </w:p>
    <w:p w14:paraId="361B8187"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Weinmeyer</w:t>
      </w:r>
      <w:proofErr w:type="spellEnd"/>
      <w:r w:rsidRPr="00A63FC7">
        <w:rPr>
          <w:rFonts w:ascii="Cambria" w:hAnsi="Cambria" w:cs="Times New Roman"/>
        </w:rPr>
        <w:t xml:space="preserve">, R. (2016c). Needle Exchange Programs’ Status in US Politics. </w:t>
      </w:r>
      <w:r w:rsidRPr="00A63FC7">
        <w:rPr>
          <w:rFonts w:ascii="Cambria" w:hAnsi="Cambria" w:cs="Times New Roman"/>
          <w:i/>
          <w:iCs/>
        </w:rPr>
        <w:t>AMA Journal of Ethics</w:t>
      </w:r>
      <w:r w:rsidRPr="00A63FC7">
        <w:rPr>
          <w:rFonts w:ascii="Cambria" w:hAnsi="Cambria" w:cs="Times New Roman"/>
        </w:rPr>
        <w:t xml:space="preserve">, </w:t>
      </w:r>
      <w:r w:rsidRPr="00A63FC7">
        <w:rPr>
          <w:rFonts w:ascii="Cambria" w:hAnsi="Cambria" w:cs="Times New Roman"/>
          <w:i/>
          <w:iCs/>
        </w:rPr>
        <w:t>18</w:t>
      </w:r>
      <w:r w:rsidRPr="00A63FC7">
        <w:rPr>
          <w:rFonts w:ascii="Cambria" w:hAnsi="Cambria" w:cs="Times New Roman"/>
        </w:rPr>
        <w:t xml:space="preserve">(3), 252–257. </w:t>
      </w:r>
      <w:hyperlink r:id="rId212" w:history="1">
        <w:r w:rsidRPr="00A63FC7">
          <w:rPr>
            <w:rStyle w:val="Hyperlink"/>
            <w:rFonts w:ascii="Cambria" w:hAnsi="Cambria" w:cs="Times New Roman"/>
          </w:rPr>
          <w:t>https://doi.org/10.1001/journalofethics.2016.18.3.hlaw1-1603</w:t>
        </w:r>
      </w:hyperlink>
    </w:p>
    <w:p w14:paraId="5844E7FE"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Werth, J. (2014). How the war on poverty became the war on the poor: Central </w:t>
      </w:r>
      <w:proofErr w:type="spellStart"/>
      <w:r w:rsidRPr="00A63FC7">
        <w:rPr>
          <w:rFonts w:ascii="Cambria" w:hAnsi="Cambria" w:cs="Times New Roman"/>
        </w:rPr>
        <w:t>appalachia</w:t>
      </w:r>
      <w:proofErr w:type="spellEnd"/>
      <w:r w:rsidRPr="00A63FC7">
        <w:rPr>
          <w:rFonts w:ascii="Cambria" w:hAnsi="Cambria" w:cs="Times New Roman"/>
        </w:rPr>
        <w:t xml:space="preserve"> as a case example. </w:t>
      </w:r>
      <w:r w:rsidRPr="00A63FC7">
        <w:rPr>
          <w:rFonts w:ascii="Cambria" w:hAnsi="Cambria" w:cs="Times New Roman"/>
          <w:i/>
          <w:iCs/>
        </w:rPr>
        <w:t>The SES Indicator</w:t>
      </w:r>
      <w:r w:rsidRPr="00A63FC7">
        <w:rPr>
          <w:rFonts w:ascii="Cambria" w:hAnsi="Cambria" w:cs="Times New Roman"/>
        </w:rPr>
        <w:t xml:space="preserve">, </w:t>
      </w:r>
      <w:r w:rsidRPr="00A63FC7">
        <w:rPr>
          <w:rFonts w:ascii="Cambria" w:hAnsi="Cambria" w:cs="Times New Roman"/>
          <w:i/>
          <w:iCs/>
        </w:rPr>
        <w:t>7</w:t>
      </w:r>
      <w:r w:rsidRPr="00A63FC7">
        <w:rPr>
          <w:rFonts w:ascii="Cambria" w:hAnsi="Cambria" w:cs="Times New Roman"/>
        </w:rPr>
        <w:t>(1).</w:t>
      </w:r>
    </w:p>
    <w:p w14:paraId="6684CDD8"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Whetstone, S., &amp; Gowan, T. (2017). Carceral Rehab as Fuzzy </w:t>
      </w:r>
      <w:proofErr w:type="spellStart"/>
      <w:r w:rsidRPr="00A63FC7">
        <w:rPr>
          <w:rFonts w:ascii="Cambria" w:hAnsi="Cambria" w:cs="Times New Roman"/>
        </w:rPr>
        <w:t>Penality</w:t>
      </w:r>
      <w:proofErr w:type="spellEnd"/>
      <w:r w:rsidRPr="00A63FC7">
        <w:rPr>
          <w:rFonts w:ascii="Cambria" w:hAnsi="Cambria" w:cs="Times New Roman"/>
        </w:rPr>
        <w:t xml:space="preserve">: Hybrid Technologies of Control in the New Temperance Crusade. </w:t>
      </w:r>
      <w:r w:rsidRPr="00A63FC7">
        <w:rPr>
          <w:rFonts w:ascii="Cambria" w:hAnsi="Cambria" w:cs="Times New Roman"/>
          <w:i/>
          <w:iCs/>
        </w:rPr>
        <w:t>Social Justice</w:t>
      </w:r>
      <w:r w:rsidRPr="00A63FC7">
        <w:rPr>
          <w:rFonts w:ascii="Cambria" w:hAnsi="Cambria" w:cs="Times New Roman"/>
        </w:rPr>
        <w:t xml:space="preserve">, </w:t>
      </w:r>
      <w:r w:rsidRPr="00A63FC7">
        <w:rPr>
          <w:rFonts w:ascii="Cambria" w:hAnsi="Cambria" w:cs="Times New Roman"/>
          <w:i/>
          <w:iCs/>
        </w:rPr>
        <w:t>44</w:t>
      </w:r>
      <w:r w:rsidRPr="00A63FC7">
        <w:rPr>
          <w:rFonts w:ascii="Cambria" w:hAnsi="Cambria" w:cs="Times New Roman"/>
        </w:rPr>
        <w:t>(2-3 (148)), 83–112.</w:t>
      </w:r>
    </w:p>
    <w:p w14:paraId="0FD9B7C1"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White House. (2012, January 5). Federal Funding Ban on Needle Exchange Programs. </w:t>
      </w:r>
      <w:r w:rsidRPr="00A63FC7">
        <w:rPr>
          <w:rFonts w:ascii="Cambria" w:hAnsi="Cambria" w:cs="Times New Roman"/>
          <w:i/>
          <w:iCs/>
        </w:rPr>
        <w:t>Whitehouse.Gov</w:t>
      </w:r>
      <w:r w:rsidRPr="00A63FC7">
        <w:rPr>
          <w:rFonts w:ascii="Cambria" w:hAnsi="Cambria" w:cs="Times New Roman"/>
        </w:rPr>
        <w:t xml:space="preserve">. </w:t>
      </w:r>
      <w:hyperlink r:id="rId213" w:history="1">
        <w:r w:rsidRPr="00A63FC7">
          <w:rPr>
            <w:rStyle w:val="Hyperlink"/>
            <w:rFonts w:ascii="Cambria" w:hAnsi="Cambria" w:cs="Times New Roman"/>
          </w:rPr>
          <w:t>https://obamawhitehouse.archives.gov/blog/2012/01/05/Federal-funding-ban-needle-exchange-programs</w:t>
        </w:r>
      </w:hyperlink>
    </w:p>
    <w:p w14:paraId="2E6B2A40"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proofErr w:type="spellStart"/>
      <w:r w:rsidRPr="00A63FC7">
        <w:rPr>
          <w:rFonts w:ascii="Cambria" w:hAnsi="Cambria" w:cs="Times New Roman"/>
        </w:rPr>
        <w:t>Wieloch</w:t>
      </w:r>
      <w:proofErr w:type="spellEnd"/>
      <w:r w:rsidRPr="00A63FC7">
        <w:rPr>
          <w:rFonts w:ascii="Cambria" w:hAnsi="Cambria" w:cs="Times New Roman"/>
        </w:rPr>
        <w:t xml:space="preserve">, N. (2002). Collective Mobilization and Identity from the Underground: The Deployment of “Oppositional Capital” in the Harm Reduction Movement. </w:t>
      </w:r>
      <w:r w:rsidRPr="00A63FC7">
        <w:rPr>
          <w:rFonts w:ascii="Cambria" w:hAnsi="Cambria" w:cs="Times New Roman"/>
          <w:i/>
          <w:iCs/>
        </w:rPr>
        <w:t>The Sociological Quarterly</w:t>
      </w:r>
      <w:r w:rsidRPr="00A63FC7">
        <w:rPr>
          <w:rFonts w:ascii="Cambria" w:hAnsi="Cambria" w:cs="Times New Roman"/>
        </w:rPr>
        <w:t xml:space="preserve">, </w:t>
      </w:r>
      <w:r w:rsidRPr="00A63FC7">
        <w:rPr>
          <w:rFonts w:ascii="Cambria" w:hAnsi="Cambria" w:cs="Times New Roman"/>
          <w:i/>
          <w:iCs/>
        </w:rPr>
        <w:t>43</w:t>
      </w:r>
      <w:r w:rsidRPr="00A63FC7">
        <w:rPr>
          <w:rFonts w:ascii="Cambria" w:hAnsi="Cambria" w:cs="Times New Roman"/>
        </w:rPr>
        <w:t>(1), 45–72.</w:t>
      </w:r>
    </w:p>
    <w:p w14:paraId="6040A97F"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Wilhelm, A., Brantley, M., Sizemore, L., Talley, P., &amp; </w:t>
      </w:r>
      <w:proofErr w:type="spellStart"/>
      <w:r w:rsidRPr="00A63FC7">
        <w:rPr>
          <w:rFonts w:ascii="Cambria" w:hAnsi="Cambria" w:cs="Times New Roman"/>
        </w:rPr>
        <w:t>Devasia</w:t>
      </w:r>
      <w:proofErr w:type="spellEnd"/>
      <w:r w:rsidRPr="00A63FC7">
        <w:rPr>
          <w:rFonts w:ascii="Cambria" w:hAnsi="Cambria" w:cs="Times New Roman"/>
        </w:rPr>
        <w:t xml:space="preserve">, R. (2020). </w:t>
      </w:r>
      <w:r w:rsidRPr="00A63FC7">
        <w:rPr>
          <w:rFonts w:ascii="Cambria" w:hAnsi="Cambria" w:cs="Times New Roman"/>
          <w:i/>
          <w:iCs/>
        </w:rPr>
        <w:t>Tennessee Annual Harm Reduction Report: Syringe Services Program Highlights 2019</w:t>
      </w:r>
      <w:r w:rsidRPr="00A63FC7">
        <w:rPr>
          <w:rFonts w:ascii="Cambria" w:hAnsi="Cambria" w:cs="Times New Roman"/>
        </w:rPr>
        <w:t xml:space="preserve">. Tennessee Department of Health. </w:t>
      </w:r>
      <w:hyperlink r:id="rId214" w:history="1">
        <w:r w:rsidRPr="00A63FC7">
          <w:rPr>
            <w:rStyle w:val="Hyperlink"/>
            <w:rFonts w:ascii="Cambria" w:hAnsi="Cambria" w:cs="Times New Roman"/>
          </w:rPr>
          <w:t>https://www.tn.gov/content/dam/tn/health/documents/2019-Harm-Reduction-Annual-Report.pdf</w:t>
        </w:r>
      </w:hyperlink>
    </w:p>
    <w:p w14:paraId="2BB35B95"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Willems, A. (2021, March 2). </w:t>
      </w:r>
      <w:r w:rsidRPr="00A63FC7">
        <w:rPr>
          <w:rFonts w:ascii="Cambria" w:hAnsi="Cambria" w:cs="Times New Roman"/>
          <w:i/>
          <w:iCs/>
        </w:rPr>
        <w:t>“Pure America”: Eugenics past and present</w:t>
      </w:r>
      <w:r w:rsidRPr="00A63FC7">
        <w:rPr>
          <w:rFonts w:ascii="Cambria" w:hAnsi="Cambria" w:cs="Times New Roman"/>
        </w:rPr>
        <w:t xml:space="preserve">. Scalawag. </w:t>
      </w:r>
      <w:hyperlink r:id="rId215" w:history="1">
        <w:r w:rsidRPr="00A63FC7">
          <w:rPr>
            <w:rStyle w:val="Hyperlink"/>
            <w:rFonts w:ascii="Cambria" w:hAnsi="Cambria" w:cs="Times New Roman"/>
          </w:rPr>
          <w:t>http://scalawagmagazine.org/2021/03/elizabeth-catte-pure-america-interview/</w:t>
        </w:r>
      </w:hyperlink>
    </w:p>
    <w:p w14:paraId="1ACD32EE"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Winter, N. J. (2008). </w:t>
      </w:r>
      <w:r w:rsidRPr="00A63FC7">
        <w:rPr>
          <w:rFonts w:ascii="Cambria" w:hAnsi="Cambria" w:cs="Times New Roman"/>
          <w:i/>
          <w:iCs/>
        </w:rPr>
        <w:t>Dangerous frames: How ideas about race and gender shape public opinion</w:t>
      </w:r>
      <w:r w:rsidRPr="00A63FC7">
        <w:rPr>
          <w:rFonts w:ascii="Cambria" w:hAnsi="Cambria" w:cs="Times New Roman"/>
        </w:rPr>
        <w:t>. University of Chicago Press.</w:t>
      </w:r>
    </w:p>
    <w:p w14:paraId="4D279918" w14:textId="77777777" w:rsidR="00A63FC7" w:rsidRPr="00A63FC7" w:rsidRDefault="00A63FC7" w:rsidP="004335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Cambria" w:hAnsi="Cambria" w:cs="Times New Roman"/>
        </w:rPr>
      </w:pPr>
      <w:r w:rsidRPr="00A63FC7">
        <w:rPr>
          <w:rFonts w:ascii="Cambria" w:hAnsi="Cambria" w:cs="Times New Roman"/>
        </w:rPr>
        <w:t xml:space="preserve">Wren, A. (2015, May 28). Welcome to the Red State HIV Epidemic—POLITICO Magazine. </w:t>
      </w:r>
      <w:r w:rsidRPr="00A63FC7">
        <w:rPr>
          <w:rFonts w:ascii="Cambria" w:hAnsi="Cambria" w:cs="Times New Roman"/>
          <w:i/>
          <w:iCs/>
        </w:rPr>
        <w:t>Politico Magazine</w:t>
      </w:r>
      <w:r w:rsidRPr="00A63FC7">
        <w:rPr>
          <w:rFonts w:ascii="Cambria" w:hAnsi="Cambria" w:cs="Times New Roman"/>
        </w:rPr>
        <w:t xml:space="preserve">. </w:t>
      </w:r>
      <w:hyperlink r:id="rId216" w:history="1">
        <w:r w:rsidRPr="00A63FC7">
          <w:rPr>
            <w:rStyle w:val="Hyperlink"/>
            <w:rFonts w:ascii="Cambria" w:hAnsi="Cambria" w:cs="Times New Roman"/>
          </w:rPr>
          <w:t>https://www.politico.com/magazine/story/2015/05/red-state-hiv-epidemic-drug-use-republican-governors-118379/</w:t>
        </w:r>
      </w:hyperlink>
    </w:p>
    <w:p w14:paraId="01959963" w14:textId="77777777" w:rsidR="00191DD7" w:rsidRPr="00AD176D" w:rsidRDefault="003D63DF" w:rsidP="009327D0">
      <w:pPr>
        <w:pStyle w:val="AltHeading1"/>
      </w:pPr>
      <w:r w:rsidRPr="00864248">
        <w:rPr>
          <w:noProof/>
        </w:rPr>
        <w:br w:type="page"/>
      </w:r>
      <w:bookmarkStart w:id="57" w:name="_Toc420995913"/>
      <w:bookmarkStart w:id="58" w:name="_Toc422997500"/>
      <w:bookmarkStart w:id="59" w:name="_Toc427156485"/>
      <w:bookmarkStart w:id="60" w:name="_Toc133884539"/>
      <w:r w:rsidR="007D538B" w:rsidRPr="00AD176D">
        <w:lastRenderedPageBreak/>
        <w:t>V</w:t>
      </w:r>
      <w:r w:rsidR="00E91931" w:rsidRPr="00AD176D">
        <w:t>ita</w:t>
      </w:r>
      <w:bookmarkEnd w:id="57"/>
      <w:bookmarkEnd w:id="58"/>
      <w:bookmarkEnd w:id="59"/>
      <w:bookmarkEnd w:id="60"/>
    </w:p>
    <w:p w14:paraId="632A28B4" w14:textId="09830A8F" w:rsidR="00AE125E" w:rsidRPr="00AD176D" w:rsidRDefault="005A29B4" w:rsidP="003C3DA9">
      <w:pPr>
        <w:ind w:firstLine="720"/>
        <w:rPr>
          <w:rFonts w:asciiTheme="majorHAnsi" w:hAnsiTheme="majorHAnsi" w:cs="Times New Roman"/>
        </w:rPr>
      </w:pPr>
      <w:bookmarkStart w:id="61" w:name="_GoBack"/>
      <w:bookmarkEnd w:id="61"/>
      <w:r w:rsidRPr="00AD176D">
        <w:rPr>
          <w:rFonts w:asciiTheme="majorHAnsi" w:hAnsiTheme="majorHAnsi" w:cs="Times New Roman"/>
        </w:rPr>
        <w:t>Prior to attending</w:t>
      </w:r>
      <w:r w:rsidR="00B13775" w:rsidRPr="00AD176D">
        <w:rPr>
          <w:rFonts w:asciiTheme="majorHAnsi" w:hAnsiTheme="majorHAnsi" w:cs="Times New Roman"/>
        </w:rPr>
        <w:t xml:space="preserve"> the University of Tennessee, Knoxville, Kyra</w:t>
      </w:r>
      <w:r w:rsidR="00405A2C">
        <w:rPr>
          <w:rFonts w:asciiTheme="majorHAnsi" w:hAnsiTheme="majorHAnsi" w:cs="Times New Roman"/>
        </w:rPr>
        <w:t xml:space="preserve"> </w:t>
      </w:r>
      <w:r w:rsidR="00B13775" w:rsidRPr="00AD176D">
        <w:rPr>
          <w:rFonts w:asciiTheme="majorHAnsi" w:hAnsiTheme="majorHAnsi" w:cs="Times New Roman"/>
        </w:rPr>
        <w:t xml:space="preserve">Martinez graduated </w:t>
      </w:r>
      <w:r w:rsidR="00405A2C">
        <w:rPr>
          <w:rFonts w:asciiTheme="majorHAnsi" w:hAnsiTheme="majorHAnsi" w:cs="Times New Roman"/>
        </w:rPr>
        <w:t>from Eastern Kentucky University with her</w:t>
      </w:r>
      <w:r w:rsidR="00AD176D" w:rsidRPr="00AD176D">
        <w:rPr>
          <w:rFonts w:asciiTheme="majorHAnsi" w:hAnsiTheme="majorHAnsi" w:cs="Times New Roman"/>
        </w:rPr>
        <w:t xml:space="preserve"> Master’s Degree in</w:t>
      </w:r>
      <w:r w:rsidR="00B13775" w:rsidRPr="00AD176D">
        <w:rPr>
          <w:rFonts w:asciiTheme="majorHAnsi" w:hAnsiTheme="majorHAnsi" w:cs="Times New Roman"/>
        </w:rPr>
        <w:t xml:space="preserve"> Criminal Justice and Criminology</w:t>
      </w:r>
      <w:r w:rsidR="00405A2C">
        <w:rPr>
          <w:rFonts w:asciiTheme="majorHAnsi" w:hAnsiTheme="majorHAnsi" w:cs="Times New Roman"/>
        </w:rPr>
        <w:t>.</w:t>
      </w:r>
    </w:p>
    <w:sectPr w:rsidR="00AE125E" w:rsidRPr="00AD176D" w:rsidSect="009327D0">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70A3B" w14:textId="77777777" w:rsidR="008D4B41" w:rsidRDefault="008D4B41">
      <w:r>
        <w:separator/>
      </w:r>
    </w:p>
  </w:endnote>
  <w:endnote w:type="continuationSeparator" w:id="0">
    <w:p w14:paraId="41BAB13E" w14:textId="77777777" w:rsidR="008D4B41" w:rsidRDefault="008D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50825645"/>
      <w:docPartObj>
        <w:docPartGallery w:val="Page Numbers (Bottom of Page)"/>
        <w:docPartUnique/>
      </w:docPartObj>
    </w:sdtPr>
    <w:sdtContent>
      <w:p w14:paraId="32974AF9" w14:textId="75E0A22C" w:rsidR="003B3E1D" w:rsidRDefault="003B3E1D" w:rsidP="003B3E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313753D1" w14:textId="77777777" w:rsidR="003B3E1D" w:rsidRDefault="003B3E1D" w:rsidP="00274E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3176315"/>
      <w:docPartObj>
        <w:docPartGallery w:val="Page Numbers (Bottom of Page)"/>
        <w:docPartUnique/>
      </w:docPartObj>
    </w:sdtPr>
    <w:sdtEndPr>
      <w:rPr>
        <w:rStyle w:val="PageNumber"/>
        <w:rFonts w:asciiTheme="majorHAnsi" w:hAnsiTheme="majorHAnsi"/>
      </w:rPr>
    </w:sdtEndPr>
    <w:sdtContent>
      <w:p w14:paraId="6CBF7E44" w14:textId="5B4BF8C4" w:rsidR="003B3E1D" w:rsidRPr="00A0642B" w:rsidRDefault="003B3E1D" w:rsidP="00A0642B">
        <w:pPr>
          <w:pStyle w:val="Footer"/>
          <w:framePr w:wrap="none" w:vAnchor="text" w:hAnchor="page" w:x="10216" w:yAlign="center"/>
          <w:rPr>
            <w:rStyle w:val="PageNumber"/>
            <w:rFonts w:asciiTheme="majorHAnsi" w:hAnsiTheme="majorHAnsi"/>
          </w:rPr>
        </w:pPr>
        <w:r w:rsidRPr="00A0642B">
          <w:rPr>
            <w:rStyle w:val="PageNumber"/>
            <w:rFonts w:asciiTheme="majorHAnsi" w:hAnsiTheme="majorHAnsi"/>
          </w:rPr>
          <w:fldChar w:fldCharType="begin"/>
        </w:r>
        <w:r w:rsidRPr="00A0642B">
          <w:rPr>
            <w:rStyle w:val="PageNumber"/>
            <w:rFonts w:asciiTheme="majorHAnsi" w:hAnsiTheme="majorHAnsi"/>
          </w:rPr>
          <w:instrText xml:space="preserve"> PAGE </w:instrText>
        </w:r>
        <w:r w:rsidRPr="00A0642B">
          <w:rPr>
            <w:rStyle w:val="PageNumber"/>
            <w:rFonts w:asciiTheme="majorHAnsi" w:hAnsiTheme="majorHAnsi"/>
          </w:rPr>
          <w:fldChar w:fldCharType="separate"/>
        </w:r>
        <w:r w:rsidR="003C3DA9">
          <w:rPr>
            <w:rStyle w:val="PageNumber"/>
            <w:rFonts w:asciiTheme="majorHAnsi" w:hAnsiTheme="majorHAnsi"/>
            <w:noProof/>
          </w:rPr>
          <w:t>157</w:t>
        </w:r>
        <w:r w:rsidRPr="00A0642B">
          <w:rPr>
            <w:rStyle w:val="PageNumber"/>
            <w:rFonts w:asciiTheme="majorHAnsi" w:hAnsiTheme="majorHAnsi"/>
          </w:rPr>
          <w:fldChar w:fldCharType="end"/>
        </w:r>
      </w:p>
    </w:sdtContent>
  </w:sdt>
  <w:p w14:paraId="7FBBC6E1" w14:textId="77777777" w:rsidR="003B3E1D" w:rsidRPr="00A0642B" w:rsidRDefault="003B3E1D">
    <w:pPr>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1F890" w14:textId="77777777" w:rsidR="008D4B41" w:rsidRDefault="008D4B41">
      <w:r>
        <w:separator/>
      </w:r>
    </w:p>
  </w:footnote>
  <w:footnote w:type="continuationSeparator" w:id="0">
    <w:p w14:paraId="5926473A" w14:textId="77777777" w:rsidR="008D4B41" w:rsidRDefault="008D4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E85F7" w14:textId="77777777" w:rsidR="003B3E1D" w:rsidRDefault="003B3E1D">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E1B2EB0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A70479E"/>
    <w:multiLevelType w:val="hybridMultilevel"/>
    <w:tmpl w:val="49D02BDC"/>
    <w:lvl w:ilvl="0" w:tplc="EADEE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n-CA" w:vendorID="64" w:dllVersion="0" w:nlCheck="1" w:checkStyle="0"/>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029D1"/>
    <w:rsid w:val="0000487F"/>
    <w:rsid w:val="00004DA3"/>
    <w:rsid w:val="0000534B"/>
    <w:rsid w:val="000075A2"/>
    <w:rsid w:val="000112BB"/>
    <w:rsid w:val="0001304C"/>
    <w:rsid w:val="000134F4"/>
    <w:rsid w:val="00013B16"/>
    <w:rsid w:val="00014932"/>
    <w:rsid w:val="00014A3E"/>
    <w:rsid w:val="0001506F"/>
    <w:rsid w:val="000166A9"/>
    <w:rsid w:val="00020083"/>
    <w:rsid w:val="0002037F"/>
    <w:rsid w:val="000206EA"/>
    <w:rsid w:val="00020B02"/>
    <w:rsid w:val="000221E7"/>
    <w:rsid w:val="00022D74"/>
    <w:rsid w:val="00022D7C"/>
    <w:rsid w:val="00023335"/>
    <w:rsid w:val="00023A70"/>
    <w:rsid w:val="00024F72"/>
    <w:rsid w:val="00025001"/>
    <w:rsid w:val="00025AF2"/>
    <w:rsid w:val="0002614C"/>
    <w:rsid w:val="00026A5D"/>
    <w:rsid w:val="00030CA9"/>
    <w:rsid w:val="000310DD"/>
    <w:rsid w:val="00031F4F"/>
    <w:rsid w:val="00032057"/>
    <w:rsid w:val="000341BD"/>
    <w:rsid w:val="00034C9B"/>
    <w:rsid w:val="000371C1"/>
    <w:rsid w:val="00037ED0"/>
    <w:rsid w:val="00041354"/>
    <w:rsid w:val="0004187F"/>
    <w:rsid w:val="00041CB8"/>
    <w:rsid w:val="000420CD"/>
    <w:rsid w:val="00044172"/>
    <w:rsid w:val="00044939"/>
    <w:rsid w:val="00045386"/>
    <w:rsid w:val="00046427"/>
    <w:rsid w:val="000464C7"/>
    <w:rsid w:val="00047B18"/>
    <w:rsid w:val="0005058D"/>
    <w:rsid w:val="00055089"/>
    <w:rsid w:val="00055FAD"/>
    <w:rsid w:val="00056F99"/>
    <w:rsid w:val="00057004"/>
    <w:rsid w:val="00057328"/>
    <w:rsid w:val="00061706"/>
    <w:rsid w:val="00063969"/>
    <w:rsid w:val="00063D53"/>
    <w:rsid w:val="00065566"/>
    <w:rsid w:val="00066855"/>
    <w:rsid w:val="000671D8"/>
    <w:rsid w:val="000673A3"/>
    <w:rsid w:val="00067BDF"/>
    <w:rsid w:val="0007009A"/>
    <w:rsid w:val="000707FD"/>
    <w:rsid w:val="00071FB8"/>
    <w:rsid w:val="0007408A"/>
    <w:rsid w:val="00076710"/>
    <w:rsid w:val="00076900"/>
    <w:rsid w:val="00076A95"/>
    <w:rsid w:val="0007721D"/>
    <w:rsid w:val="000772B3"/>
    <w:rsid w:val="00080DF3"/>
    <w:rsid w:val="00081775"/>
    <w:rsid w:val="0008281D"/>
    <w:rsid w:val="00082E17"/>
    <w:rsid w:val="00083665"/>
    <w:rsid w:val="0008549C"/>
    <w:rsid w:val="0008611D"/>
    <w:rsid w:val="000870D3"/>
    <w:rsid w:val="0008743F"/>
    <w:rsid w:val="000943AA"/>
    <w:rsid w:val="000957C1"/>
    <w:rsid w:val="00097277"/>
    <w:rsid w:val="000A2D85"/>
    <w:rsid w:val="000A36FD"/>
    <w:rsid w:val="000A44D8"/>
    <w:rsid w:val="000A51F2"/>
    <w:rsid w:val="000A6D75"/>
    <w:rsid w:val="000B029A"/>
    <w:rsid w:val="000B0A40"/>
    <w:rsid w:val="000B2C8F"/>
    <w:rsid w:val="000B2FE3"/>
    <w:rsid w:val="000B31BA"/>
    <w:rsid w:val="000B38F0"/>
    <w:rsid w:val="000B466D"/>
    <w:rsid w:val="000B5447"/>
    <w:rsid w:val="000B5C42"/>
    <w:rsid w:val="000B600D"/>
    <w:rsid w:val="000B61F7"/>
    <w:rsid w:val="000B715E"/>
    <w:rsid w:val="000B73CF"/>
    <w:rsid w:val="000B79E2"/>
    <w:rsid w:val="000D0757"/>
    <w:rsid w:val="000D084C"/>
    <w:rsid w:val="000D0F01"/>
    <w:rsid w:val="000D2FE4"/>
    <w:rsid w:val="000D342B"/>
    <w:rsid w:val="000D3863"/>
    <w:rsid w:val="000D3B81"/>
    <w:rsid w:val="000D67E0"/>
    <w:rsid w:val="000D6D57"/>
    <w:rsid w:val="000D6E59"/>
    <w:rsid w:val="000D7A73"/>
    <w:rsid w:val="000D7CEE"/>
    <w:rsid w:val="000D7E89"/>
    <w:rsid w:val="000E0035"/>
    <w:rsid w:val="000E0EA0"/>
    <w:rsid w:val="000E4048"/>
    <w:rsid w:val="000E6098"/>
    <w:rsid w:val="000E74B6"/>
    <w:rsid w:val="000F058F"/>
    <w:rsid w:val="000F0EBD"/>
    <w:rsid w:val="000F1A96"/>
    <w:rsid w:val="000F2E7B"/>
    <w:rsid w:val="000F3569"/>
    <w:rsid w:val="000F3589"/>
    <w:rsid w:val="000F5017"/>
    <w:rsid w:val="000F6A3C"/>
    <w:rsid w:val="000F7113"/>
    <w:rsid w:val="001004CC"/>
    <w:rsid w:val="00100671"/>
    <w:rsid w:val="0010217F"/>
    <w:rsid w:val="00102F7D"/>
    <w:rsid w:val="00103997"/>
    <w:rsid w:val="00105325"/>
    <w:rsid w:val="0010564B"/>
    <w:rsid w:val="0010662F"/>
    <w:rsid w:val="001072C0"/>
    <w:rsid w:val="00110975"/>
    <w:rsid w:val="00110F7B"/>
    <w:rsid w:val="00112F00"/>
    <w:rsid w:val="00114112"/>
    <w:rsid w:val="001165DF"/>
    <w:rsid w:val="0011797B"/>
    <w:rsid w:val="00117FEA"/>
    <w:rsid w:val="00123092"/>
    <w:rsid w:val="0012321B"/>
    <w:rsid w:val="00125093"/>
    <w:rsid w:val="001260F8"/>
    <w:rsid w:val="00126142"/>
    <w:rsid w:val="00126211"/>
    <w:rsid w:val="00131B78"/>
    <w:rsid w:val="001324F8"/>
    <w:rsid w:val="00133390"/>
    <w:rsid w:val="00134B7B"/>
    <w:rsid w:val="00141DF3"/>
    <w:rsid w:val="00141FB9"/>
    <w:rsid w:val="00142530"/>
    <w:rsid w:val="001445D1"/>
    <w:rsid w:val="00144F48"/>
    <w:rsid w:val="0014502D"/>
    <w:rsid w:val="0014553E"/>
    <w:rsid w:val="0014628A"/>
    <w:rsid w:val="0014731D"/>
    <w:rsid w:val="00157482"/>
    <w:rsid w:val="0016051E"/>
    <w:rsid w:val="0016070C"/>
    <w:rsid w:val="00161ED6"/>
    <w:rsid w:val="001669A7"/>
    <w:rsid w:val="00167060"/>
    <w:rsid w:val="0017138E"/>
    <w:rsid w:val="0017203C"/>
    <w:rsid w:val="00173751"/>
    <w:rsid w:val="00177D09"/>
    <w:rsid w:val="0018151B"/>
    <w:rsid w:val="001821C8"/>
    <w:rsid w:val="00184344"/>
    <w:rsid w:val="001854FB"/>
    <w:rsid w:val="0018661C"/>
    <w:rsid w:val="00186C1F"/>
    <w:rsid w:val="001878E0"/>
    <w:rsid w:val="00191AF4"/>
    <w:rsid w:val="00191DD7"/>
    <w:rsid w:val="00192244"/>
    <w:rsid w:val="0019300F"/>
    <w:rsid w:val="00193642"/>
    <w:rsid w:val="00196329"/>
    <w:rsid w:val="00196A05"/>
    <w:rsid w:val="00197CD6"/>
    <w:rsid w:val="001A0D20"/>
    <w:rsid w:val="001A3E8D"/>
    <w:rsid w:val="001A6516"/>
    <w:rsid w:val="001A6887"/>
    <w:rsid w:val="001A6C7F"/>
    <w:rsid w:val="001A702A"/>
    <w:rsid w:val="001A72B9"/>
    <w:rsid w:val="001A7B81"/>
    <w:rsid w:val="001B011F"/>
    <w:rsid w:val="001B0419"/>
    <w:rsid w:val="001B047A"/>
    <w:rsid w:val="001B0A3A"/>
    <w:rsid w:val="001B1BC9"/>
    <w:rsid w:val="001B3226"/>
    <w:rsid w:val="001B47D6"/>
    <w:rsid w:val="001B5AB4"/>
    <w:rsid w:val="001B7CA2"/>
    <w:rsid w:val="001C0D17"/>
    <w:rsid w:val="001C1168"/>
    <w:rsid w:val="001C11F3"/>
    <w:rsid w:val="001C2F5B"/>
    <w:rsid w:val="001C39F6"/>
    <w:rsid w:val="001C5A63"/>
    <w:rsid w:val="001C66AF"/>
    <w:rsid w:val="001C66FE"/>
    <w:rsid w:val="001C67C2"/>
    <w:rsid w:val="001C6B11"/>
    <w:rsid w:val="001C6C23"/>
    <w:rsid w:val="001D0677"/>
    <w:rsid w:val="001D20F6"/>
    <w:rsid w:val="001D2183"/>
    <w:rsid w:val="001D3716"/>
    <w:rsid w:val="001D38E7"/>
    <w:rsid w:val="001D4908"/>
    <w:rsid w:val="001D4A97"/>
    <w:rsid w:val="001D6904"/>
    <w:rsid w:val="001D7231"/>
    <w:rsid w:val="001E2474"/>
    <w:rsid w:val="001E2714"/>
    <w:rsid w:val="001E3458"/>
    <w:rsid w:val="001E5FE1"/>
    <w:rsid w:val="001E7276"/>
    <w:rsid w:val="001E72C4"/>
    <w:rsid w:val="001F063D"/>
    <w:rsid w:val="001F1AC0"/>
    <w:rsid w:val="001F1B9F"/>
    <w:rsid w:val="001F3DE3"/>
    <w:rsid w:val="001F4D2C"/>
    <w:rsid w:val="001F522F"/>
    <w:rsid w:val="001F5B7F"/>
    <w:rsid w:val="001F6AA4"/>
    <w:rsid w:val="001F6BCB"/>
    <w:rsid w:val="001F7487"/>
    <w:rsid w:val="001F7970"/>
    <w:rsid w:val="001F7E61"/>
    <w:rsid w:val="00201DF4"/>
    <w:rsid w:val="002039E1"/>
    <w:rsid w:val="00204746"/>
    <w:rsid w:val="00206090"/>
    <w:rsid w:val="002066D9"/>
    <w:rsid w:val="00207219"/>
    <w:rsid w:val="0021084A"/>
    <w:rsid w:val="002131BE"/>
    <w:rsid w:val="002150F8"/>
    <w:rsid w:val="00215C36"/>
    <w:rsid w:val="002161CD"/>
    <w:rsid w:val="0021627D"/>
    <w:rsid w:val="00216C8A"/>
    <w:rsid w:val="00217626"/>
    <w:rsid w:val="00221D7E"/>
    <w:rsid w:val="00223AA9"/>
    <w:rsid w:val="00223FFF"/>
    <w:rsid w:val="00226605"/>
    <w:rsid w:val="0023005F"/>
    <w:rsid w:val="00230C10"/>
    <w:rsid w:val="00230D54"/>
    <w:rsid w:val="00232FCE"/>
    <w:rsid w:val="002333BB"/>
    <w:rsid w:val="0023378E"/>
    <w:rsid w:val="00236E6D"/>
    <w:rsid w:val="00237E81"/>
    <w:rsid w:val="00241064"/>
    <w:rsid w:val="002429E5"/>
    <w:rsid w:val="0024459F"/>
    <w:rsid w:val="002458EF"/>
    <w:rsid w:val="00245C4D"/>
    <w:rsid w:val="00245D0D"/>
    <w:rsid w:val="00247009"/>
    <w:rsid w:val="002507BF"/>
    <w:rsid w:val="00250EF0"/>
    <w:rsid w:val="002520EB"/>
    <w:rsid w:val="00252499"/>
    <w:rsid w:val="00253386"/>
    <w:rsid w:val="00253AFC"/>
    <w:rsid w:val="00264E4C"/>
    <w:rsid w:val="0026596B"/>
    <w:rsid w:val="0026736B"/>
    <w:rsid w:val="00270601"/>
    <w:rsid w:val="00272FF7"/>
    <w:rsid w:val="00273371"/>
    <w:rsid w:val="00274E57"/>
    <w:rsid w:val="00280CEF"/>
    <w:rsid w:val="0028259C"/>
    <w:rsid w:val="00282DC3"/>
    <w:rsid w:val="00284FAE"/>
    <w:rsid w:val="002861E9"/>
    <w:rsid w:val="00287015"/>
    <w:rsid w:val="0028757A"/>
    <w:rsid w:val="002912A1"/>
    <w:rsid w:val="0029212F"/>
    <w:rsid w:val="0029289E"/>
    <w:rsid w:val="00293234"/>
    <w:rsid w:val="00293E49"/>
    <w:rsid w:val="002970C8"/>
    <w:rsid w:val="00297501"/>
    <w:rsid w:val="002A107A"/>
    <w:rsid w:val="002A1678"/>
    <w:rsid w:val="002A1A1A"/>
    <w:rsid w:val="002A3414"/>
    <w:rsid w:val="002A3838"/>
    <w:rsid w:val="002A60DC"/>
    <w:rsid w:val="002A61B8"/>
    <w:rsid w:val="002A6695"/>
    <w:rsid w:val="002B0031"/>
    <w:rsid w:val="002B139C"/>
    <w:rsid w:val="002B21A1"/>
    <w:rsid w:val="002B22FB"/>
    <w:rsid w:val="002B3891"/>
    <w:rsid w:val="002B42EF"/>
    <w:rsid w:val="002B60F4"/>
    <w:rsid w:val="002B6A13"/>
    <w:rsid w:val="002B7188"/>
    <w:rsid w:val="002B74BF"/>
    <w:rsid w:val="002B7817"/>
    <w:rsid w:val="002C0CAF"/>
    <w:rsid w:val="002C11DC"/>
    <w:rsid w:val="002C234B"/>
    <w:rsid w:val="002C2D32"/>
    <w:rsid w:val="002C3414"/>
    <w:rsid w:val="002C35FC"/>
    <w:rsid w:val="002C3750"/>
    <w:rsid w:val="002C3778"/>
    <w:rsid w:val="002C505A"/>
    <w:rsid w:val="002C5A31"/>
    <w:rsid w:val="002C61F8"/>
    <w:rsid w:val="002C6318"/>
    <w:rsid w:val="002C6CA7"/>
    <w:rsid w:val="002D0574"/>
    <w:rsid w:val="002D05C3"/>
    <w:rsid w:val="002D0CC4"/>
    <w:rsid w:val="002D1FE4"/>
    <w:rsid w:val="002D23F2"/>
    <w:rsid w:val="002D245D"/>
    <w:rsid w:val="002D470F"/>
    <w:rsid w:val="002D4B13"/>
    <w:rsid w:val="002D507A"/>
    <w:rsid w:val="002D7E52"/>
    <w:rsid w:val="002E0E3E"/>
    <w:rsid w:val="002E1060"/>
    <w:rsid w:val="002E2492"/>
    <w:rsid w:val="002E363C"/>
    <w:rsid w:val="002E4488"/>
    <w:rsid w:val="002E49AC"/>
    <w:rsid w:val="002E4EF2"/>
    <w:rsid w:val="002E5E94"/>
    <w:rsid w:val="002E6E6F"/>
    <w:rsid w:val="002E7BFE"/>
    <w:rsid w:val="002F0057"/>
    <w:rsid w:val="002F15D8"/>
    <w:rsid w:val="002F205A"/>
    <w:rsid w:val="002F3027"/>
    <w:rsid w:val="002F37A1"/>
    <w:rsid w:val="002F492D"/>
    <w:rsid w:val="002F6041"/>
    <w:rsid w:val="003000D4"/>
    <w:rsid w:val="00300E89"/>
    <w:rsid w:val="0030288C"/>
    <w:rsid w:val="00304BD0"/>
    <w:rsid w:val="00304F2E"/>
    <w:rsid w:val="00306C63"/>
    <w:rsid w:val="00307D77"/>
    <w:rsid w:val="00311962"/>
    <w:rsid w:val="00311F1A"/>
    <w:rsid w:val="0031206E"/>
    <w:rsid w:val="003125B7"/>
    <w:rsid w:val="00313E9E"/>
    <w:rsid w:val="00314EAF"/>
    <w:rsid w:val="003150D5"/>
    <w:rsid w:val="00316C13"/>
    <w:rsid w:val="00317831"/>
    <w:rsid w:val="003203ED"/>
    <w:rsid w:val="00320469"/>
    <w:rsid w:val="00320F78"/>
    <w:rsid w:val="00321582"/>
    <w:rsid w:val="0032201A"/>
    <w:rsid w:val="00322958"/>
    <w:rsid w:val="003236A9"/>
    <w:rsid w:val="0032372B"/>
    <w:rsid w:val="0032408C"/>
    <w:rsid w:val="0033081D"/>
    <w:rsid w:val="00332F15"/>
    <w:rsid w:val="00336731"/>
    <w:rsid w:val="00342911"/>
    <w:rsid w:val="00343128"/>
    <w:rsid w:val="003437D7"/>
    <w:rsid w:val="00344C10"/>
    <w:rsid w:val="00346582"/>
    <w:rsid w:val="00347194"/>
    <w:rsid w:val="00351D45"/>
    <w:rsid w:val="00352B0E"/>
    <w:rsid w:val="00353B65"/>
    <w:rsid w:val="00354172"/>
    <w:rsid w:val="00354430"/>
    <w:rsid w:val="003552B4"/>
    <w:rsid w:val="00356465"/>
    <w:rsid w:val="0035768F"/>
    <w:rsid w:val="00360AD8"/>
    <w:rsid w:val="00360BC6"/>
    <w:rsid w:val="00360CC8"/>
    <w:rsid w:val="00361D77"/>
    <w:rsid w:val="003638FB"/>
    <w:rsid w:val="00363AF5"/>
    <w:rsid w:val="00364325"/>
    <w:rsid w:val="0036457A"/>
    <w:rsid w:val="003670D1"/>
    <w:rsid w:val="0036749C"/>
    <w:rsid w:val="00367AF5"/>
    <w:rsid w:val="00370173"/>
    <w:rsid w:val="00371C00"/>
    <w:rsid w:val="00372BB7"/>
    <w:rsid w:val="0037379A"/>
    <w:rsid w:val="0038177C"/>
    <w:rsid w:val="0038325F"/>
    <w:rsid w:val="003836EB"/>
    <w:rsid w:val="003842C1"/>
    <w:rsid w:val="0038480C"/>
    <w:rsid w:val="00386CCC"/>
    <w:rsid w:val="00387024"/>
    <w:rsid w:val="0038761F"/>
    <w:rsid w:val="00387D62"/>
    <w:rsid w:val="00391176"/>
    <w:rsid w:val="00391DB1"/>
    <w:rsid w:val="003924BA"/>
    <w:rsid w:val="003924D3"/>
    <w:rsid w:val="00392776"/>
    <w:rsid w:val="0039365D"/>
    <w:rsid w:val="003945B7"/>
    <w:rsid w:val="00395672"/>
    <w:rsid w:val="003961BA"/>
    <w:rsid w:val="003963D3"/>
    <w:rsid w:val="00397D94"/>
    <w:rsid w:val="00397DA5"/>
    <w:rsid w:val="003A01E0"/>
    <w:rsid w:val="003A0F1C"/>
    <w:rsid w:val="003A1A91"/>
    <w:rsid w:val="003A34D7"/>
    <w:rsid w:val="003A5CD0"/>
    <w:rsid w:val="003A76EE"/>
    <w:rsid w:val="003A7AB0"/>
    <w:rsid w:val="003A7F12"/>
    <w:rsid w:val="003B28B0"/>
    <w:rsid w:val="003B3B63"/>
    <w:rsid w:val="003B3E1D"/>
    <w:rsid w:val="003B58BC"/>
    <w:rsid w:val="003B7A18"/>
    <w:rsid w:val="003C1575"/>
    <w:rsid w:val="003C1985"/>
    <w:rsid w:val="003C3DA9"/>
    <w:rsid w:val="003C494C"/>
    <w:rsid w:val="003C5062"/>
    <w:rsid w:val="003C59B7"/>
    <w:rsid w:val="003C74DE"/>
    <w:rsid w:val="003C7E35"/>
    <w:rsid w:val="003D07F7"/>
    <w:rsid w:val="003D0C43"/>
    <w:rsid w:val="003D1246"/>
    <w:rsid w:val="003D12CA"/>
    <w:rsid w:val="003D1908"/>
    <w:rsid w:val="003D2C2A"/>
    <w:rsid w:val="003D39A3"/>
    <w:rsid w:val="003D5275"/>
    <w:rsid w:val="003D63DF"/>
    <w:rsid w:val="003D6469"/>
    <w:rsid w:val="003D737F"/>
    <w:rsid w:val="003E0256"/>
    <w:rsid w:val="003E2944"/>
    <w:rsid w:val="003E4EE8"/>
    <w:rsid w:val="003E50F4"/>
    <w:rsid w:val="003E5EA7"/>
    <w:rsid w:val="003E6AF0"/>
    <w:rsid w:val="003F0F27"/>
    <w:rsid w:val="003F0FA8"/>
    <w:rsid w:val="003F19FB"/>
    <w:rsid w:val="003F3619"/>
    <w:rsid w:val="003F4E1D"/>
    <w:rsid w:val="003F503D"/>
    <w:rsid w:val="003F7474"/>
    <w:rsid w:val="003F7BC8"/>
    <w:rsid w:val="003F7C40"/>
    <w:rsid w:val="003F7FED"/>
    <w:rsid w:val="004021E3"/>
    <w:rsid w:val="00402B74"/>
    <w:rsid w:val="00403E1C"/>
    <w:rsid w:val="00403F23"/>
    <w:rsid w:val="00404616"/>
    <w:rsid w:val="00405A2C"/>
    <w:rsid w:val="004065E0"/>
    <w:rsid w:val="00407B6A"/>
    <w:rsid w:val="00411866"/>
    <w:rsid w:val="00411DAA"/>
    <w:rsid w:val="0041346A"/>
    <w:rsid w:val="00414400"/>
    <w:rsid w:val="00414F05"/>
    <w:rsid w:val="00415C05"/>
    <w:rsid w:val="00416762"/>
    <w:rsid w:val="00416F15"/>
    <w:rsid w:val="00420910"/>
    <w:rsid w:val="00421CD4"/>
    <w:rsid w:val="00421D82"/>
    <w:rsid w:val="004226A8"/>
    <w:rsid w:val="0042296F"/>
    <w:rsid w:val="00422FB2"/>
    <w:rsid w:val="00423355"/>
    <w:rsid w:val="0042652B"/>
    <w:rsid w:val="00426597"/>
    <w:rsid w:val="00426B5B"/>
    <w:rsid w:val="00427833"/>
    <w:rsid w:val="004314C3"/>
    <w:rsid w:val="00431763"/>
    <w:rsid w:val="004321E4"/>
    <w:rsid w:val="00432349"/>
    <w:rsid w:val="00433581"/>
    <w:rsid w:val="00434D1D"/>
    <w:rsid w:val="004355DD"/>
    <w:rsid w:val="00437272"/>
    <w:rsid w:val="0044196E"/>
    <w:rsid w:val="00442832"/>
    <w:rsid w:val="00446D9D"/>
    <w:rsid w:val="00446FBF"/>
    <w:rsid w:val="00447437"/>
    <w:rsid w:val="0045243E"/>
    <w:rsid w:val="00453FF3"/>
    <w:rsid w:val="00454508"/>
    <w:rsid w:val="004564C1"/>
    <w:rsid w:val="004566B0"/>
    <w:rsid w:val="004573DA"/>
    <w:rsid w:val="004574AF"/>
    <w:rsid w:val="00457723"/>
    <w:rsid w:val="004605C8"/>
    <w:rsid w:val="004635DE"/>
    <w:rsid w:val="00464A02"/>
    <w:rsid w:val="00464BA0"/>
    <w:rsid w:val="004655FA"/>
    <w:rsid w:val="00470DCF"/>
    <w:rsid w:val="00472424"/>
    <w:rsid w:val="00474210"/>
    <w:rsid w:val="0047503C"/>
    <w:rsid w:val="00477B76"/>
    <w:rsid w:val="00480B96"/>
    <w:rsid w:val="004817B6"/>
    <w:rsid w:val="00482872"/>
    <w:rsid w:val="00482D1C"/>
    <w:rsid w:val="0048303E"/>
    <w:rsid w:val="004844EE"/>
    <w:rsid w:val="004861DF"/>
    <w:rsid w:val="0048657F"/>
    <w:rsid w:val="004909D9"/>
    <w:rsid w:val="00491F84"/>
    <w:rsid w:val="004920F6"/>
    <w:rsid w:val="00494854"/>
    <w:rsid w:val="00495A8D"/>
    <w:rsid w:val="004A0C63"/>
    <w:rsid w:val="004A0D30"/>
    <w:rsid w:val="004A1B3F"/>
    <w:rsid w:val="004A33A7"/>
    <w:rsid w:val="004A359D"/>
    <w:rsid w:val="004A3671"/>
    <w:rsid w:val="004A417B"/>
    <w:rsid w:val="004A67E8"/>
    <w:rsid w:val="004A7862"/>
    <w:rsid w:val="004B0793"/>
    <w:rsid w:val="004B1A30"/>
    <w:rsid w:val="004B3315"/>
    <w:rsid w:val="004B37ED"/>
    <w:rsid w:val="004B3A67"/>
    <w:rsid w:val="004B3D62"/>
    <w:rsid w:val="004B433A"/>
    <w:rsid w:val="004B7A41"/>
    <w:rsid w:val="004B7E4C"/>
    <w:rsid w:val="004C12C3"/>
    <w:rsid w:val="004C13F7"/>
    <w:rsid w:val="004C2A1B"/>
    <w:rsid w:val="004C3D65"/>
    <w:rsid w:val="004C4466"/>
    <w:rsid w:val="004C5A95"/>
    <w:rsid w:val="004C6810"/>
    <w:rsid w:val="004C69CA"/>
    <w:rsid w:val="004D05F5"/>
    <w:rsid w:val="004D08E1"/>
    <w:rsid w:val="004D10C4"/>
    <w:rsid w:val="004D3247"/>
    <w:rsid w:val="004D42E2"/>
    <w:rsid w:val="004D59AA"/>
    <w:rsid w:val="004D6472"/>
    <w:rsid w:val="004D6A00"/>
    <w:rsid w:val="004D6EA6"/>
    <w:rsid w:val="004E1243"/>
    <w:rsid w:val="004E237F"/>
    <w:rsid w:val="004E2B44"/>
    <w:rsid w:val="004E2C3E"/>
    <w:rsid w:val="004E2EC1"/>
    <w:rsid w:val="004E6CA8"/>
    <w:rsid w:val="004E77FF"/>
    <w:rsid w:val="004F08CE"/>
    <w:rsid w:val="004F2A08"/>
    <w:rsid w:val="004F2A1B"/>
    <w:rsid w:val="004F5B34"/>
    <w:rsid w:val="004F60E9"/>
    <w:rsid w:val="004F73E1"/>
    <w:rsid w:val="004F7917"/>
    <w:rsid w:val="004F7B19"/>
    <w:rsid w:val="00501347"/>
    <w:rsid w:val="00502580"/>
    <w:rsid w:val="0050322D"/>
    <w:rsid w:val="00503906"/>
    <w:rsid w:val="00504A00"/>
    <w:rsid w:val="0050660D"/>
    <w:rsid w:val="00506E70"/>
    <w:rsid w:val="0051091E"/>
    <w:rsid w:val="00510C14"/>
    <w:rsid w:val="00513BB6"/>
    <w:rsid w:val="00515803"/>
    <w:rsid w:val="00515C46"/>
    <w:rsid w:val="00517448"/>
    <w:rsid w:val="00517887"/>
    <w:rsid w:val="00517F11"/>
    <w:rsid w:val="00517F69"/>
    <w:rsid w:val="0052281A"/>
    <w:rsid w:val="00523739"/>
    <w:rsid w:val="0052433C"/>
    <w:rsid w:val="00524C86"/>
    <w:rsid w:val="00525F03"/>
    <w:rsid w:val="005262C6"/>
    <w:rsid w:val="00527741"/>
    <w:rsid w:val="00527FC8"/>
    <w:rsid w:val="0053041A"/>
    <w:rsid w:val="005313AC"/>
    <w:rsid w:val="00531996"/>
    <w:rsid w:val="00532198"/>
    <w:rsid w:val="0053287B"/>
    <w:rsid w:val="00532A5B"/>
    <w:rsid w:val="00533A2C"/>
    <w:rsid w:val="005342AE"/>
    <w:rsid w:val="00535415"/>
    <w:rsid w:val="0054194B"/>
    <w:rsid w:val="00542EE7"/>
    <w:rsid w:val="005431BC"/>
    <w:rsid w:val="00544850"/>
    <w:rsid w:val="00546063"/>
    <w:rsid w:val="0054648A"/>
    <w:rsid w:val="0054654C"/>
    <w:rsid w:val="00550694"/>
    <w:rsid w:val="005525B9"/>
    <w:rsid w:val="00552850"/>
    <w:rsid w:val="00552C47"/>
    <w:rsid w:val="005533A1"/>
    <w:rsid w:val="00553F51"/>
    <w:rsid w:val="00554251"/>
    <w:rsid w:val="005560F8"/>
    <w:rsid w:val="00556FEC"/>
    <w:rsid w:val="0055772E"/>
    <w:rsid w:val="005609B1"/>
    <w:rsid w:val="00562EB1"/>
    <w:rsid w:val="00563912"/>
    <w:rsid w:val="00563D05"/>
    <w:rsid w:val="00563DBE"/>
    <w:rsid w:val="0056592A"/>
    <w:rsid w:val="00566428"/>
    <w:rsid w:val="00566B49"/>
    <w:rsid w:val="00567780"/>
    <w:rsid w:val="005748EB"/>
    <w:rsid w:val="0057705C"/>
    <w:rsid w:val="00580739"/>
    <w:rsid w:val="0058156C"/>
    <w:rsid w:val="0058164B"/>
    <w:rsid w:val="00583A82"/>
    <w:rsid w:val="0058535F"/>
    <w:rsid w:val="00585B9B"/>
    <w:rsid w:val="00585CDC"/>
    <w:rsid w:val="00586375"/>
    <w:rsid w:val="0058771B"/>
    <w:rsid w:val="00587CEE"/>
    <w:rsid w:val="00592ADA"/>
    <w:rsid w:val="005931C0"/>
    <w:rsid w:val="00593CBB"/>
    <w:rsid w:val="00596072"/>
    <w:rsid w:val="00597112"/>
    <w:rsid w:val="00597D3F"/>
    <w:rsid w:val="005A0361"/>
    <w:rsid w:val="005A0EB0"/>
    <w:rsid w:val="005A13BA"/>
    <w:rsid w:val="005A149C"/>
    <w:rsid w:val="005A29B4"/>
    <w:rsid w:val="005A4E5A"/>
    <w:rsid w:val="005A52E9"/>
    <w:rsid w:val="005A6C98"/>
    <w:rsid w:val="005A7293"/>
    <w:rsid w:val="005A72CD"/>
    <w:rsid w:val="005B108D"/>
    <w:rsid w:val="005B1623"/>
    <w:rsid w:val="005B2485"/>
    <w:rsid w:val="005B2F9F"/>
    <w:rsid w:val="005B4BD8"/>
    <w:rsid w:val="005B4CD1"/>
    <w:rsid w:val="005B657B"/>
    <w:rsid w:val="005B6BBF"/>
    <w:rsid w:val="005B785A"/>
    <w:rsid w:val="005B79E9"/>
    <w:rsid w:val="005C0772"/>
    <w:rsid w:val="005C14F9"/>
    <w:rsid w:val="005C17B4"/>
    <w:rsid w:val="005C21D6"/>
    <w:rsid w:val="005C2D0C"/>
    <w:rsid w:val="005C592A"/>
    <w:rsid w:val="005C5A75"/>
    <w:rsid w:val="005C771A"/>
    <w:rsid w:val="005D0BCA"/>
    <w:rsid w:val="005D3A57"/>
    <w:rsid w:val="005D549A"/>
    <w:rsid w:val="005E00EC"/>
    <w:rsid w:val="005E01B9"/>
    <w:rsid w:val="005E3150"/>
    <w:rsid w:val="005E4912"/>
    <w:rsid w:val="005E588B"/>
    <w:rsid w:val="005E60DA"/>
    <w:rsid w:val="005E6738"/>
    <w:rsid w:val="005E6F1F"/>
    <w:rsid w:val="005F0B26"/>
    <w:rsid w:val="005F2008"/>
    <w:rsid w:val="005F2B0B"/>
    <w:rsid w:val="005F3CA2"/>
    <w:rsid w:val="005F4125"/>
    <w:rsid w:val="005F44D1"/>
    <w:rsid w:val="005F45D7"/>
    <w:rsid w:val="005F53B0"/>
    <w:rsid w:val="005F5890"/>
    <w:rsid w:val="005F64F9"/>
    <w:rsid w:val="005F697E"/>
    <w:rsid w:val="005F7F66"/>
    <w:rsid w:val="00600278"/>
    <w:rsid w:val="006002AA"/>
    <w:rsid w:val="00600490"/>
    <w:rsid w:val="00600510"/>
    <w:rsid w:val="00602872"/>
    <w:rsid w:val="0060299F"/>
    <w:rsid w:val="00603BAF"/>
    <w:rsid w:val="0060491E"/>
    <w:rsid w:val="00605283"/>
    <w:rsid w:val="00607359"/>
    <w:rsid w:val="00611463"/>
    <w:rsid w:val="006120B6"/>
    <w:rsid w:val="0061230D"/>
    <w:rsid w:val="00614F8C"/>
    <w:rsid w:val="00620A50"/>
    <w:rsid w:val="00621129"/>
    <w:rsid w:val="00622485"/>
    <w:rsid w:val="006242D3"/>
    <w:rsid w:val="00624704"/>
    <w:rsid w:val="00625940"/>
    <w:rsid w:val="00625A21"/>
    <w:rsid w:val="00625C03"/>
    <w:rsid w:val="00625D5F"/>
    <w:rsid w:val="00626218"/>
    <w:rsid w:val="00626B7F"/>
    <w:rsid w:val="00627735"/>
    <w:rsid w:val="006301AD"/>
    <w:rsid w:val="0063032D"/>
    <w:rsid w:val="00630EE9"/>
    <w:rsid w:val="00632E50"/>
    <w:rsid w:val="00633916"/>
    <w:rsid w:val="00633BCE"/>
    <w:rsid w:val="00634172"/>
    <w:rsid w:val="00634893"/>
    <w:rsid w:val="00634A40"/>
    <w:rsid w:val="006359F3"/>
    <w:rsid w:val="0063644D"/>
    <w:rsid w:val="00637928"/>
    <w:rsid w:val="00640294"/>
    <w:rsid w:val="00641579"/>
    <w:rsid w:val="00641D2B"/>
    <w:rsid w:val="00642386"/>
    <w:rsid w:val="006424E1"/>
    <w:rsid w:val="00642F3E"/>
    <w:rsid w:val="006432DB"/>
    <w:rsid w:val="00643E59"/>
    <w:rsid w:val="00645D3A"/>
    <w:rsid w:val="00646163"/>
    <w:rsid w:val="00647A5E"/>
    <w:rsid w:val="00647E4E"/>
    <w:rsid w:val="0065123B"/>
    <w:rsid w:val="006513E1"/>
    <w:rsid w:val="00653293"/>
    <w:rsid w:val="00657F92"/>
    <w:rsid w:val="00660355"/>
    <w:rsid w:val="00660E49"/>
    <w:rsid w:val="00662D3E"/>
    <w:rsid w:val="00663040"/>
    <w:rsid w:val="00663C24"/>
    <w:rsid w:val="006644EF"/>
    <w:rsid w:val="00664DCE"/>
    <w:rsid w:val="0066517B"/>
    <w:rsid w:val="006659AB"/>
    <w:rsid w:val="00665C7E"/>
    <w:rsid w:val="00665D42"/>
    <w:rsid w:val="00666A05"/>
    <w:rsid w:val="0066790F"/>
    <w:rsid w:val="00667C64"/>
    <w:rsid w:val="00667FE8"/>
    <w:rsid w:val="00670356"/>
    <w:rsid w:val="00670465"/>
    <w:rsid w:val="0067293F"/>
    <w:rsid w:val="00672A2D"/>
    <w:rsid w:val="00672DDD"/>
    <w:rsid w:val="006756D1"/>
    <w:rsid w:val="00675BFA"/>
    <w:rsid w:val="00676C91"/>
    <w:rsid w:val="00676F27"/>
    <w:rsid w:val="00677243"/>
    <w:rsid w:val="00680695"/>
    <w:rsid w:val="006818BC"/>
    <w:rsid w:val="00682031"/>
    <w:rsid w:val="00682072"/>
    <w:rsid w:val="00683F5B"/>
    <w:rsid w:val="006846BA"/>
    <w:rsid w:val="006849CD"/>
    <w:rsid w:val="006855A8"/>
    <w:rsid w:val="006858ED"/>
    <w:rsid w:val="00685E69"/>
    <w:rsid w:val="00686D1E"/>
    <w:rsid w:val="00686D20"/>
    <w:rsid w:val="00687CFA"/>
    <w:rsid w:val="00687F1D"/>
    <w:rsid w:val="00687FEB"/>
    <w:rsid w:val="00690546"/>
    <w:rsid w:val="00690B77"/>
    <w:rsid w:val="00693334"/>
    <w:rsid w:val="00694D78"/>
    <w:rsid w:val="00695454"/>
    <w:rsid w:val="006A0401"/>
    <w:rsid w:val="006A3D0F"/>
    <w:rsid w:val="006A45C3"/>
    <w:rsid w:val="006A60BA"/>
    <w:rsid w:val="006A7E75"/>
    <w:rsid w:val="006B34F1"/>
    <w:rsid w:val="006B3522"/>
    <w:rsid w:val="006B36A5"/>
    <w:rsid w:val="006B419E"/>
    <w:rsid w:val="006B6A94"/>
    <w:rsid w:val="006B75EE"/>
    <w:rsid w:val="006C0A1F"/>
    <w:rsid w:val="006C2481"/>
    <w:rsid w:val="006C3040"/>
    <w:rsid w:val="006C4000"/>
    <w:rsid w:val="006C5F7C"/>
    <w:rsid w:val="006C6082"/>
    <w:rsid w:val="006C7736"/>
    <w:rsid w:val="006C7A4A"/>
    <w:rsid w:val="006D01B0"/>
    <w:rsid w:val="006D0E39"/>
    <w:rsid w:val="006D102B"/>
    <w:rsid w:val="006D2857"/>
    <w:rsid w:val="006D474B"/>
    <w:rsid w:val="006D5665"/>
    <w:rsid w:val="006D5A21"/>
    <w:rsid w:val="006D5E2A"/>
    <w:rsid w:val="006E17C3"/>
    <w:rsid w:val="006E1E6D"/>
    <w:rsid w:val="006E47BE"/>
    <w:rsid w:val="006E4BDD"/>
    <w:rsid w:val="006E56E8"/>
    <w:rsid w:val="006E7449"/>
    <w:rsid w:val="006F0432"/>
    <w:rsid w:val="006F29A2"/>
    <w:rsid w:val="006F2D26"/>
    <w:rsid w:val="0070082D"/>
    <w:rsid w:val="00701DA3"/>
    <w:rsid w:val="00704A0F"/>
    <w:rsid w:val="007056CE"/>
    <w:rsid w:val="00711200"/>
    <w:rsid w:val="00712BBA"/>
    <w:rsid w:val="00712E75"/>
    <w:rsid w:val="007138B0"/>
    <w:rsid w:val="00715CE5"/>
    <w:rsid w:val="007163EA"/>
    <w:rsid w:val="00717351"/>
    <w:rsid w:val="00717A13"/>
    <w:rsid w:val="0072397F"/>
    <w:rsid w:val="00723CE8"/>
    <w:rsid w:val="007247D5"/>
    <w:rsid w:val="007263C2"/>
    <w:rsid w:val="0072710F"/>
    <w:rsid w:val="00731922"/>
    <w:rsid w:val="00731ACB"/>
    <w:rsid w:val="007368AD"/>
    <w:rsid w:val="00736C9B"/>
    <w:rsid w:val="00737C48"/>
    <w:rsid w:val="00737F54"/>
    <w:rsid w:val="00740695"/>
    <w:rsid w:val="0074133D"/>
    <w:rsid w:val="0074293C"/>
    <w:rsid w:val="00743C18"/>
    <w:rsid w:val="007440A5"/>
    <w:rsid w:val="007449AA"/>
    <w:rsid w:val="00745377"/>
    <w:rsid w:val="00745AB0"/>
    <w:rsid w:val="0075157F"/>
    <w:rsid w:val="0075196D"/>
    <w:rsid w:val="0075255B"/>
    <w:rsid w:val="007530D1"/>
    <w:rsid w:val="007534C2"/>
    <w:rsid w:val="007535A4"/>
    <w:rsid w:val="00753EAD"/>
    <w:rsid w:val="0075558C"/>
    <w:rsid w:val="007570CA"/>
    <w:rsid w:val="00757765"/>
    <w:rsid w:val="00757AED"/>
    <w:rsid w:val="0076098C"/>
    <w:rsid w:val="00761EFA"/>
    <w:rsid w:val="007623A2"/>
    <w:rsid w:val="0076410E"/>
    <w:rsid w:val="007647DE"/>
    <w:rsid w:val="00764873"/>
    <w:rsid w:val="00764C9F"/>
    <w:rsid w:val="007657D2"/>
    <w:rsid w:val="00767C72"/>
    <w:rsid w:val="0077015B"/>
    <w:rsid w:val="00770514"/>
    <w:rsid w:val="00770E99"/>
    <w:rsid w:val="00772E72"/>
    <w:rsid w:val="00776D57"/>
    <w:rsid w:val="007778DD"/>
    <w:rsid w:val="00780479"/>
    <w:rsid w:val="00780729"/>
    <w:rsid w:val="007809FE"/>
    <w:rsid w:val="00780F09"/>
    <w:rsid w:val="0078149F"/>
    <w:rsid w:val="00783969"/>
    <w:rsid w:val="007857CC"/>
    <w:rsid w:val="00790B6C"/>
    <w:rsid w:val="0079112F"/>
    <w:rsid w:val="00793C19"/>
    <w:rsid w:val="007956F0"/>
    <w:rsid w:val="00795BC5"/>
    <w:rsid w:val="00795D03"/>
    <w:rsid w:val="00796693"/>
    <w:rsid w:val="0079736A"/>
    <w:rsid w:val="007A2511"/>
    <w:rsid w:val="007A4C33"/>
    <w:rsid w:val="007A5329"/>
    <w:rsid w:val="007A66E6"/>
    <w:rsid w:val="007B25BA"/>
    <w:rsid w:val="007B4610"/>
    <w:rsid w:val="007B5DD3"/>
    <w:rsid w:val="007B6253"/>
    <w:rsid w:val="007C038B"/>
    <w:rsid w:val="007C167B"/>
    <w:rsid w:val="007C1A2D"/>
    <w:rsid w:val="007C1D34"/>
    <w:rsid w:val="007C57EC"/>
    <w:rsid w:val="007C5F4E"/>
    <w:rsid w:val="007C695C"/>
    <w:rsid w:val="007C6F78"/>
    <w:rsid w:val="007C70D0"/>
    <w:rsid w:val="007C7591"/>
    <w:rsid w:val="007C7D8E"/>
    <w:rsid w:val="007D0624"/>
    <w:rsid w:val="007D2557"/>
    <w:rsid w:val="007D538B"/>
    <w:rsid w:val="007D55D7"/>
    <w:rsid w:val="007D586C"/>
    <w:rsid w:val="007D5CD5"/>
    <w:rsid w:val="007D681C"/>
    <w:rsid w:val="007D6F5C"/>
    <w:rsid w:val="007E0A60"/>
    <w:rsid w:val="007E391E"/>
    <w:rsid w:val="007E39A0"/>
    <w:rsid w:val="007E4350"/>
    <w:rsid w:val="007E483A"/>
    <w:rsid w:val="007E4DC2"/>
    <w:rsid w:val="007E537D"/>
    <w:rsid w:val="007E5FE2"/>
    <w:rsid w:val="007E6743"/>
    <w:rsid w:val="007F2798"/>
    <w:rsid w:val="007F2CAE"/>
    <w:rsid w:val="007F3323"/>
    <w:rsid w:val="007F4BC7"/>
    <w:rsid w:val="007F6AE9"/>
    <w:rsid w:val="007F6B7E"/>
    <w:rsid w:val="007F7272"/>
    <w:rsid w:val="00800168"/>
    <w:rsid w:val="00800D57"/>
    <w:rsid w:val="00801B22"/>
    <w:rsid w:val="00805FCF"/>
    <w:rsid w:val="0081136E"/>
    <w:rsid w:val="008116E7"/>
    <w:rsid w:val="00812EA1"/>
    <w:rsid w:val="008131FB"/>
    <w:rsid w:val="00813337"/>
    <w:rsid w:val="008138C8"/>
    <w:rsid w:val="00813EE3"/>
    <w:rsid w:val="008149EE"/>
    <w:rsid w:val="0081533B"/>
    <w:rsid w:val="0081579C"/>
    <w:rsid w:val="00822C65"/>
    <w:rsid w:val="008232CA"/>
    <w:rsid w:val="00823A62"/>
    <w:rsid w:val="00823BF5"/>
    <w:rsid w:val="00824C73"/>
    <w:rsid w:val="0082607D"/>
    <w:rsid w:val="008261B6"/>
    <w:rsid w:val="00826D54"/>
    <w:rsid w:val="00830CB9"/>
    <w:rsid w:val="00830E8D"/>
    <w:rsid w:val="0083155B"/>
    <w:rsid w:val="00831E95"/>
    <w:rsid w:val="00833945"/>
    <w:rsid w:val="00834069"/>
    <w:rsid w:val="00834A2B"/>
    <w:rsid w:val="00834CBF"/>
    <w:rsid w:val="008357BE"/>
    <w:rsid w:val="008361CB"/>
    <w:rsid w:val="00836929"/>
    <w:rsid w:val="00836F89"/>
    <w:rsid w:val="00840584"/>
    <w:rsid w:val="00840FF3"/>
    <w:rsid w:val="008423F6"/>
    <w:rsid w:val="008426FB"/>
    <w:rsid w:val="00843DBA"/>
    <w:rsid w:val="00844393"/>
    <w:rsid w:val="00845E9A"/>
    <w:rsid w:val="00846459"/>
    <w:rsid w:val="00850011"/>
    <w:rsid w:val="008502AA"/>
    <w:rsid w:val="00850BEA"/>
    <w:rsid w:val="00851169"/>
    <w:rsid w:val="008519A4"/>
    <w:rsid w:val="008520A8"/>
    <w:rsid w:val="00852266"/>
    <w:rsid w:val="008553EB"/>
    <w:rsid w:val="008559CC"/>
    <w:rsid w:val="008575AF"/>
    <w:rsid w:val="008604F0"/>
    <w:rsid w:val="008610C2"/>
    <w:rsid w:val="00861CAB"/>
    <w:rsid w:val="00862696"/>
    <w:rsid w:val="00863435"/>
    <w:rsid w:val="00864248"/>
    <w:rsid w:val="00864C6D"/>
    <w:rsid w:val="008662D8"/>
    <w:rsid w:val="00866768"/>
    <w:rsid w:val="008667BA"/>
    <w:rsid w:val="00866F06"/>
    <w:rsid w:val="008678FD"/>
    <w:rsid w:val="00872827"/>
    <w:rsid w:val="008729A7"/>
    <w:rsid w:val="00872B01"/>
    <w:rsid w:val="00872FC6"/>
    <w:rsid w:val="0087349A"/>
    <w:rsid w:val="00874255"/>
    <w:rsid w:val="00875307"/>
    <w:rsid w:val="00875334"/>
    <w:rsid w:val="00875DD2"/>
    <w:rsid w:val="00877D77"/>
    <w:rsid w:val="00880276"/>
    <w:rsid w:val="008813A9"/>
    <w:rsid w:val="008828B6"/>
    <w:rsid w:val="00883D11"/>
    <w:rsid w:val="008865B6"/>
    <w:rsid w:val="00887F54"/>
    <w:rsid w:val="00892088"/>
    <w:rsid w:val="008927F8"/>
    <w:rsid w:val="00892BF6"/>
    <w:rsid w:val="008943D1"/>
    <w:rsid w:val="008952C8"/>
    <w:rsid w:val="00895DF4"/>
    <w:rsid w:val="00897991"/>
    <w:rsid w:val="00897C87"/>
    <w:rsid w:val="008A26EC"/>
    <w:rsid w:val="008A324F"/>
    <w:rsid w:val="008A4E30"/>
    <w:rsid w:val="008A7AE5"/>
    <w:rsid w:val="008B07FE"/>
    <w:rsid w:val="008B097C"/>
    <w:rsid w:val="008B09BE"/>
    <w:rsid w:val="008B0D2C"/>
    <w:rsid w:val="008B1A4D"/>
    <w:rsid w:val="008B379B"/>
    <w:rsid w:val="008B3CF7"/>
    <w:rsid w:val="008B4E6A"/>
    <w:rsid w:val="008B5E7A"/>
    <w:rsid w:val="008C2A0F"/>
    <w:rsid w:val="008C44E4"/>
    <w:rsid w:val="008C7AE6"/>
    <w:rsid w:val="008D078A"/>
    <w:rsid w:val="008D1450"/>
    <w:rsid w:val="008D3A68"/>
    <w:rsid w:val="008D432D"/>
    <w:rsid w:val="008D4B41"/>
    <w:rsid w:val="008D4F96"/>
    <w:rsid w:val="008D589C"/>
    <w:rsid w:val="008D630F"/>
    <w:rsid w:val="008D6B14"/>
    <w:rsid w:val="008D7345"/>
    <w:rsid w:val="008E0456"/>
    <w:rsid w:val="008E1AF1"/>
    <w:rsid w:val="008E1F37"/>
    <w:rsid w:val="008E4791"/>
    <w:rsid w:val="008E6EE5"/>
    <w:rsid w:val="008E7085"/>
    <w:rsid w:val="008F1080"/>
    <w:rsid w:val="008F293B"/>
    <w:rsid w:val="008F2A6C"/>
    <w:rsid w:val="008F3A06"/>
    <w:rsid w:val="008F48B9"/>
    <w:rsid w:val="008F5DA2"/>
    <w:rsid w:val="008F60C3"/>
    <w:rsid w:val="008F6A8B"/>
    <w:rsid w:val="008F7444"/>
    <w:rsid w:val="008F77D3"/>
    <w:rsid w:val="008F7BCF"/>
    <w:rsid w:val="009004DE"/>
    <w:rsid w:val="009015FC"/>
    <w:rsid w:val="00903E33"/>
    <w:rsid w:val="009058CE"/>
    <w:rsid w:val="00907C61"/>
    <w:rsid w:val="00913EB0"/>
    <w:rsid w:val="0091460B"/>
    <w:rsid w:val="009154D0"/>
    <w:rsid w:val="00915540"/>
    <w:rsid w:val="00915663"/>
    <w:rsid w:val="00916925"/>
    <w:rsid w:val="009205BA"/>
    <w:rsid w:val="00920A49"/>
    <w:rsid w:val="00923E31"/>
    <w:rsid w:val="0092406F"/>
    <w:rsid w:val="009254D6"/>
    <w:rsid w:val="0092669B"/>
    <w:rsid w:val="00927450"/>
    <w:rsid w:val="00930EA5"/>
    <w:rsid w:val="00931287"/>
    <w:rsid w:val="0093163E"/>
    <w:rsid w:val="009318FC"/>
    <w:rsid w:val="009322ED"/>
    <w:rsid w:val="009327D0"/>
    <w:rsid w:val="00932C64"/>
    <w:rsid w:val="00934094"/>
    <w:rsid w:val="00934293"/>
    <w:rsid w:val="00934B0A"/>
    <w:rsid w:val="00935296"/>
    <w:rsid w:val="00936436"/>
    <w:rsid w:val="00942DB3"/>
    <w:rsid w:val="00945714"/>
    <w:rsid w:val="0094721A"/>
    <w:rsid w:val="009512B6"/>
    <w:rsid w:val="0095157C"/>
    <w:rsid w:val="00952092"/>
    <w:rsid w:val="009537AB"/>
    <w:rsid w:val="00956418"/>
    <w:rsid w:val="009565D8"/>
    <w:rsid w:val="0095693D"/>
    <w:rsid w:val="00960CD4"/>
    <w:rsid w:val="00961401"/>
    <w:rsid w:val="00961841"/>
    <w:rsid w:val="0096249B"/>
    <w:rsid w:val="00962A86"/>
    <w:rsid w:val="0096481B"/>
    <w:rsid w:val="00964DDE"/>
    <w:rsid w:val="00965AC3"/>
    <w:rsid w:val="00965FBD"/>
    <w:rsid w:val="00966814"/>
    <w:rsid w:val="00966BAC"/>
    <w:rsid w:val="00967D24"/>
    <w:rsid w:val="00967E6B"/>
    <w:rsid w:val="00970D1F"/>
    <w:rsid w:val="00972C02"/>
    <w:rsid w:val="009756E2"/>
    <w:rsid w:val="00980439"/>
    <w:rsid w:val="00981A83"/>
    <w:rsid w:val="00981E4B"/>
    <w:rsid w:val="009823D8"/>
    <w:rsid w:val="00990244"/>
    <w:rsid w:val="009904C1"/>
    <w:rsid w:val="00990E33"/>
    <w:rsid w:val="00991A2D"/>
    <w:rsid w:val="00991E31"/>
    <w:rsid w:val="009931F7"/>
    <w:rsid w:val="0099502B"/>
    <w:rsid w:val="00995E1F"/>
    <w:rsid w:val="009A02D6"/>
    <w:rsid w:val="009A153D"/>
    <w:rsid w:val="009A1E7B"/>
    <w:rsid w:val="009A2ABE"/>
    <w:rsid w:val="009A3D51"/>
    <w:rsid w:val="009A693C"/>
    <w:rsid w:val="009A6A2F"/>
    <w:rsid w:val="009A7786"/>
    <w:rsid w:val="009A7F6A"/>
    <w:rsid w:val="009B0F0F"/>
    <w:rsid w:val="009B1324"/>
    <w:rsid w:val="009B1EA4"/>
    <w:rsid w:val="009B271D"/>
    <w:rsid w:val="009B2F49"/>
    <w:rsid w:val="009B5F50"/>
    <w:rsid w:val="009C1C91"/>
    <w:rsid w:val="009C22DA"/>
    <w:rsid w:val="009C2E0A"/>
    <w:rsid w:val="009C36E4"/>
    <w:rsid w:val="009C3A17"/>
    <w:rsid w:val="009C50C7"/>
    <w:rsid w:val="009C6F05"/>
    <w:rsid w:val="009C755C"/>
    <w:rsid w:val="009C780F"/>
    <w:rsid w:val="009D1C15"/>
    <w:rsid w:val="009D1C73"/>
    <w:rsid w:val="009D2408"/>
    <w:rsid w:val="009D2649"/>
    <w:rsid w:val="009D2AA9"/>
    <w:rsid w:val="009D5868"/>
    <w:rsid w:val="009D6331"/>
    <w:rsid w:val="009D6BDC"/>
    <w:rsid w:val="009D758E"/>
    <w:rsid w:val="009D75F9"/>
    <w:rsid w:val="009D767C"/>
    <w:rsid w:val="009E030B"/>
    <w:rsid w:val="009E0779"/>
    <w:rsid w:val="009E1ED2"/>
    <w:rsid w:val="009E2A63"/>
    <w:rsid w:val="009E33DB"/>
    <w:rsid w:val="009E3A5A"/>
    <w:rsid w:val="009E48ED"/>
    <w:rsid w:val="009E4F4C"/>
    <w:rsid w:val="009E5729"/>
    <w:rsid w:val="009E6778"/>
    <w:rsid w:val="009E77C9"/>
    <w:rsid w:val="009F1FA9"/>
    <w:rsid w:val="009F236D"/>
    <w:rsid w:val="009F781B"/>
    <w:rsid w:val="00A016DF"/>
    <w:rsid w:val="00A0215E"/>
    <w:rsid w:val="00A02F9E"/>
    <w:rsid w:val="00A0301F"/>
    <w:rsid w:val="00A039BC"/>
    <w:rsid w:val="00A03E91"/>
    <w:rsid w:val="00A04CF4"/>
    <w:rsid w:val="00A05C96"/>
    <w:rsid w:val="00A0642B"/>
    <w:rsid w:val="00A06BC7"/>
    <w:rsid w:val="00A0762F"/>
    <w:rsid w:val="00A07E0D"/>
    <w:rsid w:val="00A1172C"/>
    <w:rsid w:val="00A11C53"/>
    <w:rsid w:val="00A12754"/>
    <w:rsid w:val="00A14FFC"/>
    <w:rsid w:val="00A15195"/>
    <w:rsid w:val="00A154E7"/>
    <w:rsid w:val="00A156E9"/>
    <w:rsid w:val="00A15D31"/>
    <w:rsid w:val="00A16253"/>
    <w:rsid w:val="00A16C1B"/>
    <w:rsid w:val="00A20044"/>
    <w:rsid w:val="00A20E74"/>
    <w:rsid w:val="00A24665"/>
    <w:rsid w:val="00A25353"/>
    <w:rsid w:val="00A25FBA"/>
    <w:rsid w:val="00A275DF"/>
    <w:rsid w:val="00A277C7"/>
    <w:rsid w:val="00A27855"/>
    <w:rsid w:val="00A27BF4"/>
    <w:rsid w:val="00A31051"/>
    <w:rsid w:val="00A3105D"/>
    <w:rsid w:val="00A314D8"/>
    <w:rsid w:val="00A32618"/>
    <w:rsid w:val="00A34ABE"/>
    <w:rsid w:val="00A34F5F"/>
    <w:rsid w:val="00A3581C"/>
    <w:rsid w:val="00A360A9"/>
    <w:rsid w:val="00A360FB"/>
    <w:rsid w:val="00A4010A"/>
    <w:rsid w:val="00A40B98"/>
    <w:rsid w:val="00A40D57"/>
    <w:rsid w:val="00A41165"/>
    <w:rsid w:val="00A44D87"/>
    <w:rsid w:val="00A45500"/>
    <w:rsid w:val="00A455ED"/>
    <w:rsid w:val="00A45711"/>
    <w:rsid w:val="00A46847"/>
    <w:rsid w:val="00A46A68"/>
    <w:rsid w:val="00A50EE9"/>
    <w:rsid w:val="00A5188E"/>
    <w:rsid w:val="00A51AF1"/>
    <w:rsid w:val="00A51BE9"/>
    <w:rsid w:val="00A51E0C"/>
    <w:rsid w:val="00A56B44"/>
    <w:rsid w:val="00A61FCD"/>
    <w:rsid w:val="00A6211C"/>
    <w:rsid w:val="00A63EBD"/>
    <w:rsid w:val="00A63FC7"/>
    <w:rsid w:val="00A643FA"/>
    <w:rsid w:val="00A66C0E"/>
    <w:rsid w:val="00A7001A"/>
    <w:rsid w:val="00A70619"/>
    <w:rsid w:val="00A71D58"/>
    <w:rsid w:val="00A72AB5"/>
    <w:rsid w:val="00A72E83"/>
    <w:rsid w:val="00A7369B"/>
    <w:rsid w:val="00A75296"/>
    <w:rsid w:val="00A75EFC"/>
    <w:rsid w:val="00A76098"/>
    <w:rsid w:val="00A76163"/>
    <w:rsid w:val="00A7635C"/>
    <w:rsid w:val="00A764E3"/>
    <w:rsid w:val="00A76D9A"/>
    <w:rsid w:val="00A774FE"/>
    <w:rsid w:val="00A80C8A"/>
    <w:rsid w:val="00A83DF1"/>
    <w:rsid w:val="00A840AD"/>
    <w:rsid w:val="00A86BA3"/>
    <w:rsid w:val="00A86F48"/>
    <w:rsid w:val="00A874B0"/>
    <w:rsid w:val="00A90A06"/>
    <w:rsid w:val="00A91A0D"/>
    <w:rsid w:val="00A93120"/>
    <w:rsid w:val="00A93550"/>
    <w:rsid w:val="00A9424C"/>
    <w:rsid w:val="00A95584"/>
    <w:rsid w:val="00A95A33"/>
    <w:rsid w:val="00A95F87"/>
    <w:rsid w:val="00A96AC6"/>
    <w:rsid w:val="00A96E2A"/>
    <w:rsid w:val="00A97269"/>
    <w:rsid w:val="00A97587"/>
    <w:rsid w:val="00AA0092"/>
    <w:rsid w:val="00AA0CED"/>
    <w:rsid w:val="00AA1F23"/>
    <w:rsid w:val="00AA2C8A"/>
    <w:rsid w:val="00AA4DC0"/>
    <w:rsid w:val="00AA666E"/>
    <w:rsid w:val="00AA784A"/>
    <w:rsid w:val="00AA7D38"/>
    <w:rsid w:val="00AB1E14"/>
    <w:rsid w:val="00AB20AD"/>
    <w:rsid w:val="00AB37AD"/>
    <w:rsid w:val="00AB3E8B"/>
    <w:rsid w:val="00AB6D83"/>
    <w:rsid w:val="00AB7F80"/>
    <w:rsid w:val="00AC018F"/>
    <w:rsid w:val="00AC09E4"/>
    <w:rsid w:val="00AC0AD7"/>
    <w:rsid w:val="00AC17C4"/>
    <w:rsid w:val="00AC1A4F"/>
    <w:rsid w:val="00AC25B4"/>
    <w:rsid w:val="00AC3949"/>
    <w:rsid w:val="00AC3BBF"/>
    <w:rsid w:val="00AC40F1"/>
    <w:rsid w:val="00AC43F9"/>
    <w:rsid w:val="00AC61FE"/>
    <w:rsid w:val="00AC64BB"/>
    <w:rsid w:val="00AC6A7B"/>
    <w:rsid w:val="00AC6F45"/>
    <w:rsid w:val="00AC7969"/>
    <w:rsid w:val="00AC7EB0"/>
    <w:rsid w:val="00AD0A33"/>
    <w:rsid w:val="00AD1346"/>
    <w:rsid w:val="00AD160C"/>
    <w:rsid w:val="00AD176D"/>
    <w:rsid w:val="00AD37F8"/>
    <w:rsid w:val="00AD5888"/>
    <w:rsid w:val="00AD5B70"/>
    <w:rsid w:val="00AD5E81"/>
    <w:rsid w:val="00AD5FA0"/>
    <w:rsid w:val="00AD6C19"/>
    <w:rsid w:val="00AD79E0"/>
    <w:rsid w:val="00AE0982"/>
    <w:rsid w:val="00AE125E"/>
    <w:rsid w:val="00AE3F72"/>
    <w:rsid w:val="00AE4590"/>
    <w:rsid w:val="00AE57D6"/>
    <w:rsid w:val="00AE66EF"/>
    <w:rsid w:val="00AE68D3"/>
    <w:rsid w:val="00AE71CD"/>
    <w:rsid w:val="00AE7CD7"/>
    <w:rsid w:val="00AE7FBF"/>
    <w:rsid w:val="00AF0999"/>
    <w:rsid w:val="00AF1995"/>
    <w:rsid w:val="00AF2840"/>
    <w:rsid w:val="00AF363B"/>
    <w:rsid w:val="00AF53E3"/>
    <w:rsid w:val="00B016BB"/>
    <w:rsid w:val="00B028B3"/>
    <w:rsid w:val="00B02C18"/>
    <w:rsid w:val="00B0462A"/>
    <w:rsid w:val="00B0502C"/>
    <w:rsid w:val="00B054A1"/>
    <w:rsid w:val="00B0616D"/>
    <w:rsid w:val="00B067A6"/>
    <w:rsid w:val="00B07524"/>
    <w:rsid w:val="00B076D2"/>
    <w:rsid w:val="00B07914"/>
    <w:rsid w:val="00B113E7"/>
    <w:rsid w:val="00B11ED6"/>
    <w:rsid w:val="00B12CCC"/>
    <w:rsid w:val="00B12FA8"/>
    <w:rsid w:val="00B13775"/>
    <w:rsid w:val="00B139FD"/>
    <w:rsid w:val="00B14C08"/>
    <w:rsid w:val="00B1610F"/>
    <w:rsid w:val="00B1672F"/>
    <w:rsid w:val="00B17098"/>
    <w:rsid w:val="00B172B9"/>
    <w:rsid w:val="00B22822"/>
    <w:rsid w:val="00B27098"/>
    <w:rsid w:val="00B30AC0"/>
    <w:rsid w:val="00B30F58"/>
    <w:rsid w:val="00B31D9B"/>
    <w:rsid w:val="00B32231"/>
    <w:rsid w:val="00B32324"/>
    <w:rsid w:val="00B32613"/>
    <w:rsid w:val="00B3272F"/>
    <w:rsid w:val="00B35B7C"/>
    <w:rsid w:val="00B35E8C"/>
    <w:rsid w:val="00B361F1"/>
    <w:rsid w:val="00B37BC5"/>
    <w:rsid w:val="00B403F5"/>
    <w:rsid w:val="00B405D9"/>
    <w:rsid w:val="00B4065C"/>
    <w:rsid w:val="00B407B8"/>
    <w:rsid w:val="00B40925"/>
    <w:rsid w:val="00B43E1E"/>
    <w:rsid w:val="00B457D7"/>
    <w:rsid w:val="00B458B9"/>
    <w:rsid w:val="00B47C56"/>
    <w:rsid w:val="00B5213B"/>
    <w:rsid w:val="00B52A86"/>
    <w:rsid w:val="00B52F84"/>
    <w:rsid w:val="00B533D2"/>
    <w:rsid w:val="00B53C15"/>
    <w:rsid w:val="00B54B99"/>
    <w:rsid w:val="00B555BB"/>
    <w:rsid w:val="00B561CA"/>
    <w:rsid w:val="00B601E3"/>
    <w:rsid w:val="00B609CA"/>
    <w:rsid w:val="00B60C23"/>
    <w:rsid w:val="00B6107C"/>
    <w:rsid w:val="00B62342"/>
    <w:rsid w:val="00B6276C"/>
    <w:rsid w:val="00B655F1"/>
    <w:rsid w:val="00B65A10"/>
    <w:rsid w:val="00B67231"/>
    <w:rsid w:val="00B67D69"/>
    <w:rsid w:val="00B76632"/>
    <w:rsid w:val="00B76AF8"/>
    <w:rsid w:val="00B76E7C"/>
    <w:rsid w:val="00B773CB"/>
    <w:rsid w:val="00B7790F"/>
    <w:rsid w:val="00B81858"/>
    <w:rsid w:val="00B83977"/>
    <w:rsid w:val="00B8590E"/>
    <w:rsid w:val="00B859C3"/>
    <w:rsid w:val="00B86266"/>
    <w:rsid w:val="00B86770"/>
    <w:rsid w:val="00B879D1"/>
    <w:rsid w:val="00B87EC3"/>
    <w:rsid w:val="00B90095"/>
    <w:rsid w:val="00B9051D"/>
    <w:rsid w:val="00B90E7F"/>
    <w:rsid w:val="00B91F56"/>
    <w:rsid w:val="00B935A4"/>
    <w:rsid w:val="00B955BD"/>
    <w:rsid w:val="00B9755D"/>
    <w:rsid w:val="00BA060A"/>
    <w:rsid w:val="00BA2243"/>
    <w:rsid w:val="00BA289B"/>
    <w:rsid w:val="00BA2A10"/>
    <w:rsid w:val="00BA3826"/>
    <w:rsid w:val="00BA3CDC"/>
    <w:rsid w:val="00BA5FD2"/>
    <w:rsid w:val="00BA726A"/>
    <w:rsid w:val="00BB09D8"/>
    <w:rsid w:val="00BB0A6E"/>
    <w:rsid w:val="00BB0ADB"/>
    <w:rsid w:val="00BB1C35"/>
    <w:rsid w:val="00BB3719"/>
    <w:rsid w:val="00BB4BC7"/>
    <w:rsid w:val="00BB5FE1"/>
    <w:rsid w:val="00BB6A6C"/>
    <w:rsid w:val="00BB778B"/>
    <w:rsid w:val="00BC1665"/>
    <w:rsid w:val="00BC1B72"/>
    <w:rsid w:val="00BC2663"/>
    <w:rsid w:val="00BC414A"/>
    <w:rsid w:val="00BC4D40"/>
    <w:rsid w:val="00BC5583"/>
    <w:rsid w:val="00BC5816"/>
    <w:rsid w:val="00BC7BB3"/>
    <w:rsid w:val="00BD16F7"/>
    <w:rsid w:val="00BD1A74"/>
    <w:rsid w:val="00BD1ACB"/>
    <w:rsid w:val="00BD26E9"/>
    <w:rsid w:val="00BD3522"/>
    <w:rsid w:val="00BD43E6"/>
    <w:rsid w:val="00BD5CC9"/>
    <w:rsid w:val="00BD7230"/>
    <w:rsid w:val="00BE0CA2"/>
    <w:rsid w:val="00BE4BF5"/>
    <w:rsid w:val="00BE4C42"/>
    <w:rsid w:val="00BE52EC"/>
    <w:rsid w:val="00BE56C9"/>
    <w:rsid w:val="00BE6465"/>
    <w:rsid w:val="00BE7436"/>
    <w:rsid w:val="00BF2BE9"/>
    <w:rsid w:val="00BF363D"/>
    <w:rsid w:val="00BF52BB"/>
    <w:rsid w:val="00BF60A7"/>
    <w:rsid w:val="00BF6D19"/>
    <w:rsid w:val="00C01543"/>
    <w:rsid w:val="00C023FF"/>
    <w:rsid w:val="00C02E5A"/>
    <w:rsid w:val="00C03F5F"/>
    <w:rsid w:val="00C04461"/>
    <w:rsid w:val="00C04814"/>
    <w:rsid w:val="00C0551D"/>
    <w:rsid w:val="00C067FC"/>
    <w:rsid w:val="00C07143"/>
    <w:rsid w:val="00C07398"/>
    <w:rsid w:val="00C0799A"/>
    <w:rsid w:val="00C07A38"/>
    <w:rsid w:val="00C113E3"/>
    <w:rsid w:val="00C11D0D"/>
    <w:rsid w:val="00C11D63"/>
    <w:rsid w:val="00C11E84"/>
    <w:rsid w:val="00C13FD5"/>
    <w:rsid w:val="00C17B94"/>
    <w:rsid w:val="00C24450"/>
    <w:rsid w:val="00C25609"/>
    <w:rsid w:val="00C25E65"/>
    <w:rsid w:val="00C317E9"/>
    <w:rsid w:val="00C3290E"/>
    <w:rsid w:val="00C363A4"/>
    <w:rsid w:val="00C366BB"/>
    <w:rsid w:val="00C36B7E"/>
    <w:rsid w:val="00C3764B"/>
    <w:rsid w:val="00C37721"/>
    <w:rsid w:val="00C37FD1"/>
    <w:rsid w:val="00C423E1"/>
    <w:rsid w:val="00C430E9"/>
    <w:rsid w:val="00C44016"/>
    <w:rsid w:val="00C45537"/>
    <w:rsid w:val="00C509C3"/>
    <w:rsid w:val="00C50A17"/>
    <w:rsid w:val="00C50AA6"/>
    <w:rsid w:val="00C51BD0"/>
    <w:rsid w:val="00C52752"/>
    <w:rsid w:val="00C535BE"/>
    <w:rsid w:val="00C53F42"/>
    <w:rsid w:val="00C546E9"/>
    <w:rsid w:val="00C56FE7"/>
    <w:rsid w:val="00C6406C"/>
    <w:rsid w:val="00C6464B"/>
    <w:rsid w:val="00C65186"/>
    <w:rsid w:val="00C65D8A"/>
    <w:rsid w:val="00C66266"/>
    <w:rsid w:val="00C674A7"/>
    <w:rsid w:val="00C6753F"/>
    <w:rsid w:val="00C70CF2"/>
    <w:rsid w:val="00C70EAE"/>
    <w:rsid w:val="00C72D98"/>
    <w:rsid w:val="00C73293"/>
    <w:rsid w:val="00C734AD"/>
    <w:rsid w:val="00C80702"/>
    <w:rsid w:val="00C8265D"/>
    <w:rsid w:val="00C83607"/>
    <w:rsid w:val="00C83B1F"/>
    <w:rsid w:val="00C83B65"/>
    <w:rsid w:val="00C8499B"/>
    <w:rsid w:val="00C85A44"/>
    <w:rsid w:val="00C908BA"/>
    <w:rsid w:val="00C914A3"/>
    <w:rsid w:val="00C924D2"/>
    <w:rsid w:val="00C935A7"/>
    <w:rsid w:val="00C93D2F"/>
    <w:rsid w:val="00C95581"/>
    <w:rsid w:val="00C96692"/>
    <w:rsid w:val="00C974FA"/>
    <w:rsid w:val="00CA1A0E"/>
    <w:rsid w:val="00CA26E1"/>
    <w:rsid w:val="00CA292B"/>
    <w:rsid w:val="00CA699E"/>
    <w:rsid w:val="00CB07AA"/>
    <w:rsid w:val="00CB2976"/>
    <w:rsid w:val="00CB3673"/>
    <w:rsid w:val="00CB3766"/>
    <w:rsid w:val="00CB4550"/>
    <w:rsid w:val="00CB4C0B"/>
    <w:rsid w:val="00CB77EA"/>
    <w:rsid w:val="00CC0067"/>
    <w:rsid w:val="00CC108B"/>
    <w:rsid w:val="00CC1BE6"/>
    <w:rsid w:val="00CC3D9E"/>
    <w:rsid w:val="00CC5FB3"/>
    <w:rsid w:val="00CC66D7"/>
    <w:rsid w:val="00CC6CF9"/>
    <w:rsid w:val="00CC70D4"/>
    <w:rsid w:val="00CD0AC6"/>
    <w:rsid w:val="00CD30A8"/>
    <w:rsid w:val="00CD3166"/>
    <w:rsid w:val="00CD3DAA"/>
    <w:rsid w:val="00CD419C"/>
    <w:rsid w:val="00CD4217"/>
    <w:rsid w:val="00CD50B5"/>
    <w:rsid w:val="00CD708F"/>
    <w:rsid w:val="00CD73A9"/>
    <w:rsid w:val="00CE0B39"/>
    <w:rsid w:val="00CE0D80"/>
    <w:rsid w:val="00CE24AB"/>
    <w:rsid w:val="00CE3B97"/>
    <w:rsid w:val="00CE3D62"/>
    <w:rsid w:val="00CE4AFC"/>
    <w:rsid w:val="00CE4BA1"/>
    <w:rsid w:val="00CE55B7"/>
    <w:rsid w:val="00CE645C"/>
    <w:rsid w:val="00CE65D4"/>
    <w:rsid w:val="00CE6E9E"/>
    <w:rsid w:val="00CF0161"/>
    <w:rsid w:val="00CF01AF"/>
    <w:rsid w:val="00CF01DB"/>
    <w:rsid w:val="00CF07B1"/>
    <w:rsid w:val="00CF106F"/>
    <w:rsid w:val="00CF305C"/>
    <w:rsid w:val="00CF39AF"/>
    <w:rsid w:val="00CF41D8"/>
    <w:rsid w:val="00CF4376"/>
    <w:rsid w:val="00CF4F89"/>
    <w:rsid w:val="00CF7618"/>
    <w:rsid w:val="00D0055B"/>
    <w:rsid w:val="00D00A99"/>
    <w:rsid w:val="00D00BA4"/>
    <w:rsid w:val="00D0123A"/>
    <w:rsid w:val="00D0132C"/>
    <w:rsid w:val="00D02749"/>
    <w:rsid w:val="00D04503"/>
    <w:rsid w:val="00D04A14"/>
    <w:rsid w:val="00D0595A"/>
    <w:rsid w:val="00D0653D"/>
    <w:rsid w:val="00D06F12"/>
    <w:rsid w:val="00D1093D"/>
    <w:rsid w:val="00D10BAA"/>
    <w:rsid w:val="00D11D76"/>
    <w:rsid w:val="00D12149"/>
    <w:rsid w:val="00D12D0C"/>
    <w:rsid w:val="00D13EC8"/>
    <w:rsid w:val="00D13F0D"/>
    <w:rsid w:val="00D15833"/>
    <w:rsid w:val="00D205E0"/>
    <w:rsid w:val="00D208EA"/>
    <w:rsid w:val="00D2101E"/>
    <w:rsid w:val="00D21EF3"/>
    <w:rsid w:val="00D220B6"/>
    <w:rsid w:val="00D248CF"/>
    <w:rsid w:val="00D25352"/>
    <w:rsid w:val="00D260C9"/>
    <w:rsid w:val="00D2764F"/>
    <w:rsid w:val="00D277D0"/>
    <w:rsid w:val="00D30A7F"/>
    <w:rsid w:val="00D32B16"/>
    <w:rsid w:val="00D33296"/>
    <w:rsid w:val="00D33310"/>
    <w:rsid w:val="00D34FFA"/>
    <w:rsid w:val="00D3567E"/>
    <w:rsid w:val="00D421C1"/>
    <w:rsid w:val="00D42547"/>
    <w:rsid w:val="00D42B71"/>
    <w:rsid w:val="00D42C37"/>
    <w:rsid w:val="00D44AA5"/>
    <w:rsid w:val="00D44CA2"/>
    <w:rsid w:val="00D46790"/>
    <w:rsid w:val="00D46A67"/>
    <w:rsid w:val="00D472CE"/>
    <w:rsid w:val="00D505F6"/>
    <w:rsid w:val="00D50E84"/>
    <w:rsid w:val="00D51E87"/>
    <w:rsid w:val="00D5278A"/>
    <w:rsid w:val="00D52AF4"/>
    <w:rsid w:val="00D53E7A"/>
    <w:rsid w:val="00D606A4"/>
    <w:rsid w:val="00D61524"/>
    <w:rsid w:val="00D62A63"/>
    <w:rsid w:val="00D62BC1"/>
    <w:rsid w:val="00D638E5"/>
    <w:rsid w:val="00D647B2"/>
    <w:rsid w:val="00D66887"/>
    <w:rsid w:val="00D6701A"/>
    <w:rsid w:val="00D6715B"/>
    <w:rsid w:val="00D67218"/>
    <w:rsid w:val="00D720F3"/>
    <w:rsid w:val="00D729AD"/>
    <w:rsid w:val="00D74259"/>
    <w:rsid w:val="00D752AE"/>
    <w:rsid w:val="00D7674B"/>
    <w:rsid w:val="00D768D7"/>
    <w:rsid w:val="00D76BB2"/>
    <w:rsid w:val="00D77399"/>
    <w:rsid w:val="00D77859"/>
    <w:rsid w:val="00D818FF"/>
    <w:rsid w:val="00D81B0C"/>
    <w:rsid w:val="00D82C25"/>
    <w:rsid w:val="00D83B30"/>
    <w:rsid w:val="00D8405D"/>
    <w:rsid w:val="00D84852"/>
    <w:rsid w:val="00D8486B"/>
    <w:rsid w:val="00D85E12"/>
    <w:rsid w:val="00D8625B"/>
    <w:rsid w:val="00D87E93"/>
    <w:rsid w:val="00D917EF"/>
    <w:rsid w:val="00D91C27"/>
    <w:rsid w:val="00D936BA"/>
    <w:rsid w:val="00D939F6"/>
    <w:rsid w:val="00D93AF4"/>
    <w:rsid w:val="00D93FA0"/>
    <w:rsid w:val="00D941C6"/>
    <w:rsid w:val="00D945D4"/>
    <w:rsid w:val="00D94800"/>
    <w:rsid w:val="00D94C4E"/>
    <w:rsid w:val="00D97FC4"/>
    <w:rsid w:val="00DA1563"/>
    <w:rsid w:val="00DA1F9E"/>
    <w:rsid w:val="00DA27E7"/>
    <w:rsid w:val="00DA2BAC"/>
    <w:rsid w:val="00DA31F5"/>
    <w:rsid w:val="00DA36FD"/>
    <w:rsid w:val="00DA4467"/>
    <w:rsid w:val="00DA54E2"/>
    <w:rsid w:val="00DA5BF6"/>
    <w:rsid w:val="00DA72E3"/>
    <w:rsid w:val="00DA7F75"/>
    <w:rsid w:val="00DB15E9"/>
    <w:rsid w:val="00DB2059"/>
    <w:rsid w:val="00DB37FA"/>
    <w:rsid w:val="00DB3CF8"/>
    <w:rsid w:val="00DB6447"/>
    <w:rsid w:val="00DC1014"/>
    <w:rsid w:val="00DC1BB4"/>
    <w:rsid w:val="00DC24D5"/>
    <w:rsid w:val="00DC406D"/>
    <w:rsid w:val="00DC495B"/>
    <w:rsid w:val="00DC55CE"/>
    <w:rsid w:val="00DC5925"/>
    <w:rsid w:val="00DC5C84"/>
    <w:rsid w:val="00DC60FA"/>
    <w:rsid w:val="00DD0CAF"/>
    <w:rsid w:val="00DD377A"/>
    <w:rsid w:val="00DD4237"/>
    <w:rsid w:val="00DD490D"/>
    <w:rsid w:val="00DD59EB"/>
    <w:rsid w:val="00DD6091"/>
    <w:rsid w:val="00DD61E5"/>
    <w:rsid w:val="00DE117F"/>
    <w:rsid w:val="00DE23AF"/>
    <w:rsid w:val="00DE2FB9"/>
    <w:rsid w:val="00DE442C"/>
    <w:rsid w:val="00DE45B0"/>
    <w:rsid w:val="00DE5031"/>
    <w:rsid w:val="00DE742F"/>
    <w:rsid w:val="00DE7848"/>
    <w:rsid w:val="00DF0038"/>
    <w:rsid w:val="00DF17BB"/>
    <w:rsid w:val="00DF23FA"/>
    <w:rsid w:val="00DF3809"/>
    <w:rsid w:val="00DF3B9A"/>
    <w:rsid w:val="00DF5150"/>
    <w:rsid w:val="00DF613C"/>
    <w:rsid w:val="00E01092"/>
    <w:rsid w:val="00E01830"/>
    <w:rsid w:val="00E029FA"/>
    <w:rsid w:val="00E05073"/>
    <w:rsid w:val="00E05183"/>
    <w:rsid w:val="00E056E1"/>
    <w:rsid w:val="00E0640E"/>
    <w:rsid w:val="00E07364"/>
    <w:rsid w:val="00E0757B"/>
    <w:rsid w:val="00E077D4"/>
    <w:rsid w:val="00E102D4"/>
    <w:rsid w:val="00E11089"/>
    <w:rsid w:val="00E12216"/>
    <w:rsid w:val="00E1256F"/>
    <w:rsid w:val="00E13D0C"/>
    <w:rsid w:val="00E1513F"/>
    <w:rsid w:val="00E16F95"/>
    <w:rsid w:val="00E170D9"/>
    <w:rsid w:val="00E17598"/>
    <w:rsid w:val="00E17994"/>
    <w:rsid w:val="00E204BF"/>
    <w:rsid w:val="00E2107C"/>
    <w:rsid w:val="00E21700"/>
    <w:rsid w:val="00E22C3B"/>
    <w:rsid w:val="00E22E15"/>
    <w:rsid w:val="00E234D6"/>
    <w:rsid w:val="00E242A2"/>
    <w:rsid w:val="00E24E3E"/>
    <w:rsid w:val="00E24F71"/>
    <w:rsid w:val="00E264D9"/>
    <w:rsid w:val="00E27856"/>
    <w:rsid w:val="00E3210F"/>
    <w:rsid w:val="00E33270"/>
    <w:rsid w:val="00E3329B"/>
    <w:rsid w:val="00E3553A"/>
    <w:rsid w:val="00E40DC8"/>
    <w:rsid w:val="00E427C0"/>
    <w:rsid w:val="00E42A55"/>
    <w:rsid w:val="00E43A7C"/>
    <w:rsid w:val="00E44F4E"/>
    <w:rsid w:val="00E4518F"/>
    <w:rsid w:val="00E50CCB"/>
    <w:rsid w:val="00E51994"/>
    <w:rsid w:val="00E51F55"/>
    <w:rsid w:val="00E526BF"/>
    <w:rsid w:val="00E53D00"/>
    <w:rsid w:val="00E55463"/>
    <w:rsid w:val="00E55A00"/>
    <w:rsid w:val="00E6172F"/>
    <w:rsid w:val="00E61AA8"/>
    <w:rsid w:val="00E636BB"/>
    <w:rsid w:val="00E65863"/>
    <w:rsid w:val="00E660CD"/>
    <w:rsid w:val="00E67420"/>
    <w:rsid w:val="00E7040E"/>
    <w:rsid w:val="00E72C3A"/>
    <w:rsid w:val="00E74C96"/>
    <w:rsid w:val="00E74FB7"/>
    <w:rsid w:val="00E801A4"/>
    <w:rsid w:val="00E8026B"/>
    <w:rsid w:val="00E828F6"/>
    <w:rsid w:val="00E82F5A"/>
    <w:rsid w:val="00E84841"/>
    <w:rsid w:val="00E84ED9"/>
    <w:rsid w:val="00E8549C"/>
    <w:rsid w:val="00E85F1A"/>
    <w:rsid w:val="00E906DA"/>
    <w:rsid w:val="00E91931"/>
    <w:rsid w:val="00E91E9D"/>
    <w:rsid w:val="00E930F6"/>
    <w:rsid w:val="00E93E86"/>
    <w:rsid w:val="00E959B3"/>
    <w:rsid w:val="00E96547"/>
    <w:rsid w:val="00E96738"/>
    <w:rsid w:val="00E97FDB"/>
    <w:rsid w:val="00EA1B55"/>
    <w:rsid w:val="00EA2935"/>
    <w:rsid w:val="00EA5199"/>
    <w:rsid w:val="00EA5479"/>
    <w:rsid w:val="00EA7033"/>
    <w:rsid w:val="00EA7B20"/>
    <w:rsid w:val="00EB11DD"/>
    <w:rsid w:val="00EB39DF"/>
    <w:rsid w:val="00EB5E23"/>
    <w:rsid w:val="00EB63DE"/>
    <w:rsid w:val="00EB6D43"/>
    <w:rsid w:val="00EB7E75"/>
    <w:rsid w:val="00EC0C5F"/>
    <w:rsid w:val="00EC1727"/>
    <w:rsid w:val="00EC42FF"/>
    <w:rsid w:val="00EC4BAE"/>
    <w:rsid w:val="00EC5B08"/>
    <w:rsid w:val="00EC5B81"/>
    <w:rsid w:val="00EC6A9E"/>
    <w:rsid w:val="00EC7480"/>
    <w:rsid w:val="00ED1374"/>
    <w:rsid w:val="00ED17F0"/>
    <w:rsid w:val="00ED24E7"/>
    <w:rsid w:val="00ED3D91"/>
    <w:rsid w:val="00ED5804"/>
    <w:rsid w:val="00ED7A05"/>
    <w:rsid w:val="00ED7CA6"/>
    <w:rsid w:val="00EE1631"/>
    <w:rsid w:val="00EE334C"/>
    <w:rsid w:val="00EE3A86"/>
    <w:rsid w:val="00EE3E46"/>
    <w:rsid w:val="00EE498A"/>
    <w:rsid w:val="00EE4FD0"/>
    <w:rsid w:val="00EE7192"/>
    <w:rsid w:val="00EE784F"/>
    <w:rsid w:val="00EF0F95"/>
    <w:rsid w:val="00EF11A4"/>
    <w:rsid w:val="00EF1902"/>
    <w:rsid w:val="00EF30AE"/>
    <w:rsid w:val="00EF30EA"/>
    <w:rsid w:val="00EF4943"/>
    <w:rsid w:val="00EF4F49"/>
    <w:rsid w:val="00EF5844"/>
    <w:rsid w:val="00EF5890"/>
    <w:rsid w:val="00EF74B8"/>
    <w:rsid w:val="00EF780D"/>
    <w:rsid w:val="00F0086B"/>
    <w:rsid w:val="00F015E5"/>
    <w:rsid w:val="00F02153"/>
    <w:rsid w:val="00F02BCD"/>
    <w:rsid w:val="00F030A8"/>
    <w:rsid w:val="00F04055"/>
    <w:rsid w:val="00F04C76"/>
    <w:rsid w:val="00F058DF"/>
    <w:rsid w:val="00F07C9A"/>
    <w:rsid w:val="00F11815"/>
    <w:rsid w:val="00F11948"/>
    <w:rsid w:val="00F11A0D"/>
    <w:rsid w:val="00F12BC6"/>
    <w:rsid w:val="00F137C0"/>
    <w:rsid w:val="00F147A3"/>
    <w:rsid w:val="00F14E26"/>
    <w:rsid w:val="00F15675"/>
    <w:rsid w:val="00F176C2"/>
    <w:rsid w:val="00F17F43"/>
    <w:rsid w:val="00F17F56"/>
    <w:rsid w:val="00F20E72"/>
    <w:rsid w:val="00F21250"/>
    <w:rsid w:val="00F22679"/>
    <w:rsid w:val="00F2398D"/>
    <w:rsid w:val="00F2430E"/>
    <w:rsid w:val="00F258B9"/>
    <w:rsid w:val="00F25FDD"/>
    <w:rsid w:val="00F3190A"/>
    <w:rsid w:val="00F31D43"/>
    <w:rsid w:val="00F33A81"/>
    <w:rsid w:val="00F353E0"/>
    <w:rsid w:val="00F3586E"/>
    <w:rsid w:val="00F37C75"/>
    <w:rsid w:val="00F37E01"/>
    <w:rsid w:val="00F403A7"/>
    <w:rsid w:val="00F40A81"/>
    <w:rsid w:val="00F40C21"/>
    <w:rsid w:val="00F42626"/>
    <w:rsid w:val="00F43C4A"/>
    <w:rsid w:val="00F45036"/>
    <w:rsid w:val="00F45A08"/>
    <w:rsid w:val="00F46C4B"/>
    <w:rsid w:val="00F4758A"/>
    <w:rsid w:val="00F51E17"/>
    <w:rsid w:val="00F53962"/>
    <w:rsid w:val="00F55E1B"/>
    <w:rsid w:val="00F577E5"/>
    <w:rsid w:val="00F579D3"/>
    <w:rsid w:val="00F57FEE"/>
    <w:rsid w:val="00F634A3"/>
    <w:rsid w:val="00F63B4C"/>
    <w:rsid w:val="00F6487D"/>
    <w:rsid w:val="00F64C44"/>
    <w:rsid w:val="00F666A0"/>
    <w:rsid w:val="00F710F9"/>
    <w:rsid w:val="00F7597F"/>
    <w:rsid w:val="00F75E53"/>
    <w:rsid w:val="00F7620F"/>
    <w:rsid w:val="00F814D3"/>
    <w:rsid w:val="00F81842"/>
    <w:rsid w:val="00F820A2"/>
    <w:rsid w:val="00F82647"/>
    <w:rsid w:val="00F82FE5"/>
    <w:rsid w:val="00F8373A"/>
    <w:rsid w:val="00F83A5F"/>
    <w:rsid w:val="00F8462C"/>
    <w:rsid w:val="00F8485B"/>
    <w:rsid w:val="00F87F40"/>
    <w:rsid w:val="00F90D41"/>
    <w:rsid w:val="00F90E53"/>
    <w:rsid w:val="00F91AD2"/>
    <w:rsid w:val="00F92050"/>
    <w:rsid w:val="00F92652"/>
    <w:rsid w:val="00F92A4D"/>
    <w:rsid w:val="00F92CEC"/>
    <w:rsid w:val="00F93254"/>
    <w:rsid w:val="00F93F91"/>
    <w:rsid w:val="00F9489B"/>
    <w:rsid w:val="00F94B36"/>
    <w:rsid w:val="00F955E4"/>
    <w:rsid w:val="00FA0AE4"/>
    <w:rsid w:val="00FA330D"/>
    <w:rsid w:val="00FA3914"/>
    <w:rsid w:val="00FA430B"/>
    <w:rsid w:val="00FA56EB"/>
    <w:rsid w:val="00FA6A61"/>
    <w:rsid w:val="00FA6DA8"/>
    <w:rsid w:val="00FA72DC"/>
    <w:rsid w:val="00FB07E4"/>
    <w:rsid w:val="00FB1244"/>
    <w:rsid w:val="00FB3D65"/>
    <w:rsid w:val="00FB3EF0"/>
    <w:rsid w:val="00FB4DBA"/>
    <w:rsid w:val="00FB4F9E"/>
    <w:rsid w:val="00FB667E"/>
    <w:rsid w:val="00FB7595"/>
    <w:rsid w:val="00FC141D"/>
    <w:rsid w:val="00FC3068"/>
    <w:rsid w:val="00FC3076"/>
    <w:rsid w:val="00FC3CD6"/>
    <w:rsid w:val="00FC3E44"/>
    <w:rsid w:val="00FC71B3"/>
    <w:rsid w:val="00FD3931"/>
    <w:rsid w:val="00FD6ECE"/>
    <w:rsid w:val="00FD77BD"/>
    <w:rsid w:val="00FE08B9"/>
    <w:rsid w:val="00FE4269"/>
    <w:rsid w:val="00FE4BB3"/>
    <w:rsid w:val="00FE552D"/>
    <w:rsid w:val="00FE5948"/>
    <w:rsid w:val="00FE62CF"/>
    <w:rsid w:val="00FF195C"/>
    <w:rsid w:val="00FF3447"/>
    <w:rsid w:val="00FF4D7F"/>
    <w:rsid w:val="00FF68C7"/>
    <w:rsid w:val="00FF74E8"/>
    <w:rsid w:val="00FF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21AFA"/>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A0642B"/>
    <w:pPr>
      <w:autoSpaceDE w:val="0"/>
      <w:autoSpaceDN w:val="0"/>
      <w:adjustRightInd w:val="0"/>
      <w:spacing w:before="120" w:after="120" w:line="360" w:lineRule="auto"/>
      <w:jc w:val="center"/>
      <w:outlineLvl w:val="0"/>
    </w:pPr>
    <w:rPr>
      <w:rFonts w:asciiTheme="majorHAnsi" w:hAnsiTheme="majorHAnsi"/>
      <w:b/>
      <w:bCs/>
      <w:caps/>
      <w:color w:val="000000" w:themeColor="text1"/>
      <w:sz w:val="28"/>
    </w:rPr>
  </w:style>
  <w:style w:type="paragraph" w:styleId="Heading2">
    <w:name w:val="heading 2"/>
    <w:basedOn w:val="Normal"/>
    <w:next w:val="Normal"/>
    <w:autoRedefine/>
    <w:qFormat/>
    <w:rsid w:val="0030288C"/>
    <w:pPr>
      <w:keepNext/>
      <w:spacing w:line="480" w:lineRule="auto"/>
      <w:outlineLvl w:val="1"/>
    </w:pPr>
    <w:rPr>
      <w:rFonts w:asciiTheme="majorHAnsi" w:hAnsiTheme="majorHAnsi"/>
      <w:b/>
      <w:bCs/>
      <w:iCs/>
    </w:rPr>
  </w:style>
  <w:style w:type="paragraph" w:styleId="Heading3">
    <w:name w:val="heading 3"/>
    <w:basedOn w:val="Normal"/>
    <w:next w:val="Normal"/>
    <w:autoRedefine/>
    <w:qFormat/>
    <w:rsid w:val="00C3290E"/>
    <w:pPr>
      <w:keepNext/>
      <w:spacing w:line="480" w:lineRule="auto"/>
      <w:ind w:firstLine="720"/>
      <w:outlineLvl w:val="2"/>
    </w:pPr>
    <w:rPr>
      <w:rFonts w:ascii="Cambria" w:hAnsi="Cambria" w:cs="Times New Roman"/>
      <w:b/>
      <w:bCs/>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A0642B"/>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9327D0"/>
    <w:pPr>
      <w:numPr>
        <w:ilvl w:val="12"/>
      </w:numPr>
    </w:pPr>
    <w:rPr>
      <w:rFonts w:ascii="Times New Roman" w:hAnsi="Times New Roman" w:cs="Times New Roman"/>
      <w:bCs w:val="0"/>
      <w:sz w:val="24"/>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Arial" w:hAnsi="Arial"/>
      <w:sz w:val="20"/>
      <w:szCs w:val="20"/>
    </w:rPr>
  </w:style>
  <w:style w:type="character" w:styleId="CommentReference">
    <w:name w:val="annotation reference"/>
    <w:basedOn w:val="DefaultParagraphFont"/>
    <w:semiHidden/>
    <w:unhideWhenUsed/>
    <w:rPr>
      <w:sz w:val="16"/>
      <w:szCs w:val="16"/>
    </w:rPr>
  </w:style>
  <w:style w:type="paragraph" w:customStyle="1" w:styleId="msonormal0">
    <w:name w:val="msonormal"/>
    <w:basedOn w:val="Normal"/>
    <w:rsid w:val="00A63FC7"/>
    <w:pPr>
      <w:spacing w:before="100" w:beforeAutospacing="1" w:after="100" w:afterAutospacing="1"/>
    </w:pPr>
    <w:rPr>
      <w:rFonts w:ascii="Times New Roman" w:hAnsi="Times New Roman" w:cs="Times New Roman"/>
    </w:rPr>
  </w:style>
  <w:style w:type="character" w:customStyle="1" w:styleId="z3988">
    <w:name w:val="z3988"/>
    <w:basedOn w:val="DefaultParagraphFont"/>
    <w:rsid w:val="00A63FC7"/>
  </w:style>
  <w:style w:type="character" w:customStyle="1" w:styleId="UnresolvedMention">
    <w:name w:val="Unresolved Mention"/>
    <w:basedOn w:val="DefaultParagraphFont"/>
    <w:uiPriority w:val="99"/>
    <w:semiHidden/>
    <w:unhideWhenUsed/>
    <w:rsid w:val="00A63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9385">
      <w:bodyDiv w:val="1"/>
      <w:marLeft w:val="0"/>
      <w:marRight w:val="0"/>
      <w:marTop w:val="0"/>
      <w:marBottom w:val="0"/>
      <w:divBdr>
        <w:top w:val="none" w:sz="0" w:space="0" w:color="auto"/>
        <w:left w:val="none" w:sz="0" w:space="0" w:color="auto"/>
        <w:bottom w:val="none" w:sz="0" w:space="0" w:color="auto"/>
        <w:right w:val="none" w:sz="0" w:space="0" w:color="auto"/>
      </w:divBdr>
      <w:divsChild>
        <w:div w:id="1973821936">
          <w:marLeft w:val="480"/>
          <w:marRight w:val="0"/>
          <w:marTop w:val="0"/>
          <w:marBottom w:val="0"/>
          <w:divBdr>
            <w:top w:val="none" w:sz="0" w:space="0" w:color="auto"/>
            <w:left w:val="none" w:sz="0" w:space="0" w:color="auto"/>
            <w:bottom w:val="none" w:sz="0" w:space="0" w:color="auto"/>
            <w:right w:val="none" w:sz="0" w:space="0" w:color="auto"/>
          </w:divBdr>
          <w:divsChild>
            <w:div w:id="2099143">
              <w:marLeft w:val="0"/>
              <w:marRight w:val="0"/>
              <w:marTop w:val="0"/>
              <w:marBottom w:val="0"/>
              <w:divBdr>
                <w:top w:val="none" w:sz="0" w:space="0" w:color="auto"/>
                <w:left w:val="none" w:sz="0" w:space="0" w:color="auto"/>
                <w:bottom w:val="none" w:sz="0" w:space="0" w:color="auto"/>
                <w:right w:val="none" w:sz="0" w:space="0" w:color="auto"/>
              </w:divBdr>
            </w:div>
            <w:div w:id="1903907743">
              <w:marLeft w:val="0"/>
              <w:marRight w:val="0"/>
              <w:marTop w:val="0"/>
              <w:marBottom w:val="0"/>
              <w:divBdr>
                <w:top w:val="none" w:sz="0" w:space="0" w:color="auto"/>
                <w:left w:val="none" w:sz="0" w:space="0" w:color="auto"/>
                <w:bottom w:val="none" w:sz="0" w:space="0" w:color="auto"/>
                <w:right w:val="none" w:sz="0" w:space="0" w:color="auto"/>
              </w:divBdr>
            </w:div>
            <w:div w:id="287710055">
              <w:marLeft w:val="0"/>
              <w:marRight w:val="0"/>
              <w:marTop w:val="0"/>
              <w:marBottom w:val="0"/>
              <w:divBdr>
                <w:top w:val="none" w:sz="0" w:space="0" w:color="auto"/>
                <w:left w:val="none" w:sz="0" w:space="0" w:color="auto"/>
                <w:bottom w:val="none" w:sz="0" w:space="0" w:color="auto"/>
                <w:right w:val="none" w:sz="0" w:space="0" w:color="auto"/>
              </w:divBdr>
            </w:div>
            <w:div w:id="1141921175">
              <w:marLeft w:val="0"/>
              <w:marRight w:val="0"/>
              <w:marTop w:val="0"/>
              <w:marBottom w:val="0"/>
              <w:divBdr>
                <w:top w:val="none" w:sz="0" w:space="0" w:color="auto"/>
                <w:left w:val="none" w:sz="0" w:space="0" w:color="auto"/>
                <w:bottom w:val="none" w:sz="0" w:space="0" w:color="auto"/>
                <w:right w:val="none" w:sz="0" w:space="0" w:color="auto"/>
              </w:divBdr>
            </w:div>
            <w:div w:id="385103812">
              <w:marLeft w:val="0"/>
              <w:marRight w:val="0"/>
              <w:marTop w:val="0"/>
              <w:marBottom w:val="0"/>
              <w:divBdr>
                <w:top w:val="none" w:sz="0" w:space="0" w:color="auto"/>
                <w:left w:val="none" w:sz="0" w:space="0" w:color="auto"/>
                <w:bottom w:val="none" w:sz="0" w:space="0" w:color="auto"/>
                <w:right w:val="none" w:sz="0" w:space="0" w:color="auto"/>
              </w:divBdr>
            </w:div>
            <w:div w:id="74865745">
              <w:marLeft w:val="0"/>
              <w:marRight w:val="0"/>
              <w:marTop w:val="0"/>
              <w:marBottom w:val="0"/>
              <w:divBdr>
                <w:top w:val="none" w:sz="0" w:space="0" w:color="auto"/>
                <w:left w:val="none" w:sz="0" w:space="0" w:color="auto"/>
                <w:bottom w:val="none" w:sz="0" w:space="0" w:color="auto"/>
                <w:right w:val="none" w:sz="0" w:space="0" w:color="auto"/>
              </w:divBdr>
            </w:div>
            <w:div w:id="1160120258">
              <w:marLeft w:val="0"/>
              <w:marRight w:val="0"/>
              <w:marTop w:val="0"/>
              <w:marBottom w:val="0"/>
              <w:divBdr>
                <w:top w:val="none" w:sz="0" w:space="0" w:color="auto"/>
                <w:left w:val="none" w:sz="0" w:space="0" w:color="auto"/>
                <w:bottom w:val="none" w:sz="0" w:space="0" w:color="auto"/>
                <w:right w:val="none" w:sz="0" w:space="0" w:color="auto"/>
              </w:divBdr>
            </w:div>
            <w:div w:id="389573884">
              <w:marLeft w:val="0"/>
              <w:marRight w:val="0"/>
              <w:marTop w:val="0"/>
              <w:marBottom w:val="0"/>
              <w:divBdr>
                <w:top w:val="none" w:sz="0" w:space="0" w:color="auto"/>
                <w:left w:val="none" w:sz="0" w:space="0" w:color="auto"/>
                <w:bottom w:val="none" w:sz="0" w:space="0" w:color="auto"/>
                <w:right w:val="none" w:sz="0" w:space="0" w:color="auto"/>
              </w:divBdr>
            </w:div>
            <w:div w:id="824971700">
              <w:marLeft w:val="0"/>
              <w:marRight w:val="0"/>
              <w:marTop w:val="0"/>
              <w:marBottom w:val="0"/>
              <w:divBdr>
                <w:top w:val="none" w:sz="0" w:space="0" w:color="auto"/>
                <w:left w:val="none" w:sz="0" w:space="0" w:color="auto"/>
                <w:bottom w:val="none" w:sz="0" w:space="0" w:color="auto"/>
                <w:right w:val="none" w:sz="0" w:space="0" w:color="auto"/>
              </w:divBdr>
            </w:div>
            <w:div w:id="641885775">
              <w:marLeft w:val="0"/>
              <w:marRight w:val="0"/>
              <w:marTop w:val="0"/>
              <w:marBottom w:val="0"/>
              <w:divBdr>
                <w:top w:val="none" w:sz="0" w:space="0" w:color="auto"/>
                <w:left w:val="none" w:sz="0" w:space="0" w:color="auto"/>
                <w:bottom w:val="none" w:sz="0" w:space="0" w:color="auto"/>
                <w:right w:val="none" w:sz="0" w:space="0" w:color="auto"/>
              </w:divBdr>
            </w:div>
            <w:div w:id="2015722101">
              <w:marLeft w:val="0"/>
              <w:marRight w:val="0"/>
              <w:marTop w:val="0"/>
              <w:marBottom w:val="0"/>
              <w:divBdr>
                <w:top w:val="none" w:sz="0" w:space="0" w:color="auto"/>
                <w:left w:val="none" w:sz="0" w:space="0" w:color="auto"/>
                <w:bottom w:val="none" w:sz="0" w:space="0" w:color="auto"/>
                <w:right w:val="none" w:sz="0" w:space="0" w:color="auto"/>
              </w:divBdr>
            </w:div>
            <w:div w:id="19668209">
              <w:marLeft w:val="0"/>
              <w:marRight w:val="0"/>
              <w:marTop w:val="0"/>
              <w:marBottom w:val="0"/>
              <w:divBdr>
                <w:top w:val="none" w:sz="0" w:space="0" w:color="auto"/>
                <w:left w:val="none" w:sz="0" w:space="0" w:color="auto"/>
                <w:bottom w:val="none" w:sz="0" w:space="0" w:color="auto"/>
                <w:right w:val="none" w:sz="0" w:space="0" w:color="auto"/>
              </w:divBdr>
            </w:div>
            <w:div w:id="1316104653">
              <w:marLeft w:val="0"/>
              <w:marRight w:val="0"/>
              <w:marTop w:val="0"/>
              <w:marBottom w:val="0"/>
              <w:divBdr>
                <w:top w:val="none" w:sz="0" w:space="0" w:color="auto"/>
                <w:left w:val="none" w:sz="0" w:space="0" w:color="auto"/>
                <w:bottom w:val="none" w:sz="0" w:space="0" w:color="auto"/>
                <w:right w:val="none" w:sz="0" w:space="0" w:color="auto"/>
              </w:divBdr>
            </w:div>
            <w:div w:id="651257313">
              <w:marLeft w:val="0"/>
              <w:marRight w:val="0"/>
              <w:marTop w:val="0"/>
              <w:marBottom w:val="0"/>
              <w:divBdr>
                <w:top w:val="none" w:sz="0" w:space="0" w:color="auto"/>
                <w:left w:val="none" w:sz="0" w:space="0" w:color="auto"/>
                <w:bottom w:val="none" w:sz="0" w:space="0" w:color="auto"/>
                <w:right w:val="none" w:sz="0" w:space="0" w:color="auto"/>
              </w:divBdr>
            </w:div>
            <w:div w:id="381684490">
              <w:marLeft w:val="0"/>
              <w:marRight w:val="0"/>
              <w:marTop w:val="0"/>
              <w:marBottom w:val="0"/>
              <w:divBdr>
                <w:top w:val="none" w:sz="0" w:space="0" w:color="auto"/>
                <w:left w:val="none" w:sz="0" w:space="0" w:color="auto"/>
                <w:bottom w:val="none" w:sz="0" w:space="0" w:color="auto"/>
                <w:right w:val="none" w:sz="0" w:space="0" w:color="auto"/>
              </w:divBdr>
            </w:div>
            <w:div w:id="2106150468">
              <w:marLeft w:val="0"/>
              <w:marRight w:val="0"/>
              <w:marTop w:val="0"/>
              <w:marBottom w:val="0"/>
              <w:divBdr>
                <w:top w:val="none" w:sz="0" w:space="0" w:color="auto"/>
                <w:left w:val="none" w:sz="0" w:space="0" w:color="auto"/>
                <w:bottom w:val="none" w:sz="0" w:space="0" w:color="auto"/>
                <w:right w:val="none" w:sz="0" w:space="0" w:color="auto"/>
              </w:divBdr>
            </w:div>
            <w:div w:id="901332208">
              <w:marLeft w:val="0"/>
              <w:marRight w:val="0"/>
              <w:marTop w:val="0"/>
              <w:marBottom w:val="0"/>
              <w:divBdr>
                <w:top w:val="none" w:sz="0" w:space="0" w:color="auto"/>
                <w:left w:val="none" w:sz="0" w:space="0" w:color="auto"/>
                <w:bottom w:val="none" w:sz="0" w:space="0" w:color="auto"/>
                <w:right w:val="none" w:sz="0" w:space="0" w:color="auto"/>
              </w:divBdr>
            </w:div>
            <w:div w:id="1284731670">
              <w:marLeft w:val="0"/>
              <w:marRight w:val="0"/>
              <w:marTop w:val="0"/>
              <w:marBottom w:val="0"/>
              <w:divBdr>
                <w:top w:val="none" w:sz="0" w:space="0" w:color="auto"/>
                <w:left w:val="none" w:sz="0" w:space="0" w:color="auto"/>
                <w:bottom w:val="none" w:sz="0" w:space="0" w:color="auto"/>
                <w:right w:val="none" w:sz="0" w:space="0" w:color="auto"/>
              </w:divBdr>
            </w:div>
            <w:div w:id="737482806">
              <w:marLeft w:val="0"/>
              <w:marRight w:val="0"/>
              <w:marTop w:val="0"/>
              <w:marBottom w:val="0"/>
              <w:divBdr>
                <w:top w:val="none" w:sz="0" w:space="0" w:color="auto"/>
                <w:left w:val="none" w:sz="0" w:space="0" w:color="auto"/>
                <w:bottom w:val="none" w:sz="0" w:space="0" w:color="auto"/>
                <w:right w:val="none" w:sz="0" w:space="0" w:color="auto"/>
              </w:divBdr>
            </w:div>
            <w:div w:id="1810780605">
              <w:marLeft w:val="0"/>
              <w:marRight w:val="0"/>
              <w:marTop w:val="0"/>
              <w:marBottom w:val="0"/>
              <w:divBdr>
                <w:top w:val="none" w:sz="0" w:space="0" w:color="auto"/>
                <w:left w:val="none" w:sz="0" w:space="0" w:color="auto"/>
                <w:bottom w:val="none" w:sz="0" w:space="0" w:color="auto"/>
                <w:right w:val="none" w:sz="0" w:space="0" w:color="auto"/>
              </w:divBdr>
            </w:div>
            <w:div w:id="1333027302">
              <w:marLeft w:val="0"/>
              <w:marRight w:val="0"/>
              <w:marTop w:val="0"/>
              <w:marBottom w:val="0"/>
              <w:divBdr>
                <w:top w:val="none" w:sz="0" w:space="0" w:color="auto"/>
                <w:left w:val="none" w:sz="0" w:space="0" w:color="auto"/>
                <w:bottom w:val="none" w:sz="0" w:space="0" w:color="auto"/>
                <w:right w:val="none" w:sz="0" w:space="0" w:color="auto"/>
              </w:divBdr>
            </w:div>
            <w:div w:id="1300113255">
              <w:marLeft w:val="0"/>
              <w:marRight w:val="0"/>
              <w:marTop w:val="0"/>
              <w:marBottom w:val="0"/>
              <w:divBdr>
                <w:top w:val="none" w:sz="0" w:space="0" w:color="auto"/>
                <w:left w:val="none" w:sz="0" w:space="0" w:color="auto"/>
                <w:bottom w:val="none" w:sz="0" w:space="0" w:color="auto"/>
                <w:right w:val="none" w:sz="0" w:space="0" w:color="auto"/>
              </w:divBdr>
            </w:div>
            <w:div w:id="990864020">
              <w:marLeft w:val="0"/>
              <w:marRight w:val="0"/>
              <w:marTop w:val="0"/>
              <w:marBottom w:val="0"/>
              <w:divBdr>
                <w:top w:val="none" w:sz="0" w:space="0" w:color="auto"/>
                <w:left w:val="none" w:sz="0" w:space="0" w:color="auto"/>
                <w:bottom w:val="none" w:sz="0" w:space="0" w:color="auto"/>
                <w:right w:val="none" w:sz="0" w:space="0" w:color="auto"/>
              </w:divBdr>
            </w:div>
            <w:div w:id="1873571538">
              <w:marLeft w:val="0"/>
              <w:marRight w:val="0"/>
              <w:marTop w:val="0"/>
              <w:marBottom w:val="0"/>
              <w:divBdr>
                <w:top w:val="none" w:sz="0" w:space="0" w:color="auto"/>
                <w:left w:val="none" w:sz="0" w:space="0" w:color="auto"/>
                <w:bottom w:val="none" w:sz="0" w:space="0" w:color="auto"/>
                <w:right w:val="none" w:sz="0" w:space="0" w:color="auto"/>
              </w:divBdr>
            </w:div>
            <w:div w:id="311105088">
              <w:marLeft w:val="0"/>
              <w:marRight w:val="0"/>
              <w:marTop w:val="0"/>
              <w:marBottom w:val="0"/>
              <w:divBdr>
                <w:top w:val="none" w:sz="0" w:space="0" w:color="auto"/>
                <w:left w:val="none" w:sz="0" w:space="0" w:color="auto"/>
                <w:bottom w:val="none" w:sz="0" w:space="0" w:color="auto"/>
                <w:right w:val="none" w:sz="0" w:space="0" w:color="auto"/>
              </w:divBdr>
            </w:div>
            <w:div w:id="731077827">
              <w:marLeft w:val="0"/>
              <w:marRight w:val="0"/>
              <w:marTop w:val="0"/>
              <w:marBottom w:val="0"/>
              <w:divBdr>
                <w:top w:val="none" w:sz="0" w:space="0" w:color="auto"/>
                <w:left w:val="none" w:sz="0" w:space="0" w:color="auto"/>
                <w:bottom w:val="none" w:sz="0" w:space="0" w:color="auto"/>
                <w:right w:val="none" w:sz="0" w:space="0" w:color="auto"/>
              </w:divBdr>
            </w:div>
            <w:div w:id="1048450488">
              <w:marLeft w:val="0"/>
              <w:marRight w:val="0"/>
              <w:marTop w:val="0"/>
              <w:marBottom w:val="0"/>
              <w:divBdr>
                <w:top w:val="none" w:sz="0" w:space="0" w:color="auto"/>
                <w:left w:val="none" w:sz="0" w:space="0" w:color="auto"/>
                <w:bottom w:val="none" w:sz="0" w:space="0" w:color="auto"/>
                <w:right w:val="none" w:sz="0" w:space="0" w:color="auto"/>
              </w:divBdr>
            </w:div>
            <w:div w:id="1030256383">
              <w:marLeft w:val="0"/>
              <w:marRight w:val="0"/>
              <w:marTop w:val="0"/>
              <w:marBottom w:val="0"/>
              <w:divBdr>
                <w:top w:val="none" w:sz="0" w:space="0" w:color="auto"/>
                <w:left w:val="none" w:sz="0" w:space="0" w:color="auto"/>
                <w:bottom w:val="none" w:sz="0" w:space="0" w:color="auto"/>
                <w:right w:val="none" w:sz="0" w:space="0" w:color="auto"/>
              </w:divBdr>
            </w:div>
            <w:div w:id="933125955">
              <w:marLeft w:val="0"/>
              <w:marRight w:val="0"/>
              <w:marTop w:val="0"/>
              <w:marBottom w:val="0"/>
              <w:divBdr>
                <w:top w:val="none" w:sz="0" w:space="0" w:color="auto"/>
                <w:left w:val="none" w:sz="0" w:space="0" w:color="auto"/>
                <w:bottom w:val="none" w:sz="0" w:space="0" w:color="auto"/>
                <w:right w:val="none" w:sz="0" w:space="0" w:color="auto"/>
              </w:divBdr>
            </w:div>
            <w:div w:id="655768488">
              <w:marLeft w:val="0"/>
              <w:marRight w:val="0"/>
              <w:marTop w:val="0"/>
              <w:marBottom w:val="0"/>
              <w:divBdr>
                <w:top w:val="none" w:sz="0" w:space="0" w:color="auto"/>
                <w:left w:val="none" w:sz="0" w:space="0" w:color="auto"/>
                <w:bottom w:val="none" w:sz="0" w:space="0" w:color="auto"/>
                <w:right w:val="none" w:sz="0" w:space="0" w:color="auto"/>
              </w:divBdr>
            </w:div>
            <w:div w:id="1148090970">
              <w:marLeft w:val="0"/>
              <w:marRight w:val="0"/>
              <w:marTop w:val="0"/>
              <w:marBottom w:val="0"/>
              <w:divBdr>
                <w:top w:val="none" w:sz="0" w:space="0" w:color="auto"/>
                <w:left w:val="none" w:sz="0" w:space="0" w:color="auto"/>
                <w:bottom w:val="none" w:sz="0" w:space="0" w:color="auto"/>
                <w:right w:val="none" w:sz="0" w:space="0" w:color="auto"/>
              </w:divBdr>
            </w:div>
            <w:div w:id="33384718">
              <w:marLeft w:val="0"/>
              <w:marRight w:val="0"/>
              <w:marTop w:val="0"/>
              <w:marBottom w:val="0"/>
              <w:divBdr>
                <w:top w:val="none" w:sz="0" w:space="0" w:color="auto"/>
                <w:left w:val="none" w:sz="0" w:space="0" w:color="auto"/>
                <w:bottom w:val="none" w:sz="0" w:space="0" w:color="auto"/>
                <w:right w:val="none" w:sz="0" w:space="0" w:color="auto"/>
              </w:divBdr>
            </w:div>
            <w:div w:id="1747916179">
              <w:marLeft w:val="0"/>
              <w:marRight w:val="0"/>
              <w:marTop w:val="0"/>
              <w:marBottom w:val="0"/>
              <w:divBdr>
                <w:top w:val="none" w:sz="0" w:space="0" w:color="auto"/>
                <w:left w:val="none" w:sz="0" w:space="0" w:color="auto"/>
                <w:bottom w:val="none" w:sz="0" w:space="0" w:color="auto"/>
                <w:right w:val="none" w:sz="0" w:space="0" w:color="auto"/>
              </w:divBdr>
            </w:div>
            <w:div w:id="822115046">
              <w:marLeft w:val="0"/>
              <w:marRight w:val="0"/>
              <w:marTop w:val="0"/>
              <w:marBottom w:val="0"/>
              <w:divBdr>
                <w:top w:val="none" w:sz="0" w:space="0" w:color="auto"/>
                <w:left w:val="none" w:sz="0" w:space="0" w:color="auto"/>
                <w:bottom w:val="none" w:sz="0" w:space="0" w:color="auto"/>
                <w:right w:val="none" w:sz="0" w:space="0" w:color="auto"/>
              </w:divBdr>
            </w:div>
            <w:div w:id="1923835271">
              <w:marLeft w:val="0"/>
              <w:marRight w:val="0"/>
              <w:marTop w:val="0"/>
              <w:marBottom w:val="0"/>
              <w:divBdr>
                <w:top w:val="none" w:sz="0" w:space="0" w:color="auto"/>
                <w:left w:val="none" w:sz="0" w:space="0" w:color="auto"/>
                <w:bottom w:val="none" w:sz="0" w:space="0" w:color="auto"/>
                <w:right w:val="none" w:sz="0" w:space="0" w:color="auto"/>
              </w:divBdr>
            </w:div>
            <w:div w:id="44761159">
              <w:marLeft w:val="0"/>
              <w:marRight w:val="0"/>
              <w:marTop w:val="0"/>
              <w:marBottom w:val="0"/>
              <w:divBdr>
                <w:top w:val="none" w:sz="0" w:space="0" w:color="auto"/>
                <w:left w:val="none" w:sz="0" w:space="0" w:color="auto"/>
                <w:bottom w:val="none" w:sz="0" w:space="0" w:color="auto"/>
                <w:right w:val="none" w:sz="0" w:space="0" w:color="auto"/>
              </w:divBdr>
            </w:div>
            <w:div w:id="678433219">
              <w:marLeft w:val="0"/>
              <w:marRight w:val="0"/>
              <w:marTop w:val="0"/>
              <w:marBottom w:val="0"/>
              <w:divBdr>
                <w:top w:val="none" w:sz="0" w:space="0" w:color="auto"/>
                <w:left w:val="none" w:sz="0" w:space="0" w:color="auto"/>
                <w:bottom w:val="none" w:sz="0" w:space="0" w:color="auto"/>
                <w:right w:val="none" w:sz="0" w:space="0" w:color="auto"/>
              </w:divBdr>
            </w:div>
            <w:div w:id="2034381693">
              <w:marLeft w:val="0"/>
              <w:marRight w:val="0"/>
              <w:marTop w:val="0"/>
              <w:marBottom w:val="0"/>
              <w:divBdr>
                <w:top w:val="none" w:sz="0" w:space="0" w:color="auto"/>
                <w:left w:val="none" w:sz="0" w:space="0" w:color="auto"/>
                <w:bottom w:val="none" w:sz="0" w:space="0" w:color="auto"/>
                <w:right w:val="none" w:sz="0" w:space="0" w:color="auto"/>
              </w:divBdr>
            </w:div>
            <w:div w:id="1473062664">
              <w:marLeft w:val="0"/>
              <w:marRight w:val="0"/>
              <w:marTop w:val="0"/>
              <w:marBottom w:val="0"/>
              <w:divBdr>
                <w:top w:val="none" w:sz="0" w:space="0" w:color="auto"/>
                <w:left w:val="none" w:sz="0" w:space="0" w:color="auto"/>
                <w:bottom w:val="none" w:sz="0" w:space="0" w:color="auto"/>
                <w:right w:val="none" w:sz="0" w:space="0" w:color="auto"/>
              </w:divBdr>
            </w:div>
            <w:div w:id="2053537775">
              <w:marLeft w:val="0"/>
              <w:marRight w:val="0"/>
              <w:marTop w:val="0"/>
              <w:marBottom w:val="0"/>
              <w:divBdr>
                <w:top w:val="none" w:sz="0" w:space="0" w:color="auto"/>
                <w:left w:val="none" w:sz="0" w:space="0" w:color="auto"/>
                <w:bottom w:val="none" w:sz="0" w:space="0" w:color="auto"/>
                <w:right w:val="none" w:sz="0" w:space="0" w:color="auto"/>
              </w:divBdr>
            </w:div>
            <w:div w:id="345444350">
              <w:marLeft w:val="0"/>
              <w:marRight w:val="0"/>
              <w:marTop w:val="0"/>
              <w:marBottom w:val="0"/>
              <w:divBdr>
                <w:top w:val="none" w:sz="0" w:space="0" w:color="auto"/>
                <w:left w:val="none" w:sz="0" w:space="0" w:color="auto"/>
                <w:bottom w:val="none" w:sz="0" w:space="0" w:color="auto"/>
                <w:right w:val="none" w:sz="0" w:space="0" w:color="auto"/>
              </w:divBdr>
            </w:div>
            <w:div w:id="31462091">
              <w:marLeft w:val="0"/>
              <w:marRight w:val="0"/>
              <w:marTop w:val="0"/>
              <w:marBottom w:val="0"/>
              <w:divBdr>
                <w:top w:val="none" w:sz="0" w:space="0" w:color="auto"/>
                <w:left w:val="none" w:sz="0" w:space="0" w:color="auto"/>
                <w:bottom w:val="none" w:sz="0" w:space="0" w:color="auto"/>
                <w:right w:val="none" w:sz="0" w:space="0" w:color="auto"/>
              </w:divBdr>
            </w:div>
            <w:div w:id="1940335452">
              <w:marLeft w:val="0"/>
              <w:marRight w:val="0"/>
              <w:marTop w:val="0"/>
              <w:marBottom w:val="0"/>
              <w:divBdr>
                <w:top w:val="none" w:sz="0" w:space="0" w:color="auto"/>
                <w:left w:val="none" w:sz="0" w:space="0" w:color="auto"/>
                <w:bottom w:val="none" w:sz="0" w:space="0" w:color="auto"/>
                <w:right w:val="none" w:sz="0" w:space="0" w:color="auto"/>
              </w:divBdr>
            </w:div>
            <w:div w:id="2032298627">
              <w:marLeft w:val="0"/>
              <w:marRight w:val="0"/>
              <w:marTop w:val="0"/>
              <w:marBottom w:val="0"/>
              <w:divBdr>
                <w:top w:val="none" w:sz="0" w:space="0" w:color="auto"/>
                <w:left w:val="none" w:sz="0" w:space="0" w:color="auto"/>
                <w:bottom w:val="none" w:sz="0" w:space="0" w:color="auto"/>
                <w:right w:val="none" w:sz="0" w:space="0" w:color="auto"/>
              </w:divBdr>
            </w:div>
            <w:div w:id="1274940565">
              <w:marLeft w:val="0"/>
              <w:marRight w:val="0"/>
              <w:marTop w:val="0"/>
              <w:marBottom w:val="0"/>
              <w:divBdr>
                <w:top w:val="none" w:sz="0" w:space="0" w:color="auto"/>
                <w:left w:val="none" w:sz="0" w:space="0" w:color="auto"/>
                <w:bottom w:val="none" w:sz="0" w:space="0" w:color="auto"/>
                <w:right w:val="none" w:sz="0" w:space="0" w:color="auto"/>
              </w:divBdr>
            </w:div>
            <w:div w:id="694699743">
              <w:marLeft w:val="0"/>
              <w:marRight w:val="0"/>
              <w:marTop w:val="0"/>
              <w:marBottom w:val="0"/>
              <w:divBdr>
                <w:top w:val="none" w:sz="0" w:space="0" w:color="auto"/>
                <w:left w:val="none" w:sz="0" w:space="0" w:color="auto"/>
                <w:bottom w:val="none" w:sz="0" w:space="0" w:color="auto"/>
                <w:right w:val="none" w:sz="0" w:space="0" w:color="auto"/>
              </w:divBdr>
            </w:div>
            <w:div w:id="1697535895">
              <w:marLeft w:val="0"/>
              <w:marRight w:val="0"/>
              <w:marTop w:val="0"/>
              <w:marBottom w:val="0"/>
              <w:divBdr>
                <w:top w:val="none" w:sz="0" w:space="0" w:color="auto"/>
                <w:left w:val="none" w:sz="0" w:space="0" w:color="auto"/>
                <w:bottom w:val="none" w:sz="0" w:space="0" w:color="auto"/>
                <w:right w:val="none" w:sz="0" w:space="0" w:color="auto"/>
              </w:divBdr>
            </w:div>
            <w:div w:id="1398895044">
              <w:marLeft w:val="0"/>
              <w:marRight w:val="0"/>
              <w:marTop w:val="0"/>
              <w:marBottom w:val="0"/>
              <w:divBdr>
                <w:top w:val="none" w:sz="0" w:space="0" w:color="auto"/>
                <w:left w:val="none" w:sz="0" w:space="0" w:color="auto"/>
                <w:bottom w:val="none" w:sz="0" w:space="0" w:color="auto"/>
                <w:right w:val="none" w:sz="0" w:space="0" w:color="auto"/>
              </w:divBdr>
            </w:div>
            <w:div w:id="253977341">
              <w:marLeft w:val="0"/>
              <w:marRight w:val="0"/>
              <w:marTop w:val="0"/>
              <w:marBottom w:val="0"/>
              <w:divBdr>
                <w:top w:val="none" w:sz="0" w:space="0" w:color="auto"/>
                <w:left w:val="none" w:sz="0" w:space="0" w:color="auto"/>
                <w:bottom w:val="none" w:sz="0" w:space="0" w:color="auto"/>
                <w:right w:val="none" w:sz="0" w:space="0" w:color="auto"/>
              </w:divBdr>
            </w:div>
            <w:div w:id="554699407">
              <w:marLeft w:val="0"/>
              <w:marRight w:val="0"/>
              <w:marTop w:val="0"/>
              <w:marBottom w:val="0"/>
              <w:divBdr>
                <w:top w:val="none" w:sz="0" w:space="0" w:color="auto"/>
                <w:left w:val="none" w:sz="0" w:space="0" w:color="auto"/>
                <w:bottom w:val="none" w:sz="0" w:space="0" w:color="auto"/>
                <w:right w:val="none" w:sz="0" w:space="0" w:color="auto"/>
              </w:divBdr>
            </w:div>
            <w:div w:id="773670373">
              <w:marLeft w:val="0"/>
              <w:marRight w:val="0"/>
              <w:marTop w:val="0"/>
              <w:marBottom w:val="0"/>
              <w:divBdr>
                <w:top w:val="none" w:sz="0" w:space="0" w:color="auto"/>
                <w:left w:val="none" w:sz="0" w:space="0" w:color="auto"/>
                <w:bottom w:val="none" w:sz="0" w:space="0" w:color="auto"/>
                <w:right w:val="none" w:sz="0" w:space="0" w:color="auto"/>
              </w:divBdr>
            </w:div>
            <w:div w:id="15471123">
              <w:marLeft w:val="0"/>
              <w:marRight w:val="0"/>
              <w:marTop w:val="0"/>
              <w:marBottom w:val="0"/>
              <w:divBdr>
                <w:top w:val="none" w:sz="0" w:space="0" w:color="auto"/>
                <w:left w:val="none" w:sz="0" w:space="0" w:color="auto"/>
                <w:bottom w:val="none" w:sz="0" w:space="0" w:color="auto"/>
                <w:right w:val="none" w:sz="0" w:space="0" w:color="auto"/>
              </w:divBdr>
            </w:div>
            <w:div w:id="1928074068">
              <w:marLeft w:val="0"/>
              <w:marRight w:val="0"/>
              <w:marTop w:val="0"/>
              <w:marBottom w:val="0"/>
              <w:divBdr>
                <w:top w:val="none" w:sz="0" w:space="0" w:color="auto"/>
                <w:left w:val="none" w:sz="0" w:space="0" w:color="auto"/>
                <w:bottom w:val="none" w:sz="0" w:space="0" w:color="auto"/>
                <w:right w:val="none" w:sz="0" w:space="0" w:color="auto"/>
              </w:divBdr>
            </w:div>
            <w:div w:id="128715009">
              <w:marLeft w:val="0"/>
              <w:marRight w:val="0"/>
              <w:marTop w:val="0"/>
              <w:marBottom w:val="0"/>
              <w:divBdr>
                <w:top w:val="none" w:sz="0" w:space="0" w:color="auto"/>
                <w:left w:val="none" w:sz="0" w:space="0" w:color="auto"/>
                <w:bottom w:val="none" w:sz="0" w:space="0" w:color="auto"/>
                <w:right w:val="none" w:sz="0" w:space="0" w:color="auto"/>
              </w:divBdr>
            </w:div>
            <w:div w:id="1779985843">
              <w:marLeft w:val="0"/>
              <w:marRight w:val="0"/>
              <w:marTop w:val="0"/>
              <w:marBottom w:val="0"/>
              <w:divBdr>
                <w:top w:val="none" w:sz="0" w:space="0" w:color="auto"/>
                <w:left w:val="none" w:sz="0" w:space="0" w:color="auto"/>
                <w:bottom w:val="none" w:sz="0" w:space="0" w:color="auto"/>
                <w:right w:val="none" w:sz="0" w:space="0" w:color="auto"/>
              </w:divBdr>
            </w:div>
            <w:div w:id="319891217">
              <w:marLeft w:val="0"/>
              <w:marRight w:val="0"/>
              <w:marTop w:val="0"/>
              <w:marBottom w:val="0"/>
              <w:divBdr>
                <w:top w:val="none" w:sz="0" w:space="0" w:color="auto"/>
                <w:left w:val="none" w:sz="0" w:space="0" w:color="auto"/>
                <w:bottom w:val="none" w:sz="0" w:space="0" w:color="auto"/>
                <w:right w:val="none" w:sz="0" w:space="0" w:color="auto"/>
              </w:divBdr>
            </w:div>
            <w:div w:id="1325431374">
              <w:marLeft w:val="0"/>
              <w:marRight w:val="0"/>
              <w:marTop w:val="0"/>
              <w:marBottom w:val="0"/>
              <w:divBdr>
                <w:top w:val="none" w:sz="0" w:space="0" w:color="auto"/>
                <w:left w:val="none" w:sz="0" w:space="0" w:color="auto"/>
                <w:bottom w:val="none" w:sz="0" w:space="0" w:color="auto"/>
                <w:right w:val="none" w:sz="0" w:space="0" w:color="auto"/>
              </w:divBdr>
            </w:div>
            <w:div w:id="1084376921">
              <w:marLeft w:val="0"/>
              <w:marRight w:val="0"/>
              <w:marTop w:val="0"/>
              <w:marBottom w:val="0"/>
              <w:divBdr>
                <w:top w:val="none" w:sz="0" w:space="0" w:color="auto"/>
                <w:left w:val="none" w:sz="0" w:space="0" w:color="auto"/>
                <w:bottom w:val="none" w:sz="0" w:space="0" w:color="auto"/>
                <w:right w:val="none" w:sz="0" w:space="0" w:color="auto"/>
              </w:divBdr>
            </w:div>
            <w:div w:id="786126243">
              <w:marLeft w:val="0"/>
              <w:marRight w:val="0"/>
              <w:marTop w:val="0"/>
              <w:marBottom w:val="0"/>
              <w:divBdr>
                <w:top w:val="none" w:sz="0" w:space="0" w:color="auto"/>
                <w:left w:val="none" w:sz="0" w:space="0" w:color="auto"/>
                <w:bottom w:val="none" w:sz="0" w:space="0" w:color="auto"/>
                <w:right w:val="none" w:sz="0" w:space="0" w:color="auto"/>
              </w:divBdr>
            </w:div>
            <w:div w:id="2128886377">
              <w:marLeft w:val="0"/>
              <w:marRight w:val="0"/>
              <w:marTop w:val="0"/>
              <w:marBottom w:val="0"/>
              <w:divBdr>
                <w:top w:val="none" w:sz="0" w:space="0" w:color="auto"/>
                <w:left w:val="none" w:sz="0" w:space="0" w:color="auto"/>
                <w:bottom w:val="none" w:sz="0" w:space="0" w:color="auto"/>
                <w:right w:val="none" w:sz="0" w:space="0" w:color="auto"/>
              </w:divBdr>
            </w:div>
            <w:div w:id="1947805450">
              <w:marLeft w:val="0"/>
              <w:marRight w:val="0"/>
              <w:marTop w:val="0"/>
              <w:marBottom w:val="0"/>
              <w:divBdr>
                <w:top w:val="none" w:sz="0" w:space="0" w:color="auto"/>
                <w:left w:val="none" w:sz="0" w:space="0" w:color="auto"/>
                <w:bottom w:val="none" w:sz="0" w:space="0" w:color="auto"/>
                <w:right w:val="none" w:sz="0" w:space="0" w:color="auto"/>
              </w:divBdr>
            </w:div>
            <w:div w:id="1181625987">
              <w:marLeft w:val="0"/>
              <w:marRight w:val="0"/>
              <w:marTop w:val="0"/>
              <w:marBottom w:val="0"/>
              <w:divBdr>
                <w:top w:val="none" w:sz="0" w:space="0" w:color="auto"/>
                <w:left w:val="none" w:sz="0" w:space="0" w:color="auto"/>
                <w:bottom w:val="none" w:sz="0" w:space="0" w:color="auto"/>
                <w:right w:val="none" w:sz="0" w:space="0" w:color="auto"/>
              </w:divBdr>
            </w:div>
            <w:div w:id="1975209247">
              <w:marLeft w:val="0"/>
              <w:marRight w:val="0"/>
              <w:marTop w:val="0"/>
              <w:marBottom w:val="0"/>
              <w:divBdr>
                <w:top w:val="none" w:sz="0" w:space="0" w:color="auto"/>
                <w:left w:val="none" w:sz="0" w:space="0" w:color="auto"/>
                <w:bottom w:val="none" w:sz="0" w:space="0" w:color="auto"/>
                <w:right w:val="none" w:sz="0" w:space="0" w:color="auto"/>
              </w:divBdr>
            </w:div>
            <w:div w:id="1064370699">
              <w:marLeft w:val="0"/>
              <w:marRight w:val="0"/>
              <w:marTop w:val="0"/>
              <w:marBottom w:val="0"/>
              <w:divBdr>
                <w:top w:val="none" w:sz="0" w:space="0" w:color="auto"/>
                <w:left w:val="none" w:sz="0" w:space="0" w:color="auto"/>
                <w:bottom w:val="none" w:sz="0" w:space="0" w:color="auto"/>
                <w:right w:val="none" w:sz="0" w:space="0" w:color="auto"/>
              </w:divBdr>
            </w:div>
            <w:div w:id="1474908401">
              <w:marLeft w:val="0"/>
              <w:marRight w:val="0"/>
              <w:marTop w:val="0"/>
              <w:marBottom w:val="0"/>
              <w:divBdr>
                <w:top w:val="none" w:sz="0" w:space="0" w:color="auto"/>
                <w:left w:val="none" w:sz="0" w:space="0" w:color="auto"/>
                <w:bottom w:val="none" w:sz="0" w:space="0" w:color="auto"/>
                <w:right w:val="none" w:sz="0" w:space="0" w:color="auto"/>
              </w:divBdr>
            </w:div>
            <w:div w:id="1230993993">
              <w:marLeft w:val="0"/>
              <w:marRight w:val="0"/>
              <w:marTop w:val="0"/>
              <w:marBottom w:val="0"/>
              <w:divBdr>
                <w:top w:val="none" w:sz="0" w:space="0" w:color="auto"/>
                <w:left w:val="none" w:sz="0" w:space="0" w:color="auto"/>
                <w:bottom w:val="none" w:sz="0" w:space="0" w:color="auto"/>
                <w:right w:val="none" w:sz="0" w:space="0" w:color="auto"/>
              </w:divBdr>
            </w:div>
            <w:div w:id="2135755528">
              <w:marLeft w:val="0"/>
              <w:marRight w:val="0"/>
              <w:marTop w:val="0"/>
              <w:marBottom w:val="0"/>
              <w:divBdr>
                <w:top w:val="none" w:sz="0" w:space="0" w:color="auto"/>
                <w:left w:val="none" w:sz="0" w:space="0" w:color="auto"/>
                <w:bottom w:val="none" w:sz="0" w:space="0" w:color="auto"/>
                <w:right w:val="none" w:sz="0" w:space="0" w:color="auto"/>
              </w:divBdr>
            </w:div>
            <w:div w:id="1293368186">
              <w:marLeft w:val="0"/>
              <w:marRight w:val="0"/>
              <w:marTop w:val="0"/>
              <w:marBottom w:val="0"/>
              <w:divBdr>
                <w:top w:val="none" w:sz="0" w:space="0" w:color="auto"/>
                <w:left w:val="none" w:sz="0" w:space="0" w:color="auto"/>
                <w:bottom w:val="none" w:sz="0" w:space="0" w:color="auto"/>
                <w:right w:val="none" w:sz="0" w:space="0" w:color="auto"/>
              </w:divBdr>
            </w:div>
            <w:div w:id="1086801548">
              <w:marLeft w:val="0"/>
              <w:marRight w:val="0"/>
              <w:marTop w:val="0"/>
              <w:marBottom w:val="0"/>
              <w:divBdr>
                <w:top w:val="none" w:sz="0" w:space="0" w:color="auto"/>
                <w:left w:val="none" w:sz="0" w:space="0" w:color="auto"/>
                <w:bottom w:val="none" w:sz="0" w:space="0" w:color="auto"/>
                <w:right w:val="none" w:sz="0" w:space="0" w:color="auto"/>
              </w:divBdr>
            </w:div>
            <w:div w:id="137576806">
              <w:marLeft w:val="0"/>
              <w:marRight w:val="0"/>
              <w:marTop w:val="0"/>
              <w:marBottom w:val="0"/>
              <w:divBdr>
                <w:top w:val="none" w:sz="0" w:space="0" w:color="auto"/>
                <w:left w:val="none" w:sz="0" w:space="0" w:color="auto"/>
                <w:bottom w:val="none" w:sz="0" w:space="0" w:color="auto"/>
                <w:right w:val="none" w:sz="0" w:space="0" w:color="auto"/>
              </w:divBdr>
            </w:div>
            <w:div w:id="2042627419">
              <w:marLeft w:val="0"/>
              <w:marRight w:val="0"/>
              <w:marTop w:val="0"/>
              <w:marBottom w:val="0"/>
              <w:divBdr>
                <w:top w:val="none" w:sz="0" w:space="0" w:color="auto"/>
                <w:left w:val="none" w:sz="0" w:space="0" w:color="auto"/>
                <w:bottom w:val="none" w:sz="0" w:space="0" w:color="auto"/>
                <w:right w:val="none" w:sz="0" w:space="0" w:color="auto"/>
              </w:divBdr>
            </w:div>
            <w:div w:id="107089968">
              <w:marLeft w:val="0"/>
              <w:marRight w:val="0"/>
              <w:marTop w:val="0"/>
              <w:marBottom w:val="0"/>
              <w:divBdr>
                <w:top w:val="none" w:sz="0" w:space="0" w:color="auto"/>
                <w:left w:val="none" w:sz="0" w:space="0" w:color="auto"/>
                <w:bottom w:val="none" w:sz="0" w:space="0" w:color="auto"/>
                <w:right w:val="none" w:sz="0" w:space="0" w:color="auto"/>
              </w:divBdr>
            </w:div>
            <w:div w:id="109588082">
              <w:marLeft w:val="0"/>
              <w:marRight w:val="0"/>
              <w:marTop w:val="0"/>
              <w:marBottom w:val="0"/>
              <w:divBdr>
                <w:top w:val="none" w:sz="0" w:space="0" w:color="auto"/>
                <w:left w:val="none" w:sz="0" w:space="0" w:color="auto"/>
                <w:bottom w:val="none" w:sz="0" w:space="0" w:color="auto"/>
                <w:right w:val="none" w:sz="0" w:space="0" w:color="auto"/>
              </w:divBdr>
            </w:div>
            <w:div w:id="1720981918">
              <w:marLeft w:val="0"/>
              <w:marRight w:val="0"/>
              <w:marTop w:val="0"/>
              <w:marBottom w:val="0"/>
              <w:divBdr>
                <w:top w:val="none" w:sz="0" w:space="0" w:color="auto"/>
                <w:left w:val="none" w:sz="0" w:space="0" w:color="auto"/>
                <w:bottom w:val="none" w:sz="0" w:space="0" w:color="auto"/>
                <w:right w:val="none" w:sz="0" w:space="0" w:color="auto"/>
              </w:divBdr>
            </w:div>
            <w:div w:id="1602224702">
              <w:marLeft w:val="0"/>
              <w:marRight w:val="0"/>
              <w:marTop w:val="0"/>
              <w:marBottom w:val="0"/>
              <w:divBdr>
                <w:top w:val="none" w:sz="0" w:space="0" w:color="auto"/>
                <w:left w:val="none" w:sz="0" w:space="0" w:color="auto"/>
                <w:bottom w:val="none" w:sz="0" w:space="0" w:color="auto"/>
                <w:right w:val="none" w:sz="0" w:space="0" w:color="auto"/>
              </w:divBdr>
            </w:div>
            <w:div w:id="79066966">
              <w:marLeft w:val="0"/>
              <w:marRight w:val="0"/>
              <w:marTop w:val="0"/>
              <w:marBottom w:val="0"/>
              <w:divBdr>
                <w:top w:val="none" w:sz="0" w:space="0" w:color="auto"/>
                <w:left w:val="none" w:sz="0" w:space="0" w:color="auto"/>
                <w:bottom w:val="none" w:sz="0" w:space="0" w:color="auto"/>
                <w:right w:val="none" w:sz="0" w:space="0" w:color="auto"/>
              </w:divBdr>
            </w:div>
            <w:div w:id="1440905041">
              <w:marLeft w:val="0"/>
              <w:marRight w:val="0"/>
              <w:marTop w:val="0"/>
              <w:marBottom w:val="0"/>
              <w:divBdr>
                <w:top w:val="none" w:sz="0" w:space="0" w:color="auto"/>
                <w:left w:val="none" w:sz="0" w:space="0" w:color="auto"/>
                <w:bottom w:val="none" w:sz="0" w:space="0" w:color="auto"/>
                <w:right w:val="none" w:sz="0" w:space="0" w:color="auto"/>
              </w:divBdr>
            </w:div>
            <w:div w:id="377781950">
              <w:marLeft w:val="0"/>
              <w:marRight w:val="0"/>
              <w:marTop w:val="0"/>
              <w:marBottom w:val="0"/>
              <w:divBdr>
                <w:top w:val="none" w:sz="0" w:space="0" w:color="auto"/>
                <w:left w:val="none" w:sz="0" w:space="0" w:color="auto"/>
                <w:bottom w:val="none" w:sz="0" w:space="0" w:color="auto"/>
                <w:right w:val="none" w:sz="0" w:space="0" w:color="auto"/>
              </w:divBdr>
            </w:div>
            <w:div w:id="1897736648">
              <w:marLeft w:val="0"/>
              <w:marRight w:val="0"/>
              <w:marTop w:val="0"/>
              <w:marBottom w:val="0"/>
              <w:divBdr>
                <w:top w:val="none" w:sz="0" w:space="0" w:color="auto"/>
                <w:left w:val="none" w:sz="0" w:space="0" w:color="auto"/>
                <w:bottom w:val="none" w:sz="0" w:space="0" w:color="auto"/>
                <w:right w:val="none" w:sz="0" w:space="0" w:color="auto"/>
              </w:divBdr>
            </w:div>
            <w:div w:id="2002345807">
              <w:marLeft w:val="0"/>
              <w:marRight w:val="0"/>
              <w:marTop w:val="0"/>
              <w:marBottom w:val="0"/>
              <w:divBdr>
                <w:top w:val="none" w:sz="0" w:space="0" w:color="auto"/>
                <w:left w:val="none" w:sz="0" w:space="0" w:color="auto"/>
                <w:bottom w:val="none" w:sz="0" w:space="0" w:color="auto"/>
                <w:right w:val="none" w:sz="0" w:space="0" w:color="auto"/>
              </w:divBdr>
            </w:div>
            <w:div w:id="112478060">
              <w:marLeft w:val="0"/>
              <w:marRight w:val="0"/>
              <w:marTop w:val="0"/>
              <w:marBottom w:val="0"/>
              <w:divBdr>
                <w:top w:val="none" w:sz="0" w:space="0" w:color="auto"/>
                <w:left w:val="none" w:sz="0" w:space="0" w:color="auto"/>
                <w:bottom w:val="none" w:sz="0" w:space="0" w:color="auto"/>
                <w:right w:val="none" w:sz="0" w:space="0" w:color="auto"/>
              </w:divBdr>
            </w:div>
            <w:div w:id="173299429">
              <w:marLeft w:val="0"/>
              <w:marRight w:val="0"/>
              <w:marTop w:val="0"/>
              <w:marBottom w:val="0"/>
              <w:divBdr>
                <w:top w:val="none" w:sz="0" w:space="0" w:color="auto"/>
                <w:left w:val="none" w:sz="0" w:space="0" w:color="auto"/>
                <w:bottom w:val="none" w:sz="0" w:space="0" w:color="auto"/>
                <w:right w:val="none" w:sz="0" w:space="0" w:color="auto"/>
              </w:divBdr>
            </w:div>
            <w:div w:id="1114060893">
              <w:marLeft w:val="0"/>
              <w:marRight w:val="0"/>
              <w:marTop w:val="0"/>
              <w:marBottom w:val="0"/>
              <w:divBdr>
                <w:top w:val="none" w:sz="0" w:space="0" w:color="auto"/>
                <w:left w:val="none" w:sz="0" w:space="0" w:color="auto"/>
                <w:bottom w:val="none" w:sz="0" w:space="0" w:color="auto"/>
                <w:right w:val="none" w:sz="0" w:space="0" w:color="auto"/>
              </w:divBdr>
            </w:div>
            <w:div w:id="1334525856">
              <w:marLeft w:val="0"/>
              <w:marRight w:val="0"/>
              <w:marTop w:val="0"/>
              <w:marBottom w:val="0"/>
              <w:divBdr>
                <w:top w:val="none" w:sz="0" w:space="0" w:color="auto"/>
                <w:left w:val="none" w:sz="0" w:space="0" w:color="auto"/>
                <w:bottom w:val="none" w:sz="0" w:space="0" w:color="auto"/>
                <w:right w:val="none" w:sz="0" w:space="0" w:color="auto"/>
              </w:divBdr>
            </w:div>
            <w:div w:id="26686944">
              <w:marLeft w:val="0"/>
              <w:marRight w:val="0"/>
              <w:marTop w:val="0"/>
              <w:marBottom w:val="0"/>
              <w:divBdr>
                <w:top w:val="none" w:sz="0" w:space="0" w:color="auto"/>
                <w:left w:val="none" w:sz="0" w:space="0" w:color="auto"/>
                <w:bottom w:val="none" w:sz="0" w:space="0" w:color="auto"/>
                <w:right w:val="none" w:sz="0" w:space="0" w:color="auto"/>
              </w:divBdr>
            </w:div>
            <w:div w:id="1617591771">
              <w:marLeft w:val="0"/>
              <w:marRight w:val="0"/>
              <w:marTop w:val="0"/>
              <w:marBottom w:val="0"/>
              <w:divBdr>
                <w:top w:val="none" w:sz="0" w:space="0" w:color="auto"/>
                <w:left w:val="none" w:sz="0" w:space="0" w:color="auto"/>
                <w:bottom w:val="none" w:sz="0" w:space="0" w:color="auto"/>
                <w:right w:val="none" w:sz="0" w:space="0" w:color="auto"/>
              </w:divBdr>
            </w:div>
            <w:div w:id="1593927515">
              <w:marLeft w:val="0"/>
              <w:marRight w:val="0"/>
              <w:marTop w:val="0"/>
              <w:marBottom w:val="0"/>
              <w:divBdr>
                <w:top w:val="none" w:sz="0" w:space="0" w:color="auto"/>
                <w:left w:val="none" w:sz="0" w:space="0" w:color="auto"/>
                <w:bottom w:val="none" w:sz="0" w:space="0" w:color="auto"/>
                <w:right w:val="none" w:sz="0" w:space="0" w:color="auto"/>
              </w:divBdr>
            </w:div>
            <w:div w:id="623463985">
              <w:marLeft w:val="0"/>
              <w:marRight w:val="0"/>
              <w:marTop w:val="0"/>
              <w:marBottom w:val="0"/>
              <w:divBdr>
                <w:top w:val="none" w:sz="0" w:space="0" w:color="auto"/>
                <w:left w:val="none" w:sz="0" w:space="0" w:color="auto"/>
                <w:bottom w:val="none" w:sz="0" w:space="0" w:color="auto"/>
                <w:right w:val="none" w:sz="0" w:space="0" w:color="auto"/>
              </w:divBdr>
            </w:div>
            <w:div w:id="1160001433">
              <w:marLeft w:val="0"/>
              <w:marRight w:val="0"/>
              <w:marTop w:val="0"/>
              <w:marBottom w:val="0"/>
              <w:divBdr>
                <w:top w:val="none" w:sz="0" w:space="0" w:color="auto"/>
                <w:left w:val="none" w:sz="0" w:space="0" w:color="auto"/>
                <w:bottom w:val="none" w:sz="0" w:space="0" w:color="auto"/>
                <w:right w:val="none" w:sz="0" w:space="0" w:color="auto"/>
              </w:divBdr>
            </w:div>
            <w:div w:id="30498998">
              <w:marLeft w:val="0"/>
              <w:marRight w:val="0"/>
              <w:marTop w:val="0"/>
              <w:marBottom w:val="0"/>
              <w:divBdr>
                <w:top w:val="none" w:sz="0" w:space="0" w:color="auto"/>
                <w:left w:val="none" w:sz="0" w:space="0" w:color="auto"/>
                <w:bottom w:val="none" w:sz="0" w:space="0" w:color="auto"/>
                <w:right w:val="none" w:sz="0" w:space="0" w:color="auto"/>
              </w:divBdr>
            </w:div>
            <w:div w:id="1288198116">
              <w:marLeft w:val="0"/>
              <w:marRight w:val="0"/>
              <w:marTop w:val="0"/>
              <w:marBottom w:val="0"/>
              <w:divBdr>
                <w:top w:val="none" w:sz="0" w:space="0" w:color="auto"/>
                <w:left w:val="none" w:sz="0" w:space="0" w:color="auto"/>
                <w:bottom w:val="none" w:sz="0" w:space="0" w:color="auto"/>
                <w:right w:val="none" w:sz="0" w:space="0" w:color="auto"/>
              </w:divBdr>
            </w:div>
            <w:div w:id="1873568975">
              <w:marLeft w:val="0"/>
              <w:marRight w:val="0"/>
              <w:marTop w:val="0"/>
              <w:marBottom w:val="0"/>
              <w:divBdr>
                <w:top w:val="none" w:sz="0" w:space="0" w:color="auto"/>
                <w:left w:val="none" w:sz="0" w:space="0" w:color="auto"/>
                <w:bottom w:val="none" w:sz="0" w:space="0" w:color="auto"/>
                <w:right w:val="none" w:sz="0" w:space="0" w:color="auto"/>
              </w:divBdr>
            </w:div>
            <w:div w:id="1851677950">
              <w:marLeft w:val="0"/>
              <w:marRight w:val="0"/>
              <w:marTop w:val="0"/>
              <w:marBottom w:val="0"/>
              <w:divBdr>
                <w:top w:val="none" w:sz="0" w:space="0" w:color="auto"/>
                <w:left w:val="none" w:sz="0" w:space="0" w:color="auto"/>
                <w:bottom w:val="none" w:sz="0" w:space="0" w:color="auto"/>
                <w:right w:val="none" w:sz="0" w:space="0" w:color="auto"/>
              </w:divBdr>
            </w:div>
            <w:div w:id="418066487">
              <w:marLeft w:val="0"/>
              <w:marRight w:val="0"/>
              <w:marTop w:val="0"/>
              <w:marBottom w:val="0"/>
              <w:divBdr>
                <w:top w:val="none" w:sz="0" w:space="0" w:color="auto"/>
                <w:left w:val="none" w:sz="0" w:space="0" w:color="auto"/>
                <w:bottom w:val="none" w:sz="0" w:space="0" w:color="auto"/>
                <w:right w:val="none" w:sz="0" w:space="0" w:color="auto"/>
              </w:divBdr>
            </w:div>
            <w:div w:id="1036346879">
              <w:marLeft w:val="0"/>
              <w:marRight w:val="0"/>
              <w:marTop w:val="0"/>
              <w:marBottom w:val="0"/>
              <w:divBdr>
                <w:top w:val="none" w:sz="0" w:space="0" w:color="auto"/>
                <w:left w:val="none" w:sz="0" w:space="0" w:color="auto"/>
                <w:bottom w:val="none" w:sz="0" w:space="0" w:color="auto"/>
                <w:right w:val="none" w:sz="0" w:space="0" w:color="auto"/>
              </w:divBdr>
            </w:div>
            <w:div w:id="129131087">
              <w:marLeft w:val="0"/>
              <w:marRight w:val="0"/>
              <w:marTop w:val="0"/>
              <w:marBottom w:val="0"/>
              <w:divBdr>
                <w:top w:val="none" w:sz="0" w:space="0" w:color="auto"/>
                <w:left w:val="none" w:sz="0" w:space="0" w:color="auto"/>
                <w:bottom w:val="none" w:sz="0" w:space="0" w:color="auto"/>
                <w:right w:val="none" w:sz="0" w:space="0" w:color="auto"/>
              </w:divBdr>
            </w:div>
            <w:div w:id="638144761">
              <w:marLeft w:val="0"/>
              <w:marRight w:val="0"/>
              <w:marTop w:val="0"/>
              <w:marBottom w:val="0"/>
              <w:divBdr>
                <w:top w:val="none" w:sz="0" w:space="0" w:color="auto"/>
                <w:left w:val="none" w:sz="0" w:space="0" w:color="auto"/>
                <w:bottom w:val="none" w:sz="0" w:space="0" w:color="auto"/>
                <w:right w:val="none" w:sz="0" w:space="0" w:color="auto"/>
              </w:divBdr>
            </w:div>
            <w:div w:id="2059933706">
              <w:marLeft w:val="0"/>
              <w:marRight w:val="0"/>
              <w:marTop w:val="0"/>
              <w:marBottom w:val="0"/>
              <w:divBdr>
                <w:top w:val="none" w:sz="0" w:space="0" w:color="auto"/>
                <w:left w:val="none" w:sz="0" w:space="0" w:color="auto"/>
                <w:bottom w:val="none" w:sz="0" w:space="0" w:color="auto"/>
                <w:right w:val="none" w:sz="0" w:space="0" w:color="auto"/>
              </w:divBdr>
            </w:div>
            <w:div w:id="990446600">
              <w:marLeft w:val="0"/>
              <w:marRight w:val="0"/>
              <w:marTop w:val="0"/>
              <w:marBottom w:val="0"/>
              <w:divBdr>
                <w:top w:val="none" w:sz="0" w:space="0" w:color="auto"/>
                <w:left w:val="none" w:sz="0" w:space="0" w:color="auto"/>
                <w:bottom w:val="none" w:sz="0" w:space="0" w:color="auto"/>
                <w:right w:val="none" w:sz="0" w:space="0" w:color="auto"/>
              </w:divBdr>
            </w:div>
            <w:div w:id="988704089">
              <w:marLeft w:val="0"/>
              <w:marRight w:val="0"/>
              <w:marTop w:val="0"/>
              <w:marBottom w:val="0"/>
              <w:divBdr>
                <w:top w:val="none" w:sz="0" w:space="0" w:color="auto"/>
                <w:left w:val="none" w:sz="0" w:space="0" w:color="auto"/>
                <w:bottom w:val="none" w:sz="0" w:space="0" w:color="auto"/>
                <w:right w:val="none" w:sz="0" w:space="0" w:color="auto"/>
              </w:divBdr>
            </w:div>
            <w:div w:id="139463261">
              <w:marLeft w:val="0"/>
              <w:marRight w:val="0"/>
              <w:marTop w:val="0"/>
              <w:marBottom w:val="0"/>
              <w:divBdr>
                <w:top w:val="none" w:sz="0" w:space="0" w:color="auto"/>
                <w:left w:val="none" w:sz="0" w:space="0" w:color="auto"/>
                <w:bottom w:val="none" w:sz="0" w:space="0" w:color="auto"/>
                <w:right w:val="none" w:sz="0" w:space="0" w:color="auto"/>
              </w:divBdr>
            </w:div>
            <w:div w:id="706838002">
              <w:marLeft w:val="0"/>
              <w:marRight w:val="0"/>
              <w:marTop w:val="0"/>
              <w:marBottom w:val="0"/>
              <w:divBdr>
                <w:top w:val="none" w:sz="0" w:space="0" w:color="auto"/>
                <w:left w:val="none" w:sz="0" w:space="0" w:color="auto"/>
                <w:bottom w:val="none" w:sz="0" w:space="0" w:color="auto"/>
                <w:right w:val="none" w:sz="0" w:space="0" w:color="auto"/>
              </w:divBdr>
            </w:div>
            <w:div w:id="1685008697">
              <w:marLeft w:val="0"/>
              <w:marRight w:val="0"/>
              <w:marTop w:val="0"/>
              <w:marBottom w:val="0"/>
              <w:divBdr>
                <w:top w:val="none" w:sz="0" w:space="0" w:color="auto"/>
                <w:left w:val="none" w:sz="0" w:space="0" w:color="auto"/>
                <w:bottom w:val="none" w:sz="0" w:space="0" w:color="auto"/>
                <w:right w:val="none" w:sz="0" w:space="0" w:color="auto"/>
              </w:divBdr>
            </w:div>
            <w:div w:id="1925993326">
              <w:marLeft w:val="0"/>
              <w:marRight w:val="0"/>
              <w:marTop w:val="0"/>
              <w:marBottom w:val="0"/>
              <w:divBdr>
                <w:top w:val="none" w:sz="0" w:space="0" w:color="auto"/>
                <w:left w:val="none" w:sz="0" w:space="0" w:color="auto"/>
                <w:bottom w:val="none" w:sz="0" w:space="0" w:color="auto"/>
                <w:right w:val="none" w:sz="0" w:space="0" w:color="auto"/>
              </w:divBdr>
            </w:div>
            <w:div w:id="1211697188">
              <w:marLeft w:val="0"/>
              <w:marRight w:val="0"/>
              <w:marTop w:val="0"/>
              <w:marBottom w:val="0"/>
              <w:divBdr>
                <w:top w:val="none" w:sz="0" w:space="0" w:color="auto"/>
                <w:left w:val="none" w:sz="0" w:space="0" w:color="auto"/>
                <w:bottom w:val="none" w:sz="0" w:space="0" w:color="auto"/>
                <w:right w:val="none" w:sz="0" w:space="0" w:color="auto"/>
              </w:divBdr>
            </w:div>
            <w:div w:id="1415132350">
              <w:marLeft w:val="0"/>
              <w:marRight w:val="0"/>
              <w:marTop w:val="0"/>
              <w:marBottom w:val="0"/>
              <w:divBdr>
                <w:top w:val="none" w:sz="0" w:space="0" w:color="auto"/>
                <w:left w:val="none" w:sz="0" w:space="0" w:color="auto"/>
                <w:bottom w:val="none" w:sz="0" w:space="0" w:color="auto"/>
                <w:right w:val="none" w:sz="0" w:space="0" w:color="auto"/>
              </w:divBdr>
            </w:div>
            <w:div w:id="2144806372">
              <w:marLeft w:val="0"/>
              <w:marRight w:val="0"/>
              <w:marTop w:val="0"/>
              <w:marBottom w:val="0"/>
              <w:divBdr>
                <w:top w:val="none" w:sz="0" w:space="0" w:color="auto"/>
                <w:left w:val="none" w:sz="0" w:space="0" w:color="auto"/>
                <w:bottom w:val="none" w:sz="0" w:space="0" w:color="auto"/>
                <w:right w:val="none" w:sz="0" w:space="0" w:color="auto"/>
              </w:divBdr>
            </w:div>
            <w:div w:id="879895843">
              <w:marLeft w:val="0"/>
              <w:marRight w:val="0"/>
              <w:marTop w:val="0"/>
              <w:marBottom w:val="0"/>
              <w:divBdr>
                <w:top w:val="none" w:sz="0" w:space="0" w:color="auto"/>
                <w:left w:val="none" w:sz="0" w:space="0" w:color="auto"/>
                <w:bottom w:val="none" w:sz="0" w:space="0" w:color="auto"/>
                <w:right w:val="none" w:sz="0" w:space="0" w:color="auto"/>
              </w:divBdr>
            </w:div>
            <w:div w:id="1034188175">
              <w:marLeft w:val="0"/>
              <w:marRight w:val="0"/>
              <w:marTop w:val="0"/>
              <w:marBottom w:val="0"/>
              <w:divBdr>
                <w:top w:val="none" w:sz="0" w:space="0" w:color="auto"/>
                <w:left w:val="none" w:sz="0" w:space="0" w:color="auto"/>
                <w:bottom w:val="none" w:sz="0" w:space="0" w:color="auto"/>
                <w:right w:val="none" w:sz="0" w:space="0" w:color="auto"/>
              </w:divBdr>
            </w:div>
            <w:div w:id="721557286">
              <w:marLeft w:val="0"/>
              <w:marRight w:val="0"/>
              <w:marTop w:val="0"/>
              <w:marBottom w:val="0"/>
              <w:divBdr>
                <w:top w:val="none" w:sz="0" w:space="0" w:color="auto"/>
                <w:left w:val="none" w:sz="0" w:space="0" w:color="auto"/>
                <w:bottom w:val="none" w:sz="0" w:space="0" w:color="auto"/>
                <w:right w:val="none" w:sz="0" w:space="0" w:color="auto"/>
              </w:divBdr>
            </w:div>
            <w:div w:id="164250843">
              <w:marLeft w:val="0"/>
              <w:marRight w:val="0"/>
              <w:marTop w:val="0"/>
              <w:marBottom w:val="0"/>
              <w:divBdr>
                <w:top w:val="none" w:sz="0" w:space="0" w:color="auto"/>
                <w:left w:val="none" w:sz="0" w:space="0" w:color="auto"/>
                <w:bottom w:val="none" w:sz="0" w:space="0" w:color="auto"/>
                <w:right w:val="none" w:sz="0" w:space="0" w:color="auto"/>
              </w:divBdr>
            </w:div>
            <w:div w:id="746683412">
              <w:marLeft w:val="0"/>
              <w:marRight w:val="0"/>
              <w:marTop w:val="0"/>
              <w:marBottom w:val="0"/>
              <w:divBdr>
                <w:top w:val="none" w:sz="0" w:space="0" w:color="auto"/>
                <w:left w:val="none" w:sz="0" w:space="0" w:color="auto"/>
                <w:bottom w:val="none" w:sz="0" w:space="0" w:color="auto"/>
                <w:right w:val="none" w:sz="0" w:space="0" w:color="auto"/>
              </w:divBdr>
            </w:div>
            <w:div w:id="710308033">
              <w:marLeft w:val="0"/>
              <w:marRight w:val="0"/>
              <w:marTop w:val="0"/>
              <w:marBottom w:val="0"/>
              <w:divBdr>
                <w:top w:val="none" w:sz="0" w:space="0" w:color="auto"/>
                <w:left w:val="none" w:sz="0" w:space="0" w:color="auto"/>
                <w:bottom w:val="none" w:sz="0" w:space="0" w:color="auto"/>
                <w:right w:val="none" w:sz="0" w:space="0" w:color="auto"/>
              </w:divBdr>
            </w:div>
            <w:div w:id="931209370">
              <w:marLeft w:val="0"/>
              <w:marRight w:val="0"/>
              <w:marTop w:val="0"/>
              <w:marBottom w:val="0"/>
              <w:divBdr>
                <w:top w:val="none" w:sz="0" w:space="0" w:color="auto"/>
                <w:left w:val="none" w:sz="0" w:space="0" w:color="auto"/>
                <w:bottom w:val="none" w:sz="0" w:space="0" w:color="auto"/>
                <w:right w:val="none" w:sz="0" w:space="0" w:color="auto"/>
              </w:divBdr>
            </w:div>
            <w:div w:id="1429157698">
              <w:marLeft w:val="0"/>
              <w:marRight w:val="0"/>
              <w:marTop w:val="0"/>
              <w:marBottom w:val="0"/>
              <w:divBdr>
                <w:top w:val="none" w:sz="0" w:space="0" w:color="auto"/>
                <w:left w:val="none" w:sz="0" w:space="0" w:color="auto"/>
                <w:bottom w:val="none" w:sz="0" w:space="0" w:color="auto"/>
                <w:right w:val="none" w:sz="0" w:space="0" w:color="auto"/>
              </w:divBdr>
            </w:div>
            <w:div w:id="2108844446">
              <w:marLeft w:val="0"/>
              <w:marRight w:val="0"/>
              <w:marTop w:val="0"/>
              <w:marBottom w:val="0"/>
              <w:divBdr>
                <w:top w:val="none" w:sz="0" w:space="0" w:color="auto"/>
                <w:left w:val="none" w:sz="0" w:space="0" w:color="auto"/>
                <w:bottom w:val="none" w:sz="0" w:space="0" w:color="auto"/>
                <w:right w:val="none" w:sz="0" w:space="0" w:color="auto"/>
              </w:divBdr>
            </w:div>
            <w:div w:id="150947122">
              <w:marLeft w:val="0"/>
              <w:marRight w:val="0"/>
              <w:marTop w:val="0"/>
              <w:marBottom w:val="0"/>
              <w:divBdr>
                <w:top w:val="none" w:sz="0" w:space="0" w:color="auto"/>
                <w:left w:val="none" w:sz="0" w:space="0" w:color="auto"/>
                <w:bottom w:val="none" w:sz="0" w:space="0" w:color="auto"/>
                <w:right w:val="none" w:sz="0" w:space="0" w:color="auto"/>
              </w:divBdr>
            </w:div>
            <w:div w:id="950281618">
              <w:marLeft w:val="0"/>
              <w:marRight w:val="0"/>
              <w:marTop w:val="0"/>
              <w:marBottom w:val="0"/>
              <w:divBdr>
                <w:top w:val="none" w:sz="0" w:space="0" w:color="auto"/>
                <w:left w:val="none" w:sz="0" w:space="0" w:color="auto"/>
                <w:bottom w:val="none" w:sz="0" w:space="0" w:color="auto"/>
                <w:right w:val="none" w:sz="0" w:space="0" w:color="auto"/>
              </w:divBdr>
            </w:div>
            <w:div w:id="1746535936">
              <w:marLeft w:val="0"/>
              <w:marRight w:val="0"/>
              <w:marTop w:val="0"/>
              <w:marBottom w:val="0"/>
              <w:divBdr>
                <w:top w:val="none" w:sz="0" w:space="0" w:color="auto"/>
                <w:left w:val="none" w:sz="0" w:space="0" w:color="auto"/>
                <w:bottom w:val="none" w:sz="0" w:space="0" w:color="auto"/>
                <w:right w:val="none" w:sz="0" w:space="0" w:color="auto"/>
              </w:divBdr>
            </w:div>
            <w:div w:id="866333179">
              <w:marLeft w:val="0"/>
              <w:marRight w:val="0"/>
              <w:marTop w:val="0"/>
              <w:marBottom w:val="0"/>
              <w:divBdr>
                <w:top w:val="none" w:sz="0" w:space="0" w:color="auto"/>
                <w:left w:val="none" w:sz="0" w:space="0" w:color="auto"/>
                <w:bottom w:val="none" w:sz="0" w:space="0" w:color="auto"/>
                <w:right w:val="none" w:sz="0" w:space="0" w:color="auto"/>
              </w:divBdr>
            </w:div>
            <w:div w:id="221253001">
              <w:marLeft w:val="0"/>
              <w:marRight w:val="0"/>
              <w:marTop w:val="0"/>
              <w:marBottom w:val="0"/>
              <w:divBdr>
                <w:top w:val="none" w:sz="0" w:space="0" w:color="auto"/>
                <w:left w:val="none" w:sz="0" w:space="0" w:color="auto"/>
                <w:bottom w:val="none" w:sz="0" w:space="0" w:color="auto"/>
                <w:right w:val="none" w:sz="0" w:space="0" w:color="auto"/>
              </w:divBdr>
            </w:div>
            <w:div w:id="976958071">
              <w:marLeft w:val="0"/>
              <w:marRight w:val="0"/>
              <w:marTop w:val="0"/>
              <w:marBottom w:val="0"/>
              <w:divBdr>
                <w:top w:val="none" w:sz="0" w:space="0" w:color="auto"/>
                <w:left w:val="none" w:sz="0" w:space="0" w:color="auto"/>
                <w:bottom w:val="none" w:sz="0" w:space="0" w:color="auto"/>
                <w:right w:val="none" w:sz="0" w:space="0" w:color="auto"/>
              </w:divBdr>
            </w:div>
            <w:div w:id="523178602">
              <w:marLeft w:val="0"/>
              <w:marRight w:val="0"/>
              <w:marTop w:val="0"/>
              <w:marBottom w:val="0"/>
              <w:divBdr>
                <w:top w:val="none" w:sz="0" w:space="0" w:color="auto"/>
                <w:left w:val="none" w:sz="0" w:space="0" w:color="auto"/>
                <w:bottom w:val="none" w:sz="0" w:space="0" w:color="auto"/>
                <w:right w:val="none" w:sz="0" w:space="0" w:color="auto"/>
              </w:divBdr>
            </w:div>
            <w:div w:id="211160570">
              <w:marLeft w:val="0"/>
              <w:marRight w:val="0"/>
              <w:marTop w:val="0"/>
              <w:marBottom w:val="0"/>
              <w:divBdr>
                <w:top w:val="none" w:sz="0" w:space="0" w:color="auto"/>
                <w:left w:val="none" w:sz="0" w:space="0" w:color="auto"/>
                <w:bottom w:val="none" w:sz="0" w:space="0" w:color="auto"/>
                <w:right w:val="none" w:sz="0" w:space="0" w:color="auto"/>
              </w:divBdr>
            </w:div>
            <w:div w:id="759066746">
              <w:marLeft w:val="0"/>
              <w:marRight w:val="0"/>
              <w:marTop w:val="0"/>
              <w:marBottom w:val="0"/>
              <w:divBdr>
                <w:top w:val="none" w:sz="0" w:space="0" w:color="auto"/>
                <w:left w:val="none" w:sz="0" w:space="0" w:color="auto"/>
                <w:bottom w:val="none" w:sz="0" w:space="0" w:color="auto"/>
                <w:right w:val="none" w:sz="0" w:space="0" w:color="auto"/>
              </w:divBdr>
            </w:div>
            <w:div w:id="352149252">
              <w:marLeft w:val="0"/>
              <w:marRight w:val="0"/>
              <w:marTop w:val="0"/>
              <w:marBottom w:val="0"/>
              <w:divBdr>
                <w:top w:val="none" w:sz="0" w:space="0" w:color="auto"/>
                <w:left w:val="none" w:sz="0" w:space="0" w:color="auto"/>
                <w:bottom w:val="none" w:sz="0" w:space="0" w:color="auto"/>
                <w:right w:val="none" w:sz="0" w:space="0" w:color="auto"/>
              </w:divBdr>
            </w:div>
            <w:div w:id="808135577">
              <w:marLeft w:val="0"/>
              <w:marRight w:val="0"/>
              <w:marTop w:val="0"/>
              <w:marBottom w:val="0"/>
              <w:divBdr>
                <w:top w:val="none" w:sz="0" w:space="0" w:color="auto"/>
                <w:left w:val="none" w:sz="0" w:space="0" w:color="auto"/>
                <w:bottom w:val="none" w:sz="0" w:space="0" w:color="auto"/>
                <w:right w:val="none" w:sz="0" w:space="0" w:color="auto"/>
              </w:divBdr>
            </w:div>
            <w:div w:id="533540072">
              <w:marLeft w:val="0"/>
              <w:marRight w:val="0"/>
              <w:marTop w:val="0"/>
              <w:marBottom w:val="0"/>
              <w:divBdr>
                <w:top w:val="none" w:sz="0" w:space="0" w:color="auto"/>
                <w:left w:val="none" w:sz="0" w:space="0" w:color="auto"/>
                <w:bottom w:val="none" w:sz="0" w:space="0" w:color="auto"/>
                <w:right w:val="none" w:sz="0" w:space="0" w:color="auto"/>
              </w:divBdr>
            </w:div>
            <w:div w:id="1436638324">
              <w:marLeft w:val="0"/>
              <w:marRight w:val="0"/>
              <w:marTop w:val="0"/>
              <w:marBottom w:val="0"/>
              <w:divBdr>
                <w:top w:val="none" w:sz="0" w:space="0" w:color="auto"/>
                <w:left w:val="none" w:sz="0" w:space="0" w:color="auto"/>
                <w:bottom w:val="none" w:sz="0" w:space="0" w:color="auto"/>
                <w:right w:val="none" w:sz="0" w:space="0" w:color="auto"/>
              </w:divBdr>
            </w:div>
            <w:div w:id="1806925206">
              <w:marLeft w:val="0"/>
              <w:marRight w:val="0"/>
              <w:marTop w:val="0"/>
              <w:marBottom w:val="0"/>
              <w:divBdr>
                <w:top w:val="none" w:sz="0" w:space="0" w:color="auto"/>
                <w:left w:val="none" w:sz="0" w:space="0" w:color="auto"/>
                <w:bottom w:val="none" w:sz="0" w:space="0" w:color="auto"/>
                <w:right w:val="none" w:sz="0" w:space="0" w:color="auto"/>
              </w:divBdr>
            </w:div>
            <w:div w:id="275719743">
              <w:marLeft w:val="0"/>
              <w:marRight w:val="0"/>
              <w:marTop w:val="0"/>
              <w:marBottom w:val="0"/>
              <w:divBdr>
                <w:top w:val="none" w:sz="0" w:space="0" w:color="auto"/>
                <w:left w:val="none" w:sz="0" w:space="0" w:color="auto"/>
                <w:bottom w:val="none" w:sz="0" w:space="0" w:color="auto"/>
                <w:right w:val="none" w:sz="0" w:space="0" w:color="auto"/>
              </w:divBdr>
            </w:div>
            <w:div w:id="1628314752">
              <w:marLeft w:val="0"/>
              <w:marRight w:val="0"/>
              <w:marTop w:val="0"/>
              <w:marBottom w:val="0"/>
              <w:divBdr>
                <w:top w:val="none" w:sz="0" w:space="0" w:color="auto"/>
                <w:left w:val="none" w:sz="0" w:space="0" w:color="auto"/>
                <w:bottom w:val="none" w:sz="0" w:space="0" w:color="auto"/>
                <w:right w:val="none" w:sz="0" w:space="0" w:color="auto"/>
              </w:divBdr>
            </w:div>
            <w:div w:id="1826319096">
              <w:marLeft w:val="0"/>
              <w:marRight w:val="0"/>
              <w:marTop w:val="0"/>
              <w:marBottom w:val="0"/>
              <w:divBdr>
                <w:top w:val="none" w:sz="0" w:space="0" w:color="auto"/>
                <w:left w:val="none" w:sz="0" w:space="0" w:color="auto"/>
                <w:bottom w:val="none" w:sz="0" w:space="0" w:color="auto"/>
                <w:right w:val="none" w:sz="0" w:space="0" w:color="auto"/>
              </w:divBdr>
            </w:div>
            <w:div w:id="1398094988">
              <w:marLeft w:val="0"/>
              <w:marRight w:val="0"/>
              <w:marTop w:val="0"/>
              <w:marBottom w:val="0"/>
              <w:divBdr>
                <w:top w:val="none" w:sz="0" w:space="0" w:color="auto"/>
                <w:left w:val="none" w:sz="0" w:space="0" w:color="auto"/>
                <w:bottom w:val="none" w:sz="0" w:space="0" w:color="auto"/>
                <w:right w:val="none" w:sz="0" w:space="0" w:color="auto"/>
              </w:divBdr>
            </w:div>
            <w:div w:id="1633292221">
              <w:marLeft w:val="0"/>
              <w:marRight w:val="0"/>
              <w:marTop w:val="0"/>
              <w:marBottom w:val="0"/>
              <w:divBdr>
                <w:top w:val="none" w:sz="0" w:space="0" w:color="auto"/>
                <w:left w:val="none" w:sz="0" w:space="0" w:color="auto"/>
                <w:bottom w:val="none" w:sz="0" w:space="0" w:color="auto"/>
                <w:right w:val="none" w:sz="0" w:space="0" w:color="auto"/>
              </w:divBdr>
            </w:div>
            <w:div w:id="1076241342">
              <w:marLeft w:val="0"/>
              <w:marRight w:val="0"/>
              <w:marTop w:val="0"/>
              <w:marBottom w:val="0"/>
              <w:divBdr>
                <w:top w:val="none" w:sz="0" w:space="0" w:color="auto"/>
                <w:left w:val="none" w:sz="0" w:space="0" w:color="auto"/>
                <w:bottom w:val="none" w:sz="0" w:space="0" w:color="auto"/>
                <w:right w:val="none" w:sz="0" w:space="0" w:color="auto"/>
              </w:divBdr>
            </w:div>
            <w:div w:id="1005400607">
              <w:marLeft w:val="0"/>
              <w:marRight w:val="0"/>
              <w:marTop w:val="0"/>
              <w:marBottom w:val="0"/>
              <w:divBdr>
                <w:top w:val="none" w:sz="0" w:space="0" w:color="auto"/>
                <w:left w:val="none" w:sz="0" w:space="0" w:color="auto"/>
                <w:bottom w:val="none" w:sz="0" w:space="0" w:color="auto"/>
                <w:right w:val="none" w:sz="0" w:space="0" w:color="auto"/>
              </w:divBdr>
            </w:div>
            <w:div w:id="1963266845">
              <w:marLeft w:val="0"/>
              <w:marRight w:val="0"/>
              <w:marTop w:val="0"/>
              <w:marBottom w:val="0"/>
              <w:divBdr>
                <w:top w:val="none" w:sz="0" w:space="0" w:color="auto"/>
                <w:left w:val="none" w:sz="0" w:space="0" w:color="auto"/>
                <w:bottom w:val="none" w:sz="0" w:space="0" w:color="auto"/>
                <w:right w:val="none" w:sz="0" w:space="0" w:color="auto"/>
              </w:divBdr>
            </w:div>
            <w:div w:id="1390494091">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40879615">
              <w:marLeft w:val="0"/>
              <w:marRight w:val="0"/>
              <w:marTop w:val="0"/>
              <w:marBottom w:val="0"/>
              <w:divBdr>
                <w:top w:val="none" w:sz="0" w:space="0" w:color="auto"/>
                <w:left w:val="none" w:sz="0" w:space="0" w:color="auto"/>
                <w:bottom w:val="none" w:sz="0" w:space="0" w:color="auto"/>
                <w:right w:val="none" w:sz="0" w:space="0" w:color="auto"/>
              </w:divBdr>
            </w:div>
            <w:div w:id="1302081163">
              <w:marLeft w:val="0"/>
              <w:marRight w:val="0"/>
              <w:marTop w:val="0"/>
              <w:marBottom w:val="0"/>
              <w:divBdr>
                <w:top w:val="none" w:sz="0" w:space="0" w:color="auto"/>
                <w:left w:val="none" w:sz="0" w:space="0" w:color="auto"/>
                <w:bottom w:val="none" w:sz="0" w:space="0" w:color="auto"/>
                <w:right w:val="none" w:sz="0" w:space="0" w:color="auto"/>
              </w:divBdr>
            </w:div>
            <w:div w:id="492961953">
              <w:marLeft w:val="0"/>
              <w:marRight w:val="0"/>
              <w:marTop w:val="0"/>
              <w:marBottom w:val="0"/>
              <w:divBdr>
                <w:top w:val="none" w:sz="0" w:space="0" w:color="auto"/>
                <w:left w:val="none" w:sz="0" w:space="0" w:color="auto"/>
                <w:bottom w:val="none" w:sz="0" w:space="0" w:color="auto"/>
                <w:right w:val="none" w:sz="0" w:space="0" w:color="auto"/>
              </w:divBdr>
            </w:div>
            <w:div w:id="625353121">
              <w:marLeft w:val="0"/>
              <w:marRight w:val="0"/>
              <w:marTop w:val="0"/>
              <w:marBottom w:val="0"/>
              <w:divBdr>
                <w:top w:val="none" w:sz="0" w:space="0" w:color="auto"/>
                <w:left w:val="none" w:sz="0" w:space="0" w:color="auto"/>
                <w:bottom w:val="none" w:sz="0" w:space="0" w:color="auto"/>
                <w:right w:val="none" w:sz="0" w:space="0" w:color="auto"/>
              </w:divBdr>
            </w:div>
            <w:div w:id="916204938">
              <w:marLeft w:val="0"/>
              <w:marRight w:val="0"/>
              <w:marTop w:val="0"/>
              <w:marBottom w:val="0"/>
              <w:divBdr>
                <w:top w:val="none" w:sz="0" w:space="0" w:color="auto"/>
                <w:left w:val="none" w:sz="0" w:space="0" w:color="auto"/>
                <w:bottom w:val="none" w:sz="0" w:space="0" w:color="auto"/>
                <w:right w:val="none" w:sz="0" w:space="0" w:color="auto"/>
              </w:divBdr>
            </w:div>
            <w:div w:id="364644950">
              <w:marLeft w:val="0"/>
              <w:marRight w:val="0"/>
              <w:marTop w:val="0"/>
              <w:marBottom w:val="0"/>
              <w:divBdr>
                <w:top w:val="none" w:sz="0" w:space="0" w:color="auto"/>
                <w:left w:val="none" w:sz="0" w:space="0" w:color="auto"/>
                <w:bottom w:val="none" w:sz="0" w:space="0" w:color="auto"/>
                <w:right w:val="none" w:sz="0" w:space="0" w:color="auto"/>
              </w:divBdr>
            </w:div>
            <w:div w:id="513306803">
              <w:marLeft w:val="0"/>
              <w:marRight w:val="0"/>
              <w:marTop w:val="0"/>
              <w:marBottom w:val="0"/>
              <w:divBdr>
                <w:top w:val="none" w:sz="0" w:space="0" w:color="auto"/>
                <w:left w:val="none" w:sz="0" w:space="0" w:color="auto"/>
                <w:bottom w:val="none" w:sz="0" w:space="0" w:color="auto"/>
                <w:right w:val="none" w:sz="0" w:space="0" w:color="auto"/>
              </w:divBdr>
            </w:div>
            <w:div w:id="811482503">
              <w:marLeft w:val="0"/>
              <w:marRight w:val="0"/>
              <w:marTop w:val="0"/>
              <w:marBottom w:val="0"/>
              <w:divBdr>
                <w:top w:val="none" w:sz="0" w:space="0" w:color="auto"/>
                <w:left w:val="none" w:sz="0" w:space="0" w:color="auto"/>
                <w:bottom w:val="none" w:sz="0" w:space="0" w:color="auto"/>
                <w:right w:val="none" w:sz="0" w:space="0" w:color="auto"/>
              </w:divBdr>
            </w:div>
            <w:div w:id="2038193308">
              <w:marLeft w:val="0"/>
              <w:marRight w:val="0"/>
              <w:marTop w:val="0"/>
              <w:marBottom w:val="0"/>
              <w:divBdr>
                <w:top w:val="none" w:sz="0" w:space="0" w:color="auto"/>
                <w:left w:val="none" w:sz="0" w:space="0" w:color="auto"/>
                <w:bottom w:val="none" w:sz="0" w:space="0" w:color="auto"/>
                <w:right w:val="none" w:sz="0" w:space="0" w:color="auto"/>
              </w:divBdr>
            </w:div>
            <w:div w:id="1591888623">
              <w:marLeft w:val="0"/>
              <w:marRight w:val="0"/>
              <w:marTop w:val="0"/>
              <w:marBottom w:val="0"/>
              <w:divBdr>
                <w:top w:val="none" w:sz="0" w:space="0" w:color="auto"/>
                <w:left w:val="none" w:sz="0" w:space="0" w:color="auto"/>
                <w:bottom w:val="none" w:sz="0" w:space="0" w:color="auto"/>
                <w:right w:val="none" w:sz="0" w:space="0" w:color="auto"/>
              </w:divBdr>
            </w:div>
            <w:div w:id="1512722702">
              <w:marLeft w:val="0"/>
              <w:marRight w:val="0"/>
              <w:marTop w:val="0"/>
              <w:marBottom w:val="0"/>
              <w:divBdr>
                <w:top w:val="none" w:sz="0" w:space="0" w:color="auto"/>
                <w:left w:val="none" w:sz="0" w:space="0" w:color="auto"/>
                <w:bottom w:val="none" w:sz="0" w:space="0" w:color="auto"/>
                <w:right w:val="none" w:sz="0" w:space="0" w:color="auto"/>
              </w:divBdr>
            </w:div>
            <w:div w:id="928199795">
              <w:marLeft w:val="0"/>
              <w:marRight w:val="0"/>
              <w:marTop w:val="0"/>
              <w:marBottom w:val="0"/>
              <w:divBdr>
                <w:top w:val="none" w:sz="0" w:space="0" w:color="auto"/>
                <w:left w:val="none" w:sz="0" w:space="0" w:color="auto"/>
                <w:bottom w:val="none" w:sz="0" w:space="0" w:color="auto"/>
                <w:right w:val="none" w:sz="0" w:space="0" w:color="auto"/>
              </w:divBdr>
            </w:div>
            <w:div w:id="1069812623">
              <w:marLeft w:val="0"/>
              <w:marRight w:val="0"/>
              <w:marTop w:val="0"/>
              <w:marBottom w:val="0"/>
              <w:divBdr>
                <w:top w:val="none" w:sz="0" w:space="0" w:color="auto"/>
                <w:left w:val="none" w:sz="0" w:space="0" w:color="auto"/>
                <w:bottom w:val="none" w:sz="0" w:space="0" w:color="auto"/>
                <w:right w:val="none" w:sz="0" w:space="0" w:color="auto"/>
              </w:divBdr>
            </w:div>
            <w:div w:id="51542066">
              <w:marLeft w:val="0"/>
              <w:marRight w:val="0"/>
              <w:marTop w:val="0"/>
              <w:marBottom w:val="0"/>
              <w:divBdr>
                <w:top w:val="none" w:sz="0" w:space="0" w:color="auto"/>
                <w:left w:val="none" w:sz="0" w:space="0" w:color="auto"/>
                <w:bottom w:val="none" w:sz="0" w:space="0" w:color="auto"/>
                <w:right w:val="none" w:sz="0" w:space="0" w:color="auto"/>
              </w:divBdr>
            </w:div>
            <w:div w:id="1267691415">
              <w:marLeft w:val="0"/>
              <w:marRight w:val="0"/>
              <w:marTop w:val="0"/>
              <w:marBottom w:val="0"/>
              <w:divBdr>
                <w:top w:val="none" w:sz="0" w:space="0" w:color="auto"/>
                <w:left w:val="none" w:sz="0" w:space="0" w:color="auto"/>
                <w:bottom w:val="none" w:sz="0" w:space="0" w:color="auto"/>
                <w:right w:val="none" w:sz="0" w:space="0" w:color="auto"/>
              </w:divBdr>
            </w:div>
            <w:div w:id="449013541">
              <w:marLeft w:val="0"/>
              <w:marRight w:val="0"/>
              <w:marTop w:val="0"/>
              <w:marBottom w:val="0"/>
              <w:divBdr>
                <w:top w:val="none" w:sz="0" w:space="0" w:color="auto"/>
                <w:left w:val="none" w:sz="0" w:space="0" w:color="auto"/>
                <w:bottom w:val="none" w:sz="0" w:space="0" w:color="auto"/>
                <w:right w:val="none" w:sz="0" w:space="0" w:color="auto"/>
              </w:divBdr>
            </w:div>
            <w:div w:id="355232026">
              <w:marLeft w:val="0"/>
              <w:marRight w:val="0"/>
              <w:marTop w:val="0"/>
              <w:marBottom w:val="0"/>
              <w:divBdr>
                <w:top w:val="none" w:sz="0" w:space="0" w:color="auto"/>
                <w:left w:val="none" w:sz="0" w:space="0" w:color="auto"/>
                <w:bottom w:val="none" w:sz="0" w:space="0" w:color="auto"/>
                <w:right w:val="none" w:sz="0" w:space="0" w:color="auto"/>
              </w:divBdr>
            </w:div>
            <w:div w:id="566304894">
              <w:marLeft w:val="0"/>
              <w:marRight w:val="0"/>
              <w:marTop w:val="0"/>
              <w:marBottom w:val="0"/>
              <w:divBdr>
                <w:top w:val="none" w:sz="0" w:space="0" w:color="auto"/>
                <w:left w:val="none" w:sz="0" w:space="0" w:color="auto"/>
                <w:bottom w:val="none" w:sz="0" w:space="0" w:color="auto"/>
                <w:right w:val="none" w:sz="0" w:space="0" w:color="auto"/>
              </w:divBdr>
            </w:div>
            <w:div w:id="301421265">
              <w:marLeft w:val="0"/>
              <w:marRight w:val="0"/>
              <w:marTop w:val="0"/>
              <w:marBottom w:val="0"/>
              <w:divBdr>
                <w:top w:val="none" w:sz="0" w:space="0" w:color="auto"/>
                <w:left w:val="none" w:sz="0" w:space="0" w:color="auto"/>
                <w:bottom w:val="none" w:sz="0" w:space="0" w:color="auto"/>
                <w:right w:val="none" w:sz="0" w:space="0" w:color="auto"/>
              </w:divBdr>
            </w:div>
            <w:div w:id="1043552650">
              <w:marLeft w:val="0"/>
              <w:marRight w:val="0"/>
              <w:marTop w:val="0"/>
              <w:marBottom w:val="0"/>
              <w:divBdr>
                <w:top w:val="none" w:sz="0" w:space="0" w:color="auto"/>
                <w:left w:val="none" w:sz="0" w:space="0" w:color="auto"/>
                <w:bottom w:val="none" w:sz="0" w:space="0" w:color="auto"/>
                <w:right w:val="none" w:sz="0" w:space="0" w:color="auto"/>
              </w:divBdr>
            </w:div>
            <w:div w:id="329065970">
              <w:marLeft w:val="0"/>
              <w:marRight w:val="0"/>
              <w:marTop w:val="0"/>
              <w:marBottom w:val="0"/>
              <w:divBdr>
                <w:top w:val="none" w:sz="0" w:space="0" w:color="auto"/>
                <w:left w:val="none" w:sz="0" w:space="0" w:color="auto"/>
                <w:bottom w:val="none" w:sz="0" w:space="0" w:color="auto"/>
                <w:right w:val="none" w:sz="0" w:space="0" w:color="auto"/>
              </w:divBdr>
            </w:div>
            <w:div w:id="1330448272">
              <w:marLeft w:val="0"/>
              <w:marRight w:val="0"/>
              <w:marTop w:val="0"/>
              <w:marBottom w:val="0"/>
              <w:divBdr>
                <w:top w:val="none" w:sz="0" w:space="0" w:color="auto"/>
                <w:left w:val="none" w:sz="0" w:space="0" w:color="auto"/>
                <w:bottom w:val="none" w:sz="0" w:space="0" w:color="auto"/>
                <w:right w:val="none" w:sz="0" w:space="0" w:color="auto"/>
              </w:divBdr>
            </w:div>
            <w:div w:id="830022384">
              <w:marLeft w:val="0"/>
              <w:marRight w:val="0"/>
              <w:marTop w:val="0"/>
              <w:marBottom w:val="0"/>
              <w:divBdr>
                <w:top w:val="none" w:sz="0" w:space="0" w:color="auto"/>
                <w:left w:val="none" w:sz="0" w:space="0" w:color="auto"/>
                <w:bottom w:val="none" w:sz="0" w:space="0" w:color="auto"/>
                <w:right w:val="none" w:sz="0" w:space="0" w:color="auto"/>
              </w:divBdr>
            </w:div>
            <w:div w:id="1482306661">
              <w:marLeft w:val="0"/>
              <w:marRight w:val="0"/>
              <w:marTop w:val="0"/>
              <w:marBottom w:val="0"/>
              <w:divBdr>
                <w:top w:val="none" w:sz="0" w:space="0" w:color="auto"/>
                <w:left w:val="none" w:sz="0" w:space="0" w:color="auto"/>
                <w:bottom w:val="none" w:sz="0" w:space="0" w:color="auto"/>
                <w:right w:val="none" w:sz="0" w:space="0" w:color="auto"/>
              </w:divBdr>
            </w:div>
            <w:div w:id="811335999">
              <w:marLeft w:val="0"/>
              <w:marRight w:val="0"/>
              <w:marTop w:val="0"/>
              <w:marBottom w:val="0"/>
              <w:divBdr>
                <w:top w:val="none" w:sz="0" w:space="0" w:color="auto"/>
                <w:left w:val="none" w:sz="0" w:space="0" w:color="auto"/>
                <w:bottom w:val="none" w:sz="0" w:space="0" w:color="auto"/>
                <w:right w:val="none" w:sz="0" w:space="0" w:color="auto"/>
              </w:divBdr>
            </w:div>
            <w:div w:id="1148519298">
              <w:marLeft w:val="0"/>
              <w:marRight w:val="0"/>
              <w:marTop w:val="0"/>
              <w:marBottom w:val="0"/>
              <w:divBdr>
                <w:top w:val="none" w:sz="0" w:space="0" w:color="auto"/>
                <w:left w:val="none" w:sz="0" w:space="0" w:color="auto"/>
                <w:bottom w:val="none" w:sz="0" w:space="0" w:color="auto"/>
                <w:right w:val="none" w:sz="0" w:space="0" w:color="auto"/>
              </w:divBdr>
            </w:div>
            <w:div w:id="489754200">
              <w:marLeft w:val="0"/>
              <w:marRight w:val="0"/>
              <w:marTop w:val="0"/>
              <w:marBottom w:val="0"/>
              <w:divBdr>
                <w:top w:val="none" w:sz="0" w:space="0" w:color="auto"/>
                <w:left w:val="none" w:sz="0" w:space="0" w:color="auto"/>
                <w:bottom w:val="none" w:sz="0" w:space="0" w:color="auto"/>
                <w:right w:val="none" w:sz="0" w:space="0" w:color="auto"/>
              </w:divBdr>
            </w:div>
            <w:div w:id="1582369471">
              <w:marLeft w:val="0"/>
              <w:marRight w:val="0"/>
              <w:marTop w:val="0"/>
              <w:marBottom w:val="0"/>
              <w:divBdr>
                <w:top w:val="none" w:sz="0" w:space="0" w:color="auto"/>
                <w:left w:val="none" w:sz="0" w:space="0" w:color="auto"/>
                <w:bottom w:val="none" w:sz="0" w:space="0" w:color="auto"/>
                <w:right w:val="none" w:sz="0" w:space="0" w:color="auto"/>
              </w:divBdr>
            </w:div>
            <w:div w:id="1248266294">
              <w:marLeft w:val="0"/>
              <w:marRight w:val="0"/>
              <w:marTop w:val="0"/>
              <w:marBottom w:val="0"/>
              <w:divBdr>
                <w:top w:val="none" w:sz="0" w:space="0" w:color="auto"/>
                <w:left w:val="none" w:sz="0" w:space="0" w:color="auto"/>
                <w:bottom w:val="none" w:sz="0" w:space="0" w:color="auto"/>
                <w:right w:val="none" w:sz="0" w:space="0" w:color="auto"/>
              </w:divBdr>
            </w:div>
            <w:div w:id="2134786127">
              <w:marLeft w:val="0"/>
              <w:marRight w:val="0"/>
              <w:marTop w:val="0"/>
              <w:marBottom w:val="0"/>
              <w:divBdr>
                <w:top w:val="none" w:sz="0" w:space="0" w:color="auto"/>
                <w:left w:val="none" w:sz="0" w:space="0" w:color="auto"/>
                <w:bottom w:val="none" w:sz="0" w:space="0" w:color="auto"/>
                <w:right w:val="none" w:sz="0" w:space="0" w:color="auto"/>
              </w:divBdr>
            </w:div>
            <w:div w:id="878669840">
              <w:marLeft w:val="0"/>
              <w:marRight w:val="0"/>
              <w:marTop w:val="0"/>
              <w:marBottom w:val="0"/>
              <w:divBdr>
                <w:top w:val="none" w:sz="0" w:space="0" w:color="auto"/>
                <w:left w:val="none" w:sz="0" w:space="0" w:color="auto"/>
                <w:bottom w:val="none" w:sz="0" w:space="0" w:color="auto"/>
                <w:right w:val="none" w:sz="0" w:space="0" w:color="auto"/>
              </w:divBdr>
            </w:div>
            <w:div w:id="1210997268">
              <w:marLeft w:val="0"/>
              <w:marRight w:val="0"/>
              <w:marTop w:val="0"/>
              <w:marBottom w:val="0"/>
              <w:divBdr>
                <w:top w:val="none" w:sz="0" w:space="0" w:color="auto"/>
                <w:left w:val="none" w:sz="0" w:space="0" w:color="auto"/>
                <w:bottom w:val="none" w:sz="0" w:space="0" w:color="auto"/>
                <w:right w:val="none" w:sz="0" w:space="0" w:color="auto"/>
              </w:divBdr>
            </w:div>
            <w:div w:id="1366104713">
              <w:marLeft w:val="0"/>
              <w:marRight w:val="0"/>
              <w:marTop w:val="0"/>
              <w:marBottom w:val="0"/>
              <w:divBdr>
                <w:top w:val="none" w:sz="0" w:space="0" w:color="auto"/>
                <w:left w:val="none" w:sz="0" w:space="0" w:color="auto"/>
                <w:bottom w:val="none" w:sz="0" w:space="0" w:color="auto"/>
                <w:right w:val="none" w:sz="0" w:space="0" w:color="auto"/>
              </w:divBdr>
            </w:div>
            <w:div w:id="121925391">
              <w:marLeft w:val="0"/>
              <w:marRight w:val="0"/>
              <w:marTop w:val="0"/>
              <w:marBottom w:val="0"/>
              <w:divBdr>
                <w:top w:val="none" w:sz="0" w:space="0" w:color="auto"/>
                <w:left w:val="none" w:sz="0" w:space="0" w:color="auto"/>
                <w:bottom w:val="none" w:sz="0" w:space="0" w:color="auto"/>
                <w:right w:val="none" w:sz="0" w:space="0" w:color="auto"/>
              </w:divBdr>
            </w:div>
            <w:div w:id="1309093323">
              <w:marLeft w:val="0"/>
              <w:marRight w:val="0"/>
              <w:marTop w:val="0"/>
              <w:marBottom w:val="0"/>
              <w:divBdr>
                <w:top w:val="none" w:sz="0" w:space="0" w:color="auto"/>
                <w:left w:val="none" w:sz="0" w:space="0" w:color="auto"/>
                <w:bottom w:val="none" w:sz="0" w:space="0" w:color="auto"/>
                <w:right w:val="none" w:sz="0" w:space="0" w:color="auto"/>
              </w:divBdr>
            </w:div>
            <w:div w:id="1579056782">
              <w:marLeft w:val="0"/>
              <w:marRight w:val="0"/>
              <w:marTop w:val="0"/>
              <w:marBottom w:val="0"/>
              <w:divBdr>
                <w:top w:val="none" w:sz="0" w:space="0" w:color="auto"/>
                <w:left w:val="none" w:sz="0" w:space="0" w:color="auto"/>
                <w:bottom w:val="none" w:sz="0" w:space="0" w:color="auto"/>
                <w:right w:val="none" w:sz="0" w:space="0" w:color="auto"/>
              </w:divBdr>
            </w:div>
            <w:div w:id="1067338294">
              <w:marLeft w:val="0"/>
              <w:marRight w:val="0"/>
              <w:marTop w:val="0"/>
              <w:marBottom w:val="0"/>
              <w:divBdr>
                <w:top w:val="none" w:sz="0" w:space="0" w:color="auto"/>
                <w:left w:val="none" w:sz="0" w:space="0" w:color="auto"/>
                <w:bottom w:val="none" w:sz="0" w:space="0" w:color="auto"/>
                <w:right w:val="none" w:sz="0" w:space="0" w:color="auto"/>
              </w:divBdr>
            </w:div>
            <w:div w:id="715739997">
              <w:marLeft w:val="0"/>
              <w:marRight w:val="0"/>
              <w:marTop w:val="0"/>
              <w:marBottom w:val="0"/>
              <w:divBdr>
                <w:top w:val="none" w:sz="0" w:space="0" w:color="auto"/>
                <w:left w:val="none" w:sz="0" w:space="0" w:color="auto"/>
                <w:bottom w:val="none" w:sz="0" w:space="0" w:color="auto"/>
                <w:right w:val="none" w:sz="0" w:space="0" w:color="auto"/>
              </w:divBdr>
            </w:div>
            <w:div w:id="715929399">
              <w:marLeft w:val="0"/>
              <w:marRight w:val="0"/>
              <w:marTop w:val="0"/>
              <w:marBottom w:val="0"/>
              <w:divBdr>
                <w:top w:val="none" w:sz="0" w:space="0" w:color="auto"/>
                <w:left w:val="none" w:sz="0" w:space="0" w:color="auto"/>
                <w:bottom w:val="none" w:sz="0" w:space="0" w:color="auto"/>
                <w:right w:val="none" w:sz="0" w:space="0" w:color="auto"/>
              </w:divBdr>
            </w:div>
            <w:div w:id="1459909266">
              <w:marLeft w:val="0"/>
              <w:marRight w:val="0"/>
              <w:marTop w:val="0"/>
              <w:marBottom w:val="0"/>
              <w:divBdr>
                <w:top w:val="none" w:sz="0" w:space="0" w:color="auto"/>
                <w:left w:val="none" w:sz="0" w:space="0" w:color="auto"/>
                <w:bottom w:val="none" w:sz="0" w:space="0" w:color="auto"/>
                <w:right w:val="none" w:sz="0" w:space="0" w:color="auto"/>
              </w:divBdr>
            </w:div>
            <w:div w:id="1712607908">
              <w:marLeft w:val="0"/>
              <w:marRight w:val="0"/>
              <w:marTop w:val="0"/>
              <w:marBottom w:val="0"/>
              <w:divBdr>
                <w:top w:val="none" w:sz="0" w:space="0" w:color="auto"/>
                <w:left w:val="none" w:sz="0" w:space="0" w:color="auto"/>
                <w:bottom w:val="none" w:sz="0" w:space="0" w:color="auto"/>
                <w:right w:val="none" w:sz="0" w:space="0" w:color="auto"/>
              </w:divBdr>
            </w:div>
            <w:div w:id="44720658">
              <w:marLeft w:val="0"/>
              <w:marRight w:val="0"/>
              <w:marTop w:val="0"/>
              <w:marBottom w:val="0"/>
              <w:divBdr>
                <w:top w:val="none" w:sz="0" w:space="0" w:color="auto"/>
                <w:left w:val="none" w:sz="0" w:space="0" w:color="auto"/>
                <w:bottom w:val="none" w:sz="0" w:space="0" w:color="auto"/>
                <w:right w:val="none" w:sz="0" w:space="0" w:color="auto"/>
              </w:divBdr>
            </w:div>
            <w:div w:id="1602299509">
              <w:marLeft w:val="0"/>
              <w:marRight w:val="0"/>
              <w:marTop w:val="0"/>
              <w:marBottom w:val="0"/>
              <w:divBdr>
                <w:top w:val="none" w:sz="0" w:space="0" w:color="auto"/>
                <w:left w:val="none" w:sz="0" w:space="0" w:color="auto"/>
                <w:bottom w:val="none" w:sz="0" w:space="0" w:color="auto"/>
                <w:right w:val="none" w:sz="0" w:space="0" w:color="auto"/>
              </w:divBdr>
            </w:div>
            <w:div w:id="1949507932">
              <w:marLeft w:val="0"/>
              <w:marRight w:val="0"/>
              <w:marTop w:val="0"/>
              <w:marBottom w:val="0"/>
              <w:divBdr>
                <w:top w:val="none" w:sz="0" w:space="0" w:color="auto"/>
                <w:left w:val="none" w:sz="0" w:space="0" w:color="auto"/>
                <w:bottom w:val="none" w:sz="0" w:space="0" w:color="auto"/>
                <w:right w:val="none" w:sz="0" w:space="0" w:color="auto"/>
              </w:divBdr>
            </w:div>
            <w:div w:id="1689602139">
              <w:marLeft w:val="0"/>
              <w:marRight w:val="0"/>
              <w:marTop w:val="0"/>
              <w:marBottom w:val="0"/>
              <w:divBdr>
                <w:top w:val="none" w:sz="0" w:space="0" w:color="auto"/>
                <w:left w:val="none" w:sz="0" w:space="0" w:color="auto"/>
                <w:bottom w:val="none" w:sz="0" w:space="0" w:color="auto"/>
                <w:right w:val="none" w:sz="0" w:space="0" w:color="auto"/>
              </w:divBdr>
            </w:div>
            <w:div w:id="1970158802">
              <w:marLeft w:val="0"/>
              <w:marRight w:val="0"/>
              <w:marTop w:val="0"/>
              <w:marBottom w:val="0"/>
              <w:divBdr>
                <w:top w:val="none" w:sz="0" w:space="0" w:color="auto"/>
                <w:left w:val="none" w:sz="0" w:space="0" w:color="auto"/>
                <w:bottom w:val="none" w:sz="0" w:space="0" w:color="auto"/>
                <w:right w:val="none" w:sz="0" w:space="0" w:color="auto"/>
              </w:divBdr>
            </w:div>
            <w:div w:id="1504979500">
              <w:marLeft w:val="0"/>
              <w:marRight w:val="0"/>
              <w:marTop w:val="0"/>
              <w:marBottom w:val="0"/>
              <w:divBdr>
                <w:top w:val="none" w:sz="0" w:space="0" w:color="auto"/>
                <w:left w:val="none" w:sz="0" w:space="0" w:color="auto"/>
                <w:bottom w:val="none" w:sz="0" w:space="0" w:color="auto"/>
                <w:right w:val="none" w:sz="0" w:space="0" w:color="auto"/>
              </w:divBdr>
            </w:div>
            <w:div w:id="16734864">
              <w:marLeft w:val="0"/>
              <w:marRight w:val="0"/>
              <w:marTop w:val="0"/>
              <w:marBottom w:val="0"/>
              <w:divBdr>
                <w:top w:val="none" w:sz="0" w:space="0" w:color="auto"/>
                <w:left w:val="none" w:sz="0" w:space="0" w:color="auto"/>
                <w:bottom w:val="none" w:sz="0" w:space="0" w:color="auto"/>
                <w:right w:val="none" w:sz="0" w:space="0" w:color="auto"/>
              </w:divBdr>
            </w:div>
            <w:div w:id="1611475608">
              <w:marLeft w:val="0"/>
              <w:marRight w:val="0"/>
              <w:marTop w:val="0"/>
              <w:marBottom w:val="0"/>
              <w:divBdr>
                <w:top w:val="none" w:sz="0" w:space="0" w:color="auto"/>
                <w:left w:val="none" w:sz="0" w:space="0" w:color="auto"/>
                <w:bottom w:val="none" w:sz="0" w:space="0" w:color="auto"/>
                <w:right w:val="none" w:sz="0" w:space="0" w:color="auto"/>
              </w:divBdr>
            </w:div>
            <w:div w:id="193857316">
              <w:marLeft w:val="0"/>
              <w:marRight w:val="0"/>
              <w:marTop w:val="0"/>
              <w:marBottom w:val="0"/>
              <w:divBdr>
                <w:top w:val="none" w:sz="0" w:space="0" w:color="auto"/>
                <w:left w:val="none" w:sz="0" w:space="0" w:color="auto"/>
                <w:bottom w:val="none" w:sz="0" w:space="0" w:color="auto"/>
                <w:right w:val="none" w:sz="0" w:space="0" w:color="auto"/>
              </w:divBdr>
            </w:div>
            <w:div w:id="137110343">
              <w:marLeft w:val="0"/>
              <w:marRight w:val="0"/>
              <w:marTop w:val="0"/>
              <w:marBottom w:val="0"/>
              <w:divBdr>
                <w:top w:val="none" w:sz="0" w:space="0" w:color="auto"/>
                <w:left w:val="none" w:sz="0" w:space="0" w:color="auto"/>
                <w:bottom w:val="none" w:sz="0" w:space="0" w:color="auto"/>
                <w:right w:val="none" w:sz="0" w:space="0" w:color="auto"/>
              </w:divBdr>
            </w:div>
            <w:div w:id="2102800680">
              <w:marLeft w:val="0"/>
              <w:marRight w:val="0"/>
              <w:marTop w:val="0"/>
              <w:marBottom w:val="0"/>
              <w:divBdr>
                <w:top w:val="none" w:sz="0" w:space="0" w:color="auto"/>
                <w:left w:val="none" w:sz="0" w:space="0" w:color="auto"/>
                <w:bottom w:val="none" w:sz="0" w:space="0" w:color="auto"/>
                <w:right w:val="none" w:sz="0" w:space="0" w:color="auto"/>
              </w:divBdr>
            </w:div>
            <w:div w:id="1692487876">
              <w:marLeft w:val="0"/>
              <w:marRight w:val="0"/>
              <w:marTop w:val="0"/>
              <w:marBottom w:val="0"/>
              <w:divBdr>
                <w:top w:val="none" w:sz="0" w:space="0" w:color="auto"/>
                <w:left w:val="none" w:sz="0" w:space="0" w:color="auto"/>
                <w:bottom w:val="none" w:sz="0" w:space="0" w:color="auto"/>
                <w:right w:val="none" w:sz="0" w:space="0" w:color="auto"/>
              </w:divBdr>
            </w:div>
            <w:div w:id="177352322">
              <w:marLeft w:val="0"/>
              <w:marRight w:val="0"/>
              <w:marTop w:val="0"/>
              <w:marBottom w:val="0"/>
              <w:divBdr>
                <w:top w:val="none" w:sz="0" w:space="0" w:color="auto"/>
                <w:left w:val="none" w:sz="0" w:space="0" w:color="auto"/>
                <w:bottom w:val="none" w:sz="0" w:space="0" w:color="auto"/>
                <w:right w:val="none" w:sz="0" w:space="0" w:color="auto"/>
              </w:divBdr>
            </w:div>
            <w:div w:id="1002050750">
              <w:marLeft w:val="0"/>
              <w:marRight w:val="0"/>
              <w:marTop w:val="0"/>
              <w:marBottom w:val="0"/>
              <w:divBdr>
                <w:top w:val="none" w:sz="0" w:space="0" w:color="auto"/>
                <w:left w:val="none" w:sz="0" w:space="0" w:color="auto"/>
                <w:bottom w:val="none" w:sz="0" w:space="0" w:color="auto"/>
                <w:right w:val="none" w:sz="0" w:space="0" w:color="auto"/>
              </w:divBdr>
            </w:div>
            <w:div w:id="1455057397">
              <w:marLeft w:val="0"/>
              <w:marRight w:val="0"/>
              <w:marTop w:val="0"/>
              <w:marBottom w:val="0"/>
              <w:divBdr>
                <w:top w:val="none" w:sz="0" w:space="0" w:color="auto"/>
                <w:left w:val="none" w:sz="0" w:space="0" w:color="auto"/>
                <w:bottom w:val="none" w:sz="0" w:space="0" w:color="auto"/>
                <w:right w:val="none" w:sz="0" w:space="0" w:color="auto"/>
              </w:divBdr>
            </w:div>
            <w:div w:id="1908297067">
              <w:marLeft w:val="0"/>
              <w:marRight w:val="0"/>
              <w:marTop w:val="0"/>
              <w:marBottom w:val="0"/>
              <w:divBdr>
                <w:top w:val="none" w:sz="0" w:space="0" w:color="auto"/>
                <w:left w:val="none" w:sz="0" w:space="0" w:color="auto"/>
                <w:bottom w:val="none" w:sz="0" w:space="0" w:color="auto"/>
                <w:right w:val="none" w:sz="0" w:space="0" w:color="auto"/>
              </w:divBdr>
            </w:div>
            <w:div w:id="305940493">
              <w:marLeft w:val="0"/>
              <w:marRight w:val="0"/>
              <w:marTop w:val="0"/>
              <w:marBottom w:val="0"/>
              <w:divBdr>
                <w:top w:val="none" w:sz="0" w:space="0" w:color="auto"/>
                <w:left w:val="none" w:sz="0" w:space="0" w:color="auto"/>
                <w:bottom w:val="none" w:sz="0" w:space="0" w:color="auto"/>
                <w:right w:val="none" w:sz="0" w:space="0" w:color="auto"/>
              </w:divBdr>
            </w:div>
            <w:div w:id="749157174">
              <w:marLeft w:val="0"/>
              <w:marRight w:val="0"/>
              <w:marTop w:val="0"/>
              <w:marBottom w:val="0"/>
              <w:divBdr>
                <w:top w:val="none" w:sz="0" w:space="0" w:color="auto"/>
                <w:left w:val="none" w:sz="0" w:space="0" w:color="auto"/>
                <w:bottom w:val="none" w:sz="0" w:space="0" w:color="auto"/>
                <w:right w:val="none" w:sz="0" w:space="0" w:color="auto"/>
              </w:divBdr>
            </w:div>
            <w:div w:id="394355972">
              <w:marLeft w:val="0"/>
              <w:marRight w:val="0"/>
              <w:marTop w:val="0"/>
              <w:marBottom w:val="0"/>
              <w:divBdr>
                <w:top w:val="none" w:sz="0" w:space="0" w:color="auto"/>
                <w:left w:val="none" w:sz="0" w:space="0" w:color="auto"/>
                <w:bottom w:val="none" w:sz="0" w:space="0" w:color="auto"/>
                <w:right w:val="none" w:sz="0" w:space="0" w:color="auto"/>
              </w:divBdr>
            </w:div>
            <w:div w:id="2010713396">
              <w:marLeft w:val="0"/>
              <w:marRight w:val="0"/>
              <w:marTop w:val="0"/>
              <w:marBottom w:val="0"/>
              <w:divBdr>
                <w:top w:val="none" w:sz="0" w:space="0" w:color="auto"/>
                <w:left w:val="none" w:sz="0" w:space="0" w:color="auto"/>
                <w:bottom w:val="none" w:sz="0" w:space="0" w:color="auto"/>
                <w:right w:val="none" w:sz="0" w:space="0" w:color="auto"/>
              </w:divBdr>
            </w:div>
            <w:div w:id="406389972">
              <w:marLeft w:val="0"/>
              <w:marRight w:val="0"/>
              <w:marTop w:val="0"/>
              <w:marBottom w:val="0"/>
              <w:divBdr>
                <w:top w:val="none" w:sz="0" w:space="0" w:color="auto"/>
                <w:left w:val="none" w:sz="0" w:space="0" w:color="auto"/>
                <w:bottom w:val="none" w:sz="0" w:space="0" w:color="auto"/>
                <w:right w:val="none" w:sz="0" w:space="0" w:color="auto"/>
              </w:divBdr>
            </w:div>
            <w:div w:id="809980675">
              <w:marLeft w:val="0"/>
              <w:marRight w:val="0"/>
              <w:marTop w:val="0"/>
              <w:marBottom w:val="0"/>
              <w:divBdr>
                <w:top w:val="none" w:sz="0" w:space="0" w:color="auto"/>
                <w:left w:val="none" w:sz="0" w:space="0" w:color="auto"/>
                <w:bottom w:val="none" w:sz="0" w:space="0" w:color="auto"/>
                <w:right w:val="none" w:sz="0" w:space="0" w:color="auto"/>
              </w:divBdr>
            </w:div>
            <w:div w:id="765883483">
              <w:marLeft w:val="0"/>
              <w:marRight w:val="0"/>
              <w:marTop w:val="0"/>
              <w:marBottom w:val="0"/>
              <w:divBdr>
                <w:top w:val="none" w:sz="0" w:space="0" w:color="auto"/>
                <w:left w:val="none" w:sz="0" w:space="0" w:color="auto"/>
                <w:bottom w:val="none" w:sz="0" w:space="0" w:color="auto"/>
                <w:right w:val="none" w:sz="0" w:space="0" w:color="auto"/>
              </w:divBdr>
            </w:div>
            <w:div w:id="2052730507">
              <w:marLeft w:val="0"/>
              <w:marRight w:val="0"/>
              <w:marTop w:val="0"/>
              <w:marBottom w:val="0"/>
              <w:divBdr>
                <w:top w:val="none" w:sz="0" w:space="0" w:color="auto"/>
                <w:left w:val="none" w:sz="0" w:space="0" w:color="auto"/>
                <w:bottom w:val="none" w:sz="0" w:space="0" w:color="auto"/>
                <w:right w:val="none" w:sz="0" w:space="0" w:color="auto"/>
              </w:divBdr>
            </w:div>
            <w:div w:id="463238189">
              <w:marLeft w:val="0"/>
              <w:marRight w:val="0"/>
              <w:marTop w:val="0"/>
              <w:marBottom w:val="0"/>
              <w:divBdr>
                <w:top w:val="none" w:sz="0" w:space="0" w:color="auto"/>
                <w:left w:val="none" w:sz="0" w:space="0" w:color="auto"/>
                <w:bottom w:val="none" w:sz="0" w:space="0" w:color="auto"/>
                <w:right w:val="none" w:sz="0" w:space="0" w:color="auto"/>
              </w:divBdr>
            </w:div>
            <w:div w:id="233012800">
              <w:marLeft w:val="0"/>
              <w:marRight w:val="0"/>
              <w:marTop w:val="0"/>
              <w:marBottom w:val="0"/>
              <w:divBdr>
                <w:top w:val="none" w:sz="0" w:space="0" w:color="auto"/>
                <w:left w:val="none" w:sz="0" w:space="0" w:color="auto"/>
                <w:bottom w:val="none" w:sz="0" w:space="0" w:color="auto"/>
                <w:right w:val="none" w:sz="0" w:space="0" w:color="auto"/>
              </w:divBdr>
            </w:div>
            <w:div w:id="2011328086">
              <w:marLeft w:val="0"/>
              <w:marRight w:val="0"/>
              <w:marTop w:val="0"/>
              <w:marBottom w:val="0"/>
              <w:divBdr>
                <w:top w:val="none" w:sz="0" w:space="0" w:color="auto"/>
                <w:left w:val="none" w:sz="0" w:space="0" w:color="auto"/>
                <w:bottom w:val="none" w:sz="0" w:space="0" w:color="auto"/>
                <w:right w:val="none" w:sz="0" w:space="0" w:color="auto"/>
              </w:divBdr>
            </w:div>
            <w:div w:id="2145467993">
              <w:marLeft w:val="0"/>
              <w:marRight w:val="0"/>
              <w:marTop w:val="0"/>
              <w:marBottom w:val="0"/>
              <w:divBdr>
                <w:top w:val="none" w:sz="0" w:space="0" w:color="auto"/>
                <w:left w:val="none" w:sz="0" w:space="0" w:color="auto"/>
                <w:bottom w:val="none" w:sz="0" w:space="0" w:color="auto"/>
                <w:right w:val="none" w:sz="0" w:space="0" w:color="auto"/>
              </w:divBdr>
            </w:div>
            <w:div w:id="2032802654">
              <w:marLeft w:val="0"/>
              <w:marRight w:val="0"/>
              <w:marTop w:val="0"/>
              <w:marBottom w:val="0"/>
              <w:divBdr>
                <w:top w:val="none" w:sz="0" w:space="0" w:color="auto"/>
                <w:left w:val="none" w:sz="0" w:space="0" w:color="auto"/>
                <w:bottom w:val="none" w:sz="0" w:space="0" w:color="auto"/>
                <w:right w:val="none" w:sz="0" w:space="0" w:color="auto"/>
              </w:divBdr>
            </w:div>
            <w:div w:id="1942908639">
              <w:marLeft w:val="0"/>
              <w:marRight w:val="0"/>
              <w:marTop w:val="0"/>
              <w:marBottom w:val="0"/>
              <w:divBdr>
                <w:top w:val="none" w:sz="0" w:space="0" w:color="auto"/>
                <w:left w:val="none" w:sz="0" w:space="0" w:color="auto"/>
                <w:bottom w:val="none" w:sz="0" w:space="0" w:color="auto"/>
                <w:right w:val="none" w:sz="0" w:space="0" w:color="auto"/>
              </w:divBdr>
            </w:div>
            <w:div w:id="337536801">
              <w:marLeft w:val="0"/>
              <w:marRight w:val="0"/>
              <w:marTop w:val="0"/>
              <w:marBottom w:val="0"/>
              <w:divBdr>
                <w:top w:val="none" w:sz="0" w:space="0" w:color="auto"/>
                <w:left w:val="none" w:sz="0" w:space="0" w:color="auto"/>
                <w:bottom w:val="none" w:sz="0" w:space="0" w:color="auto"/>
                <w:right w:val="none" w:sz="0" w:space="0" w:color="auto"/>
              </w:divBdr>
            </w:div>
            <w:div w:id="201744900">
              <w:marLeft w:val="0"/>
              <w:marRight w:val="0"/>
              <w:marTop w:val="0"/>
              <w:marBottom w:val="0"/>
              <w:divBdr>
                <w:top w:val="none" w:sz="0" w:space="0" w:color="auto"/>
                <w:left w:val="none" w:sz="0" w:space="0" w:color="auto"/>
                <w:bottom w:val="none" w:sz="0" w:space="0" w:color="auto"/>
                <w:right w:val="none" w:sz="0" w:space="0" w:color="auto"/>
              </w:divBdr>
            </w:div>
            <w:div w:id="1529754403">
              <w:marLeft w:val="0"/>
              <w:marRight w:val="0"/>
              <w:marTop w:val="0"/>
              <w:marBottom w:val="0"/>
              <w:divBdr>
                <w:top w:val="none" w:sz="0" w:space="0" w:color="auto"/>
                <w:left w:val="none" w:sz="0" w:space="0" w:color="auto"/>
                <w:bottom w:val="none" w:sz="0" w:space="0" w:color="auto"/>
                <w:right w:val="none" w:sz="0" w:space="0" w:color="auto"/>
              </w:divBdr>
            </w:div>
            <w:div w:id="1621182381">
              <w:marLeft w:val="0"/>
              <w:marRight w:val="0"/>
              <w:marTop w:val="0"/>
              <w:marBottom w:val="0"/>
              <w:divBdr>
                <w:top w:val="none" w:sz="0" w:space="0" w:color="auto"/>
                <w:left w:val="none" w:sz="0" w:space="0" w:color="auto"/>
                <w:bottom w:val="none" w:sz="0" w:space="0" w:color="auto"/>
                <w:right w:val="none" w:sz="0" w:space="0" w:color="auto"/>
              </w:divBdr>
            </w:div>
            <w:div w:id="1173256704">
              <w:marLeft w:val="0"/>
              <w:marRight w:val="0"/>
              <w:marTop w:val="0"/>
              <w:marBottom w:val="0"/>
              <w:divBdr>
                <w:top w:val="none" w:sz="0" w:space="0" w:color="auto"/>
                <w:left w:val="none" w:sz="0" w:space="0" w:color="auto"/>
                <w:bottom w:val="none" w:sz="0" w:space="0" w:color="auto"/>
                <w:right w:val="none" w:sz="0" w:space="0" w:color="auto"/>
              </w:divBdr>
            </w:div>
            <w:div w:id="129784766">
              <w:marLeft w:val="0"/>
              <w:marRight w:val="0"/>
              <w:marTop w:val="0"/>
              <w:marBottom w:val="0"/>
              <w:divBdr>
                <w:top w:val="none" w:sz="0" w:space="0" w:color="auto"/>
                <w:left w:val="none" w:sz="0" w:space="0" w:color="auto"/>
                <w:bottom w:val="none" w:sz="0" w:space="0" w:color="auto"/>
                <w:right w:val="none" w:sz="0" w:space="0" w:color="auto"/>
              </w:divBdr>
            </w:div>
            <w:div w:id="615329773">
              <w:marLeft w:val="0"/>
              <w:marRight w:val="0"/>
              <w:marTop w:val="0"/>
              <w:marBottom w:val="0"/>
              <w:divBdr>
                <w:top w:val="none" w:sz="0" w:space="0" w:color="auto"/>
                <w:left w:val="none" w:sz="0" w:space="0" w:color="auto"/>
                <w:bottom w:val="none" w:sz="0" w:space="0" w:color="auto"/>
                <w:right w:val="none" w:sz="0" w:space="0" w:color="auto"/>
              </w:divBdr>
            </w:div>
            <w:div w:id="634603280">
              <w:marLeft w:val="0"/>
              <w:marRight w:val="0"/>
              <w:marTop w:val="0"/>
              <w:marBottom w:val="0"/>
              <w:divBdr>
                <w:top w:val="none" w:sz="0" w:space="0" w:color="auto"/>
                <w:left w:val="none" w:sz="0" w:space="0" w:color="auto"/>
                <w:bottom w:val="none" w:sz="0" w:space="0" w:color="auto"/>
                <w:right w:val="none" w:sz="0" w:space="0" w:color="auto"/>
              </w:divBdr>
            </w:div>
            <w:div w:id="1418939550">
              <w:marLeft w:val="0"/>
              <w:marRight w:val="0"/>
              <w:marTop w:val="0"/>
              <w:marBottom w:val="0"/>
              <w:divBdr>
                <w:top w:val="none" w:sz="0" w:space="0" w:color="auto"/>
                <w:left w:val="none" w:sz="0" w:space="0" w:color="auto"/>
                <w:bottom w:val="none" w:sz="0" w:space="0" w:color="auto"/>
                <w:right w:val="none" w:sz="0" w:space="0" w:color="auto"/>
              </w:divBdr>
            </w:div>
            <w:div w:id="1718233665">
              <w:marLeft w:val="0"/>
              <w:marRight w:val="0"/>
              <w:marTop w:val="0"/>
              <w:marBottom w:val="0"/>
              <w:divBdr>
                <w:top w:val="none" w:sz="0" w:space="0" w:color="auto"/>
                <w:left w:val="none" w:sz="0" w:space="0" w:color="auto"/>
                <w:bottom w:val="none" w:sz="0" w:space="0" w:color="auto"/>
                <w:right w:val="none" w:sz="0" w:space="0" w:color="auto"/>
              </w:divBdr>
            </w:div>
            <w:div w:id="403069500">
              <w:marLeft w:val="0"/>
              <w:marRight w:val="0"/>
              <w:marTop w:val="0"/>
              <w:marBottom w:val="0"/>
              <w:divBdr>
                <w:top w:val="none" w:sz="0" w:space="0" w:color="auto"/>
                <w:left w:val="none" w:sz="0" w:space="0" w:color="auto"/>
                <w:bottom w:val="none" w:sz="0" w:space="0" w:color="auto"/>
                <w:right w:val="none" w:sz="0" w:space="0" w:color="auto"/>
              </w:divBdr>
            </w:div>
            <w:div w:id="1594051454">
              <w:marLeft w:val="0"/>
              <w:marRight w:val="0"/>
              <w:marTop w:val="0"/>
              <w:marBottom w:val="0"/>
              <w:divBdr>
                <w:top w:val="none" w:sz="0" w:space="0" w:color="auto"/>
                <w:left w:val="none" w:sz="0" w:space="0" w:color="auto"/>
                <w:bottom w:val="none" w:sz="0" w:space="0" w:color="auto"/>
                <w:right w:val="none" w:sz="0" w:space="0" w:color="auto"/>
              </w:divBdr>
            </w:div>
            <w:div w:id="858735491">
              <w:marLeft w:val="0"/>
              <w:marRight w:val="0"/>
              <w:marTop w:val="0"/>
              <w:marBottom w:val="0"/>
              <w:divBdr>
                <w:top w:val="none" w:sz="0" w:space="0" w:color="auto"/>
                <w:left w:val="none" w:sz="0" w:space="0" w:color="auto"/>
                <w:bottom w:val="none" w:sz="0" w:space="0" w:color="auto"/>
                <w:right w:val="none" w:sz="0" w:space="0" w:color="auto"/>
              </w:divBdr>
            </w:div>
            <w:div w:id="92869430">
              <w:marLeft w:val="0"/>
              <w:marRight w:val="0"/>
              <w:marTop w:val="0"/>
              <w:marBottom w:val="0"/>
              <w:divBdr>
                <w:top w:val="none" w:sz="0" w:space="0" w:color="auto"/>
                <w:left w:val="none" w:sz="0" w:space="0" w:color="auto"/>
                <w:bottom w:val="none" w:sz="0" w:space="0" w:color="auto"/>
                <w:right w:val="none" w:sz="0" w:space="0" w:color="auto"/>
              </w:divBdr>
            </w:div>
            <w:div w:id="202013589">
              <w:marLeft w:val="0"/>
              <w:marRight w:val="0"/>
              <w:marTop w:val="0"/>
              <w:marBottom w:val="0"/>
              <w:divBdr>
                <w:top w:val="none" w:sz="0" w:space="0" w:color="auto"/>
                <w:left w:val="none" w:sz="0" w:space="0" w:color="auto"/>
                <w:bottom w:val="none" w:sz="0" w:space="0" w:color="auto"/>
                <w:right w:val="none" w:sz="0" w:space="0" w:color="auto"/>
              </w:divBdr>
            </w:div>
            <w:div w:id="516044681">
              <w:marLeft w:val="0"/>
              <w:marRight w:val="0"/>
              <w:marTop w:val="0"/>
              <w:marBottom w:val="0"/>
              <w:divBdr>
                <w:top w:val="none" w:sz="0" w:space="0" w:color="auto"/>
                <w:left w:val="none" w:sz="0" w:space="0" w:color="auto"/>
                <w:bottom w:val="none" w:sz="0" w:space="0" w:color="auto"/>
                <w:right w:val="none" w:sz="0" w:space="0" w:color="auto"/>
              </w:divBdr>
            </w:div>
            <w:div w:id="449133042">
              <w:marLeft w:val="0"/>
              <w:marRight w:val="0"/>
              <w:marTop w:val="0"/>
              <w:marBottom w:val="0"/>
              <w:divBdr>
                <w:top w:val="none" w:sz="0" w:space="0" w:color="auto"/>
                <w:left w:val="none" w:sz="0" w:space="0" w:color="auto"/>
                <w:bottom w:val="none" w:sz="0" w:space="0" w:color="auto"/>
                <w:right w:val="none" w:sz="0" w:space="0" w:color="auto"/>
              </w:divBdr>
            </w:div>
            <w:div w:id="316152383">
              <w:marLeft w:val="0"/>
              <w:marRight w:val="0"/>
              <w:marTop w:val="0"/>
              <w:marBottom w:val="0"/>
              <w:divBdr>
                <w:top w:val="none" w:sz="0" w:space="0" w:color="auto"/>
                <w:left w:val="none" w:sz="0" w:space="0" w:color="auto"/>
                <w:bottom w:val="none" w:sz="0" w:space="0" w:color="auto"/>
                <w:right w:val="none" w:sz="0" w:space="0" w:color="auto"/>
              </w:divBdr>
            </w:div>
            <w:div w:id="2000882056">
              <w:marLeft w:val="0"/>
              <w:marRight w:val="0"/>
              <w:marTop w:val="0"/>
              <w:marBottom w:val="0"/>
              <w:divBdr>
                <w:top w:val="none" w:sz="0" w:space="0" w:color="auto"/>
                <w:left w:val="none" w:sz="0" w:space="0" w:color="auto"/>
                <w:bottom w:val="none" w:sz="0" w:space="0" w:color="auto"/>
                <w:right w:val="none" w:sz="0" w:space="0" w:color="auto"/>
              </w:divBdr>
            </w:div>
            <w:div w:id="527332684">
              <w:marLeft w:val="0"/>
              <w:marRight w:val="0"/>
              <w:marTop w:val="0"/>
              <w:marBottom w:val="0"/>
              <w:divBdr>
                <w:top w:val="none" w:sz="0" w:space="0" w:color="auto"/>
                <w:left w:val="none" w:sz="0" w:space="0" w:color="auto"/>
                <w:bottom w:val="none" w:sz="0" w:space="0" w:color="auto"/>
                <w:right w:val="none" w:sz="0" w:space="0" w:color="auto"/>
              </w:divBdr>
            </w:div>
            <w:div w:id="496505876">
              <w:marLeft w:val="0"/>
              <w:marRight w:val="0"/>
              <w:marTop w:val="0"/>
              <w:marBottom w:val="0"/>
              <w:divBdr>
                <w:top w:val="none" w:sz="0" w:space="0" w:color="auto"/>
                <w:left w:val="none" w:sz="0" w:space="0" w:color="auto"/>
                <w:bottom w:val="none" w:sz="0" w:space="0" w:color="auto"/>
                <w:right w:val="none" w:sz="0" w:space="0" w:color="auto"/>
              </w:divBdr>
            </w:div>
            <w:div w:id="1244493490">
              <w:marLeft w:val="0"/>
              <w:marRight w:val="0"/>
              <w:marTop w:val="0"/>
              <w:marBottom w:val="0"/>
              <w:divBdr>
                <w:top w:val="none" w:sz="0" w:space="0" w:color="auto"/>
                <w:left w:val="none" w:sz="0" w:space="0" w:color="auto"/>
                <w:bottom w:val="none" w:sz="0" w:space="0" w:color="auto"/>
                <w:right w:val="none" w:sz="0" w:space="0" w:color="auto"/>
              </w:divBdr>
            </w:div>
            <w:div w:id="827015530">
              <w:marLeft w:val="0"/>
              <w:marRight w:val="0"/>
              <w:marTop w:val="0"/>
              <w:marBottom w:val="0"/>
              <w:divBdr>
                <w:top w:val="none" w:sz="0" w:space="0" w:color="auto"/>
                <w:left w:val="none" w:sz="0" w:space="0" w:color="auto"/>
                <w:bottom w:val="none" w:sz="0" w:space="0" w:color="auto"/>
                <w:right w:val="none" w:sz="0" w:space="0" w:color="auto"/>
              </w:divBdr>
            </w:div>
            <w:div w:id="685407847">
              <w:marLeft w:val="0"/>
              <w:marRight w:val="0"/>
              <w:marTop w:val="0"/>
              <w:marBottom w:val="0"/>
              <w:divBdr>
                <w:top w:val="none" w:sz="0" w:space="0" w:color="auto"/>
                <w:left w:val="none" w:sz="0" w:space="0" w:color="auto"/>
                <w:bottom w:val="none" w:sz="0" w:space="0" w:color="auto"/>
                <w:right w:val="none" w:sz="0" w:space="0" w:color="auto"/>
              </w:divBdr>
            </w:div>
            <w:div w:id="1771120475">
              <w:marLeft w:val="0"/>
              <w:marRight w:val="0"/>
              <w:marTop w:val="0"/>
              <w:marBottom w:val="0"/>
              <w:divBdr>
                <w:top w:val="none" w:sz="0" w:space="0" w:color="auto"/>
                <w:left w:val="none" w:sz="0" w:space="0" w:color="auto"/>
                <w:bottom w:val="none" w:sz="0" w:space="0" w:color="auto"/>
                <w:right w:val="none" w:sz="0" w:space="0" w:color="auto"/>
              </w:divBdr>
            </w:div>
            <w:div w:id="1415937314">
              <w:marLeft w:val="0"/>
              <w:marRight w:val="0"/>
              <w:marTop w:val="0"/>
              <w:marBottom w:val="0"/>
              <w:divBdr>
                <w:top w:val="none" w:sz="0" w:space="0" w:color="auto"/>
                <w:left w:val="none" w:sz="0" w:space="0" w:color="auto"/>
                <w:bottom w:val="none" w:sz="0" w:space="0" w:color="auto"/>
                <w:right w:val="none" w:sz="0" w:space="0" w:color="auto"/>
              </w:divBdr>
            </w:div>
            <w:div w:id="488715424">
              <w:marLeft w:val="0"/>
              <w:marRight w:val="0"/>
              <w:marTop w:val="0"/>
              <w:marBottom w:val="0"/>
              <w:divBdr>
                <w:top w:val="none" w:sz="0" w:space="0" w:color="auto"/>
                <w:left w:val="none" w:sz="0" w:space="0" w:color="auto"/>
                <w:bottom w:val="none" w:sz="0" w:space="0" w:color="auto"/>
                <w:right w:val="none" w:sz="0" w:space="0" w:color="auto"/>
              </w:divBdr>
            </w:div>
            <w:div w:id="2082218891">
              <w:marLeft w:val="0"/>
              <w:marRight w:val="0"/>
              <w:marTop w:val="0"/>
              <w:marBottom w:val="0"/>
              <w:divBdr>
                <w:top w:val="none" w:sz="0" w:space="0" w:color="auto"/>
                <w:left w:val="none" w:sz="0" w:space="0" w:color="auto"/>
                <w:bottom w:val="none" w:sz="0" w:space="0" w:color="auto"/>
                <w:right w:val="none" w:sz="0" w:space="0" w:color="auto"/>
              </w:divBdr>
            </w:div>
            <w:div w:id="435373612">
              <w:marLeft w:val="0"/>
              <w:marRight w:val="0"/>
              <w:marTop w:val="0"/>
              <w:marBottom w:val="0"/>
              <w:divBdr>
                <w:top w:val="none" w:sz="0" w:space="0" w:color="auto"/>
                <w:left w:val="none" w:sz="0" w:space="0" w:color="auto"/>
                <w:bottom w:val="none" w:sz="0" w:space="0" w:color="auto"/>
                <w:right w:val="none" w:sz="0" w:space="0" w:color="auto"/>
              </w:divBdr>
            </w:div>
            <w:div w:id="699161288">
              <w:marLeft w:val="0"/>
              <w:marRight w:val="0"/>
              <w:marTop w:val="0"/>
              <w:marBottom w:val="0"/>
              <w:divBdr>
                <w:top w:val="none" w:sz="0" w:space="0" w:color="auto"/>
                <w:left w:val="none" w:sz="0" w:space="0" w:color="auto"/>
                <w:bottom w:val="none" w:sz="0" w:space="0" w:color="auto"/>
                <w:right w:val="none" w:sz="0" w:space="0" w:color="auto"/>
              </w:divBdr>
            </w:div>
            <w:div w:id="1508136003">
              <w:marLeft w:val="0"/>
              <w:marRight w:val="0"/>
              <w:marTop w:val="0"/>
              <w:marBottom w:val="0"/>
              <w:divBdr>
                <w:top w:val="none" w:sz="0" w:space="0" w:color="auto"/>
                <w:left w:val="none" w:sz="0" w:space="0" w:color="auto"/>
                <w:bottom w:val="none" w:sz="0" w:space="0" w:color="auto"/>
                <w:right w:val="none" w:sz="0" w:space="0" w:color="auto"/>
              </w:divBdr>
            </w:div>
            <w:div w:id="1056899992">
              <w:marLeft w:val="0"/>
              <w:marRight w:val="0"/>
              <w:marTop w:val="0"/>
              <w:marBottom w:val="0"/>
              <w:divBdr>
                <w:top w:val="none" w:sz="0" w:space="0" w:color="auto"/>
                <w:left w:val="none" w:sz="0" w:space="0" w:color="auto"/>
                <w:bottom w:val="none" w:sz="0" w:space="0" w:color="auto"/>
                <w:right w:val="none" w:sz="0" w:space="0" w:color="auto"/>
              </w:divBdr>
            </w:div>
            <w:div w:id="1814056570">
              <w:marLeft w:val="0"/>
              <w:marRight w:val="0"/>
              <w:marTop w:val="0"/>
              <w:marBottom w:val="0"/>
              <w:divBdr>
                <w:top w:val="none" w:sz="0" w:space="0" w:color="auto"/>
                <w:left w:val="none" w:sz="0" w:space="0" w:color="auto"/>
                <w:bottom w:val="none" w:sz="0" w:space="0" w:color="auto"/>
                <w:right w:val="none" w:sz="0" w:space="0" w:color="auto"/>
              </w:divBdr>
            </w:div>
            <w:div w:id="876551013">
              <w:marLeft w:val="0"/>
              <w:marRight w:val="0"/>
              <w:marTop w:val="0"/>
              <w:marBottom w:val="0"/>
              <w:divBdr>
                <w:top w:val="none" w:sz="0" w:space="0" w:color="auto"/>
                <w:left w:val="none" w:sz="0" w:space="0" w:color="auto"/>
                <w:bottom w:val="none" w:sz="0" w:space="0" w:color="auto"/>
                <w:right w:val="none" w:sz="0" w:space="0" w:color="auto"/>
              </w:divBdr>
            </w:div>
            <w:div w:id="319038820">
              <w:marLeft w:val="0"/>
              <w:marRight w:val="0"/>
              <w:marTop w:val="0"/>
              <w:marBottom w:val="0"/>
              <w:divBdr>
                <w:top w:val="none" w:sz="0" w:space="0" w:color="auto"/>
                <w:left w:val="none" w:sz="0" w:space="0" w:color="auto"/>
                <w:bottom w:val="none" w:sz="0" w:space="0" w:color="auto"/>
                <w:right w:val="none" w:sz="0" w:space="0" w:color="auto"/>
              </w:divBdr>
            </w:div>
            <w:div w:id="121000607">
              <w:marLeft w:val="0"/>
              <w:marRight w:val="0"/>
              <w:marTop w:val="0"/>
              <w:marBottom w:val="0"/>
              <w:divBdr>
                <w:top w:val="none" w:sz="0" w:space="0" w:color="auto"/>
                <w:left w:val="none" w:sz="0" w:space="0" w:color="auto"/>
                <w:bottom w:val="none" w:sz="0" w:space="0" w:color="auto"/>
                <w:right w:val="none" w:sz="0" w:space="0" w:color="auto"/>
              </w:divBdr>
            </w:div>
            <w:div w:id="1109353407">
              <w:marLeft w:val="0"/>
              <w:marRight w:val="0"/>
              <w:marTop w:val="0"/>
              <w:marBottom w:val="0"/>
              <w:divBdr>
                <w:top w:val="none" w:sz="0" w:space="0" w:color="auto"/>
                <w:left w:val="none" w:sz="0" w:space="0" w:color="auto"/>
                <w:bottom w:val="none" w:sz="0" w:space="0" w:color="auto"/>
                <w:right w:val="none" w:sz="0" w:space="0" w:color="auto"/>
              </w:divBdr>
            </w:div>
            <w:div w:id="798454505">
              <w:marLeft w:val="0"/>
              <w:marRight w:val="0"/>
              <w:marTop w:val="0"/>
              <w:marBottom w:val="0"/>
              <w:divBdr>
                <w:top w:val="none" w:sz="0" w:space="0" w:color="auto"/>
                <w:left w:val="none" w:sz="0" w:space="0" w:color="auto"/>
                <w:bottom w:val="none" w:sz="0" w:space="0" w:color="auto"/>
                <w:right w:val="none" w:sz="0" w:space="0" w:color="auto"/>
              </w:divBdr>
            </w:div>
            <w:div w:id="2124104789">
              <w:marLeft w:val="0"/>
              <w:marRight w:val="0"/>
              <w:marTop w:val="0"/>
              <w:marBottom w:val="0"/>
              <w:divBdr>
                <w:top w:val="none" w:sz="0" w:space="0" w:color="auto"/>
                <w:left w:val="none" w:sz="0" w:space="0" w:color="auto"/>
                <w:bottom w:val="none" w:sz="0" w:space="0" w:color="auto"/>
                <w:right w:val="none" w:sz="0" w:space="0" w:color="auto"/>
              </w:divBdr>
            </w:div>
            <w:div w:id="454786592">
              <w:marLeft w:val="0"/>
              <w:marRight w:val="0"/>
              <w:marTop w:val="0"/>
              <w:marBottom w:val="0"/>
              <w:divBdr>
                <w:top w:val="none" w:sz="0" w:space="0" w:color="auto"/>
                <w:left w:val="none" w:sz="0" w:space="0" w:color="auto"/>
                <w:bottom w:val="none" w:sz="0" w:space="0" w:color="auto"/>
                <w:right w:val="none" w:sz="0" w:space="0" w:color="auto"/>
              </w:divBdr>
            </w:div>
            <w:div w:id="1070733734">
              <w:marLeft w:val="0"/>
              <w:marRight w:val="0"/>
              <w:marTop w:val="0"/>
              <w:marBottom w:val="0"/>
              <w:divBdr>
                <w:top w:val="none" w:sz="0" w:space="0" w:color="auto"/>
                <w:left w:val="none" w:sz="0" w:space="0" w:color="auto"/>
                <w:bottom w:val="none" w:sz="0" w:space="0" w:color="auto"/>
                <w:right w:val="none" w:sz="0" w:space="0" w:color="auto"/>
              </w:divBdr>
            </w:div>
            <w:div w:id="2049600433">
              <w:marLeft w:val="0"/>
              <w:marRight w:val="0"/>
              <w:marTop w:val="0"/>
              <w:marBottom w:val="0"/>
              <w:divBdr>
                <w:top w:val="none" w:sz="0" w:space="0" w:color="auto"/>
                <w:left w:val="none" w:sz="0" w:space="0" w:color="auto"/>
                <w:bottom w:val="none" w:sz="0" w:space="0" w:color="auto"/>
                <w:right w:val="none" w:sz="0" w:space="0" w:color="auto"/>
              </w:divBdr>
            </w:div>
            <w:div w:id="202452270">
              <w:marLeft w:val="0"/>
              <w:marRight w:val="0"/>
              <w:marTop w:val="0"/>
              <w:marBottom w:val="0"/>
              <w:divBdr>
                <w:top w:val="none" w:sz="0" w:space="0" w:color="auto"/>
                <w:left w:val="none" w:sz="0" w:space="0" w:color="auto"/>
                <w:bottom w:val="none" w:sz="0" w:space="0" w:color="auto"/>
                <w:right w:val="none" w:sz="0" w:space="0" w:color="auto"/>
              </w:divBdr>
            </w:div>
            <w:div w:id="1306230546">
              <w:marLeft w:val="0"/>
              <w:marRight w:val="0"/>
              <w:marTop w:val="0"/>
              <w:marBottom w:val="0"/>
              <w:divBdr>
                <w:top w:val="none" w:sz="0" w:space="0" w:color="auto"/>
                <w:left w:val="none" w:sz="0" w:space="0" w:color="auto"/>
                <w:bottom w:val="none" w:sz="0" w:space="0" w:color="auto"/>
                <w:right w:val="none" w:sz="0" w:space="0" w:color="auto"/>
              </w:divBdr>
            </w:div>
            <w:div w:id="269973159">
              <w:marLeft w:val="0"/>
              <w:marRight w:val="0"/>
              <w:marTop w:val="0"/>
              <w:marBottom w:val="0"/>
              <w:divBdr>
                <w:top w:val="none" w:sz="0" w:space="0" w:color="auto"/>
                <w:left w:val="none" w:sz="0" w:space="0" w:color="auto"/>
                <w:bottom w:val="none" w:sz="0" w:space="0" w:color="auto"/>
                <w:right w:val="none" w:sz="0" w:space="0" w:color="auto"/>
              </w:divBdr>
            </w:div>
            <w:div w:id="108815820">
              <w:marLeft w:val="0"/>
              <w:marRight w:val="0"/>
              <w:marTop w:val="0"/>
              <w:marBottom w:val="0"/>
              <w:divBdr>
                <w:top w:val="none" w:sz="0" w:space="0" w:color="auto"/>
                <w:left w:val="none" w:sz="0" w:space="0" w:color="auto"/>
                <w:bottom w:val="none" w:sz="0" w:space="0" w:color="auto"/>
                <w:right w:val="none" w:sz="0" w:space="0" w:color="auto"/>
              </w:divBdr>
            </w:div>
            <w:div w:id="1880971283">
              <w:marLeft w:val="0"/>
              <w:marRight w:val="0"/>
              <w:marTop w:val="0"/>
              <w:marBottom w:val="0"/>
              <w:divBdr>
                <w:top w:val="none" w:sz="0" w:space="0" w:color="auto"/>
                <w:left w:val="none" w:sz="0" w:space="0" w:color="auto"/>
                <w:bottom w:val="none" w:sz="0" w:space="0" w:color="auto"/>
                <w:right w:val="none" w:sz="0" w:space="0" w:color="auto"/>
              </w:divBdr>
            </w:div>
            <w:div w:id="1619292215">
              <w:marLeft w:val="0"/>
              <w:marRight w:val="0"/>
              <w:marTop w:val="0"/>
              <w:marBottom w:val="0"/>
              <w:divBdr>
                <w:top w:val="none" w:sz="0" w:space="0" w:color="auto"/>
                <w:left w:val="none" w:sz="0" w:space="0" w:color="auto"/>
                <w:bottom w:val="none" w:sz="0" w:space="0" w:color="auto"/>
                <w:right w:val="none" w:sz="0" w:space="0" w:color="auto"/>
              </w:divBdr>
            </w:div>
            <w:div w:id="179273721">
              <w:marLeft w:val="0"/>
              <w:marRight w:val="0"/>
              <w:marTop w:val="0"/>
              <w:marBottom w:val="0"/>
              <w:divBdr>
                <w:top w:val="none" w:sz="0" w:space="0" w:color="auto"/>
                <w:left w:val="none" w:sz="0" w:space="0" w:color="auto"/>
                <w:bottom w:val="none" w:sz="0" w:space="0" w:color="auto"/>
                <w:right w:val="none" w:sz="0" w:space="0" w:color="auto"/>
              </w:divBdr>
            </w:div>
            <w:div w:id="627249917">
              <w:marLeft w:val="0"/>
              <w:marRight w:val="0"/>
              <w:marTop w:val="0"/>
              <w:marBottom w:val="0"/>
              <w:divBdr>
                <w:top w:val="none" w:sz="0" w:space="0" w:color="auto"/>
                <w:left w:val="none" w:sz="0" w:space="0" w:color="auto"/>
                <w:bottom w:val="none" w:sz="0" w:space="0" w:color="auto"/>
                <w:right w:val="none" w:sz="0" w:space="0" w:color="auto"/>
              </w:divBdr>
            </w:div>
            <w:div w:id="174152210">
              <w:marLeft w:val="0"/>
              <w:marRight w:val="0"/>
              <w:marTop w:val="0"/>
              <w:marBottom w:val="0"/>
              <w:divBdr>
                <w:top w:val="none" w:sz="0" w:space="0" w:color="auto"/>
                <w:left w:val="none" w:sz="0" w:space="0" w:color="auto"/>
                <w:bottom w:val="none" w:sz="0" w:space="0" w:color="auto"/>
                <w:right w:val="none" w:sz="0" w:space="0" w:color="auto"/>
              </w:divBdr>
            </w:div>
            <w:div w:id="276525863">
              <w:marLeft w:val="0"/>
              <w:marRight w:val="0"/>
              <w:marTop w:val="0"/>
              <w:marBottom w:val="0"/>
              <w:divBdr>
                <w:top w:val="none" w:sz="0" w:space="0" w:color="auto"/>
                <w:left w:val="none" w:sz="0" w:space="0" w:color="auto"/>
                <w:bottom w:val="none" w:sz="0" w:space="0" w:color="auto"/>
                <w:right w:val="none" w:sz="0" w:space="0" w:color="auto"/>
              </w:divBdr>
            </w:div>
            <w:div w:id="1067150067">
              <w:marLeft w:val="0"/>
              <w:marRight w:val="0"/>
              <w:marTop w:val="0"/>
              <w:marBottom w:val="0"/>
              <w:divBdr>
                <w:top w:val="none" w:sz="0" w:space="0" w:color="auto"/>
                <w:left w:val="none" w:sz="0" w:space="0" w:color="auto"/>
                <w:bottom w:val="none" w:sz="0" w:space="0" w:color="auto"/>
                <w:right w:val="none" w:sz="0" w:space="0" w:color="auto"/>
              </w:divBdr>
            </w:div>
            <w:div w:id="647318086">
              <w:marLeft w:val="0"/>
              <w:marRight w:val="0"/>
              <w:marTop w:val="0"/>
              <w:marBottom w:val="0"/>
              <w:divBdr>
                <w:top w:val="none" w:sz="0" w:space="0" w:color="auto"/>
                <w:left w:val="none" w:sz="0" w:space="0" w:color="auto"/>
                <w:bottom w:val="none" w:sz="0" w:space="0" w:color="auto"/>
                <w:right w:val="none" w:sz="0" w:space="0" w:color="auto"/>
              </w:divBdr>
            </w:div>
            <w:div w:id="203948128">
              <w:marLeft w:val="0"/>
              <w:marRight w:val="0"/>
              <w:marTop w:val="0"/>
              <w:marBottom w:val="0"/>
              <w:divBdr>
                <w:top w:val="none" w:sz="0" w:space="0" w:color="auto"/>
                <w:left w:val="none" w:sz="0" w:space="0" w:color="auto"/>
                <w:bottom w:val="none" w:sz="0" w:space="0" w:color="auto"/>
                <w:right w:val="none" w:sz="0" w:space="0" w:color="auto"/>
              </w:divBdr>
            </w:div>
            <w:div w:id="1870333557">
              <w:marLeft w:val="0"/>
              <w:marRight w:val="0"/>
              <w:marTop w:val="0"/>
              <w:marBottom w:val="0"/>
              <w:divBdr>
                <w:top w:val="none" w:sz="0" w:space="0" w:color="auto"/>
                <w:left w:val="none" w:sz="0" w:space="0" w:color="auto"/>
                <w:bottom w:val="none" w:sz="0" w:space="0" w:color="auto"/>
                <w:right w:val="none" w:sz="0" w:space="0" w:color="auto"/>
              </w:divBdr>
            </w:div>
            <w:div w:id="1266188120">
              <w:marLeft w:val="0"/>
              <w:marRight w:val="0"/>
              <w:marTop w:val="0"/>
              <w:marBottom w:val="0"/>
              <w:divBdr>
                <w:top w:val="none" w:sz="0" w:space="0" w:color="auto"/>
                <w:left w:val="none" w:sz="0" w:space="0" w:color="auto"/>
                <w:bottom w:val="none" w:sz="0" w:space="0" w:color="auto"/>
                <w:right w:val="none" w:sz="0" w:space="0" w:color="auto"/>
              </w:divBdr>
            </w:div>
            <w:div w:id="237253769">
              <w:marLeft w:val="0"/>
              <w:marRight w:val="0"/>
              <w:marTop w:val="0"/>
              <w:marBottom w:val="0"/>
              <w:divBdr>
                <w:top w:val="none" w:sz="0" w:space="0" w:color="auto"/>
                <w:left w:val="none" w:sz="0" w:space="0" w:color="auto"/>
                <w:bottom w:val="none" w:sz="0" w:space="0" w:color="auto"/>
                <w:right w:val="none" w:sz="0" w:space="0" w:color="auto"/>
              </w:divBdr>
            </w:div>
            <w:div w:id="201748400">
              <w:marLeft w:val="0"/>
              <w:marRight w:val="0"/>
              <w:marTop w:val="0"/>
              <w:marBottom w:val="0"/>
              <w:divBdr>
                <w:top w:val="none" w:sz="0" w:space="0" w:color="auto"/>
                <w:left w:val="none" w:sz="0" w:space="0" w:color="auto"/>
                <w:bottom w:val="none" w:sz="0" w:space="0" w:color="auto"/>
                <w:right w:val="none" w:sz="0" w:space="0" w:color="auto"/>
              </w:divBdr>
            </w:div>
            <w:div w:id="1714885855">
              <w:marLeft w:val="0"/>
              <w:marRight w:val="0"/>
              <w:marTop w:val="0"/>
              <w:marBottom w:val="0"/>
              <w:divBdr>
                <w:top w:val="none" w:sz="0" w:space="0" w:color="auto"/>
                <w:left w:val="none" w:sz="0" w:space="0" w:color="auto"/>
                <w:bottom w:val="none" w:sz="0" w:space="0" w:color="auto"/>
                <w:right w:val="none" w:sz="0" w:space="0" w:color="auto"/>
              </w:divBdr>
            </w:div>
            <w:div w:id="954948968">
              <w:marLeft w:val="0"/>
              <w:marRight w:val="0"/>
              <w:marTop w:val="0"/>
              <w:marBottom w:val="0"/>
              <w:divBdr>
                <w:top w:val="none" w:sz="0" w:space="0" w:color="auto"/>
                <w:left w:val="none" w:sz="0" w:space="0" w:color="auto"/>
                <w:bottom w:val="none" w:sz="0" w:space="0" w:color="auto"/>
                <w:right w:val="none" w:sz="0" w:space="0" w:color="auto"/>
              </w:divBdr>
            </w:div>
            <w:div w:id="1939366141">
              <w:marLeft w:val="0"/>
              <w:marRight w:val="0"/>
              <w:marTop w:val="0"/>
              <w:marBottom w:val="0"/>
              <w:divBdr>
                <w:top w:val="none" w:sz="0" w:space="0" w:color="auto"/>
                <w:left w:val="none" w:sz="0" w:space="0" w:color="auto"/>
                <w:bottom w:val="none" w:sz="0" w:space="0" w:color="auto"/>
                <w:right w:val="none" w:sz="0" w:space="0" w:color="auto"/>
              </w:divBdr>
            </w:div>
            <w:div w:id="1948345392">
              <w:marLeft w:val="0"/>
              <w:marRight w:val="0"/>
              <w:marTop w:val="0"/>
              <w:marBottom w:val="0"/>
              <w:divBdr>
                <w:top w:val="none" w:sz="0" w:space="0" w:color="auto"/>
                <w:left w:val="none" w:sz="0" w:space="0" w:color="auto"/>
                <w:bottom w:val="none" w:sz="0" w:space="0" w:color="auto"/>
                <w:right w:val="none" w:sz="0" w:space="0" w:color="auto"/>
              </w:divBdr>
            </w:div>
            <w:div w:id="1041711707">
              <w:marLeft w:val="0"/>
              <w:marRight w:val="0"/>
              <w:marTop w:val="0"/>
              <w:marBottom w:val="0"/>
              <w:divBdr>
                <w:top w:val="none" w:sz="0" w:space="0" w:color="auto"/>
                <w:left w:val="none" w:sz="0" w:space="0" w:color="auto"/>
                <w:bottom w:val="none" w:sz="0" w:space="0" w:color="auto"/>
                <w:right w:val="none" w:sz="0" w:space="0" w:color="auto"/>
              </w:divBdr>
            </w:div>
            <w:div w:id="882207859">
              <w:marLeft w:val="0"/>
              <w:marRight w:val="0"/>
              <w:marTop w:val="0"/>
              <w:marBottom w:val="0"/>
              <w:divBdr>
                <w:top w:val="none" w:sz="0" w:space="0" w:color="auto"/>
                <w:left w:val="none" w:sz="0" w:space="0" w:color="auto"/>
                <w:bottom w:val="none" w:sz="0" w:space="0" w:color="auto"/>
                <w:right w:val="none" w:sz="0" w:space="0" w:color="auto"/>
              </w:divBdr>
            </w:div>
            <w:div w:id="83048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881547937">
      <w:bodyDiv w:val="1"/>
      <w:marLeft w:val="0"/>
      <w:marRight w:val="0"/>
      <w:marTop w:val="0"/>
      <w:marBottom w:val="0"/>
      <w:divBdr>
        <w:top w:val="none" w:sz="0" w:space="0" w:color="auto"/>
        <w:left w:val="none" w:sz="0" w:space="0" w:color="auto"/>
        <w:bottom w:val="none" w:sz="0" w:space="0" w:color="auto"/>
        <w:right w:val="none" w:sz="0" w:space="0" w:color="auto"/>
      </w:divBdr>
      <w:divsChild>
        <w:div w:id="323821266">
          <w:marLeft w:val="480"/>
          <w:marRight w:val="0"/>
          <w:marTop w:val="0"/>
          <w:marBottom w:val="0"/>
          <w:divBdr>
            <w:top w:val="none" w:sz="0" w:space="0" w:color="auto"/>
            <w:left w:val="none" w:sz="0" w:space="0" w:color="auto"/>
            <w:bottom w:val="none" w:sz="0" w:space="0" w:color="auto"/>
            <w:right w:val="none" w:sz="0" w:space="0" w:color="auto"/>
          </w:divBdr>
          <w:divsChild>
            <w:div w:id="16788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7258">
      <w:bodyDiv w:val="1"/>
      <w:marLeft w:val="0"/>
      <w:marRight w:val="0"/>
      <w:marTop w:val="0"/>
      <w:marBottom w:val="0"/>
      <w:divBdr>
        <w:top w:val="none" w:sz="0" w:space="0" w:color="auto"/>
        <w:left w:val="none" w:sz="0" w:space="0" w:color="auto"/>
        <w:bottom w:val="none" w:sz="0" w:space="0" w:color="auto"/>
        <w:right w:val="none" w:sz="0" w:space="0" w:color="auto"/>
      </w:divBdr>
      <w:divsChild>
        <w:div w:id="1576553714">
          <w:marLeft w:val="480"/>
          <w:marRight w:val="0"/>
          <w:marTop w:val="0"/>
          <w:marBottom w:val="0"/>
          <w:divBdr>
            <w:top w:val="none" w:sz="0" w:space="0" w:color="auto"/>
            <w:left w:val="none" w:sz="0" w:space="0" w:color="auto"/>
            <w:bottom w:val="none" w:sz="0" w:space="0" w:color="auto"/>
            <w:right w:val="none" w:sz="0" w:space="0" w:color="auto"/>
          </w:divBdr>
          <w:divsChild>
            <w:div w:id="148388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30277">
      <w:bodyDiv w:val="1"/>
      <w:marLeft w:val="0"/>
      <w:marRight w:val="0"/>
      <w:marTop w:val="0"/>
      <w:marBottom w:val="0"/>
      <w:divBdr>
        <w:top w:val="none" w:sz="0" w:space="0" w:color="auto"/>
        <w:left w:val="none" w:sz="0" w:space="0" w:color="auto"/>
        <w:bottom w:val="none" w:sz="0" w:space="0" w:color="auto"/>
        <w:right w:val="none" w:sz="0" w:space="0" w:color="auto"/>
      </w:divBdr>
      <w:divsChild>
        <w:div w:id="2014067559">
          <w:marLeft w:val="480"/>
          <w:marRight w:val="0"/>
          <w:marTop w:val="0"/>
          <w:marBottom w:val="0"/>
          <w:divBdr>
            <w:top w:val="none" w:sz="0" w:space="0" w:color="auto"/>
            <w:left w:val="none" w:sz="0" w:space="0" w:color="auto"/>
            <w:bottom w:val="none" w:sz="0" w:space="0" w:color="auto"/>
            <w:right w:val="none" w:sz="0" w:space="0" w:color="auto"/>
          </w:divBdr>
          <w:divsChild>
            <w:div w:id="464157721">
              <w:marLeft w:val="0"/>
              <w:marRight w:val="0"/>
              <w:marTop w:val="0"/>
              <w:marBottom w:val="0"/>
              <w:divBdr>
                <w:top w:val="none" w:sz="0" w:space="0" w:color="auto"/>
                <w:left w:val="none" w:sz="0" w:space="0" w:color="auto"/>
                <w:bottom w:val="none" w:sz="0" w:space="0" w:color="auto"/>
                <w:right w:val="none" w:sz="0" w:space="0" w:color="auto"/>
              </w:divBdr>
            </w:div>
            <w:div w:id="2089156785">
              <w:marLeft w:val="0"/>
              <w:marRight w:val="0"/>
              <w:marTop w:val="0"/>
              <w:marBottom w:val="0"/>
              <w:divBdr>
                <w:top w:val="none" w:sz="0" w:space="0" w:color="auto"/>
                <w:left w:val="none" w:sz="0" w:space="0" w:color="auto"/>
                <w:bottom w:val="none" w:sz="0" w:space="0" w:color="auto"/>
                <w:right w:val="none" w:sz="0" w:space="0" w:color="auto"/>
              </w:divBdr>
            </w:div>
            <w:div w:id="305625345">
              <w:marLeft w:val="0"/>
              <w:marRight w:val="0"/>
              <w:marTop w:val="0"/>
              <w:marBottom w:val="0"/>
              <w:divBdr>
                <w:top w:val="none" w:sz="0" w:space="0" w:color="auto"/>
                <w:left w:val="none" w:sz="0" w:space="0" w:color="auto"/>
                <w:bottom w:val="none" w:sz="0" w:space="0" w:color="auto"/>
                <w:right w:val="none" w:sz="0" w:space="0" w:color="auto"/>
              </w:divBdr>
            </w:div>
            <w:div w:id="1142044930">
              <w:marLeft w:val="0"/>
              <w:marRight w:val="0"/>
              <w:marTop w:val="0"/>
              <w:marBottom w:val="0"/>
              <w:divBdr>
                <w:top w:val="none" w:sz="0" w:space="0" w:color="auto"/>
                <w:left w:val="none" w:sz="0" w:space="0" w:color="auto"/>
                <w:bottom w:val="none" w:sz="0" w:space="0" w:color="auto"/>
                <w:right w:val="none" w:sz="0" w:space="0" w:color="auto"/>
              </w:divBdr>
            </w:div>
            <w:div w:id="227232065">
              <w:marLeft w:val="0"/>
              <w:marRight w:val="0"/>
              <w:marTop w:val="0"/>
              <w:marBottom w:val="0"/>
              <w:divBdr>
                <w:top w:val="none" w:sz="0" w:space="0" w:color="auto"/>
                <w:left w:val="none" w:sz="0" w:space="0" w:color="auto"/>
                <w:bottom w:val="none" w:sz="0" w:space="0" w:color="auto"/>
                <w:right w:val="none" w:sz="0" w:space="0" w:color="auto"/>
              </w:divBdr>
            </w:div>
            <w:div w:id="1827548745">
              <w:marLeft w:val="0"/>
              <w:marRight w:val="0"/>
              <w:marTop w:val="0"/>
              <w:marBottom w:val="0"/>
              <w:divBdr>
                <w:top w:val="none" w:sz="0" w:space="0" w:color="auto"/>
                <w:left w:val="none" w:sz="0" w:space="0" w:color="auto"/>
                <w:bottom w:val="none" w:sz="0" w:space="0" w:color="auto"/>
                <w:right w:val="none" w:sz="0" w:space="0" w:color="auto"/>
              </w:divBdr>
            </w:div>
            <w:div w:id="1121802150">
              <w:marLeft w:val="0"/>
              <w:marRight w:val="0"/>
              <w:marTop w:val="0"/>
              <w:marBottom w:val="0"/>
              <w:divBdr>
                <w:top w:val="none" w:sz="0" w:space="0" w:color="auto"/>
                <w:left w:val="none" w:sz="0" w:space="0" w:color="auto"/>
                <w:bottom w:val="none" w:sz="0" w:space="0" w:color="auto"/>
                <w:right w:val="none" w:sz="0" w:space="0" w:color="auto"/>
              </w:divBdr>
            </w:div>
            <w:div w:id="326595748">
              <w:marLeft w:val="0"/>
              <w:marRight w:val="0"/>
              <w:marTop w:val="0"/>
              <w:marBottom w:val="0"/>
              <w:divBdr>
                <w:top w:val="none" w:sz="0" w:space="0" w:color="auto"/>
                <w:left w:val="none" w:sz="0" w:space="0" w:color="auto"/>
                <w:bottom w:val="none" w:sz="0" w:space="0" w:color="auto"/>
                <w:right w:val="none" w:sz="0" w:space="0" w:color="auto"/>
              </w:divBdr>
            </w:div>
            <w:div w:id="1726299440">
              <w:marLeft w:val="0"/>
              <w:marRight w:val="0"/>
              <w:marTop w:val="0"/>
              <w:marBottom w:val="0"/>
              <w:divBdr>
                <w:top w:val="none" w:sz="0" w:space="0" w:color="auto"/>
                <w:left w:val="none" w:sz="0" w:space="0" w:color="auto"/>
                <w:bottom w:val="none" w:sz="0" w:space="0" w:color="auto"/>
                <w:right w:val="none" w:sz="0" w:space="0" w:color="auto"/>
              </w:divBdr>
            </w:div>
            <w:div w:id="1898734707">
              <w:marLeft w:val="0"/>
              <w:marRight w:val="0"/>
              <w:marTop w:val="0"/>
              <w:marBottom w:val="0"/>
              <w:divBdr>
                <w:top w:val="none" w:sz="0" w:space="0" w:color="auto"/>
                <w:left w:val="none" w:sz="0" w:space="0" w:color="auto"/>
                <w:bottom w:val="none" w:sz="0" w:space="0" w:color="auto"/>
                <w:right w:val="none" w:sz="0" w:space="0" w:color="auto"/>
              </w:divBdr>
            </w:div>
            <w:div w:id="766387272">
              <w:marLeft w:val="0"/>
              <w:marRight w:val="0"/>
              <w:marTop w:val="0"/>
              <w:marBottom w:val="0"/>
              <w:divBdr>
                <w:top w:val="none" w:sz="0" w:space="0" w:color="auto"/>
                <w:left w:val="none" w:sz="0" w:space="0" w:color="auto"/>
                <w:bottom w:val="none" w:sz="0" w:space="0" w:color="auto"/>
                <w:right w:val="none" w:sz="0" w:space="0" w:color="auto"/>
              </w:divBdr>
            </w:div>
            <w:div w:id="1924489882">
              <w:marLeft w:val="0"/>
              <w:marRight w:val="0"/>
              <w:marTop w:val="0"/>
              <w:marBottom w:val="0"/>
              <w:divBdr>
                <w:top w:val="none" w:sz="0" w:space="0" w:color="auto"/>
                <w:left w:val="none" w:sz="0" w:space="0" w:color="auto"/>
                <w:bottom w:val="none" w:sz="0" w:space="0" w:color="auto"/>
                <w:right w:val="none" w:sz="0" w:space="0" w:color="auto"/>
              </w:divBdr>
            </w:div>
            <w:div w:id="1313946351">
              <w:marLeft w:val="0"/>
              <w:marRight w:val="0"/>
              <w:marTop w:val="0"/>
              <w:marBottom w:val="0"/>
              <w:divBdr>
                <w:top w:val="none" w:sz="0" w:space="0" w:color="auto"/>
                <w:left w:val="none" w:sz="0" w:space="0" w:color="auto"/>
                <w:bottom w:val="none" w:sz="0" w:space="0" w:color="auto"/>
                <w:right w:val="none" w:sz="0" w:space="0" w:color="auto"/>
              </w:divBdr>
            </w:div>
            <w:div w:id="13924913">
              <w:marLeft w:val="0"/>
              <w:marRight w:val="0"/>
              <w:marTop w:val="0"/>
              <w:marBottom w:val="0"/>
              <w:divBdr>
                <w:top w:val="none" w:sz="0" w:space="0" w:color="auto"/>
                <w:left w:val="none" w:sz="0" w:space="0" w:color="auto"/>
                <w:bottom w:val="none" w:sz="0" w:space="0" w:color="auto"/>
                <w:right w:val="none" w:sz="0" w:space="0" w:color="auto"/>
              </w:divBdr>
            </w:div>
            <w:div w:id="1370718115">
              <w:marLeft w:val="0"/>
              <w:marRight w:val="0"/>
              <w:marTop w:val="0"/>
              <w:marBottom w:val="0"/>
              <w:divBdr>
                <w:top w:val="none" w:sz="0" w:space="0" w:color="auto"/>
                <w:left w:val="none" w:sz="0" w:space="0" w:color="auto"/>
                <w:bottom w:val="none" w:sz="0" w:space="0" w:color="auto"/>
                <w:right w:val="none" w:sz="0" w:space="0" w:color="auto"/>
              </w:divBdr>
            </w:div>
            <w:div w:id="1185830734">
              <w:marLeft w:val="0"/>
              <w:marRight w:val="0"/>
              <w:marTop w:val="0"/>
              <w:marBottom w:val="0"/>
              <w:divBdr>
                <w:top w:val="none" w:sz="0" w:space="0" w:color="auto"/>
                <w:left w:val="none" w:sz="0" w:space="0" w:color="auto"/>
                <w:bottom w:val="none" w:sz="0" w:space="0" w:color="auto"/>
                <w:right w:val="none" w:sz="0" w:space="0" w:color="auto"/>
              </w:divBdr>
            </w:div>
            <w:div w:id="1908415272">
              <w:marLeft w:val="0"/>
              <w:marRight w:val="0"/>
              <w:marTop w:val="0"/>
              <w:marBottom w:val="0"/>
              <w:divBdr>
                <w:top w:val="none" w:sz="0" w:space="0" w:color="auto"/>
                <w:left w:val="none" w:sz="0" w:space="0" w:color="auto"/>
                <w:bottom w:val="none" w:sz="0" w:space="0" w:color="auto"/>
                <w:right w:val="none" w:sz="0" w:space="0" w:color="auto"/>
              </w:divBdr>
            </w:div>
            <w:div w:id="1610972343">
              <w:marLeft w:val="0"/>
              <w:marRight w:val="0"/>
              <w:marTop w:val="0"/>
              <w:marBottom w:val="0"/>
              <w:divBdr>
                <w:top w:val="none" w:sz="0" w:space="0" w:color="auto"/>
                <w:left w:val="none" w:sz="0" w:space="0" w:color="auto"/>
                <w:bottom w:val="none" w:sz="0" w:space="0" w:color="auto"/>
                <w:right w:val="none" w:sz="0" w:space="0" w:color="auto"/>
              </w:divBdr>
            </w:div>
            <w:div w:id="830945184">
              <w:marLeft w:val="0"/>
              <w:marRight w:val="0"/>
              <w:marTop w:val="0"/>
              <w:marBottom w:val="0"/>
              <w:divBdr>
                <w:top w:val="none" w:sz="0" w:space="0" w:color="auto"/>
                <w:left w:val="none" w:sz="0" w:space="0" w:color="auto"/>
                <w:bottom w:val="none" w:sz="0" w:space="0" w:color="auto"/>
                <w:right w:val="none" w:sz="0" w:space="0" w:color="auto"/>
              </w:divBdr>
            </w:div>
            <w:div w:id="446043022">
              <w:marLeft w:val="0"/>
              <w:marRight w:val="0"/>
              <w:marTop w:val="0"/>
              <w:marBottom w:val="0"/>
              <w:divBdr>
                <w:top w:val="none" w:sz="0" w:space="0" w:color="auto"/>
                <w:left w:val="none" w:sz="0" w:space="0" w:color="auto"/>
                <w:bottom w:val="none" w:sz="0" w:space="0" w:color="auto"/>
                <w:right w:val="none" w:sz="0" w:space="0" w:color="auto"/>
              </w:divBdr>
            </w:div>
            <w:div w:id="1183860284">
              <w:marLeft w:val="0"/>
              <w:marRight w:val="0"/>
              <w:marTop w:val="0"/>
              <w:marBottom w:val="0"/>
              <w:divBdr>
                <w:top w:val="none" w:sz="0" w:space="0" w:color="auto"/>
                <w:left w:val="none" w:sz="0" w:space="0" w:color="auto"/>
                <w:bottom w:val="none" w:sz="0" w:space="0" w:color="auto"/>
                <w:right w:val="none" w:sz="0" w:space="0" w:color="auto"/>
              </w:divBdr>
            </w:div>
            <w:div w:id="441346416">
              <w:marLeft w:val="0"/>
              <w:marRight w:val="0"/>
              <w:marTop w:val="0"/>
              <w:marBottom w:val="0"/>
              <w:divBdr>
                <w:top w:val="none" w:sz="0" w:space="0" w:color="auto"/>
                <w:left w:val="none" w:sz="0" w:space="0" w:color="auto"/>
                <w:bottom w:val="none" w:sz="0" w:space="0" w:color="auto"/>
                <w:right w:val="none" w:sz="0" w:space="0" w:color="auto"/>
              </w:divBdr>
            </w:div>
            <w:div w:id="515506239">
              <w:marLeft w:val="0"/>
              <w:marRight w:val="0"/>
              <w:marTop w:val="0"/>
              <w:marBottom w:val="0"/>
              <w:divBdr>
                <w:top w:val="none" w:sz="0" w:space="0" w:color="auto"/>
                <w:left w:val="none" w:sz="0" w:space="0" w:color="auto"/>
                <w:bottom w:val="none" w:sz="0" w:space="0" w:color="auto"/>
                <w:right w:val="none" w:sz="0" w:space="0" w:color="auto"/>
              </w:divBdr>
            </w:div>
            <w:div w:id="1985691551">
              <w:marLeft w:val="0"/>
              <w:marRight w:val="0"/>
              <w:marTop w:val="0"/>
              <w:marBottom w:val="0"/>
              <w:divBdr>
                <w:top w:val="none" w:sz="0" w:space="0" w:color="auto"/>
                <w:left w:val="none" w:sz="0" w:space="0" w:color="auto"/>
                <w:bottom w:val="none" w:sz="0" w:space="0" w:color="auto"/>
                <w:right w:val="none" w:sz="0" w:space="0" w:color="auto"/>
              </w:divBdr>
            </w:div>
            <w:div w:id="1220896617">
              <w:marLeft w:val="0"/>
              <w:marRight w:val="0"/>
              <w:marTop w:val="0"/>
              <w:marBottom w:val="0"/>
              <w:divBdr>
                <w:top w:val="none" w:sz="0" w:space="0" w:color="auto"/>
                <w:left w:val="none" w:sz="0" w:space="0" w:color="auto"/>
                <w:bottom w:val="none" w:sz="0" w:space="0" w:color="auto"/>
                <w:right w:val="none" w:sz="0" w:space="0" w:color="auto"/>
              </w:divBdr>
            </w:div>
            <w:div w:id="1211307387">
              <w:marLeft w:val="0"/>
              <w:marRight w:val="0"/>
              <w:marTop w:val="0"/>
              <w:marBottom w:val="0"/>
              <w:divBdr>
                <w:top w:val="none" w:sz="0" w:space="0" w:color="auto"/>
                <w:left w:val="none" w:sz="0" w:space="0" w:color="auto"/>
                <w:bottom w:val="none" w:sz="0" w:space="0" w:color="auto"/>
                <w:right w:val="none" w:sz="0" w:space="0" w:color="auto"/>
              </w:divBdr>
            </w:div>
            <w:div w:id="519317655">
              <w:marLeft w:val="0"/>
              <w:marRight w:val="0"/>
              <w:marTop w:val="0"/>
              <w:marBottom w:val="0"/>
              <w:divBdr>
                <w:top w:val="none" w:sz="0" w:space="0" w:color="auto"/>
                <w:left w:val="none" w:sz="0" w:space="0" w:color="auto"/>
                <w:bottom w:val="none" w:sz="0" w:space="0" w:color="auto"/>
                <w:right w:val="none" w:sz="0" w:space="0" w:color="auto"/>
              </w:divBdr>
            </w:div>
            <w:div w:id="1097098976">
              <w:marLeft w:val="0"/>
              <w:marRight w:val="0"/>
              <w:marTop w:val="0"/>
              <w:marBottom w:val="0"/>
              <w:divBdr>
                <w:top w:val="none" w:sz="0" w:space="0" w:color="auto"/>
                <w:left w:val="none" w:sz="0" w:space="0" w:color="auto"/>
                <w:bottom w:val="none" w:sz="0" w:space="0" w:color="auto"/>
                <w:right w:val="none" w:sz="0" w:space="0" w:color="auto"/>
              </w:divBdr>
            </w:div>
            <w:div w:id="1225991317">
              <w:marLeft w:val="0"/>
              <w:marRight w:val="0"/>
              <w:marTop w:val="0"/>
              <w:marBottom w:val="0"/>
              <w:divBdr>
                <w:top w:val="none" w:sz="0" w:space="0" w:color="auto"/>
                <w:left w:val="none" w:sz="0" w:space="0" w:color="auto"/>
                <w:bottom w:val="none" w:sz="0" w:space="0" w:color="auto"/>
                <w:right w:val="none" w:sz="0" w:space="0" w:color="auto"/>
              </w:divBdr>
            </w:div>
            <w:div w:id="1825966452">
              <w:marLeft w:val="0"/>
              <w:marRight w:val="0"/>
              <w:marTop w:val="0"/>
              <w:marBottom w:val="0"/>
              <w:divBdr>
                <w:top w:val="none" w:sz="0" w:space="0" w:color="auto"/>
                <w:left w:val="none" w:sz="0" w:space="0" w:color="auto"/>
                <w:bottom w:val="none" w:sz="0" w:space="0" w:color="auto"/>
                <w:right w:val="none" w:sz="0" w:space="0" w:color="auto"/>
              </w:divBdr>
            </w:div>
            <w:div w:id="1005396048">
              <w:marLeft w:val="0"/>
              <w:marRight w:val="0"/>
              <w:marTop w:val="0"/>
              <w:marBottom w:val="0"/>
              <w:divBdr>
                <w:top w:val="none" w:sz="0" w:space="0" w:color="auto"/>
                <w:left w:val="none" w:sz="0" w:space="0" w:color="auto"/>
                <w:bottom w:val="none" w:sz="0" w:space="0" w:color="auto"/>
                <w:right w:val="none" w:sz="0" w:space="0" w:color="auto"/>
              </w:divBdr>
            </w:div>
            <w:div w:id="807630977">
              <w:marLeft w:val="0"/>
              <w:marRight w:val="0"/>
              <w:marTop w:val="0"/>
              <w:marBottom w:val="0"/>
              <w:divBdr>
                <w:top w:val="none" w:sz="0" w:space="0" w:color="auto"/>
                <w:left w:val="none" w:sz="0" w:space="0" w:color="auto"/>
                <w:bottom w:val="none" w:sz="0" w:space="0" w:color="auto"/>
                <w:right w:val="none" w:sz="0" w:space="0" w:color="auto"/>
              </w:divBdr>
            </w:div>
            <w:div w:id="288823954">
              <w:marLeft w:val="0"/>
              <w:marRight w:val="0"/>
              <w:marTop w:val="0"/>
              <w:marBottom w:val="0"/>
              <w:divBdr>
                <w:top w:val="none" w:sz="0" w:space="0" w:color="auto"/>
                <w:left w:val="none" w:sz="0" w:space="0" w:color="auto"/>
                <w:bottom w:val="none" w:sz="0" w:space="0" w:color="auto"/>
                <w:right w:val="none" w:sz="0" w:space="0" w:color="auto"/>
              </w:divBdr>
            </w:div>
            <w:div w:id="1907571462">
              <w:marLeft w:val="0"/>
              <w:marRight w:val="0"/>
              <w:marTop w:val="0"/>
              <w:marBottom w:val="0"/>
              <w:divBdr>
                <w:top w:val="none" w:sz="0" w:space="0" w:color="auto"/>
                <w:left w:val="none" w:sz="0" w:space="0" w:color="auto"/>
                <w:bottom w:val="none" w:sz="0" w:space="0" w:color="auto"/>
                <w:right w:val="none" w:sz="0" w:space="0" w:color="auto"/>
              </w:divBdr>
            </w:div>
            <w:div w:id="1909415207">
              <w:marLeft w:val="0"/>
              <w:marRight w:val="0"/>
              <w:marTop w:val="0"/>
              <w:marBottom w:val="0"/>
              <w:divBdr>
                <w:top w:val="none" w:sz="0" w:space="0" w:color="auto"/>
                <w:left w:val="none" w:sz="0" w:space="0" w:color="auto"/>
                <w:bottom w:val="none" w:sz="0" w:space="0" w:color="auto"/>
                <w:right w:val="none" w:sz="0" w:space="0" w:color="auto"/>
              </w:divBdr>
            </w:div>
            <w:div w:id="949512959">
              <w:marLeft w:val="0"/>
              <w:marRight w:val="0"/>
              <w:marTop w:val="0"/>
              <w:marBottom w:val="0"/>
              <w:divBdr>
                <w:top w:val="none" w:sz="0" w:space="0" w:color="auto"/>
                <w:left w:val="none" w:sz="0" w:space="0" w:color="auto"/>
                <w:bottom w:val="none" w:sz="0" w:space="0" w:color="auto"/>
                <w:right w:val="none" w:sz="0" w:space="0" w:color="auto"/>
              </w:divBdr>
            </w:div>
            <w:div w:id="1818572187">
              <w:marLeft w:val="0"/>
              <w:marRight w:val="0"/>
              <w:marTop w:val="0"/>
              <w:marBottom w:val="0"/>
              <w:divBdr>
                <w:top w:val="none" w:sz="0" w:space="0" w:color="auto"/>
                <w:left w:val="none" w:sz="0" w:space="0" w:color="auto"/>
                <w:bottom w:val="none" w:sz="0" w:space="0" w:color="auto"/>
                <w:right w:val="none" w:sz="0" w:space="0" w:color="auto"/>
              </w:divBdr>
            </w:div>
            <w:div w:id="535628441">
              <w:marLeft w:val="0"/>
              <w:marRight w:val="0"/>
              <w:marTop w:val="0"/>
              <w:marBottom w:val="0"/>
              <w:divBdr>
                <w:top w:val="none" w:sz="0" w:space="0" w:color="auto"/>
                <w:left w:val="none" w:sz="0" w:space="0" w:color="auto"/>
                <w:bottom w:val="none" w:sz="0" w:space="0" w:color="auto"/>
                <w:right w:val="none" w:sz="0" w:space="0" w:color="auto"/>
              </w:divBdr>
            </w:div>
            <w:div w:id="767041664">
              <w:marLeft w:val="0"/>
              <w:marRight w:val="0"/>
              <w:marTop w:val="0"/>
              <w:marBottom w:val="0"/>
              <w:divBdr>
                <w:top w:val="none" w:sz="0" w:space="0" w:color="auto"/>
                <w:left w:val="none" w:sz="0" w:space="0" w:color="auto"/>
                <w:bottom w:val="none" w:sz="0" w:space="0" w:color="auto"/>
                <w:right w:val="none" w:sz="0" w:space="0" w:color="auto"/>
              </w:divBdr>
            </w:div>
            <w:div w:id="1722247184">
              <w:marLeft w:val="0"/>
              <w:marRight w:val="0"/>
              <w:marTop w:val="0"/>
              <w:marBottom w:val="0"/>
              <w:divBdr>
                <w:top w:val="none" w:sz="0" w:space="0" w:color="auto"/>
                <w:left w:val="none" w:sz="0" w:space="0" w:color="auto"/>
                <w:bottom w:val="none" w:sz="0" w:space="0" w:color="auto"/>
                <w:right w:val="none" w:sz="0" w:space="0" w:color="auto"/>
              </w:divBdr>
            </w:div>
            <w:div w:id="1554733718">
              <w:marLeft w:val="0"/>
              <w:marRight w:val="0"/>
              <w:marTop w:val="0"/>
              <w:marBottom w:val="0"/>
              <w:divBdr>
                <w:top w:val="none" w:sz="0" w:space="0" w:color="auto"/>
                <w:left w:val="none" w:sz="0" w:space="0" w:color="auto"/>
                <w:bottom w:val="none" w:sz="0" w:space="0" w:color="auto"/>
                <w:right w:val="none" w:sz="0" w:space="0" w:color="auto"/>
              </w:divBdr>
            </w:div>
            <w:div w:id="1202477533">
              <w:marLeft w:val="0"/>
              <w:marRight w:val="0"/>
              <w:marTop w:val="0"/>
              <w:marBottom w:val="0"/>
              <w:divBdr>
                <w:top w:val="none" w:sz="0" w:space="0" w:color="auto"/>
                <w:left w:val="none" w:sz="0" w:space="0" w:color="auto"/>
                <w:bottom w:val="none" w:sz="0" w:space="0" w:color="auto"/>
                <w:right w:val="none" w:sz="0" w:space="0" w:color="auto"/>
              </w:divBdr>
            </w:div>
            <w:div w:id="154105211">
              <w:marLeft w:val="0"/>
              <w:marRight w:val="0"/>
              <w:marTop w:val="0"/>
              <w:marBottom w:val="0"/>
              <w:divBdr>
                <w:top w:val="none" w:sz="0" w:space="0" w:color="auto"/>
                <w:left w:val="none" w:sz="0" w:space="0" w:color="auto"/>
                <w:bottom w:val="none" w:sz="0" w:space="0" w:color="auto"/>
                <w:right w:val="none" w:sz="0" w:space="0" w:color="auto"/>
              </w:divBdr>
            </w:div>
            <w:div w:id="652946967">
              <w:marLeft w:val="0"/>
              <w:marRight w:val="0"/>
              <w:marTop w:val="0"/>
              <w:marBottom w:val="0"/>
              <w:divBdr>
                <w:top w:val="none" w:sz="0" w:space="0" w:color="auto"/>
                <w:left w:val="none" w:sz="0" w:space="0" w:color="auto"/>
                <w:bottom w:val="none" w:sz="0" w:space="0" w:color="auto"/>
                <w:right w:val="none" w:sz="0" w:space="0" w:color="auto"/>
              </w:divBdr>
            </w:div>
            <w:div w:id="932668035">
              <w:marLeft w:val="0"/>
              <w:marRight w:val="0"/>
              <w:marTop w:val="0"/>
              <w:marBottom w:val="0"/>
              <w:divBdr>
                <w:top w:val="none" w:sz="0" w:space="0" w:color="auto"/>
                <w:left w:val="none" w:sz="0" w:space="0" w:color="auto"/>
                <w:bottom w:val="none" w:sz="0" w:space="0" w:color="auto"/>
                <w:right w:val="none" w:sz="0" w:space="0" w:color="auto"/>
              </w:divBdr>
            </w:div>
            <w:div w:id="1879465648">
              <w:marLeft w:val="0"/>
              <w:marRight w:val="0"/>
              <w:marTop w:val="0"/>
              <w:marBottom w:val="0"/>
              <w:divBdr>
                <w:top w:val="none" w:sz="0" w:space="0" w:color="auto"/>
                <w:left w:val="none" w:sz="0" w:space="0" w:color="auto"/>
                <w:bottom w:val="none" w:sz="0" w:space="0" w:color="auto"/>
                <w:right w:val="none" w:sz="0" w:space="0" w:color="auto"/>
              </w:divBdr>
            </w:div>
            <w:div w:id="987900283">
              <w:marLeft w:val="0"/>
              <w:marRight w:val="0"/>
              <w:marTop w:val="0"/>
              <w:marBottom w:val="0"/>
              <w:divBdr>
                <w:top w:val="none" w:sz="0" w:space="0" w:color="auto"/>
                <w:left w:val="none" w:sz="0" w:space="0" w:color="auto"/>
                <w:bottom w:val="none" w:sz="0" w:space="0" w:color="auto"/>
                <w:right w:val="none" w:sz="0" w:space="0" w:color="auto"/>
              </w:divBdr>
            </w:div>
            <w:div w:id="1777629680">
              <w:marLeft w:val="0"/>
              <w:marRight w:val="0"/>
              <w:marTop w:val="0"/>
              <w:marBottom w:val="0"/>
              <w:divBdr>
                <w:top w:val="none" w:sz="0" w:space="0" w:color="auto"/>
                <w:left w:val="none" w:sz="0" w:space="0" w:color="auto"/>
                <w:bottom w:val="none" w:sz="0" w:space="0" w:color="auto"/>
                <w:right w:val="none" w:sz="0" w:space="0" w:color="auto"/>
              </w:divBdr>
            </w:div>
            <w:div w:id="363022378">
              <w:marLeft w:val="0"/>
              <w:marRight w:val="0"/>
              <w:marTop w:val="0"/>
              <w:marBottom w:val="0"/>
              <w:divBdr>
                <w:top w:val="none" w:sz="0" w:space="0" w:color="auto"/>
                <w:left w:val="none" w:sz="0" w:space="0" w:color="auto"/>
                <w:bottom w:val="none" w:sz="0" w:space="0" w:color="auto"/>
                <w:right w:val="none" w:sz="0" w:space="0" w:color="auto"/>
              </w:divBdr>
            </w:div>
            <w:div w:id="210651870">
              <w:marLeft w:val="0"/>
              <w:marRight w:val="0"/>
              <w:marTop w:val="0"/>
              <w:marBottom w:val="0"/>
              <w:divBdr>
                <w:top w:val="none" w:sz="0" w:space="0" w:color="auto"/>
                <w:left w:val="none" w:sz="0" w:space="0" w:color="auto"/>
                <w:bottom w:val="none" w:sz="0" w:space="0" w:color="auto"/>
                <w:right w:val="none" w:sz="0" w:space="0" w:color="auto"/>
              </w:divBdr>
            </w:div>
            <w:div w:id="1044016158">
              <w:marLeft w:val="0"/>
              <w:marRight w:val="0"/>
              <w:marTop w:val="0"/>
              <w:marBottom w:val="0"/>
              <w:divBdr>
                <w:top w:val="none" w:sz="0" w:space="0" w:color="auto"/>
                <w:left w:val="none" w:sz="0" w:space="0" w:color="auto"/>
                <w:bottom w:val="none" w:sz="0" w:space="0" w:color="auto"/>
                <w:right w:val="none" w:sz="0" w:space="0" w:color="auto"/>
              </w:divBdr>
            </w:div>
            <w:div w:id="1749646189">
              <w:marLeft w:val="0"/>
              <w:marRight w:val="0"/>
              <w:marTop w:val="0"/>
              <w:marBottom w:val="0"/>
              <w:divBdr>
                <w:top w:val="none" w:sz="0" w:space="0" w:color="auto"/>
                <w:left w:val="none" w:sz="0" w:space="0" w:color="auto"/>
                <w:bottom w:val="none" w:sz="0" w:space="0" w:color="auto"/>
                <w:right w:val="none" w:sz="0" w:space="0" w:color="auto"/>
              </w:divBdr>
            </w:div>
            <w:div w:id="770784592">
              <w:marLeft w:val="0"/>
              <w:marRight w:val="0"/>
              <w:marTop w:val="0"/>
              <w:marBottom w:val="0"/>
              <w:divBdr>
                <w:top w:val="none" w:sz="0" w:space="0" w:color="auto"/>
                <w:left w:val="none" w:sz="0" w:space="0" w:color="auto"/>
                <w:bottom w:val="none" w:sz="0" w:space="0" w:color="auto"/>
                <w:right w:val="none" w:sz="0" w:space="0" w:color="auto"/>
              </w:divBdr>
            </w:div>
            <w:div w:id="1320844110">
              <w:marLeft w:val="0"/>
              <w:marRight w:val="0"/>
              <w:marTop w:val="0"/>
              <w:marBottom w:val="0"/>
              <w:divBdr>
                <w:top w:val="none" w:sz="0" w:space="0" w:color="auto"/>
                <w:left w:val="none" w:sz="0" w:space="0" w:color="auto"/>
                <w:bottom w:val="none" w:sz="0" w:space="0" w:color="auto"/>
                <w:right w:val="none" w:sz="0" w:space="0" w:color="auto"/>
              </w:divBdr>
            </w:div>
            <w:div w:id="49882751">
              <w:marLeft w:val="0"/>
              <w:marRight w:val="0"/>
              <w:marTop w:val="0"/>
              <w:marBottom w:val="0"/>
              <w:divBdr>
                <w:top w:val="none" w:sz="0" w:space="0" w:color="auto"/>
                <w:left w:val="none" w:sz="0" w:space="0" w:color="auto"/>
                <w:bottom w:val="none" w:sz="0" w:space="0" w:color="auto"/>
                <w:right w:val="none" w:sz="0" w:space="0" w:color="auto"/>
              </w:divBdr>
            </w:div>
            <w:div w:id="2031293038">
              <w:marLeft w:val="0"/>
              <w:marRight w:val="0"/>
              <w:marTop w:val="0"/>
              <w:marBottom w:val="0"/>
              <w:divBdr>
                <w:top w:val="none" w:sz="0" w:space="0" w:color="auto"/>
                <w:left w:val="none" w:sz="0" w:space="0" w:color="auto"/>
                <w:bottom w:val="none" w:sz="0" w:space="0" w:color="auto"/>
                <w:right w:val="none" w:sz="0" w:space="0" w:color="auto"/>
              </w:divBdr>
            </w:div>
            <w:div w:id="24329968">
              <w:marLeft w:val="0"/>
              <w:marRight w:val="0"/>
              <w:marTop w:val="0"/>
              <w:marBottom w:val="0"/>
              <w:divBdr>
                <w:top w:val="none" w:sz="0" w:space="0" w:color="auto"/>
                <w:left w:val="none" w:sz="0" w:space="0" w:color="auto"/>
                <w:bottom w:val="none" w:sz="0" w:space="0" w:color="auto"/>
                <w:right w:val="none" w:sz="0" w:space="0" w:color="auto"/>
              </w:divBdr>
            </w:div>
            <w:div w:id="506552840">
              <w:marLeft w:val="0"/>
              <w:marRight w:val="0"/>
              <w:marTop w:val="0"/>
              <w:marBottom w:val="0"/>
              <w:divBdr>
                <w:top w:val="none" w:sz="0" w:space="0" w:color="auto"/>
                <w:left w:val="none" w:sz="0" w:space="0" w:color="auto"/>
                <w:bottom w:val="none" w:sz="0" w:space="0" w:color="auto"/>
                <w:right w:val="none" w:sz="0" w:space="0" w:color="auto"/>
              </w:divBdr>
            </w:div>
            <w:div w:id="2115861951">
              <w:marLeft w:val="0"/>
              <w:marRight w:val="0"/>
              <w:marTop w:val="0"/>
              <w:marBottom w:val="0"/>
              <w:divBdr>
                <w:top w:val="none" w:sz="0" w:space="0" w:color="auto"/>
                <w:left w:val="none" w:sz="0" w:space="0" w:color="auto"/>
                <w:bottom w:val="none" w:sz="0" w:space="0" w:color="auto"/>
                <w:right w:val="none" w:sz="0" w:space="0" w:color="auto"/>
              </w:divBdr>
            </w:div>
            <w:div w:id="965083297">
              <w:marLeft w:val="0"/>
              <w:marRight w:val="0"/>
              <w:marTop w:val="0"/>
              <w:marBottom w:val="0"/>
              <w:divBdr>
                <w:top w:val="none" w:sz="0" w:space="0" w:color="auto"/>
                <w:left w:val="none" w:sz="0" w:space="0" w:color="auto"/>
                <w:bottom w:val="none" w:sz="0" w:space="0" w:color="auto"/>
                <w:right w:val="none" w:sz="0" w:space="0" w:color="auto"/>
              </w:divBdr>
            </w:div>
            <w:div w:id="407121800">
              <w:marLeft w:val="0"/>
              <w:marRight w:val="0"/>
              <w:marTop w:val="0"/>
              <w:marBottom w:val="0"/>
              <w:divBdr>
                <w:top w:val="none" w:sz="0" w:space="0" w:color="auto"/>
                <w:left w:val="none" w:sz="0" w:space="0" w:color="auto"/>
                <w:bottom w:val="none" w:sz="0" w:space="0" w:color="auto"/>
                <w:right w:val="none" w:sz="0" w:space="0" w:color="auto"/>
              </w:divBdr>
            </w:div>
            <w:div w:id="263222382">
              <w:marLeft w:val="0"/>
              <w:marRight w:val="0"/>
              <w:marTop w:val="0"/>
              <w:marBottom w:val="0"/>
              <w:divBdr>
                <w:top w:val="none" w:sz="0" w:space="0" w:color="auto"/>
                <w:left w:val="none" w:sz="0" w:space="0" w:color="auto"/>
                <w:bottom w:val="none" w:sz="0" w:space="0" w:color="auto"/>
                <w:right w:val="none" w:sz="0" w:space="0" w:color="auto"/>
              </w:divBdr>
            </w:div>
            <w:div w:id="1103838925">
              <w:marLeft w:val="0"/>
              <w:marRight w:val="0"/>
              <w:marTop w:val="0"/>
              <w:marBottom w:val="0"/>
              <w:divBdr>
                <w:top w:val="none" w:sz="0" w:space="0" w:color="auto"/>
                <w:left w:val="none" w:sz="0" w:space="0" w:color="auto"/>
                <w:bottom w:val="none" w:sz="0" w:space="0" w:color="auto"/>
                <w:right w:val="none" w:sz="0" w:space="0" w:color="auto"/>
              </w:divBdr>
            </w:div>
            <w:div w:id="1506896390">
              <w:marLeft w:val="0"/>
              <w:marRight w:val="0"/>
              <w:marTop w:val="0"/>
              <w:marBottom w:val="0"/>
              <w:divBdr>
                <w:top w:val="none" w:sz="0" w:space="0" w:color="auto"/>
                <w:left w:val="none" w:sz="0" w:space="0" w:color="auto"/>
                <w:bottom w:val="none" w:sz="0" w:space="0" w:color="auto"/>
                <w:right w:val="none" w:sz="0" w:space="0" w:color="auto"/>
              </w:divBdr>
            </w:div>
            <w:div w:id="206376080">
              <w:marLeft w:val="0"/>
              <w:marRight w:val="0"/>
              <w:marTop w:val="0"/>
              <w:marBottom w:val="0"/>
              <w:divBdr>
                <w:top w:val="none" w:sz="0" w:space="0" w:color="auto"/>
                <w:left w:val="none" w:sz="0" w:space="0" w:color="auto"/>
                <w:bottom w:val="none" w:sz="0" w:space="0" w:color="auto"/>
                <w:right w:val="none" w:sz="0" w:space="0" w:color="auto"/>
              </w:divBdr>
            </w:div>
            <w:div w:id="163327180">
              <w:marLeft w:val="0"/>
              <w:marRight w:val="0"/>
              <w:marTop w:val="0"/>
              <w:marBottom w:val="0"/>
              <w:divBdr>
                <w:top w:val="none" w:sz="0" w:space="0" w:color="auto"/>
                <w:left w:val="none" w:sz="0" w:space="0" w:color="auto"/>
                <w:bottom w:val="none" w:sz="0" w:space="0" w:color="auto"/>
                <w:right w:val="none" w:sz="0" w:space="0" w:color="auto"/>
              </w:divBdr>
            </w:div>
            <w:div w:id="862980534">
              <w:marLeft w:val="0"/>
              <w:marRight w:val="0"/>
              <w:marTop w:val="0"/>
              <w:marBottom w:val="0"/>
              <w:divBdr>
                <w:top w:val="none" w:sz="0" w:space="0" w:color="auto"/>
                <w:left w:val="none" w:sz="0" w:space="0" w:color="auto"/>
                <w:bottom w:val="none" w:sz="0" w:space="0" w:color="auto"/>
                <w:right w:val="none" w:sz="0" w:space="0" w:color="auto"/>
              </w:divBdr>
            </w:div>
            <w:div w:id="158159360">
              <w:marLeft w:val="0"/>
              <w:marRight w:val="0"/>
              <w:marTop w:val="0"/>
              <w:marBottom w:val="0"/>
              <w:divBdr>
                <w:top w:val="none" w:sz="0" w:space="0" w:color="auto"/>
                <w:left w:val="none" w:sz="0" w:space="0" w:color="auto"/>
                <w:bottom w:val="none" w:sz="0" w:space="0" w:color="auto"/>
                <w:right w:val="none" w:sz="0" w:space="0" w:color="auto"/>
              </w:divBdr>
            </w:div>
            <w:div w:id="1750538838">
              <w:marLeft w:val="0"/>
              <w:marRight w:val="0"/>
              <w:marTop w:val="0"/>
              <w:marBottom w:val="0"/>
              <w:divBdr>
                <w:top w:val="none" w:sz="0" w:space="0" w:color="auto"/>
                <w:left w:val="none" w:sz="0" w:space="0" w:color="auto"/>
                <w:bottom w:val="none" w:sz="0" w:space="0" w:color="auto"/>
                <w:right w:val="none" w:sz="0" w:space="0" w:color="auto"/>
              </w:divBdr>
            </w:div>
            <w:div w:id="1816070985">
              <w:marLeft w:val="0"/>
              <w:marRight w:val="0"/>
              <w:marTop w:val="0"/>
              <w:marBottom w:val="0"/>
              <w:divBdr>
                <w:top w:val="none" w:sz="0" w:space="0" w:color="auto"/>
                <w:left w:val="none" w:sz="0" w:space="0" w:color="auto"/>
                <w:bottom w:val="none" w:sz="0" w:space="0" w:color="auto"/>
                <w:right w:val="none" w:sz="0" w:space="0" w:color="auto"/>
              </w:divBdr>
            </w:div>
            <w:div w:id="1738481374">
              <w:marLeft w:val="0"/>
              <w:marRight w:val="0"/>
              <w:marTop w:val="0"/>
              <w:marBottom w:val="0"/>
              <w:divBdr>
                <w:top w:val="none" w:sz="0" w:space="0" w:color="auto"/>
                <w:left w:val="none" w:sz="0" w:space="0" w:color="auto"/>
                <w:bottom w:val="none" w:sz="0" w:space="0" w:color="auto"/>
                <w:right w:val="none" w:sz="0" w:space="0" w:color="auto"/>
              </w:divBdr>
            </w:div>
            <w:div w:id="1160389157">
              <w:marLeft w:val="0"/>
              <w:marRight w:val="0"/>
              <w:marTop w:val="0"/>
              <w:marBottom w:val="0"/>
              <w:divBdr>
                <w:top w:val="none" w:sz="0" w:space="0" w:color="auto"/>
                <w:left w:val="none" w:sz="0" w:space="0" w:color="auto"/>
                <w:bottom w:val="none" w:sz="0" w:space="0" w:color="auto"/>
                <w:right w:val="none" w:sz="0" w:space="0" w:color="auto"/>
              </w:divBdr>
            </w:div>
            <w:div w:id="2089383871">
              <w:marLeft w:val="0"/>
              <w:marRight w:val="0"/>
              <w:marTop w:val="0"/>
              <w:marBottom w:val="0"/>
              <w:divBdr>
                <w:top w:val="none" w:sz="0" w:space="0" w:color="auto"/>
                <w:left w:val="none" w:sz="0" w:space="0" w:color="auto"/>
                <w:bottom w:val="none" w:sz="0" w:space="0" w:color="auto"/>
                <w:right w:val="none" w:sz="0" w:space="0" w:color="auto"/>
              </w:divBdr>
            </w:div>
            <w:div w:id="2140803643">
              <w:marLeft w:val="0"/>
              <w:marRight w:val="0"/>
              <w:marTop w:val="0"/>
              <w:marBottom w:val="0"/>
              <w:divBdr>
                <w:top w:val="none" w:sz="0" w:space="0" w:color="auto"/>
                <w:left w:val="none" w:sz="0" w:space="0" w:color="auto"/>
                <w:bottom w:val="none" w:sz="0" w:space="0" w:color="auto"/>
                <w:right w:val="none" w:sz="0" w:space="0" w:color="auto"/>
              </w:divBdr>
            </w:div>
            <w:div w:id="1884709815">
              <w:marLeft w:val="0"/>
              <w:marRight w:val="0"/>
              <w:marTop w:val="0"/>
              <w:marBottom w:val="0"/>
              <w:divBdr>
                <w:top w:val="none" w:sz="0" w:space="0" w:color="auto"/>
                <w:left w:val="none" w:sz="0" w:space="0" w:color="auto"/>
                <w:bottom w:val="none" w:sz="0" w:space="0" w:color="auto"/>
                <w:right w:val="none" w:sz="0" w:space="0" w:color="auto"/>
              </w:divBdr>
            </w:div>
            <w:div w:id="10646136">
              <w:marLeft w:val="0"/>
              <w:marRight w:val="0"/>
              <w:marTop w:val="0"/>
              <w:marBottom w:val="0"/>
              <w:divBdr>
                <w:top w:val="none" w:sz="0" w:space="0" w:color="auto"/>
                <w:left w:val="none" w:sz="0" w:space="0" w:color="auto"/>
                <w:bottom w:val="none" w:sz="0" w:space="0" w:color="auto"/>
                <w:right w:val="none" w:sz="0" w:space="0" w:color="auto"/>
              </w:divBdr>
            </w:div>
            <w:div w:id="514074007">
              <w:marLeft w:val="0"/>
              <w:marRight w:val="0"/>
              <w:marTop w:val="0"/>
              <w:marBottom w:val="0"/>
              <w:divBdr>
                <w:top w:val="none" w:sz="0" w:space="0" w:color="auto"/>
                <w:left w:val="none" w:sz="0" w:space="0" w:color="auto"/>
                <w:bottom w:val="none" w:sz="0" w:space="0" w:color="auto"/>
                <w:right w:val="none" w:sz="0" w:space="0" w:color="auto"/>
              </w:divBdr>
            </w:div>
            <w:div w:id="899553967">
              <w:marLeft w:val="0"/>
              <w:marRight w:val="0"/>
              <w:marTop w:val="0"/>
              <w:marBottom w:val="0"/>
              <w:divBdr>
                <w:top w:val="none" w:sz="0" w:space="0" w:color="auto"/>
                <w:left w:val="none" w:sz="0" w:space="0" w:color="auto"/>
                <w:bottom w:val="none" w:sz="0" w:space="0" w:color="auto"/>
                <w:right w:val="none" w:sz="0" w:space="0" w:color="auto"/>
              </w:divBdr>
            </w:div>
            <w:div w:id="1180312528">
              <w:marLeft w:val="0"/>
              <w:marRight w:val="0"/>
              <w:marTop w:val="0"/>
              <w:marBottom w:val="0"/>
              <w:divBdr>
                <w:top w:val="none" w:sz="0" w:space="0" w:color="auto"/>
                <w:left w:val="none" w:sz="0" w:space="0" w:color="auto"/>
                <w:bottom w:val="none" w:sz="0" w:space="0" w:color="auto"/>
                <w:right w:val="none" w:sz="0" w:space="0" w:color="auto"/>
              </w:divBdr>
            </w:div>
            <w:div w:id="2078285013">
              <w:marLeft w:val="0"/>
              <w:marRight w:val="0"/>
              <w:marTop w:val="0"/>
              <w:marBottom w:val="0"/>
              <w:divBdr>
                <w:top w:val="none" w:sz="0" w:space="0" w:color="auto"/>
                <w:left w:val="none" w:sz="0" w:space="0" w:color="auto"/>
                <w:bottom w:val="none" w:sz="0" w:space="0" w:color="auto"/>
                <w:right w:val="none" w:sz="0" w:space="0" w:color="auto"/>
              </w:divBdr>
            </w:div>
            <w:div w:id="436214853">
              <w:marLeft w:val="0"/>
              <w:marRight w:val="0"/>
              <w:marTop w:val="0"/>
              <w:marBottom w:val="0"/>
              <w:divBdr>
                <w:top w:val="none" w:sz="0" w:space="0" w:color="auto"/>
                <w:left w:val="none" w:sz="0" w:space="0" w:color="auto"/>
                <w:bottom w:val="none" w:sz="0" w:space="0" w:color="auto"/>
                <w:right w:val="none" w:sz="0" w:space="0" w:color="auto"/>
              </w:divBdr>
            </w:div>
            <w:div w:id="217520325">
              <w:marLeft w:val="0"/>
              <w:marRight w:val="0"/>
              <w:marTop w:val="0"/>
              <w:marBottom w:val="0"/>
              <w:divBdr>
                <w:top w:val="none" w:sz="0" w:space="0" w:color="auto"/>
                <w:left w:val="none" w:sz="0" w:space="0" w:color="auto"/>
                <w:bottom w:val="none" w:sz="0" w:space="0" w:color="auto"/>
                <w:right w:val="none" w:sz="0" w:space="0" w:color="auto"/>
              </w:divBdr>
            </w:div>
            <w:div w:id="1556895209">
              <w:marLeft w:val="0"/>
              <w:marRight w:val="0"/>
              <w:marTop w:val="0"/>
              <w:marBottom w:val="0"/>
              <w:divBdr>
                <w:top w:val="none" w:sz="0" w:space="0" w:color="auto"/>
                <w:left w:val="none" w:sz="0" w:space="0" w:color="auto"/>
                <w:bottom w:val="none" w:sz="0" w:space="0" w:color="auto"/>
                <w:right w:val="none" w:sz="0" w:space="0" w:color="auto"/>
              </w:divBdr>
            </w:div>
            <w:div w:id="1603612839">
              <w:marLeft w:val="0"/>
              <w:marRight w:val="0"/>
              <w:marTop w:val="0"/>
              <w:marBottom w:val="0"/>
              <w:divBdr>
                <w:top w:val="none" w:sz="0" w:space="0" w:color="auto"/>
                <w:left w:val="none" w:sz="0" w:space="0" w:color="auto"/>
                <w:bottom w:val="none" w:sz="0" w:space="0" w:color="auto"/>
                <w:right w:val="none" w:sz="0" w:space="0" w:color="auto"/>
              </w:divBdr>
            </w:div>
            <w:div w:id="515845191">
              <w:marLeft w:val="0"/>
              <w:marRight w:val="0"/>
              <w:marTop w:val="0"/>
              <w:marBottom w:val="0"/>
              <w:divBdr>
                <w:top w:val="none" w:sz="0" w:space="0" w:color="auto"/>
                <w:left w:val="none" w:sz="0" w:space="0" w:color="auto"/>
                <w:bottom w:val="none" w:sz="0" w:space="0" w:color="auto"/>
                <w:right w:val="none" w:sz="0" w:space="0" w:color="auto"/>
              </w:divBdr>
            </w:div>
            <w:div w:id="1074621182">
              <w:marLeft w:val="0"/>
              <w:marRight w:val="0"/>
              <w:marTop w:val="0"/>
              <w:marBottom w:val="0"/>
              <w:divBdr>
                <w:top w:val="none" w:sz="0" w:space="0" w:color="auto"/>
                <w:left w:val="none" w:sz="0" w:space="0" w:color="auto"/>
                <w:bottom w:val="none" w:sz="0" w:space="0" w:color="auto"/>
                <w:right w:val="none" w:sz="0" w:space="0" w:color="auto"/>
              </w:divBdr>
            </w:div>
            <w:div w:id="1112090155">
              <w:marLeft w:val="0"/>
              <w:marRight w:val="0"/>
              <w:marTop w:val="0"/>
              <w:marBottom w:val="0"/>
              <w:divBdr>
                <w:top w:val="none" w:sz="0" w:space="0" w:color="auto"/>
                <w:left w:val="none" w:sz="0" w:space="0" w:color="auto"/>
                <w:bottom w:val="none" w:sz="0" w:space="0" w:color="auto"/>
                <w:right w:val="none" w:sz="0" w:space="0" w:color="auto"/>
              </w:divBdr>
            </w:div>
            <w:div w:id="1653558353">
              <w:marLeft w:val="0"/>
              <w:marRight w:val="0"/>
              <w:marTop w:val="0"/>
              <w:marBottom w:val="0"/>
              <w:divBdr>
                <w:top w:val="none" w:sz="0" w:space="0" w:color="auto"/>
                <w:left w:val="none" w:sz="0" w:space="0" w:color="auto"/>
                <w:bottom w:val="none" w:sz="0" w:space="0" w:color="auto"/>
                <w:right w:val="none" w:sz="0" w:space="0" w:color="auto"/>
              </w:divBdr>
            </w:div>
            <w:div w:id="1417822655">
              <w:marLeft w:val="0"/>
              <w:marRight w:val="0"/>
              <w:marTop w:val="0"/>
              <w:marBottom w:val="0"/>
              <w:divBdr>
                <w:top w:val="none" w:sz="0" w:space="0" w:color="auto"/>
                <w:left w:val="none" w:sz="0" w:space="0" w:color="auto"/>
                <w:bottom w:val="none" w:sz="0" w:space="0" w:color="auto"/>
                <w:right w:val="none" w:sz="0" w:space="0" w:color="auto"/>
              </w:divBdr>
            </w:div>
            <w:div w:id="1327247707">
              <w:marLeft w:val="0"/>
              <w:marRight w:val="0"/>
              <w:marTop w:val="0"/>
              <w:marBottom w:val="0"/>
              <w:divBdr>
                <w:top w:val="none" w:sz="0" w:space="0" w:color="auto"/>
                <w:left w:val="none" w:sz="0" w:space="0" w:color="auto"/>
                <w:bottom w:val="none" w:sz="0" w:space="0" w:color="auto"/>
                <w:right w:val="none" w:sz="0" w:space="0" w:color="auto"/>
              </w:divBdr>
            </w:div>
            <w:div w:id="2076003352">
              <w:marLeft w:val="0"/>
              <w:marRight w:val="0"/>
              <w:marTop w:val="0"/>
              <w:marBottom w:val="0"/>
              <w:divBdr>
                <w:top w:val="none" w:sz="0" w:space="0" w:color="auto"/>
                <w:left w:val="none" w:sz="0" w:space="0" w:color="auto"/>
                <w:bottom w:val="none" w:sz="0" w:space="0" w:color="auto"/>
                <w:right w:val="none" w:sz="0" w:space="0" w:color="auto"/>
              </w:divBdr>
            </w:div>
            <w:div w:id="1594195614">
              <w:marLeft w:val="0"/>
              <w:marRight w:val="0"/>
              <w:marTop w:val="0"/>
              <w:marBottom w:val="0"/>
              <w:divBdr>
                <w:top w:val="none" w:sz="0" w:space="0" w:color="auto"/>
                <w:left w:val="none" w:sz="0" w:space="0" w:color="auto"/>
                <w:bottom w:val="none" w:sz="0" w:space="0" w:color="auto"/>
                <w:right w:val="none" w:sz="0" w:space="0" w:color="auto"/>
              </w:divBdr>
            </w:div>
            <w:div w:id="630869525">
              <w:marLeft w:val="0"/>
              <w:marRight w:val="0"/>
              <w:marTop w:val="0"/>
              <w:marBottom w:val="0"/>
              <w:divBdr>
                <w:top w:val="none" w:sz="0" w:space="0" w:color="auto"/>
                <w:left w:val="none" w:sz="0" w:space="0" w:color="auto"/>
                <w:bottom w:val="none" w:sz="0" w:space="0" w:color="auto"/>
                <w:right w:val="none" w:sz="0" w:space="0" w:color="auto"/>
              </w:divBdr>
            </w:div>
            <w:div w:id="422645708">
              <w:marLeft w:val="0"/>
              <w:marRight w:val="0"/>
              <w:marTop w:val="0"/>
              <w:marBottom w:val="0"/>
              <w:divBdr>
                <w:top w:val="none" w:sz="0" w:space="0" w:color="auto"/>
                <w:left w:val="none" w:sz="0" w:space="0" w:color="auto"/>
                <w:bottom w:val="none" w:sz="0" w:space="0" w:color="auto"/>
                <w:right w:val="none" w:sz="0" w:space="0" w:color="auto"/>
              </w:divBdr>
            </w:div>
            <w:div w:id="581643072">
              <w:marLeft w:val="0"/>
              <w:marRight w:val="0"/>
              <w:marTop w:val="0"/>
              <w:marBottom w:val="0"/>
              <w:divBdr>
                <w:top w:val="none" w:sz="0" w:space="0" w:color="auto"/>
                <w:left w:val="none" w:sz="0" w:space="0" w:color="auto"/>
                <w:bottom w:val="none" w:sz="0" w:space="0" w:color="auto"/>
                <w:right w:val="none" w:sz="0" w:space="0" w:color="auto"/>
              </w:divBdr>
            </w:div>
            <w:div w:id="1303192923">
              <w:marLeft w:val="0"/>
              <w:marRight w:val="0"/>
              <w:marTop w:val="0"/>
              <w:marBottom w:val="0"/>
              <w:divBdr>
                <w:top w:val="none" w:sz="0" w:space="0" w:color="auto"/>
                <w:left w:val="none" w:sz="0" w:space="0" w:color="auto"/>
                <w:bottom w:val="none" w:sz="0" w:space="0" w:color="auto"/>
                <w:right w:val="none" w:sz="0" w:space="0" w:color="auto"/>
              </w:divBdr>
            </w:div>
            <w:div w:id="675377713">
              <w:marLeft w:val="0"/>
              <w:marRight w:val="0"/>
              <w:marTop w:val="0"/>
              <w:marBottom w:val="0"/>
              <w:divBdr>
                <w:top w:val="none" w:sz="0" w:space="0" w:color="auto"/>
                <w:left w:val="none" w:sz="0" w:space="0" w:color="auto"/>
                <w:bottom w:val="none" w:sz="0" w:space="0" w:color="auto"/>
                <w:right w:val="none" w:sz="0" w:space="0" w:color="auto"/>
              </w:divBdr>
            </w:div>
            <w:div w:id="2086105125">
              <w:marLeft w:val="0"/>
              <w:marRight w:val="0"/>
              <w:marTop w:val="0"/>
              <w:marBottom w:val="0"/>
              <w:divBdr>
                <w:top w:val="none" w:sz="0" w:space="0" w:color="auto"/>
                <w:left w:val="none" w:sz="0" w:space="0" w:color="auto"/>
                <w:bottom w:val="none" w:sz="0" w:space="0" w:color="auto"/>
                <w:right w:val="none" w:sz="0" w:space="0" w:color="auto"/>
              </w:divBdr>
            </w:div>
            <w:div w:id="1537158894">
              <w:marLeft w:val="0"/>
              <w:marRight w:val="0"/>
              <w:marTop w:val="0"/>
              <w:marBottom w:val="0"/>
              <w:divBdr>
                <w:top w:val="none" w:sz="0" w:space="0" w:color="auto"/>
                <w:left w:val="none" w:sz="0" w:space="0" w:color="auto"/>
                <w:bottom w:val="none" w:sz="0" w:space="0" w:color="auto"/>
                <w:right w:val="none" w:sz="0" w:space="0" w:color="auto"/>
              </w:divBdr>
            </w:div>
            <w:div w:id="35081531">
              <w:marLeft w:val="0"/>
              <w:marRight w:val="0"/>
              <w:marTop w:val="0"/>
              <w:marBottom w:val="0"/>
              <w:divBdr>
                <w:top w:val="none" w:sz="0" w:space="0" w:color="auto"/>
                <w:left w:val="none" w:sz="0" w:space="0" w:color="auto"/>
                <w:bottom w:val="none" w:sz="0" w:space="0" w:color="auto"/>
                <w:right w:val="none" w:sz="0" w:space="0" w:color="auto"/>
              </w:divBdr>
            </w:div>
            <w:div w:id="1738672486">
              <w:marLeft w:val="0"/>
              <w:marRight w:val="0"/>
              <w:marTop w:val="0"/>
              <w:marBottom w:val="0"/>
              <w:divBdr>
                <w:top w:val="none" w:sz="0" w:space="0" w:color="auto"/>
                <w:left w:val="none" w:sz="0" w:space="0" w:color="auto"/>
                <w:bottom w:val="none" w:sz="0" w:space="0" w:color="auto"/>
                <w:right w:val="none" w:sz="0" w:space="0" w:color="auto"/>
              </w:divBdr>
            </w:div>
            <w:div w:id="488441762">
              <w:marLeft w:val="0"/>
              <w:marRight w:val="0"/>
              <w:marTop w:val="0"/>
              <w:marBottom w:val="0"/>
              <w:divBdr>
                <w:top w:val="none" w:sz="0" w:space="0" w:color="auto"/>
                <w:left w:val="none" w:sz="0" w:space="0" w:color="auto"/>
                <w:bottom w:val="none" w:sz="0" w:space="0" w:color="auto"/>
                <w:right w:val="none" w:sz="0" w:space="0" w:color="auto"/>
              </w:divBdr>
            </w:div>
            <w:div w:id="1615599080">
              <w:marLeft w:val="0"/>
              <w:marRight w:val="0"/>
              <w:marTop w:val="0"/>
              <w:marBottom w:val="0"/>
              <w:divBdr>
                <w:top w:val="none" w:sz="0" w:space="0" w:color="auto"/>
                <w:left w:val="none" w:sz="0" w:space="0" w:color="auto"/>
                <w:bottom w:val="none" w:sz="0" w:space="0" w:color="auto"/>
                <w:right w:val="none" w:sz="0" w:space="0" w:color="auto"/>
              </w:divBdr>
            </w:div>
            <w:div w:id="1776049721">
              <w:marLeft w:val="0"/>
              <w:marRight w:val="0"/>
              <w:marTop w:val="0"/>
              <w:marBottom w:val="0"/>
              <w:divBdr>
                <w:top w:val="none" w:sz="0" w:space="0" w:color="auto"/>
                <w:left w:val="none" w:sz="0" w:space="0" w:color="auto"/>
                <w:bottom w:val="none" w:sz="0" w:space="0" w:color="auto"/>
                <w:right w:val="none" w:sz="0" w:space="0" w:color="auto"/>
              </w:divBdr>
            </w:div>
            <w:div w:id="1137796726">
              <w:marLeft w:val="0"/>
              <w:marRight w:val="0"/>
              <w:marTop w:val="0"/>
              <w:marBottom w:val="0"/>
              <w:divBdr>
                <w:top w:val="none" w:sz="0" w:space="0" w:color="auto"/>
                <w:left w:val="none" w:sz="0" w:space="0" w:color="auto"/>
                <w:bottom w:val="none" w:sz="0" w:space="0" w:color="auto"/>
                <w:right w:val="none" w:sz="0" w:space="0" w:color="auto"/>
              </w:divBdr>
            </w:div>
            <w:div w:id="1481341902">
              <w:marLeft w:val="0"/>
              <w:marRight w:val="0"/>
              <w:marTop w:val="0"/>
              <w:marBottom w:val="0"/>
              <w:divBdr>
                <w:top w:val="none" w:sz="0" w:space="0" w:color="auto"/>
                <w:left w:val="none" w:sz="0" w:space="0" w:color="auto"/>
                <w:bottom w:val="none" w:sz="0" w:space="0" w:color="auto"/>
                <w:right w:val="none" w:sz="0" w:space="0" w:color="auto"/>
              </w:divBdr>
            </w:div>
            <w:div w:id="1142767524">
              <w:marLeft w:val="0"/>
              <w:marRight w:val="0"/>
              <w:marTop w:val="0"/>
              <w:marBottom w:val="0"/>
              <w:divBdr>
                <w:top w:val="none" w:sz="0" w:space="0" w:color="auto"/>
                <w:left w:val="none" w:sz="0" w:space="0" w:color="auto"/>
                <w:bottom w:val="none" w:sz="0" w:space="0" w:color="auto"/>
                <w:right w:val="none" w:sz="0" w:space="0" w:color="auto"/>
              </w:divBdr>
            </w:div>
            <w:div w:id="195117658">
              <w:marLeft w:val="0"/>
              <w:marRight w:val="0"/>
              <w:marTop w:val="0"/>
              <w:marBottom w:val="0"/>
              <w:divBdr>
                <w:top w:val="none" w:sz="0" w:space="0" w:color="auto"/>
                <w:left w:val="none" w:sz="0" w:space="0" w:color="auto"/>
                <w:bottom w:val="none" w:sz="0" w:space="0" w:color="auto"/>
                <w:right w:val="none" w:sz="0" w:space="0" w:color="auto"/>
              </w:divBdr>
            </w:div>
            <w:div w:id="307513559">
              <w:marLeft w:val="0"/>
              <w:marRight w:val="0"/>
              <w:marTop w:val="0"/>
              <w:marBottom w:val="0"/>
              <w:divBdr>
                <w:top w:val="none" w:sz="0" w:space="0" w:color="auto"/>
                <w:left w:val="none" w:sz="0" w:space="0" w:color="auto"/>
                <w:bottom w:val="none" w:sz="0" w:space="0" w:color="auto"/>
                <w:right w:val="none" w:sz="0" w:space="0" w:color="auto"/>
              </w:divBdr>
            </w:div>
            <w:div w:id="58602171">
              <w:marLeft w:val="0"/>
              <w:marRight w:val="0"/>
              <w:marTop w:val="0"/>
              <w:marBottom w:val="0"/>
              <w:divBdr>
                <w:top w:val="none" w:sz="0" w:space="0" w:color="auto"/>
                <w:left w:val="none" w:sz="0" w:space="0" w:color="auto"/>
                <w:bottom w:val="none" w:sz="0" w:space="0" w:color="auto"/>
                <w:right w:val="none" w:sz="0" w:space="0" w:color="auto"/>
              </w:divBdr>
            </w:div>
            <w:div w:id="1305231240">
              <w:marLeft w:val="0"/>
              <w:marRight w:val="0"/>
              <w:marTop w:val="0"/>
              <w:marBottom w:val="0"/>
              <w:divBdr>
                <w:top w:val="none" w:sz="0" w:space="0" w:color="auto"/>
                <w:left w:val="none" w:sz="0" w:space="0" w:color="auto"/>
                <w:bottom w:val="none" w:sz="0" w:space="0" w:color="auto"/>
                <w:right w:val="none" w:sz="0" w:space="0" w:color="auto"/>
              </w:divBdr>
            </w:div>
            <w:div w:id="1363241128">
              <w:marLeft w:val="0"/>
              <w:marRight w:val="0"/>
              <w:marTop w:val="0"/>
              <w:marBottom w:val="0"/>
              <w:divBdr>
                <w:top w:val="none" w:sz="0" w:space="0" w:color="auto"/>
                <w:left w:val="none" w:sz="0" w:space="0" w:color="auto"/>
                <w:bottom w:val="none" w:sz="0" w:space="0" w:color="auto"/>
                <w:right w:val="none" w:sz="0" w:space="0" w:color="auto"/>
              </w:divBdr>
            </w:div>
            <w:div w:id="515929662">
              <w:marLeft w:val="0"/>
              <w:marRight w:val="0"/>
              <w:marTop w:val="0"/>
              <w:marBottom w:val="0"/>
              <w:divBdr>
                <w:top w:val="none" w:sz="0" w:space="0" w:color="auto"/>
                <w:left w:val="none" w:sz="0" w:space="0" w:color="auto"/>
                <w:bottom w:val="none" w:sz="0" w:space="0" w:color="auto"/>
                <w:right w:val="none" w:sz="0" w:space="0" w:color="auto"/>
              </w:divBdr>
            </w:div>
            <w:div w:id="1610509442">
              <w:marLeft w:val="0"/>
              <w:marRight w:val="0"/>
              <w:marTop w:val="0"/>
              <w:marBottom w:val="0"/>
              <w:divBdr>
                <w:top w:val="none" w:sz="0" w:space="0" w:color="auto"/>
                <w:left w:val="none" w:sz="0" w:space="0" w:color="auto"/>
                <w:bottom w:val="none" w:sz="0" w:space="0" w:color="auto"/>
                <w:right w:val="none" w:sz="0" w:space="0" w:color="auto"/>
              </w:divBdr>
            </w:div>
            <w:div w:id="1589383459">
              <w:marLeft w:val="0"/>
              <w:marRight w:val="0"/>
              <w:marTop w:val="0"/>
              <w:marBottom w:val="0"/>
              <w:divBdr>
                <w:top w:val="none" w:sz="0" w:space="0" w:color="auto"/>
                <w:left w:val="none" w:sz="0" w:space="0" w:color="auto"/>
                <w:bottom w:val="none" w:sz="0" w:space="0" w:color="auto"/>
                <w:right w:val="none" w:sz="0" w:space="0" w:color="auto"/>
              </w:divBdr>
            </w:div>
            <w:div w:id="1893616217">
              <w:marLeft w:val="0"/>
              <w:marRight w:val="0"/>
              <w:marTop w:val="0"/>
              <w:marBottom w:val="0"/>
              <w:divBdr>
                <w:top w:val="none" w:sz="0" w:space="0" w:color="auto"/>
                <w:left w:val="none" w:sz="0" w:space="0" w:color="auto"/>
                <w:bottom w:val="none" w:sz="0" w:space="0" w:color="auto"/>
                <w:right w:val="none" w:sz="0" w:space="0" w:color="auto"/>
              </w:divBdr>
            </w:div>
            <w:div w:id="1417550957">
              <w:marLeft w:val="0"/>
              <w:marRight w:val="0"/>
              <w:marTop w:val="0"/>
              <w:marBottom w:val="0"/>
              <w:divBdr>
                <w:top w:val="none" w:sz="0" w:space="0" w:color="auto"/>
                <w:left w:val="none" w:sz="0" w:space="0" w:color="auto"/>
                <w:bottom w:val="none" w:sz="0" w:space="0" w:color="auto"/>
                <w:right w:val="none" w:sz="0" w:space="0" w:color="auto"/>
              </w:divBdr>
            </w:div>
            <w:div w:id="440993197">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326057992">
              <w:marLeft w:val="0"/>
              <w:marRight w:val="0"/>
              <w:marTop w:val="0"/>
              <w:marBottom w:val="0"/>
              <w:divBdr>
                <w:top w:val="none" w:sz="0" w:space="0" w:color="auto"/>
                <w:left w:val="none" w:sz="0" w:space="0" w:color="auto"/>
                <w:bottom w:val="none" w:sz="0" w:space="0" w:color="auto"/>
                <w:right w:val="none" w:sz="0" w:space="0" w:color="auto"/>
              </w:divBdr>
            </w:div>
            <w:div w:id="85541312">
              <w:marLeft w:val="0"/>
              <w:marRight w:val="0"/>
              <w:marTop w:val="0"/>
              <w:marBottom w:val="0"/>
              <w:divBdr>
                <w:top w:val="none" w:sz="0" w:space="0" w:color="auto"/>
                <w:left w:val="none" w:sz="0" w:space="0" w:color="auto"/>
                <w:bottom w:val="none" w:sz="0" w:space="0" w:color="auto"/>
                <w:right w:val="none" w:sz="0" w:space="0" w:color="auto"/>
              </w:divBdr>
            </w:div>
            <w:div w:id="2047873508">
              <w:marLeft w:val="0"/>
              <w:marRight w:val="0"/>
              <w:marTop w:val="0"/>
              <w:marBottom w:val="0"/>
              <w:divBdr>
                <w:top w:val="none" w:sz="0" w:space="0" w:color="auto"/>
                <w:left w:val="none" w:sz="0" w:space="0" w:color="auto"/>
                <w:bottom w:val="none" w:sz="0" w:space="0" w:color="auto"/>
                <w:right w:val="none" w:sz="0" w:space="0" w:color="auto"/>
              </w:divBdr>
            </w:div>
            <w:div w:id="1962496279">
              <w:marLeft w:val="0"/>
              <w:marRight w:val="0"/>
              <w:marTop w:val="0"/>
              <w:marBottom w:val="0"/>
              <w:divBdr>
                <w:top w:val="none" w:sz="0" w:space="0" w:color="auto"/>
                <w:left w:val="none" w:sz="0" w:space="0" w:color="auto"/>
                <w:bottom w:val="none" w:sz="0" w:space="0" w:color="auto"/>
                <w:right w:val="none" w:sz="0" w:space="0" w:color="auto"/>
              </w:divBdr>
            </w:div>
            <w:div w:id="246425509">
              <w:marLeft w:val="0"/>
              <w:marRight w:val="0"/>
              <w:marTop w:val="0"/>
              <w:marBottom w:val="0"/>
              <w:divBdr>
                <w:top w:val="none" w:sz="0" w:space="0" w:color="auto"/>
                <w:left w:val="none" w:sz="0" w:space="0" w:color="auto"/>
                <w:bottom w:val="none" w:sz="0" w:space="0" w:color="auto"/>
                <w:right w:val="none" w:sz="0" w:space="0" w:color="auto"/>
              </w:divBdr>
            </w:div>
            <w:div w:id="1970894125">
              <w:marLeft w:val="0"/>
              <w:marRight w:val="0"/>
              <w:marTop w:val="0"/>
              <w:marBottom w:val="0"/>
              <w:divBdr>
                <w:top w:val="none" w:sz="0" w:space="0" w:color="auto"/>
                <w:left w:val="none" w:sz="0" w:space="0" w:color="auto"/>
                <w:bottom w:val="none" w:sz="0" w:space="0" w:color="auto"/>
                <w:right w:val="none" w:sz="0" w:space="0" w:color="auto"/>
              </w:divBdr>
            </w:div>
            <w:div w:id="1829441640">
              <w:marLeft w:val="0"/>
              <w:marRight w:val="0"/>
              <w:marTop w:val="0"/>
              <w:marBottom w:val="0"/>
              <w:divBdr>
                <w:top w:val="none" w:sz="0" w:space="0" w:color="auto"/>
                <w:left w:val="none" w:sz="0" w:space="0" w:color="auto"/>
                <w:bottom w:val="none" w:sz="0" w:space="0" w:color="auto"/>
                <w:right w:val="none" w:sz="0" w:space="0" w:color="auto"/>
              </w:divBdr>
            </w:div>
            <w:div w:id="8720419">
              <w:marLeft w:val="0"/>
              <w:marRight w:val="0"/>
              <w:marTop w:val="0"/>
              <w:marBottom w:val="0"/>
              <w:divBdr>
                <w:top w:val="none" w:sz="0" w:space="0" w:color="auto"/>
                <w:left w:val="none" w:sz="0" w:space="0" w:color="auto"/>
                <w:bottom w:val="none" w:sz="0" w:space="0" w:color="auto"/>
                <w:right w:val="none" w:sz="0" w:space="0" w:color="auto"/>
              </w:divBdr>
            </w:div>
            <w:div w:id="306856311">
              <w:marLeft w:val="0"/>
              <w:marRight w:val="0"/>
              <w:marTop w:val="0"/>
              <w:marBottom w:val="0"/>
              <w:divBdr>
                <w:top w:val="none" w:sz="0" w:space="0" w:color="auto"/>
                <w:left w:val="none" w:sz="0" w:space="0" w:color="auto"/>
                <w:bottom w:val="none" w:sz="0" w:space="0" w:color="auto"/>
                <w:right w:val="none" w:sz="0" w:space="0" w:color="auto"/>
              </w:divBdr>
            </w:div>
            <w:div w:id="474297798">
              <w:marLeft w:val="0"/>
              <w:marRight w:val="0"/>
              <w:marTop w:val="0"/>
              <w:marBottom w:val="0"/>
              <w:divBdr>
                <w:top w:val="none" w:sz="0" w:space="0" w:color="auto"/>
                <w:left w:val="none" w:sz="0" w:space="0" w:color="auto"/>
                <w:bottom w:val="none" w:sz="0" w:space="0" w:color="auto"/>
                <w:right w:val="none" w:sz="0" w:space="0" w:color="auto"/>
              </w:divBdr>
            </w:div>
            <w:div w:id="1938440519">
              <w:marLeft w:val="0"/>
              <w:marRight w:val="0"/>
              <w:marTop w:val="0"/>
              <w:marBottom w:val="0"/>
              <w:divBdr>
                <w:top w:val="none" w:sz="0" w:space="0" w:color="auto"/>
                <w:left w:val="none" w:sz="0" w:space="0" w:color="auto"/>
                <w:bottom w:val="none" w:sz="0" w:space="0" w:color="auto"/>
                <w:right w:val="none" w:sz="0" w:space="0" w:color="auto"/>
              </w:divBdr>
            </w:div>
            <w:div w:id="1565024909">
              <w:marLeft w:val="0"/>
              <w:marRight w:val="0"/>
              <w:marTop w:val="0"/>
              <w:marBottom w:val="0"/>
              <w:divBdr>
                <w:top w:val="none" w:sz="0" w:space="0" w:color="auto"/>
                <w:left w:val="none" w:sz="0" w:space="0" w:color="auto"/>
                <w:bottom w:val="none" w:sz="0" w:space="0" w:color="auto"/>
                <w:right w:val="none" w:sz="0" w:space="0" w:color="auto"/>
              </w:divBdr>
            </w:div>
            <w:div w:id="1506356111">
              <w:marLeft w:val="0"/>
              <w:marRight w:val="0"/>
              <w:marTop w:val="0"/>
              <w:marBottom w:val="0"/>
              <w:divBdr>
                <w:top w:val="none" w:sz="0" w:space="0" w:color="auto"/>
                <w:left w:val="none" w:sz="0" w:space="0" w:color="auto"/>
                <w:bottom w:val="none" w:sz="0" w:space="0" w:color="auto"/>
                <w:right w:val="none" w:sz="0" w:space="0" w:color="auto"/>
              </w:divBdr>
            </w:div>
            <w:div w:id="292291470">
              <w:marLeft w:val="0"/>
              <w:marRight w:val="0"/>
              <w:marTop w:val="0"/>
              <w:marBottom w:val="0"/>
              <w:divBdr>
                <w:top w:val="none" w:sz="0" w:space="0" w:color="auto"/>
                <w:left w:val="none" w:sz="0" w:space="0" w:color="auto"/>
                <w:bottom w:val="none" w:sz="0" w:space="0" w:color="auto"/>
                <w:right w:val="none" w:sz="0" w:space="0" w:color="auto"/>
              </w:divBdr>
            </w:div>
            <w:div w:id="1920795132">
              <w:marLeft w:val="0"/>
              <w:marRight w:val="0"/>
              <w:marTop w:val="0"/>
              <w:marBottom w:val="0"/>
              <w:divBdr>
                <w:top w:val="none" w:sz="0" w:space="0" w:color="auto"/>
                <w:left w:val="none" w:sz="0" w:space="0" w:color="auto"/>
                <w:bottom w:val="none" w:sz="0" w:space="0" w:color="auto"/>
                <w:right w:val="none" w:sz="0" w:space="0" w:color="auto"/>
              </w:divBdr>
            </w:div>
            <w:div w:id="669330312">
              <w:marLeft w:val="0"/>
              <w:marRight w:val="0"/>
              <w:marTop w:val="0"/>
              <w:marBottom w:val="0"/>
              <w:divBdr>
                <w:top w:val="none" w:sz="0" w:space="0" w:color="auto"/>
                <w:left w:val="none" w:sz="0" w:space="0" w:color="auto"/>
                <w:bottom w:val="none" w:sz="0" w:space="0" w:color="auto"/>
                <w:right w:val="none" w:sz="0" w:space="0" w:color="auto"/>
              </w:divBdr>
            </w:div>
            <w:div w:id="216429788">
              <w:marLeft w:val="0"/>
              <w:marRight w:val="0"/>
              <w:marTop w:val="0"/>
              <w:marBottom w:val="0"/>
              <w:divBdr>
                <w:top w:val="none" w:sz="0" w:space="0" w:color="auto"/>
                <w:left w:val="none" w:sz="0" w:space="0" w:color="auto"/>
                <w:bottom w:val="none" w:sz="0" w:space="0" w:color="auto"/>
                <w:right w:val="none" w:sz="0" w:space="0" w:color="auto"/>
              </w:divBdr>
            </w:div>
            <w:div w:id="1238246199">
              <w:marLeft w:val="0"/>
              <w:marRight w:val="0"/>
              <w:marTop w:val="0"/>
              <w:marBottom w:val="0"/>
              <w:divBdr>
                <w:top w:val="none" w:sz="0" w:space="0" w:color="auto"/>
                <w:left w:val="none" w:sz="0" w:space="0" w:color="auto"/>
                <w:bottom w:val="none" w:sz="0" w:space="0" w:color="auto"/>
                <w:right w:val="none" w:sz="0" w:space="0" w:color="auto"/>
              </w:divBdr>
            </w:div>
            <w:div w:id="320815829">
              <w:marLeft w:val="0"/>
              <w:marRight w:val="0"/>
              <w:marTop w:val="0"/>
              <w:marBottom w:val="0"/>
              <w:divBdr>
                <w:top w:val="none" w:sz="0" w:space="0" w:color="auto"/>
                <w:left w:val="none" w:sz="0" w:space="0" w:color="auto"/>
                <w:bottom w:val="none" w:sz="0" w:space="0" w:color="auto"/>
                <w:right w:val="none" w:sz="0" w:space="0" w:color="auto"/>
              </w:divBdr>
            </w:div>
            <w:div w:id="1985694038">
              <w:marLeft w:val="0"/>
              <w:marRight w:val="0"/>
              <w:marTop w:val="0"/>
              <w:marBottom w:val="0"/>
              <w:divBdr>
                <w:top w:val="none" w:sz="0" w:space="0" w:color="auto"/>
                <w:left w:val="none" w:sz="0" w:space="0" w:color="auto"/>
                <w:bottom w:val="none" w:sz="0" w:space="0" w:color="auto"/>
                <w:right w:val="none" w:sz="0" w:space="0" w:color="auto"/>
              </w:divBdr>
            </w:div>
            <w:div w:id="245043939">
              <w:marLeft w:val="0"/>
              <w:marRight w:val="0"/>
              <w:marTop w:val="0"/>
              <w:marBottom w:val="0"/>
              <w:divBdr>
                <w:top w:val="none" w:sz="0" w:space="0" w:color="auto"/>
                <w:left w:val="none" w:sz="0" w:space="0" w:color="auto"/>
                <w:bottom w:val="none" w:sz="0" w:space="0" w:color="auto"/>
                <w:right w:val="none" w:sz="0" w:space="0" w:color="auto"/>
              </w:divBdr>
            </w:div>
            <w:div w:id="279536939">
              <w:marLeft w:val="0"/>
              <w:marRight w:val="0"/>
              <w:marTop w:val="0"/>
              <w:marBottom w:val="0"/>
              <w:divBdr>
                <w:top w:val="none" w:sz="0" w:space="0" w:color="auto"/>
                <w:left w:val="none" w:sz="0" w:space="0" w:color="auto"/>
                <w:bottom w:val="none" w:sz="0" w:space="0" w:color="auto"/>
                <w:right w:val="none" w:sz="0" w:space="0" w:color="auto"/>
              </w:divBdr>
            </w:div>
            <w:div w:id="1117602162">
              <w:marLeft w:val="0"/>
              <w:marRight w:val="0"/>
              <w:marTop w:val="0"/>
              <w:marBottom w:val="0"/>
              <w:divBdr>
                <w:top w:val="none" w:sz="0" w:space="0" w:color="auto"/>
                <w:left w:val="none" w:sz="0" w:space="0" w:color="auto"/>
                <w:bottom w:val="none" w:sz="0" w:space="0" w:color="auto"/>
                <w:right w:val="none" w:sz="0" w:space="0" w:color="auto"/>
              </w:divBdr>
            </w:div>
            <w:div w:id="1330448240">
              <w:marLeft w:val="0"/>
              <w:marRight w:val="0"/>
              <w:marTop w:val="0"/>
              <w:marBottom w:val="0"/>
              <w:divBdr>
                <w:top w:val="none" w:sz="0" w:space="0" w:color="auto"/>
                <w:left w:val="none" w:sz="0" w:space="0" w:color="auto"/>
                <w:bottom w:val="none" w:sz="0" w:space="0" w:color="auto"/>
                <w:right w:val="none" w:sz="0" w:space="0" w:color="auto"/>
              </w:divBdr>
            </w:div>
            <w:div w:id="1543710756">
              <w:marLeft w:val="0"/>
              <w:marRight w:val="0"/>
              <w:marTop w:val="0"/>
              <w:marBottom w:val="0"/>
              <w:divBdr>
                <w:top w:val="none" w:sz="0" w:space="0" w:color="auto"/>
                <w:left w:val="none" w:sz="0" w:space="0" w:color="auto"/>
                <w:bottom w:val="none" w:sz="0" w:space="0" w:color="auto"/>
                <w:right w:val="none" w:sz="0" w:space="0" w:color="auto"/>
              </w:divBdr>
            </w:div>
            <w:div w:id="113721562">
              <w:marLeft w:val="0"/>
              <w:marRight w:val="0"/>
              <w:marTop w:val="0"/>
              <w:marBottom w:val="0"/>
              <w:divBdr>
                <w:top w:val="none" w:sz="0" w:space="0" w:color="auto"/>
                <w:left w:val="none" w:sz="0" w:space="0" w:color="auto"/>
                <w:bottom w:val="none" w:sz="0" w:space="0" w:color="auto"/>
                <w:right w:val="none" w:sz="0" w:space="0" w:color="auto"/>
              </w:divBdr>
            </w:div>
            <w:div w:id="20977457">
              <w:marLeft w:val="0"/>
              <w:marRight w:val="0"/>
              <w:marTop w:val="0"/>
              <w:marBottom w:val="0"/>
              <w:divBdr>
                <w:top w:val="none" w:sz="0" w:space="0" w:color="auto"/>
                <w:left w:val="none" w:sz="0" w:space="0" w:color="auto"/>
                <w:bottom w:val="none" w:sz="0" w:space="0" w:color="auto"/>
                <w:right w:val="none" w:sz="0" w:space="0" w:color="auto"/>
              </w:divBdr>
            </w:div>
            <w:div w:id="859464558">
              <w:marLeft w:val="0"/>
              <w:marRight w:val="0"/>
              <w:marTop w:val="0"/>
              <w:marBottom w:val="0"/>
              <w:divBdr>
                <w:top w:val="none" w:sz="0" w:space="0" w:color="auto"/>
                <w:left w:val="none" w:sz="0" w:space="0" w:color="auto"/>
                <w:bottom w:val="none" w:sz="0" w:space="0" w:color="auto"/>
                <w:right w:val="none" w:sz="0" w:space="0" w:color="auto"/>
              </w:divBdr>
            </w:div>
            <w:div w:id="594246110">
              <w:marLeft w:val="0"/>
              <w:marRight w:val="0"/>
              <w:marTop w:val="0"/>
              <w:marBottom w:val="0"/>
              <w:divBdr>
                <w:top w:val="none" w:sz="0" w:space="0" w:color="auto"/>
                <w:left w:val="none" w:sz="0" w:space="0" w:color="auto"/>
                <w:bottom w:val="none" w:sz="0" w:space="0" w:color="auto"/>
                <w:right w:val="none" w:sz="0" w:space="0" w:color="auto"/>
              </w:divBdr>
            </w:div>
            <w:div w:id="1954364555">
              <w:marLeft w:val="0"/>
              <w:marRight w:val="0"/>
              <w:marTop w:val="0"/>
              <w:marBottom w:val="0"/>
              <w:divBdr>
                <w:top w:val="none" w:sz="0" w:space="0" w:color="auto"/>
                <w:left w:val="none" w:sz="0" w:space="0" w:color="auto"/>
                <w:bottom w:val="none" w:sz="0" w:space="0" w:color="auto"/>
                <w:right w:val="none" w:sz="0" w:space="0" w:color="auto"/>
              </w:divBdr>
            </w:div>
            <w:div w:id="670982909">
              <w:marLeft w:val="0"/>
              <w:marRight w:val="0"/>
              <w:marTop w:val="0"/>
              <w:marBottom w:val="0"/>
              <w:divBdr>
                <w:top w:val="none" w:sz="0" w:space="0" w:color="auto"/>
                <w:left w:val="none" w:sz="0" w:space="0" w:color="auto"/>
                <w:bottom w:val="none" w:sz="0" w:space="0" w:color="auto"/>
                <w:right w:val="none" w:sz="0" w:space="0" w:color="auto"/>
              </w:divBdr>
            </w:div>
            <w:div w:id="761146679">
              <w:marLeft w:val="0"/>
              <w:marRight w:val="0"/>
              <w:marTop w:val="0"/>
              <w:marBottom w:val="0"/>
              <w:divBdr>
                <w:top w:val="none" w:sz="0" w:space="0" w:color="auto"/>
                <w:left w:val="none" w:sz="0" w:space="0" w:color="auto"/>
                <w:bottom w:val="none" w:sz="0" w:space="0" w:color="auto"/>
                <w:right w:val="none" w:sz="0" w:space="0" w:color="auto"/>
              </w:divBdr>
            </w:div>
            <w:div w:id="1043209604">
              <w:marLeft w:val="0"/>
              <w:marRight w:val="0"/>
              <w:marTop w:val="0"/>
              <w:marBottom w:val="0"/>
              <w:divBdr>
                <w:top w:val="none" w:sz="0" w:space="0" w:color="auto"/>
                <w:left w:val="none" w:sz="0" w:space="0" w:color="auto"/>
                <w:bottom w:val="none" w:sz="0" w:space="0" w:color="auto"/>
                <w:right w:val="none" w:sz="0" w:space="0" w:color="auto"/>
              </w:divBdr>
            </w:div>
            <w:div w:id="1939829724">
              <w:marLeft w:val="0"/>
              <w:marRight w:val="0"/>
              <w:marTop w:val="0"/>
              <w:marBottom w:val="0"/>
              <w:divBdr>
                <w:top w:val="none" w:sz="0" w:space="0" w:color="auto"/>
                <w:left w:val="none" w:sz="0" w:space="0" w:color="auto"/>
                <w:bottom w:val="none" w:sz="0" w:space="0" w:color="auto"/>
                <w:right w:val="none" w:sz="0" w:space="0" w:color="auto"/>
              </w:divBdr>
            </w:div>
            <w:div w:id="1754276453">
              <w:marLeft w:val="0"/>
              <w:marRight w:val="0"/>
              <w:marTop w:val="0"/>
              <w:marBottom w:val="0"/>
              <w:divBdr>
                <w:top w:val="none" w:sz="0" w:space="0" w:color="auto"/>
                <w:left w:val="none" w:sz="0" w:space="0" w:color="auto"/>
                <w:bottom w:val="none" w:sz="0" w:space="0" w:color="auto"/>
                <w:right w:val="none" w:sz="0" w:space="0" w:color="auto"/>
              </w:divBdr>
            </w:div>
            <w:div w:id="452789862">
              <w:marLeft w:val="0"/>
              <w:marRight w:val="0"/>
              <w:marTop w:val="0"/>
              <w:marBottom w:val="0"/>
              <w:divBdr>
                <w:top w:val="none" w:sz="0" w:space="0" w:color="auto"/>
                <w:left w:val="none" w:sz="0" w:space="0" w:color="auto"/>
                <w:bottom w:val="none" w:sz="0" w:space="0" w:color="auto"/>
                <w:right w:val="none" w:sz="0" w:space="0" w:color="auto"/>
              </w:divBdr>
            </w:div>
            <w:div w:id="137260675">
              <w:marLeft w:val="0"/>
              <w:marRight w:val="0"/>
              <w:marTop w:val="0"/>
              <w:marBottom w:val="0"/>
              <w:divBdr>
                <w:top w:val="none" w:sz="0" w:space="0" w:color="auto"/>
                <w:left w:val="none" w:sz="0" w:space="0" w:color="auto"/>
                <w:bottom w:val="none" w:sz="0" w:space="0" w:color="auto"/>
                <w:right w:val="none" w:sz="0" w:space="0" w:color="auto"/>
              </w:divBdr>
            </w:div>
            <w:div w:id="809832482">
              <w:marLeft w:val="0"/>
              <w:marRight w:val="0"/>
              <w:marTop w:val="0"/>
              <w:marBottom w:val="0"/>
              <w:divBdr>
                <w:top w:val="none" w:sz="0" w:space="0" w:color="auto"/>
                <w:left w:val="none" w:sz="0" w:space="0" w:color="auto"/>
                <w:bottom w:val="none" w:sz="0" w:space="0" w:color="auto"/>
                <w:right w:val="none" w:sz="0" w:space="0" w:color="auto"/>
              </w:divBdr>
            </w:div>
            <w:div w:id="2106262713">
              <w:marLeft w:val="0"/>
              <w:marRight w:val="0"/>
              <w:marTop w:val="0"/>
              <w:marBottom w:val="0"/>
              <w:divBdr>
                <w:top w:val="none" w:sz="0" w:space="0" w:color="auto"/>
                <w:left w:val="none" w:sz="0" w:space="0" w:color="auto"/>
                <w:bottom w:val="none" w:sz="0" w:space="0" w:color="auto"/>
                <w:right w:val="none" w:sz="0" w:space="0" w:color="auto"/>
              </w:divBdr>
            </w:div>
            <w:div w:id="1047069829">
              <w:marLeft w:val="0"/>
              <w:marRight w:val="0"/>
              <w:marTop w:val="0"/>
              <w:marBottom w:val="0"/>
              <w:divBdr>
                <w:top w:val="none" w:sz="0" w:space="0" w:color="auto"/>
                <w:left w:val="none" w:sz="0" w:space="0" w:color="auto"/>
                <w:bottom w:val="none" w:sz="0" w:space="0" w:color="auto"/>
                <w:right w:val="none" w:sz="0" w:space="0" w:color="auto"/>
              </w:divBdr>
            </w:div>
            <w:div w:id="1992445021">
              <w:marLeft w:val="0"/>
              <w:marRight w:val="0"/>
              <w:marTop w:val="0"/>
              <w:marBottom w:val="0"/>
              <w:divBdr>
                <w:top w:val="none" w:sz="0" w:space="0" w:color="auto"/>
                <w:left w:val="none" w:sz="0" w:space="0" w:color="auto"/>
                <w:bottom w:val="none" w:sz="0" w:space="0" w:color="auto"/>
                <w:right w:val="none" w:sz="0" w:space="0" w:color="auto"/>
              </w:divBdr>
            </w:div>
            <w:div w:id="1024744683">
              <w:marLeft w:val="0"/>
              <w:marRight w:val="0"/>
              <w:marTop w:val="0"/>
              <w:marBottom w:val="0"/>
              <w:divBdr>
                <w:top w:val="none" w:sz="0" w:space="0" w:color="auto"/>
                <w:left w:val="none" w:sz="0" w:space="0" w:color="auto"/>
                <w:bottom w:val="none" w:sz="0" w:space="0" w:color="auto"/>
                <w:right w:val="none" w:sz="0" w:space="0" w:color="auto"/>
              </w:divBdr>
            </w:div>
            <w:div w:id="1461456080">
              <w:marLeft w:val="0"/>
              <w:marRight w:val="0"/>
              <w:marTop w:val="0"/>
              <w:marBottom w:val="0"/>
              <w:divBdr>
                <w:top w:val="none" w:sz="0" w:space="0" w:color="auto"/>
                <w:left w:val="none" w:sz="0" w:space="0" w:color="auto"/>
                <w:bottom w:val="none" w:sz="0" w:space="0" w:color="auto"/>
                <w:right w:val="none" w:sz="0" w:space="0" w:color="auto"/>
              </w:divBdr>
            </w:div>
            <w:div w:id="211503002">
              <w:marLeft w:val="0"/>
              <w:marRight w:val="0"/>
              <w:marTop w:val="0"/>
              <w:marBottom w:val="0"/>
              <w:divBdr>
                <w:top w:val="none" w:sz="0" w:space="0" w:color="auto"/>
                <w:left w:val="none" w:sz="0" w:space="0" w:color="auto"/>
                <w:bottom w:val="none" w:sz="0" w:space="0" w:color="auto"/>
                <w:right w:val="none" w:sz="0" w:space="0" w:color="auto"/>
              </w:divBdr>
            </w:div>
            <w:div w:id="137261720">
              <w:marLeft w:val="0"/>
              <w:marRight w:val="0"/>
              <w:marTop w:val="0"/>
              <w:marBottom w:val="0"/>
              <w:divBdr>
                <w:top w:val="none" w:sz="0" w:space="0" w:color="auto"/>
                <w:left w:val="none" w:sz="0" w:space="0" w:color="auto"/>
                <w:bottom w:val="none" w:sz="0" w:space="0" w:color="auto"/>
                <w:right w:val="none" w:sz="0" w:space="0" w:color="auto"/>
              </w:divBdr>
            </w:div>
            <w:div w:id="1463957770">
              <w:marLeft w:val="0"/>
              <w:marRight w:val="0"/>
              <w:marTop w:val="0"/>
              <w:marBottom w:val="0"/>
              <w:divBdr>
                <w:top w:val="none" w:sz="0" w:space="0" w:color="auto"/>
                <w:left w:val="none" w:sz="0" w:space="0" w:color="auto"/>
                <w:bottom w:val="none" w:sz="0" w:space="0" w:color="auto"/>
                <w:right w:val="none" w:sz="0" w:space="0" w:color="auto"/>
              </w:divBdr>
            </w:div>
            <w:div w:id="1332373531">
              <w:marLeft w:val="0"/>
              <w:marRight w:val="0"/>
              <w:marTop w:val="0"/>
              <w:marBottom w:val="0"/>
              <w:divBdr>
                <w:top w:val="none" w:sz="0" w:space="0" w:color="auto"/>
                <w:left w:val="none" w:sz="0" w:space="0" w:color="auto"/>
                <w:bottom w:val="none" w:sz="0" w:space="0" w:color="auto"/>
                <w:right w:val="none" w:sz="0" w:space="0" w:color="auto"/>
              </w:divBdr>
            </w:div>
            <w:div w:id="2073772829">
              <w:marLeft w:val="0"/>
              <w:marRight w:val="0"/>
              <w:marTop w:val="0"/>
              <w:marBottom w:val="0"/>
              <w:divBdr>
                <w:top w:val="none" w:sz="0" w:space="0" w:color="auto"/>
                <w:left w:val="none" w:sz="0" w:space="0" w:color="auto"/>
                <w:bottom w:val="none" w:sz="0" w:space="0" w:color="auto"/>
                <w:right w:val="none" w:sz="0" w:space="0" w:color="auto"/>
              </w:divBdr>
            </w:div>
            <w:div w:id="1085149818">
              <w:marLeft w:val="0"/>
              <w:marRight w:val="0"/>
              <w:marTop w:val="0"/>
              <w:marBottom w:val="0"/>
              <w:divBdr>
                <w:top w:val="none" w:sz="0" w:space="0" w:color="auto"/>
                <w:left w:val="none" w:sz="0" w:space="0" w:color="auto"/>
                <w:bottom w:val="none" w:sz="0" w:space="0" w:color="auto"/>
                <w:right w:val="none" w:sz="0" w:space="0" w:color="auto"/>
              </w:divBdr>
            </w:div>
            <w:div w:id="1582376491">
              <w:marLeft w:val="0"/>
              <w:marRight w:val="0"/>
              <w:marTop w:val="0"/>
              <w:marBottom w:val="0"/>
              <w:divBdr>
                <w:top w:val="none" w:sz="0" w:space="0" w:color="auto"/>
                <w:left w:val="none" w:sz="0" w:space="0" w:color="auto"/>
                <w:bottom w:val="none" w:sz="0" w:space="0" w:color="auto"/>
                <w:right w:val="none" w:sz="0" w:space="0" w:color="auto"/>
              </w:divBdr>
            </w:div>
            <w:div w:id="1452482092">
              <w:marLeft w:val="0"/>
              <w:marRight w:val="0"/>
              <w:marTop w:val="0"/>
              <w:marBottom w:val="0"/>
              <w:divBdr>
                <w:top w:val="none" w:sz="0" w:space="0" w:color="auto"/>
                <w:left w:val="none" w:sz="0" w:space="0" w:color="auto"/>
                <w:bottom w:val="none" w:sz="0" w:space="0" w:color="auto"/>
                <w:right w:val="none" w:sz="0" w:space="0" w:color="auto"/>
              </w:divBdr>
            </w:div>
            <w:div w:id="37244428">
              <w:marLeft w:val="0"/>
              <w:marRight w:val="0"/>
              <w:marTop w:val="0"/>
              <w:marBottom w:val="0"/>
              <w:divBdr>
                <w:top w:val="none" w:sz="0" w:space="0" w:color="auto"/>
                <w:left w:val="none" w:sz="0" w:space="0" w:color="auto"/>
                <w:bottom w:val="none" w:sz="0" w:space="0" w:color="auto"/>
                <w:right w:val="none" w:sz="0" w:space="0" w:color="auto"/>
              </w:divBdr>
            </w:div>
            <w:div w:id="1012488236">
              <w:marLeft w:val="0"/>
              <w:marRight w:val="0"/>
              <w:marTop w:val="0"/>
              <w:marBottom w:val="0"/>
              <w:divBdr>
                <w:top w:val="none" w:sz="0" w:space="0" w:color="auto"/>
                <w:left w:val="none" w:sz="0" w:space="0" w:color="auto"/>
                <w:bottom w:val="none" w:sz="0" w:space="0" w:color="auto"/>
                <w:right w:val="none" w:sz="0" w:space="0" w:color="auto"/>
              </w:divBdr>
            </w:div>
            <w:div w:id="1023283552">
              <w:marLeft w:val="0"/>
              <w:marRight w:val="0"/>
              <w:marTop w:val="0"/>
              <w:marBottom w:val="0"/>
              <w:divBdr>
                <w:top w:val="none" w:sz="0" w:space="0" w:color="auto"/>
                <w:left w:val="none" w:sz="0" w:space="0" w:color="auto"/>
                <w:bottom w:val="none" w:sz="0" w:space="0" w:color="auto"/>
                <w:right w:val="none" w:sz="0" w:space="0" w:color="auto"/>
              </w:divBdr>
            </w:div>
            <w:div w:id="343940905">
              <w:marLeft w:val="0"/>
              <w:marRight w:val="0"/>
              <w:marTop w:val="0"/>
              <w:marBottom w:val="0"/>
              <w:divBdr>
                <w:top w:val="none" w:sz="0" w:space="0" w:color="auto"/>
                <w:left w:val="none" w:sz="0" w:space="0" w:color="auto"/>
                <w:bottom w:val="none" w:sz="0" w:space="0" w:color="auto"/>
                <w:right w:val="none" w:sz="0" w:space="0" w:color="auto"/>
              </w:divBdr>
            </w:div>
            <w:div w:id="2122645575">
              <w:marLeft w:val="0"/>
              <w:marRight w:val="0"/>
              <w:marTop w:val="0"/>
              <w:marBottom w:val="0"/>
              <w:divBdr>
                <w:top w:val="none" w:sz="0" w:space="0" w:color="auto"/>
                <w:left w:val="none" w:sz="0" w:space="0" w:color="auto"/>
                <w:bottom w:val="none" w:sz="0" w:space="0" w:color="auto"/>
                <w:right w:val="none" w:sz="0" w:space="0" w:color="auto"/>
              </w:divBdr>
            </w:div>
            <w:div w:id="951397819">
              <w:marLeft w:val="0"/>
              <w:marRight w:val="0"/>
              <w:marTop w:val="0"/>
              <w:marBottom w:val="0"/>
              <w:divBdr>
                <w:top w:val="none" w:sz="0" w:space="0" w:color="auto"/>
                <w:left w:val="none" w:sz="0" w:space="0" w:color="auto"/>
                <w:bottom w:val="none" w:sz="0" w:space="0" w:color="auto"/>
                <w:right w:val="none" w:sz="0" w:space="0" w:color="auto"/>
              </w:divBdr>
            </w:div>
            <w:div w:id="1686207611">
              <w:marLeft w:val="0"/>
              <w:marRight w:val="0"/>
              <w:marTop w:val="0"/>
              <w:marBottom w:val="0"/>
              <w:divBdr>
                <w:top w:val="none" w:sz="0" w:space="0" w:color="auto"/>
                <w:left w:val="none" w:sz="0" w:space="0" w:color="auto"/>
                <w:bottom w:val="none" w:sz="0" w:space="0" w:color="auto"/>
                <w:right w:val="none" w:sz="0" w:space="0" w:color="auto"/>
              </w:divBdr>
            </w:div>
            <w:div w:id="728957985">
              <w:marLeft w:val="0"/>
              <w:marRight w:val="0"/>
              <w:marTop w:val="0"/>
              <w:marBottom w:val="0"/>
              <w:divBdr>
                <w:top w:val="none" w:sz="0" w:space="0" w:color="auto"/>
                <w:left w:val="none" w:sz="0" w:space="0" w:color="auto"/>
                <w:bottom w:val="none" w:sz="0" w:space="0" w:color="auto"/>
                <w:right w:val="none" w:sz="0" w:space="0" w:color="auto"/>
              </w:divBdr>
            </w:div>
            <w:div w:id="1625430530">
              <w:marLeft w:val="0"/>
              <w:marRight w:val="0"/>
              <w:marTop w:val="0"/>
              <w:marBottom w:val="0"/>
              <w:divBdr>
                <w:top w:val="none" w:sz="0" w:space="0" w:color="auto"/>
                <w:left w:val="none" w:sz="0" w:space="0" w:color="auto"/>
                <w:bottom w:val="none" w:sz="0" w:space="0" w:color="auto"/>
                <w:right w:val="none" w:sz="0" w:space="0" w:color="auto"/>
              </w:divBdr>
            </w:div>
            <w:div w:id="1000036431">
              <w:marLeft w:val="0"/>
              <w:marRight w:val="0"/>
              <w:marTop w:val="0"/>
              <w:marBottom w:val="0"/>
              <w:divBdr>
                <w:top w:val="none" w:sz="0" w:space="0" w:color="auto"/>
                <w:left w:val="none" w:sz="0" w:space="0" w:color="auto"/>
                <w:bottom w:val="none" w:sz="0" w:space="0" w:color="auto"/>
                <w:right w:val="none" w:sz="0" w:space="0" w:color="auto"/>
              </w:divBdr>
            </w:div>
            <w:div w:id="1888761859">
              <w:marLeft w:val="0"/>
              <w:marRight w:val="0"/>
              <w:marTop w:val="0"/>
              <w:marBottom w:val="0"/>
              <w:divBdr>
                <w:top w:val="none" w:sz="0" w:space="0" w:color="auto"/>
                <w:left w:val="none" w:sz="0" w:space="0" w:color="auto"/>
                <w:bottom w:val="none" w:sz="0" w:space="0" w:color="auto"/>
                <w:right w:val="none" w:sz="0" w:space="0" w:color="auto"/>
              </w:divBdr>
            </w:div>
            <w:div w:id="1941913283">
              <w:marLeft w:val="0"/>
              <w:marRight w:val="0"/>
              <w:marTop w:val="0"/>
              <w:marBottom w:val="0"/>
              <w:divBdr>
                <w:top w:val="none" w:sz="0" w:space="0" w:color="auto"/>
                <w:left w:val="none" w:sz="0" w:space="0" w:color="auto"/>
                <w:bottom w:val="none" w:sz="0" w:space="0" w:color="auto"/>
                <w:right w:val="none" w:sz="0" w:space="0" w:color="auto"/>
              </w:divBdr>
            </w:div>
            <w:div w:id="1805464210">
              <w:marLeft w:val="0"/>
              <w:marRight w:val="0"/>
              <w:marTop w:val="0"/>
              <w:marBottom w:val="0"/>
              <w:divBdr>
                <w:top w:val="none" w:sz="0" w:space="0" w:color="auto"/>
                <w:left w:val="none" w:sz="0" w:space="0" w:color="auto"/>
                <w:bottom w:val="none" w:sz="0" w:space="0" w:color="auto"/>
                <w:right w:val="none" w:sz="0" w:space="0" w:color="auto"/>
              </w:divBdr>
            </w:div>
            <w:div w:id="346686344">
              <w:marLeft w:val="0"/>
              <w:marRight w:val="0"/>
              <w:marTop w:val="0"/>
              <w:marBottom w:val="0"/>
              <w:divBdr>
                <w:top w:val="none" w:sz="0" w:space="0" w:color="auto"/>
                <w:left w:val="none" w:sz="0" w:space="0" w:color="auto"/>
                <w:bottom w:val="none" w:sz="0" w:space="0" w:color="auto"/>
                <w:right w:val="none" w:sz="0" w:space="0" w:color="auto"/>
              </w:divBdr>
            </w:div>
            <w:div w:id="233666025">
              <w:marLeft w:val="0"/>
              <w:marRight w:val="0"/>
              <w:marTop w:val="0"/>
              <w:marBottom w:val="0"/>
              <w:divBdr>
                <w:top w:val="none" w:sz="0" w:space="0" w:color="auto"/>
                <w:left w:val="none" w:sz="0" w:space="0" w:color="auto"/>
                <w:bottom w:val="none" w:sz="0" w:space="0" w:color="auto"/>
                <w:right w:val="none" w:sz="0" w:space="0" w:color="auto"/>
              </w:divBdr>
            </w:div>
            <w:div w:id="455418851">
              <w:marLeft w:val="0"/>
              <w:marRight w:val="0"/>
              <w:marTop w:val="0"/>
              <w:marBottom w:val="0"/>
              <w:divBdr>
                <w:top w:val="none" w:sz="0" w:space="0" w:color="auto"/>
                <w:left w:val="none" w:sz="0" w:space="0" w:color="auto"/>
                <w:bottom w:val="none" w:sz="0" w:space="0" w:color="auto"/>
                <w:right w:val="none" w:sz="0" w:space="0" w:color="auto"/>
              </w:divBdr>
            </w:div>
            <w:div w:id="1413047799">
              <w:marLeft w:val="0"/>
              <w:marRight w:val="0"/>
              <w:marTop w:val="0"/>
              <w:marBottom w:val="0"/>
              <w:divBdr>
                <w:top w:val="none" w:sz="0" w:space="0" w:color="auto"/>
                <w:left w:val="none" w:sz="0" w:space="0" w:color="auto"/>
                <w:bottom w:val="none" w:sz="0" w:space="0" w:color="auto"/>
                <w:right w:val="none" w:sz="0" w:space="0" w:color="auto"/>
              </w:divBdr>
            </w:div>
            <w:div w:id="1459714567">
              <w:marLeft w:val="0"/>
              <w:marRight w:val="0"/>
              <w:marTop w:val="0"/>
              <w:marBottom w:val="0"/>
              <w:divBdr>
                <w:top w:val="none" w:sz="0" w:space="0" w:color="auto"/>
                <w:left w:val="none" w:sz="0" w:space="0" w:color="auto"/>
                <w:bottom w:val="none" w:sz="0" w:space="0" w:color="auto"/>
                <w:right w:val="none" w:sz="0" w:space="0" w:color="auto"/>
              </w:divBdr>
            </w:div>
            <w:div w:id="401024598">
              <w:marLeft w:val="0"/>
              <w:marRight w:val="0"/>
              <w:marTop w:val="0"/>
              <w:marBottom w:val="0"/>
              <w:divBdr>
                <w:top w:val="none" w:sz="0" w:space="0" w:color="auto"/>
                <w:left w:val="none" w:sz="0" w:space="0" w:color="auto"/>
                <w:bottom w:val="none" w:sz="0" w:space="0" w:color="auto"/>
                <w:right w:val="none" w:sz="0" w:space="0" w:color="auto"/>
              </w:divBdr>
            </w:div>
            <w:div w:id="903174747">
              <w:marLeft w:val="0"/>
              <w:marRight w:val="0"/>
              <w:marTop w:val="0"/>
              <w:marBottom w:val="0"/>
              <w:divBdr>
                <w:top w:val="none" w:sz="0" w:space="0" w:color="auto"/>
                <w:left w:val="none" w:sz="0" w:space="0" w:color="auto"/>
                <w:bottom w:val="none" w:sz="0" w:space="0" w:color="auto"/>
                <w:right w:val="none" w:sz="0" w:space="0" w:color="auto"/>
              </w:divBdr>
            </w:div>
            <w:div w:id="2112123840">
              <w:marLeft w:val="0"/>
              <w:marRight w:val="0"/>
              <w:marTop w:val="0"/>
              <w:marBottom w:val="0"/>
              <w:divBdr>
                <w:top w:val="none" w:sz="0" w:space="0" w:color="auto"/>
                <w:left w:val="none" w:sz="0" w:space="0" w:color="auto"/>
                <w:bottom w:val="none" w:sz="0" w:space="0" w:color="auto"/>
                <w:right w:val="none" w:sz="0" w:space="0" w:color="auto"/>
              </w:divBdr>
            </w:div>
            <w:div w:id="717819275">
              <w:marLeft w:val="0"/>
              <w:marRight w:val="0"/>
              <w:marTop w:val="0"/>
              <w:marBottom w:val="0"/>
              <w:divBdr>
                <w:top w:val="none" w:sz="0" w:space="0" w:color="auto"/>
                <w:left w:val="none" w:sz="0" w:space="0" w:color="auto"/>
                <w:bottom w:val="none" w:sz="0" w:space="0" w:color="auto"/>
                <w:right w:val="none" w:sz="0" w:space="0" w:color="auto"/>
              </w:divBdr>
            </w:div>
            <w:div w:id="465705893">
              <w:marLeft w:val="0"/>
              <w:marRight w:val="0"/>
              <w:marTop w:val="0"/>
              <w:marBottom w:val="0"/>
              <w:divBdr>
                <w:top w:val="none" w:sz="0" w:space="0" w:color="auto"/>
                <w:left w:val="none" w:sz="0" w:space="0" w:color="auto"/>
                <w:bottom w:val="none" w:sz="0" w:space="0" w:color="auto"/>
                <w:right w:val="none" w:sz="0" w:space="0" w:color="auto"/>
              </w:divBdr>
            </w:div>
            <w:div w:id="440760352">
              <w:marLeft w:val="0"/>
              <w:marRight w:val="0"/>
              <w:marTop w:val="0"/>
              <w:marBottom w:val="0"/>
              <w:divBdr>
                <w:top w:val="none" w:sz="0" w:space="0" w:color="auto"/>
                <w:left w:val="none" w:sz="0" w:space="0" w:color="auto"/>
                <w:bottom w:val="none" w:sz="0" w:space="0" w:color="auto"/>
                <w:right w:val="none" w:sz="0" w:space="0" w:color="auto"/>
              </w:divBdr>
            </w:div>
            <w:div w:id="35739327">
              <w:marLeft w:val="0"/>
              <w:marRight w:val="0"/>
              <w:marTop w:val="0"/>
              <w:marBottom w:val="0"/>
              <w:divBdr>
                <w:top w:val="none" w:sz="0" w:space="0" w:color="auto"/>
                <w:left w:val="none" w:sz="0" w:space="0" w:color="auto"/>
                <w:bottom w:val="none" w:sz="0" w:space="0" w:color="auto"/>
                <w:right w:val="none" w:sz="0" w:space="0" w:color="auto"/>
              </w:divBdr>
            </w:div>
            <w:div w:id="35207325">
              <w:marLeft w:val="0"/>
              <w:marRight w:val="0"/>
              <w:marTop w:val="0"/>
              <w:marBottom w:val="0"/>
              <w:divBdr>
                <w:top w:val="none" w:sz="0" w:space="0" w:color="auto"/>
                <w:left w:val="none" w:sz="0" w:space="0" w:color="auto"/>
                <w:bottom w:val="none" w:sz="0" w:space="0" w:color="auto"/>
                <w:right w:val="none" w:sz="0" w:space="0" w:color="auto"/>
              </w:divBdr>
            </w:div>
            <w:div w:id="93864604">
              <w:marLeft w:val="0"/>
              <w:marRight w:val="0"/>
              <w:marTop w:val="0"/>
              <w:marBottom w:val="0"/>
              <w:divBdr>
                <w:top w:val="none" w:sz="0" w:space="0" w:color="auto"/>
                <w:left w:val="none" w:sz="0" w:space="0" w:color="auto"/>
                <w:bottom w:val="none" w:sz="0" w:space="0" w:color="auto"/>
                <w:right w:val="none" w:sz="0" w:space="0" w:color="auto"/>
              </w:divBdr>
            </w:div>
            <w:div w:id="1801528240">
              <w:marLeft w:val="0"/>
              <w:marRight w:val="0"/>
              <w:marTop w:val="0"/>
              <w:marBottom w:val="0"/>
              <w:divBdr>
                <w:top w:val="none" w:sz="0" w:space="0" w:color="auto"/>
                <w:left w:val="none" w:sz="0" w:space="0" w:color="auto"/>
                <w:bottom w:val="none" w:sz="0" w:space="0" w:color="auto"/>
                <w:right w:val="none" w:sz="0" w:space="0" w:color="auto"/>
              </w:divBdr>
            </w:div>
            <w:div w:id="816649555">
              <w:marLeft w:val="0"/>
              <w:marRight w:val="0"/>
              <w:marTop w:val="0"/>
              <w:marBottom w:val="0"/>
              <w:divBdr>
                <w:top w:val="none" w:sz="0" w:space="0" w:color="auto"/>
                <w:left w:val="none" w:sz="0" w:space="0" w:color="auto"/>
                <w:bottom w:val="none" w:sz="0" w:space="0" w:color="auto"/>
                <w:right w:val="none" w:sz="0" w:space="0" w:color="auto"/>
              </w:divBdr>
            </w:div>
            <w:div w:id="241839283">
              <w:marLeft w:val="0"/>
              <w:marRight w:val="0"/>
              <w:marTop w:val="0"/>
              <w:marBottom w:val="0"/>
              <w:divBdr>
                <w:top w:val="none" w:sz="0" w:space="0" w:color="auto"/>
                <w:left w:val="none" w:sz="0" w:space="0" w:color="auto"/>
                <w:bottom w:val="none" w:sz="0" w:space="0" w:color="auto"/>
                <w:right w:val="none" w:sz="0" w:space="0" w:color="auto"/>
              </w:divBdr>
            </w:div>
            <w:div w:id="1568609380">
              <w:marLeft w:val="0"/>
              <w:marRight w:val="0"/>
              <w:marTop w:val="0"/>
              <w:marBottom w:val="0"/>
              <w:divBdr>
                <w:top w:val="none" w:sz="0" w:space="0" w:color="auto"/>
                <w:left w:val="none" w:sz="0" w:space="0" w:color="auto"/>
                <w:bottom w:val="none" w:sz="0" w:space="0" w:color="auto"/>
                <w:right w:val="none" w:sz="0" w:space="0" w:color="auto"/>
              </w:divBdr>
            </w:div>
            <w:div w:id="1362513836">
              <w:marLeft w:val="0"/>
              <w:marRight w:val="0"/>
              <w:marTop w:val="0"/>
              <w:marBottom w:val="0"/>
              <w:divBdr>
                <w:top w:val="none" w:sz="0" w:space="0" w:color="auto"/>
                <w:left w:val="none" w:sz="0" w:space="0" w:color="auto"/>
                <w:bottom w:val="none" w:sz="0" w:space="0" w:color="auto"/>
                <w:right w:val="none" w:sz="0" w:space="0" w:color="auto"/>
              </w:divBdr>
            </w:div>
            <w:div w:id="646281918">
              <w:marLeft w:val="0"/>
              <w:marRight w:val="0"/>
              <w:marTop w:val="0"/>
              <w:marBottom w:val="0"/>
              <w:divBdr>
                <w:top w:val="none" w:sz="0" w:space="0" w:color="auto"/>
                <w:left w:val="none" w:sz="0" w:space="0" w:color="auto"/>
                <w:bottom w:val="none" w:sz="0" w:space="0" w:color="auto"/>
                <w:right w:val="none" w:sz="0" w:space="0" w:color="auto"/>
              </w:divBdr>
            </w:div>
            <w:div w:id="2059206838">
              <w:marLeft w:val="0"/>
              <w:marRight w:val="0"/>
              <w:marTop w:val="0"/>
              <w:marBottom w:val="0"/>
              <w:divBdr>
                <w:top w:val="none" w:sz="0" w:space="0" w:color="auto"/>
                <w:left w:val="none" w:sz="0" w:space="0" w:color="auto"/>
                <w:bottom w:val="none" w:sz="0" w:space="0" w:color="auto"/>
                <w:right w:val="none" w:sz="0" w:space="0" w:color="auto"/>
              </w:divBdr>
            </w:div>
            <w:div w:id="1580945270">
              <w:marLeft w:val="0"/>
              <w:marRight w:val="0"/>
              <w:marTop w:val="0"/>
              <w:marBottom w:val="0"/>
              <w:divBdr>
                <w:top w:val="none" w:sz="0" w:space="0" w:color="auto"/>
                <w:left w:val="none" w:sz="0" w:space="0" w:color="auto"/>
                <w:bottom w:val="none" w:sz="0" w:space="0" w:color="auto"/>
                <w:right w:val="none" w:sz="0" w:space="0" w:color="auto"/>
              </w:divBdr>
            </w:div>
            <w:div w:id="1991402797">
              <w:marLeft w:val="0"/>
              <w:marRight w:val="0"/>
              <w:marTop w:val="0"/>
              <w:marBottom w:val="0"/>
              <w:divBdr>
                <w:top w:val="none" w:sz="0" w:space="0" w:color="auto"/>
                <w:left w:val="none" w:sz="0" w:space="0" w:color="auto"/>
                <w:bottom w:val="none" w:sz="0" w:space="0" w:color="auto"/>
                <w:right w:val="none" w:sz="0" w:space="0" w:color="auto"/>
              </w:divBdr>
            </w:div>
            <w:div w:id="588388129">
              <w:marLeft w:val="0"/>
              <w:marRight w:val="0"/>
              <w:marTop w:val="0"/>
              <w:marBottom w:val="0"/>
              <w:divBdr>
                <w:top w:val="none" w:sz="0" w:space="0" w:color="auto"/>
                <w:left w:val="none" w:sz="0" w:space="0" w:color="auto"/>
                <w:bottom w:val="none" w:sz="0" w:space="0" w:color="auto"/>
                <w:right w:val="none" w:sz="0" w:space="0" w:color="auto"/>
              </w:divBdr>
            </w:div>
            <w:div w:id="1354452051">
              <w:marLeft w:val="0"/>
              <w:marRight w:val="0"/>
              <w:marTop w:val="0"/>
              <w:marBottom w:val="0"/>
              <w:divBdr>
                <w:top w:val="none" w:sz="0" w:space="0" w:color="auto"/>
                <w:left w:val="none" w:sz="0" w:space="0" w:color="auto"/>
                <w:bottom w:val="none" w:sz="0" w:space="0" w:color="auto"/>
                <w:right w:val="none" w:sz="0" w:space="0" w:color="auto"/>
              </w:divBdr>
            </w:div>
            <w:div w:id="752237494">
              <w:marLeft w:val="0"/>
              <w:marRight w:val="0"/>
              <w:marTop w:val="0"/>
              <w:marBottom w:val="0"/>
              <w:divBdr>
                <w:top w:val="none" w:sz="0" w:space="0" w:color="auto"/>
                <w:left w:val="none" w:sz="0" w:space="0" w:color="auto"/>
                <w:bottom w:val="none" w:sz="0" w:space="0" w:color="auto"/>
                <w:right w:val="none" w:sz="0" w:space="0" w:color="auto"/>
              </w:divBdr>
            </w:div>
            <w:div w:id="1587225929">
              <w:marLeft w:val="0"/>
              <w:marRight w:val="0"/>
              <w:marTop w:val="0"/>
              <w:marBottom w:val="0"/>
              <w:divBdr>
                <w:top w:val="none" w:sz="0" w:space="0" w:color="auto"/>
                <w:left w:val="none" w:sz="0" w:space="0" w:color="auto"/>
                <w:bottom w:val="none" w:sz="0" w:space="0" w:color="auto"/>
                <w:right w:val="none" w:sz="0" w:space="0" w:color="auto"/>
              </w:divBdr>
            </w:div>
            <w:div w:id="1895500498">
              <w:marLeft w:val="0"/>
              <w:marRight w:val="0"/>
              <w:marTop w:val="0"/>
              <w:marBottom w:val="0"/>
              <w:divBdr>
                <w:top w:val="none" w:sz="0" w:space="0" w:color="auto"/>
                <w:left w:val="none" w:sz="0" w:space="0" w:color="auto"/>
                <w:bottom w:val="none" w:sz="0" w:space="0" w:color="auto"/>
                <w:right w:val="none" w:sz="0" w:space="0" w:color="auto"/>
              </w:divBdr>
            </w:div>
            <w:div w:id="306014723">
              <w:marLeft w:val="0"/>
              <w:marRight w:val="0"/>
              <w:marTop w:val="0"/>
              <w:marBottom w:val="0"/>
              <w:divBdr>
                <w:top w:val="none" w:sz="0" w:space="0" w:color="auto"/>
                <w:left w:val="none" w:sz="0" w:space="0" w:color="auto"/>
                <w:bottom w:val="none" w:sz="0" w:space="0" w:color="auto"/>
                <w:right w:val="none" w:sz="0" w:space="0" w:color="auto"/>
              </w:divBdr>
            </w:div>
            <w:div w:id="548151465">
              <w:marLeft w:val="0"/>
              <w:marRight w:val="0"/>
              <w:marTop w:val="0"/>
              <w:marBottom w:val="0"/>
              <w:divBdr>
                <w:top w:val="none" w:sz="0" w:space="0" w:color="auto"/>
                <w:left w:val="none" w:sz="0" w:space="0" w:color="auto"/>
                <w:bottom w:val="none" w:sz="0" w:space="0" w:color="auto"/>
                <w:right w:val="none" w:sz="0" w:space="0" w:color="auto"/>
              </w:divBdr>
            </w:div>
            <w:div w:id="274753444">
              <w:marLeft w:val="0"/>
              <w:marRight w:val="0"/>
              <w:marTop w:val="0"/>
              <w:marBottom w:val="0"/>
              <w:divBdr>
                <w:top w:val="none" w:sz="0" w:space="0" w:color="auto"/>
                <w:left w:val="none" w:sz="0" w:space="0" w:color="auto"/>
                <w:bottom w:val="none" w:sz="0" w:space="0" w:color="auto"/>
                <w:right w:val="none" w:sz="0" w:space="0" w:color="auto"/>
              </w:divBdr>
            </w:div>
            <w:div w:id="310445727">
              <w:marLeft w:val="0"/>
              <w:marRight w:val="0"/>
              <w:marTop w:val="0"/>
              <w:marBottom w:val="0"/>
              <w:divBdr>
                <w:top w:val="none" w:sz="0" w:space="0" w:color="auto"/>
                <w:left w:val="none" w:sz="0" w:space="0" w:color="auto"/>
                <w:bottom w:val="none" w:sz="0" w:space="0" w:color="auto"/>
                <w:right w:val="none" w:sz="0" w:space="0" w:color="auto"/>
              </w:divBdr>
            </w:div>
            <w:div w:id="487668802">
              <w:marLeft w:val="0"/>
              <w:marRight w:val="0"/>
              <w:marTop w:val="0"/>
              <w:marBottom w:val="0"/>
              <w:divBdr>
                <w:top w:val="none" w:sz="0" w:space="0" w:color="auto"/>
                <w:left w:val="none" w:sz="0" w:space="0" w:color="auto"/>
                <w:bottom w:val="none" w:sz="0" w:space="0" w:color="auto"/>
                <w:right w:val="none" w:sz="0" w:space="0" w:color="auto"/>
              </w:divBdr>
            </w:div>
            <w:div w:id="1504468328">
              <w:marLeft w:val="0"/>
              <w:marRight w:val="0"/>
              <w:marTop w:val="0"/>
              <w:marBottom w:val="0"/>
              <w:divBdr>
                <w:top w:val="none" w:sz="0" w:space="0" w:color="auto"/>
                <w:left w:val="none" w:sz="0" w:space="0" w:color="auto"/>
                <w:bottom w:val="none" w:sz="0" w:space="0" w:color="auto"/>
                <w:right w:val="none" w:sz="0" w:space="0" w:color="auto"/>
              </w:divBdr>
            </w:div>
            <w:div w:id="126628803">
              <w:marLeft w:val="0"/>
              <w:marRight w:val="0"/>
              <w:marTop w:val="0"/>
              <w:marBottom w:val="0"/>
              <w:divBdr>
                <w:top w:val="none" w:sz="0" w:space="0" w:color="auto"/>
                <w:left w:val="none" w:sz="0" w:space="0" w:color="auto"/>
                <w:bottom w:val="none" w:sz="0" w:space="0" w:color="auto"/>
                <w:right w:val="none" w:sz="0" w:space="0" w:color="auto"/>
              </w:divBdr>
            </w:div>
            <w:div w:id="1393039601">
              <w:marLeft w:val="0"/>
              <w:marRight w:val="0"/>
              <w:marTop w:val="0"/>
              <w:marBottom w:val="0"/>
              <w:divBdr>
                <w:top w:val="none" w:sz="0" w:space="0" w:color="auto"/>
                <w:left w:val="none" w:sz="0" w:space="0" w:color="auto"/>
                <w:bottom w:val="none" w:sz="0" w:space="0" w:color="auto"/>
                <w:right w:val="none" w:sz="0" w:space="0" w:color="auto"/>
              </w:divBdr>
            </w:div>
            <w:div w:id="1532914024">
              <w:marLeft w:val="0"/>
              <w:marRight w:val="0"/>
              <w:marTop w:val="0"/>
              <w:marBottom w:val="0"/>
              <w:divBdr>
                <w:top w:val="none" w:sz="0" w:space="0" w:color="auto"/>
                <w:left w:val="none" w:sz="0" w:space="0" w:color="auto"/>
                <w:bottom w:val="none" w:sz="0" w:space="0" w:color="auto"/>
                <w:right w:val="none" w:sz="0" w:space="0" w:color="auto"/>
              </w:divBdr>
            </w:div>
            <w:div w:id="1935094781">
              <w:marLeft w:val="0"/>
              <w:marRight w:val="0"/>
              <w:marTop w:val="0"/>
              <w:marBottom w:val="0"/>
              <w:divBdr>
                <w:top w:val="none" w:sz="0" w:space="0" w:color="auto"/>
                <w:left w:val="none" w:sz="0" w:space="0" w:color="auto"/>
                <w:bottom w:val="none" w:sz="0" w:space="0" w:color="auto"/>
                <w:right w:val="none" w:sz="0" w:space="0" w:color="auto"/>
              </w:divBdr>
            </w:div>
            <w:div w:id="1987735390">
              <w:marLeft w:val="0"/>
              <w:marRight w:val="0"/>
              <w:marTop w:val="0"/>
              <w:marBottom w:val="0"/>
              <w:divBdr>
                <w:top w:val="none" w:sz="0" w:space="0" w:color="auto"/>
                <w:left w:val="none" w:sz="0" w:space="0" w:color="auto"/>
                <w:bottom w:val="none" w:sz="0" w:space="0" w:color="auto"/>
                <w:right w:val="none" w:sz="0" w:space="0" w:color="auto"/>
              </w:divBdr>
            </w:div>
            <w:div w:id="403572971">
              <w:marLeft w:val="0"/>
              <w:marRight w:val="0"/>
              <w:marTop w:val="0"/>
              <w:marBottom w:val="0"/>
              <w:divBdr>
                <w:top w:val="none" w:sz="0" w:space="0" w:color="auto"/>
                <w:left w:val="none" w:sz="0" w:space="0" w:color="auto"/>
                <w:bottom w:val="none" w:sz="0" w:space="0" w:color="auto"/>
                <w:right w:val="none" w:sz="0" w:space="0" w:color="auto"/>
              </w:divBdr>
            </w:div>
            <w:div w:id="712466485">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736971642">
              <w:marLeft w:val="0"/>
              <w:marRight w:val="0"/>
              <w:marTop w:val="0"/>
              <w:marBottom w:val="0"/>
              <w:divBdr>
                <w:top w:val="none" w:sz="0" w:space="0" w:color="auto"/>
                <w:left w:val="none" w:sz="0" w:space="0" w:color="auto"/>
                <w:bottom w:val="none" w:sz="0" w:space="0" w:color="auto"/>
                <w:right w:val="none" w:sz="0" w:space="0" w:color="auto"/>
              </w:divBdr>
            </w:div>
            <w:div w:id="2112235971">
              <w:marLeft w:val="0"/>
              <w:marRight w:val="0"/>
              <w:marTop w:val="0"/>
              <w:marBottom w:val="0"/>
              <w:divBdr>
                <w:top w:val="none" w:sz="0" w:space="0" w:color="auto"/>
                <w:left w:val="none" w:sz="0" w:space="0" w:color="auto"/>
                <w:bottom w:val="none" w:sz="0" w:space="0" w:color="auto"/>
                <w:right w:val="none" w:sz="0" w:space="0" w:color="auto"/>
              </w:divBdr>
            </w:div>
            <w:div w:id="559050200">
              <w:marLeft w:val="0"/>
              <w:marRight w:val="0"/>
              <w:marTop w:val="0"/>
              <w:marBottom w:val="0"/>
              <w:divBdr>
                <w:top w:val="none" w:sz="0" w:space="0" w:color="auto"/>
                <w:left w:val="none" w:sz="0" w:space="0" w:color="auto"/>
                <w:bottom w:val="none" w:sz="0" w:space="0" w:color="auto"/>
                <w:right w:val="none" w:sz="0" w:space="0" w:color="auto"/>
              </w:divBdr>
            </w:div>
            <w:div w:id="457795680">
              <w:marLeft w:val="0"/>
              <w:marRight w:val="0"/>
              <w:marTop w:val="0"/>
              <w:marBottom w:val="0"/>
              <w:divBdr>
                <w:top w:val="none" w:sz="0" w:space="0" w:color="auto"/>
                <w:left w:val="none" w:sz="0" w:space="0" w:color="auto"/>
                <w:bottom w:val="none" w:sz="0" w:space="0" w:color="auto"/>
                <w:right w:val="none" w:sz="0" w:space="0" w:color="auto"/>
              </w:divBdr>
            </w:div>
            <w:div w:id="1242956518">
              <w:marLeft w:val="0"/>
              <w:marRight w:val="0"/>
              <w:marTop w:val="0"/>
              <w:marBottom w:val="0"/>
              <w:divBdr>
                <w:top w:val="none" w:sz="0" w:space="0" w:color="auto"/>
                <w:left w:val="none" w:sz="0" w:space="0" w:color="auto"/>
                <w:bottom w:val="none" w:sz="0" w:space="0" w:color="auto"/>
                <w:right w:val="none" w:sz="0" w:space="0" w:color="auto"/>
              </w:divBdr>
            </w:div>
            <w:div w:id="770319070">
              <w:marLeft w:val="0"/>
              <w:marRight w:val="0"/>
              <w:marTop w:val="0"/>
              <w:marBottom w:val="0"/>
              <w:divBdr>
                <w:top w:val="none" w:sz="0" w:space="0" w:color="auto"/>
                <w:left w:val="none" w:sz="0" w:space="0" w:color="auto"/>
                <w:bottom w:val="none" w:sz="0" w:space="0" w:color="auto"/>
                <w:right w:val="none" w:sz="0" w:space="0" w:color="auto"/>
              </w:divBdr>
            </w:div>
            <w:div w:id="673263323">
              <w:marLeft w:val="0"/>
              <w:marRight w:val="0"/>
              <w:marTop w:val="0"/>
              <w:marBottom w:val="0"/>
              <w:divBdr>
                <w:top w:val="none" w:sz="0" w:space="0" w:color="auto"/>
                <w:left w:val="none" w:sz="0" w:space="0" w:color="auto"/>
                <w:bottom w:val="none" w:sz="0" w:space="0" w:color="auto"/>
                <w:right w:val="none" w:sz="0" w:space="0" w:color="auto"/>
              </w:divBdr>
            </w:div>
            <w:div w:id="244921129">
              <w:marLeft w:val="0"/>
              <w:marRight w:val="0"/>
              <w:marTop w:val="0"/>
              <w:marBottom w:val="0"/>
              <w:divBdr>
                <w:top w:val="none" w:sz="0" w:space="0" w:color="auto"/>
                <w:left w:val="none" w:sz="0" w:space="0" w:color="auto"/>
                <w:bottom w:val="none" w:sz="0" w:space="0" w:color="auto"/>
                <w:right w:val="none" w:sz="0" w:space="0" w:color="auto"/>
              </w:divBdr>
            </w:div>
            <w:div w:id="1327513751">
              <w:marLeft w:val="0"/>
              <w:marRight w:val="0"/>
              <w:marTop w:val="0"/>
              <w:marBottom w:val="0"/>
              <w:divBdr>
                <w:top w:val="none" w:sz="0" w:space="0" w:color="auto"/>
                <w:left w:val="none" w:sz="0" w:space="0" w:color="auto"/>
                <w:bottom w:val="none" w:sz="0" w:space="0" w:color="auto"/>
                <w:right w:val="none" w:sz="0" w:space="0" w:color="auto"/>
              </w:divBdr>
            </w:div>
            <w:div w:id="1839271590">
              <w:marLeft w:val="0"/>
              <w:marRight w:val="0"/>
              <w:marTop w:val="0"/>
              <w:marBottom w:val="0"/>
              <w:divBdr>
                <w:top w:val="none" w:sz="0" w:space="0" w:color="auto"/>
                <w:left w:val="none" w:sz="0" w:space="0" w:color="auto"/>
                <w:bottom w:val="none" w:sz="0" w:space="0" w:color="auto"/>
                <w:right w:val="none" w:sz="0" w:space="0" w:color="auto"/>
              </w:divBdr>
            </w:div>
            <w:div w:id="1963266022">
              <w:marLeft w:val="0"/>
              <w:marRight w:val="0"/>
              <w:marTop w:val="0"/>
              <w:marBottom w:val="0"/>
              <w:divBdr>
                <w:top w:val="none" w:sz="0" w:space="0" w:color="auto"/>
                <w:left w:val="none" w:sz="0" w:space="0" w:color="auto"/>
                <w:bottom w:val="none" w:sz="0" w:space="0" w:color="auto"/>
                <w:right w:val="none" w:sz="0" w:space="0" w:color="auto"/>
              </w:divBdr>
            </w:div>
            <w:div w:id="1689328189">
              <w:marLeft w:val="0"/>
              <w:marRight w:val="0"/>
              <w:marTop w:val="0"/>
              <w:marBottom w:val="0"/>
              <w:divBdr>
                <w:top w:val="none" w:sz="0" w:space="0" w:color="auto"/>
                <w:left w:val="none" w:sz="0" w:space="0" w:color="auto"/>
                <w:bottom w:val="none" w:sz="0" w:space="0" w:color="auto"/>
                <w:right w:val="none" w:sz="0" w:space="0" w:color="auto"/>
              </w:divBdr>
            </w:div>
            <w:div w:id="947741115">
              <w:marLeft w:val="0"/>
              <w:marRight w:val="0"/>
              <w:marTop w:val="0"/>
              <w:marBottom w:val="0"/>
              <w:divBdr>
                <w:top w:val="none" w:sz="0" w:space="0" w:color="auto"/>
                <w:left w:val="none" w:sz="0" w:space="0" w:color="auto"/>
                <w:bottom w:val="none" w:sz="0" w:space="0" w:color="auto"/>
                <w:right w:val="none" w:sz="0" w:space="0" w:color="auto"/>
              </w:divBdr>
            </w:div>
            <w:div w:id="1915818541">
              <w:marLeft w:val="0"/>
              <w:marRight w:val="0"/>
              <w:marTop w:val="0"/>
              <w:marBottom w:val="0"/>
              <w:divBdr>
                <w:top w:val="none" w:sz="0" w:space="0" w:color="auto"/>
                <w:left w:val="none" w:sz="0" w:space="0" w:color="auto"/>
                <w:bottom w:val="none" w:sz="0" w:space="0" w:color="auto"/>
                <w:right w:val="none" w:sz="0" w:space="0" w:color="auto"/>
              </w:divBdr>
            </w:div>
            <w:div w:id="1757701661">
              <w:marLeft w:val="0"/>
              <w:marRight w:val="0"/>
              <w:marTop w:val="0"/>
              <w:marBottom w:val="0"/>
              <w:divBdr>
                <w:top w:val="none" w:sz="0" w:space="0" w:color="auto"/>
                <w:left w:val="none" w:sz="0" w:space="0" w:color="auto"/>
                <w:bottom w:val="none" w:sz="0" w:space="0" w:color="auto"/>
                <w:right w:val="none" w:sz="0" w:space="0" w:color="auto"/>
              </w:divBdr>
            </w:div>
            <w:div w:id="336736025">
              <w:marLeft w:val="0"/>
              <w:marRight w:val="0"/>
              <w:marTop w:val="0"/>
              <w:marBottom w:val="0"/>
              <w:divBdr>
                <w:top w:val="none" w:sz="0" w:space="0" w:color="auto"/>
                <w:left w:val="none" w:sz="0" w:space="0" w:color="auto"/>
                <w:bottom w:val="none" w:sz="0" w:space="0" w:color="auto"/>
                <w:right w:val="none" w:sz="0" w:space="0" w:color="auto"/>
              </w:divBdr>
            </w:div>
            <w:div w:id="1589850654">
              <w:marLeft w:val="0"/>
              <w:marRight w:val="0"/>
              <w:marTop w:val="0"/>
              <w:marBottom w:val="0"/>
              <w:divBdr>
                <w:top w:val="none" w:sz="0" w:space="0" w:color="auto"/>
                <w:left w:val="none" w:sz="0" w:space="0" w:color="auto"/>
                <w:bottom w:val="none" w:sz="0" w:space="0" w:color="auto"/>
                <w:right w:val="none" w:sz="0" w:space="0" w:color="auto"/>
              </w:divBdr>
            </w:div>
            <w:div w:id="831063666">
              <w:marLeft w:val="0"/>
              <w:marRight w:val="0"/>
              <w:marTop w:val="0"/>
              <w:marBottom w:val="0"/>
              <w:divBdr>
                <w:top w:val="none" w:sz="0" w:space="0" w:color="auto"/>
                <w:left w:val="none" w:sz="0" w:space="0" w:color="auto"/>
                <w:bottom w:val="none" w:sz="0" w:space="0" w:color="auto"/>
                <w:right w:val="none" w:sz="0" w:space="0" w:color="auto"/>
              </w:divBdr>
            </w:div>
            <w:div w:id="1061560067">
              <w:marLeft w:val="0"/>
              <w:marRight w:val="0"/>
              <w:marTop w:val="0"/>
              <w:marBottom w:val="0"/>
              <w:divBdr>
                <w:top w:val="none" w:sz="0" w:space="0" w:color="auto"/>
                <w:left w:val="none" w:sz="0" w:space="0" w:color="auto"/>
                <w:bottom w:val="none" w:sz="0" w:space="0" w:color="auto"/>
                <w:right w:val="none" w:sz="0" w:space="0" w:color="auto"/>
              </w:divBdr>
            </w:div>
            <w:div w:id="1417171373">
              <w:marLeft w:val="0"/>
              <w:marRight w:val="0"/>
              <w:marTop w:val="0"/>
              <w:marBottom w:val="0"/>
              <w:divBdr>
                <w:top w:val="none" w:sz="0" w:space="0" w:color="auto"/>
                <w:left w:val="none" w:sz="0" w:space="0" w:color="auto"/>
                <w:bottom w:val="none" w:sz="0" w:space="0" w:color="auto"/>
                <w:right w:val="none" w:sz="0" w:space="0" w:color="auto"/>
              </w:divBdr>
            </w:div>
            <w:div w:id="31852004">
              <w:marLeft w:val="0"/>
              <w:marRight w:val="0"/>
              <w:marTop w:val="0"/>
              <w:marBottom w:val="0"/>
              <w:divBdr>
                <w:top w:val="none" w:sz="0" w:space="0" w:color="auto"/>
                <w:left w:val="none" w:sz="0" w:space="0" w:color="auto"/>
                <w:bottom w:val="none" w:sz="0" w:space="0" w:color="auto"/>
                <w:right w:val="none" w:sz="0" w:space="0" w:color="auto"/>
              </w:divBdr>
            </w:div>
            <w:div w:id="382413003">
              <w:marLeft w:val="0"/>
              <w:marRight w:val="0"/>
              <w:marTop w:val="0"/>
              <w:marBottom w:val="0"/>
              <w:divBdr>
                <w:top w:val="none" w:sz="0" w:space="0" w:color="auto"/>
                <w:left w:val="none" w:sz="0" w:space="0" w:color="auto"/>
                <w:bottom w:val="none" w:sz="0" w:space="0" w:color="auto"/>
                <w:right w:val="none" w:sz="0" w:space="0" w:color="auto"/>
              </w:divBdr>
            </w:div>
            <w:div w:id="444547702">
              <w:marLeft w:val="0"/>
              <w:marRight w:val="0"/>
              <w:marTop w:val="0"/>
              <w:marBottom w:val="0"/>
              <w:divBdr>
                <w:top w:val="none" w:sz="0" w:space="0" w:color="auto"/>
                <w:left w:val="none" w:sz="0" w:space="0" w:color="auto"/>
                <w:bottom w:val="none" w:sz="0" w:space="0" w:color="auto"/>
                <w:right w:val="none" w:sz="0" w:space="0" w:color="auto"/>
              </w:divBdr>
            </w:div>
            <w:div w:id="1321232331">
              <w:marLeft w:val="0"/>
              <w:marRight w:val="0"/>
              <w:marTop w:val="0"/>
              <w:marBottom w:val="0"/>
              <w:divBdr>
                <w:top w:val="none" w:sz="0" w:space="0" w:color="auto"/>
                <w:left w:val="none" w:sz="0" w:space="0" w:color="auto"/>
                <w:bottom w:val="none" w:sz="0" w:space="0" w:color="auto"/>
                <w:right w:val="none" w:sz="0" w:space="0" w:color="auto"/>
              </w:divBdr>
            </w:div>
            <w:div w:id="106851774">
              <w:marLeft w:val="0"/>
              <w:marRight w:val="0"/>
              <w:marTop w:val="0"/>
              <w:marBottom w:val="0"/>
              <w:divBdr>
                <w:top w:val="none" w:sz="0" w:space="0" w:color="auto"/>
                <w:left w:val="none" w:sz="0" w:space="0" w:color="auto"/>
                <w:bottom w:val="none" w:sz="0" w:space="0" w:color="auto"/>
                <w:right w:val="none" w:sz="0" w:space="0" w:color="auto"/>
              </w:divBdr>
            </w:div>
            <w:div w:id="831674528">
              <w:marLeft w:val="0"/>
              <w:marRight w:val="0"/>
              <w:marTop w:val="0"/>
              <w:marBottom w:val="0"/>
              <w:divBdr>
                <w:top w:val="none" w:sz="0" w:space="0" w:color="auto"/>
                <w:left w:val="none" w:sz="0" w:space="0" w:color="auto"/>
                <w:bottom w:val="none" w:sz="0" w:space="0" w:color="auto"/>
                <w:right w:val="none" w:sz="0" w:space="0" w:color="auto"/>
              </w:divBdr>
            </w:div>
            <w:div w:id="410003487">
              <w:marLeft w:val="0"/>
              <w:marRight w:val="0"/>
              <w:marTop w:val="0"/>
              <w:marBottom w:val="0"/>
              <w:divBdr>
                <w:top w:val="none" w:sz="0" w:space="0" w:color="auto"/>
                <w:left w:val="none" w:sz="0" w:space="0" w:color="auto"/>
                <w:bottom w:val="none" w:sz="0" w:space="0" w:color="auto"/>
                <w:right w:val="none" w:sz="0" w:space="0" w:color="auto"/>
              </w:divBdr>
            </w:div>
            <w:div w:id="1300843193">
              <w:marLeft w:val="0"/>
              <w:marRight w:val="0"/>
              <w:marTop w:val="0"/>
              <w:marBottom w:val="0"/>
              <w:divBdr>
                <w:top w:val="none" w:sz="0" w:space="0" w:color="auto"/>
                <w:left w:val="none" w:sz="0" w:space="0" w:color="auto"/>
                <w:bottom w:val="none" w:sz="0" w:space="0" w:color="auto"/>
                <w:right w:val="none" w:sz="0" w:space="0" w:color="auto"/>
              </w:divBdr>
            </w:div>
            <w:div w:id="731317207">
              <w:marLeft w:val="0"/>
              <w:marRight w:val="0"/>
              <w:marTop w:val="0"/>
              <w:marBottom w:val="0"/>
              <w:divBdr>
                <w:top w:val="none" w:sz="0" w:space="0" w:color="auto"/>
                <w:left w:val="none" w:sz="0" w:space="0" w:color="auto"/>
                <w:bottom w:val="none" w:sz="0" w:space="0" w:color="auto"/>
                <w:right w:val="none" w:sz="0" w:space="0" w:color="auto"/>
              </w:divBdr>
            </w:div>
            <w:div w:id="1195001416">
              <w:marLeft w:val="0"/>
              <w:marRight w:val="0"/>
              <w:marTop w:val="0"/>
              <w:marBottom w:val="0"/>
              <w:divBdr>
                <w:top w:val="none" w:sz="0" w:space="0" w:color="auto"/>
                <w:left w:val="none" w:sz="0" w:space="0" w:color="auto"/>
                <w:bottom w:val="none" w:sz="0" w:space="0" w:color="auto"/>
                <w:right w:val="none" w:sz="0" w:space="0" w:color="auto"/>
              </w:divBdr>
            </w:div>
            <w:div w:id="1213343284">
              <w:marLeft w:val="0"/>
              <w:marRight w:val="0"/>
              <w:marTop w:val="0"/>
              <w:marBottom w:val="0"/>
              <w:divBdr>
                <w:top w:val="none" w:sz="0" w:space="0" w:color="auto"/>
                <w:left w:val="none" w:sz="0" w:space="0" w:color="auto"/>
                <w:bottom w:val="none" w:sz="0" w:space="0" w:color="auto"/>
                <w:right w:val="none" w:sz="0" w:space="0" w:color="auto"/>
              </w:divBdr>
            </w:div>
            <w:div w:id="836461214">
              <w:marLeft w:val="0"/>
              <w:marRight w:val="0"/>
              <w:marTop w:val="0"/>
              <w:marBottom w:val="0"/>
              <w:divBdr>
                <w:top w:val="none" w:sz="0" w:space="0" w:color="auto"/>
                <w:left w:val="none" w:sz="0" w:space="0" w:color="auto"/>
                <w:bottom w:val="none" w:sz="0" w:space="0" w:color="auto"/>
                <w:right w:val="none" w:sz="0" w:space="0" w:color="auto"/>
              </w:divBdr>
            </w:div>
            <w:div w:id="1860391204">
              <w:marLeft w:val="0"/>
              <w:marRight w:val="0"/>
              <w:marTop w:val="0"/>
              <w:marBottom w:val="0"/>
              <w:divBdr>
                <w:top w:val="none" w:sz="0" w:space="0" w:color="auto"/>
                <w:left w:val="none" w:sz="0" w:space="0" w:color="auto"/>
                <w:bottom w:val="none" w:sz="0" w:space="0" w:color="auto"/>
                <w:right w:val="none" w:sz="0" w:space="0" w:color="auto"/>
              </w:divBdr>
            </w:div>
            <w:div w:id="1821926172">
              <w:marLeft w:val="0"/>
              <w:marRight w:val="0"/>
              <w:marTop w:val="0"/>
              <w:marBottom w:val="0"/>
              <w:divBdr>
                <w:top w:val="none" w:sz="0" w:space="0" w:color="auto"/>
                <w:left w:val="none" w:sz="0" w:space="0" w:color="auto"/>
                <w:bottom w:val="none" w:sz="0" w:space="0" w:color="auto"/>
                <w:right w:val="none" w:sz="0" w:space="0" w:color="auto"/>
              </w:divBdr>
            </w:div>
            <w:div w:id="1290666827">
              <w:marLeft w:val="0"/>
              <w:marRight w:val="0"/>
              <w:marTop w:val="0"/>
              <w:marBottom w:val="0"/>
              <w:divBdr>
                <w:top w:val="none" w:sz="0" w:space="0" w:color="auto"/>
                <w:left w:val="none" w:sz="0" w:space="0" w:color="auto"/>
                <w:bottom w:val="none" w:sz="0" w:space="0" w:color="auto"/>
                <w:right w:val="none" w:sz="0" w:space="0" w:color="auto"/>
              </w:divBdr>
            </w:div>
            <w:div w:id="1770346544">
              <w:marLeft w:val="0"/>
              <w:marRight w:val="0"/>
              <w:marTop w:val="0"/>
              <w:marBottom w:val="0"/>
              <w:divBdr>
                <w:top w:val="none" w:sz="0" w:space="0" w:color="auto"/>
                <w:left w:val="none" w:sz="0" w:space="0" w:color="auto"/>
                <w:bottom w:val="none" w:sz="0" w:space="0" w:color="auto"/>
                <w:right w:val="none" w:sz="0" w:space="0" w:color="auto"/>
              </w:divBdr>
            </w:div>
            <w:div w:id="1295987230">
              <w:marLeft w:val="0"/>
              <w:marRight w:val="0"/>
              <w:marTop w:val="0"/>
              <w:marBottom w:val="0"/>
              <w:divBdr>
                <w:top w:val="none" w:sz="0" w:space="0" w:color="auto"/>
                <w:left w:val="none" w:sz="0" w:space="0" w:color="auto"/>
                <w:bottom w:val="none" w:sz="0" w:space="0" w:color="auto"/>
                <w:right w:val="none" w:sz="0" w:space="0" w:color="auto"/>
              </w:divBdr>
            </w:div>
            <w:div w:id="1155220849">
              <w:marLeft w:val="0"/>
              <w:marRight w:val="0"/>
              <w:marTop w:val="0"/>
              <w:marBottom w:val="0"/>
              <w:divBdr>
                <w:top w:val="none" w:sz="0" w:space="0" w:color="auto"/>
                <w:left w:val="none" w:sz="0" w:space="0" w:color="auto"/>
                <w:bottom w:val="none" w:sz="0" w:space="0" w:color="auto"/>
                <w:right w:val="none" w:sz="0" w:space="0" w:color="auto"/>
              </w:divBdr>
            </w:div>
            <w:div w:id="711997803">
              <w:marLeft w:val="0"/>
              <w:marRight w:val="0"/>
              <w:marTop w:val="0"/>
              <w:marBottom w:val="0"/>
              <w:divBdr>
                <w:top w:val="none" w:sz="0" w:space="0" w:color="auto"/>
                <w:left w:val="none" w:sz="0" w:space="0" w:color="auto"/>
                <w:bottom w:val="none" w:sz="0" w:space="0" w:color="auto"/>
                <w:right w:val="none" w:sz="0" w:space="0" w:color="auto"/>
              </w:divBdr>
            </w:div>
            <w:div w:id="1552813402">
              <w:marLeft w:val="0"/>
              <w:marRight w:val="0"/>
              <w:marTop w:val="0"/>
              <w:marBottom w:val="0"/>
              <w:divBdr>
                <w:top w:val="none" w:sz="0" w:space="0" w:color="auto"/>
                <w:left w:val="none" w:sz="0" w:space="0" w:color="auto"/>
                <w:bottom w:val="none" w:sz="0" w:space="0" w:color="auto"/>
                <w:right w:val="none" w:sz="0" w:space="0" w:color="auto"/>
              </w:divBdr>
            </w:div>
            <w:div w:id="1348602761">
              <w:marLeft w:val="0"/>
              <w:marRight w:val="0"/>
              <w:marTop w:val="0"/>
              <w:marBottom w:val="0"/>
              <w:divBdr>
                <w:top w:val="none" w:sz="0" w:space="0" w:color="auto"/>
                <w:left w:val="none" w:sz="0" w:space="0" w:color="auto"/>
                <w:bottom w:val="none" w:sz="0" w:space="0" w:color="auto"/>
                <w:right w:val="none" w:sz="0" w:space="0" w:color="auto"/>
              </w:divBdr>
            </w:div>
            <w:div w:id="603536345">
              <w:marLeft w:val="0"/>
              <w:marRight w:val="0"/>
              <w:marTop w:val="0"/>
              <w:marBottom w:val="0"/>
              <w:divBdr>
                <w:top w:val="none" w:sz="0" w:space="0" w:color="auto"/>
                <w:left w:val="none" w:sz="0" w:space="0" w:color="auto"/>
                <w:bottom w:val="none" w:sz="0" w:space="0" w:color="auto"/>
                <w:right w:val="none" w:sz="0" w:space="0" w:color="auto"/>
              </w:divBdr>
            </w:div>
            <w:div w:id="458452533">
              <w:marLeft w:val="0"/>
              <w:marRight w:val="0"/>
              <w:marTop w:val="0"/>
              <w:marBottom w:val="0"/>
              <w:divBdr>
                <w:top w:val="none" w:sz="0" w:space="0" w:color="auto"/>
                <w:left w:val="none" w:sz="0" w:space="0" w:color="auto"/>
                <w:bottom w:val="none" w:sz="0" w:space="0" w:color="auto"/>
                <w:right w:val="none" w:sz="0" w:space="0" w:color="auto"/>
              </w:divBdr>
            </w:div>
            <w:div w:id="66193378">
              <w:marLeft w:val="0"/>
              <w:marRight w:val="0"/>
              <w:marTop w:val="0"/>
              <w:marBottom w:val="0"/>
              <w:divBdr>
                <w:top w:val="none" w:sz="0" w:space="0" w:color="auto"/>
                <w:left w:val="none" w:sz="0" w:space="0" w:color="auto"/>
                <w:bottom w:val="none" w:sz="0" w:space="0" w:color="auto"/>
                <w:right w:val="none" w:sz="0" w:space="0" w:color="auto"/>
              </w:divBdr>
            </w:div>
            <w:div w:id="1743288836">
              <w:marLeft w:val="0"/>
              <w:marRight w:val="0"/>
              <w:marTop w:val="0"/>
              <w:marBottom w:val="0"/>
              <w:divBdr>
                <w:top w:val="none" w:sz="0" w:space="0" w:color="auto"/>
                <w:left w:val="none" w:sz="0" w:space="0" w:color="auto"/>
                <w:bottom w:val="none" w:sz="0" w:space="0" w:color="auto"/>
                <w:right w:val="none" w:sz="0" w:space="0" w:color="auto"/>
              </w:divBdr>
            </w:div>
            <w:div w:id="279453450">
              <w:marLeft w:val="0"/>
              <w:marRight w:val="0"/>
              <w:marTop w:val="0"/>
              <w:marBottom w:val="0"/>
              <w:divBdr>
                <w:top w:val="none" w:sz="0" w:space="0" w:color="auto"/>
                <w:left w:val="none" w:sz="0" w:space="0" w:color="auto"/>
                <w:bottom w:val="none" w:sz="0" w:space="0" w:color="auto"/>
                <w:right w:val="none" w:sz="0" w:space="0" w:color="auto"/>
              </w:divBdr>
            </w:div>
            <w:div w:id="1129663909">
              <w:marLeft w:val="0"/>
              <w:marRight w:val="0"/>
              <w:marTop w:val="0"/>
              <w:marBottom w:val="0"/>
              <w:divBdr>
                <w:top w:val="none" w:sz="0" w:space="0" w:color="auto"/>
                <w:left w:val="none" w:sz="0" w:space="0" w:color="auto"/>
                <w:bottom w:val="none" w:sz="0" w:space="0" w:color="auto"/>
                <w:right w:val="none" w:sz="0" w:space="0" w:color="auto"/>
              </w:divBdr>
            </w:div>
            <w:div w:id="1578976557">
              <w:marLeft w:val="0"/>
              <w:marRight w:val="0"/>
              <w:marTop w:val="0"/>
              <w:marBottom w:val="0"/>
              <w:divBdr>
                <w:top w:val="none" w:sz="0" w:space="0" w:color="auto"/>
                <w:left w:val="none" w:sz="0" w:space="0" w:color="auto"/>
                <w:bottom w:val="none" w:sz="0" w:space="0" w:color="auto"/>
                <w:right w:val="none" w:sz="0" w:space="0" w:color="auto"/>
              </w:divBdr>
            </w:div>
            <w:div w:id="1684699118">
              <w:marLeft w:val="0"/>
              <w:marRight w:val="0"/>
              <w:marTop w:val="0"/>
              <w:marBottom w:val="0"/>
              <w:divBdr>
                <w:top w:val="none" w:sz="0" w:space="0" w:color="auto"/>
                <w:left w:val="none" w:sz="0" w:space="0" w:color="auto"/>
                <w:bottom w:val="none" w:sz="0" w:space="0" w:color="auto"/>
                <w:right w:val="none" w:sz="0" w:space="0" w:color="auto"/>
              </w:divBdr>
            </w:div>
            <w:div w:id="160632303">
              <w:marLeft w:val="0"/>
              <w:marRight w:val="0"/>
              <w:marTop w:val="0"/>
              <w:marBottom w:val="0"/>
              <w:divBdr>
                <w:top w:val="none" w:sz="0" w:space="0" w:color="auto"/>
                <w:left w:val="none" w:sz="0" w:space="0" w:color="auto"/>
                <w:bottom w:val="none" w:sz="0" w:space="0" w:color="auto"/>
                <w:right w:val="none" w:sz="0" w:space="0" w:color="auto"/>
              </w:divBdr>
            </w:div>
            <w:div w:id="263077743">
              <w:marLeft w:val="0"/>
              <w:marRight w:val="0"/>
              <w:marTop w:val="0"/>
              <w:marBottom w:val="0"/>
              <w:divBdr>
                <w:top w:val="none" w:sz="0" w:space="0" w:color="auto"/>
                <w:left w:val="none" w:sz="0" w:space="0" w:color="auto"/>
                <w:bottom w:val="none" w:sz="0" w:space="0" w:color="auto"/>
                <w:right w:val="none" w:sz="0" w:space="0" w:color="auto"/>
              </w:divBdr>
            </w:div>
            <w:div w:id="62746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iltermag.org/how-the-young-lords-took-lincoln-hospital-and-left-a-health-activism-legacy/" TargetMode="External"/><Relationship Id="rId21" Type="http://schemas.openxmlformats.org/officeDocument/2006/relationships/image" Target="media/image11.png"/><Relationship Id="rId42" Type="http://schemas.openxmlformats.org/officeDocument/2006/relationships/hyperlink" Target="https://www.fiercepharma.com/pharma/merck-gsk-pfizer-j-j-among-top-10-u-s-pharma-settlements-all-time" TargetMode="External"/><Relationship Id="rId63" Type="http://schemas.openxmlformats.org/officeDocument/2006/relationships/hyperlink" Target="https://www.rmff.org/2017/07/needle-exchanges-powerful-solution-drug-abuse/" TargetMode="External"/><Relationship Id="rId84" Type="http://schemas.openxmlformats.org/officeDocument/2006/relationships/hyperlink" Target="https://doi.org/10.1353/jph.2007.0009" TargetMode="External"/><Relationship Id="rId138" Type="http://schemas.openxmlformats.org/officeDocument/2006/relationships/hyperlink" Target="https://doi.org/10.1177/2158244013494209" TargetMode="External"/><Relationship Id="rId159" Type="http://schemas.openxmlformats.org/officeDocument/2006/relationships/hyperlink" Target="https://doi.org/10.1056/NEJMoa1515195" TargetMode="External"/><Relationship Id="rId170" Type="http://schemas.openxmlformats.org/officeDocument/2006/relationships/hyperlink" Target="https://www.historyisaweapon.com/defcon1/russowhywefight.html" TargetMode="External"/><Relationship Id="rId191" Type="http://schemas.openxmlformats.org/officeDocument/2006/relationships/hyperlink" Target="https://www.econlib.org/archives/2015/05/forcing_the_gop.html" TargetMode="External"/><Relationship Id="rId205" Type="http://schemas.openxmlformats.org/officeDocument/2006/relationships/hyperlink" Target="https://doi.org/10.2139/ssrn.1433567" TargetMode="External"/><Relationship Id="rId107" Type="http://schemas.openxmlformats.org/officeDocument/2006/relationships/hyperlink" Target="https://go-gale-com.utk.idm.oclc.org/ps/i.do?id=GALE%7CA481354131&amp;sid=googleScholar&amp;v=2.1&amp;it=r&amp;linkaccess=abs&amp;issn=00224642&amp;p=AONE&amp;sw=w&amp;userGroupName=tel_a_utl" TargetMode="External"/><Relationship Id="rId11" Type="http://schemas.openxmlformats.org/officeDocument/2006/relationships/image" Target="media/image1.png"/><Relationship Id="rId32" Type="http://schemas.openxmlformats.org/officeDocument/2006/relationships/hyperlink" Target="https://oig.hhs.gov/newsroom/media-materials/2019-arpo-takedown/" TargetMode="External"/><Relationship Id="rId53" Type="http://schemas.openxmlformats.org/officeDocument/2006/relationships/hyperlink" Target="https://www.cdc.gov/opioids/data/analysis-resources.html" TargetMode="External"/><Relationship Id="rId74" Type="http://schemas.openxmlformats.org/officeDocument/2006/relationships/hyperlink" Target="https://www.politico.com/story/2016/08/under-pences-leadership-response-to-heroin-epidemic-criticized-as-ineffective-226759" TargetMode="External"/><Relationship Id="rId128" Type="http://schemas.openxmlformats.org/officeDocument/2006/relationships/hyperlink" Target="https://doi.org/10.1093/rsq/hdt019" TargetMode="External"/><Relationship Id="rId149" Type="http://schemas.openxmlformats.org/officeDocument/2006/relationships/hyperlink" Target="https://doi.org/10.1016/j.eclinm.2020.100367" TargetMode="External"/><Relationship Id="rId5" Type="http://schemas.openxmlformats.org/officeDocument/2006/relationships/webSettings" Target="webSettings.xml"/><Relationship Id="rId90" Type="http://schemas.openxmlformats.org/officeDocument/2006/relationships/hyperlink" Target="https://doi.org/10.1016/j.socscimed.2011.11.045" TargetMode="External"/><Relationship Id="rId95" Type="http://schemas.openxmlformats.org/officeDocument/2006/relationships/hyperlink" Target="https://doi.org/10.2105/AJPH.2016.303483" TargetMode="External"/><Relationship Id="rId160" Type="http://schemas.openxmlformats.org/officeDocument/2006/relationships/hyperlink" Target="https://doi.org/10.1177/0309132517739143" TargetMode="External"/><Relationship Id="rId165" Type="http://schemas.openxmlformats.org/officeDocument/2006/relationships/hyperlink" Target="http://www.congress.gov/" TargetMode="External"/><Relationship Id="rId181" Type="http://schemas.openxmlformats.org/officeDocument/2006/relationships/hyperlink" Target="https://doi.org/10.1007/s10612-021-09558-0" TargetMode="External"/><Relationship Id="rId186" Type="http://schemas.openxmlformats.org/officeDocument/2006/relationships/hyperlink" Target="https://doi.org/10.1093/bjsw/bcv067" TargetMode="External"/><Relationship Id="rId216" Type="http://schemas.openxmlformats.org/officeDocument/2006/relationships/hyperlink" Target="https://www.politico.com/magazine/story/2015/05/red-state-hiv-epidemic-drug-use-republican-governors-118379/" TargetMode="External"/><Relationship Id="rId211" Type="http://schemas.openxmlformats.org/officeDocument/2006/relationships/hyperlink" Target="https://doi.org/10.1001/journalofethics.2016.18.3.hlaw1-1603" TargetMode="External"/><Relationship Id="rId22" Type="http://schemas.openxmlformats.org/officeDocument/2006/relationships/image" Target="media/image12.png"/><Relationship Id="rId27" Type="http://schemas.openxmlformats.org/officeDocument/2006/relationships/hyperlink" Target="https://doi.org/10.1177/0010836718807501" TargetMode="External"/><Relationship Id="rId43" Type="http://schemas.openxmlformats.org/officeDocument/2006/relationships/hyperlink" Target="https://filtermag.org/queer-art-harm-reduction-ripley-soprano/" TargetMode="External"/><Relationship Id="rId48" Type="http://schemas.openxmlformats.org/officeDocument/2006/relationships/hyperlink" Target="https://www.somerset-kentucky.com/news/rogers-spearheads-effort-to-relax-funding-ban-on-needle-exchange-programs/article_f3dc0880-b659-11e5-bc79-930023e6ab67.html" TargetMode="External"/><Relationship Id="rId64" Type="http://schemas.openxmlformats.org/officeDocument/2006/relationships/hyperlink" Target="https://publichealth.jhu.edu/2022/what-is-harm-reduction" TargetMode="External"/><Relationship Id="rId69" Type="http://schemas.openxmlformats.org/officeDocument/2006/relationships/hyperlink" Target="https://doi.org/10.1080/09502386.2018.1544264" TargetMode="External"/><Relationship Id="rId113" Type="http://schemas.openxmlformats.org/officeDocument/2006/relationships/hyperlink" Target="https://khn.org/news/article/tennessee-pharmacies-opioid-pills-investigation/" TargetMode="External"/><Relationship Id="rId118" Type="http://schemas.openxmlformats.org/officeDocument/2006/relationships/hyperlink" Target="https://www.vanityfair.com/news/2015/11/reagan-administration-response-to-aids-crisis" TargetMode="External"/><Relationship Id="rId134" Type="http://schemas.openxmlformats.org/officeDocument/2006/relationships/hyperlink" Target="https://doi.org/10.1177/009145091304000306" TargetMode="External"/><Relationship Id="rId139" Type="http://schemas.openxmlformats.org/officeDocument/2006/relationships/hyperlink" Target="https://doi.org/10.1177/002204269502500305" TargetMode="External"/><Relationship Id="rId80" Type="http://schemas.openxmlformats.org/officeDocument/2006/relationships/hyperlink" Target="https://doi.org/10.1080/15332640.2014.976803" TargetMode="External"/><Relationship Id="rId85" Type="http://schemas.openxmlformats.org/officeDocument/2006/relationships/hyperlink" Target="https://doi.org/10.1068/d040351" TargetMode="External"/><Relationship Id="rId150" Type="http://schemas.openxmlformats.org/officeDocument/2006/relationships/hyperlink" Target="https://forgeorganizing.org/article/act-was-vanguard-organization" TargetMode="External"/><Relationship Id="rId155" Type="http://schemas.openxmlformats.org/officeDocument/2006/relationships/hyperlink" Target="https://www.johnsoncitypress.com/etsu-starts-new-syringe-exchange-program/article_c9abc4ea-99d1-54af-bb4a-eb7ed1e27104.html" TargetMode="External"/><Relationship Id="rId171" Type="http://schemas.openxmlformats.org/officeDocument/2006/relationships/hyperlink" Target="https://www.georgeaumoithe.com/wp-content/uploads/2017/11/ACT-UP-Aumoithe.pdf" TargetMode="External"/><Relationship Id="rId176" Type="http://schemas.openxmlformats.org/officeDocument/2006/relationships/hyperlink" Target="https://www.healthleadersmedia.com/clinical-care/purdue-pharmas-sales-pitch-downplayed-risks-opioid-addiction" TargetMode="External"/><Relationship Id="rId192" Type="http://schemas.openxmlformats.org/officeDocument/2006/relationships/hyperlink" Target="https://doi.org/10.1177/1363459314556904" TargetMode="External"/><Relationship Id="rId197" Type="http://schemas.openxmlformats.org/officeDocument/2006/relationships/hyperlink" Target="https://www.hivlawandpolicy.org/sites/default/files/Kentucky%20-%20Excerpt%20from%20CHLP%27s%20Sourcebook%20on%20HIV%20Criminalization%20in%20the%20U.S._0.pdf" TargetMode="External"/><Relationship Id="rId206" Type="http://schemas.openxmlformats.org/officeDocument/2006/relationships/hyperlink" Target="https://www.nytimes.com/2016/08/08/us/politics/mike-pence-needle-exchanges-indiana.html" TargetMode="External"/><Relationship Id="rId201" Type="http://schemas.openxmlformats.org/officeDocument/2006/relationships/hyperlink" Target="https://www.nytimes.com/2019/12/01/opinion/hiv-aids-rural-america.html"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https://www.wkrn.com/special-reports/tennessees-opioid-crisis/syringe-exchange-program-provides-users-with-clean-needles-offers-help/" TargetMode="External"/><Relationship Id="rId38" Type="http://schemas.openxmlformats.org/officeDocument/2006/relationships/hyperlink" Target="https://doi.org/10.2105/AJPH.2014.302147" TargetMode="External"/><Relationship Id="rId59" Type="http://schemas.openxmlformats.org/officeDocument/2006/relationships/hyperlink" Target="https://www.thenation.com/article/archive/the-opioid-crisis-has-led-to-a-spike-in-the-white-incarceration-rate/" TargetMode="External"/><Relationship Id="rId103" Type="http://schemas.openxmlformats.org/officeDocument/2006/relationships/hyperlink" Target="https://doi.org/10.1177/1745691619896252" TargetMode="External"/><Relationship Id="rId108" Type="http://schemas.openxmlformats.org/officeDocument/2006/relationships/hyperlink" Target="https://filtermag.org/what-do-we-want-from-safer-consumption-spaces-seattle-has-three-underground-models/" TargetMode="External"/><Relationship Id="rId124" Type="http://schemas.openxmlformats.org/officeDocument/2006/relationships/hyperlink" Target="https://kentuckylantern.com/2023/01/09/pfizer-gives-1-million-to-republican-party-of-kentucky-to-expand-its-headquarters/" TargetMode="External"/><Relationship Id="rId129" Type="http://schemas.openxmlformats.org/officeDocument/2006/relationships/hyperlink" Target="https://fee.org/articles/the-racist-roots-of-marijuana-prohibition/" TargetMode="External"/><Relationship Id="rId54" Type="http://schemas.openxmlformats.org/officeDocument/2006/relationships/hyperlink" Target="https://www.cdc.gov/opioids/basics/epidemic.html" TargetMode="External"/><Relationship Id="rId70" Type="http://schemas.openxmlformats.org/officeDocument/2006/relationships/hyperlink" Target="https://www.nytimes.com/2017/10/26/us/politics/trump-opioid-crisis.html" TargetMode="External"/><Relationship Id="rId75" Type="http://schemas.openxmlformats.org/officeDocument/2006/relationships/hyperlink" Target="https://doi.org/10.1186/s12954-017-0178-6" TargetMode="External"/><Relationship Id="rId91" Type="http://schemas.openxmlformats.org/officeDocument/2006/relationships/hyperlink" Target="https://www.huffpost.com/entry/aids-activists-arrested-clean-needle-exchange_n_1370525" TargetMode="External"/><Relationship Id="rId96" Type="http://schemas.openxmlformats.org/officeDocument/2006/relationships/hyperlink" Target="https://www.yesmagazine.org/health-happiness/2023/01/19/harm-reduction" TargetMode="External"/><Relationship Id="rId140" Type="http://schemas.openxmlformats.org/officeDocument/2006/relationships/hyperlink" Target="https://doi.org/10.1057/978-1-137-56057-5" TargetMode="External"/><Relationship Id="rId145" Type="http://schemas.openxmlformats.org/officeDocument/2006/relationships/hyperlink" Target="https://doi.org/10.1057/biosoc.2015.46" TargetMode="External"/><Relationship Id="rId161" Type="http://schemas.openxmlformats.org/officeDocument/2006/relationships/hyperlink" Target="https://doi.org/10.1080/09589236.2020.1693173" TargetMode="External"/><Relationship Id="rId166" Type="http://schemas.openxmlformats.org/officeDocument/2006/relationships/hyperlink" Target="https://doi.org/10.1111/1467-9566.12018" TargetMode="External"/><Relationship Id="rId182" Type="http://schemas.openxmlformats.org/officeDocument/2006/relationships/hyperlink" Target="http://www.ram-wan.net/restrepo/hall/gramsci%20and%20us.pdf" TargetMode="External"/><Relationship Id="rId187" Type="http://schemas.openxmlformats.org/officeDocument/2006/relationships/hyperlink" Target="https://doi.org/10.25158/L7.1.5"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doi.org/10.1001/journalofethics.2016.18.3.hlaw1-1603" TargetMode="External"/><Relationship Id="rId23" Type="http://schemas.openxmlformats.org/officeDocument/2006/relationships/image" Target="media/image13.png"/><Relationship Id="rId28" Type="http://schemas.openxmlformats.org/officeDocument/2006/relationships/hyperlink" Target="https://www.jstor.org.proxy.lib.utk.edu:90/stable/10.3366/j.ctt1g09x4q" TargetMode="External"/><Relationship Id="rId49" Type="http://schemas.openxmlformats.org/officeDocument/2006/relationships/hyperlink" Target="https://doi.org/10.1111/j.1548-1360.2008.00023.x" TargetMode="External"/><Relationship Id="rId114" Type="http://schemas.openxmlformats.org/officeDocument/2006/relationships/hyperlink" Target="https://khn.org/news/needle-exchanges-find-new-champions-among-republicans/" TargetMode="External"/><Relationship Id="rId119" Type="http://schemas.openxmlformats.org/officeDocument/2006/relationships/hyperlink" Target="https://www.leadbureau.org/" TargetMode="External"/><Relationship Id="rId44" Type="http://schemas.openxmlformats.org/officeDocument/2006/relationships/hyperlink" Target="https://filtermag.org/how-drug-policy-fuels-genocide-indigenous-women-canada/" TargetMode="External"/><Relationship Id="rId60" Type="http://schemas.openxmlformats.org/officeDocument/2006/relationships/hyperlink" Target="https://trumpwhitehouse.archives.gov/sites/whitehouse.gov/files/images/Final_Report_Draft_11-15-2017.pdf" TargetMode="External"/><Relationship Id="rId65" Type="http://schemas.openxmlformats.org/officeDocument/2006/relationships/hyperlink" Target="https://doi.org/10.2307/778889" TargetMode="External"/><Relationship Id="rId81" Type="http://schemas.openxmlformats.org/officeDocument/2006/relationships/hyperlink" Target="https://doi.org/10.1016/j.drugpo.2015.01.018" TargetMode="External"/><Relationship Id="rId86" Type="http://schemas.openxmlformats.org/officeDocument/2006/relationships/hyperlink" Target="https://www.counterpunch.org/2009/02/06/the-opium-exclusion-act-of-1909/" TargetMode="External"/><Relationship Id="rId130" Type="http://schemas.openxmlformats.org/officeDocument/2006/relationships/hyperlink" Target="https://www.theartnewspaper.com/2019/12/12/from-the-moma-expansion-to-artwashing-ill-gotten-wealth-the-major-museum-moments-of-2019" TargetMode="External"/><Relationship Id="rId135" Type="http://schemas.openxmlformats.org/officeDocument/2006/relationships/hyperlink" Target="https://doi.org/10.1080/13528165.2018.1495955" TargetMode="External"/><Relationship Id="rId151" Type="http://schemas.openxmlformats.org/officeDocument/2006/relationships/hyperlink" Target="https://doi.org/10.1215/03616878-3702782" TargetMode="External"/><Relationship Id="rId156" Type="http://schemas.openxmlformats.org/officeDocument/2006/relationships/hyperlink" Target="https://doi.org/10.1080/14461242.2016.1184583" TargetMode="External"/><Relationship Id="rId177" Type="http://schemas.openxmlformats.org/officeDocument/2006/relationships/hyperlink" Target="https://www.nytimes.com/2015/03/27/us/indiana-declares-health-emergency-after-hiv-outbreak.html" TargetMode="External"/><Relationship Id="rId198" Type="http://schemas.openxmlformats.org/officeDocument/2006/relationships/hyperlink" Target="https://www.nolangroupmedia.com/manchester_enterprise/ford-aims-to-solve-u-s-coal-problem-with-clay-county/article_dcda2a36-7c5c-11ea-80fd-4fd624a95750.html" TargetMode="External"/><Relationship Id="rId172" Type="http://schemas.openxmlformats.org/officeDocument/2006/relationships/hyperlink" Target="https://doi.org/10.7759/cureus.3733" TargetMode="External"/><Relationship Id="rId193" Type="http://schemas.openxmlformats.org/officeDocument/2006/relationships/hyperlink" Target="https://doi.org/10.1177/1363459314556904" TargetMode="External"/><Relationship Id="rId202" Type="http://schemas.openxmlformats.org/officeDocument/2006/relationships/hyperlink" Target="https://www.nytimes.com/2019/12/01/opinion/hiv-aids-rural-america.html" TargetMode="External"/><Relationship Id="rId207" Type="http://schemas.openxmlformats.org/officeDocument/2006/relationships/hyperlink" Target="https://www.pbs.org/newshour/health/early-results-of-w-va-towns-needle-exchange-program-shows-progress"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www.dropbox.com/s/gl8rprid1qk93ek/Ben-Mosche_tension_between_abolition_reform.pdf?dl=0" TargetMode="External"/><Relationship Id="rId109" Type="http://schemas.openxmlformats.org/officeDocument/2006/relationships/hyperlink" Target="https://www.statnews.com/2016/08/22/heroin-huntington-west-virginia-overdoses/" TargetMode="External"/><Relationship Id="rId34" Type="http://schemas.openxmlformats.org/officeDocument/2006/relationships/hyperlink" Target="https://perfectunion.us/how-the-sacklers-got-and-stayed-rich/" TargetMode="External"/><Relationship Id="rId50" Type="http://schemas.openxmlformats.org/officeDocument/2006/relationships/hyperlink" Target="https://filtermag.org/harm-reduction-expansion-activism/" TargetMode="External"/><Relationship Id="rId55" Type="http://schemas.openxmlformats.org/officeDocument/2006/relationships/hyperlink" Target="https://www.cdc.gov/ssp/syringe-services-programs-summary.html" TargetMode="External"/><Relationship Id="rId76" Type="http://schemas.openxmlformats.org/officeDocument/2006/relationships/hyperlink" Target="https://doi.org/10.1038/d41586-019-02686-2" TargetMode="External"/><Relationship Id="rId97" Type="http://schemas.openxmlformats.org/officeDocument/2006/relationships/hyperlink" Target="http://theconversation.com/the-opioid-crisis-isnt-just-the-sacklers-fault-and-making-purdue-pharma-pay-isnt-enough-on-its-own-to-fix-the-pharmaceutical-industrys-deeper-problems-178710" TargetMode="External"/><Relationship Id="rId104" Type="http://schemas.openxmlformats.org/officeDocument/2006/relationships/hyperlink" Target="https://www.abc.net.au/news/2019-03-19/the-small-town-doctor-taking-on-the-sackler-family/10910916" TargetMode="External"/><Relationship Id="rId120" Type="http://schemas.openxmlformats.org/officeDocument/2006/relationships/hyperlink" Target="https://filtermag.org/lead-program-police/" TargetMode="External"/><Relationship Id="rId125" Type="http://schemas.openxmlformats.org/officeDocument/2006/relationships/hyperlink" Target="https://www.vox.com/2014/9/25/6842187/drug-schedule-list-marijuana" TargetMode="External"/><Relationship Id="rId141" Type="http://schemas.openxmlformats.org/officeDocument/2006/relationships/hyperlink" Target="https://www.bostonreview.net/forum/donna-murch-how-race-made-opioid-crisis/" TargetMode="External"/><Relationship Id="rId146" Type="http://schemas.openxmlformats.org/officeDocument/2006/relationships/hyperlink" Target="http://memoiresofaheroinhead.blogspot.com/2009/04/heroin-addicts-vs-junkies-request.html" TargetMode="External"/><Relationship Id="rId167" Type="http://schemas.openxmlformats.org/officeDocument/2006/relationships/hyperlink" Target="https://doi.org/10.1097/00007435-199907000-00008" TargetMode="External"/><Relationship Id="rId188" Type="http://schemas.openxmlformats.org/officeDocument/2006/relationships/hyperlink" Target="https://www.wbir.com/article/news/nation-world/harsher-fentanyl-penalties-states/507-000badc0-d604-48ac-adc4-798e3e054bd3" TargetMode="External"/><Relationship Id="rId7" Type="http://schemas.openxmlformats.org/officeDocument/2006/relationships/endnotes" Target="endnotes.xml"/><Relationship Id="rId71" Type="http://schemas.openxmlformats.org/officeDocument/2006/relationships/hyperlink" Target="https://doi.org/10.1186/s12954-019-0295-5" TargetMode="External"/><Relationship Id="rId92" Type="http://schemas.openxmlformats.org/officeDocument/2006/relationships/hyperlink" Target="https://msuweb.montclair.edu/~furrg/pursuits/hallcultstuds.html" TargetMode="External"/><Relationship Id="rId162" Type="http://schemas.openxmlformats.org/officeDocument/2006/relationships/hyperlink" Target="https://doi.org/10.7205/MILMED.170.4S.61" TargetMode="External"/><Relationship Id="rId183" Type="http://schemas.openxmlformats.org/officeDocument/2006/relationships/hyperlink" Target="https://www.motherjones.com/politics/2022/11/harm-reduction-opioid-overdose-naloxone-epidemic-biden/" TargetMode="External"/><Relationship Id="rId213" Type="http://schemas.openxmlformats.org/officeDocument/2006/relationships/hyperlink" Target="https://obamawhitehouse.archives.gov/blog/2012/01/05/Federal-funding-ban-needle-exchange-programs"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oi.org/10.2139/ssrn.3670952" TargetMode="External"/><Relationship Id="rId24" Type="http://schemas.openxmlformats.org/officeDocument/2006/relationships/hyperlink" Target="https://www.aclu.org/other/against-drug-prohibition" TargetMode="External"/><Relationship Id="rId40" Type="http://schemas.openxmlformats.org/officeDocument/2006/relationships/hyperlink" Target="https://doi.org/10.1086/521568" TargetMode="External"/><Relationship Id="rId45" Type="http://schemas.openxmlformats.org/officeDocument/2006/relationships/hyperlink" Target="https://caseybowser.com/sackler.html" TargetMode="External"/><Relationship Id="rId66" Type="http://schemas.openxmlformats.org/officeDocument/2006/relationships/hyperlink" Target="https://doi.org/10.2307/466431" TargetMode="External"/><Relationship Id="rId87" Type="http://schemas.openxmlformats.org/officeDocument/2006/relationships/hyperlink" Target="https://doi.org/10.17813/maiq.7.2.8u264427k88vl764" TargetMode="External"/><Relationship Id="rId110" Type="http://schemas.openxmlformats.org/officeDocument/2006/relationships/hyperlink" Target="https://www.statnews.com/2016/08/22/heroin-huntington-west-virginia-overdoses/" TargetMode="External"/><Relationship Id="rId115" Type="http://schemas.openxmlformats.org/officeDocument/2006/relationships/hyperlink" Target="https://health.wusf.usf.edu/npr-health/2019-05-09/needle-exchanges-find-new-champions-among-republicans" TargetMode="External"/><Relationship Id="rId131" Type="http://schemas.openxmlformats.org/officeDocument/2006/relationships/hyperlink" Target="https://www.theguardian.com/us-news/2021/may/16/amerisourcebergen-pillbillies-emails-west-virginia-opioid-trial-" TargetMode="External"/><Relationship Id="rId136" Type="http://schemas.openxmlformats.org/officeDocument/2006/relationships/hyperlink" Target="https://www.nytimes.com/2019/08/18/health/opioids-purdue-pennington-gap.html" TargetMode="External"/><Relationship Id="rId157" Type="http://schemas.openxmlformats.org/officeDocument/2006/relationships/hyperlink" Target="https://doi.org/10.1177/0094582X20975007" TargetMode="External"/><Relationship Id="rId178" Type="http://schemas.openxmlformats.org/officeDocument/2006/relationships/hyperlink" Target="https://doi.org/10.14321/qed.3.1.0001" TargetMode="External"/><Relationship Id="rId61" Type="http://schemas.openxmlformats.org/officeDocument/2006/relationships/hyperlink" Target="https://doi.org/10.1177/0196859910382451" TargetMode="External"/><Relationship Id="rId82" Type="http://schemas.openxmlformats.org/officeDocument/2006/relationships/hyperlink" Target="https://www.jsonline.com/story/news/investigations/2019/05/17/what-happened-poster-children-oxycontin/3705244002/" TargetMode="External"/><Relationship Id="rId152" Type="http://schemas.openxmlformats.org/officeDocument/2006/relationships/hyperlink" Target="https://doi.org/10.1093/shm/hky108" TargetMode="External"/><Relationship Id="rId173" Type="http://schemas.openxmlformats.org/officeDocument/2006/relationships/hyperlink" Target="https://www.latimes.com/archives/la-xpm-1997-aug-12-me-21784-story.html" TargetMode="External"/><Relationship Id="rId194" Type="http://schemas.openxmlformats.org/officeDocument/2006/relationships/hyperlink" Target="https://www.marxists.org/history/usa/workers/black-panthers/1970/dope.htm" TargetMode="External"/><Relationship Id="rId199" Type="http://schemas.openxmlformats.org/officeDocument/2006/relationships/hyperlink" Target="https://www.govinfo.gov/content/pkg/CHRG-116hhrg43010/html/CHRG-116hhrg43010.htm" TargetMode="External"/><Relationship Id="rId203" Type="http://schemas.openxmlformats.org/officeDocument/2006/relationships/hyperlink" Target="https://law.justia.com/codes/tennessee/2019/title-68/health/chapter-1/part-1/section-68-1-136/" TargetMode="External"/><Relationship Id="rId208" Type="http://schemas.openxmlformats.org/officeDocument/2006/relationships/hyperlink" Target="http://pew.org/2Hc5r9R"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ww.courier-journal.com/story/opinion/contributors/2015/03/24/lift-clean-needle-exchange-ban-name-public-health/70371456/" TargetMode="External"/><Relationship Id="rId35" Type="http://schemas.openxmlformats.org/officeDocument/2006/relationships/hyperlink" Target="https://doi.org/10.1093/isq/sqy060" TargetMode="External"/><Relationship Id="rId56" Type="http://schemas.openxmlformats.org/officeDocument/2006/relationships/hyperlink" Target="https://www.cdc.gov/pwid/vulnerable-counties-data.html" TargetMode="External"/><Relationship Id="rId77" Type="http://schemas.openxmlformats.org/officeDocument/2006/relationships/hyperlink" Target="https://www.justice.gov/opa/pr/justice-department-announces-global-resolution-criminal-and-civil-investigations-opioid" TargetMode="External"/><Relationship Id="rId100" Type="http://schemas.openxmlformats.org/officeDocument/2006/relationships/hyperlink" Target="https://wset.com/news/local/drug-related-overdose-deaths-should-alleged-dealers-be-charged-in-virginia" TargetMode="External"/><Relationship Id="rId105" Type="http://schemas.openxmlformats.org/officeDocument/2006/relationships/hyperlink" Target="https://libraries.uta.edu/ettahulme/image/20108910" TargetMode="External"/><Relationship Id="rId126" Type="http://schemas.openxmlformats.org/officeDocument/2006/relationships/hyperlink" Target="https://www.brookings.edu/blog/the-avenue/2020/12/08/the-rural-urban-divide-furthers-myths-about-race-and-poverty-concealing-effective-policy-solutions/" TargetMode="External"/><Relationship Id="rId147" Type="http://schemas.openxmlformats.org/officeDocument/2006/relationships/hyperlink" Target="https://communemag.com/junkie-communism/" TargetMode="External"/><Relationship Id="rId168" Type="http://schemas.openxmlformats.org/officeDocument/2006/relationships/hyperlink" Target="https://doi.org/10.1080/09581590500372188" TargetMode="External"/><Relationship Id="rId8" Type="http://schemas.openxmlformats.org/officeDocument/2006/relationships/header" Target="header1.xml"/><Relationship Id="rId51" Type="http://schemas.openxmlformats.org/officeDocument/2006/relationships/hyperlink" Target="https://read.amazon.com/?asin=B07JN23TW7&amp;ref_=dbs_t_r_kcr" TargetMode="External"/><Relationship Id="rId72" Type="http://schemas.openxmlformats.org/officeDocument/2006/relationships/hyperlink" Target="https://doi.org/10.1111/j.0737-1209.2004.021211.x" TargetMode="External"/><Relationship Id="rId93" Type="http://schemas.openxmlformats.org/officeDocument/2006/relationships/hyperlink" Target="https://doi.org/10.3898/136266210791036791" TargetMode="External"/><Relationship Id="rId98" Type="http://schemas.openxmlformats.org/officeDocument/2006/relationships/hyperlink" Target="https://www.washingtonpost.com/graphics/2017/investigations/dea-drug-industry-congress/" TargetMode="External"/><Relationship Id="rId121" Type="http://schemas.openxmlformats.org/officeDocument/2006/relationships/hyperlink" Target="https://legislativeanalysis.org/wp-content/uploads/2021/11/Syringe-Services-Programs-FINAL.pdf" TargetMode="External"/><Relationship Id="rId142" Type="http://schemas.openxmlformats.org/officeDocument/2006/relationships/hyperlink" Target="https://doi.org/10.1186/s12954-017-0157-y" TargetMode="External"/><Relationship Id="rId163" Type="http://schemas.openxmlformats.org/officeDocument/2006/relationships/hyperlink" Target="https://www.ncsc.org/__data/assets/pdf_file/0034/79945/RJOI-Vending-Report-FINAL-July-2022.pdf" TargetMode="External"/><Relationship Id="rId184" Type="http://schemas.openxmlformats.org/officeDocument/2006/relationships/hyperlink" Target="https://www.somerset-kentucky.com/news/somerset-residents-raise-concerns-about-homeless-discarded-drug-needles/article_7a5c02e8-06ae-11ec-8738-ef36eb731e96.html" TargetMode="External"/><Relationship Id="rId189" Type="http://schemas.openxmlformats.org/officeDocument/2006/relationships/hyperlink" Target="https://stimpunks.org/glossary/harm-reduction/" TargetMode="External"/><Relationship Id="rId3" Type="http://schemas.openxmlformats.org/officeDocument/2006/relationships/styles" Target="styles.xml"/><Relationship Id="rId214" Type="http://schemas.openxmlformats.org/officeDocument/2006/relationships/hyperlink" Target="https://www.tn.gov/content/dam/tn/health/documents/2019-Harm-Reduction-Annual-Report.pdf" TargetMode="External"/><Relationship Id="rId25" Type="http://schemas.openxmlformats.org/officeDocument/2006/relationships/hyperlink" Target="https://www.aclu.org/other/against-drug-prohibition" TargetMode="External"/><Relationship Id="rId46" Type="http://schemas.openxmlformats.org/officeDocument/2006/relationships/hyperlink" Target="https://www.ucpress.edu/book/9780520254985/righteous-dopefiend" TargetMode="External"/><Relationship Id="rId67" Type="http://schemas.openxmlformats.org/officeDocument/2006/relationships/hyperlink" Target="https://cidev.uky.edu/kentuckyhealthnews/2022/09/12/ky-has-82-syringe-exchange-programs-in-63-counties-the-most-of-any-state-but-state-drug-control-official-says-thats-not-enough/" TargetMode="External"/><Relationship Id="rId116" Type="http://schemas.openxmlformats.org/officeDocument/2006/relationships/hyperlink" Target="https://www.nytimes.com/1987/11/07/opinion/senator-helms-s-callousness-toward-aids-victims.html" TargetMode="External"/><Relationship Id="rId137" Type="http://schemas.openxmlformats.org/officeDocument/2006/relationships/hyperlink" Target="https://www.washingtonpost.com/graphics/2018/national/amp-stories/oxycontin-how-misleading-marketing-got-america-addicted/" TargetMode="External"/><Relationship Id="rId158" Type="http://schemas.openxmlformats.org/officeDocument/2006/relationships/hyperlink" Target="https://doi.org/10.1056/NEJMoa1515195" TargetMode="External"/><Relationship Id="rId20" Type="http://schemas.openxmlformats.org/officeDocument/2006/relationships/image" Target="media/image10.png"/><Relationship Id="rId41" Type="http://schemas.openxmlformats.org/officeDocument/2006/relationships/hyperlink" Target="https://doi.org/10.15585/mmwr.mm6718a5" TargetMode="External"/><Relationship Id="rId62" Type="http://schemas.openxmlformats.org/officeDocument/2006/relationships/hyperlink" Target="https://doi.org/10.1080/01596306.2015.1013247" TargetMode="External"/><Relationship Id="rId83" Type="http://schemas.openxmlformats.org/officeDocument/2006/relationships/hyperlink" Target="https://doi.org/10.1111/newe.12035" TargetMode="External"/><Relationship Id="rId88" Type="http://schemas.openxmlformats.org/officeDocument/2006/relationships/hyperlink" Target="https://doi.org/10.1080/00335630.2011.638661" TargetMode="External"/><Relationship Id="rId111" Type="http://schemas.openxmlformats.org/officeDocument/2006/relationships/hyperlink" Target="https://www.hri.global/contents/361" TargetMode="External"/><Relationship Id="rId132" Type="http://schemas.openxmlformats.org/officeDocument/2006/relationships/hyperlink" Target="https://doi.org/10.1177/1354066111425258" TargetMode="External"/><Relationship Id="rId153" Type="http://schemas.openxmlformats.org/officeDocument/2006/relationships/hyperlink" Target="https://doi.org/10.1093/shm/hky108" TargetMode="External"/><Relationship Id="rId174" Type="http://schemas.openxmlformats.org/officeDocument/2006/relationships/hyperlink" Target="https://doi.org/10.1016/0277-9536(96)00152-9" TargetMode="External"/><Relationship Id="rId179" Type="http://schemas.openxmlformats.org/officeDocument/2006/relationships/hyperlink" Target="https://doi.org/10.1093/bjc/azw066" TargetMode="External"/><Relationship Id="rId195" Type="http://schemas.openxmlformats.org/officeDocument/2006/relationships/hyperlink" Target="https://doi.org/10.2105/AJPH.2005.065961" TargetMode="External"/><Relationship Id="rId209" Type="http://schemas.openxmlformats.org/officeDocument/2006/relationships/hyperlink" Target="https://doi.org/10.1017/jme.2022.5" TargetMode="External"/><Relationship Id="rId190" Type="http://schemas.openxmlformats.org/officeDocument/2006/relationships/hyperlink" Target="https://stimpunks.org/glossary/harm-reduction/" TargetMode="External"/><Relationship Id="rId204" Type="http://schemas.openxmlformats.org/officeDocument/2006/relationships/hyperlink" Target="https://law.justia.com/codes/tennessee/2021/title-68/chapter-1/part-1/section-68-1-136/" TargetMode="External"/><Relationship Id="rId15" Type="http://schemas.openxmlformats.org/officeDocument/2006/relationships/image" Target="media/image5.png"/><Relationship Id="rId36" Type="http://schemas.openxmlformats.org/officeDocument/2006/relationships/hyperlink" Target="https://khn.org/news/needle-exchange-federal-funding/" TargetMode="External"/><Relationship Id="rId57" Type="http://schemas.openxmlformats.org/officeDocument/2006/relationships/hyperlink" Target="https://www.cdc.gov/pwid/vulnerable-counties-data.html" TargetMode="External"/><Relationship Id="rId106" Type="http://schemas.openxmlformats.org/officeDocument/2006/relationships/hyperlink" Target="https://www.nytimes.com/2015/05/17/us/surge-in-cases-of-hiv-tests-us-policy-on-needle-exchanges.html" TargetMode="External"/><Relationship Id="rId127" Type="http://schemas.openxmlformats.org/officeDocument/2006/relationships/hyperlink" Target="https://doi.org/10.1080/09595239996617" TargetMode="External"/><Relationship Id="rId10" Type="http://schemas.openxmlformats.org/officeDocument/2006/relationships/footer" Target="footer2.xml"/><Relationship Id="rId31" Type="http://schemas.openxmlformats.org/officeDocument/2006/relationships/hyperlink" Target="https://www.statnews.com/2019/11/19/how-purdue-pharma-planted-its-anti-story/" TargetMode="External"/><Relationship Id="rId52" Type="http://schemas.openxmlformats.org/officeDocument/2006/relationships/hyperlink" Target="https://www.cdc.gov/ssp/syringe-services-programs-factsheet.html" TargetMode="External"/><Relationship Id="rId73" Type="http://schemas.openxmlformats.org/officeDocument/2006/relationships/hyperlink" Target="https://doi.org/10.1111/j.0737-1209.2004.021211.x" TargetMode="External"/><Relationship Id="rId78" Type="http://schemas.openxmlformats.org/officeDocument/2006/relationships/hyperlink" Target="https://www.thefix.com/reclaiming-language-addict-edition" TargetMode="External"/><Relationship Id="rId94" Type="http://schemas.openxmlformats.org/officeDocument/2006/relationships/hyperlink" Target="https://www.jstor.org/stable/589668?origin=crossref" TargetMode="External"/><Relationship Id="rId99" Type="http://schemas.openxmlformats.org/officeDocument/2006/relationships/hyperlink" Target="https://www.nytimes.com/2017/10/26/us/politics/trump-opioid-crisis.html" TargetMode="External"/><Relationship Id="rId101" Type="http://schemas.openxmlformats.org/officeDocument/2006/relationships/hyperlink" Target="https://doi.org/10.1215/01642472-7971067" TargetMode="External"/><Relationship Id="rId122" Type="http://schemas.openxmlformats.org/officeDocument/2006/relationships/hyperlink" Target="https://thebaffler.com/salvos/you-are-witness-to-a-crime-levine" TargetMode="External"/><Relationship Id="rId143" Type="http://schemas.openxmlformats.org/officeDocument/2006/relationships/hyperlink" Target="https://doi.org/10.1080/13688790600824997" TargetMode="External"/><Relationship Id="rId148" Type="http://schemas.openxmlformats.org/officeDocument/2006/relationships/hyperlink" Target="https://doi.org/10.1016/j.eclinm.2020.100367" TargetMode="External"/><Relationship Id="rId164" Type="http://schemas.openxmlformats.org/officeDocument/2006/relationships/hyperlink" Target="https://libcom.org/article/1997-1998-aids-activists-act-demand-federal-funding-needle-exchange-programs" TargetMode="External"/><Relationship Id="rId169" Type="http://schemas.openxmlformats.org/officeDocument/2006/relationships/hyperlink" Target="https://doi.org/10.1080/16066359.2018.1543412" TargetMode="External"/><Relationship Id="rId185" Type="http://schemas.openxmlformats.org/officeDocument/2006/relationships/hyperlink" Target="https://doi.org/10.1080/09581596.2011.611487"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filtermag.org/harm-reduction-abolition/" TargetMode="External"/><Relationship Id="rId210" Type="http://schemas.openxmlformats.org/officeDocument/2006/relationships/hyperlink" Target="https://doi.org/10.1001/journalofethics.2016.18.3.hlaw1-1603" TargetMode="External"/><Relationship Id="rId215" Type="http://schemas.openxmlformats.org/officeDocument/2006/relationships/hyperlink" Target="http://scalawagmagazine.org/2021/03/elizabeth-catte-pure-america-interview/" TargetMode="External"/><Relationship Id="rId26" Type="http://schemas.openxmlformats.org/officeDocument/2006/relationships/hyperlink" Target="https://aep.lib.rochester.edu/node/41635" TargetMode="External"/><Relationship Id="rId47" Type="http://schemas.openxmlformats.org/officeDocument/2006/relationships/hyperlink" Target="https://doi.org/10.1016/j.drugpo.2005.07.002" TargetMode="External"/><Relationship Id="rId68" Type="http://schemas.openxmlformats.org/officeDocument/2006/relationships/hyperlink" Target="http://www.congress.gov/" TargetMode="External"/><Relationship Id="rId89" Type="http://schemas.openxmlformats.org/officeDocument/2006/relationships/hyperlink" Target="https://doi.org/10.1177/1462474511424684" TargetMode="External"/><Relationship Id="rId112" Type="http://schemas.openxmlformats.org/officeDocument/2006/relationships/hyperlink" Target="https://doi.org/10.1016/S0955-3959(02)00151-2" TargetMode="External"/><Relationship Id="rId133" Type="http://schemas.openxmlformats.org/officeDocument/2006/relationships/hyperlink" Target="https://doi.org/10.1080/09581591003653124" TargetMode="External"/><Relationship Id="rId154" Type="http://schemas.openxmlformats.org/officeDocument/2006/relationships/hyperlink" Target="https://www.sacklerpain.org/" TargetMode="External"/><Relationship Id="rId175" Type="http://schemas.openxmlformats.org/officeDocument/2006/relationships/hyperlink" Target="https://www.courier-journal.com/story/news/local/2015/04/09/mcconnell-botticelli/25544135/" TargetMode="External"/><Relationship Id="rId196" Type="http://schemas.openxmlformats.org/officeDocument/2006/relationships/hyperlink" Target="https://law.justia.com/codes/tennessee/2019/title-68/health/chapter-1/part-1/section-68-1-136/" TargetMode="External"/><Relationship Id="rId200" Type="http://schemas.openxmlformats.org/officeDocument/2006/relationships/hyperlink" Target="https://doi.org/10.2307/3343042" TargetMode="External"/><Relationship Id="rId16" Type="http://schemas.openxmlformats.org/officeDocument/2006/relationships/image" Target="media/image6.png"/><Relationship Id="rId37" Type="http://schemas.openxmlformats.org/officeDocument/2006/relationships/hyperlink" Target="https://doi.org/10.2105/AJPH.2016.303412" TargetMode="External"/><Relationship Id="rId58" Type="http://schemas.openxmlformats.org/officeDocument/2006/relationships/hyperlink" Target="https://www.cdc.gov/drugoverdose/epidemic/index.html" TargetMode="External"/><Relationship Id="rId79" Type="http://schemas.openxmlformats.org/officeDocument/2006/relationships/hyperlink" Target="https://www.wvlt.tv/2023/01/20/it-was-gut-punch-tn-reject-federal-funding-cdc-fight-against-hiv/" TargetMode="External"/><Relationship Id="rId102" Type="http://schemas.openxmlformats.org/officeDocument/2006/relationships/hyperlink" Target="https://wvmetronews.com/2015/08/19/capito-supports-federal-funding-to-benefit-rising-drug-problems-in-w-va/" TargetMode="External"/><Relationship Id="rId123" Type="http://schemas.openxmlformats.org/officeDocument/2006/relationships/hyperlink" Target="https://shadowproof.com/2009/06/09/third-way-and-nine-gop-senators-say-big-insurancepharma-who-fund-their-campaigns-shouldnt-face-public-plan-competition/" TargetMode="External"/><Relationship Id="rId144" Type="http://schemas.openxmlformats.org/officeDocument/2006/relationships/hyperlink" Target="https://doi.org/10.1057/biosoc.2015.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62C95-FFBC-40A5-BB1F-1F84EED05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49</TotalTime>
  <Pages>163</Pages>
  <Words>36307</Words>
  <Characters>239630</Characters>
  <Application>Microsoft Office Word</Application>
  <DocSecurity>0</DocSecurity>
  <Lines>3153</Lines>
  <Paragraphs>1803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274134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35</cp:revision>
  <cp:lastPrinted>2005-09-22T13:02:00Z</cp:lastPrinted>
  <dcterms:created xsi:type="dcterms:W3CDTF">2023-05-02T06:07:00Z</dcterms:created>
  <dcterms:modified xsi:type="dcterms:W3CDTF">2023-05-02T13:03:00Z</dcterms:modified>
</cp:coreProperties>
</file>