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EE475" w14:textId="5A192E02" w:rsidR="00526151" w:rsidRPr="002A5475" w:rsidRDefault="00310AFB" w:rsidP="008949E3">
      <w:pPr>
        <w:pStyle w:val="Title"/>
        <w:rPr>
          <w:rFonts w:asciiTheme="majorBidi" w:hAnsiTheme="majorBidi" w:cstheme="majorBidi"/>
          <w:szCs w:val="28"/>
        </w:rPr>
      </w:pPr>
      <w:r>
        <w:rPr>
          <w:rFonts w:asciiTheme="majorBidi" w:hAnsiTheme="majorBidi" w:cstheme="majorBidi"/>
          <w:szCs w:val="28"/>
        </w:rPr>
        <w:t>Supporting Character</w:t>
      </w:r>
      <w:r w:rsidR="00923892">
        <w:rPr>
          <w:rFonts w:asciiTheme="majorBidi" w:hAnsiTheme="majorBidi" w:cstheme="majorBidi"/>
          <w:szCs w:val="28"/>
        </w:rPr>
        <w:t>s</w:t>
      </w:r>
      <w:r>
        <w:rPr>
          <w:rFonts w:asciiTheme="majorBidi" w:hAnsiTheme="majorBidi" w:cstheme="majorBidi"/>
          <w:szCs w:val="28"/>
        </w:rPr>
        <w:t xml:space="preserve">: </w:t>
      </w:r>
      <w:r w:rsidR="005F3ADB">
        <w:rPr>
          <w:rFonts w:asciiTheme="majorBidi" w:hAnsiTheme="majorBidi" w:cstheme="majorBidi"/>
          <w:szCs w:val="28"/>
        </w:rPr>
        <w:t>Prosthesis</w:t>
      </w:r>
      <w:r w:rsidR="005602C1">
        <w:rPr>
          <w:rFonts w:asciiTheme="majorBidi" w:hAnsiTheme="majorBidi" w:cstheme="majorBidi"/>
          <w:szCs w:val="28"/>
        </w:rPr>
        <w:t xml:space="preserve"> and </w:t>
      </w:r>
      <w:r w:rsidR="00071EE4">
        <w:rPr>
          <w:rFonts w:asciiTheme="majorBidi" w:hAnsiTheme="majorBidi" w:cstheme="majorBidi"/>
          <w:szCs w:val="28"/>
        </w:rPr>
        <w:t xml:space="preserve">Aesthetic Technologies of </w:t>
      </w:r>
      <w:r w:rsidR="005602C1">
        <w:rPr>
          <w:rFonts w:asciiTheme="majorBidi" w:hAnsiTheme="majorBidi" w:cstheme="majorBidi"/>
          <w:szCs w:val="28"/>
        </w:rPr>
        <w:t>Disability</w:t>
      </w:r>
      <w:r w:rsidR="00C84C59" w:rsidRPr="002A5475">
        <w:rPr>
          <w:rFonts w:asciiTheme="majorBidi" w:hAnsiTheme="majorBidi" w:cstheme="majorBidi"/>
          <w:szCs w:val="28"/>
        </w:rPr>
        <w:t xml:space="preserve"> in the Victorian Novel</w:t>
      </w:r>
    </w:p>
    <w:p w14:paraId="16AF0BC9" w14:textId="77777777" w:rsidR="003D07F7" w:rsidRPr="002A5475" w:rsidRDefault="00DD00DE" w:rsidP="00387656">
      <w:pPr>
        <w:pStyle w:val="Title"/>
        <w:rPr>
          <w:rFonts w:asciiTheme="majorBidi" w:hAnsiTheme="majorBidi" w:cstheme="majorBidi"/>
          <w:szCs w:val="28"/>
        </w:rPr>
      </w:pPr>
      <w:r w:rsidRPr="002A5475">
        <w:rPr>
          <w:rFonts w:asciiTheme="majorBidi" w:hAnsiTheme="majorBidi" w:cstheme="majorBidi"/>
          <w:szCs w:val="28"/>
        </w:rPr>
        <w:tab/>
      </w:r>
    </w:p>
    <w:p w14:paraId="5463E919" w14:textId="77777777" w:rsidR="00236E6D" w:rsidRPr="002A5475" w:rsidRDefault="00236E6D" w:rsidP="00387656">
      <w:pPr>
        <w:pStyle w:val="Title"/>
        <w:rPr>
          <w:rFonts w:asciiTheme="majorBidi" w:hAnsiTheme="majorBidi" w:cstheme="majorBidi"/>
          <w:sz w:val="24"/>
        </w:rPr>
      </w:pPr>
    </w:p>
    <w:p w14:paraId="17F23E13" w14:textId="77777777" w:rsidR="00236E6D" w:rsidRPr="002A5475" w:rsidRDefault="00236E6D" w:rsidP="00387656">
      <w:pPr>
        <w:pStyle w:val="Title"/>
        <w:rPr>
          <w:rFonts w:asciiTheme="majorBidi" w:hAnsiTheme="majorBidi" w:cstheme="majorBidi"/>
          <w:sz w:val="24"/>
        </w:rPr>
      </w:pPr>
    </w:p>
    <w:p w14:paraId="43441826" w14:textId="77777777" w:rsidR="00236E6D" w:rsidRPr="002A5475" w:rsidRDefault="00236E6D" w:rsidP="00387656">
      <w:pPr>
        <w:pStyle w:val="Title"/>
        <w:rPr>
          <w:rFonts w:asciiTheme="majorBidi" w:hAnsiTheme="majorBidi" w:cstheme="majorBidi"/>
          <w:sz w:val="24"/>
        </w:rPr>
      </w:pPr>
    </w:p>
    <w:p w14:paraId="265F3AF4" w14:textId="77777777" w:rsidR="00236E6D" w:rsidRPr="002A5475" w:rsidRDefault="00236E6D" w:rsidP="00387656">
      <w:pPr>
        <w:pStyle w:val="Title"/>
        <w:rPr>
          <w:rFonts w:asciiTheme="majorBidi" w:hAnsiTheme="majorBidi" w:cstheme="majorBidi"/>
          <w:sz w:val="24"/>
        </w:rPr>
      </w:pPr>
    </w:p>
    <w:p w14:paraId="2E65719E" w14:textId="77777777" w:rsidR="00387656" w:rsidRPr="002A5475" w:rsidRDefault="00387656" w:rsidP="00387656">
      <w:pPr>
        <w:pStyle w:val="Title"/>
        <w:rPr>
          <w:rFonts w:asciiTheme="majorBidi" w:hAnsiTheme="majorBidi" w:cstheme="majorBidi"/>
          <w:sz w:val="24"/>
        </w:rPr>
      </w:pPr>
    </w:p>
    <w:p w14:paraId="04C47F1D" w14:textId="77777777" w:rsidR="00387656" w:rsidRPr="002A5475" w:rsidRDefault="00387656" w:rsidP="00387656">
      <w:pPr>
        <w:pStyle w:val="Title"/>
        <w:rPr>
          <w:rFonts w:asciiTheme="majorBidi" w:hAnsiTheme="majorBidi" w:cstheme="majorBidi"/>
          <w:sz w:val="24"/>
        </w:rPr>
      </w:pPr>
    </w:p>
    <w:p w14:paraId="014D1E4E" w14:textId="77777777" w:rsidR="00387656" w:rsidRPr="002A5475" w:rsidRDefault="00387656" w:rsidP="00387656">
      <w:pPr>
        <w:pStyle w:val="Title"/>
        <w:rPr>
          <w:rFonts w:asciiTheme="majorBidi" w:hAnsiTheme="majorBidi" w:cstheme="majorBidi"/>
          <w:sz w:val="24"/>
        </w:rPr>
      </w:pPr>
    </w:p>
    <w:p w14:paraId="0690549B" w14:textId="77777777" w:rsidR="00387656" w:rsidRPr="002A5475" w:rsidRDefault="00387656" w:rsidP="00387656">
      <w:pPr>
        <w:pStyle w:val="Title"/>
        <w:rPr>
          <w:rFonts w:asciiTheme="majorBidi" w:hAnsiTheme="majorBidi" w:cstheme="majorBidi"/>
          <w:sz w:val="24"/>
        </w:rPr>
      </w:pPr>
    </w:p>
    <w:p w14:paraId="6A0A6F9C" w14:textId="77777777" w:rsidR="00387656" w:rsidRPr="002A5475" w:rsidRDefault="00387656" w:rsidP="00387656">
      <w:pPr>
        <w:pStyle w:val="Title"/>
        <w:rPr>
          <w:rFonts w:asciiTheme="majorBidi" w:hAnsiTheme="majorBidi" w:cstheme="majorBidi"/>
          <w:sz w:val="24"/>
        </w:rPr>
      </w:pPr>
    </w:p>
    <w:p w14:paraId="2D68ACF1" w14:textId="77777777" w:rsidR="00387656" w:rsidRPr="002A5475" w:rsidRDefault="00387656" w:rsidP="00387656">
      <w:pPr>
        <w:pStyle w:val="Title"/>
        <w:rPr>
          <w:rFonts w:asciiTheme="majorBidi" w:hAnsiTheme="majorBidi" w:cstheme="majorBidi"/>
          <w:sz w:val="24"/>
        </w:rPr>
      </w:pPr>
    </w:p>
    <w:p w14:paraId="23BF580B" w14:textId="77777777" w:rsidR="00236E6D" w:rsidRPr="002A5475" w:rsidRDefault="00236E6D" w:rsidP="00387656">
      <w:pPr>
        <w:pStyle w:val="Title"/>
        <w:rPr>
          <w:rFonts w:asciiTheme="majorBidi" w:hAnsiTheme="majorBidi" w:cstheme="majorBidi"/>
          <w:sz w:val="24"/>
        </w:rPr>
      </w:pPr>
    </w:p>
    <w:p w14:paraId="7EA16433" w14:textId="77777777" w:rsidR="00236E6D" w:rsidRPr="002A5475" w:rsidRDefault="00236E6D" w:rsidP="00387656">
      <w:pPr>
        <w:pStyle w:val="Title"/>
        <w:rPr>
          <w:rFonts w:asciiTheme="majorBidi" w:hAnsiTheme="majorBidi" w:cstheme="majorBidi"/>
          <w:sz w:val="24"/>
        </w:rPr>
      </w:pPr>
    </w:p>
    <w:p w14:paraId="108E004D" w14:textId="77777777" w:rsidR="00236E6D" w:rsidRPr="002A5475" w:rsidRDefault="00236E6D" w:rsidP="00387656">
      <w:pPr>
        <w:pStyle w:val="Title"/>
        <w:jc w:val="left"/>
        <w:rPr>
          <w:rFonts w:asciiTheme="majorBidi" w:hAnsiTheme="majorBidi" w:cstheme="majorBidi"/>
          <w:sz w:val="24"/>
        </w:rPr>
      </w:pPr>
    </w:p>
    <w:p w14:paraId="32AE428B" w14:textId="06DE3FB7" w:rsidR="00236E6D" w:rsidRPr="002A5475" w:rsidRDefault="009C755C" w:rsidP="00387656">
      <w:pPr>
        <w:pStyle w:val="Title"/>
        <w:rPr>
          <w:rFonts w:asciiTheme="majorBidi" w:hAnsiTheme="majorBidi" w:cstheme="majorBidi"/>
          <w:szCs w:val="28"/>
        </w:rPr>
      </w:pPr>
      <w:r w:rsidRPr="002A5475">
        <w:rPr>
          <w:rFonts w:asciiTheme="majorBidi" w:hAnsiTheme="majorBidi" w:cstheme="majorBidi"/>
          <w:szCs w:val="28"/>
        </w:rPr>
        <w:t xml:space="preserve">A </w:t>
      </w:r>
      <w:r w:rsidR="00C84C59" w:rsidRPr="002A5475">
        <w:rPr>
          <w:rFonts w:asciiTheme="majorBidi" w:hAnsiTheme="majorBidi" w:cstheme="majorBidi"/>
          <w:szCs w:val="28"/>
        </w:rPr>
        <w:t>Dissertation</w:t>
      </w:r>
      <w:r w:rsidRPr="002A5475">
        <w:rPr>
          <w:rFonts w:asciiTheme="majorBidi" w:hAnsiTheme="majorBidi" w:cstheme="majorBidi"/>
          <w:szCs w:val="28"/>
        </w:rPr>
        <w:t xml:space="preserve"> Presented for</w:t>
      </w:r>
      <w:r w:rsidR="008865B6" w:rsidRPr="002A5475">
        <w:rPr>
          <w:rFonts w:asciiTheme="majorBidi" w:hAnsiTheme="majorBidi" w:cstheme="majorBidi"/>
          <w:szCs w:val="28"/>
        </w:rPr>
        <w:t xml:space="preserve"> the</w:t>
      </w:r>
    </w:p>
    <w:p w14:paraId="623BADA7" w14:textId="7E58509E" w:rsidR="009C755C" w:rsidRPr="002A5475" w:rsidRDefault="00C84C59" w:rsidP="00387656">
      <w:pPr>
        <w:pStyle w:val="Title"/>
        <w:rPr>
          <w:rFonts w:asciiTheme="majorBidi" w:hAnsiTheme="majorBidi" w:cstheme="majorBidi"/>
          <w:szCs w:val="28"/>
        </w:rPr>
      </w:pPr>
      <w:r w:rsidRPr="002A5475">
        <w:rPr>
          <w:rFonts w:asciiTheme="majorBidi" w:hAnsiTheme="majorBidi" w:cstheme="majorBidi"/>
          <w:szCs w:val="28"/>
        </w:rPr>
        <w:t>Doctor of Philosophy</w:t>
      </w:r>
    </w:p>
    <w:p w14:paraId="2681D3BC" w14:textId="77777777" w:rsidR="009C755C" w:rsidRPr="002A5475" w:rsidRDefault="009C755C" w:rsidP="00387656">
      <w:pPr>
        <w:pStyle w:val="Title"/>
        <w:rPr>
          <w:rFonts w:asciiTheme="majorBidi" w:hAnsiTheme="majorBidi" w:cstheme="majorBidi"/>
          <w:szCs w:val="28"/>
        </w:rPr>
      </w:pPr>
      <w:r w:rsidRPr="002A5475">
        <w:rPr>
          <w:rFonts w:asciiTheme="majorBidi" w:hAnsiTheme="majorBidi" w:cstheme="majorBidi"/>
          <w:szCs w:val="28"/>
        </w:rPr>
        <w:t>Degree</w:t>
      </w:r>
    </w:p>
    <w:p w14:paraId="5DA494A2" w14:textId="77777777" w:rsidR="009C755C" w:rsidRPr="002A5475" w:rsidRDefault="009C755C" w:rsidP="00387656">
      <w:pPr>
        <w:pStyle w:val="Title"/>
        <w:rPr>
          <w:rFonts w:asciiTheme="majorBidi" w:hAnsiTheme="majorBidi" w:cstheme="majorBidi"/>
          <w:szCs w:val="28"/>
        </w:rPr>
      </w:pPr>
      <w:r w:rsidRPr="002A5475">
        <w:rPr>
          <w:rFonts w:asciiTheme="majorBidi" w:hAnsiTheme="majorBidi" w:cstheme="majorBidi"/>
          <w:szCs w:val="28"/>
        </w:rPr>
        <w:t>The University of Tennessee, Knoxville</w:t>
      </w:r>
    </w:p>
    <w:p w14:paraId="0DE6F3AE" w14:textId="77777777" w:rsidR="00387656" w:rsidRPr="002A5475" w:rsidRDefault="00387656" w:rsidP="00387656">
      <w:pPr>
        <w:pStyle w:val="Title"/>
        <w:rPr>
          <w:rFonts w:asciiTheme="majorBidi" w:hAnsiTheme="majorBidi" w:cstheme="majorBidi"/>
          <w:szCs w:val="28"/>
        </w:rPr>
      </w:pPr>
    </w:p>
    <w:p w14:paraId="701F121B" w14:textId="77777777" w:rsidR="00387656" w:rsidRPr="002A5475" w:rsidRDefault="00387656" w:rsidP="00387656">
      <w:pPr>
        <w:pStyle w:val="Title"/>
        <w:rPr>
          <w:rFonts w:asciiTheme="majorBidi" w:hAnsiTheme="majorBidi" w:cstheme="majorBidi"/>
          <w:szCs w:val="28"/>
        </w:rPr>
      </w:pPr>
    </w:p>
    <w:p w14:paraId="730682FA" w14:textId="77777777" w:rsidR="00387656" w:rsidRPr="002A5475" w:rsidRDefault="00387656" w:rsidP="00387656">
      <w:pPr>
        <w:pStyle w:val="Title"/>
        <w:rPr>
          <w:rFonts w:asciiTheme="majorBidi" w:hAnsiTheme="majorBidi" w:cstheme="majorBidi"/>
          <w:szCs w:val="28"/>
        </w:rPr>
      </w:pPr>
    </w:p>
    <w:p w14:paraId="5BDBA3AF" w14:textId="77777777" w:rsidR="00236E6D" w:rsidRPr="002A5475" w:rsidRDefault="00236E6D" w:rsidP="00387656">
      <w:pPr>
        <w:pStyle w:val="Title"/>
        <w:rPr>
          <w:rFonts w:asciiTheme="majorBidi" w:hAnsiTheme="majorBidi" w:cstheme="majorBidi"/>
          <w:szCs w:val="28"/>
        </w:rPr>
      </w:pPr>
    </w:p>
    <w:p w14:paraId="14235BF3" w14:textId="77777777" w:rsidR="00236E6D" w:rsidRPr="002A5475" w:rsidRDefault="00236E6D" w:rsidP="00387656">
      <w:pPr>
        <w:pStyle w:val="Title"/>
        <w:rPr>
          <w:rFonts w:asciiTheme="majorBidi" w:hAnsiTheme="majorBidi" w:cstheme="majorBidi"/>
          <w:szCs w:val="28"/>
        </w:rPr>
      </w:pPr>
    </w:p>
    <w:p w14:paraId="2B8B37EB" w14:textId="77777777" w:rsidR="00236E6D" w:rsidRPr="002A5475" w:rsidRDefault="00236E6D" w:rsidP="00387656">
      <w:pPr>
        <w:pStyle w:val="Title"/>
        <w:rPr>
          <w:rFonts w:asciiTheme="majorBidi" w:hAnsiTheme="majorBidi" w:cstheme="majorBidi"/>
          <w:szCs w:val="28"/>
        </w:rPr>
      </w:pPr>
    </w:p>
    <w:p w14:paraId="16ED0685" w14:textId="77777777" w:rsidR="00236E6D" w:rsidRPr="002A5475" w:rsidRDefault="00236E6D" w:rsidP="00387656">
      <w:pPr>
        <w:pStyle w:val="Title"/>
        <w:rPr>
          <w:rFonts w:asciiTheme="majorBidi" w:hAnsiTheme="majorBidi" w:cstheme="majorBidi"/>
          <w:szCs w:val="28"/>
        </w:rPr>
      </w:pPr>
    </w:p>
    <w:p w14:paraId="1E1FCF1F" w14:textId="77777777" w:rsidR="00236E6D" w:rsidRPr="002A5475" w:rsidRDefault="00236E6D" w:rsidP="00387656">
      <w:pPr>
        <w:pStyle w:val="Title"/>
        <w:rPr>
          <w:rFonts w:asciiTheme="majorBidi" w:hAnsiTheme="majorBidi" w:cstheme="majorBidi"/>
          <w:szCs w:val="28"/>
        </w:rPr>
      </w:pPr>
    </w:p>
    <w:p w14:paraId="45599195" w14:textId="77777777" w:rsidR="00236E6D" w:rsidRPr="002A5475" w:rsidRDefault="00236E6D" w:rsidP="00387656">
      <w:pPr>
        <w:pStyle w:val="Title"/>
        <w:rPr>
          <w:rFonts w:asciiTheme="majorBidi" w:hAnsiTheme="majorBidi" w:cstheme="majorBidi"/>
          <w:szCs w:val="28"/>
        </w:rPr>
      </w:pPr>
    </w:p>
    <w:p w14:paraId="1832D93F" w14:textId="77777777" w:rsidR="00236E6D" w:rsidRPr="002A5475" w:rsidRDefault="00236E6D" w:rsidP="00387656">
      <w:pPr>
        <w:pStyle w:val="Title"/>
        <w:rPr>
          <w:rFonts w:asciiTheme="majorBidi" w:hAnsiTheme="majorBidi" w:cstheme="majorBidi"/>
          <w:szCs w:val="28"/>
        </w:rPr>
      </w:pPr>
    </w:p>
    <w:p w14:paraId="71C510BD" w14:textId="77777777" w:rsidR="00236E6D" w:rsidRPr="002A5475" w:rsidRDefault="00236E6D" w:rsidP="00387656">
      <w:pPr>
        <w:pStyle w:val="Title"/>
        <w:rPr>
          <w:rFonts w:asciiTheme="majorBidi" w:hAnsiTheme="majorBidi" w:cstheme="majorBidi"/>
          <w:szCs w:val="28"/>
        </w:rPr>
      </w:pPr>
    </w:p>
    <w:p w14:paraId="30200E1C" w14:textId="77777777" w:rsidR="00236E6D" w:rsidRPr="002A5475" w:rsidRDefault="00236E6D" w:rsidP="00387656">
      <w:pPr>
        <w:pStyle w:val="Title"/>
        <w:rPr>
          <w:rFonts w:asciiTheme="majorBidi" w:hAnsiTheme="majorBidi" w:cstheme="majorBidi"/>
          <w:szCs w:val="28"/>
        </w:rPr>
      </w:pPr>
    </w:p>
    <w:p w14:paraId="58CA0DEE" w14:textId="77777777" w:rsidR="00236E6D" w:rsidRPr="002A5475" w:rsidRDefault="00236E6D" w:rsidP="00387656">
      <w:pPr>
        <w:pStyle w:val="Title"/>
        <w:rPr>
          <w:rFonts w:asciiTheme="majorBidi" w:hAnsiTheme="majorBidi" w:cstheme="majorBidi"/>
          <w:szCs w:val="28"/>
        </w:rPr>
      </w:pPr>
    </w:p>
    <w:p w14:paraId="5A85416B" w14:textId="7244BA54" w:rsidR="00236E6D" w:rsidRPr="002A5475" w:rsidRDefault="00C84C59" w:rsidP="00387656">
      <w:pPr>
        <w:pStyle w:val="Title"/>
        <w:rPr>
          <w:rFonts w:asciiTheme="majorBidi" w:hAnsiTheme="majorBidi" w:cstheme="majorBidi"/>
          <w:szCs w:val="28"/>
        </w:rPr>
      </w:pPr>
      <w:r w:rsidRPr="002A5475">
        <w:rPr>
          <w:rFonts w:asciiTheme="majorBidi" w:hAnsiTheme="majorBidi" w:cstheme="majorBidi"/>
          <w:szCs w:val="28"/>
        </w:rPr>
        <w:t>Rebecca L</w:t>
      </w:r>
      <w:r w:rsidR="003467E1">
        <w:rPr>
          <w:rFonts w:asciiTheme="majorBidi" w:hAnsiTheme="majorBidi" w:cstheme="majorBidi"/>
          <w:szCs w:val="28"/>
        </w:rPr>
        <w:t>ynn</w:t>
      </w:r>
      <w:r w:rsidRPr="002A5475">
        <w:rPr>
          <w:rFonts w:asciiTheme="majorBidi" w:hAnsiTheme="majorBidi" w:cstheme="majorBidi"/>
          <w:szCs w:val="28"/>
        </w:rPr>
        <w:t xml:space="preserve"> McCann</w:t>
      </w:r>
    </w:p>
    <w:p w14:paraId="452B9D88" w14:textId="66D76BAC" w:rsidR="009C755C" w:rsidRPr="002A5475" w:rsidRDefault="001628F8" w:rsidP="00387656">
      <w:pPr>
        <w:pStyle w:val="Title"/>
        <w:rPr>
          <w:rFonts w:asciiTheme="majorBidi" w:hAnsiTheme="majorBidi" w:cstheme="majorBidi"/>
          <w:szCs w:val="28"/>
        </w:rPr>
      </w:pPr>
      <w:r w:rsidRPr="002A5475">
        <w:rPr>
          <w:rFonts w:asciiTheme="majorBidi" w:hAnsiTheme="majorBidi" w:cstheme="majorBidi"/>
          <w:szCs w:val="28"/>
        </w:rPr>
        <w:t>May</w:t>
      </w:r>
      <w:r w:rsidR="009C755C" w:rsidRPr="002A5475">
        <w:rPr>
          <w:rFonts w:asciiTheme="majorBidi" w:hAnsiTheme="majorBidi" w:cstheme="majorBidi"/>
          <w:szCs w:val="28"/>
        </w:rPr>
        <w:t xml:space="preserve"> </w:t>
      </w:r>
      <w:r w:rsidR="003D07F7" w:rsidRPr="002A5475">
        <w:rPr>
          <w:rFonts w:asciiTheme="majorBidi" w:hAnsiTheme="majorBidi" w:cstheme="majorBidi"/>
          <w:szCs w:val="28"/>
        </w:rPr>
        <w:t>2</w:t>
      </w:r>
      <w:r w:rsidR="00DF7C87" w:rsidRPr="002A5475">
        <w:rPr>
          <w:rFonts w:asciiTheme="majorBidi" w:hAnsiTheme="majorBidi" w:cstheme="majorBidi"/>
          <w:szCs w:val="28"/>
        </w:rPr>
        <w:t>02</w:t>
      </w:r>
      <w:r w:rsidRPr="002A5475">
        <w:rPr>
          <w:rFonts w:asciiTheme="majorBidi" w:hAnsiTheme="majorBidi" w:cstheme="majorBidi"/>
          <w:szCs w:val="28"/>
        </w:rPr>
        <w:t>2</w:t>
      </w:r>
    </w:p>
    <w:p w14:paraId="35474751" w14:textId="77777777" w:rsidR="00526151" w:rsidRPr="002A5475" w:rsidRDefault="00526151" w:rsidP="005E54E2">
      <w:pPr>
        <w:rPr>
          <w:rFonts w:asciiTheme="majorBidi" w:hAnsiTheme="majorBidi" w:cstheme="majorBidi"/>
          <w:sz w:val="28"/>
          <w:szCs w:val="28"/>
        </w:rPr>
      </w:pPr>
    </w:p>
    <w:p w14:paraId="0A87D143" w14:textId="77777777" w:rsidR="00526151" w:rsidRPr="002A5475" w:rsidRDefault="00526151" w:rsidP="005E54E2">
      <w:pPr>
        <w:rPr>
          <w:rFonts w:asciiTheme="majorBidi" w:hAnsiTheme="majorBidi" w:cstheme="majorBidi"/>
        </w:rPr>
      </w:pPr>
    </w:p>
    <w:p w14:paraId="17739ADC" w14:textId="77777777" w:rsidR="00526151" w:rsidRPr="002A5475" w:rsidRDefault="00387656" w:rsidP="005E54E2">
      <w:pPr>
        <w:rPr>
          <w:rFonts w:asciiTheme="majorBidi" w:hAnsiTheme="majorBidi" w:cstheme="majorBidi"/>
        </w:rPr>
      </w:pPr>
      <w:r w:rsidRPr="002A5475">
        <w:rPr>
          <w:rFonts w:asciiTheme="majorBidi" w:hAnsiTheme="majorBidi" w:cstheme="majorBidi"/>
        </w:rPr>
        <w:br w:type="page"/>
      </w:r>
    </w:p>
    <w:p w14:paraId="4908A125" w14:textId="77777777" w:rsidR="00526151" w:rsidRPr="002A5475" w:rsidRDefault="00526151" w:rsidP="005E54E2">
      <w:pPr>
        <w:rPr>
          <w:rFonts w:asciiTheme="majorBidi" w:hAnsiTheme="majorBidi" w:cstheme="majorBidi"/>
        </w:rPr>
      </w:pPr>
    </w:p>
    <w:p w14:paraId="6B1ADD42" w14:textId="27A856B4" w:rsidR="00236E6D" w:rsidRPr="002A5475" w:rsidRDefault="00DF7C87" w:rsidP="005E54E2">
      <w:pPr>
        <w:rPr>
          <w:rFonts w:asciiTheme="majorBidi" w:hAnsiTheme="majorBidi" w:cstheme="majorBidi"/>
        </w:rPr>
      </w:pPr>
      <w:r w:rsidRPr="002A5475">
        <w:rPr>
          <w:rFonts w:asciiTheme="majorBidi" w:hAnsiTheme="majorBidi" w:cstheme="majorBidi"/>
        </w:rPr>
        <w:t>Copyright © 202</w:t>
      </w:r>
      <w:r w:rsidR="003D08AB" w:rsidRPr="002A5475">
        <w:rPr>
          <w:rFonts w:asciiTheme="majorBidi" w:hAnsiTheme="majorBidi" w:cstheme="majorBidi"/>
        </w:rPr>
        <w:t>2</w:t>
      </w:r>
      <w:r w:rsidR="00236E6D" w:rsidRPr="002A5475">
        <w:rPr>
          <w:rFonts w:asciiTheme="majorBidi" w:hAnsiTheme="majorBidi" w:cstheme="majorBidi"/>
        </w:rPr>
        <w:t xml:space="preserve"> by </w:t>
      </w:r>
      <w:r w:rsidR="00C84C59" w:rsidRPr="002A5475">
        <w:rPr>
          <w:rFonts w:asciiTheme="majorBidi" w:hAnsiTheme="majorBidi" w:cstheme="majorBidi"/>
        </w:rPr>
        <w:t xml:space="preserve">Rebecca </w:t>
      </w:r>
      <w:r w:rsidR="003467E1">
        <w:rPr>
          <w:rFonts w:asciiTheme="majorBidi" w:hAnsiTheme="majorBidi" w:cstheme="majorBidi"/>
        </w:rPr>
        <w:t>Lynn</w:t>
      </w:r>
      <w:r w:rsidR="00C84C59" w:rsidRPr="002A5475">
        <w:rPr>
          <w:rFonts w:asciiTheme="majorBidi" w:hAnsiTheme="majorBidi" w:cstheme="majorBidi"/>
        </w:rPr>
        <w:t xml:space="preserve"> McCann</w:t>
      </w:r>
    </w:p>
    <w:p w14:paraId="00A71E7F" w14:textId="77777777" w:rsidR="00236E6D" w:rsidRPr="002A5475" w:rsidRDefault="00236E6D" w:rsidP="005E54E2">
      <w:pPr>
        <w:rPr>
          <w:rFonts w:asciiTheme="majorBidi" w:hAnsiTheme="majorBidi" w:cstheme="majorBidi"/>
        </w:rPr>
      </w:pPr>
      <w:r w:rsidRPr="002A5475">
        <w:rPr>
          <w:rFonts w:asciiTheme="majorBidi" w:hAnsiTheme="majorBidi" w:cstheme="majorBidi"/>
        </w:rPr>
        <w:t>All rights reserved.</w:t>
      </w:r>
    </w:p>
    <w:p w14:paraId="2649A8CF" w14:textId="77777777" w:rsidR="00236E6D" w:rsidRPr="002A5475" w:rsidRDefault="00236E6D" w:rsidP="005E54E2">
      <w:pPr>
        <w:rPr>
          <w:rFonts w:asciiTheme="majorBidi" w:hAnsiTheme="majorBidi" w:cstheme="majorBidi"/>
        </w:rPr>
      </w:pPr>
    </w:p>
    <w:p w14:paraId="72DDC94A" w14:textId="77777777" w:rsidR="00236E6D" w:rsidRPr="002A5475" w:rsidRDefault="00236E6D" w:rsidP="005E54E2">
      <w:pPr>
        <w:rPr>
          <w:rFonts w:asciiTheme="majorBidi" w:hAnsiTheme="majorBidi" w:cstheme="majorBidi"/>
        </w:rPr>
      </w:pPr>
    </w:p>
    <w:p w14:paraId="41801B26" w14:textId="77777777" w:rsidR="00236E6D" w:rsidRPr="002A5475" w:rsidRDefault="00236E6D" w:rsidP="005E54E2">
      <w:pPr>
        <w:rPr>
          <w:rFonts w:asciiTheme="majorBidi" w:hAnsiTheme="majorBidi" w:cstheme="majorBidi"/>
        </w:rPr>
      </w:pPr>
    </w:p>
    <w:p w14:paraId="6A9E5B64" w14:textId="77777777" w:rsidR="00236E6D" w:rsidRPr="002A5475" w:rsidRDefault="00236E6D" w:rsidP="005E54E2">
      <w:pPr>
        <w:rPr>
          <w:rFonts w:asciiTheme="majorBidi" w:hAnsiTheme="majorBidi" w:cstheme="majorBidi"/>
        </w:rPr>
      </w:pPr>
    </w:p>
    <w:p w14:paraId="5824FC52" w14:textId="77777777" w:rsidR="00236E6D" w:rsidRPr="002A5475" w:rsidRDefault="00236E6D" w:rsidP="005E54E2">
      <w:pPr>
        <w:rPr>
          <w:rFonts w:asciiTheme="majorBidi" w:hAnsiTheme="majorBidi" w:cstheme="majorBidi"/>
        </w:rPr>
      </w:pPr>
    </w:p>
    <w:p w14:paraId="1DF0AC55" w14:textId="77777777" w:rsidR="00236E6D" w:rsidRPr="002A5475" w:rsidRDefault="00236E6D" w:rsidP="005E54E2">
      <w:pPr>
        <w:rPr>
          <w:rFonts w:asciiTheme="majorBidi" w:hAnsiTheme="majorBidi" w:cstheme="majorBidi"/>
        </w:rPr>
      </w:pPr>
    </w:p>
    <w:p w14:paraId="35100ADA" w14:textId="77777777" w:rsidR="00236E6D" w:rsidRPr="002A5475" w:rsidRDefault="00236E6D" w:rsidP="005E54E2">
      <w:pPr>
        <w:rPr>
          <w:rFonts w:asciiTheme="majorBidi" w:hAnsiTheme="majorBidi" w:cstheme="majorBidi"/>
        </w:rPr>
      </w:pPr>
    </w:p>
    <w:p w14:paraId="437D1C18" w14:textId="77777777" w:rsidR="00236E6D" w:rsidRPr="002A5475" w:rsidRDefault="00236E6D" w:rsidP="005E54E2">
      <w:pPr>
        <w:rPr>
          <w:rFonts w:asciiTheme="majorBidi" w:hAnsiTheme="majorBidi" w:cstheme="majorBidi"/>
        </w:rPr>
      </w:pPr>
    </w:p>
    <w:p w14:paraId="31ABA8D3" w14:textId="77777777" w:rsidR="00236E6D" w:rsidRPr="002A5475" w:rsidRDefault="00236E6D" w:rsidP="005E54E2">
      <w:pPr>
        <w:rPr>
          <w:rFonts w:asciiTheme="majorBidi" w:hAnsiTheme="majorBidi" w:cstheme="majorBidi"/>
        </w:rPr>
      </w:pPr>
    </w:p>
    <w:p w14:paraId="217873E8" w14:textId="77777777" w:rsidR="00236E6D" w:rsidRPr="002A5475" w:rsidRDefault="00236E6D" w:rsidP="005E54E2">
      <w:pPr>
        <w:rPr>
          <w:rFonts w:asciiTheme="majorBidi" w:hAnsiTheme="majorBidi" w:cstheme="majorBidi"/>
        </w:rPr>
      </w:pPr>
    </w:p>
    <w:p w14:paraId="2503492D" w14:textId="77777777" w:rsidR="00236E6D" w:rsidRPr="002A5475" w:rsidRDefault="00236E6D" w:rsidP="005E54E2">
      <w:pPr>
        <w:rPr>
          <w:rFonts w:asciiTheme="majorBidi" w:hAnsiTheme="majorBidi" w:cstheme="majorBidi"/>
        </w:rPr>
      </w:pPr>
    </w:p>
    <w:p w14:paraId="0A1AF82D" w14:textId="77777777" w:rsidR="00236E6D" w:rsidRPr="002A5475" w:rsidRDefault="00236E6D" w:rsidP="005E54E2">
      <w:pPr>
        <w:rPr>
          <w:rFonts w:asciiTheme="majorBidi" w:hAnsiTheme="majorBidi" w:cstheme="majorBidi"/>
        </w:rPr>
      </w:pPr>
    </w:p>
    <w:p w14:paraId="47AF8BFF" w14:textId="77777777" w:rsidR="00236E6D" w:rsidRPr="002A5475" w:rsidRDefault="00236E6D" w:rsidP="005E54E2">
      <w:pPr>
        <w:rPr>
          <w:rFonts w:asciiTheme="majorBidi" w:hAnsiTheme="majorBidi" w:cstheme="majorBidi"/>
        </w:rPr>
      </w:pPr>
    </w:p>
    <w:p w14:paraId="349A9193" w14:textId="77777777" w:rsidR="00236E6D" w:rsidRPr="002A5475" w:rsidRDefault="00236E6D" w:rsidP="005E54E2">
      <w:pPr>
        <w:rPr>
          <w:rFonts w:asciiTheme="majorBidi" w:hAnsiTheme="majorBidi" w:cstheme="majorBidi"/>
        </w:rPr>
      </w:pPr>
    </w:p>
    <w:p w14:paraId="28CF895F" w14:textId="77777777" w:rsidR="006F5AA4" w:rsidRPr="002A5475" w:rsidRDefault="00236E6D" w:rsidP="00387656">
      <w:pPr>
        <w:pStyle w:val="Title"/>
        <w:rPr>
          <w:rFonts w:asciiTheme="majorBidi" w:hAnsiTheme="majorBidi" w:cstheme="majorBidi"/>
          <w:szCs w:val="28"/>
        </w:rPr>
      </w:pPr>
      <w:r w:rsidRPr="002A5475">
        <w:rPr>
          <w:rFonts w:asciiTheme="majorBidi" w:hAnsiTheme="majorBidi" w:cstheme="majorBidi"/>
          <w:sz w:val="24"/>
        </w:rPr>
        <w:br w:type="page"/>
      </w:r>
      <w:r w:rsidR="006F5AA4" w:rsidRPr="002A5475">
        <w:rPr>
          <w:rFonts w:asciiTheme="majorBidi" w:hAnsiTheme="majorBidi" w:cstheme="majorBidi"/>
          <w:szCs w:val="28"/>
        </w:rPr>
        <w:lastRenderedPageBreak/>
        <w:t>DEDICATION</w:t>
      </w:r>
    </w:p>
    <w:p w14:paraId="3CD5DA9A" w14:textId="77777777" w:rsidR="006F5AA4" w:rsidRPr="002A5475" w:rsidRDefault="006F5AA4" w:rsidP="005E54E2">
      <w:pPr>
        <w:rPr>
          <w:rFonts w:asciiTheme="majorBidi" w:hAnsiTheme="majorBidi" w:cstheme="majorBidi"/>
        </w:rPr>
      </w:pPr>
    </w:p>
    <w:p w14:paraId="181515A2" w14:textId="4380E576" w:rsidR="006F5AA4" w:rsidRPr="002A5475" w:rsidRDefault="00F33DC9" w:rsidP="00387656">
      <w:pPr>
        <w:jc w:val="center"/>
        <w:rPr>
          <w:rFonts w:asciiTheme="majorBidi" w:hAnsiTheme="majorBidi" w:cstheme="majorBidi"/>
        </w:rPr>
      </w:pPr>
      <w:r w:rsidRPr="002A5475">
        <w:rPr>
          <w:rFonts w:asciiTheme="majorBidi" w:hAnsiTheme="majorBidi" w:cstheme="majorBidi"/>
        </w:rPr>
        <w:t>For Phil and Walter</w:t>
      </w:r>
      <w:r w:rsidR="001814F6" w:rsidRPr="002A5475">
        <w:rPr>
          <w:rFonts w:asciiTheme="majorBidi" w:hAnsiTheme="majorBidi" w:cstheme="majorBidi"/>
        </w:rPr>
        <w:t>, my favorite adventure partners</w:t>
      </w:r>
    </w:p>
    <w:p w14:paraId="7BEBB267" w14:textId="77777777" w:rsidR="006F5AA4" w:rsidRPr="002A5475" w:rsidRDefault="006F5AA4" w:rsidP="00387656">
      <w:pPr>
        <w:jc w:val="center"/>
        <w:rPr>
          <w:rFonts w:asciiTheme="majorBidi" w:hAnsiTheme="majorBidi" w:cstheme="majorBidi"/>
        </w:rPr>
      </w:pPr>
    </w:p>
    <w:p w14:paraId="1C280F5C" w14:textId="77777777" w:rsidR="00904969" w:rsidRPr="002A5475" w:rsidRDefault="00904969" w:rsidP="00387656">
      <w:pPr>
        <w:jc w:val="center"/>
        <w:rPr>
          <w:rFonts w:asciiTheme="majorBidi" w:hAnsiTheme="majorBidi" w:cstheme="majorBidi"/>
        </w:rPr>
      </w:pPr>
    </w:p>
    <w:p w14:paraId="47E1EC4D" w14:textId="77777777" w:rsidR="00904969" w:rsidRPr="002A5475" w:rsidRDefault="00904969" w:rsidP="00387656">
      <w:pPr>
        <w:jc w:val="center"/>
        <w:rPr>
          <w:rFonts w:asciiTheme="majorBidi" w:hAnsiTheme="majorBidi" w:cstheme="majorBidi"/>
        </w:rPr>
      </w:pPr>
    </w:p>
    <w:p w14:paraId="4133226F" w14:textId="77777777" w:rsidR="00904969" w:rsidRPr="002A5475" w:rsidRDefault="00904969" w:rsidP="00387656">
      <w:pPr>
        <w:jc w:val="center"/>
        <w:rPr>
          <w:rFonts w:asciiTheme="majorBidi" w:hAnsiTheme="majorBidi" w:cstheme="majorBidi"/>
        </w:rPr>
      </w:pPr>
    </w:p>
    <w:p w14:paraId="61BCDBB5" w14:textId="77777777" w:rsidR="00CD73A9" w:rsidRPr="002A5475" w:rsidRDefault="006F5AA4" w:rsidP="00387656">
      <w:pPr>
        <w:pStyle w:val="Title"/>
        <w:rPr>
          <w:rFonts w:asciiTheme="majorBidi" w:hAnsiTheme="majorBidi" w:cstheme="majorBidi"/>
          <w:szCs w:val="28"/>
        </w:rPr>
      </w:pPr>
      <w:r w:rsidRPr="002A5475">
        <w:rPr>
          <w:rFonts w:asciiTheme="majorBidi" w:hAnsiTheme="majorBidi" w:cstheme="majorBidi"/>
          <w:sz w:val="24"/>
        </w:rPr>
        <w:br w:type="page"/>
      </w:r>
      <w:r w:rsidR="00CD73A9" w:rsidRPr="002A5475">
        <w:rPr>
          <w:rFonts w:asciiTheme="majorBidi" w:hAnsiTheme="majorBidi" w:cstheme="majorBidi"/>
          <w:szCs w:val="28"/>
        </w:rPr>
        <w:lastRenderedPageBreak/>
        <w:t>ACKNOWLEDGEMENTS</w:t>
      </w:r>
    </w:p>
    <w:p w14:paraId="2545915D" w14:textId="77777777" w:rsidR="009D794C" w:rsidRPr="002A5475" w:rsidRDefault="009D794C" w:rsidP="005E54E2">
      <w:pPr>
        <w:rPr>
          <w:rFonts w:asciiTheme="majorBidi" w:hAnsiTheme="majorBidi" w:cstheme="majorBidi"/>
        </w:rPr>
      </w:pPr>
    </w:p>
    <w:p w14:paraId="1AF2DA6C" w14:textId="419B3D8E" w:rsidR="00DD1B97" w:rsidRPr="002A5475" w:rsidRDefault="00DD1B97" w:rsidP="005E54E2">
      <w:pPr>
        <w:rPr>
          <w:rFonts w:asciiTheme="majorBidi" w:hAnsiTheme="majorBidi" w:cstheme="majorBidi"/>
        </w:rPr>
      </w:pPr>
      <w:r w:rsidRPr="002A5475">
        <w:rPr>
          <w:rFonts w:asciiTheme="majorBidi" w:hAnsiTheme="majorBidi" w:cstheme="majorBidi"/>
        </w:rPr>
        <w:t>I</w:t>
      </w:r>
      <w:r w:rsidR="002C5B56" w:rsidRPr="002A5475">
        <w:rPr>
          <w:rFonts w:asciiTheme="majorBidi" w:hAnsiTheme="majorBidi" w:cstheme="majorBidi"/>
        </w:rPr>
        <w:t xml:space="preserve">t has been my great fortune </w:t>
      </w:r>
      <w:r w:rsidR="00035CF1" w:rsidRPr="002A5475">
        <w:rPr>
          <w:rFonts w:asciiTheme="majorBidi" w:hAnsiTheme="majorBidi" w:cstheme="majorBidi"/>
        </w:rPr>
        <w:t>to</w:t>
      </w:r>
      <w:r w:rsidR="00122EBE">
        <w:rPr>
          <w:rFonts w:asciiTheme="majorBidi" w:hAnsiTheme="majorBidi" w:cstheme="majorBidi"/>
        </w:rPr>
        <w:t xml:space="preserve"> enjoy</w:t>
      </w:r>
      <w:r w:rsidR="00035CF1" w:rsidRPr="002A5475">
        <w:rPr>
          <w:rFonts w:asciiTheme="majorBidi" w:hAnsiTheme="majorBidi" w:cstheme="majorBidi"/>
        </w:rPr>
        <w:t xml:space="preserve"> the support of many </w:t>
      </w:r>
      <w:r w:rsidR="00A62BF7" w:rsidRPr="002A5475">
        <w:rPr>
          <w:rFonts w:asciiTheme="majorBidi" w:hAnsiTheme="majorBidi" w:cstheme="majorBidi"/>
        </w:rPr>
        <w:t>remarkable people in the course of my work on this dissertation.</w:t>
      </w:r>
      <w:r w:rsidR="00035CF1" w:rsidRPr="002A5475">
        <w:rPr>
          <w:rFonts w:asciiTheme="majorBidi" w:hAnsiTheme="majorBidi" w:cstheme="majorBidi"/>
        </w:rPr>
        <w:t xml:space="preserve"> </w:t>
      </w:r>
    </w:p>
    <w:p w14:paraId="4B262532" w14:textId="4F93F4B5" w:rsidR="00F33DC9" w:rsidRPr="002A5475" w:rsidRDefault="00F33DC9" w:rsidP="005E54E2">
      <w:pPr>
        <w:rPr>
          <w:rFonts w:asciiTheme="majorBidi" w:hAnsiTheme="majorBidi" w:cstheme="majorBidi"/>
        </w:rPr>
      </w:pPr>
    </w:p>
    <w:p w14:paraId="69B81CEC" w14:textId="0762A4E8" w:rsidR="00785FDF" w:rsidRPr="002A5475" w:rsidRDefault="00FB522C" w:rsidP="00A62BF7">
      <w:pPr>
        <w:rPr>
          <w:rFonts w:asciiTheme="majorBidi" w:hAnsiTheme="majorBidi" w:cstheme="majorBidi"/>
        </w:rPr>
      </w:pPr>
      <w:r w:rsidRPr="002A5475">
        <w:rPr>
          <w:rFonts w:asciiTheme="majorBidi" w:hAnsiTheme="majorBidi" w:cstheme="majorBidi"/>
        </w:rPr>
        <w:t>I could not have asked for a better director than</w:t>
      </w:r>
      <w:r w:rsidR="00F33DC9" w:rsidRPr="002A5475">
        <w:rPr>
          <w:rFonts w:asciiTheme="majorBidi" w:hAnsiTheme="majorBidi" w:cstheme="majorBidi"/>
        </w:rPr>
        <w:t xml:space="preserve"> Nancy Henry</w:t>
      </w:r>
      <w:r w:rsidR="00FD2178" w:rsidRPr="002A5475">
        <w:rPr>
          <w:rFonts w:asciiTheme="majorBidi" w:hAnsiTheme="majorBidi" w:cstheme="majorBidi"/>
        </w:rPr>
        <w:t>,</w:t>
      </w:r>
      <w:r w:rsidR="00035CF1" w:rsidRPr="002A5475">
        <w:rPr>
          <w:rFonts w:asciiTheme="majorBidi" w:hAnsiTheme="majorBidi" w:cstheme="majorBidi"/>
        </w:rPr>
        <w:t xml:space="preserve"> whose</w:t>
      </w:r>
      <w:r w:rsidR="00EB483E" w:rsidRPr="002A5475">
        <w:rPr>
          <w:rFonts w:asciiTheme="majorBidi" w:hAnsiTheme="majorBidi" w:cstheme="majorBidi"/>
        </w:rPr>
        <w:t xml:space="preserve"> </w:t>
      </w:r>
      <w:r w:rsidR="00035CF1" w:rsidRPr="002A5475">
        <w:rPr>
          <w:rFonts w:asciiTheme="majorBidi" w:hAnsiTheme="majorBidi" w:cstheme="majorBidi"/>
        </w:rPr>
        <w:t>enduring</w:t>
      </w:r>
      <w:r w:rsidR="00785FDF" w:rsidRPr="002A5475">
        <w:rPr>
          <w:rFonts w:asciiTheme="majorBidi" w:hAnsiTheme="majorBidi" w:cstheme="majorBidi"/>
        </w:rPr>
        <w:t xml:space="preserve"> patience</w:t>
      </w:r>
      <w:r w:rsidR="00035CF1" w:rsidRPr="002A5475">
        <w:rPr>
          <w:rFonts w:asciiTheme="majorBidi" w:hAnsiTheme="majorBidi" w:cstheme="majorBidi"/>
        </w:rPr>
        <w:t xml:space="preserve"> and incisive </w:t>
      </w:r>
      <w:r w:rsidR="00923892">
        <w:rPr>
          <w:rFonts w:asciiTheme="majorBidi" w:hAnsiTheme="majorBidi" w:cstheme="majorBidi"/>
        </w:rPr>
        <w:t>questions</w:t>
      </w:r>
      <w:r w:rsidR="00035CF1" w:rsidRPr="002A5475">
        <w:rPr>
          <w:rFonts w:asciiTheme="majorBidi" w:hAnsiTheme="majorBidi" w:cstheme="majorBidi"/>
        </w:rPr>
        <w:t xml:space="preserve"> encouraged and challenged me in equal measure</w:t>
      </w:r>
      <w:r w:rsidR="00785FDF" w:rsidRPr="002A5475">
        <w:rPr>
          <w:rFonts w:asciiTheme="majorBidi" w:hAnsiTheme="majorBidi" w:cstheme="majorBidi"/>
        </w:rPr>
        <w:t xml:space="preserve">. </w:t>
      </w:r>
      <w:r w:rsidR="00923892">
        <w:rPr>
          <w:rFonts w:asciiTheme="majorBidi" w:hAnsiTheme="majorBidi" w:cstheme="majorBidi"/>
        </w:rPr>
        <w:t xml:space="preserve">Learning from Nancy has been a </w:t>
      </w:r>
      <w:r w:rsidR="00A348C7">
        <w:rPr>
          <w:rFonts w:asciiTheme="majorBidi" w:hAnsiTheme="majorBidi" w:cstheme="majorBidi"/>
        </w:rPr>
        <w:t xml:space="preserve">nothing but a </w:t>
      </w:r>
      <w:r w:rsidR="00923892">
        <w:rPr>
          <w:rFonts w:asciiTheme="majorBidi" w:hAnsiTheme="majorBidi" w:cstheme="majorBidi"/>
        </w:rPr>
        <w:t>privilege, and i</w:t>
      </w:r>
      <w:r w:rsidR="00785FDF" w:rsidRPr="002A5475">
        <w:rPr>
          <w:rFonts w:asciiTheme="majorBidi" w:hAnsiTheme="majorBidi" w:cstheme="majorBidi"/>
        </w:rPr>
        <w:t xml:space="preserve">n </w:t>
      </w:r>
      <w:r w:rsidR="00035CF1" w:rsidRPr="002A5475">
        <w:rPr>
          <w:rFonts w:asciiTheme="majorBidi" w:hAnsiTheme="majorBidi" w:cstheme="majorBidi"/>
        </w:rPr>
        <w:t>her</w:t>
      </w:r>
      <w:r w:rsidR="00785FDF" w:rsidRPr="002A5475">
        <w:rPr>
          <w:rFonts w:asciiTheme="majorBidi" w:hAnsiTheme="majorBidi" w:cstheme="majorBidi"/>
        </w:rPr>
        <w:t xml:space="preserve"> editorial clairvoyanc</w:t>
      </w:r>
      <w:r w:rsidR="00EB483E" w:rsidRPr="002A5475">
        <w:rPr>
          <w:rFonts w:asciiTheme="majorBidi" w:hAnsiTheme="majorBidi" w:cstheme="majorBidi"/>
        </w:rPr>
        <w:t>e</w:t>
      </w:r>
      <w:r w:rsidR="00785FDF" w:rsidRPr="002A5475">
        <w:rPr>
          <w:rFonts w:asciiTheme="majorBidi" w:hAnsiTheme="majorBidi" w:cstheme="majorBidi"/>
        </w:rPr>
        <w:t xml:space="preserve">, I believe </w:t>
      </w:r>
      <w:r w:rsidR="00035CF1" w:rsidRPr="002A5475">
        <w:rPr>
          <w:rFonts w:asciiTheme="majorBidi" w:hAnsiTheme="majorBidi" w:cstheme="majorBidi"/>
        </w:rPr>
        <w:t>she</w:t>
      </w:r>
      <w:r w:rsidR="00EB483E" w:rsidRPr="002A5475">
        <w:rPr>
          <w:rFonts w:asciiTheme="majorBidi" w:hAnsiTheme="majorBidi" w:cstheme="majorBidi"/>
        </w:rPr>
        <w:t xml:space="preserve"> corrected</w:t>
      </w:r>
      <w:r w:rsidR="00785FDF" w:rsidRPr="002A5475">
        <w:rPr>
          <w:rFonts w:asciiTheme="majorBidi" w:hAnsiTheme="majorBidi" w:cstheme="majorBidi"/>
        </w:rPr>
        <w:t xml:space="preserve"> many </w:t>
      </w:r>
      <w:r w:rsidR="00923892">
        <w:rPr>
          <w:rFonts w:asciiTheme="majorBidi" w:hAnsiTheme="majorBidi" w:cstheme="majorBidi"/>
        </w:rPr>
        <w:t xml:space="preserve">of my </w:t>
      </w:r>
      <w:r w:rsidR="002E249D">
        <w:rPr>
          <w:rFonts w:asciiTheme="majorBidi" w:hAnsiTheme="majorBidi" w:cstheme="majorBidi"/>
        </w:rPr>
        <w:t>errors</w:t>
      </w:r>
      <w:r w:rsidR="00785FDF" w:rsidRPr="002A5475">
        <w:rPr>
          <w:rFonts w:asciiTheme="majorBidi" w:hAnsiTheme="majorBidi" w:cstheme="majorBidi"/>
        </w:rPr>
        <w:t xml:space="preserve"> before I could even commit them</w:t>
      </w:r>
      <w:r w:rsidR="00667C1A">
        <w:rPr>
          <w:rFonts w:asciiTheme="majorBidi" w:hAnsiTheme="majorBidi" w:cstheme="majorBidi"/>
        </w:rPr>
        <w:t>.</w:t>
      </w:r>
      <w:r w:rsidR="00A62BF7" w:rsidRPr="002A5475">
        <w:rPr>
          <w:rFonts w:asciiTheme="majorBidi" w:hAnsiTheme="majorBidi" w:cstheme="majorBidi"/>
        </w:rPr>
        <w:t xml:space="preserve"> </w:t>
      </w:r>
      <w:r w:rsidR="00F33DC9" w:rsidRPr="002A5475">
        <w:rPr>
          <w:rFonts w:asciiTheme="majorBidi" w:hAnsiTheme="majorBidi" w:cstheme="majorBidi"/>
        </w:rPr>
        <w:t>Gerard Cohen-Vrignaud and Urmila Seshagiri</w:t>
      </w:r>
      <w:r w:rsidR="00667C1A">
        <w:rPr>
          <w:rFonts w:asciiTheme="majorBidi" w:hAnsiTheme="majorBidi" w:cstheme="majorBidi"/>
        </w:rPr>
        <w:t>, too</w:t>
      </w:r>
      <w:r w:rsidR="00B13060">
        <w:rPr>
          <w:rFonts w:asciiTheme="majorBidi" w:hAnsiTheme="majorBidi" w:cstheme="majorBidi"/>
        </w:rPr>
        <w:t>,</w:t>
      </w:r>
      <w:r w:rsidR="00667C1A">
        <w:rPr>
          <w:rFonts w:asciiTheme="majorBidi" w:hAnsiTheme="majorBidi" w:cstheme="majorBidi"/>
        </w:rPr>
        <w:t xml:space="preserve"> have provided me with a great deal of</w:t>
      </w:r>
      <w:r w:rsidR="00F33DC9" w:rsidRPr="002A5475">
        <w:rPr>
          <w:rFonts w:asciiTheme="majorBidi" w:hAnsiTheme="majorBidi" w:cstheme="majorBidi"/>
        </w:rPr>
        <w:t xml:space="preserve"> thoughtful</w:t>
      </w:r>
      <w:r w:rsidR="00EB483E" w:rsidRPr="002A5475">
        <w:rPr>
          <w:rFonts w:asciiTheme="majorBidi" w:hAnsiTheme="majorBidi" w:cstheme="majorBidi"/>
        </w:rPr>
        <w:t xml:space="preserve"> counse</w:t>
      </w:r>
      <w:r w:rsidR="00667C1A">
        <w:rPr>
          <w:rFonts w:asciiTheme="majorBidi" w:hAnsiTheme="majorBidi" w:cstheme="majorBidi"/>
        </w:rPr>
        <w:t>l</w:t>
      </w:r>
      <w:r w:rsidR="00785FDF" w:rsidRPr="002A5475">
        <w:rPr>
          <w:rFonts w:asciiTheme="majorBidi" w:hAnsiTheme="majorBidi" w:cstheme="majorBidi"/>
        </w:rPr>
        <w:t xml:space="preserve">. In many ways, </w:t>
      </w:r>
      <w:r w:rsidR="00A62BF7" w:rsidRPr="002A5475">
        <w:rPr>
          <w:rFonts w:asciiTheme="majorBidi" w:hAnsiTheme="majorBidi" w:cstheme="majorBidi"/>
        </w:rPr>
        <w:t>their</w:t>
      </w:r>
      <w:r w:rsidR="00785FDF" w:rsidRPr="002A5475">
        <w:rPr>
          <w:rFonts w:asciiTheme="majorBidi" w:hAnsiTheme="majorBidi" w:cstheme="majorBidi"/>
        </w:rPr>
        <w:t xml:space="preserve"> courses on affect and aesthetic</w:t>
      </w:r>
      <w:r w:rsidR="00083BFB" w:rsidRPr="002A5475">
        <w:rPr>
          <w:rFonts w:asciiTheme="majorBidi" w:hAnsiTheme="majorBidi" w:cstheme="majorBidi"/>
        </w:rPr>
        <w:t>s</w:t>
      </w:r>
      <w:r w:rsidR="00785FDF" w:rsidRPr="002A5475">
        <w:rPr>
          <w:rFonts w:asciiTheme="majorBidi" w:hAnsiTheme="majorBidi" w:cstheme="majorBidi"/>
        </w:rPr>
        <w:t xml:space="preserve"> came to inform much of my work in this </w:t>
      </w:r>
      <w:r w:rsidR="00B13060">
        <w:rPr>
          <w:rFonts w:asciiTheme="majorBidi" w:hAnsiTheme="majorBidi" w:cstheme="majorBidi"/>
        </w:rPr>
        <w:t>project</w:t>
      </w:r>
      <w:r w:rsidR="00840818" w:rsidRPr="002A5475">
        <w:rPr>
          <w:rFonts w:asciiTheme="majorBidi" w:hAnsiTheme="majorBidi" w:cstheme="majorBidi"/>
        </w:rPr>
        <w:t>, and my research was all the more interesting for their contributions as my committee members</w:t>
      </w:r>
      <w:r w:rsidR="00785FDF" w:rsidRPr="002A5475">
        <w:rPr>
          <w:rFonts w:asciiTheme="majorBidi" w:hAnsiTheme="majorBidi" w:cstheme="majorBidi"/>
        </w:rPr>
        <w:t>.</w:t>
      </w:r>
      <w:r w:rsidR="00A56679" w:rsidRPr="002A5475">
        <w:rPr>
          <w:rFonts w:asciiTheme="majorBidi" w:hAnsiTheme="majorBidi" w:cstheme="majorBidi"/>
        </w:rPr>
        <w:t xml:space="preserve"> </w:t>
      </w:r>
      <w:r w:rsidR="00785FDF" w:rsidRPr="002A5475">
        <w:rPr>
          <w:rFonts w:asciiTheme="majorBidi" w:hAnsiTheme="majorBidi" w:cstheme="majorBidi"/>
        </w:rPr>
        <w:t xml:space="preserve">Mary McAlpin </w:t>
      </w:r>
      <w:r w:rsidR="00083BFB" w:rsidRPr="002A5475">
        <w:rPr>
          <w:rFonts w:asciiTheme="majorBidi" w:hAnsiTheme="majorBidi" w:cstheme="majorBidi"/>
        </w:rPr>
        <w:t>generously join</w:t>
      </w:r>
      <w:r w:rsidR="002E249D">
        <w:rPr>
          <w:rFonts w:asciiTheme="majorBidi" w:hAnsiTheme="majorBidi" w:cstheme="majorBidi"/>
        </w:rPr>
        <w:t>ed</w:t>
      </w:r>
      <w:r w:rsidR="00083BFB" w:rsidRPr="002A5475">
        <w:rPr>
          <w:rFonts w:asciiTheme="majorBidi" w:hAnsiTheme="majorBidi" w:cstheme="majorBidi"/>
        </w:rPr>
        <w:t xml:space="preserve"> the committee</w:t>
      </w:r>
      <w:r w:rsidR="00923892">
        <w:rPr>
          <w:rFonts w:asciiTheme="majorBidi" w:hAnsiTheme="majorBidi" w:cstheme="majorBidi"/>
        </w:rPr>
        <w:t xml:space="preserve"> at a crucial moment</w:t>
      </w:r>
      <w:r w:rsidR="00083BFB" w:rsidRPr="002A5475">
        <w:rPr>
          <w:rFonts w:asciiTheme="majorBidi" w:hAnsiTheme="majorBidi" w:cstheme="majorBidi"/>
        </w:rPr>
        <w:t xml:space="preserve"> and</w:t>
      </w:r>
      <w:r w:rsidR="00923892">
        <w:rPr>
          <w:rFonts w:asciiTheme="majorBidi" w:hAnsiTheme="majorBidi" w:cstheme="majorBidi"/>
        </w:rPr>
        <w:t>, in so doing,</w:t>
      </w:r>
      <w:r w:rsidR="00083BFB" w:rsidRPr="002A5475">
        <w:rPr>
          <w:rFonts w:asciiTheme="majorBidi" w:hAnsiTheme="majorBidi" w:cstheme="majorBidi"/>
        </w:rPr>
        <w:t xml:space="preserve"> </w:t>
      </w:r>
      <w:r w:rsidR="00A56679" w:rsidRPr="002A5475">
        <w:rPr>
          <w:rFonts w:asciiTheme="majorBidi" w:hAnsiTheme="majorBidi" w:cstheme="majorBidi"/>
        </w:rPr>
        <w:t>expand</w:t>
      </w:r>
      <w:r w:rsidR="00923892">
        <w:rPr>
          <w:rFonts w:asciiTheme="majorBidi" w:hAnsiTheme="majorBidi" w:cstheme="majorBidi"/>
        </w:rPr>
        <w:t>ed</w:t>
      </w:r>
      <w:r w:rsidR="00A56679" w:rsidRPr="002A5475">
        <w:rPr>
          <w:rFonts w:asciiTheme="majorBidi" w:hAnsiTheme="majorBidi" w:cstheme="majorBidi"/>
        </w:rPr>
        <w:t xml:space="preserve"> my thinking about Flaubert </w:t>
      </w:r>
      <w:r w:rsidR="00935EBD" w:rsidRPr="002A5475">
        <w:rPr>
          <w:rFonts w:asciiTheme="majorBidi" w:hAnsiTheme="majorBidi" w:cstheme="majorBidi"/>
        </w:rPr>
        <w:t>and sofas in French literature.</w:t>
      </w:r>
    </w:p>
    <w:p w14:paraId="597AC8A6" w14:textId="77777777" w:rsidR="00DD1B97" w:rsidRPr="002A5475" w:rsidRDefault="00DD1B97" w:rsidP="005E54E2">
      <w:pPr>
        <w:rPr>
          <w:rFonts w:asciiTheme="majorBidi" w:hAnsiTheme="majorBidi" w:cstheme="majorBidi"/>
        </w:rPr>
      </w:pPr>
    </w:p>
    <w:p w14:paraId="5FEC6E70" w14:textId="79E056C4" w:rsidR="00BE79A5" w:rsidRPr="002A5475" w:rsidRDefault="00935EBD" w:rsidP="00935EBD">
      <w:pPr>
        <w:rPr>
          <w:rFonts w:asciiTheme="majorBidi" w:hAnsiTheme="majorBidi" w:cstheme="majorBidi"/>
        </w:rPr>
      </w:pPr>
      <w:r w:rsidRPr="002A5475">
        <w:rPr>
          <w:rFonts w:asciiTheme="majorBidi" w:hAnsiTheme="majorBidi" w:cstheme="majorBidi"/>
        </w:rPr>
        <w:t xml:space="preserve">I am forever grateful for my time in the </w:t>
      </w:r>
      <w:r w:rsidR="00014650" w:rsidRPr="002A5475">
        <w:rPr>
          <w:rFonts w:asciiTheme="majorBidi" w:hAnsiTheme="majorBidi" w:cstheme="majorBidi"/>
        </w:rPr>
        <w:t xml:space="preserve">English departments at Sewanee and </w:t>
      </w:r>
      <w:r w:rsidR="00FB522C" w:rsidRPr="002A5475">
        <w:rPr>
          <w:rFonts w:asciiTheme="majorBidi" w:hAnsiTheme="majorBidi" w:cstheme="majorBidi"/>
        </w:rPr>
        <w:t>UVa.</w:t>
      </w:r>
      <w:r w:rsidR="007058EF" w:rsidRPr="002A5475">
        <w:rPr>
          <w:rFonts w:asciiTheme="majorBidi" w:hAnsiTheme="majorBidi" w:cstheme="majorBidi"/>
        </w:rPr>
        <w:t xml:space="preserve"> </w:t>
      </w:r>
      <w:r w:rsidR="00A348C7">
        <w:rPr>
          <w:rFonts w:asciiTheme="majorBidi" w:hAnsiTheme="majorBidi" w:cstheme="majorBidi"/>
        </w:rPr>
        <w:t>D</w:t>
      </w:r>
      <w:r w:rsidR="007058EF" w:rsidRPr="002A5475">
        <w:rPr>
          <w:rFonts w:asciiTheme="majorBidi" w:hAnsiTheme="majorBidi" w:cstheme="majorBidi"/>
        </w:rPr>
        <w:t>e</w:t>
      </w:r>
      <w:r w:rsidR="00881DDE" w:rsidRPr="002A5475">
        <w:rPr>
          <w:rFonts w:asciiTheme="majorBidi" w:hAnsiTheme="majorBidi" w:cstheme="majorBidi"/>
        </w:rPr>
        <w:t xml:space="preserve">epest thanks go to my </w:t>
      </w:r>
      <w:r w:rsidR="00FB522C" w:rsidRPr="002A5475">
        <w:rPr>
          <w:rFonts w:asciiTheme="majorBidi" w:hAnsiTheme="majorBidi" w:cstheme="majorBidi"/>
        </w:rPr>
        <w:t>professors at Sewanee</w:t>
      </w:r>
      <w:r w:rsidR="00923892">
        <w:rPr>
          <w:rFonts w:asciiTheme="majorBidi" w:hAnsiTheme="majorBidi" w:cstheme="majorBidi"/>
        </w:rPr>
        <w:t>—</w:t>
      </w:r>
      <w:r w:rsidR="00FB522C" w:rsidRPr="002A5475">
        <w:rPr>
          <w:rFonts w:asciiTheme="majorBidi" w:hAnsiTheme="majorBidi" w:cstheme="majorBidi"/>
        </w:rPr>
        <w:t>especially</w:t>
      </w:r>
      <w:r w:rsidRPr="002A5475">
        <w:rPr>
          <w:rFonts w:asciiTheme="majorBidi" w:hAnsiTheme="majorBidi" w:cstheme="majorBidi"/>
        </w:rPr>
        <w:t xml:space="preserve"> Pamela Macfie,</w:t>
      </w:r>
      <w:r w:rsidR="00FB522C" w:rsidRPr="002A5475">
        <w:rPr>
          <w:rFonts w:asciiTheme="majorBidi" w:hAnsiTheme="majorBidi" w:cstheme="majorBidi"/>
        </w:rPr>
        <w:t xml:space="preserve"> Elizabeth and John Grammer</w:t>
      </w:r>
      <w:r w:rsidRPr="002A5475">
        <w:rPr>
          <w:rFonts w:asciiTheme="majorBidi" w:hAnsiTheme="majorBidi" w:cstheme="majorBidi"/>
        </w:rPr>
        <w:t>,</w:t>
      </w:r>
      <w:r w:rsidR="007E751C" w:rsidRPr="002A5475">
        <w:rPr>
          <w:rFonts w:asciiTheme="majorBidi" w:hAnsiTheme="majorBidi" w:cstheme="majorBidi"/>
        </w:rPr>
        <w:t xml:space="preserve"> </w:t>
      </w:r>
      <w:r w:rsidR="00FB522C" w:rsidRPr="002A5475">
        <w:rPr>
          <w:rFonts w:asciiTheme="majorBidi" w:hAnsiTheme="majorBidi" w:cstheme="majorBidi"/>
        </w:rPr>
        <w:t>Virginia Craighill</w:t>
      </w:r>
      <w:r w:rsidR="007E751C" w:rsidRPr="002A5475">
        <w:rPr>
          <w:rFonts w:asciiTheme="majorBidi" w:hAnsiTheme="majorBidi" w:cstheme="majorBidi"/>
        </w:rPr>
        <w:t>,</w:t>
      </w:r>
      <w:r w:rsidR="002E249D">
        <w:rPr>
          <w:rFonts w:asciiTheme="majorBidi" w:hAnsiTheme="majorBidi" w:cstheme="majorBidi"/>
        </w:rPr>
        <w:t xml:space="preserve"> Bill Engel,</w:t>
      </w:r>
      <w:r w:rsidR="007E751C" w:rsidRPr="002A5475">
        <w:rPr>
          <w:rFonts w:asciiTheme="majorBidi" w:hAnsiTheme="majorBidi" w:cstheme="majorBidi"/>
        </w:rPr>
        <w:t xml:space="preserve"> and Andrew Moser</w:t>
      </w:r>
      <w:r w:rsidR="00923892">
        <w:rPr>
          <w:rFonts w:asciiTheme="majorBidi" w:hAnsiTheme="majorBidi" w:cstheme="majorBidi"/>
        </w:rPr>
        <w:t>—</w:t>
      </w:r>
      <w:r w:rsidR="00A41DFF" w:rsidRPr="002A5475">
        <w:rPr>
          <w:rFonts w:asciiTheme="majorBidi" w:hAnsiTheme="majorBidi" w:cstheme="majorBidi"/>
        </w:rPr>
        <w:t>for helping me find my footing in the early years of my scholarship</w:t>
      </w:r>
      <w:r w:rsidRPr="002A5475">
        <w:rPr>
          <w:rFonts w:asciiTheme="majorBidi" w:hAnsiTheme="majorBidi" w:cstheme="majorBidi"/>
        </w:rPr>
        <w:t xml:space="preserve">. I was similarly fortunate, at Virginia, to </w:t>
      </w:r>
      <w:r w:rsidR="005C7F41" w:rsidRPr="002A5475">
        <w:rPr>
          <w:rFonts w:asciiTheme="majorBidi" w:hAnsiTheme="majorBidi" w:cstheme="majorBidi"/>
        </w:rPr>
        <w:t xml:space="preserve">study under </w:t>
      </w:r>
      <w:r w:rsidR="00FB522C" w:rsidRPr="002A5475">
        <w:rPr>
          <w:rFonts w:asciiTheme="majorBidi" w:hAnsiTheme="majorBidi" w:cstheme="majorBidi"/>
        </w:rPr>
        <w:t>Karen Chase and Steve Arata, models of gracious pedagogy</w:t>
      </w:r>
      <w:r w:rsidR="00014650" w:rsidRPr="002A5475">
        <w:rPr>
          <w:rFonts w:asciiTheme="majorBidi" w:hAnsiTheme="majorBidi" w:cstheme="majorBidi"/>
        </w:rPr>
        <w:t xml:space="preserve"> </w:t>
      </w:r>
      <w:r w:rsidR="00DE5920" w:rsidRPr="002A5475">
        <w:rPr>
          <w:rFonts w:asciiTheme="majorBidi" w:hAnsiTheme="majorBidi" w:cstheme="majorBidi"/>
        </w:rPr>
        <w:t>and scholarship</w:t>
      </w:r>
      <w:r w:rsidR="005C7F41" w:rsidRPr="002A5475">
        <w:rPr>
          <w:rFonts w:asciiTheme="majorBidi" w:hAnsiTheme="majorBidi" w:cstheme="majorBidi"/>
        </w:rPr>
        <w:t xml:space="preserve"> whose example</w:t>
      </w:r>
      <w:r w:rsidR="007E751C" w:rsidRPr="002A5475">
        <w:rPr>
          <w:rFonts w:asciiTheme="majorBidi" w:hAnsiTheme="majorBidi" w:cstheme="majorBidi"/>
        </w:rPr>
        <w:t>s</w:t>
      </w:r>
      <w:r w:rsidR="005C7F41" w:rsidRPr="002A5475">
        <w:rPr>
          <w:rFonts w:asciiTheme="majorBidi" w:hAnsiTheme="majorBidi" w:cstheme="majorBidi"/>
        </w:rPr>
        <w:t xml:space="preserve"> I aspire to follow. </w:t>
      </w:r>
    </w:p>
    <w:p w14:paraId="315E83AD" w14:textId="1FEC54E2" w:rsidR="00BE79A5" w:rsidRDefault="00BE79A5" w:rsidP="005E54E2">
      <w:pPr>
        <w:rPr>
          <w:rFonts w:asciiTheme="majorBidi" w:hAnsiTheme="majorBidi" w:cstheme="majorBidi"/>
        </w:rPr>
      </w:pPr>
    </w:p>
    <w:p w14:paraId="4881332C" w14:textId="31BA747F" w:rsidR="00923892" w:rsidRDefault="00923892" w:rsidP="00923892">
      <w:pPr>
        <w:rPr>
          <w:rFonts w:asciiTheme="majorBidi" w:hAnsiTheme="majorBidi" w:cstheme="majorBidi"/>
        </w:rPr>
      </w:pPr>
      <w:r w:rsidRPr="002A5475">
        <w:rPr>
          <w:rFonts w:asciiTheme="majorBidi" w:hAnsiTheme="majorBidi" w:cstheme="majorBidi"/>
        </w:rPr>
        <w:t xml:space="preserve">I </w:t>
      </w:r>
      <w:r>
        <w:rPr>
          <w:rFonts w:asciiTheme="majorBidi" w:hAnsiTheme="majorBidi" w:cstheme="majorBidi"/>
        </w:rPr>
        <w:t>am also continually indebted</w:t>
      </w:r>
      <w:r w:rsidRPr="002A5475">
        <w:rPr>
          <w:rFonts w:asciiTheme="majorBidi" w:hAnsiTheme="majorBidi" w:cstheme="majorBidi"/>
        </w:rPr>
        <w:t xml:space="preserve"> to the FBRA crew</w:t>
      </w:r>
      <w:r>
        <w:rPr>
          <w:rFonts w:asciiTheme="majorBidi" w:hAnsiTheme="majorBidi" w:cstheme="majorBidi"/>
        </w:rPr>
        <w:t xml:space="preserve">, </w:t>
      </w:r>
      <w:r w:rsidRPr="002A5475">
        <w:rPr>
          <w:rFonts w:asciiTheme="majorBidi" w:hAnsiTheme="majorBidi" w:cstheme="majorBidi"/>
        </w:rPr>
        <w:t>and especially to Andrew Holcombe and my pandemic officemate, Jeff Edmonds</w:t>
      </w:r>
      <w:r>
        <w:rPr>
          <w:rFonts w:asciiTheme="majorBidi" w:hAnsiTheme="majorBidi" w:cstheme="majorBidi"/>
        </w:rPr>
        <w:t>, for their guidance</w:t>
      </w:r>
      <w:r w:rsidR="00122EBE">
        <w:rPr>
          <w:rFonts w:asciiTheme="majorBidi" w:hAnsiTheme="majorBidi" w:cstheme="majorBidi"/>
        </w:rPr>
        <w:t xml:space="preserve"> and good humor</w:t>
      </w:r>
      <w:r>
        <w:rPr>
          <w:rFonts w:asciiTheme="majorBidi" w:hAnsiTheme="majorBidi" w:cstheme="majorBidi"/>
        </w:rPr>
        <w:t xml:space="preserve"> in the classroom and on the river.</w:t>
      </w:r>
    </w:p>
    <w:p w14:paraId="342E24E4" w14:textId="77777777" w:rsidR="00923892" w:rsidRPr="002A5475" w:rsidRDefault="00923892" w:rsidP="005E54E2">
      <w:pPr>
        <w:rPr>
          <w:rFonts w:asciiTheme="majorBidi" w:hAnsiTheme="majorBidi" w:cstheme="majorBidi"/>
        </w:rPr>
      </w:pPr>
    </w:p>
    <w:p w14:paraId="391B66CF" w14:textId="69BAEDA2" w:rsidR="00BE79A5" w:rsidRPr="002A5475" w:rsidRDefault="00951A54" w:rsidP="00FD2178">
      <w:pPr>
        <w:rPr>
          <w:rFonts w:asciiTheme="majorBidi" w:hAnsiTheme="majorBidi" w:cstheme="majorBidi"/>
        </w:rPr>
      </w:pPr>
      <w:r w:rsidRPr="002A5475">
        <w:rPr>
          <w:rFonts w:asciiTheme="majorBidi" w:hAnsiTheme="majorBidi" w:cstheme="majorBidi"/>
        </w:rPr>
        <w:t xml:space="preserve">Thanks to </w:t>
      </w:r>
      <w:r w:rsidR="00BE79A5" w:rsidRPr="002A5475">
        <w:rPr>
          <w:rFonts w:asciiTheme="majorBidi" w:hAnsiTheme="majorBidi" w:cstheme="majorBidi"/>
        </w:rPr>
        <w:t>David Gatewood</w:t>
      </w:r>
      <w:r w:rsidRPr="002A5475">
        <w:rPr>
          <w:rFonts w:asciiTheme="majorBidi" w:hAnsiTheme="majorBidi" w:cstheme="majorBidi"/>
        </w:rPr>
        <w:t>, whose</w:t>
      </w:r>
      <w:r w:rsidR="00BE79A5" w:rsidRPr="002A5475">
        <w:rPr>
          <w:rFonts w:asciiTheme="majorBidi" w:hAnsiTheme="majorBidi" w:cstheme="majorBidi"/>
        </w:rPr>
        <w:t xml:space="preserve"> friendship</w:t>
      </w:r>
      <w:r w:rsidR="00EA5EA8" w:rsidRPr="002A5475">
        <w:rPr>
          <w:rFonts w:asciiTheme="majorBidi" w:hAnsiTheme="majorBidi" w:cstheme="majorBidi"/>
        </w:rPr>
        <w:t xml:space="preserve"> (with its occasional brunches</w:t>
      </w:r>
      <w:r w:rsidR="00881DDE" w:rsidRPr="002A5475">
        <w:rPr>
          <w:rFonts w:asciiTheme="majorBidi" w:hAnsiTheme="majorBidi" w:cstheme="majorBidi"/>
        </w:rPr>
        <w:t>,</w:t>
      </w:r>
      <w:r w:rsidR="00EA5EA8" w:rsidRPr="002A5475">
        <w:rPr>
          <w:rFonts w:asciiTheme="majorBidi" w:hAnsiTheme="majorBidi" w:cstheme="majorBidi"/>
        </w:rPr>
        <w:t xml:space="preserve"> regular rounds of trivia</w:t>
      </w:r>
      <w:r w:rsidR="00881DDE" w:rsidRPr="002A5475">
        <w:rPr>
          <w:rFonts w:asciiTheme="majorBidi" w:hAnsiTheme="majorBidi" w:cstheme="majorBidi"/>
        </w:rPr>
        <w:t>, and frequent soapbox rants</w:t>
      </w:r>
      <w:r w:rsidR="00EA5EA8" w:rsidRPr="002A5475">
        <w:rPr>
          <w:rFonts w:asciiTheme="majorBidi" w:hAnsiTheme="majorBidi" w:cstheme="majorBidi"/>
        </w:rPr>
        <w:t>)</w:t>
      </w:r>
      <w:r w:rsidR="00BE79A5" w:rsidRPr="002A5475">
        <w:rPr>
          <w:rFonts w:asciiTheme="majorBidi" w:hAnsiTheme="majorBidi" w:cstheme="majorBidi"/>
        </w:rPr>
        <w:t xml:space="preserve"> </w:t>
      </w:r>
      <w:r w:rsidRPr="002A5475">
        <w:rPr>
          <w:rFonts w:asciiTheme="majorBidi" w:hAnsiTheme="majorBidi" w:cstheme="majorBidi"/>
        </w:rPr>
        <w:t>kept me afloat</w:t>
      </w:r>
      <w:r w:rsidR="00BE79A5" w:rsidRPr="002A5475">
        <w:rPr>
          <w:rFonts w:asciiTheme="majorBidi" w:hAnsiTheme="majorBidi" w:cstheme="majorBidi"/>
        </w:rPr>
        <w:t xml:space="preserve"> </w:t>
      </w:r>
      <w:r w:rsidRPr="002A5475">
        <w:rPr>
          <w:rFonts w:asciiTheme="majorBidi" w:hAnsiTheme="majorBidi" w:cstheme="majorBidi"/>
        </w:rPr>
        <w:t>during</w:t>
      </w:r>
      <w:r w:rsidR="00BE79A5" w:rsidRPr="002A5475">
        <w:rPr>
          <w:rFonts w:asciiTheme="majorBidi" w:hAnsiTheme="majorBidi" w:cstheme="majorBidi"/>
        </w:rPr>
        <w:t xml:space="preserve"> coursework </w:t>
      </w:r>
      <w:r w:rsidRPr="002A5475">
        <w:rPr>
          <w:rFonts w:asciiTheme="majorBidi" w:hAnsiTheme="majorBidi" w:cstheme="majorBidi"/>
        </w:rPr>
        <w:t xml:space="preserve">and comps; Marisa de la Fuente, Maggie Howe, Sara Schmidt, and Lindsey Guye for </w:t>
      </w:r>
      <w:r w:rsidR="00923892">
        <w:rPr>
          <w:rFonts w:asciiTheme="majorBidi" w:hAnsiTheme="majorBidi" w:cstheme="majorBidi"/>
        </w:rPr>
        <w:t>their joyful sense of community</w:t>
      </w:r>
      <w:r w:rsidRPr="002A5475">
        <w:rPr>
          <w:rFonts w:asciiTheme="majorBidi" w:hAnsiTheme="majorBidi" w:cstheme="majorBidi"/>
        </w:rPr>
        <w:t xml:space="preserve">; Taylor Simpson for </w:t>
      </w:r>
      <w:r w:rsidR="00FD2178" w:rsidRPr="002A5475">
        <w:rPr>
          <w:rFonts w:asciiTheme="majorBidi" w:hAnsiTheme="majorBidi" w:cstheme="majorBidi"/>
        </w:rPr>
        <w:t>almost a decade’s worth of outdoor adventures and misadventures</w:t>
      </w:r>
      <w:r w:rsidR="00923892">
        <w:rPr>
          <w:rFonts w:asciiTheme="majorBidi" w:hAnsiTheme="majorBidi" w:cstheme="majorBidi"/>
        </w:rPr>
        <w:t>; and</w:t>
      </w:r>
      <w:r w:rsidR="00FD2178" w:rsidRPr="002A5475">
        <w:rPr>
          <w:rFonts w:asciiTheme="majorBidi" w:hAnsiTheme="majorBidi" w:cstheme="majorBidi"/>
        </w:rPr>
        <w:t xml:space="preserve"> </w:t>
      </w:r>
      <w:r w:rsidR="00C84C59" w:rsidRPr="002A5475">
        <w:rPr>
          <w:rFonts w:asciiTheme="majorBidi" w:hAnsiTheme="majorBidi" w:cstheme="majorBidi"/>
        </w:rPr>
        <w:t xml:space="preserve">Robin </w:t>
      </w:r>
      <w:r w:rsidR="009B5D24">
        <w:rPr>
          <w:rFonts w:asciiTheme="majorBidi" w:hAnsiTheme="majorBidi" w:cstheme="majorBidi"/>
        </w:rPr>
        <w:t>and</w:t>
      </w:r>
      <w:r w:rsidR="00C84C59" w:rsidRPr="002A5475">
        <w:rPr>
          <w:rFonts w:asciiTheme="majorBidi" w:hAnsiTheme="majorBidi" w:cstheme="majorBidi"/>
        </w:rPr>
        <w:t xml:space="preserve"> Watt McCain</w:t>
      </w:r>
      <w:r w:rsidR="00DE5920" w:rsidRPr="002A5475">
        <w:rPr>
          <w:rFonts w:asciiTheme="majorBidi" w:hAnsiTheme="majorBidi" w:cstheme="majorBidi"/>
        </w:rPr>
        <w:t xml:space="preserve"> as much for </w:t>
      </w:r>
      <w:r w:rsidR="007E751C" w:rsidRPr="002A5475">
        <w:rPr>
          <w:rFonts w:asciiTheme="majorBidi" w:hAnsiTheme="majorBidi" w:cstheme="majorBidi"/>
        </w:rPr>
        <w:t>their</w:t>
      </w:r>
      <w:r w:rsidR="00DE5920" w:rsidRPr="002A5475">
        <w:rPr>
          <w:rFonts w:asciiTheme="majorBidi" w:hAnsiTheme="majorBidi" w:cstheme="majorBidi"/>
        </w:rPr>
        <w:t xml:space="preserve"> g</w:t>
      </w:r>
      <w:r w:rsidR="00122EBE">
        <w:rPr>
          <w:rFonts w:asciiTheme="majorBidi" w:hAnsiTheme="majorBidi" w:cstheme="majorBidi"/>
        </w:rPr>
        <w:t xml:space="preserve">enuine interest and confidence </w:t>
      </w:r>
      <w:r w:rsidR="00DE5920" w:rsidRPr="002A5475">
        <w:rPr>
          <w:rFonts w:asciiTheme="majorBidi" w:hAnsiTheme="majorBidi" w:cstheme="majorBidi"/>
        </w:rPr>
        <w:t xml:space="preserve">in my work as for </w:t>
      </w:r>
      <w:r w:rsidR="007E751C" w:rsidRPr="002A5475">
        <w:rPr>
          <w:rFonts w:asciiTheme="majorBidi" w:hAnsiTheme="majorBidi" w:cstheme="majorBidi"/>
        </w:rPr>
        <w:t>their</w:t>
      </w:r>
      <w:r w:rsidR="00DE5920" w:rsidRPr="002A5475">
        <w:rPr>
          <w:rFonts w:asciiTheme="majorBidi" w:hAnsiTheme="majorBidi" w:cstheme="majorBidi"/>
        </w:rPr>
        <w:t xml:space="preserve"> </w:t>
      </w:r>
      <w:r w:rsidR="007867D7" w:rsidRPr="002A5475">
        <w:rPr>
          <w:rFonts w:asciiTheme="majorBidi" w:hAnsiTheme="majorBidi" w:cstheme="majorBidi"/>
        </w:rPr>
        <w:t>unparalleled</w:t>
      </w:r>
      <w:r w:rsidR="00DE5920" w:rsidRPr="002A5475">
        <w:rPr>
          <w:rFonts w:asciiTheme="majorBidi" w:hAnsiTheme="majorBidi" w:cstheme="majorBidi"/>
        </w:rPr>
        <w:t xml:space="preserve"> companionship. The last few years have been brightened</w:t>
      </w:r>
      <w:r w:rsidR="00A6370B">
        <w:rPr>
          <w:rFonts w:asciiTheme="majorBidi" w:hAnsiTheme="majorBidi" w:cstheme="majorBidi"/>
        </w:rPr>
        <w:t xml:space="preserve"> tremendously</w:t>
      </w:r>
      <w:r w:rsidR="00DE5920" w:rsidRPr="002A5475">
        <w:rPr>
          <w:rFonts w:asciiTheme="majorBidi" w:hAnsiTheme="majorBidi" w:cstheme="majorBidi"/>
        </w:rPr>
        <w:t xml:space="preserve"> by our sunset Sunday gatherings</w:t>
      </w:r>
      <w:r w:rsidR="00B43A9E" w:rsidRPr="002A5475">
        <w:rPr>
          <w:rFonts w:asciiTheme="majorBidi" w:hAnsiTheme="majorBidi" w:cstheme="majorBidi"/>
        </w:rPr>
        <w:t xml:space="preserve">. </w:t>
      </w:r>
    </w:p>
    <w:p w14:paraId="0F3A3E80" w14:textId="487C5FBC" w:rsidR="00BE79A5" w:rsidRPr="002A5475" w:rsidRDefault="00BE79A5" w:rsidP="005E54E2">
      <w:pPr>
        <w:rPr>
          <w:rFonts w:asciiTheme="majorBidi" w:hAnsiTheme="majorBidi" w:cstheme="majorBidi"/>
        </w:rPr>
      </w:pPr>
    </w:p>
    <w:p w14:paraId="667181B7" w14:textId="61D60BC5" w:rsidR="00BE79A5" w:rsidRPr="002A5475" w:rsidRDefault="00FD2178" w:rsidP="005E54E2">
      <w:pPr>
        <w:rPr>
          <w:rFonts w:asciiTheme="majorBidi" w:hAnsiTheme="majorBidi" w:cstheme="majorBidi"/>
        </w:rPr>
      </w:pPr>
      <w:r w:rsidRPr="002A5475">
        <w:rPr>
          <w:rFonts w:asciiTheme="majorBidi" w:hAnsiTheme="majorBidi" w:cstheme="majorBidi"/>
        </w:rPr>
        <w:t xml:space="preserve">I think it is unlikely that I will ever be </w:t>
      </w:r>
      <w:r w:rsidR="005D495E" w:rsidRPr="002A5475">
        <w:rPr>
          <w:rFonts w:asciiTheme="majorBidi" w:hAnsiTheme="majorBidi" w:cstheme="majorBidi"/>
        </w:rPr>
        <w:t xml:space="preserve">able to express the full extent of my </w:t>
      </w:r>
      <w:r w:rsidR="00923892">
        <w:rPr>
          <w:rFonts w:asciiTheme="majorBidi" w:hAnsiTheme="majorBidi" w:cstheme="majorBidi"/>
        </w:rPr>
        <w:t>appreciation</w:t>
      </w:r>
      <w:r w:rsidR="005D495E" w:rsidRPr="002A5475">
        <w:rPr>
          <w:rFonts w:asciiTheme="majorBidi" w:hAnsiTheme="majorBidi" w:cstheme="majorBidi"/>
        </w:rPr>
        <w:t xml:space="preserve"> to </w:t>
      </w:r>
      <w:r w:rsidR="00BE79A5" w:rsidRPr="002A5475">
        <w:rPr>
          <w:rFonts w:asciiTheme="majorBidi" w:hAnsiTheme="majorBidi" w:cstheme="majorBidi"/>
        </w:rPr>
        <w:t xml:space="preserve">Aaron Colton, without whose </w:t>
      </w:r>
      <w:r w:rsidR="00A41DFF" w:rsidRPr="002A5475">
        <w:rPr>
          <w:rFonts w:asciiTheme="majorBidi" w:hAnsiTheme="majorBidi" w:cstheme="majorBidi"/>
        </w:rPr>
        <w:t xml:space="preserve">ardent </w:t>
      </w:r>
      <w:r w:rsidR="00BE79A5" w:rsidRPr="002A5475">
        <w:rPr>
          <w:rFonts w:asciiTheme="majorBidi" w:hAnsiTheme="majorBidi" w:cstheme="majorBidi"/>
        </w:rPr>
        <w:t>encouragement and e</w:t>
      </w:r>
      <w:r w:rsidR="000E3395" w:rsidRPr="002A5475">
        <w:rPr>
          <w:rFonts w:asciiTheme="majorBidi" w:hAnsiTheme="majorBidi" w:cstheme="majorBidi"/>
        </w:rPr>
        <w:t>leventh-hour readings</w:t>
      </w:r>
      <w:r w:rsidR="00BE79A5" w:rsidRPr="002A5475">
        <w:rPr>
          <w:rFonts w:asciiTheme="majorBidi" w:hAnsiTheme="majorBidi" w:cstheme="majorBidi"/>
        </w:rPr>
        <w:t xml:space="preserve"> I might have abandoned th</w:t>
      </w:r>
      <w:r w:rsidR="009B5D24">
        <w:rPr>
          <w:rFonts w:asciiTheme="majorBidi" w:hAnsiTheme="majorBidi" w:cstheme="majorBidi"/>
        </w:rPr>
        <w:t>is</w:t>
      </w:r>
      <w:r w:rsidR="00BE79A5" w:rsidRPr="002A5475">
        <w:rPr>
          <w:rFonts w:asciiTheme="majorBidi" w:hAnsiTheme="majorBidi" w:cstheme="majorBidi"/>
        </w:rPr>
        <w:t xml:space="preserve"> project long ago</w:t>
      </w:r>
      <w:r w:rsidR="005D495E" w:rsidRPr="002A5475">
        <w:rPr>
          <w:rFonts w:asciiTheme="majorBidi" w:hAnsiTheme="majorBidi" w:cstheme="majorBidi"/>
        </w:rPr>
        <w:t>.</w:t>
      </w:r>
      <w:r w:rsidR="00850CCB" w:rsidRPr="002A5475">
        <w:rPr>
          <w:rFonts w:asciiTheme="majorBidi" w:hAnsiTheme="majorBidi" w:cstheme="majorBidi"/>
        </w:rPr>
        <w:t xml:space="preserve"> </w:t>
      </w:r>
      <w:r w:rsidR="00122EBE">
        <w:rPr>
          <w:rFonts w:asciiTheme="majorBidi" w:hAnsiTheme="majorBidi" w:cstheme="majorBidi"/>
        </w:rPr>
        <w:t>I am always rooting for Aaron and w</w:t>
      </w:r>
      <w:r w:rsidR="00850CCB" w:rsidRPr="002A5475">
        <w:rPr>
          <w:rFonts w:asciiTheme="majorBidi" w:hAnsiTheme="majorBidi" w:cstheme="majorBidi"/>
        </w:rPr>
        <w:t xml:space="preserve">ould that the academic world had a hundred more </w:t>
      </w:r>
      <w:r w:rsidR="00172266">
        <w:rPr>
          <w:rFonts w:asciiTheme="majorBidi" w:hAnsiTheme="majorBidi" w:cstheme="majorBidi"/>
        </w:rPr>
        <w:t>like him</w:t>
      </w:r>
      <w:r w:rsidR="00122EBE">
        <w:rPr>
          <w:rFonts w:asciiTheme="majorBidi" w:hAnsiTheme="majorBidi" w:cstheme="majorBidi"/>
        </w:rPr>
        <w:t>.</w:t>
      </w:r>
      <w:r w:rsidR="00850CCB" w:rsidRPr="002A5475">
        <w:rPr>
          <w:rFonts w:asciiTheme="majorBidi" w:hAnsiTheme="majorBidi" w:cstheme="majorBidi"/>
        </w:rPr>
        <w:t xml:space="preserve"> </w:t>
      </w:r>
    </w:p>
    <w:p w14:paraId="6A97ABB8" w14:textId="57A39CB1" w:rsidR="00BE79A5" w:rsidRPr="002A5475" w:rsidRDefault="00BE79A5" w:rsidP="005E54E2">
      <w:pPr>
        <w:rPr>
          <w:rFonts w:asciiTheme="majorBidi" w:hAnsiTheme="majorBidi" w:cstheme="majorBidi"/>
        </w:rPr>
      </w:pPr>
    </w:p>
    <w:p w14:paraId="1A684E72" w14:textId="45BEF469" w:rsidR="00904969" w:rsidRPr="002A5475" w:rsidRDefault="00235A85" w:rsidP="009B5D24">
      <w:pPr>
        <w:rPr>
          <w:rFonts w:asciiTheme="majorBidi" w:hAnsiTheme="majorBidi" w:cstheme="majorBidi"/>
        </w:rPr>
      </w:pPr>
      <w:r w:rsidRPr="002A5475">
        <w:rPr>
          <w:rFonts w:asciiTheme="majorBidi" w:hAnsiTheme="majorBidi" w:cstheme="majorBidi"/>
        </w:rPr>
        <w:t>I</w:t>
      </w:r>
      <w:r w:rsidR="005F7F5A">
        <w:rPr>
          <w:rFonts w:asciiTheme="majorBidi" w:hAnsiTheme="majorBidi" w:cstheme="majorBidi"/>
        </w:rPr>
        <w:t xml:space="preserve"> </w:t>
      </w:r>
      <w:r w:rsidRPr="002A5475">
        <w:rPr>
          <w:rFonts w:asciiTheme="majorBidi" w:hAnsiTheme="majorBidi" w:cstheme="majorBidi"/>
        </w:rPr>
        <w:t>find myself a</w:t>
      </w:r>
      <w:r w:rsidR="003926B0" w:rsidRPr="002A5475">
        <w:rPr>
          <w:rFonts w:asciiTheme="majorBidi" w:hAnsiTheme="majorBidi" w:cstheme="majorBidi"/>
        </w:rPr>
        <w:t>t</w:t>
      </w:r>
      <w:r w:rsidRPr="002A5475">
        <w:rPr>
          <w:rFonts w:asciiTheme="majorBidi" w:hAnsiTheme="majorBidi" w:cstheme="majorBidi"/>
        </w:rPr>
        <w:t xml:space="preserve"> something of a loss in trying properly to thank</w:t>
      </w:r>
      <w:r w:rsidR="00A41DFF" w:rsidRPr="002A5475">
        <w:rPr>
          <w:rFonts w:asciiTheme="majorBidi" w:hAnsiTheme="majorBidi" w:cstheme="majorBidi"/>
        </w:rPr>
        <w:t xml:space="preserve"> my </w:t>
      </w:r>
      <w:r w:rsidRPr="002A5475">
        <w:rPr>
          <w:rFonts w:asciiTheme="majorBidi" w:hAnsiTheme="majorBidi" w:cstheme="majorBidi"/>
        </w:rPr>
        <w:t>steadfast partner</w:t>
      </w:r>
      <w:r w:rsidR="00A41DFF" w:rsidRPr="002A5475">
        <w:rPr>
          <w:rFonts w:asciiTheme="majorBidi" w:hAnsiTheme="majorBidi" w:cstheme="majorBidi"/>
        </w:rPr>
        <w:t xml:space="preserve">, </w:t>
      </w:r>
      <w:r w:rsidR="00BE79A5" w:rsidRPr="002A5475">
        <w:rPr>
          <w:rFonts w:asciiTheme="majorBidi" w:hAnsiTheme="majorBidi" w:cstheme="majorBidi"/>
        </w:rPr>
        <w:t>Phillip Dennison</w:t>
      </w:r>
      <w:r w:rsidRPr="002A5475">
        <w:rPr>
          <w:rFonts w:asciiTheme="majorBidi" w:hAnsiTheme="majorBidi" w:cstheme="majorBidi"/>
        </w:rPr>
        <w:t xml:space="preserve">. The </w:t>
      </w:r>
      <w:r w:rsidR="00D20136">
        <w:rPr>
          <w:rFonts w:asciiTheme="majorBidi" w:hAnsiTheme="majorBidi" w:cstheme="majorBidi"/>
        </w:rPr>
        <w:t>profound</w:t>
      </w:r>
      <w:r w:rsidR="00923892">
        <w:rPr>
          <w:rFonts w:asciiTheme="majorBidi" w:hAnsiTheme="majorBidi" w:cstheme="majorBidi"/>
        </w:rPr>
        <w:t xml:space="preserve"> gratitude</w:t>
      </w:r>
      <w:r w:rsidRPr="002A5475">
        <w:rPr>
          <w:rFonts w:asciiTheme="majorBidi" w:hAnsiTheme="majorBidi" w:cstheme="majorBidi"/>
        </w:rPr>
        <w:t xml:space="preserve"> I feel for the</w:t>
      </w:r>
      <w:r w:rsidR="00A41DFF" w:rsidRPr="002A5475">
        <w:rPr>
          <w:rFonts w:asciiTheme="majorBidi" w:hAnsiTheme="majorBidi" w:cstheme="majorBidi"/>
        </w:rPr>
        <w:t xml:space="preserve"> sacrifices </w:t>
      </w:r>
      <w:r w:rsidR="00023BAB" w:rsidRPr="002A5475">
        <w:rPr>
          <w:rFonts w:asciiTheme="majorBidi" w:hAnsiTheme="majorBidi" w:cstheme="majorBidi"/>
        </w:rPr>
        <w:t>he has</w:t>
      </w:r>
      <w:r w:rsidR="00A41DFF" w:rsidRPr="002A5475">
        <w:rPr>
          <w:rFonts w:asciiTheme="majorBidi" w:hAnsiTheme="majorBidi" w:cstheme="majorBidi"/>
        </w:rPr>
        <w:t xml:space="preserve"> made </w:t>
      </w:r>
      <w:r w:rsidR="00B43A9E" w:rsidRPr="002A5475">
        <w:rPr>
          <w:rFonts w:asciiTheme="majorBidi" w:hAnsiTheme="majorBidi" w:cstheme="majorBidi"/>
        </w:rPr>
        <w:t>in</w:t>
      </w:r>
      <w:r w:rsidR="00A41DFF" w:rsidRPr="002A5475">
        <w:rPr>
          <w:rFonts w:asciiTheme="majorBidi" w:hAnsiTheme="majorBidi" w:cstheme="majorBidi"/>
        </w:rPr>
        <w:t xml:space="preserve"> support</w:t>
      </w:r>
      <w:r w:rsidR="00B43A9E" w:rsidRPr="002A5475">
        <w:rPr>
          <w:rFonts w:asciiTheme="majorBidi" w:hAnsiTheme="majorBidi" w:cstheme="majorBidi"/>
        </w:rPr>
        <w:t xml:space="preserve"> of</w:t>
      </w:r>
      <w:r w:rsidR="00A41DFF" w:rsidRPr="002A5475">
        <w:rPr>
          <w:rFonts w:asciiTheme="majorBidi" w:hAnsiTheme="majorBidi" w:cstheme="majorBidi"/>
        </w:rPr>
        <w:t xml:space="preserve"> my efforts here</w:t>
      </w:r>
      <w:r w:rsidR="00023BAB" w:rsidRPr="002A5475">
        <w:rPr>
          <w:rFonts w:asciiTheme="majorBidi" w:hAnsiTheme="majorBidi" w:cstheme="majorBidi"/>
        </w:rPr>
        <w:t xml:space="preserve"> is immeasurable</w:t>
      </w:r>
      <w:r w:rsidR="00554592">
        <w:rPr>
          <w:rFonts w:asciiTheme="majorBidi" w:hAnsiTheme="majorBidi" w:cstheme="majorBidi"/>
        </w:rPr>
        <w:t>, and t</w:t>
      </w:r>
      <w:r w:rsidR="009B5D24">
        <w:rPr>
          <w:rFonts w:asciiTheme="majorBidi" w:hAnsiTheme="majorBidi" w:cstheme="majorBidi"/>
        </w:rPr>
        <w:t>he great debt I owe him for his</w:t>
      </w:r>
      <w:r w:rsidR="000A6039" w:rsidRPr="002A5475">
        <w:rPr>
          <w:rFonts w:asciiTheme="majorBidi" w:hAnsiTheme="majorBidi" w:cstheme="majorBidi"/>
        </w:rPr>
        <w:t xml:space="preserve"> abiding devotion can be</w:t>
      </w:r>
      <w:r w:rsidR="00205809" w:rsidRPr="002A5475">
        <w:rPr>
          <w:rFonts w:asciiTheme="majorBidi" w:hAnsiTheme="majorBidi" w:cstheme="majorBidi"/>
        </w:rPr>
        <w:t xml:space="preserve"> repaid </w:t>
      </w:r>
      <w:r w:rsidR="000A6039" w:rsidRPr="002A5475">
        <w:rPr>
          <w:rFonts w:asciiTheme="majorBidi" w:hAnsiTheme="majorBidi" w:cstheme="majorBidi"/>
        </w:rPr>
        <w:t xml:space="preserve">only </w:t>
      </w:r>
      <w:r w:rsidR="00205809" w:rsidRPr="002A5475">
        <w:rPr>
          <w:rFonts w:asciiTheme="majorBidi" w:hAnsiTheme="majorBidi" w:cstheme="majorBidi"/>
        </w:rPr>
        <w:t xml:space="preserve">in mutual </w:t>
      </w:r>
      <w:r w:rsidR="00554592">
        <w:rPr>
          <w:rFonts w:asciiTheme="majorBidi" w:hAnsiTheme="majorBidi" w:cstheme="majorBidi"/>
        </w:rPr>
        <w:t>care</w:t>
      </w:r>
      <w:r w:rsidR="00205809" w:rsidRPr="002A5475">
        <w:rPr>
          <w:rFonts w:asciiTheme="majorBidi" w:hAnsiTheme="majorBidi" w:cstheme="majorBidi"/>
        </w:rPr>
        <w:t xml:space="preserve"> and affection</w:t>
      </w:r>
      <w:r w:rsidR="000A6039" w:rsidRPr="002A5475">
        <w:rPr>
          <w:rFonts w:asciiTheme="majorBidi" w:hAnsiTheme="majorBidi" w:cstheme="majorBidi"/>
        </w:rPr>
        <w:t xml:space="preserve"> (and perhaps a great deal of sleep)</w:t>
      </w:r>
      <w:r w:rsidR="00205809" w:rsidRPr="002A5475">
        <w:rPr>
          <w:rFonts w:asciiTheme="majorBidi" w:hAnsiTheme="majorBidi" w:cstheme="majorBidi"/>
        </w:rPr>
        <w:t xml:space="preserve">. </w:t>
      </w:r>
    </w:p>
    <w:p w14:paraId="2CA55191" w14:textId="77777777" w:rsidR="00236E6D" w:rsidRPr="002A5475" w:rsidRDefault="0085757D" w:rsidP="00387656">
      <w:pPr>
        <w:pStyle w:val="Title"/>
        <w:rPr>
          <w:rFonts w:asciiTheme="majorBidi" w:hAnsiTheme="majorBidi" w:cstheme="majorBidi"/>
          <w:szCs w:val="28"/>
        </w:rPr>
      </w:pPr>
      <w:r w:rsidRPr="002A5475">
        <w:rPr>
          <w:rFonts w:asciiTheme="majorBidi" w:hAnsiTheme="majorBidi" w:cstheme="majorBidi"/>
          <w:sz w:val="24"/>
        </w:rPr>
        <w:br w:type="page"/>
      </w:r>
      <w:bookmarkStart w:id="0" w:name="_Hlk101800627"/>
      <w:r w:rsidR="00236E6D" w:rsidRPr="002A5475">
        <w:rPr>
          <w:rFonts w:asciiTheme="majorBidi" w:hAnsiTheme="majorBidi" w:cstheme="majorBidi"/>
          <w:szCs w:val="28"/>
        </w:rPr>
        <w:lastRenderedPageBreak/>
        <w:t>ABSTRACT</w:t>
      </w:r>
    </w:p>
    <w:p w14:paraId="5D37009D" w14:textId="77777777" w:rsidR="00060A6A" w:rsidRPr="002A5475" w:rsidRDefault="00060A6A" w:rsidP="005E54E2">
      <w:pPr>
        <w:rPr>
          <w:rFonts w:asciiTheme="majorBidi" w:hAnsiTheme="majorBidi" w:cstheme="majorBidi"/>
        </w:rPr>
      </w:pPr>
    </w:p>
    <w:bookmarkEnd w:id="0"/>
    <w:p w14:paraId="2BE1B83E" w14:textId="595EAB3A" w:rsidR="00C85964" w:rsidRPr="006D3710" w:rsidRDefault="00C85964" w:rsidP="006D3710">
      <w:pPr>
        <w:ind w:firstLine="720"/>
        <w:rPr>
          <w:rFonts w:asciiTheme="majorBidi" w:eastAsia="Calibri" w:hAnsiTheme="majorBidi" w:cstheme="majorBidi"/>
          <w:szCs w:val="22"/>
        </w:rPr>
      </w:pPr>
      <w:r w:rsidRPr="006D3710">
        <w:rPr>
          <w:rFonts w:asciiTheme="majorBidi" w:hAnsiTheme="majorBidi" w:cstheme="majorBidi"/>
          <w:color w:val="000000"/>
          <w:bdr w:val="none" w:sz="0" w:space="0" w:color="auto" w:frame="1"/>
          <w:shd w:val="clear" w:color="auto" w:fill="FFFFFF"/>
        </w:rPr>
        <w:t xml:space="preserve">This dissertation investigates the production of </w:t>
      </w:r>
      <w:r w:rsidR="00964516">
        <w:rPr>
          <w:rFonts w:asciiTheme="majorBidi" w:hAnsiTheme="majorBidi" w:cstheme="majorBidi"/>
          <w:color w:val="000000"/>
          <w:bdr w:val="none" w:sz="0" w:space="0" w:color="auto" w:frame="1"/>
          <w:shd w:val="clear" w:color="auto" w:fill="FFFFFF"/>
        </w:rPr>
        <w:t xml:space="preserve">physical </w:t>
      </w:r>
      <w:r w:rsidRPr="006D3710">
        <w:rPr>
          <w:rFonts w:asciiTheme="majorBidi" w:hAnsiTheme="majorBidi" w:cstheme="majorBidi"/>
          <w:color w:val="000000"/>
          <w:bdr w:val="none" w:sz="0" w:space="0" w:color="auto" w:frame="1"/>
          <w:shd w:val="clear" w:color="auto" w:fill="FFFFFF"/>
        </w:rPr>
        <w:t>disability and the function of prosthesis in nineteenth-century British fiction.</w:t>
      </w:r>
      <w:r w:rsidRPr="006D3710">
        <w:rPr>
          <w:rFonts w:asciiTheme="majorBidi" w:hAnsiTheme="majorBidi" w:cstheme="majorBidi"/>
          <w:color w:val="000000"/>
          <w:shd w:val="clear" w:color="auto" w:fill="FFFFFF"/>
        </w:rPr>
        <w:t> </w:t>
      </w:r>
      <w:r w:rsidR="006D3710" w:rsidRPr="006D3710">
        <w:rPr>
          <w:rFonts w:asciiTheme="majorBidi" w:eastAsia="Calibri" w:hAnsiTheme="majorBidi" w:cstheme="majorBidi"/>
          <w:szCs w:val="22"/>
        </w:rPr>
        <w:t xml:space="preserve">My </w:t>
      </w:r>
      <w:r w:rsidR="006D3710">
        <w:rPr>
          <w:rFonts w:asciiTheme="majorBidi" w:eastAsia="Calibri" w:hAnsiTheme="majorBidi" w:cstheme="majorBidi"/>
          <w:szCs w:val="22"/>
        </w:rPr>
        <w:t xml:space="preserve">intervention </w:t>
      </w:r>
      <w:r w:rsidR="006D3710" w:rsidRPr="00584F97">
        <w:rPr>
          <w:rFonts w:asciiTheme="majorBidi" w:eastAsia="Calibri" w:hAnsiTheme="majorBidi" w:cstheme="majorBidi"/>
          <w:szCs w:val="22"/>
        </w:rPr>
        <w:t xml:space="preserve">in </w:t>
      </w:r>
      <w:r w:rsidR="00964516">
        <w:rPr>
          <w:rFonts w:asciiTheme="majorBidi" w:eastAsia="Calibri" w:hAnsiTheme="majorBidi" w:cstheme="majorBidi"/>
          <w:szCs w:val="22"/>
        </w:rPr>
        <w:t>disability studies</w:t>
      </w:r>
      <w:r w:rsidR="006D3710" w:rsidRPr="00584F97">
        <w:rPr>
          <w:rFonts w:asciiTheme="majorBidi" w:eastAsia="Calibri" w:hAnsiTheme="majorBidi" w:cstheme="majorBidi"/>
          <w:szCs w:val="22"/>
        </w:rPr>
        <w:t xml:space="preserve"> readings of Victorian literature </w:t>
      </w:r>
      <w:r w:rsidR="006D3710">
        <w:rPr>
          <w:rFonts w:asciiTheme="majorBidi" w:eastAsia="Calibri" w:hAnsiTheme="majorBidi" w:cstheme="majorBidi"/>
          <w:szCs w:val="22"/>
        </w:rPr>
        <w:t>attends</w:t>
      </w:r>
      <w:r w:rsidR="006D3710" w:rsidRPr="00584F97">
        <w:rPr>
          <w:rFonts w:asciiTheme="majorBidi" w:eastAsia="Calibri" w:hAnsiTheme="majorBidi" w:cstheme="majorBidi"/>
          <w:szCs w:val="22"/>
        </w:rPr>
        <w:t xml:space="preserve"> to the prosthetic object and prosthetic body not only as the dual products of medicine and art, but also as catalytic elements of fiction and culture.</w:t>
      </w:r>
      <w:r w:rsidR="006D3710">
        <w:rPr>
          <w:rFonts w:asciiTheme="majorBidi" w:eastAsia="Calibri" w:hAnsiTheme="majorBidi" w:cstheme="majorBidi"/>
          <w:szCs w:val="22"/>
        </w:rPr>
        <w:t xml:space="preserve"> </w:t>
      </w:r>
      <w:bookmarkStart w:id="1" w:name="_Hlk101891392"/>
      <w:r w:rsidRPr="006D3710">
        <w:rPr>
          <w:rFonts w:asciiTheme="majorBidi" w:hAnsiTheme="majorBidi" w:cstheme="majorBidi"/>
          <w:color w:val="000000"/>
          <w:shd w:val="clear" w:color="auto" w:fill="FFFFFF"/>
        </w:rPr>
        <w:t xml:space="preserve">I read reciprocal developments in medical technology and disabled characterization in the </w:t>
      </w:r>
      <w:r w:rsidR="006D3710">
        <w:rPr>
          <w:rFonts w:asciiTheme="majorBidi" w:hAnsiTheme="majorBidi" w:cstheme="majorBidi"/>
          <w:color w:val="000000"/>
          <w:shd w:val="clear" w:color="auto" w:fill="FFFFFF"/>
        </w:rPr>
        <w:t xml:space="preserve">Victorian </w:t>
      </w:r>
      <w:r w:rsidRPr="006D3710">
        <w:rPr>
          <w:rFonts w:asciiTheme="majorBidi" w:hAnsiTheme="majorBidi" w:cstheme="majorBidi"/>
          <w:color w:val="000000"/>
          <w:shd w:val="clear" w:color="auto" w:fill="FFFFFF"/>
        </w:rPr>
        <w:t>novel to demonstrate how the artistic translation of the prosthetic object</w:t>
      </w:r>
      <w:r w:rsidR="00964516">
        <w:rPr>
          <w:rFonts w:asciiTheme="majorBidi" w:hAnsiTheme="majorBidi" w:cstheme="majorBidi"/>
          <w:color w:val="000000"/>
          <w:shd w:val="clear" w:color="auto" w:fill="FFFFFF"/>
        </w:rPr>
        <w:t xml:space="preserve"> </w:t>
      </w:r>
      <w:r w:rsidRPr="006D3710">
        <w:rPr>
          <w:rFonts w:asciiTheme="majorBidi" w:hAnsiTheme="majorBidi" w:cstheme="majorBidi"/>
          <w:color w:val="000000"/>
          <w:bdr w:val="none" w:sz="0" w:space="0" w:color="auto" w:frame="1"/>
          <w:shd w:val="clear" w:color="auto" w:fill="FFFFFF"/>
        </w:rPr>
        <w:t>effected a set of criteria for defining people through both bodies and things</w:t>
      </w:r>
      <w:r w:rsidR="00964516">
        <w:rPr>
          <w:rFonts w:asciiTheme="majorBidi" w:hAnsiTheme="majorBidi" w:cstheme="majorBidi"/>
          <w:color w:val="000000"/>
          <w:bdr w:val="none" w:sz="0" w:space="0" w:color="auto" w:frame="1"/>
          <w:shd w:val="clear" w:color="auto" w:fill="FFFFFF"/>
        </w:rPr>
        <w:t xml:space="preserve"> and, in so doing,</w:t>
      </w:r>
      <w:r w:rsidRPr="006D3710">
        <w:rPr>
          <w:rFonts w:asciiTheme="majorBidi" w:hAnsiTheme="majorBidi" w:cstheme="majorBidi"/>
        </w:rPr>
        <w:t xml:space="preserve"> revealed the ways in which the modern body is not insular but codependent.</w:t>
      </w:r>
      <w:r w:rsidRPr="006D3710">
        <w:rPr>
          <w:rFonts w:asciiTheme="majorBidi" w:hAnsiTheme="majorBidi" w:cstheme="majorBidi"/>
          <w:color w:val="000000"/>
          <w:bdr w:val="none" w:sz="0" w:space="0" w:color="auto" w:frame="1"/>
          <w:shd w:val="clear" w:color="auto" w:fill="FFFFFF"/>
        </w:rPr>
        <w:t xml:space="preserve"> </w:t>
      </w:r>
      <w:bookmarkEnd w:id="1"/>
      <w:r w:rsidRPr="00584F97">
        <w:rPr>
          <w:rFonts w:asciiTheme="majorBidi" w:eastAsia="Calibri" w:hAnsiTheme="majorBidi" w:cstheme="majorBidi"/>
          <w:color w:val="000000"/>
          <w:shd w:val="clear" w:color="auto" w:fill="FFFFFF"/>
        </w:rPr>
        <w:t xml:space="preserve">To trace the </w:t>
      </w:r>
      <w:r w:rsidRPr="006D3710">
        <w:rPr>
          <w:rFonts w:asciiTheme="majorBidi" w:eastAsia="Calibri" w:hAnsiTheme="majorBidi" w:cstheme="majorBidi"/>
          <w:color w:val="000000"/>
          <w:shd w:val="clear" w:color="auto" w:fill="FFFFFF"/>
        </w:rPr>
        <w:t>coalescence</w:t>
      </w:r>
      <w:r w:rsidRPr="00584F97">
        <w:rPr>
          <w:rFonts w:asciiTheme="majorBidi" w:eastAsia="Calibri" w:hAnsiTheme="majorBidi" w:cstheme="majorBidi"/>
          <w:color w:val="000000"/>
          <w:shd w:val="clear" w:color="auto" w:fill="FFFFFF"/>
        </w:rPr>
        <w:t xml:space="preserve"> of physically-othered bodies with prosthetics in nineteenth-century fiction, then, is to consider, more broadly, the human body as embodied and embedded in a wider, material world—to parse our coevolution with medical and technological tools.</w:t>
      </w:r>
    </w:p>
    <w:p w14:paraId="5BE75FBA" w14:textId="608BDCE2" w:rsidR="00071EE4" w:rsidRDefault="00964516" w:rsidP="00964516">
      <w:pPr>
        <w:pStyle w:val="Title"/>
        <w:ind w:firstLine="720"/>
        <w:jc w:val="left"/>
        <w:rPr>
          <w:rFonts w:asciiTheme="majorBidi" w:hAnsiTheme="majorBidi" w:cstheme="majorBidi"/>
          <w:b w:val="0"/>
          <w:bCs/>
          <w:color w:val="000000"/>
          <w:sz w:val="24"/>
          <w:bdr w:val="none" w:sz="0" w:space="0" w:color="auto" w:frame="1"/>
          <w:shd w:val="clear" w:color="auto" w:fill="FFFFFF"/>
        </w:rPr>
      </w:pPr>
      <w:r>
        <w:rPr>
          <w:rFonts w:asciiTheme="majorBidi" w:hAnsiTheme="majorBidi" w:cstheme="majorBidi"/>
          <w:b w:val="0"/>
          <w:bCs/>
          <w:color w:val="000000"/>
          <w:sz w:val="24"/>
          <w:bdr w:val="none" w:sz="0" w:space="0" w:color="auto" w:frame="1"/>
          <w:shd w:val="clear" w:color="auto" w:fill="FFFFFF"/>
        </w:rPr>
        <w:t xml:space="preserve">In pursuit of this project, </w:t>
      </w:r>
      <w:r w:rsidRPr="00583F8F">
        <w:rPr>
          <w:rFonts w:asciiTheme="majorBidi" w:hAnsiTheme="majorBidi" w:cstheme="majorBidi"/>
          <w:b w:val="0"/>
          <w:bCs/>
          <w:color w:val="000000"/>
          <w:sz w:val="24"/>
          <w:bdr w:val="none" w:sz="0" w:space="0" w:color="auto" w:frame="1"/>
          <w:shd w:val="clear" w:color="auto" w:fill="FFFFFF"/>
        </w:rPr>
        <w:t xml:space="preserve">I look to deployments of </w:t>
      </w:r>
      <w:r>
        <w:rPr>
          <w:rFonts w:asciiTheme="majorBidi" w:hAnsiTheme="majorBidi" w:cstheme="majorBidi"/>
          <w:b w:val="0"/>
          <w:bCs/>
          <w:color w:val="000000"/>
          <w:sz w:val="24"/>
          <w:bdr w:val="none" w:sz="0" w:space="0" w:color="auto" w:frame="1"/>
          <w:shd w:val="clear" w:color="auto" w:fill="FFFFFF"/>
        </w:rPr>
        <w:t>the prosthetic object, such as artificial limbs and mobility aids, in the works of Charles Dickens, Anthony Trollope, and Wilkie Collins. The human-object nexus in their novels—the way in which the disabled body is entangled with or enhanced by assistive technology—underscores</w:t>
      </w:r>
      <w:r w:rsidRPr="00583F8F">
        <w:rPr>
          <w:rFonts w:asciiTheme="majorBidi" w:hAnsiTheme="majorBidi" w:cstheme="majorBidi"/>
          <w:b w:val="0"/>
          <w:bCs/>
          <w:color w:val="000000"/>
          <w:sz w:val="24"/>
          <w:bdr w:val="none" w:sz="0" w:space="0" w:color="auto" w:frame="1"/>
          <w:shd w:val="clear" w:color="auto" w:fill="FFFFFF"/>
        </w:rPr>
        <w:t xml:space="preserve"> how </w:t>
      </w:r>
      <w:r w:rsidR="00071EE4">
        <w:rPr>
          <w:rFonts w:asciiTheme="majorBidi" w:hAnsiTheme="majorBidi" w:cstheme="majorBidi"/>
          <w:b w:val="0"/>
          <w:bCs/>
          <w:color w:val="000000"/>
          <w:sz w:val="24"/>
          <w:bdr w:val="none" w:sz="0" w:space="0" w:color="auto" w:frame="1"/>
          <w:shd w:val="clear" w:color="auto" w:fill="FFFFFF"/>
        </w:rPr>
        <w:t>these</w:t>
      </w:r>
      <w:r w:rsidRPr="00583F8F">
        <w:rPr>
          <w:rFonts w:asciiTheme="majorBidi" w:hAnsiTheme="majorBidi" w:cstheme="majorBidi"/>
          <w:b w:val="0"/>
          <w:bCs/>
          <w:color w:val="000000"/>
          <w:sz w:val="24"/>
          <w:bdr w:val="none" w:sz="0" w:space="0" w:color="auto" w:frame="1"/>
          <w:shd w:val="clear" w:color="auto" w:fill="FFFFFF"/>
        </w:rPr>
        <w:t xml:space="preserve"> authors anticipated the ethics and terms of </w:t>
      </w:r>
      <w:r>
        <w:rPr>
          <w:rFonts w:asciiTheme="majorBidi" w:hAnsiTheme="majorBidi" w:cstheme="majorBidi"/>
          <w:b w:val="0"/>
          <w:bCs/>
          <w:color w:val="000000"/>
          <w:sz w:val="24"/>
          <w:bdr w:val="none" w:sz="0" w:space="0" w:color="auto" w:frame="1"/>
          <w:shd w:val="clear" w:color="auto" w:fill="FFFFFF"/>
        </w:rPr>
        <w:t>corporeal</w:t>
      </w:r>
      <w:r w:rsidRPr="00583F8F">
        <w:rPr>
          <w:rFonts w:asciiTheme="majorBidi" w:hAnsiTheme="majorBidi" w:cstheme="majorBidi"/>
          <w:b w:val="0"/>
          <w:bCs/>
          <w:color w:val="000000"/>
          <w:sz w:val="24"/>
          <w:bdr w:val="none" w:sz="0" w:space="0" w:color="auto" w:frame="1"/>
          <w:shd w:val="clear" w:color="auto" w:fill="FFFFFF"/>
        </w:rPr>
        <w:t xml:space="preserve"> difference</w:t>
      </w:r>
      <w:r w:rsidR="00923892">
        <w:rPr>
          <w:rFonts w:asciiTheme="majorBidi" w:hAnsiTheme="majorBidi" w:cstheme="majorBidi"/>
          <w:b w:val="0"/>
          <w:bCs/>
          <w:color w:val="000000"/>
          <w:sz w:val="24"/>
          <w:bdr w:val="none" w:sz="0" w:space="0" w:color="auto" w:frame="1"/>
          <w:shd w:val="clear" w:color="auto" w:fill="FFFFFF"/>
        </w:rPr>
        <w:t>.</w:t>
      </w:r>
      <w:r>
        <w:rPr>
          <w:rFonts w:asciiTheme="majorBidi" w:hAnsiTheme="majorBidi" w:cstheme="majorBidi"/>
          <w:b w:val="0"/>
          <w:bCs/>
          <w:color w:val="000000"/>
          <w:sz w:val="24"/>
          <w:bdr w:val="none" w:sz="0" w:space="0" w:color="auto" w:frame="1"/>
          <w:shd w:val="clear" w:color="auto" w:fill="FFFFFF"/>
        </w:rPr>
        <w:t xml:space="preserve"> </w:t>
      </w:r>
      <w:r w:rsidR="00923892">
        <w:rPr>
          <w:rFonts w:asciiTheme="majorBidi" w:hAnsiTheme="majorBidi" w:cstheme="majorBidi"/>
          <w:b w:val="0"/>
          <w:bCs/>
          <w:color w:val="000000"/>
          <w:sz w:val="24"/>
          <w:bdr w:val="none" w:sz="0" w:space="0" w:color="auto" w:frame="1"/>
          <w:shd w:val="clear" w:color="auto" w:fill="FFFFFF"/>
        </w:rPr>
        <w:t>The</w:t>
      </w:r>
      <w:r w:rsidR="00442767">
        <w:rPr>
          <w:rFonts w:asciiTheme="majorBidi" w:hAnsiTheme="majorBidi" w:cstheme="majorBidi"/>
          <w:b w:val="0"/>
          <w:bCs/>
          <w:color w:val="000000"/>
          <w:sz w:val="24"/>
          <w:bdr w:val="none" w:sz="0" w:space="0" w:color="auto" w:frame="1"/>
          <w:shd w:val="clear" w:color="auto" w:fill="FFFFFF"/>
        </w:rPr>
        <w:t xml:space="preserve"> </w:t>
      </w:r>
      <w:r w:rsidRPr="00583F8F">
        <w:rPr>
          <w:rFonts w:asciiTheme="majorBidi" w:hAnsiTheme="majorBidi" w:cstheme="majorBidi"/>
          <w:b w:val="0"/>
          <w:bCs/>
          <w:color w:val="000000"/>
          <w:sz w:val="24"/>
          <w:bdr w:val="none" w:sz="0" w:space="0" w:color="auto" w:frame="1"/>
          <w:shd w:val="clear" w:color="auto" w:fill="FFFFFF"/>
        </w:rPr>
        <w:t>aesthetic redefinition</w:t>
      </w:r>
      <w:r>
        <w:rPr>
          <w:rFonts w:asciiTheme="majorBidi" w:hAnsiTheme="majorBidi" w:cstheme="majorBidi"/>
          <w:b w:val="0"/>
          <w:bCs/>
          <w:color w:val="000000"/>
          <w:sz w:val="24"/>
          <w:bdr w:val="none" w:sz="0" w:space="0" w:color="auto" w:frame="1"/>
          <w:shd w:val="clear" w:color="auto" w:fill="FFFFFF"/>
        </w:rPr>
        <w:t>s</w:t>
      </w:r>
      <w:r w:rsidRPr="00583F8F">
        <w:rPr>
          <w:rFonts w:asciiTheme="majorBidi" w:hAnsiTheme="majorBidi" w:cstheme="majorBidi"/>
          <w:b w:val="0"/>
          <w:bCs/>
          <w:color w:val="000000"/>
          <w:sz w:val="24"/>
          <w:bdr w:val="none" w:sz="0" w:space="0" w:color="auto" w:frame="1"/>
          <w:shd w:val="clear" w:color="auto" w:fill="FFFFFF"/>
        </w:rPr>
        <w:t xml:space="preserve"> of what it means to be (or counts as) human</w:t>
      </w:r>
      <w:r w:rsidR="00923892">
        <w:rPr>
          <w:rFonts w:asciiTheme="majorBidi" w:hAnsiTheme="majorBidi" w:cstheme="majorBidi"/>
          <w:b w:val="0"/>
          <w:bCs/>
          <w:color w:val="000000"/>
          <w:sz w:val="24"/>
          <w:bdr w:val="none" w:sz="0" w:space="0" w:color="auto" w:frame="1"/>
          <w:shd w:val="clear" w:color="auto" w:fill="FFFFFF"/>
        </w:rPr>
        <w:t xml:space="preserve"> in the primary texts of this dissertation, I argue,</w:t>
      </w:r>
      <w:r w:rsidRPr="00583F8F">
        <w:rPr>
          <w:rFonts w:asciiTheme="majorBidi" w:hAnsiTheme="majorBidi" w:cstheme="majorBidi"/>
          <w:b w:val="0"/>
          <w:bCs/>
          <w:color w:val="000000"/>
          <w:sz w:val="24"/>
          <w:bdr w:val="none" w:sz="0" w:space="0" w:color="auto" w:frame="1"/>
          <w:shd w:val="clear" w:color="auto" w:fill="FFFFFF"/>
        </w:rPr>
        <w:t xml:space="preserve"> continue to influence our interpretation of bodily alterity.</w:t>
      </w:r>
      <w:r>
        <w:rPr>
          <w:rFonts w:asciiTheme="majorBidi" w:hAnsiTheme="majorBidi" w:cstheme="majorBidi"/>
          <w:b w:val="0"/>
          <w:bCs/>
          <w:color w:val="000000"/>
          <w:sz w:val="24"/>
          <w:bdr w:val="none" w:sz="0" w:space="0" w:color="auto" w:frame="1"/>
          <w:shd w:val="clear" w:color="auto" w:fill="FFFFFF"/>
        </w:rPr>
        <w:t xml:space="preserve"> </w:t>
      </w:r>
    </w:p>
    <w:p w14:paraId="57AC320D" w14:textId="3EF461AC" w:rsidR="00964516" w:rsidRPr="008F47FB" w:rsidRDefault="00964516" w:rsidP="00964516">
      <w:pPr>
        <w:pStyle w:val="Title"/>
        <w:ind w:firstLine="720"/>
        <w:jc w:val="left"/>
        <w:rPr>
          <w:rFonts w:asciiTheme="majorBidi" w:hAnsiTheme="majorBidi" w:cstheme="majorBidi"/>
          <w:b w:val="0"/>
          <w:bCs/>
          <w:color w:val="000000"/>
          <w:sz w:val="24"/>
          <w:bdr w:val="none" w:sz="0" w:space="0" w:color="auto" w:frame="1"/>
          <w:shd w:val="clear" w:color="auto" w:fill="FFFFFF"/>
        </w:rPr>
      </w:pPr>
      <w:r>
        <w:rPr>
          <w:rFonts w:asciiTheme="majorBidi" w:hAnsiTheme="majorBidi" w:cstheme="majorBidi"/>
          <w:b w:val="0"/>
          <w:bCs/>
          <w:sz w:val="24"/>
        </w:rPr>
        <w:t xml:space="preserve">While this </w:t>
      </w:r>
      <w:r w:rsidR="00923892">
        <w:rPr>
          <w:rFonts w:asciiTheme="majorBidi" w:hAnsiTheme="majorBidi" w:cstheme="majorBidi"/>
          <w:b w:val="0"/>
          <w:bCs/>
          <w:sz w:val="24"/>
        </w:rPr>
        <w:t>study</w:t>
      </w:r>
      <w:r>
        <w:rPr>
          <w:rFonts w:asciiTheme="majorBidi" w:hAnsiTheme="majorBidi" w:cstheme="majorBidi"/>
          <w:b w:val="0"/>
          <w:bCs/>
          <w:sz w:val="24"/>
        </w:rPr>
        <w:t xml:space="preserve"> also takes up texts from earlier nineteenth-century British authors (like Mary Shelley) and nineteenth-century authors from beyond the British Isles (like Edgar Allan Poe and Gustave Flaubert), it focuses primarily on t</w:t>
      </w:r>
      <w:r w:rsidRPr="00583F8F">
        <w:rPr>
          <w:rFonts w:asciiTheme="majorBidi" w:hAnsiTheme="majorBidi" w:cstheme="majorBidi"/>
          <w:b w:val="0"/>
          <w:bCs/>
          <w:sz w:val="24"/>
        </w:rPr>
        <w:t xml:space="preserve">he Victorian novel’s </w:t>
      </w:r>
      <w:r>
        <w:rPr>
          <w:rFonts w:asciiTheme="majorBidi" w:hAnsiTheme="majorBidi" w:cstheme="majorBidi"/>
          <w:b w:val="0"/>
          <w:bCs/>
          <w:sz w:val="24"/>
        </w:rPr>
        <w:t xml:space="preserve">capacity to </w:t>
      </w:r>
      <w:r w:rsidRPr="00583F8F">
        <w:rPr>
          <w:rFonts w:asciiTheme="majorBidi" w:hAnsiTheme="majorBidi" w:cstheme="majorBidi"/>
          <w:b w:val="0"/>
          <w:bCs/>
          <w:sz w:val="24"/>
        </w:rPr>
        <w:t xml:space="preserve">register and respond to the evolution of the prosthetic object as it intersects with the disabled body. </w:t>
      </w:r>
      <w:r>
        <w:rPr>
          <w:rFonts w:asciiTheme="majorBidi" w:hAnsiTheme="majorBidi" w:cstheme="majorBidi"/>
          <w:b w:val="0"/>
          <w:bCs/>
          <w:sz w:val="24"/>
        </w:rPr>
        <w:t>Ultimately,</w:t>
      </w:r>
      <w:r w:rsidRPr="00583F8F">
        <w:rPr>
          <w:rFonts w:asciiTheme="majorBidi" w:hAnsiTheme="majorBidi" w:cstheme="majorBidi"/>
          <w:b w:val="0"/>
          <w:bCs/>
          <w:sz w:val="24"/>
        </w:rPr>
        <w:t xml:space="preserve"> in reading prosthetics</w:t>
      </w:r>
      <w:r>
        <w:rPr>
          <w:rFonts w:asciiTheme="majorBidi" w:hAnsiTheme="majorBidi" w:cstheme="majorBidi"/>
          <w:b w:val="0"/>
          <w:bCs/>
          <w:sz w:val="24"/>
        </w:rPr>
        <w:t xml:space="preserve"> in the novel</w:t>
      </w:r>
      <w:r w:rsidRPr="00583F8F">
        <w:rPr>
          <w:rFonts w:asciiTheme="majorBidi" w:hAnsiTheme="majorBidi" w:cstheme="majorBidi"/>
          <w:b w:val="0"/>
          <w:bCs/>
          <w:sz w:val="24"/>
        </w:rPr>
        <w:t xml:space="preserve"> as </w:t>
      </w:r>
      <w:r w:rsidR="00071EE4">
        <w:rPr>
          <w:rFonts w:asciiTheme="majorBidi" w:hAnsiTheme="majorBidi" w:cstheme="majorBidi"/>
          <w:b w:val="0"/>
          <w:bCs/>
          <w:sz w:val="24"/>
        </w:rPr>
        <w:t xml:space="preserve">dynamic, </w:t>
      </w:r>
      <w:r>
        <w:rPr>
          <w:rFonts w:asciiTheme="majorBidi" w:hAnsiTheme="majorBidi" w:cstheme="majorBidi"/>
          <w:b w:val="0"/>
          <w:bCs/>
          <w:sz w:val="24"/>
        </w:rPr>
        <w:t>integral</w:t>
      </w:r>
      <w:r w:rsidRPr="00583F8F">
        <w:rPr>
          <w:rFonts w:asciiTheme="majorBidi" w:hAnsiTheme="majorBidi" w:cstheme="majorBidi"/>
          <w:b w:val="0"/>
          <w:bCs/>
          <w:sz w:val="24"/>
        </w:rPr>
        <w:t xml:space="preserve"> features of disabled characterization, we can acknowledge the complex state of disunity, patchwork extension, and contingency that we all occupy as human bodies circulating though the world.</w:t>
      </w:r>
    </w:p>
    <w:p w14:paraId="3A9B09E7" w14:textId="43AE65DB" w:rsidR="00236E6D" w:rsidRPr="002A5475" w:rsidRDefault="00236E6D" w:rsidP="00C84C59">
      <w:pPr>
        <w:pStyle w:val="Title"/>
        <w:rPr>
          <w:rFonts w:asciiTheme="majorBidi" w:hAnsiTheme="majorBidi" w:cstheme="majorBidi"/>
        </w:rPr>
      </w:pPr>
      <w:r w:rsidRPr="002A5475">
        <w:rPr>
          <w:rFonts w:asciiTheme="majorBidi" w:hAnsiTheme="majorBidi" w:cstheme="majorBidi"/>
          <w:sz w:val="24"/>
        </w:rPr>
        <w:br w:type="page"/>
      </w:r>
    </w:p>
    <w:p w14:paraId="68D7C79F" w14:textId="77777777" w:rsidR="00387656" w:rsidRPr="002A5475" w:rsidRDefault="00387656" w:rsidP="00387656">
      <w:pPr>
        <w:pStyle w:val="Title"/>
        <w:rPr>
          <w:rFonts w:asciiTheme="majorBidi" w:hAnsiTheme="majorBidi" w:cstheme="majorBidi"/>
          <w:szCs w:val="28"/>
        </w:rPr>
      </w:pPr>
      <w:r w:rsidRPr="002A5475">
        <w:rPr>
          <w:rFonts w:asciiTheme="majorBidi" w:hAnsiTheme="majorBidi" w:cstheme="majorBidi"/>
          <w:szCs w:val="28"/>
        </w:rPr>
        <w:lastRenderedPageBreak/>
        <w:t>TABLE OF CONTENTS</w:t>
      </w:r>
    </w:p>
    <w:p w14:paraId="3911FD66" w14:textId="77777777" w:rsidR="00387656" w:rsidRPr="002A5475" w:rsidRDefault="00387656" w:rsidP="00387656">
      <w:pPr>
        <w:pStyle w:val="Title"/>
        <w:rPr>
          <w:rFonts w:asciiTheme="majorBidi" w:hAnsiTheme="majorBidi" w:cstheme="majorBidi"/>
          <w:sz w:val="24"/>
        </w:rPr>
      </w:pPr>
    </w:p>
    <w:p w14:paraId="395C3C04" w14:textId="203EFD9A" w:rsidR="00B2573D" w:rsidRPr="002A5475" w:rsidRDefault="00387656">
      <w:pPr>
        <w:pStyle w:val="TOC1"/>
        <w:rPr>
          <w:rFonts w:eastAsiaTheme="minorEastAsia"/>
          <w:sz w:val="22"/>
          <w:szCs w:val="22"/>
          <w:lang w:bidi="he-IL"/>
        </w:rPr>
      </w:pPr>
      <w:r w:rsidRPr="002A5475">
        <w:rPr>
          <w:noProof w:val="0"/>
        </w:rPr>
        <w:fldChar w:fldCharType="begin"/>
      </w:r>
      <w:r w:rsidRPr="002A5475">
        <w:instrText xml:space="preserve"> TOC \o "1-3" \h \z \u </w:instrText>
      </w:r>
      <w:r w:rsidRPr="002A5475">
        <w:rPr>
          <w:noProof w:val="0"/>
        </w:rPr>
        <w:fldChar w:fldCharType="separate"/>
      </w:r>
      <w:hyperlink w:anchor="_Toc96096590" w:history="1">
        <w:r w:rsidR="00B2573D" w:rsidRPr="002A5475">
          <w:rPr>
            <w:rStyle w:val="Hyperlink"/>
          </w:rPr>
          <w:t>INTRODUCTION</w:t>
        </w:r>
        <w:r w:rsidR="00B2573D" w:rsidRPr="002A5475">
          <w:rPr>
            <w:webHidden/>
          </w:rPr>
          <w:tab/>
        </w:r>
        <w:r w:rsidR="00B2573D" w:rsidRPr="002A5475">
          <w:rPr>
            <w:webHidden/>
          </w:rPr>
          <w:fldChar w:fldCharType="begin"/>
        </w:r>
        <w:r w:rsidR="00B2573D" w:rsidRPr="002A5475">
          <w:rPr>
            <w:webHidden/>
          </w:rPr>
          <w:instrText xml:space="preserve"> PAGEREF _Toc96096590 \h </w:instrText>
        </w:r>
        <w:r w:rsidR="00B2573D" w:rsidRPr="002A5475">
          <w:rPr>
            <w:webHidden/>
          </w:rPr>
        </w:r>
        <w:r w:rsidR="00B2573D" w:rsidRPr="002A5475">
          <w:rPr>
            <w:webHidden/>
          </w:rPr>
          <w:fldChar w:fldCharType="separate"/>
        </w:r>
        <w:r w:rsidR="00341040">
          <w:rPr>
            <w:webHidden/>
          </w:rPr>
          <w:t>1</w:t>
        </w:r>
        <w:r w:rsidR="00B2573D" w:rsidRPr="002A5475">
          <w:rPr>
            <w:webHidden/>
          </w:rPr>
          <w:fldChar w:fldCharType="end"/>
        </w:r>
      </w:hyperlink>
    </w:p>
    <w:p w14:paraId="22774537" w14:textId="5E033876" w:rsidR="00B2573D" w:rsidRPr="002A5475" w:rsidRDefault="00785FCB">
      <w:pPr>
        <w:pStyle w:val="TOC1"/>
        <w:rPr>
          <w:rFonts w:eastAsiaTheme="minorEastAsia"/>
          <w:sz w:val="22"/>
          <w:szCs w:val="22"/>
          <w:lang w:bidi="he-IL"/>
        </w:rPr>
      </w:pPr>
      <w:hyperlink w:anchor="_Toc96096591" w:history="1">
        <w:r w:rsidR="00B2573D" w:rsidRPr="002A5475">
          <w:rPr>
            <w:rStyle w:val="Hyperlink"/>
          </w:rPr>
          <w:t>CHAPTER I</w:t>
        </w:r>
        <w:r w:rsidR="007077C8">
          <w:rPr>
            <w:rStyle w:val="Hyperlink"/>
          </w:rPr>
          <w:t xml:space="preserve"> </w:t>
        </w:r>
        <w:r w:rsidR="00B2573D" w:rsidRPr="002A5475">
          <w:rPr>
            <w:rStyle w:val="Hyperlink"/>
          </w:rPr>
          <w:t>Prosthetic Narration in</w:t>
        </w:r>
        <w:r w:rsidR="00B2573D" w:rsidRPr="002A5475">
          <w:rPr>
            <w:rStyle w:val="Hyperlink"/>
            <w:i/>
            <w:iCs/>
          </w:rPr>
          <w:t xml:space="preserve"> Frankenstein</w:t>
        </w:r>
        <w:r w:rsidR="00B2573D" w:rsidRPr="002A5475">
          <w:rPr>
            <w:webHidden/>
          </w:rPr>
          <w:tab/>
        </w:r>
        <w:r w:rsidR="00B2573D" w:rsidRPr="002A5475">
          <w:rPr>
            <w:webHidden/>
          </w:rPr>
          <w:fldChar w:fldCharType="begin"/>
        </w:r>
        <w:r w:rsidR="00B2573D" w:rsidRPr="002A5475">
          <w:rPr>
            <w:webHidden/>
          </w:rPr>
          <w:instrText xml:space="preserve"> PAGEREF _Toc96096591 \h </w:instrText>
        </w:r>
        <w:r w:rsidR="00B2573D" w:rsidRPr="002A5475">
          <w:rPr>
            <w:webHidden/>
          </w:rPr>
        </w:r>
        <w:r w:rsidR="00B2573D" w:rsidRPr="002A5475">
          <w:rPr>
            <w:webHidden/>
          </w:rPr>
          <w:fldChar w:fldCharType="separate"/>
        </w:r>
        <w:r w:rsidR="00341040">
          <w:rPr>
            <w:webHidden/>
          </w:rPr>
          <w:t>26</w:t>
        </w:r>
        <w:r w:rsidR="00B2573D" w:rsidRPr="002A5475">
          <w:rPr>
            <w:webHidden/>
          </w:rPr>
          <w:fldChar w:fldCharType="end"/>
        </w:r>
      </w:hyperlink>
    </w:p>
    <w:p w14:paraId="54A707B3" w14:textId="7A3F4407" w:rsidR="00B2573D" w:rsidRPr="002A5475" w:rsidRDefault="00785FCB">
      <w:pPr>
        <w:pStyle w:val="TOC1"/>
        <w:rPr>
          <w:rFonts w:eastAsiaTheme="minorEastAsia"/>
          <w:sz w:val="22"/>
          <w:szCs w:val="22"/>
          <w:lang w:bidi="he-IL"/>
        </w:rPr>
      </w:pPr>
      <w:hyperlink w:anchor="_Toc96096592" w:history="1">
        <w:r w:rsidR="00B2573D" w:rsidRPr="002A5475">
          <w:rPr>
            <w:rStyle w:val="Hyperlink"/>
          </w:rPr>
          <w:t>CHAPTER II</w:t>
        </w:r>
        <w:r w:rsidR="007077C8">
          <w:rPr>
            <w:rStyle w:val="Hyperlink"/>
          </w:rPr>
          <w:t xml:space="preserve"> </w:t>
        </w:r>
        <w:r w:rsidR="00B2573D" w:rsidRPr="002A5475">
          <w:rPr>
            <w:rStyle w:val="Hyperlink"/>
          </w:rPr>
          <w:t xml:space="preserve">Techne: Performance Pieces in Dickens </w:t>
        </w:r>
        <w:r w:rsidR="00B2573D" w:rsidRPr="002A5475">
          <w:rPr>
            <w:webHidden/>
          </w:rPr>
          <w:tab/>
        </w:r>
        <w:r w:rsidR="00B2573D" w:rsidRPr="002A5475">
          <w:rPr>
            <w:webHidden/>
          </w:rPr>
          <w:fldChar w:fldCharType="begin"/>
        </w:r>
        <w:r w:rsidR="00B2573D" w:rsidRPr="002A5475">
          <w:rPr>
            <w:webHidden/>
          </w:rPr>
          <w:instrText xml:space="preserve"> PAGEREF _Toc96096592 \h </w:instrText>
        </w:r>
        <w:r w:rsidR="00B2573D" w:rsidRPr="002A5475">
          <w:rPr>
            <w:webHidden/>
          </w:rPr>
        </w:r>
        <w:r w:rsidR="00B2573D" w:rsidRPr="002A5475">
          <w:rPr>
            <w:webHidden/>
          </w:rPr>
          <w:fldChar w:fldCharType="separate"/>
        </w:r>
        <w:r w:rsidR="00341040">
          <w:rPr>
            <w:webHidden/>
          </w:rPr>
          <w:t>58</w:t>
        </w:r>
        <w:r w:rsidR="00B2573D" w:rsidRPr="002A5475">
          <w:rPr>
            <w:webHidden/>
          </w:rPr>
          <w:fldChar w:fldCharType="end"/>
        </w:r>
      </w:hyperlink>
    </w:p>
    <w:p w14:paraId="5F51D015" w14:textId="738CFE4E" w:rsidR="00B2573D" w:rsidRPr="002A5475" w:rsidRDefault="00785FCB">
      <w:pPr>
        <w:pStyle w:val="TOC1"/>
        <w:rPr>
          <w:rFonts w:eastAsiaTheme="minorEastAsia"/>
          <w:sz w:val="22"/>
          <w:szCs w:val="22"/>
          <w:lang w:bidi="he-IL"/>
        </w:rPr>
      </w:pPr>
      <w:hyperlink w:anchor="_Toc96096594" w:history="1">
        <w:r w:rsidR="00B2573D" w:rsidRPr="002A5475">
          <w:rPr>
            <w:rStyle w:val="Hyperlink"/>
          </w:rPr>
          <w:t>CHAPTER III</w:t>
        </w:r>
        <w:r w:rsidR="007077C8">
          <w:rPr>
            <w:rStyle w:val="Hyperlink"/>
          </w:rPr>
          <w:t xml:space="preserve"> </w:t>
        </w:r>
        <w:r w:rsidR="00B2573D" w:rsidRPr="002A5475">
          <w:rPr>
            <w:rStyle w:val="Hyperlink"/>
          </w:rPr>
          <w:t>Major/Minor Redux: Obect-ifying Character Space in Trollope and Collins</w:t>
        </w:r>
        <w:r w:rsidR="00B2573D" w:rsidRPr="002A5475">
          <w:rPr>
            <w:webHidden/>
          </w:rPr>
          <w:tab/>
        </w:r>
        <w:r w:rsidR="00B2573D" w:rsidRPr="002A5475">
          <w:rPr>
            <w:webHidden/>
          </w:rPr>
          <w:fldChar w:fldCharType="begin"/>
        </w:r>
        <w:r w:rsidR="00B2573D" w:rsidRPr="002A5475">
          <w:rPr>
            <w:webHidden/>
          </w:rPr>
          <w:instrText xml:space="preserve"> PAGEREF _Toc96096594 \h </w:instrText>
        </w:r>
        <w:r w:rsidR="00B2573D" w:rsidRPr="002A5475">
          <w:rPr>
            <w:webHidden/>
          </w:rPr>
        </w:r>
        <w:r w:rsidR="00B2573D" w:rsidRPr="002A5475">
          <w:rPr>
            <w:webHidden/>
          </w:rPr>
          <w:fldChar w:fldCharType="separate"/>
        </w:r>
        <w:r w:rsidR="00341040">
          <w:rPr>
            <w:webHidden/>
          </w:rPr>
          <w:t>101</w:t>
        </w:r>
        <w:r w:rsidR="00B2573D" w:rsidRPr="002A5475">
          <w:rPr>
            <w:webHidden/>
          </w:rPr>
          <w:fldChar w:fldCharType="end"/>
        </w:r>
      </w:hyperlink>
    </w:p>
    <w:p w14:paraId="60A89E14" w14:textId="6D11A4E1" w:rsidR="00B2573D" w:rsidRPr="002A5475" w:rsidRDefault="00785FCB">
      <w:pPr>
        <w:pStyle w:val="TOC1"/>
        <w:rPr>
          <w:rFonts w:eastAsiaTheme="minorEastAsia"/>
          <w:sz w:val="22"/>
          <w:szCs w:val="22"/>
          <w:lang w:bidi="he-IL"/>
        </w:rPr>
      </w:pPr>
      <w:hyperlink w:anchor="_Toc96096595" w:history="1">
        <w:r w:rsidR="00B2573D" w:rsidRPr="002A5475">
          <w:rPr>
            <w:rStyle w:val="Hyperlink"/>
          </w:rPr>
          <w:t>CODA International Echoes</w:t>
        </w:r>
        <w:r w:rsidR="007077C8">
          <w:rPr>
            <w:rStyle w:val="Hyperlink"/>
          </w:rPr>
          <w:t xml:space="preserve"> and the Commodification of Normativity</w:t>
        </w:r>
        <w:r w:rsidR="00B2573D" w:rsidRPr="002A5475">
          <w:rPr>
            <w:webHidden/>
          </w:rPr>
          <w:tab/>
        </w:r>
        <w:r w:rsidR="00B2573D" w:rsidRPr="002A5475">
          <w:rPr>
            <w:webHidden/>
          </w:rPr>
          <w:fldChar w:fldCharType="begin"/>
        </w:r>
        <w:r w:rsidR="00B2573D" w:rsidRPr="002A5475">
          <w:rPr>
            <w:webHidden/>
          </w:rPr>
          <w:instrText xml:space="preserve"> PAGEREF _Toc96096595 \h </w:instrText>
        </w:r>
        <w:r w:rsidR="00B2573D" w:rsidRPr="002A5475">
          <w:rPr>
            <w:webHidden/>
          </w:rPr>
        </w:r>
        <w:r w:rsidR="00B2573D" w:rsidRPr="002A5475">
          <w:rPr>
            <w:webHidden/>
          </w:rPr>
          <w:fldChar w:fldCharType="separate"/>
        </w:r>
        <w:r w:rsidR="00341040">
          <w:rPr>
            <w:webHidden/>
          </w:rPr>
          <w:t>153</w:t>
        </w:r>
        <w:r w:rsidR="00B2573D" w:rsidRPr="002A5475">
          <w:rPr>
            <w:webHidden/>
          </w:rPr>
          <w:fldChar w:fldCharType="end"/>
        </w:r>
      </w:hyperlink>
    </w:p>
    <w:p w14:paraId="3FC5470C" w14:textId="6D727A1F" w:rsidR="00B2573D" w:rsidRPr="002A5475" w:rsidRDefault="00785FCB">
      <w:pPr>
        <w:pStyle w:val="TOC1"/>
        <w:rPr>
          <w:rFonts w:eastAsiaTheme="minorEastAsia"/>
          <w:sz w:val="22"/>
          <w:szCs w:val="22"/>
          <w:lang w:bidi="he-IL"/>
        </w:rPr>
      </w:pPr>
      <w:hyperlink w:anchor="_Toc96096596" w:history="1">
        <w:r w:rsidR="00B2573D" w:rsidRPr="002A5475">
          <w:rPr>
            <w:rStyle w:val="Hyperlink"/>
          </w:rPr>
          <w:t>CONCLUSION</w:t>
        </w:r>
        <w:r w:rsidR="007077C8">
          <w:rPr>
            <w:rStyle w:val="Hyperlink"/>
          </w:rPr>
          <w:t xml:space="preserve"> Towards an Objectified Realism</w:t>
        </w:r>
        <w:r w:rsidR="00B2573D" w:rsidRPr="002A5475">
          <w:rPr>
            <w:webHidden/>
          </w:rPr>
          <w:tab/>
        </w:r>
        <w:r w:rsidR="00B2573D" w:rsidRPr="002A5475">
          <w:rPr>
            <w:webHidden/>
          </w:rPr>
          <w:fldChar w:fldCharType="begin"/>
        </w:r>
        <w:r w:rsidR="00B2573D" w:rsidRPr="002A5475">
          <w:rPr>
            <w:webHidden/>
          </w:rPr>
          <w:instrText xml:space="preserve"> PAGEREF _Toc96096596 \h </w:instrText>
        </w:r>
        <w:r w:rsidR="00B2573D" w:rsidRPr="002A5475">
          <w:rPr>
            <w:webHidden/>
          </w:rPr>
        </w:r>
        <w:r w:rsidR="00B2573D" w:rsidRPr="002A5475">
          <w:rPr>
            <w:webHidden/>
          </w:rPr>
          <w:fldChar w:fldCharType="separate"/>
        </w:r>
        <w:r w:rsidR="00341040">
          <w:rPr>
            <w:webHidden/>
          </w:rPr>
          <w:t>168</w:t>
        </w:r>
        <w:r w:rsidR="00B2573D" w:rsidRPr="002A5475">
          <w:rPr>
            <w:webHidden/>
          </w:rPr>
          <w:fldChar w:fldCharType="end"/>
        </w:r>
      </w:hyperlink>
    </w:p>
    <w:p w14:paraId="0E4372C6" w14:textId="0389F4FD" w:rsidR="00B2573D" w:rsidRPr="002A5475" w:rsidRDefault="00785FCB">
      <w:pPr>
        <w:pStyle w:val="TOC1"/>
        <w:rPr>
          <w:rFonts w:eastAsiaTheme="minorEastAsia"/>
          <w:sz w:val="22"/>
          <w:szCs w:val="22"/>
          <w:lang w:bidi="he-IL"/>
        </w:rPr>
      </w:pPr>
      <w:hyperlink w:anchor="_Toc96096597" w:history="1">
        <w:r w:rsidR="00B2573D" w:rsidRPr="002A5475">
          <w:rPr>
            <w:rStyle w:val="Hyperlink"/>
          </w:rPr>
          <w:t>BIBLIOGRAPHY</w:t>
        </w:r>
        <w:r w:rsidR="00B2573D" w:rsidRPr="002A5475">
          <w:rPr>
            <w:webHidden/>
          </w:rPr>
          <w:tab/>
        </w:r>
        <w:r w:rsidR="00B2573D" w:rsidRPr="002A5475">
          <w:rPr>
            <w:webHidden/>
          </w:rPr>
          <w:fldChar w:fldCharType="begin"/>
        </w:r>
        <w:r w:rsidR="00B2573D" w:rsidRPr="002A5475">
          <w:rPr>
            <w:webHidden/>
          </w:rPr>
          <w:instrText xml:space="preserve"> PAGEREF _Toc96096597 \h </w:instrText>
        </w:r>
        <w:r w:rsidR="00B2573D" w:rsidRPr="002A5475">
          <w:rPr>
            <w:webHidden/>
          </w:rPr>
        </w:r>
        <w:r w:rsidR="00B2573D" w:rsidRPr="002A5475">
          <w:rPr>
            <w:webHidden/>
          </w:rPr>
          <w:fldChar w:fldCharType="separate"/>
        </w:r>
        <w:r w:rsidR="00341040">
          <w:rPr>
            <w:webHidden/>
          </w:rPr>
          <w:t>185</w:t>
        </w:r>
        <w:r w:rsidR="00B2573D" w:rsidRPr="002A5475">
          <w:rPr>
            <w:webHidden/>
          </w:rPr>
          <w:fldChar w:fldCharType="end"/>
        </w:r>
      </w:hyperlink>
    </w:p>
    <w:p w14:paraId="4C96E07C" w14:textId="2EAB48D5" w:rsidR="00B2573D" w:rsidRPr="002A5475" w:rsidRDefault="00785FCB">
      <w:pPr>
        <w:pStyle w:val="TOC1"/>
        <w:rPr>
          <w:rFonts w:eastAsiaTheme="minorEastAsia"/>
          <w:sz w:val="22"/>
          <w:szCs w:val="22"/>
          <w:lang w:bidi="he-IL"/>
        </w:rPr>
      </w:pPr>
      <w:hyperlink w:anchor="_Toc96096598" w:history="1">
        <w:r w:rsidR="00B2573D" w:rsidRPr="002A5475">
          <w:rPr>
            <w:rStyle w:val="Hyperlink"/>
          </w:rPr>
          <w:t>VITA</w:t>
        </w:r>
        <w:r w:rsidR="00B2573D" w:rsidRPr="002A5475">
          <w:rPr>
            <w:webHidden/>
          </w:rPr>
          <w:tab/>
        </w:r>
        <w:r w:rsidR="00B2573D" w:rsidRPr="002A5475">
          <w:rPr>
            <w:webHidden/>
          </w:rPr>
          <w:fldChar w:fldCharType="begin"/>
        </w:r>
        <w:r w:rsidR="00B2573D" w:rsidRPr="002A5475">
          <w:rPr>
            <w:webHidden/>
          </w:rPr>
          <w:instrText xml:space="preserve"> PAGEREF _Toc96096598 \h </w:instrText>
        </w:r>
        <w:r w:rsidR="00B2573D" w:rsidRPr="002A5475">
          <w:rPr>
            <w:webHidden/>
          </w:rPr>
        </w:r>
        <w:r w:rsidR="00B2573D" w:rsidRPr="002A5475">
          <w:rPr>
            <w:webHidden/>
          </w:rPr>
          <w:fldChar w:fldCharType="separate"/>
        </w:r>
        <w:r w:rsidR="00341040">
          <w:rPr>
            <w:webHidden/>
          </w:rPr>
          <w:t>194</w:t>
        </w:r>
        <w:r w:rsidR="00B2573D" w:rsidRPr="002A5475">
          <w:rPr>
            <w:webHidden/>
          </w:rPr>
          <w:fldChar w:fldCharType="end"/>
        </w:r>
      </w:hyperlink>
    </w:p>
    <w:p w14:paraId="2441A3AD" w14:textId="532EC49F" w:rsidR="00387656" w:rsidRPr="002A5475" w:rsidRDefault="00387656">
      <w:pPr>
        <w:rPr>
          <w:rFonts w:asciiTheme="majorBidi" w:hAnsiTheme="majorBidi" w:cstheme="majorBidi"/>
        </w:rPr>
      </w:pPr>
      <w:r w:rsidRPr="002A5475">
        <w:rPr>
          <w:rFonts w:asciiTheme="majorBidi" w:hAnsiTheme="majorBidi" w:cstheme="majorBidi"/>
          <w:b/>
          <w:bCs/>
          <w:noProof/>
        </w:rPr>
        <w:fldChar w:fldCharType="end"/>
      </w:r>
    </w:p>
    <w:p w14:paraId="70E3186C" w14:textId="5ECD7699" w:rsidR="004B716E" w:rsidRPr="002A5475" w:rsidRDefault="004B716E">
      <w:pPr>
        <w:rPr>
          <w:rFonts w:asciiTheme="majorBidi" w:hAnsiTheme="majorBidi" w:cstheme="majorBidi"/>
        </w:rPr>
      </w:pPr>
      <w:r w:rsidRPr="002A5475">
        <w:rPr>
          <w:rFonts w:asciiTheme="majorBidi" w:hAnsiTheme="majorBidi" w:cstheme="majorBidi"/>
        </w:rPr>
        <w:br w:type="page"/>
      </w:r>
    </w:p>
    <w:p w14:paraId="0B4BA460" w14:textId="4C5BC248" w:rsidR="004B716E" w:rsidRPr="002A5475" w:rsidRDefault="004B716E">
      <w:pPr>
        <w:rPr>
          <w:rFonts w:asciiTheme="majorBidi" w:hAnsiTheme="majorBidi" w:cstheme="majorBidi"/>
        </w:rPr>
      </w:pPr>
    </w:p>
    <w:p w14:paraId="78565878" w14:textId="77777777" w:rsidR="004B716E" w:rsidRPr="002A5475" w:rsidRDefault="004B716E" w:rsidP="004B716E">
      <w:pPr>
        <w:pStyle w:val="Title"/>
        <w:rPr>
          <w:rFonts w:asciiTheme="majorBidi" w:hAnsiTheme="majorBidi" w:cstheme="majorBidi"/>
          <w:szCs w:val="28"/>
        </w:rPr>
      </w:pPr>
      <w:r w:rsidRPr="002A5475">
        <w:rPr>
          <w:rFonts w:asciiTheme="majorBidi" w:hAnsiTheme="majorBidi" w:cstheme="majorBidi"/>
          <w:szCs w:val="28"/>
        </w:rPr>
        <w:t>LIST OF FIGURES</w:t>
      </w:r>
    </w:p>
    <w:p w14:paraId="238CE723" w14:textId="77777777" w:rsidR="004B716E" w:rsidRPr="002A5475" w:rsidRDefault="004B716E" w:rsidP="004B716E">
      <w:pPr>
        <w:pStyle w:val="Title"/>
        <w:rPr>
          <w:rFonts w:asciiTheme="majorBidi" w:hAnsiTheme="majorBidi" w:cstheme="majorBidi"/>
          <w:sz w:val="24"/>
        </w:rPr>
      </w:pPr>
    </w:p>
    <w:p w14:paraId="5BB62E0D" w14:textId="5F7F66DA" w:rsidR="009D1318" w:rsidRPr="009D1318" w:rsidRDefault="004B716E" w:rsidP="006E22BA">
      <w:pPr>
        <w:pStyle w:val="TableofFigures"/>
        <w:tabs>
          <w:tab w:val="right" w:leader="dot" w:pos="8630"/>
        </w:tabs>
        <w:ind w:left="475" w:hanging="475"/>
        <w:rPr>
          <w:rFonts w:asciiTheme="majorBidi" w:eastAsiaTheme="minorEastAsia" w:hAnsiTheme="majorBidi" w:cstheme="majorBidi"/>
          <w:noProof/>
          <w:sz w:val="22"/>
          <w:szCs w:val="22"/>
          <w:lang w:bidi="he-IL"/>
        </w:rPr>
      </w:pPr>
      <w:r w:rsidRPr="002A5475">
        <w:rPr>
          <w:rFonts w:asciiTheme="majorBidi" w:hAnsiTheme="majorBidi" w:cstheme="majorBidi"/>
        </w:rPr>
        <w:fldChar w:fldCharType="begin"/>
      </w:r>
      <w:r w:rsidRPr="002A5475">
        <w:rPr>
          <w:rFonts w:asciiTheme="majorBidi" w:hAnsiTheme="majorBidi" w:cstheme="majorBidi"/>
        </w:rPr>
        <w:instrText xml:space="preserve"> TOC \h \z \c "Figure" </w:instrText>
      </w:r>
      <w:r w:rsidRPr="002A5475">
        <w:rPr>
          <w:rFonts w:asciiTheme="majorBidi" w:hAnsiTheme="majorBidi" w:cstheme="majorBidi"/>
        </w:rPr>
        <w:fldChar w:fldCharType="separate"/>
      </w:r>
      <w:hyperlink w:anchor="_Toc101797034" w:history="1">
        <w:r w:rsidR="009D1318" w:rsidRPr="009D1318">
          <w:rPr>
            <w:rStyle w:val="Hyperlink"/>
            <w:rFonts w:asciiTheme="majorBidi" w:hAnsiTheme="majorBidi" w:cstheme="majorBidi"/>
            <w:noProof/>
          </w:rPr>
          <w:t>Figure 1: Jenny Wren</w:t>
        </w:r>
        <w:r w:rsidR="009D1318" w:rsidRPr="009D1318">
          <w:rPr>
            <w:rFonts w:asciiTheme="majorBidi" w:hAnsiTheme="majorBidi" w:cstheme="majorBidi"/>
            <w:noProof/>
            <w:webHidden/>
          </w:rPr>
          <w:tab/>
        </w:r>
        <w:r w:rsidR="009D1318" w:rsidRPr="009D1318">
          <w:rPr>
            <w:rFonts w:asciiTheme="majorBidi" w:hAnsiTheme="majorBidi" w:cstheme="majorBidi"/>
            <w:noProof/>
            <w:webHidden/>
          </w:rPr>
          <w:fldChar w:fldCharType="begin"/>
        </w:r>
        <w:r w:rsidR="009D1318" w:rsidRPr="009D1318">
          <w:rPr>
            <w:rFonts w:asciiTheme="majorBidi" w:hAnsiTheme="majorBidi" w:cstheme="majorBidi"/>
            <w:noProof/>
            <w:webHidden/>
          </w:rPr>
          <w:instrText xml:space="preserve"> PAGEREF _Toc101797034 \h </w:instrText>
        </w:r>
        <w:r w:rsidR="009D1318" w:rsidRPr="009D1318">
          <w:rPr>
            <w:rFonts w:asciiTheme="majorBidi" w:hAnsiTheme="majorBidi" w:cstheme="majorBidi"/>
            <w:noProof/>
            <w:webHidden/>
          </w:rPr>
        </w:r>
        <w:r w:rsidR="009D1318" w:rsidRPr="009D1318">
          <w:rPr>
            <w:rFonts w:asciiTheme="majorBidi" w:hAnsiTheme="majorBidi" w:cstheme="majorBidi"/>
            <w:noProof/>
            <w:webHidden/>
          </w:rPr>
          <w:fldChar w:fldCharType="separate"/>
        </w:r>
        <w:r w:rsidR="00341040">
          <w:rPr>
            <w:rFonts w:asciiTheme="majorBidi" w:hAnsiTheme="majorBidi" w:cstheme="majorBidi"/>
            <w:noProof/>
            <w:webHidden/>
          </w:rPr>
          <w:t>61</w:t>
        </w:r>
        <w:r w:rsidR="009D1318" w:rsidRPr="009D1318">
          <w:rPr>
            <w:rFonts w:asciiTheme="majorBidi" w:hAnsiTheme="majorBidi" w:cstheme="majorBidi"/>
            <w:noProof/>
            <w:webHidden/>
          </w:rPr>
          <w:fldChar w:fldCharType="end"/>
        </w:r>
      </w:hyperlink>
    </w:p>
    <w:p w14:paraId="77118CF9" w14:textId="63D22217" w:rsidR="009D1318" w:rsidRPr="009D1318" w:rsidRDefault="00785FCB" w:rsidP="006E22BA">
      <w:pPr>
        <w:pStyle w:val="TableofFigures"/>
        <w:tabs>
          <w:tab w:val="right" w:leader="dot" w:pos="8630"/>
        </w:tabs>
        <w:ind w:left="475" w:hanging="475"/>
        <w:rPr>
          <w:rFonts w:asciiTheme="majorBidi" w:eastAsiaTheme="minorEastAsia" w:hAnsiTheme="majorBidi" w:cstheme="majorBidi"/>
          <w:noProof/>
          <w:sz w:val="22"/>
          <w:szCs w:val="22"/>
          <w:lang w:bidi="he-IL"/>
        </w:rPr>
      </w:pPr>
      <w:hyperlink w:anchor="_Toc101797035" w:history="1">
        <w:r w:rsidR="009D1318" w:rsidRPr="009D1318">
          <w:rPr>
            <w:rStyle w:val="Hyperlink"/>
            <w:rFonts w:asciiTheme="majorBidi" w:hAnsiTheme="majorBidi" w:cstheme="majorBidi"/>
            <w:noProof/>
          </w:rPr>
          <w:t>Figure 2: Mrs. Clennam</w:t>
        </w:r>
        <w:r w:rsidR="009D1318" w:rsidRPr="009D1318">
          <w:rPr>
            <w:rFonts w:asciiTheme="majorBidi" w:hAnsiTheme="majorBidi" w:cstheme="majorBidi"/>
            <w:noProof/>
            <w:webHidden/>
          </w:rPr>
          <w:tab/>
        </w:r>
        <w:r w:rsidR="009D1318" w:rsidRPr="009D1318">
          <w:rPr>
            <w:rFonts w:asciiTheme="majorBidi" w:hAnsiTheme="majorBidi" w:cstheme="majorBidi"/>
            <w:noProof/>
            <w:webHidden/>
          </w:rPr>
          <w:fldChar w:fldCharType="begin"/>
        </w:r>
        <w:r w:rsidR="009D1318" w:rsidRPr="009D1318">
          <w:rPr>
            <w:rFonts w:asciiTheme="majorBidi" w:hAnsiTheme="majorBidi" w:cstheme="majorBidi"/>
            <w:noProof/>
            <w:webHidden/>
          </w:rPr>
          <w:instrText xml:space="preserve"> PAGEREF _Toc101797035 \h </w:instrText>
        </w:r>
        <w:r w:rsidR="009D1318" w:rsidRPr="009D1318">
          <w:rPr>
            <w:rFonts w:asciiTheme="majorBidi" w:hAnsiTheme="majorBidi" w:cstheme="majorBidi"/>
            <w:noProof/>
            <w:webHidden/>
          </w:rPr>
        </w:r>
        <w:r w:rsidR="009D1318" w:rsidRPr="009D1318">
          <w:rPr>
            <w:rFonts w:asciiTheme="majorBidi" w:hAnsiTheme="majorBidi" w:cstheme="majorBidi"/>
            <w:noProof/>
            <w:webHidden/>
          </w:rPr>
          <w:fldChar w:fldCharType="separate"/>
        </w:r>
        <w:r w:rsidR="00341040">
          <w:rPr>
            <w:rFonts w:asciiTheme="majorBidi" w:hAnsiTheme="majorBidi" w:cstheme="majorBidi"/>
            <w:noProof/>
            <w:webHidden/>
          </w:rPr>
          <w:t>61</w:t>
        </w:r>
        <w:r w:rsidR="009D1318" w:rsidRPr="009D1318">
          <w:rPr>
            <w:rFonts w:asciiTheme="majorBidi" w:hAnsiTheme="majorBidi" w:cstheme="majorBidi"/>
            <w:noProof/>
            <w:webHidden/>
          </w:rPr>
          <w:fldChar w:fldCharType="end"/>
        </w:r>
      </w:hyperlink>
    </w:p>
    <w:p w14:paraId="775A2E01" w14:textId="3DC30DCD" w:rsidR="009D1318" w:rsidRPr="009D1318" w:rsidRDefault="00785FCB" w:rsidP="006E22BA">
      <w:pPr>
        <w:pStyle w:val="TableofFigures"/>
        <w:tabs>
          <w:tab w:val="right" w:leader="dot" w:pos="8630"/>
        </w:tabs>
        <w:ind w:left="475" w:hanging="475"/>
        <w:rPr>
          <w:rFonts w:asciiTheme="majorBidi" w:eastAsiaTheme="minorEastAsia" w:hAnsiTheme="majorBidi" w:cstheme="majorBidi"/>
          <w:noProof/>
          <w:sz w:val="22"/>
          <w:szCs w:val="22"/>
          <w:lang w:bidi="he-IL"/>
        </w:rPr>
      </w:pPr>
      <w:hyperlink w:anchor="_Toc101797036" w:history="1">
        <w:r w:rsidR="009D1318" w:rsidRPr="009D1318">
          <w:rPr>
            <w:rStyle w:val="Hyperlink"/>
            <w:rFonts w:asciiTheme="majorBidi" w:hAnsiTheme="majorBidi" w:cstheme="majorBidi"/>
            <w:noProof/>
          </w:rPr>
          <w:t>Figure 3: Barnaby and Grip</w:t>
        </w:r>
        <w:r w:rsidR="009D1318" w:rsidRPr="009D1318">
          <w:rPr>
            <w:rFonts w:asciiTheme="majorBidi" w:hAnsiTheme="majorBidi" w:cstheme="majorBidi"/>
            <w:noProof/>
            <w:webHidden/>
          </w:rPr>
          <w:tab/>
        </w:r>
        <w:r w:rsidR="009D1318" w:rsidRPr="009D1318">
          <w:rPr>
            <w:rFonts w:asciiTheme="majorBidi" w:hAnsiTheme="majorBidi" w:cstheme="majorBidi"/>
            <w:noProof/>
            <w:webHidden/>
          </w:rPr>
          <w:fldChar w:fldCharType="begin"/>
        </w:r>
        <w:r w:rsidR="009D1318" w:rsidRPr="009D1318">
          <w:rPr>
            <w:rFonts w:asciiTheme="majorBidi" w:hAnsiTheme="majorBidi" w:cstheme="majorBidi"/>
            <w:noProof/>
            <w:webHidden/>
          </w:rPr>
          <w:instrText xml:space="preserve"> PAGEREF _Toc101797036 \h </w:instrText>
        </w:r>
        <w:r w:rsidR="009D1318" w:rsidRPr="009D1318">
          <w:rPr>
            <w:rFonts w:asciiTheme="majorBidi" w:hAnsiTheme="majorBidi" w:cstheme="majorBidi"/>
            <w:noProof/>
            <w:webHidden/>
          </w:rPr>
        </w:r>
        <w:r w:rsidR="009D1318" w:rsidRPr="009D1318">
          <w:rPr>
            <w:rFonts w:asciiTheme="majorBidi" w:hAnsiTheme="majorBidi" w:cstheme="majorBidi"/>
            <w:noProof/>
            <w:webHidden/>
          </w:rPr>
          <w:fldChar w:fldCharType="separate"/>
        </w:r>
        <w:r w:rsidR="00341040">
          <w:rPr>
            <w:rFonts w:asciiTheme="majorBidi" w:hAnsiTheme="majorBidi" w:cstheme="majorBidi"/>
            <w:noProof/>
            <w:webHidden/>
          </w:rPr>
          <w:t>86</w:t>
        </w:r>
        <w:r w:rsidR="009D1318" w:rsidRPr="009D1318">
          <w:rPr>
            <w:rFonts w:asciiTheme="majorBidi" w:hAnsiTheme="majorBidi" w:cstheme="majorBidi"/>
            <w:noProof/>
            <w:webHidden/>
          </w:rPr>
          <w:fldChar w:fldCharType="end"/>
        </w:r>
      </w:hyperlink>
    </w:p>
    <w:p w14:paraId="59A3DED0" w14:textId="216E63B9" w:rsidR="009D1318" w:rsidRPr="009D1318" w:rsidRDefault="00785FCB" w:rsidP="006E22BA">
      <w:pPr>
        <w:pStyle w:val="TableofFigures"/>
        <w:tabs>
          <w:tab w:val="right" w:leader="dot" w:pos="8630"/>
        </w:tabs>
        <w:ind w:left="475" w:hanging="475"/>
        <w:rPr>
          <w:rFonts w:asciiTheme="majorBidi" w:eastAsiaTheme="minorEastAsia" w:hAnsiTheme="majorBidi" w:cstheme="majorBidi"/>
          <w:noProof/>
          <w:sz w:val="22"/>
          <w:szCs w:val="22"/>
          <w:lang w:bidi="he-IL"/>
        </w:rPr>
      </w:pPr>
      <w:hyperlink w:anchor="_Toc101797037" w:history="1">
        <w:r w:rsidR="009D1318" w:rsidRPr="009D1318">
          <w:rPr>
            <w:rStyle w:val="Hyperlink"/>
            <w:rFonts w:asciiTheme="majorBidi" w:hAnsiTheme="majorBidi" w:cstheme="majorBidi"/>
            <w:noProof/>
          </w:rPr>
          <w:t>Figure 4: The Blind Boot-Lace Seller</w:t>
        </w:r>
        <w:r w:rsidR="009D1318" w:rsidRPr="009D1318">
          <w:rPr>
            <w:rFonts w:asciiTheme="majorBidi" w:hAnsiTheme="majorBidi" w:cstheme="majorBidi"/>
            <w:noProof/>
            <w:webHidden/>
          </w:rPr>
          <w:tab/>
        </w:r>
        <w:r w:rsidR="009D1318" w:rsidRPr="009D1318">
          <w:rPr>
            <w:rFonts w:asciiTheme="majorBidi" w:hAnsiTheme="majorBidi" w:cstheme="majorBidi"/>
            <w:noProof/>
            <w:webHidden/>
          </w:rPr>
          <w:fldChar w:fldCharType="begin"/>
        </w:r>
        <w:r w:rsidR="009D1318" w:rsidRPr="009D1318">
          <w:rPr>
            <w:rFonts w:asciiTheme="majorBidi" w:hAnsiTheme="majorBidi" w:cstheme="majorBidi"/>
            <w:noProof/>
            <w:webHidden/>
          </w:rPr>
          <w:instrText xml:space="preserve"> PAGEREF _Toc101797037 \h </w:instrText>
        </w:r>
        <w:r w:rsidR="009D1318" w:rsidRPr="009D1318">
          <w:rPr>
            <w:rFonts w:asciiTheme="majorBidi" w:hAnsiTheme="majorBidi" w:cstheme="majorBidi"/>
            <w:noProof/>
            <w:webHidden/>
          </w:rPr>
        </w:r>
        <w:r w:rsidR="009D1318" w:rsidRPr="009D1318">
          <w:rPr>
            <w:rFonts w:asciiTheme="majorBidi" w:hAnsiTheme="majorBidi" w:cstheme="majorBidi"/>
            <w:noProof/>
            <w:webHidden/>
          </w:rPr>
          <w:fldChar w:fldCharType="separate"/>
        </w:r>
        <w:r w:rsidR="00341040">
          <w:rPr>
            <w:rFonts w:asciiTheme="majorBidi" w:hAnsiTheme="majorBidi" w:cstheme="majorBidi"/>
            <w:noProof/>
            <w:webHidden/>
          </w:rPr>
          <w:t>86</w:t>
        </w:r>
        <w:r w:rsidR="009D1318" w:rsidRPr="009D1318">
          <w:rPr>
            <w:rFonts w:asciiTheme="majorBidi" w:hAnsiTheme="majorBidi" w:cstheme="majorBidi"/>
            <w:noProof/>
            <w:webHidden/>
          </w:rPr>
          <w:fldChar w:fldCharType="end"/>
        </w:r>
      </w:hyperlink>
    </w:p>
    <w:p w14:paraId="7EA7B48A" w14:textId="1610F1B2" w:rsidR="009D1318" w:rsidRPr="009D1318" w:rsidRDefault="00785FCB" w:rsidP="006E22BA">
      <w:pPr>
        <w:pStyle w:val="TableofFigures"/>
        <w:tabs>
          <w:tab w:val="right" w:leader="dot" w:pos="8630"/>
        </w:tabs>
        <w:ind w:left="475" w:hanging="475"/>
        <w:rPr>
          <w:rFonts w:asciiTheme="majorBidi" w:eastAsiaTheme="minorEastAsia" w:hAnsiTheme="majorBidi" w:cstheme="majorBidi"/>
          <w:noProof/>
          <w:sz w:val="22"/>
          <w:szCs w:val="22"/>
          <w:lang w:bidi="he-IL"/>
        </w:rPr>
      </w:pPr>
      <w:hyperlink w:anchor="_Toc101797038" w:history="1">
        <w:r w:rsidR="009D1318" w:rsidRPr="009D1318">
          <w:rPr>
            <w:rStyle w:val="Hyperlink"/>
            <w:rFonts w:asciiTheme="majorBidi" w:hAnsiTheme="majorBidi" w:cstheme="majorBidi"/>
            <w:noProof/>
          </w:rPr>
          <w:t>Figure 5: The Wooden-Legged Postman</w:t>
        </w:r>
        <w:r w:rsidR="009D1318" w:rsidRPr="009D1318">
          <w:rPr>
            <w:rFonts w:asciiTheme="majorBidi" w:hAnsiTheme="majorBidi" w:cstheme="majorBidi"/>
            <w:noProof/>
            <w:webHidden/>
          </w:rPr>
          <w:tab/>
        </w:r>
        <w:r w:rsidR="009D1318" w:rsidRPr="009D1318">
          <w:rPr>
            <w:rFonts w:asciiTheme="majorBidi" w:hAnsiTheme="majorBidi" w:cstheme="majorBidi"/>
            <w:noProof/>
            <w:webHidden/>
          </w:rPr>
          <w:fldChar w:fldCharType="begin"/>
        </w:r>
        <w:r w:rsidR="009D1318" w:rsidRPr="009D1318">
          <w:rPr>
            <w:rFonts w:asciiTheme="majorBidi" w:hAnsiTheme="majorBidi" w:cstheme="majorBidi"/>
            <w:noProof/>
            <w:webHidden/>
          </w:rPr>
          <w:instrText xml:space="preserve"> PAGEREF _Toc101797038 \h </w:instrText>
        </w:r>
        <w:r w:rsidR="009D1318" w:rsidRPr="009D1318">
          <w:rPr>
            <w:rFonts w:asciiTheme="majorBidi" w:hAnsiTheme="majorBidi" w:cstheme="majorBidi"/>
            <w:noProof/>
            <w:webHidden/>
          </w:rPr>
        </w:r>
        <w:r w:rsidR="009D1318" w:rsidRPr="009D1318">
          <w:rPr>
            <w:rFonts w:asciiTheme="majorBidi" w:hAnsiTheme="majorBidi" w:cstheme="majorBidi"/>
            <w:noProof/>
            <w:webHidden/>
          </w:rPr>
          <w:fldChar w:fldCharType="separate"/>
        </w:r>
        <w:r w:rsidR="00341040">
          <w:rPr>
            <w:rFonts w:asciiTheme="majorBidi" w:hAnsiTheme="majorBidi" w:cstheme="majorBidi"/>
            <w:noProof/>
            <w:webHidden/>
          </w:rPr>
          <w:t>115</w:t>
        </w:r>
        <w:r w:rsidR="009D1318" w:rsidRPr="009D1318">
          <w:rPr>
            <w:rFonts w:asciiTheme="majorBidi" w:hAnsiTheme="majorBidi" w:cstheme="majorBidi"/>
            <w:noProof/>
            <w:webHidden/>
          </w:rPr>
          <w:fldChar w:fldCharType="end"/>
        </w:r>
      </w:hyperlink>
    </w:p>
    <w:p w14:paraId="02C61051" w14:textId="7638FFF8" w:rsidR="009D1318" w:rsidRPr="009D1318" w:rsidRDefault="00785FCB" w:rsidP="006E22BA">
      <w:pPr>
        <w:pStyle w:val="TableofFigures"/>
        <w:tabs>
          <w:tab w:val="right" w:leader="dot" w:pos="8630"/>
        </w:tabs>
        <w:ind w:left="475" w:hanging="475"/>
        <w:rPr>
          <w:rFonts w:asciiTheme="majorBidi" w:eastAsiaTheme="minorEastAsia" w:hAnsiTheme="majorBidi" w:cstheme="majorBidi"/>
          <w:noProof/>
          <w:sz w:val="22"/>
          <w:szCs w:val="22"/>
          <w:lang w:bidi="he-IL"/>
        </w:rPr>
      </w:pPr>
      <w:hyperlink w:anchor="_Toc101797039" w:history="1">
        <w:r w:rsidR="009D1318" w:rsidRPr="009D1318">
          <w:rPr>
            <w:rStyle w:val="Hyperlink"/>
            <w:rFonts w:asciiTheme="majorBidi" w:hAnsiTheme="majorBidi" w:cstheme="majorBidi"/>
            <w:noProof/>
          </w:rPr>
          <w:t xml:space="preserve">Figure 6: Fashion plate from </w:t>
        </w:r>
        <w:r w:rsidR="009D1318" w:rsidRPr="009D1318">
          <w:rPr>
            <w:rStyle w:val="Hyperlink"/>
            <w:rFonts w:asciiTheme="majorBidi" w:hAnsiTheme="majorBidi" w:cstheme="majorBidi"/>
            <w:i/>
            <w:iCs/>
            <w:noProof/>
          </w:rPr>
          <w:t>La Mode</w:t>
        </w:r>
        <w:r w:rsidR="009D1318" w:rsidRPr="009D1318">
          <w:rPr>
            <w:rFonts w:asciiTheme="majorBidi" w:hAnsiTheme="majorBidi" w:cstheme="majorBidi"/>
            <w:noProof/>
            <w:webHidden/>
          </w:rPr>
          <w:tab/>
        </w:r>
        <w:r w:rsidR="009D1318" w:rsidRPr="009D1318">
          <w:rPr>
            <w:rFonts w:asciiTheme="majorBidi" w:hAnsiTheme="majorBidi" w:cstheme="majorBidi"/>
            <w:noProof/>
            <w:webHidden/>
          </w:rPr>
          <w:fldChar w:fldCharType="begin"/>
        </w:r>
        <w:r w:rsidR="009D1318" w:rsidRPr="009D1318">
          <w:rPr>
            <w:rFonts w:asciiTheme="majorBidi" w:hAnsiTheme="majorBidi" w:cstheme="majorBidi"/>
            <w:noProof/>
            <w:webHidden/>
          </w:rPr>
          <w:instrText xml:space="preserve"> PAGEREF _Toc101797039 \h </w:instrText>
        </w:r>
        <w:r w:rsidR="009D1318" w:rsidRPr="009D1318">
          <w:rPr>
            <w:rFonts w:asciiTheme="majorBidi" w:hAnsiTheme="majorBidi" w:cstheme="majorBidi"/>
            <w:noProof/>
            <w:webHidden/>
          </w:rPr>
        </w:r>
        <w:r w:rsidR="009D1318" w:rsidRPr="009D1318">
          <w:rPr>
            <w:rFonts w:asciiTheme="majorBidi" w:hAnsiTheme="majorBidi" w:cstheme="majorBidi"/>
            <w:noProof/>
            <w:webHidden/>
          </w:rPr>
          <w:fldChar w:fldCharType="separate"/>
        </w:r>
        <w:r w:rsidR="00341040">
          <w:rPr>
            <w:rFonts w:asciiTheme="majorBidi" w:hAnsiTheme="majorBidi" w:cstheme="majorBidi"/>
            <w:noProof/>
            <w:webHidden/>
          </w:rPr>
          <w:t>125</w:t>
        </w:r>
        <w:r w:rsidR="009D1318" w:rsidRPr="009D1318">
          <w:rPr>
            <w:rFonts w:asciiTheme="majorBidi" w:hAnsiTheme="majorBidi" w:cstheme="majorBidi"/>
            <w:noProof/>
            <w:webHidden/>
          </w:rPr>
          <w:fldChar w:fldCharType="end"/>
        </w:r>
      </w:hyperlink>
    </w:p>
    <w:p w14:paraId="036CA269" w14:textId="15E4361E" w:rsidR="009D1318" w:rsidRPr="009D1318" w:rsidRDefault="00785FCB" w:rsidP="006E22BA">
      <w:pPr>
        <w:pStyle w:val="TableofFigures"/>
        <w:tabs>
          <w:tab w:val="right" w:leader="dot" w:pos="8630"/>
        </w:tabs>
        <w:ind w:left="475" w:hanging="475"/>
        <w:rPr>
          <w:rFonts w:asciiTheme="majorBidi" w:eastAsiaTheme="minorEastAsia" w:hAnsiTheme="majorBidi" w:cstheme="majorBidi"/>
          <w:noProof/>
          <w:sz w:val="22"/>
          <w:szCs w:val="22"/>
          <w:lang w:bidi="he-IL"/>
        </w:rPr>
      </w:pPr>
      <w:hyperlink w:anchor="_Toc101797040" w:history="1">
        <w:r w:rsidR="009D1318" w:rsidRPr="009D1318">
          <w:rPr>
            <w:rStyle w:val="Hyperlink"/>
            <w:rFonts w:asciiTheme="majorBidi" w:hAnsiTheme="majorBidi" w:cstheme="majorBidi"/>
            <w:noProof/>
          </w:rPr>
          <w:t xml:space="preserve">Figure 7: Fashion plate from </w:t>
        </w:r>
        <w:r w:rsidR="009D1318" w:rsidRPr="009D1318">
          <w:rPr>
            <w:rStyle w:val="Hyperlink"/>
            <w:rFonts w:asciiTheme="majorBidi" w:hAnsiTheme="majorBidi" w:cstheme="majorBidi"/>
            <w:i/>
            <w:iCs/>
            <w:noProof/>
          </w:rPr>
          <w:t>Le Conseiller des Dames</w:t>
        </w:r>
        <w:r w:rsidR="009D1318" w:rsidRPr="009D1318">
          <w:rPr>
            <w:rFonts w:asciiTheme="majorBidi" w:hAnsiTheme="majorBidi" w:cstheme="majorBidi"/>
            <w:noProof/>
            <w:webHidden/>
          </w:rPr>
          <w:tab/>
        </w:r>
        <w:r w:rsidR="009D1318" w:rsidRPr="009D1318">
          <w:rPr>
            <w:rFonts w:asciiTheme="majorBidi" w:hAnsiTheme="majorBidi" w:cstheme="majorBidi"/>
            <w:noProof/>
            <w:webHidden/>
          </w:rPr>
          <w:fldChar w:fldCharType="begin"/>
        </w:r>
        <w:r w:rsidR="009D1318" w:rsidRPr="009D1318">
          <w:rPr>
            <w:rFonts w:asciiTheme="majorBidi" w:hAnsiTheme="majorBidi" w:cstheme="majorBidi"/>
            <w:noProof/>
            <w:webHidden/>
          </w:rPr>
          <w:instrText xml:space="preserve"> PAGEREF _Toc101797040 \h </w:instrText>
        </w:r>
        <w:r w:rsidR="009D1318" w:rsidRPr="009D1318">
          <w:rPr>
            <w:rFonts w:asciiTheme="majorBidi" w:hAnsiTheme="majorBidi" w:cstheme="majorBidi"/>
            <w:noProof/>
            <w:webHidden/>
          </w:rPr>
        </w:r>
        <w:r w:rsidR="009D1318" w:rsidRPr="009D1318">
          <w:rPr>
            <w:rFonts w:asciiTheme="majorBidi" w:hAnsiTheme="majorBidi" w:cstheme="majorBidi"/>
            <w:noProof/>
            <w:webHidden/>
          </w:rPr>
          <w:fldChar w:fldCharType="separate"/>
        </w:r>
        <w:r w:rsidR="00341040">
          <w:rPr>
            <w:rFonts w:asciiTheme="majorBidi" w:hAnsiTheme="majorBidi" w:cstheme="majorBidi"/>
            <w:noProof/>
            <w:webHidden/>
          </w:rPr>
          <w:t>125</w:t>
        </w:r>
        <w:r w:rsidR="009D1318" w:rsidRPr="009D1318">
          <w:rPr>
            <w:rFonts w:asciiTheme="majorBidi" w:hAnsiTheme="majorBidi" w:cstheme="majorBidi"/>
            <w:noProof/>
            <w:webHidden/>
          </w:rPr>
          <w:fldChar w:fldCharType="end"/>
        </w:r>
      </w:hyperlink>
    </w:p>
    <w:p w14:paraId="799F4559" w14:textId="775C3BCE" w:rsidR="009D1318" w:rsidRPr="009D1318" w:rsidRDefault="00785FCB" w:rsidP="006E22BA">
      <w:pPr>
        <w:pStyle w:val="TableofFigures"/>
        <w:tabs>
          <w:tab w:val="right" w:leader="dot" w:pos="8630"/>
        </w:tabs>
        <w:ind w:left="475" w:hanging="475"/>
        <w:rPr>
          <w:rFonts w:asciiTheme="majorBidi" w:eastAsiaTheme="minorEastAsia" w:hAnsiTheme="majorBidi" w:cstheme="majorBidi"/>
          <w:noProof/>
          <w:sz w:val="22"/>
          <w:szCs w:val="22"/>
          <w:lang w:bidi="he-IL"/>
        </w:rPr>
      </w:pPr>
      <w:hyperlink w:anchor="_Toc101797041" w:history="1">
        <w:r w:rsidR="009D1318" w:rsidRPr="009D1318">
          <w:rPr>
            <w:rStyle w:val="Hyperlink"/>
            <w:rFonts w:asciiTheme="majorBidi" w:hAnsiTheme="majorBidi" w:cstheme="majorBidi"/>
            <w:noProof/>
          </w:rPr>
          <w:t>Figure 8: Miserrimus Dexter</w:t>
        </w:r>
        <w:r w:rsidR="009D1318" w:rsidRPr="009D1318">
          <w:rPr>
            <w:rFonts w:asciiTheme="majorBidi" w:hAnsiTheme="majorBidi" w:cstheme="majorBidi"/>
            <w:noProof/>
            <w:webHidden/>
          </w:rPr>
          <w:tab/>
        </w:r>
        <w:r w:rsidR="009D1318" w:rsidRPr="009D1318">
          <w:rPr>
            <w:rFonts w:asciiTheme="majorBidi" w:hAnsiTheme="majorBidi" w:cstheme="majorBidi"/>
            <w:noProof/>
            <w:webHidden/>
          </w:rPr>
          <w:fldChar w:fldCharType="begin"/>
        </w:r>
        <w:r w:rsidR="009D1318" w:rsidRPr="009D1318">
          <w:rPr>
            <w:rFonts w:asciiTheme="majorBidi" w:hAnsiTheme="majorBidi" w:cstheme="majorBidi"/>
            <w:noProof/>
            <w:webHidden/>
          </w:rPr>
          <w:instrText xml:space="preserve"> PAGEREF _Toc101797041 \h </w:instrText>
        </w:r>
        <w:r w:rsidR="009D1318" w:rsidRPr="009D1318">
          <w:rPr>
            <w:rFonts w:asciiTheme="majorBidi" w:hAnsiTheme="majorBidi" w:cstheme="majorBidi"/>
            <w:noProof/>
            <w:webHidden/>
          </w:rPr>
        </w:r>
        <w:r w:rsidR="009D1318" w:rsidRPr="009D1318">
          <w:rPr>
            <w:rFonts w:asciiTheme="majorBidi" w:hAnsiTheme="majorBidi" w:cstheme="majorBidi"/>
            <w:noProof/>
            <w:webHidden/>
          </w:rPr>
          <w:fldChar w:fldCharType="separate"/>
        </w:r>
        <w:r w:rsidR="00341040">
          <w:rPr>
            <w:rFonts w:asciiTheme="majorBidi" w:hAnsiTheme="majorBidi" w:cstheme="majorBidi"/>
            <w:noProof/>
            <w:webHidden/>
          </w:rPr>
          <w:t>136</w:t>
        </w:r>
        <w:r w:rsidR="009D1318" w:rsidRPr="009D1318">
          <w:rPr>
            <w:rFonts w:asciiTheme="majorBidi" w:hAnsiTheme="majorBidi" w:cstheme="majorBidi"/>
            <w:noProof/>
            <w:webHidden/>
          </w:rPr>
          <w:fldChar w:fldCharType="end"/>
        </w:r>
      </w:hyperlink>
    </w:p>
    <w:p w14:paraId="6E3468CC" w14:textId="51F1DD4B" w:rsidR="009D1318" w:rsidRPr="009D1318" w:rsidRDefault="00785FCB" w:rsidP="006E22BA">
      <w:pPr>
        <w:pStyle w:val="TableofFigures"/>
        <w:tabs>
          <w:tab w:val="right" w:leader="dot" w:pos="8630"/>
        </w:tabs>
        <w:ind w:left="475" w:hanging="475"/>
        <w:rPr>
          <w:rFonts w:asciiTheme="majorBidi" w:eastAsiaTheme="minorEastAsia" w:hAnsiTheme="majorBidi" w:cstheme="majorBidi"/>
          <w:noProof/>
          <w:sz w:val="22"/>
          <w:szCs w:val="22"/>
          <w:lang w:bidi="he-IL"/>
        </w:rPr>
      </w:pPr>
      <w:hyperlink w:anchor="_Toc101797042" w:history="1">
        <w:r w:rsidR="009D1318" w:rsidRPr="009D1318">
          <w:rPr>
            <w:rStyle w:val="Hyperlink"/>
            <w:rFonts w:asciiTheme="majorBidi" w:hAnsiTheme="majorBidi" w:cstheme="majorBidi"/>
            <w:noProof/>
          </w:rPr>
          <w:t>Figure 9: Limping Lucy</w:t>
        </w:r>
        <w:r w:rsidR="009D1318" w:rsidRPr="009D1318">
          <w:rPr>
            <w:rFonts w:asciiTheme="majorBidi" w:hAnsiTheme="majorBidi" w:cstheme="majorBidi"/>
            <w:noProof/>
            <w:webHidden/>
          </w:rPr>
          <w:tab/>
        </w:r>
        <w:r w:rsidR="009D1318" w:rsidRPr="009D1318">
          <w:rPr>
            <w:rFonts w:asciiTheme="majorBidi" w:hAnsiTheme="majorBidi" w:cstheme="majorBidi"/>
            <w:noProof/>
            <w:webHidden/>
          </w:rPr>
          <w:fldChar w:fldCharType="begin"/>
        </w:r>
        <w:r w:rsidR="009D1318" w:rsidRPr="009D1318">
          <w:rPr>
            <w:rFonts w:asciiTheme="majorBidi" w:hAnsiTheme="majorBidi" w:cstheme="majorBidi"/>
            <w:noProof/>
            <w:webHidden/>
          </w:rPr>
          <w:instrText xml:space="preserve"> PAGEREF _Toc101797042 \h </w:instrText>
        </w:r>
        <w:r w:rsidR="009D1318" w:rsidRPr="009D1318">
          <w:rPr>
            <w:rFonts w:asciiTheme="majorBidi" w:hAnsiTheme="majorBidi" w:cstheme="majorBidi"/>
            <w:noProof/>
            <w:webHidden/>
          </w:rPr>
        </w:r>
        <w:r w:rsidR="009D1318" w:rsidRPr="009D1318">
          <w:rPr>
            <w:rFonts w:asciiTheme="majorBidi" w:hAnsiTheme="majorBidi" w:cstheme="majorBidi"/>
            <w:noProof/>
            <w:webHidden/>
          </w:rPr>
          <w:fldChar w:fldCharType="separate"/>
        </w:r>
        <w:r w:rsidR="00341040">
          <w:rPr>
            <w:rFonts w:asciiTheme="majorBidi" w:hAnsiTheme="majorBidi" w:cstheme="majorBidi"/>
            <w:noProof/>
            <w:webHidden/>
          </w:rPr>
          <w:t>146</w:t>
        </w:r>
        <w:r w:rsidR="009D1318" w:rsidRPr="009D1318">
          <w:rPr>
            <w:rFonts w:asciiTheme="majorBidi" w:hAnsiTheme="majorBidi" w:cstheme="majorBidi"/>
            <w:noProof/>
            <w:webHidden/>
          </w:rPr>
          <w:fldChar w:fldCharType="end"/>
        </w:r>
      </w:hyperlink>
    </w:p>
    <w:p w14:paraId="6BA54661" w14:textId="4F166B80" w:rsidR="009D1318" w:rsidRPr="009D1318" w:rsidRDefault="00785FCB" w:rsidP="006E22BA">
      <w:pPr>
        <w:pStyle w:val="TableofFigures"/>
        <w:tabs>
          <w:tab w:val="right" w:leader="dot" w:pos="8630"/>
        </w:tabs>
        <w:ind w:left="475" w:hanging="475"/>
        <w:rPr>
          <w:rFonts w:asciiTheme="majorBidi" w:eastAsiaTheme="minorEastAsia" w:hAnsiTheme="majorBidi" w:cstheme="majorBidi"/>
          <w:noProof/>
          <w:sz w:val="22"/>
          <w:szCs w:val="22"/>
          <w:lang w:bidi="he-IL"/>
        </w:rPr>
      </w:pPr>
      <w:hyperlink w:anchor="_Toc101797043" w:history="1">
        <w:r w:rsidR="009D1318" w:rsidRPr="009D1318">
          <w:rPr>
            <w:rStyle w:val="Hyperlink"/>
            <w:rFonts w:asciiTheme="majorBidi" w:hAnsiTheme="majorBidi" w:cstheme="majorBidi"/>
            <w:noProof/>
          </w:rPr>
          <w:t>Figure 10: Silas Wegg</w:t>
        </w:r>
        <w:r w:rsidR="009D1318" w:rsidRPr="009D1318">
          <w:rPr>
            <w:rFonts w:asciiTheme="majorBidi" w:hAnsiTheme="majorBidi" w:cstheme="majorBidi"/>
            <w:noProof/>
            <w:webHidden/>
          </w:rPr>
          <w:tab/>
        </w:r>
        <w:r w:rsidR="009D1318" w:rsidRPr="009D1318">
          <w:rPr>
            <w:rFonts w:asciiTheme="majorBidi" w:hAnsiTheme="majorBidi" w:cstheme="majorBidi"/>
            <w:noProof/>
            <w:webHidden/>
          </w:rPr>
          <w:fldChar w:fldCharType="begin"/>
        </w:r>
        <w:r w:rsidR="009D1318" w:rsidRPr="009D1318">
          <w:rPr>
            <w:rFonts w:asciiTheme="majorBidi" w:hAnsiTheme="majorBidi" w:cstheme="majorBidi"/>
            <w:noProof/>
            <w:webHidden/>
          </w:rPr>
          <w:instrText xml:space="preserve"> PAGEREF _Toc101797043 \h </w:instrText>
        </w:r>
        <w:r w:rsidR="009D1318" w:rsidRPr="009D1318">
          <w:rPr>
            <w:rFonts w:asciiTheme="majorBidi" w:hAnsiTheme="majorBidi" w:cstheme="majorBidi"/>
            <w:noProof/>
            <w:webHidden/>
          </w:rPr>
        </w:r>
        <w:r w:rsidR="009D1318" w:rsidRPr="009D1318">
          <w:rPr>
            <w:rFonts w:asciiTheme="majorBidi" w:hAnsiTheme="majorBidi" w:cstheme="majorBidi"/>
            <w:noProof/>
            <w:webHidden/>
          </w:rPr>
          <w:fldChar w:fldCharType="separate"/>
        </w:r>
        <w:r w:rsidR="00341040">
          <w:rPr>
            <w:rFonts w:asciiTheme="majorBidi" w:hAnsiTheme="majorBidi" w:cstheme="majorBidi"/>
            <w:noProof/>
            <w:webHidden/>
          </w:rPr>
          <w:t>170</w:t>
        </w:r>
        <w:r w:rsidR="009D1318" w:rsidRPr="009D1318">
          <w:rPr>
            <w:rFonts w:asciiTheme="majorBidi" w:hAnsiTheme="majorBidi" w:cstheme="majorBidi"/>
            <w:noProof/>
            <w:webHidden/>
          </w:rPr>
          <w:fldChar w:fldCharType="end"/>
        </w:r>
      </w:hyperlink>
    </w:p>
    <w:p w14:paraId="3E89E336" w14:textId="344BC656" w:rsidR="009D1318" w:rsidRPr="009D1318" w:rsidRDefault="00785FCB" w:rsidP="006E22BA">
      <w:pPr>
        <w:pStyle w:val="TableofFigures"/>
        <w:tabs>
          <w:tab w:val="right" w:leader="dot" w:pos="8630"/>
        </w:tabs>
        <w:ind w:left="475" w:hanging="475"/>
        <w:rPr>
          <w:rFonts w:asciiTheme="majorBidi" w:eastAsiaTheme="minorEastAsia" w:hAnsiTheme="majorBidi" w:cstheme="majorBidi"/>
          <w:noProof/>
          <w:sz w:val="22"/>
          <w:szCs w:val="22"/>
          <w:lang w:bidi="he-IL"/>
        </w:rPr>
      </w:pPr>
      <w:hyperlink w:anchor="_Toc101797044" w:history="1">
        <w:r w:rsidR="009D1318" w:rsidRPr="009D1318">
          <w:rPr>
            <w:rStyle w:val="Hyperlink"/>
            <w:rFonts w:asciiTheme="majorBidi" w:hAnsiTheme="majorBidi" w:cstheme="majorBidi"/>
            <w:noProof/>
          </w:rPr>
          <w:t>Figure 11: “Synchronised”</w:t>
        </w:r>
        <w:r w:rsidR="009D1318" w:rsidRPr="009D1318">
          <w:rPr>
            <w:rFonts w:asciiTheme="majorBidi" w:hAnsiTheme="majorBidi" w:cstheme="majorBidi"/>
            <w:noProof/>
            <w:webHidden/>
          </w:rPr>
          <w:tab/>
        </w:r>
        <w:r w:rsidR="009D1318" w:rsidRPr="009D1318">
          <w:rPr>
            <w:rFonts w:asciiTheme="majorBidi" w:hAnsiTheme="majorBidi" w:cstheme="majorBidi"/>
            <w:noProof/>
            <w:webHidden/>
          </w:rPr>
          <w:fldChar w:fldCharType="begin"/>
        </w:r>
        <w:r w:rsidR="009D1318" w:rsidRPr="009D1318">
          <w:rPr>
            <w:rFonts w:asciiTheme="majorBidi" w:hAnsiTheme="majorBidi" w:cstheme="majorBidi"/>
            <w:noProof/>
            <w:webHidden/>
          </w:rPr>
          <w:instrText xml:space="preserve"> PAGEREF _Toc101797044 \h </w:instrText>
        </w:r>
        <w:r w:rsidR="009D1318" w:rsidRPr="009D1318">
          <w:rPr>
            <w:rFonts w:asciiTheme="majorBidi" w:hAnsiTheme="majorBidi" w:cstheme="majorBidi"/>
            <w:noProof/>
            <w:webHidden/>
          </w:rPr>
        </w:r>
        <w:r w:rsidR="009D1318" w:rsidRPr="009D1318">
          <w:rPr>
            <w:rFonts w:asciiTheme="majorBidi" w:hAnsiTheme="majorBidi" w:cstheme="majorBidi"/>
            <w:noProof/>
            <w:webHidden/>
          </w:rPr>
          <w:fldChar w:fldCharType="separate"/>
        </w:r>
        <w:r w:rsidR="00341040">
          <w:rPr>
            <w:rFonts w:asciiTheme="majorBidi" w:hAnsiTheme="majorBidi" w:cstheme="majorBidi"/>
            <w:noProof/>
            <w:webHidden/>
          </w:rPr>
          <w:t>179</w:t>
        </w:r>
        <w:r w:rsidR="009D1318" w:rsidRPr="009D1318">
          <w:rPr>
            <w:rFonts w:asciiTheme="majorBidi" w:hAnsiTheme="majorBidi" w:cstheme="majorBidi"/>
            <w:noProof/>
            <w:webHidden/>
          </w:rPr>
          <w:fldChar w:fldCharType="end"/>
        </w:r>
      </w:hyperlink>
    </w:p>
    <w:p w14:paraId="4ADE5EB7" w14:textId="7D021A61" w:rsidR="009D1318" w:rsidRPr="009D1318" w:rsidRDefault="00785FCB" w:rsidP="006E22BA">
      <w:pPr>
        <w:pStyle w:val="TableofFigures"/>
        <w:tabs>
          <w:tab w:val="right" w:leader="dot" w:pos="8630"/>
        </w:tabs>
        <w:ind w:left="475" w:hanging="475"/>
        <w:rPr>
          <w:rFonts w:asciiTheme="majorBidi" w:eastAsiaTheme="minorEastAsia" w:hAnsiTheme="majorBidi" w:cstheme="majorBidi"/>
          <w:noProof/>
          <w:sz w:val="22"/>
          <w:szCs w:val="22"/>
          <w:lang w:bidi="he-IL"/>
        </w:rPr>
      </w:pPr>
      <w:hyperlink w:anchor="_Toc101797045" w:history="1">
        <w:r w:rsidR="009D1318" w:rsidRPr="009D1318">
          <w:rPr>
            <w:rStyle w:val="Hyperlink"/>
            <w:rFonts w:asciiTheme="majorBidi" w:hAnsiTheme="majorBidi" w:cstheme="majorBidi"/>
            <w:noProof/>
          </w:rPr>
          <w:t>Figure 12: “Spike”</w:t>
        </w:r>
        <w:r w:rsidR="009D1318" w:rsidRPr="009D1318">
          <w:rPr>
            <w:rFonts w:asciiTheme="majorBidi" w:hAnsiTheme="majorBidi" w:cstheme="majorBidi"/>
            <w:noProof/>
            <w:webHidden/>
          </w:rPr>
          <w:tab/>
        </w:r>
        <w:r w:rsidR="009D1318" w:rsidRPr="009D1318">
          <w:rPr>
            <w:rFonts w:asciiTheme="majorBidi" w:hAnsiTheme="majorBidi" w:cstheme="majorBidi"/>
            <w:noProof/>
            <w:webHidden/>
          </w:rPr>
          <w:fldChar w:fldCharType="begin"/>
        </w:r>
        <w:r w:rsidR="009D1318" w:rsidRPr="009D1318">
          <w:rPr>
            <w:rFonts w:asciiTheme="majorBidi" w:hAnsiTheme="majorBidi" w:cstheme="majorBidi"/>
            <w:noProof/>
            <w:webHidden/>
          </w:rPr>
          <w:instrText xml:space="preserve"> PAGEREF _Toc101797045 \h </w:instrText>
        </w:r>
        <w:r w:rsidR="009D1318" w:rsidRPr="009D1318">
          <w:rPr>
            <w:rFonts w:asciiTheme="majorBidi" w:hAnsiTheme="majorBidi" w:cstheme="majorBidi"/>
            <w:noProof/>
            <w:webHidden/>
          </w:rPr>
        </w:r>
        <w:r w:rsidR="009D1318" w:rsidRPr="009D1318">
          <w:rPr>
            <w:rFonts w:asciiTheme="majorBidi" w:hAnsiTheme="majorBidi" w:cstheme="majorBidi"/>
            <w:noProof/>
            <w:webHidden/>
          </w:rPr>
          <w:fldChar w:fldCharType="separate"/>
        </w:r>
        <w:r w:rsidR="00341040">
          <w:rPr>
            <w:rFonts w:asciiTheme="majorBidi" w:hAnsiTheme="majorBidi" w:cstheme="majorBidi"/>
            <w:noProof/>
            <w:webHidden/>
          </w:rPr>
          <w:t>179</w:t>
        </w:r>
        <w:r w:rsidR="009D1318" w:rsidRPr="009D1318">
          <w:rPr>
            <w:rFonts w:asciiTheme="majorBidi" w:hAnsiTheme="majorBidi" w:cstheme="majorBidi"/>
            <w:noProof/>
            <w:webHidden/>
          </w:rPr>
          <w:fldChar w:fldCharType="end"/>
        </w:r>
      </w:hyperlink>
    </w:p>
    <w:p w14:paraId="4FE472FD" w14:textId="24109297" w:rsidR="009D1318" w:rsidRPr="009D1318" w:rsidRDefault="00785FCB" w:rsidP="006E22BA">
      <w:pPr>
        <w:pStyle w:val="TableofFigures"/>
        <w:tabs>
          <w:tab w:val="right" w:leader="dot" w:pos="8630"/>
        </w:tabs>
        <w:ind w:left="475" w:hanging="475"/>
        <w:rPr>
          <w:rFonts w:asciiTheme="majorBidi" w:eastAsiaTheme="minorEastAsia" w:hAnsiTheme="majorBidi" w:cstheme="majorBidi"/>
          <w:noProof/>
          <w:sz w:val="22"/>
          <w:szCs w:val="22"/>
          <w:lang w:bidi="he-IL"/>
        </w:rPr>
      </w:pPr>
      <w:hyperlink w:anchor="_Toc101797046" w:history="1">
        <w:r w:rsidR="009D1318" w:rsidRPr="009D1318">
          <w:rPr>
            <w:rStyle w:val="Hyperlink"/>
            <w:rFonts w:asciiTheme="majorBidi" w:hAnsiTheme="majorBidi" w:cstheme="majorBidi"/>
            <w:noProof/>
          </w:rPr>
          <w:t>Figure 13: “Cuckoo”</w:t>
        </w:r>
        <w:r w:rsidR="009D1318" w:rsidRPr="009D1318">
          <w:rPr>
            <w:rFonts w:asciiTheme="majorBidi" w:hAnsiTheme="majorBidi" w:cstheme="majorBidi"/>
            <w:noProof/>
            <w:webHidden/>
          </w:rPr>
          <w:tab/>
        </w:r>
        <w:r w:rsidR="009D1318" w:rsidRPr="009D1318">
          <w:rPr>
            <w:rFonts w:asciiTheme="majorBidi" w:hAnsiTheme="majorBidi" w:cstheme="majorBidi"/>
            <w:noProof/>
            <w:webHidden/>
          </w:rPr>
          <w:fldChar w:fldCharType="begin"/>
        </w:r>
        <w:r w:rsidR="009D1318" w:rsidRPr="009D1318">
          <w:rPr>
            <w:rFonts w:asciiTheme="majorBidi" w:hAnsiTheme="majorBidi" w:cstheme="majorBidi"/>
            <w:noProof/>
            <w:webHidden/>
          </w:rPr>
          <w:instrText xml:space="preserve"> PAGEREF _Toc101797046 \h </w:instrText>
        </w:r>
        <w:r w:rsidR="009D1318" w:rsidRPr="009D1318">
          <w:rPr>
            <w:rFonts w:asciiTheme="majorBidi" w:hAnsiTheme="majorBidi" w:cstheme="majorBidi"/>
            <w:noProof/>
            <w:webHidden/>
          </w:rPr>
        </w:r>
        <w:r w:rsidR="009D1318" w:rsidRPr="009D1318">
          <w:rPr>
            <w:rFonts w:asciiTheme="majorBidi" w:hAnsiTheme="majorBidi" w:cstheme="majorBidi"/>
            <w:noProof/>
            <w:webHidden/>
          </w:rPr>
          <w:fldChar w:fldCharType="separate"/>
        </w:r>
        <w:r w:rsidR="00341040">
          <w:rPr>
            <w:rFonts w:asciiTheme="majorBidi" w:hAnsiTheme="majorBidi" w:cstheme="majorBidi"/>
            <w:noProof/>
            <w:webHidden/>
          </w:rPr>
          <w:t>180</w:t>
        </w:r>
        <w:r w:rsidR="009D1318" w:rsidRPr="009D1318">
          <w:rPr>
            <w:rFonts w:asciiTheme="majorBidi" w:hAnsiTheme="majorBidi" w:cstheme="majorBidi"/>
            <w:noProof/>
            <w:webHidden/>
          </w:rPr>
          <w:fldChar w:fldCharType="end"/>
        </w:r>
      </w:hyperlink>
    </w:p>
    <w:p w14:paraId="0A1C2BF4" w14:textId="33B1AC55" w:rsidR="009D1318" w:rsidRPr="009D1318" w:rsidRDefault="00785FCB" w:rsidP="006E22BA">
      <w:pPr>
        <w:pStyle w:val="TableofFigures"/>
        <w:tabs>
          <w:tab w:val="right" w:leader="dot" w:pos="8630"/>
        </w:tabs>
        <w:ind w:left="475" w:hanging="475"/>
        <w:rPr>
          <w:rFonts w:asciiTheme="majorBidi" w:eastAsiaTheme="minorEastAsia" w:hAnsiTheme="majorBidi" w:cstheme="majorBidi"/>
          <w:noProof/>
          <w:sz w:val="22"/>
          <w:szCs w:val="22"/>
          <w:lang w:bidi="he-IL"/>
        </w:rPr>
      </w:pPr>
      <w:hyperlink w:anchor="_Toc101797047" w:history="1">
        <w:r w:rsidR="009D1318" w:rsidRPr="009D1318">
          <w:rPr>
            <w:rStyle w:val="Hyperlink"/>
            <w:rFonts w:asciiTheme="majorBidi" w:hAnsiTheme="majorBidi" w:cstheme="majorBidi"/>
            <w:noProof/>
          </w:rPr>
          <w:t>Figure 14: “The Third Thumb”</w:t>
        </w:r>
        <w:r w:rsidR="009D1318" w:rsidRPr="009D1318">
          <w:rPr>
            <w:rFonts w:asciiTheme="majorBidi" w:hAnsiTheme="majorBidi" w:cstheme="majorBidi"/>
            <w:noProof/>
            <w:webHidden/>
          </w:rPr>
          <w:tab/>
        </w:r>
        <w:r w:rsidR="009D1318" w:rsidRPr="009D1318">
          <w:rPr>
            <w:rFonts w:asciiTheme="majorBidi" w:hAnsiTheme="majorBidi" w:cstheme="majorBidi"/>
            <w:noProof/>
            <w:webHidden/>
          </w:rPr>
          <w:fldChar w:fldCharType="begin"/>
        </w:r>
        <w:r w:rsidR="009D1318" w:rsidRPr="009D1318">
          <w:rPr>
            <w:rFonts w:asciiTheme="majorBidi" w:hAnsiTheme="majorBidi" w:cstheme="majorBidi"/>
            <w:noProof/>
            <w:webHidden/>
          </w:rPr>
          <w:instrText xml:space="preserve"> PAGEREF _Toc101797047 \h </w:instrText>
        </w:r>
        <w:r w:rsidR="009D1318" w:rsidRPr="009D1318">
          <w:rPr>
            <w:rFonts w:asciiTheme="majorBidi" w:hAnsiTheme="majorBidi" w:cstheme="majorBidi"/>
            <w:noProof/>
            <w:webHidden/>
          </w:rPr>
        </w:r>
        <w:r w:rsidR="009D1318" w:rsidRPr="009D1318">
          <w:rPr>
            <w:rFonts w:asciiTheme="majorBidi" w:hAnsiTheme="majorBidi" w:cstheme="majorBidi"/>
            <w:noProof/>
            <w:webHidden/>
          </w:rPr>
          <w:fldChar w:fldCharType="separate"/>
        </w:r>
        <w:r w:rsidR="00341040">
          <w:rPr>
            <w:rFonts w:asciiTheme="majorBidi" w:hAnsiTheme="majorBidi" w:cstheme="majorBidi"/>
            <w:noProof/>
            <w:webHidden/>
          </w:rPr>
          <w:t>183</w:t>
        </w:r>
        <w:r w:rsidR="009D1318" w:rsidRPr="009D1318">
          <w:rPr>
            <w:rFonts w:asciiTheme="majorBidi" w:hAnsiTheme="majorBidi" w:cstheme="majorBidi"/>
            <w:noProof/>
            <w:webHidden/>
          </w:rPr>
          <w:fldChar w:fldCharType="end"/>
        </w:r>
      </w:hyperlink>
    </w:p>
    <w:p w14:paraId="75CEF386" w14:textId="53C9EA52" w:rsidR="009D1318" w:rsidRPr="009D1318" w:rsidRDefault="00785FCB" w:rsidP="006E22BA">
      <w:pPr>
        <w:pStyle w:val="TableofFigures"/>
        <w:tabs>
          <w:tab w:val="right" w:leader="dot" w:pos="8630"/>
        </w:tabs>
        <w:ind w:left="475" w:hanging="475"/>
        <w:rPr>
          <w:rFonts w:asciiTheme="majorBidi" w:eastAsiaTheme="minorEastAsia" w:hAnsiTheme="majorBidi" w:cstheme="majorBidi"/>
          <w:noProof/>
          <w:sz w:val="22"/>
          <w:szCs w:val="22"/>
          <w:lang w:bidi="he-IL"/>
        </w:rPr>
      </w:pPr>
      <w:hyperlink w:anchor="_Toc101797048" w:history="1">
        <w:r w:rsidR="009D1318" w:rsidRPr="009D1318">
          <w:rPr>
            <w:rStyle w:val="Hyperlink"/>
            <w:rFonts w:asciiTheme="majorBidi" w:hAnsiTheme="majorBidi" w:cstheme="majorBidi"/>
            <w:noProof/>
          </w:rPr>
          <w:t>Figure 15: “Materialise Arm”</w:t>
        </w:r>
        <w:r w:rsidR="009D1318" w:rsidRPr="009D1318">
          <w:rPr>
            <w:rFonts w:asciiTheme="majorBidi" w:hAnsiTheme="majorBidi" w:cstheme="majorBidi"/>
            <w:noProof/>
            <w:webHidden/>
          </w:rPr>
          <w:tab/>
        </w:r>
        <w:r w:rsidR="009D1318" w:rsidRPr="009D1318">
          <w:rPr>
            <w:rFonts w:asciiTheme="majorBidi" w:hAnsiTheme="majorBidi" w:cstheme="majorBidi"/>
            <w:noProof/>
            <w:webHidden/>
          </w:rPr>
          <w:fldChar w:fldCharType="begin"/>
        </w:r>
        <w:r w:rsidR="009D1318" w:rsidRPr="009D1318">
          <w:rPr>
            <w:rFonts w:asciiTheme="majorBidi" w:hAnsiTheme="majorBidi" w:cstheme="majorBidi"/>
            <w:noProof/>
            <w:webHidden/>
          </w:rPr>
          <w:instrText xml:space="preserve"> PAGEREF _Toc101797048 \h </w:instrText>
        </w:r>
        <w:r w:rsidR="009D1318" w:rsidRPr="009D1318">
          <w:rPr>
            <w:rFonts w:asciiTheme="majorBidi" w:hAnsiTheme="majorBidi" w:cstheme="majorBidi"/>
            <w:noProof/>
            <w:webHidden/>
          </w:rPr>
        </w:r>
        <w:r w:rsidR="009D1318" w:rsidRPr="009D1318">
          <w:rPr>
            <w:rFonts w:asciiTheme="majorBidi" w:hAnsiTheme="majorBidi" w:cstheme="majorBidi"/>
            <w:noProof/>
            <w:webHidden/>
          </w:rPr>
          <w:fldChar w:fldCharType="separate"/>
        </w:r>
        <w:r w:rsidR="00341040">
          <w:rPr>
            <w:rFonts w:asciiTheme="majorBidi" w:hAnsiTheme="majorBidi" w:cstheme="majorBidi"/>
            <w:noProof/>
            <w:webHidden/>
          </w:rPr>
          <w:t>183</w:t>
        </w:r>
        <w:r w:rsidR="009D1318" w:rsidRPr="009D1318">
          <w:rPr>
            <w:rFonts w:asciiTheme="majorBidi" w:hAnsiTheme="majorBidi" w:cstheme="majorBidi"/>
            <w:noProof/>
            <w:webHidden/>
          </w:rPr>
          <w:fldChar w:fldCharType="end"/>
        </w:r>
      </w:hyperlink>
    </w:p>
    <w:p w14:paraId="0D146034" w14:textId="1F614B40" w:rsidR="0085757D" w:rsidRPr="002A5475" w:rsidRDefault="004B716E" w:rsidP="004B716E">
      <w:pPr>
        <w:rPr>
          <w:rFonts w:asciiTheme="majorBidi" w:hAnsiTheme="majorBidi" w:cstheme="majorBidi"/>
        </w:rPr>
        <w:sectPr w:rsidR="0085757D" w:rsidRPr="002A5475" w:rsidSect="001D4908">
          <w:footerReference w:type="default" r:id="rId8"/>
          <w:pgSz w:w="12240" w:h="15840" w:code="1"/>
          <w:pgMar w:top="1440" w:right="1800" w:bottom="1872" w:left="1800" w:header="720" w:footer="1440" w:gutter="0"/>
          <w:pgNumType w:fmt="lowerRoman" w:start="1"/>
          <w:cols w:space="720"/>
          <w:noEndnote/>
          <w:titlePg/>
        </w:sectPr>
      </w:pPr>
      <w:r w:rsidRPr="002A5475">
        <w:rPr>
          <w:rFonts w:asciiTheme="majorBidi" w:hAnsiTheme="majorBidi" w:cstheme="majorBidi"/>
        </w:rPr>
        <w:fldChar w:fldCharType="end"/>
      </w:r>
    </w:p>
    <w:p w14:paraId="2FAF00A8" w14:textId="77777777" w:rsidR="00C72240" w:rsidRPr="002A5475" w:rsidRDefault="00526151" w:rsidP="00C85F23">
      <w:pPr>
        <w:pStyle w:val="Heading1"/>
        <w:rPr>
          <w:rFonts w:asciiTheme="majorBidi" w:hAnsiTheme="majorBidi" w:cstheme="majorBidi"/>
        </w:rPr>
      </w:pPr>
      <w:bookmarkStart w:id="2" w:name="_Toc289175819"/>
      <w:bookmarkStart w:id="3" w:name="_Toc96096590"/>
      <w:r w:rsidRPr="002A5475">
        <w:rPr>
          <w:rFonts w:asciiTheme="majorBidi" w:hAnsiTheme="majorBidi" w:cstheme="majorBidi"/>
        </w:rPr>
        <w:lastRenderedPageBreak/>
        <w:t>INTRODUCTION</w:t>
      </w:r>
      <w:bookmarkEnd w:id="2"/>
      <w:bookmarkEnd w:id="3"/>
      <w:r w:rsidR="00EE334C" w:rsidRPr="002A5475">
        <w:rPr>
          <w:rFonts w:asciiTheme="majorBidi" w:hAnsiTheme="majorBidi" w:cstheme="majorBidi"/>
        </w:rPr>
        <w:t xml:space="preserve"> </w:t>
      </w:r>
    </w:p>
    <w:p w14:paraId="17E35919" w14:textId="77777777" w:rsidR="00584F97" w:rsidRPr="00584F97" w:rsidRDefault="00584F97" w:rsidP="00584F97">
      <w:pPr>
        <w:jc w:val="center"/>
        <w:rPr>
          <w:rFonts w:asciiTheme="majorBidi" w:eastAsia="Calibri" w:hAnsiTheme="majorBidi" w:cstheme="majorBidi"/>
          <w:color w:val="333333"/>
          <w:shd w:val="clear" w:color="auto" w:fill="FFFFFF"/>
        </w:rPr>
      </w:pPr>
      <w:bookmarkStart w:id="4" w:name="_Toc289175825"/>
      <w:r w:rsidRPr="00584F97">
        <w:rPr>
          <w:rFonts w:asciiTheme="majorBidi" w:eastAsia="Calibri" w:hAnsiTheme="majorBidi" w:cstheme="majorBidi"/>
        </w:rPr>
        <w:t>Prosthesis (</w:t>
      </w:r>
      <w:r w:rsidRPr="00584F97">
        <w:rPr>
          <w:rFonts w:asciiTheme="majorBidi" w:eastAsia="Calibri" w:hAnsiTheme="majorBidi" w:cstheme="majorBidi"/>
          <w:i/>
          <w:iCs/>
        </w:rPr>
        <w:t>pros’-thes-is</w:t>
      </w:r>
      <w:r w:rsidRPr="00584F97">
        <w:rPr>
          <w:rFonts w:asciiTheme="majorBidi" w:eastAsia="Calibri" w:hAnsiTheme="majorBidi" w:cstheme="majorBidi"/>
        </w:rPr>
        <w:t xml:space="preserve">) </w:t>
      </w:r>
      <w:r w:rsidRPr="00584F97">
        <w:rPr>
          <w:rFonts w:asciiTheme="majorBidi" w:eastAsia="Calibri" w:hAnsiTheme="majorBidi" w:cstheme="majorBidi"/>
          <w:i/>
          <w:iCs/>
          <w:color w:val="333333"/>
          <w:shd w:val="clear" w:color="auto" w:fill="FFFFFF"/>
        </w:rPr>
        <w:t>προς-</w:t>
      </w:r>
      <w:r w:rsidRPr="00584F97">
        <w:rPr>
          <w:rFonts w:asciiTheme="majorBidi" w:eastAsia="Calibri" w:hAnsiTheme="majorBidi" w:cstheme="majorBidi"/>
          <w:color w:val="333333"/>
          <w:shd w:val="clear" w:color="auto" w:fill="FFFFFF"/>
        </w:rPr>
        <w:t xml:space="preserve"> to; </w:t>
      </w:r>
      <w:r w:rsidRPr="00584F97">
        <w:rPr>
          <w:rFonts w:asciiTheme="majorBidi" w:eastAsia="Calibri" w:hAnsiTheme="majorBidi" w:cstheme="majorBidi"/>
          <w:i/>
          <w:iCs/>
          <w:color w:val="333333"/>
          <w:shd w:val="clear" w:color="auto" w:fill="FFFFFF"/>
        </w:rPr>
        <w:t>θέσις</w:t>
      </w:r>
      <w:r w:rsidRPr="00584F97">
        <w:rPr>
          <w:rFonts w:asciiTheme="majorBidi" w:eastAsia="Calibri" w:hAnsiTheme="majorBidi" w:cstheme="majorBidi"/>
          <w:color w:val="333333"/>
          <w:shd w:val="clear" w:color="auto" w:fill="FFFFFF"/>
        </w:rPr>
        <w:t> placing (put or add)</w:t>
      </w:r>
    </w:p>
    <w:p w14:paraId="07DDE023" w14:textId="77777777" w:rsidR="00584F97" w:rsidRPr="00584F97" w:rsidRDefault="00584F97" w:rsidP="00584F97">
      <w:pPr>
        <w:jc w:val="center"/>
        <w:rPr>
          <w:rFonts w:asciiTheme="majorBidi" w:eastAsia="Calibri" w:hAnsiTheme="majorBidi" w:cstheme="majorBidi"/>
          <w:color w:val="333333"/>
          <w:shd w:val="clear" w:color="auto" w:fill="FFFFFF"/>
        </w:rPr>
      </w:pPr>
    </w:p>
    <w:p w14:paraId="65EC6033" w14:textId="77777777" w:rsidR="00584F97" w:rsidRPr="00584F97" w:rsidRDefault="00584F97" w:rsidP="00584F97">
      <w:pPr>
        <w:jc w:val="center"/>
        <w:rPr>
          <w:rFonts w:asciiTheme="majorBidi" w:eastAsia="Calibri" w:hAnsiTheme="majorBidi" w:cstheme="majorBidi"/>
          <w:color w:val="333333"/>
          <w:shd w:val="clear" w:color="auto" w:fill="FFFFFF"/>
        </w:rPr>
      </w:pPr>
      <w:r w:rsidRPr="00584F97">
        <w:rPr>
          <w:rFonts w:asciiTheme="majorBidi" w:eastAsia="Calibri" w:hAnsiTheme="majorBidi" w:cstheme="majorBidi"/>
          <w:color w:val="333333"/>
          <w:shd w:val="clear" w:color="auto" w:fill="FFFFFF"/>
        </w:rPr>
        <w:t>“The crippled gentleman flew into a furious rage with me for presuming to touch his chair. ‘My chair is Me,’ he said: ‘how dare you lay hands on Me?’”</w:t>
      </w:r>
    </w:p>
    <w:p w14:paraId="6722B479" w14:textId="39D486E0" w:rsidR="00584F97" w:rsidRPr="002A5475" w:rsidRDefault="00584F97" w:rsidP="00584F97">
      <w:pPr>
        <w:jc w:val="right"/>
        <w:rPr>
          <w:rFonts w:asciiTheme="majorBidi" w:eastAsia="Calibri" w:hAnsiTheme="majorBidi" w:cstheme="majorBidi"/>
        </w:rPr>
      </w:pPr>
      <w:r w:rsidRPr="00584F97">
        <w:rPr>
          <w:rFonts w:asciiTheme="majorBidi" w:eastAsia="Calibri" w:hAnsiTheme="majorBidi" w:cstheme="majorBidi"/>
          <w:color w:val="333333"/>
          <w:shd w:val="clear" w:color="auto" w:fill="FFFFFF"/>
        </w:rPr>
        <w:t xml:space="preserve">Wilkie Collins, </w:t>
      </w:r>
      <w:r w:rsidRPr="00584F97">
        <w:rPr>
          <w:rFonts w:asciiTheme="majorBidi" w:eastAsia="Calibri" w:hAnsiTheme="majorBidi" w:cstheme="majorBidi"/>
          <w:i/>
          <w:iCs/>
          <w:color w:val="333333"/>
          <w:shd w:val="clear" w:color="auto" w:fill="FFFFFF"/>
        </w:rPr>
        <w:t>The Law and the Lady</w:t>
      </w:r>
    </w:p>
    <w:p w14:paraId="2947238E" w14:textId="292BD2CF" w:rsidR="00584F97" w:rsidRPr="002A5475" w:rsidRDefault="00584F97" w:rsidP="00584F97">
      <w:pPr>
        <w:jc w:val="right"/>
        <w:rPr>
          <w:rFonts w:asciiTheme="majorBidi" w:eastAsia="Calibri" w:hAnsiTheme="majorBidi" w:cstheme="majorBidi"/>
        </w:rPr>
      </w:pPr>
    </w:p>
    <w:p w14:paraId="114308F9" w14:textId="77777777" w:rsidR="00584F97" w:rsidRPr="00584F97" w:rsidRDefault="00584F97" w:rsidP="00584F97">
      <w:pPr>
        <w:jc w:val="right"/>
        <w:rPr>
          <w:rFonts w:asciiTheme="majorBidi" w:eastAsia="Calibri" w:hAnsiTheme="majorBidi" w:cstheme="majorBidi"/>
        </w:rPr>
      </w:pPr>
    </w:p>
    <w:p w14:paraId="397271B4" w14:textId="51682F09" w:rsidR="00584F97" w:rsidRPr="00584F97" w:rsidRDefault="00584F97" w:rsidP="00584F97">
      <w:pPr>
        <w:spacing w:line="480" w:lineRule="auto"/>
        <w:rPr>
          <w:rFonts w:asciiTheme="majorBidi" w:eastAsia="Calibri" w:hAnsiTheme="majorBidi" w:cstheme="majorBidi"/>
          <w:szCs w:val="22"/>
        </w:rPr>
      </w:pPr>
      <w:r w:rsidRPr="00584F97">
        <w:rPr>
          <w:rFonts w:asciiTheme="majorBidi" w:eastAsia="Calibri" w:hAnsiTheme="majorBidi" w:cstheme="majorBidi"/>
          <w:szCs w:val="22"/>
        </w:rPr>
        <w:tab/>
        <w:t>In 1967, the Supreme Court of Texas suggested that the integrity of the human body may depend on objects that are apparently separate from it. More specifically, they ruled that the intentional snatching of an object from one’s body constituted “an offensive invasion of his person as would be an actual contact with the body” (</w:t>
      </w:r>
      <w:r w:rsidRPr="00584F97">
        <w:rPr>
          <w:rFonts w:asciiTheme="majorBidi" w:eastAsia="Calibri" w:hAnsiTheme="majorBidi" w:cstheme="majorBidi"/>
          <w:i/>
          <w:iCs/>
          <w:szCs w:val="22"/>
        </w:rPr>
        <w:t>Fisher v. Carrousel Motor Hotel, Inc.</w:t>
      </w:r>
      <w:r w:rsidRPr="00584F97">
        <w:rPr>
          <w:rFonts w:asciiTheme="majorBidi" w:eastAsia="Calibri" w:hAnsiTheme="majorBidi" w:cstheme="majorBidi"/>
          <w:szCs w:val="22"/>
        </w:rPr>
        <w:t xml:space="preserve">, 424 S.W.2d 627). </w:t>
      </w:r>
      <w:r w:rsidRPr="00584F97">
        <w:rPr>
          <w:rFonts w:asciiTheme="majorBidi" w:eastAsia="Calibri" w:hAnsiTheme="majorBidi" w:cstheme="majorBidi"/>
          <w:i/>
          <w:iCs/>
          <w:szCs w:val="22"/>
        </w:rPr>
        <w:t>Fisher v. Carrousel Motor Hotel, Inc.</w:t>
      </w:r>
      <w:r w:rsidRPr="00584F97">
        <w:rPr>
          <w:rFonts w:asciiTheme="majorBidi" w:eastAsia="Calibri" w:hAnsiTheme="majorBidi" w:cstheme="majorBidi"/>
          <w:szCs w:val="22"/>
        </w:rPr>
        <w:t xml:space="preserve"> became a landmark case, largely due to the court’s interpretation of “battery” as a tort concerned not only with actual physical harm, but also with personal space and dignity. The plaintiff, Emmit Fisher, was a black mathematician working with a division of NASA who accepted an invitation to a meeting (regarding telemetry equipment) at the Carrousel. While Fisher stood in line for the luncheon buffet, Robert Flynn, an employee of the defendant, snatched Fisher’s plate out of his hands and shouted that he, “a Negro,” could not be served in the club. Fisher testified that he was never touched, and the Court of Civil Appeals ruled in favor of the defendant (reversing the lower court’s decision), holding that “there was no assault because there was no physical contact and no evidence of fear or apprehension of physical contact.”</w:t>
      </w:r>
      <w:r w:rsidRPr="00584F97">
        <w:rPr>
          <w:rFonts w:asciiTheme="majorBidi" w:eastAsia="Calibri" w:hAnsiTheme="majorBidi" w:cstheme="majorBidi"/>
          <w:szCs w:val="22"/>
          <w:vertAlign w:val="superscript"/>
        </w:rPr>
        <w:footnoteReference w:id="1"/>
      </w:r>
      <w:r w:rsidRPr="00584F97">
        <w:rPr>
          <w:rFonts w:asciiTheme="majorBidi" w:eastAsia="Calibri" w:hAnsiTheme="majorBidi" w:cstheme="majorBidi"/>
          <w:szCs w:val="22"/>
        </w:rPr>
        <w:t xml:space="preserve"> On appeal, though, the Supreme Court of Texas flipped this supposition on its head, distilling the notions of battery and the body: “there can be a battery without an assault, and . . . actual physical contact is not necessary to constitute a battery, so long </w:t>
      </w:r>
      <w:r w:rsidRPr="00584F97">
        <w:rPr>
          <w:rFonts w:asciiTheme="majorBidi" w:eastAsia="Calibri" w:hAnsiTheme="majorBidi" w:cstheme="majorBidi"/>
          <w:szCs w:val="22"/>
        </w:rPr>
        <w:lastRenderedPageBreak/>
        <w:t xml:space="preserve">as there is contact with clothing or an object closely identified with the body.” In his judgment, Justice Greenhill cites Prosser’s </w:t>
      </w:r>
      <w:r w:rsidRPr="00584F97">
        <w:rPr>
          <w:rFonts w:asciiTheme="majorBidi" w:eastAsia="Calibri" w:hAnsiTheme="majorBidi" w:cstheme="majorBidi"/>
          <w:i/>
          <w:iCs/>
          <w:szCs w:val="22"/>
        </w:rPr>
        <w:t>Law of Torts</w:t>
      </w:r>
      <w:r w:rsidRPr="00584F97">
        <w:rPr>
          <w:rFonts w:asciiTheme="majorBidi" w:eastAsia="Calibri" w:hAnsiTheme="majorBidi" w:cstheme="majorBidi"/>
          <w:szCs w:val="22"/>
        </w:rPr>
        <w:t xml:space="preserve"> (3</w:t>
      </w:r>
      <w:r w:rsidRPr="00584F97">
        <w:rPr>
          <w:rFonts w:asciiTheme="majorBidi" w:eastAsia="Calibri" w:hAnsiTheme="majorBidi" w:cstheme="majorBidi"/>
          <w:szCs w:val="22"/>
          <w:vertAlign w:val="superscript"/>
        </w:rPr>
        <w:t>rd</w:t>
      </w:r>
      <w:r w:rsidRPr="00584F97">
        <w:rPr>
          <w:rFonts w:asciiTheme="majorBidi" w:eastAsia="Calibri" w:hAnsiTheme="majorBidi" w:cstheme="majorBidi"/>
          <w:szCs w:val="22"/>
        </w:rPr>
        <w:t xml:space="preserve"> </w:t>
      </w:r>
      <w:r w:rsidR="009C2B27">
        <w:rPr>
          <w:rFonts w:asciiTheme="majorBidi" w:eastAsia="Calibri" w:hAnsiTheme="majorBidi" w:cstheme="majorBidi"/>
          <w:szCs w:val="22"/>
        </w:rPr>
        <w:t>e</w:t>
      </w:r>
      <w:r w:rsidRPr="00584F97">
        <w:rPr>
          <w:rFonts w:asciiTheme="majorBidi" w:eastAsia="Calibri" w:hAnsiTheme="majorBidi" w:cstheme="majorBidi"/>
          <w:szCs w:val="22"/>
        </w:rPr>
        <w:t xml:space="preserve">d., 1964), explaining, “The plaintiff’s interest in the integrity of his person includes all those things which are in contact or connected with it.” There are some things, Greenhill writes, referencing the </w:t>
      </w:r>
      <w:r w:rsidRPr="00584F97">
        <w:rPr>
          <w:rFonts w:asciiTheme="majorBidi" w:eastAsia="Calibri" w:hAnsiTheme="majorBidi" w:cstheme="majorBidi"/>
          <w:i/>
          <w:iCs/>
          <w:szCs w:val="22"/>
        </w:rPr>
        <w:t>Restatement of Torts</w:t>
      </w:r>
      <w:r w:rsidRPr="00584F97">
        <w:rPr>
          <w:rFonts w:asciiTheme="majorBidi" w:eastAsia="Calibri" w:hAnsiTheme="majorBidi" w:cstheme="majorBidi"/>
          <w:szCs w:val="22"/>
        </w:rPr>
        <w:t>, that are “so intimately connected with one’s body as to be universally regarded as part of the person.”</w:t>
      </w:r>
      <w:r w:rsidRPr="00584F97">
        <w:rPr>
          <w:rFonts w:asciiTheme="majorBidi" w:eastAsia="Calibri" w:hAnsiTheme="majorBidi" w:cstheme="majorBidi"/>
          <w:szCs w:val="22"/>
          <w:vertAlign w:val="superscript"/>
        </w:rPr>
        <w:footnoteReference w:id="2"/>
      </w:r>
      <w:r w:rsidRPr="00584F97">
        <w:rPr>
          <w:rFonts w:asciiTheme="majorBidi" w:eastAsia="Calibri" w:hAnsiTheme="majorBidi" w:cstheme="majorBidi"/>
          <w:szCs w:val="22"/>
        </w:rPr>
        <w:t xml:space="preserve"> Fisher’s person was violated even though Flynn never made contact with his physical body. </w:t>
      </w:r>
    </w:p>
    <w:p w14:paraId="7680E7DF" w14:textId="77777777" w:rsidR="00584F97" w:rsidRPr="00584F97" w:rsidRDefault="00584F97" w:rsidP="00584F97">
      <w:pPr>
        <w:spacing w:line="480" w:lineRule="auto"/>
        <w:ind w:firstLine="720"/>
        <w:rPr>
          <w:rFonts w:asciiTheme="majorBidi" w:eastAsia="Calibri" w:hAnsiTheme="majorBidi" w:cstheme="majorBidi"/>
          <w:szCs w:val="22"/>
        </w:rPr>
      </w:pPr>
      <w:r w:rsidRPr="00584F97">
        <w:rPr>
          <w:rFonts w:asciiTheme="majorBidi" w:eastAsia="Calibri" w:hAnsiTheme="majorBidi" w:cstheme="majorBidi"/>
          <w:szCs w:val="22"/>
        </w:rPr>
        <w:t>The case underscores uneasy questions about the human condition and prosthesis—about the body’s integrity and simultaneous dependence on objects. Could one’s person truly be violated or encroached upon via the dispossession of an object—even in the absence of physical contact? Does the dignity owed to a person extend to objects that are essentially “regarded as part of the person”? The questions, of course, are as practical as they are theoretical. And, remarkably, rather than narrow the definition of “the person” by delimiting the body, the court sought to expand the law’s conception of “the person” by recognizing the abiding nexus of the physical body and material objects.</w:t>
      </w:r>
      <w:r w:rsidRPr="00584F97">
        <w:rPr>
          <w:rFonts w:asciiTheme="majorBidi" w:eastAsia="Calibri" w:hAnsiTheme="majorBidi" w:cstheme="majorBidi"/>
          <w:szCs w:val="22"/>
          <w:vertAlign w:val="superscript"/>
        </w:rPr>
        <w:footnoteReference w:id="3"/>
      </w:r>
      <w:r w:rsidRPr="00584F97">
        <w:rPr>
          <w:rFonts w:asciiTheme="majorBidi" w:eastAsia="Calibri" w:hAnsiTheme="majorBidi" w:cstheme="majorBidi"/>
          <w:szCs w:val="22"/>
        </w:rPr>
        <w:t xml:space="preserve">  But to what can we ascribe this present, “universal” recognition of certain objects as part of a person? How have we come to understand some objects as parts of ourselves? This dissertation looks to the converging medical and literary deployments of prosthesis in nineteenth-century British fiction that, I argue, came to inform our understanding of the human body, and physical disability, as it collided with the prosthetic object. </w:t>
      </w:r>
    </w:p>
    <w:p w14:paraId="4A4C3BEA" w14:textId="77777777" w:rsidR="00584F97" w:rsidRPr="00584F97" w:rsidRDefault="00584F97" w:rsidP="00584F97">
      <w:pPr>
        <w:spacing w:line="480" w:lineRule="auto"/>
        <w:rPr>
          <w:rFonts w:asciiTheme="majorBidi" w:eastAsia="Calibri" w:hAnsiTheme="majorBidi" w:cstheme="majorBidi"/>
          <w:szCs w:val="22"/>
        </w:rPr>
      </w:pPr>
      <w:r w:rsidRPr="00584F97">
        <w:rPr>
          <w:rFonts w:asciiTheme="majorBidi" w:eastAsia="Calibri" w:hAnsiTheme="majorBidi" w:cstheme="majorBidi"/>
          <w:szCs w:val="22"/>
        </w:rPr>
        <w:lastRenderedPageBreak/>
        <w:tab/>
        <w:t>Like many technological innovations in medicine (e.g., vaccines, organ transplants, blood transfusions, in vitro fertilization, prenatal genetic screening), prosthesis has been physically, ethically, and existentially fraught since its inception.</w:t>
      </w:r>
      <w:r w:rsidRPr="00584F97">
        <w:rPr>
          <w:rFonts w:asciiTheme="majorBidi" w:eastAsia="Calibri" w:hAnsiTheme="majorBidi" w:cstheme="majorBidi"/>
          <w:szCs w:val="22"/>
          <w:vertAlign w:val="superscript"/>
        </w:rPr>
        <w:footnoteReference w:id="4"/>
      </w:r>
      <w:r w:rsidRPr="00584F97">
        <w:rPr>
          <w:rFonts w:asciiTheme="majorBidi" w:eastAsia="Calibri" w:hAnsiTheme="majorBidi" w:cstheme="majorBidi"/>
          <w:szCs w:val="22"/>
        </w:rPr>
        <w:t xml:space="preserve"> What began in earnest in the sixteenth century as a series of crude attempts to “fix” or refurbish the human body has evolved into a sharply refined branch of medicine that transects surgery, orthopedics, orthotics, rehabilitation, and biomedical engineering. While modern prosthetics have become highly customizable, the prosthetic devices produced during the clinical fervor of the nineteenth century largely embodied an attempt to arrive at a homogenized human form—to dictate the way the human body should look and function within the material world. As Vanessa Warne argues, artificial limbs exist as “artifacts of a culture and its views on class, industry, technology, and disability” that serve to “remind us that bodies were literally shaped and re-shaped by the material world they occupied” (“Artificial Leg” 33). </w:t>
      </w:r>
    </w:p>
    <w:p w14:paraId="69A35B0B" w14:textId="2C1E63AB" w:rsidR="00584F97" w:rsidRPr="00584F97" w:rsidRDefault="00584F97" w:rsidP="00584F97">
      <w:pPr>
        <w:spacing w:line="480" w:lineRule="auto"/>
        <w:ind w:firstLine="720"/>
        <w:rPr>
          <w:rFonts w:asciiTheme="majorBidi" w:eastAsia="Calibri" w:hAnsiTheme="majorBidi" w:cstheme="majorBidi"/>
          <w:szCs w:val="22"/>
        </w:rPr>
      </w:pPr>
      <w:r w:rsidRPr="00584F97">
        <w:rPr>
          <w:rFonts w:asciiTheme="majorBidi" w:eastAsia="Calibri" w:hAnsiTheme="majorBidi" w:cstheme="majorBidi"/>
          <w:szCs w:val="22"/>
        </w:rPr>
        <w:t>Warne’s commentary on the intersection of disability and prosthesis with other social categories (especially gender and economic class) by nineteenth-century surgeons and authors grows out of broader historical considerations of prosthetics. It also reflects a developing trend in disability studies in the humanities of attending to prosthetics as actual, material objects rather than engaging them purely on the level of metaphor.</w:t>
      </w:r>
      <w:r w:rsidRPr="00584F97">
        <w:rPr>
          <w:rFonts w:asciiTheme="majorBidi" w:eastAsia="Calibri" w:hAnsiTheme="majorBidi" w:cstheme="majorBidi"/>
          <w:szCs w:val="22"/>
          <w:vertAlign w:val="superscript"/>
        </w:rPr>
        <w:footnoteReference w:id="5"/>
      </w:r>
      <w:r w:rsidRPr="00584F97">
        <w:rPr>
          <w:rFonts w:asciiTheme="majorBidi" w:eastAsia="Calibri" w:hAnsiTheme="majorBidi" w:cstheme="majorBidi"/>
          <w:szCs w:val="22"/>
        </w:rPr>
        <w:t xml:space="preserve"> David Wills’s landmark (posthuman) work </w:t>
      </w:r>
      <w:r w:rsidRPr="00584F97">
        <w:rPr>
          <w:rFonts w:asciiTheme="majorBidi" w:eastAsia="Calibri" w:hAnsiTheme="majorBidi" w:cstheme="majorBidi"/>
          <w:szCs w:val="22"/>
        </w:rPr>
        <w:lastRenderedPageBreak/>
        <w:t xml:space="preserve">in </w:t>
      </w:r>
      <w:r w:rsidRPr="00584F97">
        <w:rPr>
          <w:rFonts w:asciiTheme="majorBidi" w:eastAsia="Calibri" w:hAnsiTheme="majorBidi" w:cstheme="majorBidi"/>
          <w:i/>
          <w:iCs/>
          <w:szCs w:val="22"/>
        </w:rPr>
        <w:t>Prosthesis</w:t>
      </w:r>
      <w:r w:rsidRPr="00584F97">
        <w:rPr>
          <w:rFonts w:asciiTheme="majorBidi" w:eastAsia="Calibri" w:hAnsiTheme="majorBidi" w:cstheme="majorBidi"/>
          <w:szCs w:val="22"/>
        </w:rPr>
        <w:t xml:space="preserve"> (1995) represents an early theoretical challenge to the animate-inanimate divide associated with artificial supplementation and the human body, while Katherine Ott, David Serlin, and Stephen Mihm’s </w:t>
      </w:r>
      <w:r w:rsidRPr="00584F97">
        <w:rPr>
          <w:rFonts w:asciiTheme="majorBidi" w:eastAsia="Calibri" w:hAnsiTheme="majorBidi" w:cstheme="majorBidi"/>
          <w:i/>
          <w:iCs/>
          <w:szCs w:val="22"/>
        </w:rPr>
        <w:t>Artificial Parts, Practical Lives: Modern Histories of Prosthetics</w:t>
      </w:r>
      <w:r w:rsidRPr="00584F97">
        <w:rPr>
          <w:rFonts w:asciiTheme="majorBidi" w:eastAsia="Calibri" w:hAnsiTheme="majorBidi" w:cstheme="majorBidi"/>
          <w:szCs w:val="22"/>
        </w:rPr>
        <w:t xml:space="preserve"> (2002) delves into the cultural ideologies and biopolitics reflected in the evolution of prosthetics. Claire L. Jones and the contributors to </w:t>
      </w:r>
      <w:r w:rsidRPr="00584F97">
        <w:rPr>
          <w:rFonts w:asciiTheme="majorBidi" w:eastAsia="Calibri" w:hAnsiTheme="majorBidi" w:cstheme="majorBidi"/>
          <w:i/>
          <w:iCs/>
          <w:szCs w:val="22"/>
        </w:rPr>
        <w:t xml:space="preserve">Rethinking modern prostheses in Anglo-American commodity cultures, 1820-1939 </w:t>
      </w:r>
      <w:r w:rsidRPr="00584F97">
        <w:rPr>
          <w:rFonts w:asciiTheme="majorBidi" w:eastAsia="Calibri" w:hAnsiTheme="majorBidi" w:cstheme="majorBidi"/>
          <w:szCs w:val="22"/>
        </w:rPr>
        <w:t>(2017), too, have expanded on the social norms and prosthetic technology that informed disabled identity through the late modern period on either side of the Atlantic. This growing fascination with nineteenth-century prostheses</w:t>
      </w:r>
      <w:r w:rsidR="005E4637">
        <w:rPr>
          <w:rFonts w:asciiTheme="majorBidi" w:eastAsia="Calibri" w:hAnsiTheme="majorBidi" w:cstheme="majorBidi"/>
          <w:szCs w:val="22"/>
        </w:rPr>
        <w:t xml:space="preserve">, </w:t>
      </w:r>
      <w:r w:rsidRPr="00584F97">
        <w:rPr>
          <w:rFonts w:asciiTheme="majorBidi" w:eastAsia="Calibri" w:hAnsiTheme="majorBidi" w:cstheme="majorBidi"/>
          <w:szCs w:val="22"/>
        </w:rPr>
        <w:t xml:space="preserve">as actual and literary </w:t>
      </w:r>
      <w:r w:rsidRPr="00584F97">
        <w:rPr>
          <w:rFonts w:asciiTheme="majorBidi" w:eastAsia="Calibri" w:hAnsiTheme="majorBidi" w:cstheme="majorBidi"/>
          <w:szCs w:val="22"/>
        </w:rPr>
        <w:lastRenderedPageBreak/>
        <w:t>objects</w:t>
      </w:r>
      <w:r w:rsidR="005E4637">
        <w:rPr>
          <w:rFonts w:asciiTheme="majorBidi" w:eastAsia="Calibri" w:hAnsiTheme="majorBidi" w:cstheme="majorBidi"/>
          <w:szCs w:val="22"/>
        </w:rPr>
        <w:t>,</w:t>
      </w:r>
      <w:r w:rsidRPr="00584F97">
        <w:rPr>
          <w:rFonts w:asciiTheme="majorBidi" w:eastAsia="Calibri" w:hAnsiTheme="majorBidi" w:cstheme="majorBidi"/>
          <w:szCs w:val="22"/>
        </w:rPr>
        <w:t xml:space="preserve"> has been echoed by many in the disability studies field who have long grappled with the normative implications of prosthesis. Recently, Ryan Sweet’s capacious historiography of prosthesis in the nineteenth century, </w:t>
      </w:r>
      <w:r w:rsidRPr="00584F97">
        <w:rPr>
          <w:rFonts w:asciiTheme="majorBidi" w:eastAsia="Calibri" w:hAnsiTheme="majorBidi" w:cstheme="majorBidi"/>
          <w:i/>
          <w:iCs/>
          <w:szCs w:val="22"/>
        </w:rPr>
        <w:t>Prosthetic Body Parts in Nineteenth-Century Literature and Culture</w:t>
      </w:r>
      <w:r w:rsidRPr="00584F97">
        <w:rPr>
          <w:rFonts w:asciiTheme="majorBidi" w:eastAsia="Calibri" w:hAnsiTheme="majorBidi" w:cstheme="majorBidi"/>
          <w:szCs w:val="22"/>
        </w:rPr>
        <w:t xml:space="preserve"> (2022), has parsed the (largely financial) privilege of disabled passing and the challenge prostheses posed to normative notions of organic physical “wholeness.” This branch of</w:t>
      </w:r>
      <w:r w:rsidR="00F65069">
        <w:rPr>
          <w:rFonts w:asciiTheme="majorBidi" w:eastAsia="Calibri" w:hAnsiTheme="majorBidi" w:cstheme="majorBidi"/>
          <w:szCs w:val="22"/>
        </w:rPr>
        <w:t xml:space="preserve"> </w:t>
      </w:r>
      <w:r w:rsidRPr="00584F97">
        <w:rPr>
          <w:rFonts w:asciiTheme="majorBidi" w:eastAsia="Calibri" w:hAnsiTheme="majorBidi" w:cstheme="majorBidi"/>
          <w:szCs w:val="22"/>
        </w:rPr>
        <w:t>disability studies</w:t>
      </w:r>
      <w:r w:rsidR="00F65069">
        <w:rPr>
          <w:rFonts w:asciiTheme="majorBidi" w:eastAsia="Calibri" w:hAnsiTheme="majorBidi" w:cstheme="majorBidi"/>
          <w:szCs w:val="22"/>
        </w:rPr>
        <w:t xml:space="preserve"> </w:t>
      </w:r>
      <w:r w:rsidRPr="00584F97">
        <w:rPr>
          <w:rFonts w:asciiTheme="majorBidi" w:eastAsia="Calibri" w:hAnsiTheme="majorBidi" w:cstheme="majorBidi"/>
          <w:szCs w:val="22"/>
        </w:rPr>
        <w:t>approach to Victorian literature and culture centers on inquiries into the history, function, and significance of prosthetics as artificial, material responses to physical difference.</w:t>
      </w:r>
    </w:p>
    <w:p w14:paraId="3AE8A96F" w14:textId="77777777" w:rsidR="00584F97" w:rsidRPr="00584F97" w:rsidRDefault="00584F97" w:rsidP="00584F97">
      <w:pPr>
        <w:spacing w:line="480" w:lineRule="auto"/>
        <w:ind w:firstLine="720"/>
        <w:rPr>
          <w:rFonts w:asciiTheme="majorBidi" w:eastAsia="Calibri" w:hAnsiTheme="majorBidi" w:cstheme="majorBidi"/>
          <w:szCs w:val="22"/>
        </w:rPr>
      </w:pPr>
      <w:bookmarkStart w:id="5" w:name="_Hlk101817687"/>
      <w:r w:rsidRPr="00584F97">
        <w:rPr>
          <w:rFonts w:asciiTheme="majorBidi" w:eastAsia="Calibri" w:hAnsiTheme="majorBidi" w:cstheme="majorBidi"/>
          <w:szCs w:val="22"/>
        </w:rPr>
        <w:t xml:space="preserve">My own work intervenes in critical readings of Victorian literature centered on disability studies by attending to the prosthetic object and prosthetic body not only as the dual products of medicine and art, but also as catalytic elements of fiction and culture. </w:t>
      </w:r>
      <w:bookmarkEnd w:id="5"/>
      <w:r w:rsidRPr="00584F97">
        <w:rPr>
          <w:rFonts w:asciiTheme="majorBidi" w:eastAsia="Calibri" w:hAnsiTheme="majorBidi" w:cstheme="majorBidi"/>
          <w:szCs w:val="22"/>
        </w:rPr>
        <w:t>The prosthetic object in the Victorian novel, I argue, is not solely mimetic; it is also productive.</w:t>
      </w:r>
      <w:r w:rsidRPr="00584F97">
        <w:rPr>
          <w:rFonts w:asciiTheme="majorBidi" w:eastAsia="Calibri" w:hAnsiTheme="majorBidi" w:cstheme="majorBidi"/>
          <w:szCs w:val="22"/>
          <w:vertAlign w:val="superscript"/>
        </w:rPr>
        <w:footnoteReference w:id="6"/>
      </w:r>
      <w:r w:rsidRPr="00584F97">
        <w:rPr>
          <w:rFonts w:asciiTheme="majorBidi" w:eastAsia="Calibri" w:hAnsiTheme="majorBidi" w:cstheme="majorBidi"/>
          <w:szCs w:val="22"/>
        </w:rPr>
        <w:t xml:space="preserve"> In a medical context, prosthesis tends to produce or reinforce disability as a discursive category. In the context of the novel, however, prosthetic ekphrasis—by which I mean the artistic translation of the prosthetic object—allows for the reworking of the human body via the imaginative re-production of artificial extension. These prosthetic objects possess the capacity to complicate or undermine the categorical notions of bodily normativity or defect they appear to represent or reinforce. (Though, certainly, prosthetics do not function in the same way or on the same register every time they appear in fiction.) Ultimately, I aim to demonstrate how, as a narrative tool and work of art—as an aesthetic, rather than sheerly pathological, device—the prosthetic object in </w:t>
      </w:r>
      <w:r w:rsidRPr="00584F97">
        <w:rPr>
          <w:rFonts w:asciiTheme="majorBidi" w:eastAsia="Calibri" w:hAnsiTheme="majorBidi" w:cstheme="majorBidi"/>
          <w:szCs w:val="22"/>
        </w:rPr>
        <w:lastRenderedPageBreak/>
        <w:t>nineteenth-century fiction comes to re-make the human body and reconfigure modes of characterization in the novel.</w:t>
      </w:r>
    </w:p>
    <w:p w14:paraId="0AB8EB82" w14:textId="77777777" w:rsidR="00584F97" w:rsidRPr="00584F97" w:rsidRDefault="00584F97" w:rsidP="00584F97">
      <w:pPr>
        <w:spacing w:line="480" w:lineRule="auto"/>
        <w:ind w:firstLine="720"/>
        <w:rPr>
          <w:rFonts w:asciiTheme="majorBidi" w:eastAsia="Calibri" w:hAnsiTheme="majorBidi" w:cstheme="majorBidi"/>
          <w:szCs w:val="22"/>
        </w:rPr>
      </w:pPr>
      <w:r w:rsidRPr="00584F97">
        <w:rPr>
          <w:rFonts w:asciiTheme="majorBidi" w:eastAsia="Calibri" w:hAnsiTheme="majorBidi" w:cstheme="majorBidi"/>
          <w:szCs w:val="22"/>
        </w:rPr>
        <w:t xml:space="preserve">While nineteenth-century physicians and prosthetists explored the reaches of medical technology to reform human physiology, Victorian authors navigated the mass comingling of bodies and objects in the burgeoning novel form to recast human character. The long nineteenth century, then, witnessed the surge of medical intervention and technological innovation as they converged with the literary revolution manifested in the novel, effectively forcing a popular reevaluation of the human body as it aligned with or diverged from other bodies. This convergence established physiological norms and deviances—classes of physical ability and disability repeatedly reduplicated in popular works of fiction—that continue to color our perception of the human well into the twenty-first century. </w:t>
      </w:r>
    </w:p>
    <w:p w14:paraId="732F8814" w14:textId="77777777" w:rsidR="00584F97" w:rsidRPr="00584F97" w:rsidRDefault="00584F97" w:rsidP="00584F97">
      <w:pPr>
        <w:spacing w:line="480" w:lineRule="auto"/>
        <w:ind w:firstLine="720"/>
        <w:rPr>
          <w:rFonts w:asciiTheme="majorBidi" w:eastAsia="Calibri" w:hAnsiTheme="majorBidi" w:cstheme="majorBidi"/>
          <w:szCs w:val="22"/>
        </w:rPr>
      </w:pPr>
      <w:r w:rsidRPr="00584F97">
        <w:rPr>
          <w:rFonts w:asciiTheme="majorBidi" w:eastAsia="Calibri" w:hAnsiTheme="majorBidi" w:cstheme="majorBidi"/>
          <w:szCs w:val="22"/>
        </w:rPr>
        <w:t>This dissertation assumes a two-pronged tack, one that attends both to formal and historical developments. In examining the artistic translation of the prosthetic object in the nineteenth-century novel, I aim to chart the effect object-augmented characterization had on the emerging social category of disability—how the simultaneous shifts in narrative fiction and medical technology in nineteenth-century Britain resulted in overlapping, reciprocal innovations in both fields. As</w:t>
      </w:r>
      <w:bookmarkStart w:id="6" w:name="_Hlk101817874"/>
      <w:r w:rsidRPr="00584F97">
        <w:rPr>
          <w:rFonts w:asciiTheme="majorBidi" w:eastAsia="Calibri" w:hAnsiTheme="majorBidi" w:cstheme="majorBidi"/>
          <w:szCs w:val="22"/>
        </w:rPr>
        <w:t xml:space="preserve"> prosthetics reshaped and reimagined the human body as an entity entangled with and enhanced by objects, </w:t>
      </w:r>
      <w:bookmarkEnd w:id="6"/>
      <w:r w:rsidRPr="00584F97">
        <w:rPr>
          <w:rFonts w:asciiTheme="majorBidi" w:eastAsia="Calibri" w:hAnsiTheme="majorBidi" w:cstheme="majorBidi"/>
          <w:szCs w:val="22"/>
        </w:rPr>
        <w:t xml:space="preserve">literary fiction followed suit. The appearance of prosthetics in the Victorian novel presented authors with a new and increasingly complex register for engaging with the increasingly visible and diverse spectrum of bodies that peopled Victorian Britain. At the same time, the abundance and plasticity of prosthetic objects—as material, artistic, and symbolic technologies—also challenged authors to navigate new ways of representing the human body. In a narrative form preoccupied with characterization, social exchange, and radical </w:t>
      </w:r>
      <w:r w:rsidRPr="00584F97">
        <w:rPr>
          <w:rFonts w:asciiTheme="majorBidi" w:eastAsia="Calibri" w:hAnsiTheme="majorBidi" w:cstheme="majorBidi"/>
          <w:szCs w:val="22"/>
        </w:rPr>
        <w:lastRenderedPageBreak/>
        <w:t xml:space="preserve">materialism, authors could no longer represent people, especially those with disabilities, as wholly separate from assistive technology. </w:t>
      </w:r>
    </w:p>
    <w:p w14:paraId="01846DC4" w14:textId="1EAF0276" w:rsidR="00584F97" w:rsidRPr="00584F97" w:rsidRDefault="00584F97" w:rsidP="00584F97">
      <w:pPr>
        <w:spacing w:line="480" w:lineRule="auto"/>
        <w:ind w:firstLine="720"/>
        <w:rPr>
          <w:rFonts w:asciiTheme="majorBidi" w:eastAsia="Calibri" w:hAnsiTheme="majorBidi" w:cstheme="majorBidi"/>
          <w:szCs w:val="22"/>
        </w:rPr>
      </w:pPr>
      <w:r w:rsidRPr="00584F97">
        <w:rPr>
          <w:rFonts w:asciiTheme="majorBidi" w:eastAsia="Calibri" w:hAnsiTheme="majorBidi" w:cstheme="majorBidi"/>
          <w:szCs w:val="22"/>
        </w:rPr>
        <w:t>In his effort to parse the novel’s place in our literary taxonomy, Northrop Frye emphasizes the novel’s conception of characterization.</w:t>
      </w:r>
      <w:r w:rsidRPr="00584F97">
        <w:rPr>
          <w:rFonts w:asciiTheme="majorBidi" w:eastAsia="Calibri" w:hAnsiTheme="majorBidi" w:cstheme="majorBidi"/>
          <w:szCs w:val="22"/>
          <w:vertAlign w:val="superscript"/>
        </w:rPr>
        <w:footnoteReference w:id="7"/>
      </w:r>
      <w:r w:rsidRPr="00584F97">
        <w:rPr>
          <w:rFonts w:asciiTheme="majorBidi" w:eastAsia="Calibri" w:hAnsiTheme="majorBidi" w:cstheme="majorBidi"/>
          <w:szCs w:val="22"/>
        </w:rPr>
        <w:t xml:space="preserve"> The novelist, he claims, “deals with personality, with characters wearing their </w:t>
      </w:r>
      <w:r w:rsidRPr="00584F97">
        <w:rPr>
          <w:rFonts w:asciiTheme="majorBidi" w:eastAsia="Calibri" w:hAnsiTheme="majorBidi" w:cstheme="majorBidi"/>
          <w:i/>
          <w:iCs/>
          <w:szCs w:val="22"/>
        </w:rPr>
        <w:t>personae</w:t>
      </w:r>
      <w:r w:rsidRPr="00584F97">
        <w:rPr>
          <w:rFonts w:asciiTheme="majorBidi" w:eastAsia="Calibri" w:hAnsiTheme="majorBidi" w:cstheme="majorBidi"/>
          <w:szCs w:val="22"/>
        </w:rPr>
        <w:t xml:space="preserve"> or social masks. He needs the framework of a stable society” (</w:t>
      </w:r>
      <w:r w:rsidRPr="00584F97">
        <w:rPr>
          <w:rFonts w:asciiTheme="majorBidi" w:eastAsia="Calibri" w:hAnsiTheme="majorBidi" w:cstheme="majorBidi"/>
          <w:i/>
          <w:iCs/>
          <w:szCs w:val="22"/>
        </w:rPr>
        <w:t xml:space="preserve">Anatomy of Criticism </w:t>
      </w:r>
      <w:r w:rsidRPr="00584F97">
        <w:rPr>
          <w:rFonts w:asciiTheme="majorBidi" w:eastAsia="Calibri" w:hAnsiTheme="majorBidi" w:cstheme="majorBidi"/>
          <w:szCs w:val="22"/>
        </w:rPr>
        <w:t>6); the novel’s primary interest is, in fact, “the human character as it manifests itself in society” (9). Mikhail Bakhtin’s work, too, has taken up the primacy of social interaction and reality in the novel. Essentially, he argues, the novel form (of all literary forms) best reflects reality because it is always evolving (</w:t>
      </w:r>
      <w:r w:rsidRPr="00584F97">
        <w:rPr>
          <w:rFonts w:asciiTheme="majorBidi" w:eastAsia="Calibri" w:hAnsiTheme="majorBidi" w:cstheme="majorBidi"/>
          <w:i/>
          <w:iCs/>
          <w:szCs w:val="22"/>
        </w:rPr>
        <w:t>The Dialogic Imagination</w:t>
      </w:r>
      <w:r w:rsidRPr="00584F97">
        <w:rPr>
          <w:rFonts w:asciiTheme="majorBidi" w:eastAsia="Calibri" w:hAnsiTheme="majorBidi" w:cstheme="majorBidi"/>
          <w:szCs w:val="22"/>
        </w:rPr>
        <w:t xml:space="preserve"> 324). While Bakhtin underscores the anticipatory quality of the novel as it applies to literary development, his argument also seems to imply that the novel’s chronic anticipation and reflexive engagement with “contemporary reality” could provide space for the re-structuring of an extraliterary reality (325). Bill Brown has also commented prolifically on the prominent function of objects in the novel’s attempts to represent reality</w:t>
      </w:r>
      <w:r w:rsidR="000F6AB7">
        <w:rPr>
          <w:rFonts w:asciiTheme="majorBidi" w:eastAsia="Calibri" w:hAnsiTheme="majorBidi" w:cstheme="majorBidi"/>
          <w:szCs w:val="22"/>
        </w:rPr>
        <w:t xml:space="preserve">. The affective power of the novel, he claims, demonstrates </w:t>
      </w:r>
      <w:r w:rsidR="00B4431D">
        <w:rPr>
          <w:rFonts w:asciiTheme="majorBidi" w:eastAsia="Calibri" w:hAnsiTheme="majorBidi" w:cstheme="majorBidi"/>
          <w:szCs w:val="22"/>
        </w:rPr>
        <w:t>“</w:t>
      </w:r>
      <w:r w:rsidRPr="00584F97">
        <w:rPr>
          <w:rFonts w:asciiTheme="majorBidi" w:eastAsia="Calibri" w:hAnsiTheme="majorBidi" w:cstheme="majorBidi"/>
          <w:szCs w:val="22"/>
        </w:rPr>
        <w:t>the metonymic potency of material objects, which is inseparable from their potency to convey the realism of the novelistic universe” (</w:t>
      </w:r>
      <w:r w:rsidRPr="00584F97">
        <w:rPr>
          <w:rFonts w:asciiTheme="majorBidi" w:eastAsia="Calibri" w:hAnsiTheme="majorBidi" w:cstheme="majorBidi"/>
          <w:i/>
          <w:iCs/>
          <w:szCs w:val="22"/>
        </w:rPr>
        <w:t>Other Things</w:t>
      </w:r>
      <w:r w:rsidRPr="00584F97">
        <w:rPr>
          <w:rFonts w:asciiTheme="majorBidi" w:eastAsia="Calibri" w:hAnsiTheme="majorBidi" w:cstheme="majorBidi"/>
          <w:szCs w:val="22"/>
        </w:rPr>
        <w:t xml:space="preserve"> 68).</w:t>
      </w:r>
      <w:r w:rsidR="000F6AB7">
        <w:rPr>
          <w:rStyle w:val="FootnoteReference"/>
          <w:rFonts w:asciiTheme="majorBidi" w:eastAsia="Calibri" w:hAnsiTheme="majorBidi" w:cstheme="majorBidi"/>
          <w:szCs w:val="22"/>
        </w:rPr>
        <w:footnoteReference w:id="8"/>
      </w:r>
      <w:r w:rsidRPr="00584F97">
        <w:rPr>
          <w:rFonts w:asciiTheme="majorBidi" w:eastAsia="Calibri" w:hAnsiTheme="majorBidi" w:cstheme="majorBidi"/>
          <w:szCs w:val="22"/>
        </w:rPr>
        <w:t xml:space="preserve"> Metonymy in the novel, he argues, entails crucial ontological resonances; our human existence is so bound up in the material world that those objects are artistically necessary to achieve true mimesis. Taken </w:t>
      </w:r>
      <w:r w:rsidRPr="00584F97">
        <w:rPr>
          <w:rFonts w:asciiTheme="majorBidi" w:eastAsia="Calibri" w:hAnsiTheme="majorBidi" w:cstheme="majorBidi"/>
          <w:szCs w:val="22"/>
        </w:rPr>
        <w:lastRenderedPageBreak/>
        <w:t xml:space="preserve">collectively, these approaches to novel theory allow us to see the novel, history, and the material world as mutually constitutive. </w:t>
      </w:r>
    </w:p>
    <w:p w14:paraId="5073AD7A" w14:textId="313C0412" w:rsidR="00584F97" w:rsidRPr="00584F97" w:rsidRDefault="00584F97" w:rsidP="00584F97">
      <w:pPr>
        <w:spacing w:line="480" w:lineRule="auto"/>
        <w:ind w:firstLine="720"/>
        <w:rPr>
          <w:rFonts w:asciiTheme="majorBidi" w:eastAsia="Calibri" w:hAnsiTheme="majorBidi" w:cstheme="majorBidi"/>
          <w:szCs w:val="22"/>
        </w:rPr>
      </w:pPr>
      <w:r w:rsidRPr="00584F97">
        <w:rPr>
          <w:rFonts w:asciiTheme="majorBidi" w:eastAsia="Calibri" w:hAnsiTheme="majorBidi" w:cstheme="majorBidi"/>
          <w:szCs w:val="22"/>
        </w:rPr>
        <w:t xml:space="preserve">An examination of what I call prosthetic ekphrasis, the artistic detailing of the prosthetic object in literature, affords us a new means of thinking through the development of the English novel and the historical context of disabled bodies through the late modern era. Fictional representations of medical technology certainly contributed to the evolution of character in the nineteenth-century novel, but they also came to bear on sociomedical discourse and the sociolegal position of real people with disabilities. While influenced by New Historicism’s investment in exposing networks of power and elements of subversion that challenge that power, my historical </w:t>
      </w:r>
      <w:r w:rsidR="004469AA">
        <w:rPr>
          <w:rFonts w:asciiTheme="majorBidi" w:eastAsia="Calibri" w:hAnsiTheme="majorBidi" w:cstheme="majorBidi"/>
          <w:szCs w:val="22"/>
        </w:rPr>
        <w:t>approach</w:t>
      </w:r>
      <w:r w:rsidRPr="00584F97">
        <w:rPr>
          <w:rFonts w:asciiTheme="majorBidi" w:eastAsia="Calibri" w:hAnsiTheme="majorBidi" w:cstheme="majorBidi"/>
          <w:szCs w:val="22"/>
        </w:rPr>
        <w:t xml:space="preserve"> here diverges in its more specific attention to material culture. In unpacking manifestations of disability in art, a multidimensional task, I find myself necessarily borrowing from disability studies, later iterations of New Historicism, narrative theory, object studies, thing theory, and animal studies.</w:t>
      </w:r>
      <w:r w:rsidRPr="00584F97">
        <w:rPr>
          <w:rFonts w:asciiTheme="majorBidi" w:eastAsia="Calibri" w:hAnsiTheme="majorBidi" w:cstheme="majorBidi"/>
          <w:szCs w:val="22"/>
          <w:vertAlign w:val="superscript"/>
        </w:rPr>
        <w:footnoteReference w:id="9"/>
      </w:r>
      <w:r w:rsidRPr="00584F97">
        <w:rPr>
          <w:rFonts w:asciiTheme="majorBidi" w:eastAsia="Calibri" w:hAnsiTheme="majorBidi" w:cstheme="majorBidi"/>
          <w:szCs w:val="22"/>
        </w:rPr>
        <w:t xml:space="preserve"> </w:t>
      </w:r>
    </w:p>
    <w:p w14:paraId="00D300C9" w14:textId="41194A2A" w:rsidR="00584F97" w:rsidRPr="00584F97" w:rsidRDefault="00584F97" w:rsidP="00584F97">
      <w:pPr>
        <w:spacing w:line="480" w:lineRule="auto"/>
        <w:rPr>
          <w:rFonts w:asciiTheme="majorBidi" w:eastAsia="Calibri" w:hAnsiTheme="majorBidi" w:cstheme="majorBidi"/>
          <w:szCs w:val="22"/>
        </w:rPr>
      </w:pPr>
      <w:r w:rsidRPr="00584F97">
        <w:rPr>
          <w:rFonts w:asciiTheme="majorBidi" w:eastAsia="Calibri" w:hAnsiTheme="majorBidi" w:cstheme="majorBidi"/>
          <w:szCs w:val="22"/>
        </w:rPr>
        <w:tab/>
        <w:t xml:space="preserve">Among these critical intersections, as well as between nineteenth-century sociomedical discourse and material culture, I argue for a reading of disabled characters in nineteenth-century novels that foregrounds or hinges on the literal </w:t>
      </w:r>
      <w:r w:rsidRPr="00584F97">
        <w:rPr>
          <w:rFonts w:asciiTheme="majorBidi" w:eastAsia="Calibri" w:hAnsiTheme="majorBidi" w:cstheme="majorBidi"/>
          <w:i/>
          <w:iCs/>
          <w:szCs w:val="22"/>
        </w:rPr>
        <w:t>and</w:t>
      </w:r>
      <w:r w:rsidRPr="00584F97">
        <w:rPr>
          <w:rFonts w:asciiTheme="majorBidi" w:eastAsia="Calibri" w:hAnsiTheme="majorBidi" w:cstheme="majorBidi"/>
          <w:szCs w:val="22"/>
        </w:rPr>
        <w:t xml:space="preserve"> metaphorical significance of material intervention.</w:t>
      </w:r>
      <w:r w:rsidRPr="00584F97">
        <w:rPr>
          <w:rFonts w:asciiTheme="majorBidi" w:eastAsia="Calibri" w:hAnsiTheme="majorBidi" w:cstheme="majorBidi"/>
          <w:szCs w:val="22"/>
          <w:vertAlign w:val="superscript"/>
        </w:rPr>
        <w:footnoteReference w:id="10"/>
      </w:r>
      <w:r w:rsidRPr="00584F97">
        <w:rPr>
          <w:rFonts w:asciiTheme="majorBidi" w:eastAsia="Calibri" w:hAnsiTheme="majorBidi" w:cstheme="majorBidi"/>
          <w:szCs w:val="22"/>
        </w:rPr>
        <w:t xml:space="preserve"> What does it mean for bodies to fuse with conceptual categorization (namely, </w:t>
      </w:r>
      <w:r w:rsidRPr="00584F97">
        <w:rPr>
          <w:rFonts w:asciiTheme="majorBidi" w:eastAsia="Calibri" w:hAnsiTheme="majorBidi" w:cstheme="majorBidi"/>
          <w:szCs w:val="22"/>
        </w:rPr>
        <w:lastRenderedPageBreak/>
        <w:t>notions of fitness or [dis]ability) and things—for a character to adopt or refuse inanimate supplements? To what degree or with what frequency does the mere existence of a prosthetic fulfill the narrativizing impulses stimulated by the presence of the disabled body?</w:t>
      </w:r>
      <w:r w:rsidRPr="00584F97">
        <w:rPr>
          <w:rFonts w:asciiTheme="majorBidi" w:eastAsia="Calibri" w:hAnsiTheme="majorBidi" w:cstheme="majorBidi"/>
          <w:szCs w:val="22"/>
          <w:vertAlign w:val="superscript"/>
        </w:rPr>
        <w:footnoteReference w:id="11"/>
      </w:r>
      <w:r w:rsidRPr="00584F97">
        <w:rPr>
          <w:rFonts w:asciiTheme="majorBidi" w:eastAsia="Calibri" w:hAnsiTheme="majorBidi" w:cstheme="majorBidi"/>
          <w:szCs w:val="22"/>
        </w:rPr>
        <w:t xml:space="preserve"> And if, as Bill Brown contends, objects become things “when they stop working for us” (</w:t>
      </w:r>
      <w:r w:rsidRPr="00584F97">
        <w:rPr>
          <w:rFonts w:asciiTheme="majorBidi" w:eastAsia="Calibri" w:hAnsiTheme="majorBidi" w:cstheme="majorBidi"/>
          <w:i/>
          <w:szCs w:val="22"/>
        </w:rPr>
        <w:t xml:space="preserve">Thing Theory </w:t>
      </w:r>
      <w:r w:rsidRPr="00584F97">
        <w:rPr>
          <w:rFonts w:asciiTheme="majorBidi" w:eastAsia="Calibri" w:hAnsiTheme="majorBidi" w:cstheme="majorBidi"/>
          <w:iCs/>
          <w:szCs w:val="22"/>
        </w:rPr>
        <w:t>4</w:t>
      </w:r>
      <w:r w:rsidRPr="00584F97">
        <w:rPr>
          <w:rFonts w:asciiTheme="majorBidi" w:eastAsia="Calibri" w:hAnsiTheme="majorBidi" w:cstheme="majorBidi"/>
          <w:szCs w:val="22"/>
        </w:rPr>
        <w:t xml:space="preserve">), does the prosthetic object in these novels suggest, to a certain extent, that people (or characters) and bodies, too, become things when they “stop working”? If a body is “a thing among things” (Maurice Merleau-Ponty, “Eye and Mind” 3), what happens when the “thingness” of human physicality becomes contingent on or otherwise caught up in a specialized set of artificial appendages or supplements? How do Victorian authors represent the body compounded by synthetic parts? As I address these questions, I demonstrate how the representation of these kinds of artificial parts in nineteenth-century literature more generally resulted in a new medical and existential mode of prosthetic ekphrasis in the Victorian novel. By extension, I argue that the human-object amalgam that comprises the disabled Victorian character effected a modern set of criteria for reading and defining people through </w:t>
      </w:r>
      <w:r w:rsidR="004469AA">
        <w:rPr>
          <w:rFonts w:asciiTheme="majorBidi" w:eastAsia="Calibri" w:hAnsiTheme="majorBidi" w:cstheme="majorBidi"/>
          <w:szCs w:val="22"/>
        </w:rPr>
        <w:t>both bodies and things.</w:t>
      </w:r>
    </w:p>
    <w:p w14:paraId="39D1C755" w14:textId="77777777" w:rsidR="00584F97" w:rsidRPr="00584F97" w:rsidRDefault="00584F97" w:rsidP="00584F97">
      <w:pPr>
        <w:spacing w:line="480" w:lineRule="auto"/>
        <w:rPr>
          <w:rFonts w:asciiTheme="majorBidi" w:eastAsia="Calibri" w:hAnsiTheme="majorBidi" w:cstheme="majorBidi"/>
          <w:szCs w:val="22"/>
        </w:rPr>
      </w:pPr>
      <w:r w:rsidRPr="00584F97">
        <w:rPr>
          <w:rFonts w:asciiTheme="majorBidi" w:eastAsia="Calibri" w:hAnsiTheme="majorBidi" w:cstheme="majorBidi"/>
          <w:szCs w:val="22"/>
        </w:rPr>
        <w:tab/>
        <w:t xml:space="preserve">Nineteenth-century Britain, in one sense, can be characterized by mass production—of consumer goods, technology, physical impairments, and literature. The snowball effect of the </w:t>
      </w:r>
      <w:r w:rsidRPr="00584F97">
        <w:rPr>
          <w:rFonts w:asciiTheme="majorBidi" w:eastAsia="Calibri" w:hAnsiTheme="majorBidi" w:cstheme="majorBidi"/>
          <w:szCs w:val="22"/>
        </w:rPr>
        <w:lastRenderedPageBreak/>
        <w:t>extensive melding of human bodies and mechanized technology was at once inevitable and unpredictable. The proliferation of industrial technology ushered in the mass production of automated machinery, the operation of which initiated an abundance of appalling, often homogenized, mechanical accidents. Jamie L. Bronstein has noted how, with minimal fines, largely unregulated factory production in the early nineteenth century resulted in an unprecedented number of industrial amputations.</w:t>
      </w:r>
      <w:r w:rsidRPr="00584F97">
        <w:rPr>
          <w:rFonts w:asciiTheme="majorBidi" w:eastAsia="Calibri" w:hAnsiTheme="majorBidi" w:cstheme="majorBidi"/>
          <w:szCs w:val="22"/>
          <w:vertAlign w:val="superscript"/>
        </w:rPr>
        <w:footnoteReference w:id="12"/>
      </w:r>
      <w:r w:rsidRPr="00584F97">
        <w:rPr>
          <w:rFonts w:asciiTheme="majorBidi" w:eastAsia="Calibri" w:hAnsiTheme="majorBidi" w:cstheme="majorBidi"/>
          <w:szCs w:val="22"/>
        </w:rPr>
        <w:t xml:space="preserve"> The types of accidents were so consistent that surgeons began training medical students in specific operation procedures for mechanized injuries.</w:t>
      </w:r>
      <w:r w:rsidRPr="00584F97">
        <w:rPr>
          <w:rFonts w:asciiTheme="majorBidi" w:eastAsia="Calibri" w:hAnsiTheme="majorBidi" w:cstheme="majorBidi"/>
          <w:szCs w:val="22"/>
          <w:vertAlign w:val="superscript"/>
        </w:rPr>
        <w:footnoteReference w:id="13"/>
      </w:r>
      <w:r w:rsidRPr="00584F97">
        <w:rPr>
          <w:rFonts w:asciiTheme="majorBidi" w:eastAsia="Calibri" w:hAnsiTheme="majorBidi" w:cstheme="majorBidi"/>
          <w:szCs w:val="22"/>
        </w:rPr>
        <w:t xml:space="preserve"> Working conditions improved little as the century wore on, and surgeons continued to focus on operations that gave working-class amputees the best possible shot at reentry into the workplace; P. W. J. Bartrip and S. B. Burman’s </w:t>
      </w:r>
      <w:r w:rsidRPr="00584F97">
        <w:rPr>
          <w:rFonts w:asciiTheme="majorBidi" w:eastAsia="Calibri" w:hAnsiTheme="majorBidi" w:cstheme="majorBidi"/>
          <w:i/>
          <w:iCs/>
          <w:szCs w:val="22"/>
        </w:rPr>
        <w:t>The Wounded Soldiers of Industry: Industrial Compensation Policy 1833-1897</w:t>
      </w:r>
      <w:r w:rsidRPr="00584F97">
        <w:rPr>
          <w:rFonts w:asciiTheme="majorBidi" w:eastAsia="Calibri" w:hAnsiTheme="majorBidi" w:cstheme="majorBidi"/>
          <w:szCs w:val="22"/>
        </w:rPr>
        <w:t xml:space="preserve"> (1983) observes that workplace accidents continued to compound even after the Factory Act of 1833 due to limited (or virtually nonexistent) rights to worker compensation. The road to the Empire’s commercial dominance was paved largely, it seems, with disabled bodies. </w:t>
      </w:r>
    </w:p>
    <w:p w14:paraId="3FD8D714" w14:textId="77777777" w:rsidR="00584F97" w:rsidRPr="00584F97" w:rsidRDefault="00584F97" w:rsidP="00584F97">
      <w:pPr>
        <w:spacing w:line="480" w:lineRule="auto"/>
        <w:ind w:firstLine="720"/>
        <w:rPr>
          <w:rFonts w:asciiTheme="majorBidi" w:eastAsia="Calibri" w:hAnsiTheme="majorBidi" w:cstheme="majorBidi"/>
          <w:szCs w:val="22"/>
        </w:rPr>
      </w:pPr>
      <w:r w:rsidRPr="00584F97">
        <w:rPr>
          <w:rFonts w:asciiTheme="majorBidi" w:eastAsia="Calibri" w:hAnsiTheme="majorBidi" w:cstheme="majorBidi"/>
          <w:szCs w:val="22"/>
        </w:rPr>
        <w:t>And with increased reporting on factory and other urban accidents, the disabled body became a social spectacle. Peter Capuano has deftly attended to the popular fascination with factory narratives detailing accidents, amputations, and death in the early 1800s.</w:t>
      </w:r>
      <w:r w:rsidRPr="00584F97">
        <w:rPr>
          <w:rFonts w:asciiTheme="majorBidi" w:eastAsia="Calibri" w:hAnsiTheme="majorBidi" w:cstheme="majorBidi"/>
          <w:szCs w:val="22"/>
          <w:vertAlign w:val="superscript"/>
        </w:rPr>
        <w:footnoteReference w:id="14"/>
      </w:r>
      <w:r w:rsidRPr="00584F97">
        <w:rPr>
          <w:rFonts w:asciiTheme="majorBidi" w:eastAsia="Calibri" w:hAnsiTheme="majorBidi" w:cstheme="majorBidi"/>
          <w:szCs w:val="22"/>
        </w:rPr>
        <w:t xml:space="preserve"> The Luddite </w:t>
      </w:r>
      <w:r w:rsidRPr="00584F97">
        <w:rPr>
          <w:rFonts w:asciiTheme="majorBidi" w:eastAsia="Calibri" w:hAnsiTheme="majorBidi" w:cstheme="majorBidi"/>
          <w:szCs w:val="22"/>
        </w:rPr>
        <w:lastRenderedPageBreak/>
        <w:t>rebellions had, in many ways, already begun injecting public discourse with skepticism surrounding the entangling of human bodies and machinery, and by the 1820s, detailed accounts of gruesome factory accidents had become the true crime podcasts of their day.</w:t>
      </w:r>
      <w:r w:rsidRPr="00584F97">
        <w:rPr>
          <w:rFonts w:asciiTheme="majorBidi" w:eastAsia="Calibri" w:hAnsiTheme="majorBidi" w:cstheme="majorBidi"/>
          <w:szCs w:val="22"/>
          <w:vertAlign w:val="superscript"/>
        </w:rPr>
        <w:footnoteReference w:id="15"/>
      </w:r>
      <w:r w:rsidRPr="00584F97">
        <w:rPr>
          <w:rFonts w:asciiTheme="majorBidi" w:eastAsia="Calibri" w:hAnsiTheme="majorBidi" w:cstheme="majorBidi"/>
          <w:szCs w:val="22"/>
        </w:rPr>
        <w:t xml:space="preserve"> Stories of amputation, disability, and prosthesis, once almost exclusively the purview of the scientific community, became regular facets of the popular imagination. While I attend primarily to the Victorian novel in this dissertation, the foundation for popular disability narratives was clearly laid earlier in the century. With that, and the chronology of surgical and prosthetic experimentation, in mind, I begin, in Chapter I, with what I see as the first nineteenth-century novel to deploy and depend on prosthesis and the formation of disability: Mary Shelley’s </w:t>
      </w:r>
      <w:r w:rsidRPr="00584F97">
        <w:rPr>
          <w:rFonts w:asciiTheme="majorBidi" w:eastAsia="Calibri" w:hAnsiTheme="majorBidi" w:cstheme="majorBidi"/>
          <w:i/>
          <w:iCs/>
          <w:szCs w:val="22"/>
        </w:rPr>
        <w:t>Frankenstein</w:t>
      </w:r>
      <w:r w:rsidRPr="00584F97">
        <w:rPr>
          <w:rFonts w:asciiTheme="majorBidi" w:eastAsia="Calibri" w:hAnsiTheme="majorBidi" w:cstheme="majorBidi"/>
          <w:szCs w:val="22"/>
        </w:rPr>
        <w:t xml:space="preserve"> (1818). Shelley’s novel brilliantly anticipates the profiles of disfiguration, disability, and prosthesis that rose to the fore of popular stories and news articles in the 1820s and 30s while also emphasizing how the advent of the Industrial Revolution quickly coincided with and propelled the nation’s other social, political, legal, medical, and literary </w:t>
      </w:r>
      <w:r w:rsidRPr="00584F97">
        <w:rPr>
          <w:rFonts w:asciiTheme="majorBidi" w:eastAsia="Calibri" w:hAnsiTheme="majorBidi" w:cstheme="majorBidi"/>
          <w:szCs w:val="22"/>
        </w:rPr>
        <w:lastRenderedPageBreak/>
        <w:t xml:space="preserve">transformations, collectively revolutionizing questions of identity and representation—especially as they carved out subsets within the disability community itself. </w:t>
      </w:r>
    </w:p>
    <w:p w14:paraId="7CBFFF57" w14:textId="458C282F" w:rsidR="00584F97" w:rsidRPr="00584F97" w:rsidRDefault="00584F97" w:rsidP="00584F97">
      <w:pPr>
        <w:spacing w:line="480" w:lineRule="auto"/>
        <w:ind w:firstLine="720"/>
        <w:rPr>
          <w:rFonts w:asciiTheme="majorBidi" w:eastAsia="Calibri" w:hAnsiTheme="majorBidi" w:cstheme="majorBidi"/>
          <w:szCs w:val="22"/>
        </w:rPr>
      </w:pPr>
      <w:r w:rsidRPr="00584F97">
        <w:rPr>
          <w:rFonts w:asciiTheme="majorBidi" w:eastAsia="Calibri" w:hAnsiTheme="majorBidi" w:cstheme="majorBidi"/>
          <w:szCs w:val="22"/>
        </w:rPr>
        <w:t>Beyond the civilian realm, technological advancements in artillery similarly expanded the number and types of injuries and disabilities doctors had to confront in the early nineteenth century. In highlighting the correlation between military conflict and the development of prosthetics, Katherine Ott points to the Napoleonic and U.S. Civil Wars as the transatlantic impetuses for the “first large-scale attention to prosthetics and their design and use” (</w:t>
      </w:r>
      <w:r w:rsidRPr="00584F97">
        <w:rPr>
          <w:rFonts w:asciiTheme="majorBidi" w:eastAsia="Calibri" w:hAnsiTheme="majorBidi" w:cstheme="majorBidi"/>
          <w:i/>
          <w:iCs/>
          <w:szCs w:val="22"/>
        </w:rPr>
        <w:t>Artificial Parts, Practical Lives</w:t>
      </w:r>
      <w:r w:rsidRPr="00584F97">
        <w:rPr>
          <w:rFonts w:asciiTheme="majorBidi" w:eastAsia="Calibri" w:hAnsiTheme="majorBidi" w:cstheme="majorBidi"/>
          <w:szCs w:val="22"/>
        </w:rPr>
        <w:t xml:space="preserve"> 26). The Crimean War, too, engendered a sense of urgency on the prosthetic front. In the absence of antibiotics (which, at the time of the Napoleonic Wars, were still a century away), infection and gangrene posed the biggest threat to the injured soldier. Amputation emerged as the most common and reliable safeguard against that threat. Improvements in medical procedures meant more living bodies (lower mortality rates), but the prevailing practice of amputation meant more bodies in need of refurbishment. Given the procedure’s relative success, amputating wounded limbs became common practice beyond the battlefield—consider Charles Dickens’s coining of the term “sawbones” to refer to surgeons in</w:t>
      </w:r>
      <w:r w:rsidR="001C4B4B">
        <w:rPr>
          <w:rFonts w:asciiTheme="majorBidi" w:eastAsia="Calibri" w:hAnsiTheme="majorBidi" w:cstheme="majorBidi"/>
          <w:szCs w:val="22"/>
        </w:rPr>
        <w:t xml:space="preserve"> his</w:t>
      </w:r>
      <w:r w:rsidRPr="00584F97">
        <w:rPr>
          <w:rFonts w:asciiTheme="majorBidi" w:eastAsia="Calibri" w:hAnsiTheme="majorBidi" w:cstheme="majorBidi"/>
          <w:szCs w:val="22"/>
        </w:rPr>
        <w:t xml:space="preserve"> </w:t>
      </w:r>
      <w:r w:rsidRPr="00584F97">
        <w:rPr>
          <w:rFonts w:asciiTheme="majorBidi" w:eastAsia="Calibri" w:hAnsiTheme="majorBidi" w:cstheme="majorBidi"/>
          <w:i/>
          <w:iCs/>
          <w:szCs w:val="22"/>
        </w:rPr>
        <w:t xml:space="preserve">Pickwick Papers </w:t>
      </w:r>
      <w:r w:rsidRPr="00584F97">
        <w:rPr>
          <w:rFonts w:asciiTheme="majorBidi" w:eastAsia="Calibri" w:hAnsiTheme="majorBidi" w:cstheme="majorBidi"/>
          <w:szCs w:val="22"/>
        </w:rPr>
        <w:t xml:space="preserve">(1837)—producing a profusion of disabled bodies and prosthetics, all of which were then continually </w:t>
      </w:r>
      <w:r w:rsidRPr="00584F97">
        <w:rPr>
          <w:rFonts w:asciiTheme="majorBidi" w:eastAsia="Calibri" w:hAnsiTheme="majorBidi" w:cstheme="majorBidi"/>
          <w:i/>
          <w:szCs w:val="22"/>
        </w:rPr>
        <w:t>re</w:t>
      </w:r>
      <w:r w:rsidRPr="00584F97">
        <w:rPr>
          <w:rFonts w:asciiTheme="majorBidi" w:eastAsia="Calibri" w:hAnsiTheme="majorBidi" w:cstheme="majorBidi"/>
          <w:szCs w:val="22"/>
        </w:rPr>
        <w:t>produced in literature, fiction and nonfiction alike. Amid the panoramic cast of characters in the Victorian novel, disabled bodies repeatedly collided with the prosthetic object, cultivating and challenging conceptions of normativity and difference. Ultimately, the repeated annexation of inanimate/mechanical and animate/biological appendages in print intervened in the popular nineteenth-century discourse on what Mary Jean Corbett calls the “historical/cultural/biological production of difference” (</w:t>
      </w:r>
      <w:r w:rsidRPr="00584F97">
        <w:rPr>
          <w:rFonts w:asciiTheme="majorBidi" w:eastAsia="Calibri" w:hAnsiTheme="majorBidi" w:cstheme="majorBidi"/>
          <w:i/>
          <w:szCs w:val="22"/>
        </w:rPr>
        <w:t xml:space="preserve">Family Likeness </w:t>
      </w:r>
      <w:r w:rsidRPr="00584F97">
        <w:rPr>
          <w:rFonts w:asciiTheme="majorBidi" w:eastAsia="Calibri" w:hAnsiTheme="majorBidi" w:cstheme="majorBidi"/>
          <w:iCs/>
          <w:szCs w:val="22"/>
        </w:rPr>
        <w:t>116</w:t>
      </w:r>
      <w:r w:rsidRPr="00584F97">
        <w:rPr>
          <w:rFonts w:asciiTheme="majorBidi" w:eastAsia="Calibri" w:hAnsiTheme="majorBidi" w:cstheme="majorBidi"/>
          <w:szCs w:val="22"/>
        </w:rPr>
        <w:t xml:space="preserve">). At the same time, imperial expansion, sweeping legal reform, the popularization of statistics (and, later, </w:t>
      </w:r>
      <w:r w:rsidRPr="00584F97">
        <w:rPr>
          <w:rFonts w:asciiTheme="majorBidi" w:eastAsia="Calibri" w:hAnsiTheme="majorBidi" w:cstheme="majorBidi"/>
          <w:szCs w:val="22"/>
        </w:rPr>
        <w:lastRenderedPageBreak/>
        <w:t>eugenics), and the development of scientific discourse and medical praxis that marked the period, in Jennifer Esmail and Christopher Keep’s words, “helped to redefine the very meaning of ability, putting the body and its faculties at the very heart of a new bio-politics” (“Victorian Disability” 46). Notions of statistical norms and “fitness” (mental or physical) took root in controlling ideologies of national stability and identity. The sum of these developments, in short, brought the human body into sharp relief, reformulating and redefining it.</w:t>
      </w:r>
    </w:p>
    <w:p w14:paraId="6CB3AE14" w14:textId="77777777" w:rsidR="00584F97" w:rsidRPr="00584F97" w:rsidRDefault="00584F97" w:rsidP="00584F97">
      <w:pPr>
        <w:spacing w:line="480" w:lineRule="auto"/>
        <w:rPr>
          <w:rFonts w:asciiTheme="majorBidi" w:eastAsia="Calibri" w:hAnsiTheme="majorBidi" w:cstheme="majorBidi"/>
          <w:szCs w:val="22"/>
        </w:rPr>
      </w:pPr>
      <w:r w:rsidRPr="00584F97">
        <w:rPr>
          <w:rFonts w:asciiTheme="majorBidi" w:eastAsia="Calibri" w:hAnsiTheme="majorBidi" w:cstheme="majorBidi"/>
          <w:szCs w:val="22"/>
        </w:rPr>
        <w:tab/>
        <w:t xml:space="preserve">As the abnormal or deviant human body became a popular sociomedical spectacle (not infrequently to commercial ends), new notions of “fitness” (whether “fit” to work, reproduce, and so on) engendered new, systemic standards of “normalcy.” An emergent able-disabled binary allowed a nondisabled majority to marginalize, stigmatize, and criminalize the disabled, “unfit” minority. The publication of Charles Darwin’s </w:t>
      </w:r>
      <w:proofErr w:type="gramStart"/>
      <w:r w:rsidRPr="00584F97">
        <w:rPr>
          <w:rFonts w:asciiTheme="majorBidi" w:eastAsia="Calibri" w:hAnsiTheme="majorBidi" w:cstheme="majorBidi"/>
          <w:i/>
          <w:szCs w:val="22"/>
        </w:rPr>
        <w:t>On</w:t>
      </w:r>
      <w:proofErr w:type="gramEnd"/>
      <w:r w:rsidRPr="00584F97">
        <w:rPr>
          <w:rFonts w:asciiTheme="majorBidi" w:eastAsia="Calibri" w:hAnsiTheme="majorBidi" w:cstheme="majorBidi"/>
          <w:i/>
          <w:szCs w:val="22"/>
        </w:rPr>
        <w:t xml:space="preserve"> the Origin of Species</w:t>
      </w:r>
      <w:r w:rsidRPr="00584F97">
        <w:rPr>
          <w:rFonts w:asciiTheme="majorBidi" w:eastAsia="Calibri" w:hAnsiTheme="majorBidi" w:cstheme="majorBidi"/>
          <w:szCs w:val="22"/>
        </w:rPr>
        <w:t xml:space="preserve"> (1859) at mid-century, of course, contributed to the public’s developing notions of natural, unconscious, and accumulative selections, of man’s ability and tendency to “make for himself</w:t>
      </w:r>
      <w:r w:rsidRPr="00584F97">
        <w:rPr>
          <w:rFonts w:asciiTheme="majorBidi" w:eastAsia="Calibri" w:hAnsiTheme="majorBidi" w:cstheme="majorBidi"/>
          <w:i/>
          <w:szCs w:val="22"/>
        </w:rPr>
        <w:t xml:space="preserve"> useful</w:t>
      </w:r>
      <w:r w:rsidRPr="00584F97">
        <w:rPr>
          <w:rFonts w:asciiTheme="majorBidi" w:eastAsia="Calibri" w:hAnsiTheme="majorBidi" w:cstheme="majorBidi"/>
          <w:szCs w:val="22"/>
        </w:rPr>
        <w:t xml:space="preserve"> breeds” (30, emphasis mine). And Herbert Spencer’s later (1864) “mechanical” translation of Darwin’s “natural selection” to an even more competitive-sounding “survival of the fittest” demonstrates the socioeconomic extension of Darwin’s evolutionary theory into a cultural process of “self-purification” wherein individuals must “prove themselves fit to live” to ensure the “multiplication of the best” (</w:t>
      </w:r>
      <w:r w:rsidRPr="00584F97">
        <w:rPr>
          <w:rFonts w:asciiTheme="majorBidi" w:eastAsia="Calibri" w:hAnsiTheme="majorBidi" w:cstheme="majorBidi"/>
          <w:i/>
          <w:szCs w:val="22"/>
        </w:rPr>
        <w:t>Principles of Biology</w:t>
      </w:r>
      <w:r w:rsidRPr="00584F97">
        <w:rPr>
          <w:rFonts w:asciiTheme="majorBidi" w:eastAsia="Calibri" w:hAnsiTheme="majorBidi" w:cstheme="majorBidi"/>
          <w:szCs w:val="22"/>
        </w:rPr>
        <w:t xml:space="preserve"> 445). Many Victorian authors seized on this tacit competition for evolutionary and social supremacy by staging interactions among prosthetics and people in their writings. Martha Stoddard Holmes has neatly summarized the historical context of disability’s emergence as an unyielding cultural and literary presence: “Disability pervades Victorian medical and social discourses, reflecting the age’s fervor for clinical research and charitable action </w:t>
      </w:r>
      <w:proofErr w:type="gramStart"/>
      <w:r w:rsidRPr="00584F97">
        <w:rPr>
          <w:rFonts w:asciiTheme="majorBidi" w:eastAsia="Calibri" w:hAnsiTheme="majorBidi" w:cstheme="majorBidi"/>
          <w:szCs w:val="22"/>
        </w:rPr>
        <w:t>. . . .</w:t>
      </w:r>
      <w:proofErr w:type="gramEnd"/>
      <w:r w:rsidRPr="00584F97">
        <w:rPr>
          <w:rFonts w:asciiTheme="majorBidi" w:eastAsia="Calibri" w:hAnsiTheme="majorBidi" w:cstheme="majorBidi"/>
          <w:szCs w:val="22"/>
        </w:rPr>
        <w:t xml:space="preserve"> Victorian literature, similarly, is rich with disability </w:t>
      </w:r>
      <w:r w:rsidRPr="00584F97">
        <w:rPr>
          <w:rFonts w:asciiTheme="majorBidi" w:eastAsia="Calibri" w:hAnsiTheme="majorBidi" w:cstheme="majorBidi"/>
          <w:szCs w:val="22"/>
        </w:rPr>
        <w:lastRenderedPageBreak/>
        <w:t xml:space="preserve">representations, partly because life in nineteenth-century Britain offered so many ways in which to become disabled in a lifetime, including industrial accidents, diseases, poverty and warfare” (“Victorian Fictions of Interdependency” 29). Victorian novels that represent prosthetics parse and amplify the period’s discourse on the ways in which the nineteenth century remade and object-ified the disabled body. And in turn, developments in medical technology provided authors across literary genres aesthetic tools that augmented the broader cultural representation and interpretation of “different” bodies in Victorian Britain. </w:t>
      </w:r>
    </w:p>
    <w:p w14:paraId="57F23EBC" w14:textId="77777777" w:rsidR="002048B4" w:rsidRDefault="00584F97" w:rsidP="00584F97">
      <w:pPr>
        <w:spacing w:line="480" w:lineRule="auto"/>
        <w:ind w:firstLine="720"/>
        <w:rPr>
          <w:rFonts w:asciiTheme="majorBidi" w:eastAsia="Calibri" w:hAnsiTheme="majorBidi" w:cstheme="majorBidi"/>
          <w:szCs w:val="22"/>
        </w:rPr>
      </w:pPr>
      <w:r w:rsidRPr="00584F97">
        <w:rPr>
          <w:rFonts w:asciiTheme="majorBidi" w:eastAsia="Calibri" w:hAnsiTheme="majorBidi" w:cstheme="majorBidi"/>
          <w:szCs w:val="22"/>
        </w:rPr>
        <w:t>With its profound investment in character, physicality, and the material world, the nineteenth-century novel emerged as a prime index of the evolution of the human condition. As it underwent its own brand of generic change, the fiction of the period—itself permeating social life in Victorian Britain tremendously as a result of urbanization, educational reform, increasing literacy rates, circulating libraries, popular serial publications, and so on—reflected and participated in this unprecedented obsession with and pathologization of ability and fitness. Recursive representations of disability and prosthesis in Victorian literature thus allowed for an artistic materialization of difference that exposed, exploited, and altered the stakes of pathologized alterity. Accordingly, the application of</w:t>
      </w:r>
      <w:r w:rsidR="00F65069">
        <w:rPr>
          <w:rFonts w:asciiTheme="majorBidi" w:eastAsia="Calibri" w:hAnsiTheme="majorBidi" w:cstheme="majorBidi"/>
          <w:szCs w:val="22"/>
        </w:rPr>
        <w:t xml:space="preserve"> </w:t>
      </w:r>
      <w:r w:rsidRPr="00584F97">
        <w:rPr>
          <w:rFonts w:asciiTheme="majorBidi" w:eastAsia="Calibri" w:hAnsiTheme="majorBidi" w:cstheme="majorBidi"/>
          <w:szCs w:val="22"/>
        </w:rPr>
        <w:t>disability studies</w:t>
      </w:r>
      <w:r w:rsidR="00F65069">
        <w:rPr>
          <w:rFonts w:asciiTheme="majorBidi" w:eastAsia="Calibri" w:hAnsiTheme="majorBidi" w:cstheme="majorBidi"/>
          <w:szCs w:val="22"/>
        </w:rPr>
        <w:t xml:space="preserve"> </w:t>
      </w:r>
      <w:r w:rsidRPr="00584F97">
        <w:rPr>
          <w:rFonts w:asciiTheme="majorBidi" w:eastAsia="Calibri" w:hAnsiTheme="majorBidi" w:cstheme="majorBidi"/>
          <w:szCs w:val="22"/>
        </w:rPr>
        <w:t>to Victorian studies supplies an interpretive framework for reading the Victorian social body (actual, fictional) in terms of what O’Connor calls the “poetics of pathology” (</w:t>
      </w:r>
      <w:r w:rsidRPr="00584F97">
        <w:rPr>
          <w:rFonts w:asciiTheme="majorBidi" w:eastAsia="Calibri" w:hAnsiTheme="majorBidi" w:cstheme="majorBidi"/>
          <w:i/>
          <w:szCs w:val="22"/>
        </w:rPr>
        <w:t>Raw Material</w:t>
      </w:r>
      <w:r w:rsidRPr="00584F97">
        <w:rPr>
          <w:rFonts w:asciiTheme="majorBidi" w:eastAsia="Calibri" w:hAnsiTheme="majorBidi" w:cstheme="majorBidi"/>
          <w:szCs w:val="22"/>
        </w:rPr>
        <w:t xml:space="preserve"> 3), the material patterns of science, industry, nationalism, and culture that came to redefine the human condition in the nineteenth century. The rise of statistics in the late eighteenth century and its popular resurgence in the 1830s, Lennard Davis argues, occasioned notions of the norm and normalcy that subsequently generated the concept of deviations and abnormality (</w:t>
      </w:r>
      <w:r w:rsidRPr="00584F97">
        <w:rPr>
          <w:rFonts w:asciiTheme="majorBidi" w:eastAsia="Calibri" w:hAnsiTheme="majorBidi" w:cstheme="majorBidi"/>
          <w:i/>
          <w:szCs w:val="22"/>
        </w:rPr>
        <w:t>Enforcing Normalcy</w:t>
      </w:r>
      <w:r w:rsidRPr="00584F97">
        <w:rPr>
          <w:rFonts w:asciiTheme="majorBidi" w:eastAsia="Calibri" w:hAnsiTheme="majorBidi" w:cstheme="majorBidi"/>
          <w:szCs w:val="22"/>
        </w:rPr>
        <w:t xml:space="preserve"> 29). Expanding on the influence of the statistical norm, Cindy LaCom traces the perceived social, </w:t>
      </w:r>
      <w:r w:rsidRPr="00584F97">
        <w:rPr>
          <w:rFonts w:asciiTheme="majorBidi" w:eastAsia="Calibri" w:hAnsiTheme="majorBidi" w:cstheme="majorBidi"/>
          <w:szCs w:val="22"/>
        </w:rPr>
        <w:lastRenderedPageBreak/>
        <w:t xml:space="preserve">legal, and economic impacts of deviation, locating the emergence of an ideology of normalcy at the following philosophical and historical juncture: </w:t>
      </w:r>
    </w:p>
    <w:p w14:paraId="2BA23B04" w14:textId="1B36B26E" w:rsidR="002048B4" w:rsidRDefault="00584F97" w:rsidP="002048B4">
      <w:pPr>
        <w:spacing w:line="480" w:lineRule="auto"/>
        <w:ind w:left="1440"/>
        <w:rPr>
          <w:rFonts w:asciiTheme="majorBidi" w:eastAsia="Calibri" w:hAnsiTheme="majorBidi" w:cstheme="majorBidi"/>
          <w:szCs w:val="22"/>
        </w:rPr>
      </w:pPr>
      <w:r w:rsidRPr="00584F97">
        <w:rPr>
          <w:rFonts w:asciiTheme="majorBidi" w:eastAsia="Calibri" w:hAnsiTheme="majorBidi" w:cstheme="majorBidi"/>
          <w:szCs w:val="22"/>
        </w:rPr>
        <w:t>The economic theorists Adam Smith and, later, David Ricardo privileged competition and a free-market economy. Their ideology punished individuals who could not support themselves, condemning many people with disabilities to the social role of parasite</w:t>
      </w:r>
      <w:proofErr w:type="gramStart"/>
      <w:r w:rsidRPr="00584F97">
        <w:rPr>
          <w:rFonts w:asciiTheme="majorBidi" w:eastAsia="Calibri" w:hAnsiTheme="majorBidi" w:cstheme="majorBidi"/>
          <w:szCs w:val="22"/>
        </w:rPr>
        <w:t>. . . .</w:t>
      </w:r>
      <w:proofErr w:type="gramEnd"/>
      <w:r w:rsidRPr="00584F97">
        <w:rPr>
          <w:rFonts w:asciiTheme="majorBidi" w:eastAsia="Calibri" w:hAnsiTheme="majorBidi" w:cstheme="majorBidi"/>
          <w:szCs w:val="22"/>
        </w:rPr>
        <w:t xml:space="preserve"> Contributing to that critique [of those who could not work] was the passage in 1834 of the Poor Law Amendment Act</w:t>
      </w:r>
      <w:r w:rsidR="002048B4">
        <w:rPr>
          <w:rFonts w:asciiTheme="majorBidi" w:eastAsia="Calibri" w:hAnsiTheme="majorBidi" w:cstheme="majorBidi"/>
          <w:szCs w:val="22"/>
        </w:rPr>
        <w:t>.</w:t>
      </w:r>
      <w:r w:rsidRPr="00584F97">
        <w:rPr>
          <w:rFonts w:asciiTheme="majorBidi" w:eastAsia="Calibri" w:hAnsiTheme="majorBidi" w:cstheme="majorBidi"/>
          <w:szCs w:val="22"/>
        </w:rPr>
        <w:t xml:space="preserve"> (547) </w:t>
      </w:r>
    </w:p>
    <w:p w14:paraId="442A30AC" w14:textId="7F43722A" w:rsidR="00584F97" w:rsidRPr="00584F97" w:rsidRDefault="00584F97" w:rsidP="002048B4">
      <w:pPr>
        <w:spacing w:line="480" w:lineRule="auto"/>
        <w:rPr>
          <w:rFonts w:asciiTheme="majorBidi" w:eastAsia="Calibri" w:hAnsiTheme="majorBidi" w:cstheme="majorBidi"/>
          <w:szCs w:val="22"/>
        </w:rPr>
      </w:pPr>
      <w:r w:rsidRPr="00584F97">
        <w:rPr>
          <w:rFonts w:asciiTheme="majorBidi" w:eastAsia="Calibri" w:hAnsiTheme="majorBidi" w:cstheme="majorBidi"/>
          <w:szCs w:val="22"/>
        </w:rPr>
        <w:t>Sociologist Michael Oliver, too, labels the 1834 Poor Law Amendment Act as “an important part in this process of increasing specialization” in which the category of disability became “crucial in separating out those unwilling from those unable to work</w:t>
      </w:r>
      <w:r w:rsidR="00762845">
        <w:rPr>
          <w:rFonts w:asciiTheme="majorBidi" w:eastAsia="Calibri" w:hAnsiTheme="majorBidi" w:cstheme="majorBidi"/>
          <w:szCs w:val="22"/>
        </w:rPr>
        <w:t xml:space="preserve">” </w:t>
      </w:r>
      <w:r w:rsidR="00762845" w:rsidRPr="00584F97">
        <w:rPr>
          <w:rFonts w:asciiTheme="majorBidi" w:eastAsia="Calibri" w:hAnsiTheme="majorBidi" w:cstheme="majorBidi"/>
          <w:szCs w:val="22"/>
        </w:rPr>
        <w:t>(</w:t>
      </w:r>
      <w:r w:rsidR="00762845" w:rsidRPr="00584F97">
        <w:rPr>
          <w:rFonts w:asciiTheme="majorBidi" w:eastAsia="Calibri" w:hAnsiTheme="majorBidi" w:cstheme="majorBidi"/>
          <w:i/>
          <w:szCs w:val="22"/>
        </w:rPr>
        <w:t>The Politics</w:t>
      </w:r>
      <w:r w:rsidR="00762845">
        <w:rPr>
          <w:rFonts w:asciiTheme="majorBidi" w:eastAsia="Calibri" w:hAnsiTheme="majorBidi" w:cstheme="majorBidi"/>
          <w:i/>
          <w:szCs w:val="22"/>
        </w:rPr>
        <w:t xml:space="preserve"> of Disablement</w:t>
      </w:r>
      <w:r w:rsidR="00762845" w:rsidRPr="00584F97">
        <w:rPr>
          <w:rFonts w:asciiTheme="majorBidi" w:eastAsia="Calibri" w:hAnsiTheme="majorBidi" w:cstheme="majorBidi"/>
          <w:szCs w:val="22"/>
        </w:rPr>
        <w:t xml:space="preserve"> 34)</w:t>
      </w:r>
      <w:r w:rsidRPr="00584F97">
        <w:rPr>
          <w:rFonts w:asciiTheme="majorBidi" w:eastAsia="Calibri" w:hAnsiTheme="majorBidi" w:cstheme="majorBidi"/>
          <w:szCs w:val="22"/>
        </w:rPr>
        <w:t>.</w:t>
      </w:r>
      <w:r w:rsidRPr="00584F97">
        <w:rPr>
          <w:rFonts w:asciiTheme="majorBidi" w:eastAsia="Calibri" w:hAnsiTheme="majorBidi" w:cstheme="majorBidi"/>
          <w:szCs w:val="22"/>
          <w:vertAlign w:val="superscript"/>
        </w:rPr>
        <w:footnoteReference w:id="16"/>
      </w:r>
      <w:r w:rsidRPr="00584F97">
        <w:rPr>
          <w:rFonts w:asciiTheme="majorBidi" w:eastAsia="Calibri" w:hAnsiTheme="majorBidi" w:cstheme="majorBidi"/>
          <w:szCs w:val="22"/>
        </w:rPr>
        <w:t xml:space="preserve"> In response, new literary genres facilitated the imaginative playing out of this hierarchization and marginalization of disabled people. And as Mark Mossman has established, within this historical and literary context,</w:t>
      </w:r>
      <w:r w:rsidR="00AF0BC4" w:rsidRPr="002A5475">
        <w:rPr>
          <w:rFonts w:asciiTheme="majorBidi" w:eastAsia="Calibri" w:hAnsiTheme="majorBidi" w:cstheme="majorBidi"/>
          <w:szCs w:val="22"/>
        </w:rPr>
        <w:t xml:space="preserve"> </w:t>
      </w:r>
      <w:r w:rsidRPr="00584F97">
        <w:rPr>
          <w:rFonts w:asciiTheme="majorBidi" w:eastAsia="Calibri" w:hAnsiTheme="majorBidi" w:cstheme="majorBidi"/>
          <w:szCs w:val="22"/>
        </w:rPr>
        <w:t>disability studies</w:t>
      </w:r>
      <w:r w:rsidR="00AF0BC4" w:rsidRPr="002A5475">
        <w:rPr>
          <w:rFonts w:asciiTheme="majorBidi" w:eastAsia="Calibri" w:hAnsiTheme="majorBidi" w:cstheme="majorBidi"/>
          <w:szCs w:val="22"/>
        </w:rPr>
        <w:t xml:space="preserve"> </w:t>
      </w:r>
      <w:proofErr w:type="gramStart"/>
      <w:r w:rsidRPr="00584F97">
        <w:rPr>
          <w:rFonts w:asciiTheme="majorBidi" w:eastAsia="Calibri" w:hAnsiTheme="majorBidi" w:cstheme="majorBidi"/>
          <w:szCs w:val="22"/>
        </w:rPr>
        <w:t>has</w:t>
      </w:r>
      <w:proofErr w:type="gramEnd"/>
      <w:r w:rsidRPr="00584F97">
        <w:rPr>
          <w:rFonts w:asciiTheme="majorBidi" w:eastAsia="Calibri" w:hAnsiTheme="majorBidi" w:cstheme="majorBidi"/>
          <w:szCs w:val="22"/>
        </w:rPr>
        <w:t xml:space="preserve"> the capacity to function as a way to “read backwards—to read Victorian culture and to re-interpret representations of physical difference in nineteenth-century texts” (“Representations” 484). From this vantage, the application of a</w:t>
      </w:r>
      <w:r w:rsidR="00AF0BC4" w:rsidRPr="002A5475">
        <w:rPr>
          <w:rFonts w:asciiTheme="majorBidi" w:eastAsia="Calibri" w:hAnsiTheme="majorBidi" w:cstheme="majorBidi"/>
          <w:szCs w:val="22"/>
        </w:rPr>
        <w:t xml:space="preserve"> </w:t>
      </w:r>
      <w:r w:rsidRPr="00584F97">
        <w:rPr>
          <w:rFonts w:asciiTheme="majorBidi" w:eastAsia="Calibri" w:hAnsiTheme="majorBidi" w:cstheme="majorBidi"/>
          <w:szCs w:val="22"/>
        </w:rPr>
        <w:t>disability studies</w:t>
      </w:r>
      <w:r w:rsidR="00AF0BC4" w:rsidRPr="002A5475">
        <w:rPr>
          <w:rFonts w:asciiTheme="majorBidi" w:eastAsia="Calibri" w:hAnsiTheme="majorBidi" w:cstheme="majorBidi"/>
          <w:szCs w:val="22"/>
        </w:rPr>
        <w:t xml:space="preserve"> </w:t>
      </w:r>
      <w:r w:rsidRPr="00584F97">
        <w:rPr>
          <w:rFonts w:asciiTheme="majorBidi" w:eastAsia="Calibri" w:hAnsiTheme="majorBidi" w:cstheme="majorBidi"/>
          <w:szCs w:val="22"/>
        </w:rPr>
        <w:t>lens to Victorian fiction enables me to posit the reciprocal relationship between emergent narrative and cultural frameworks as integral to the embodiment of difference generated by newly objectified normal/abnormal, fit/unfit binaries.</w:t>
      </w:r>
    </w:p>
    <w:p w14:paraId="219A169F" w14:textId="2D3F4A7A" w:rsidR="00584F97" w:rsidRPr="00584F97" w:rsidRDefault="00584F97" w:rsidP="00584F97">
      <w:pPr>
        <w:spacing w:line="480" w:lineRule="auto"/>
        <w:rPr>
          <w:rFonts w:asciiTheme="majorBidi" w:eastAsia="Calibri" w:hAnsiTheme="majorBidi" w:cstheme="majorBidi"/>
          <w:szCs w:val="22"/>
        </w:rPr>
      </w:pPr>
      <w:r w:rsidRPr="00584F97">
        <w:rPr>
          <w:rFonts w:asciiTheme="majorBidi" w:eastAsia="Calibri" w:hAnsiTheme="majorBidi" w:cstheme="majorBidi"/>
          <w:szCs w:val="22"/>
        </w:rPr>
        <w:tab/>
        <w:t xml:space="preserve">At this juncture, it is worth noting that the term “disability” necessarily implies a sort of presentism. It did not exist in the nineteenth century, as it does now, as a common descriptor for </w:t>
      </w:r>
      <w:r w:rsidRPr="00584F97">
        <w:rPr>
          <w:rFonts w:asciiTheme="majorBidi" w:eastAsia="Calibri" w:hAnsiTheme="majorBidi" w:cstheme="majorBidi"/>
          <w:szCs w:val="22"/>
        </w:rPr>
        <w:lastRenderedPageBreak/>
        <w:t xml:space="preserve">physical, neurological, or other developmental difference. Henry Mayhew’s </w:t>
      </w:r>
      <w:r w:rsidRPr="00584F97">
        <w:rPr>
          <w:rFonts w:asciiTheme="majorBidi" w:eastAsia="Calibri" w:hAnsiTheme="majorBidi" w:cstheme="majorBidi"/>
          <w:i/>
          <w:iCs/>
          <w:szCs w:val="22"/>
        </w:rPr>
        <w:t xml:space="preserve">London Labour and the London Poor </w:t>
      </w:r>
      <w:r w:rsidRPr="00584F97">
        <w:rPr>
          <w:rFonts w:asciiTheme="majorBidi" w:eastAsia="Calibri" w:hAnsiTheme="majorBidi" w:cstheme="majorBidi"/>
          <w:szCs w:val="22"/>
        </w:rPr>
        <w:t>(1849-50), for instance, tends to classify “able-bodied” persons in his mid-century survey against those whom he describes, variously, as “crippled,” “deformed,” “lame,” “afflicted,” and “maimed”: adjectives that have long since become outmoded and offensive.</w:t>
      </w:r>
      <w:r w:rsidRPr="00584F97">
        <w:rPr>
          <w:rFonts w:asciiTheme="majorBidi" w:eastAsia="Calibri" w:hAnsiTheme="majorBidi" w:cstheme="majorBidi"/>
          <w:szCs w:val="22"/>
          <w:vertAlign w:val="superscript"/>
        </w:rPr>
        <w:footnoteReference w:id="17"/>
      </w:r>
      <w:r w:rsidRPr="00584F97">
        <w:rPr>
          <w:rFonts w:asciiTheme="majorBidi" w:eastAsia="Calibri" w:hAnsiTheme="majorBidi" w:cstheme="majorBidi"/>
          <w:szCs w:val="22"/>
        </w:rPr>
        <w:t xml:space="preserve"> The term “disabled” does make an occasional appearance in Mayhew’s vignettes, typically when the subject’s “affliction” stems from or bars them from work. In retroactively applying the term “disability” to nineteenth-century characters, I mean to underscore the emerging social identity that inheres in that physical alterity. </w:t>
      </w:r>
    </w:p>
    <w:p w14:paraId="2F6286F6" w14:textId="77777777" w:rsidR="00584F97" w:rsidRPr="00584F97" w:rsidRDefault="00584F97" w:rsidP="00584F97">
      <w:pPr>
        <w:spacing w:line="480" w:lineRule="auto"/>
        <w:rPr>
          <w:rFonts w:asciiTheme="majorBidi" w:eastAsia="Calibri" w:hAnsiTheme="majorBidi" w:cstheme="majorBidi"/>
          <w:szCs w:val="22"/>
        </w:rPr>
      </w:pPr>
      <w:r w:rsidRPr="00584F97">
        <w:rPr>
          <w:rFonts w:asciiTheme="majorBidi" w:eastAsia="Calibri" w:hAnsiTheme="majorBidi" w:cstheme="majorBidi"/>
          <w:szCs w:val="22"/>
        </w:rPr>
        <w:tab/>
        <w:t>Indeed, the alterity signified by prosthetics often marks the obscure, liminal spaces occupied by or comprising those objects. In early nineteenth-century and Gothic works of fiction that feature disability, the artistic translation of prosthetics renders those material extensions as something approaching sublime.</w:t>
      </w:r>
      <w:r w:rsidRPr="00584F97">
        <w:rPr>
          <w:rFonts w:asciiTheme="majorBidi" w:eastAsia="Calibri" w:hAnsiTheme="majorBidi" w:cstheme="majorBidi"/>
          <w:szCs w:val="22"/>
          <w:vertAlign w:val="superscript"/>
        </w:rPr>
        <w:footnoteReference w:id="18"/>
      </w:r>
      <w:r w:rsidRPr="00584F97">
        <w:rPr>
          <w:rFonts w:asciiTheme="majorBidi" w:eastAsia="Calibri" w:hAnsiTheme="majorBidi" w:cstheme="majorBidi"/>
          <w:szCs w:val="22"/>
        </w:rPr>
        <w:t xml:space="preserve"> Of course, artistic instances of the sublime, like the sublime </w:t>
      </w:r>
      <w:r w:rsidRPr="00584F97">
        <w:rPr>
          <w:rFonts w:asciiTheme="majorBidi" w:eastAsia="Calibri" w:hAnsiTheme="majorBidi" w:cstheme="majorBidi"/>
          <w:szCs w:val="22"/>
        </w:rPr>
        <w:lastRenderedPageBreak/>
        <w:t>subject itself, remain nebulous—and it is clear that Romantic expressions of the sublime do not necessarily align with Victorian or Modern (or Postmodern) engagements with the sublime, especially those that appear in a post-Hegelian, post-Darwinian age.</w:t>
      </w:r>
      <w:r w:rsidRPr="00584F97">
        <w:rPr>
          <w:rFonts w:asciiTheme="majorBidi" w:eastAsia="Calibri" w:hAnsiTheme="majorBidi" w:cstheme="majorBidi"/>
          <w:szCs w:val="22"/>
          <w:vertAlign w:val="superscript"/>
        </w:rPr>
        <w:footnoteReference w:id="19"/>
      </w:r>
      <w:r w:rsidRPr="00584F97">
        <w:rPr>
          <w:rFonts w:asciiTheme="majorBidi" w:eastAsia="Calibri" w:hAnsiTheme="majorBidi" w:cstheme="majorBidi"/>
          <w:szCs w:val="22"/>
        </w:rPr>
        <w:t xml:space="preserve"> Indeterminate by nature, the sublime in art exists always as a blended aesthetic experience: one that defies neat categorization. Philosophers and psychologists, have arrived at a similar theoretical impasse. Etymologically, the sublime or the subliminal refers to something that is under or close to (</w:t>
      </w:r>
      <w:r w:rsidRPr="00584F97">
        <w:rPr>
          <w:rFonts w:asciiTheme="majorBidi" w:eastAsia="Calibri" w:hAnsiTheme="majorBidi" w:cstheme="majorBidi"/>
          <w:i/>
          <w:iCs/>
          <w:szCs w:val="22"/>
        </w:rPr>
        <w:t>sub</w:t>
      </w:r>
      <w:r w:rsidRPr="00584F97">
        <w:rPr>
          <w:rFonts w:asciiTheme="majorBidi" w:eastAsia="Calibri" w:hAnsiTheme="majorBidi" w:cstheme="majorBidi"/>
          <w:szCs w:val="22"/>
        </w:rPr>
        <w:t>) the threshold (</w:t>
      </w:r>
      <w:r w:rsidRPr="00584F97">
        <w:rPr>
          <w:rFonts w:asciiTheme="majorBidi" w:eastAsia="Calibri" w:hAnsiTheme="majorBidi" w:cstheme="majorBidi"/>
          <w:i/>
          <w:iCs/>
          <w:szCs w:val="22"/>
        </w:rPr>
        <w:t>limen</w:t>
      </w:r>
      <w:r w:rsidRPr="00584F97">
        <w:rPr>
          <w:rFonts w:asciiTheme="majorBidi" w:eastAsia="Calibri" w:hAnsiTheme="majorBidi" w:cstheme="majorBidi"/>
          <w:szCs w:val="22"/>
        </w:rPr>
        <w:t>) “required for conscious response” or “required to elicit a response” (</w:t>
      </w:r>
      <w:r w:rsidRPr="00584F97">
        <w:rPr>
          <w:rFonts w:asciiTheme="majorBidi" w:eastAsia="Calibri" w:hAnsiTheme="majorBidi" w:cstheme="majorBidi"/>
          <w:i/>
          <w:iCs/>
          <w:szCs w:val="22"/>
        </w:rPr>
        <w:t>Oxford English Dictionary</w:t>
      </w:r>
      <w:r w:rsidRPr="00584F97">
        <w:rPr>
          <w:rFonts w:asciiTheme="majorBidi" w:eastAsia="Calibri" w:hAnsiTheme="majorBidi" w:cstheme="majorBidi"/>
          <w:szCs w:val="22"/>
        </w:rPr>
        <w:t>).</w:t>
      </w:r>
      <w:r w:rsidRPr="00584F97">
        <w:rPr>
          <w:rFonts w:asciiTheme="majorBidi" w:eastAsia="Calibri" w:hAnsiTheme="majorBidi" w:cstheme="majorBidi"/>
          <w:szCs w:val="22"/>
          <w:vertAlign w:val="superscript"/>
        </w:rPr>
        <w:footnoteReference w:id="20"/>
      </w:r>
      <w:r w:rsidRPr="00584F97">
        <w:rPr>
          <w:rFonts w:asciiTheme="majorBidi" w:eastAsia="Calibri" w:hAnsiTheme="majorBidi" w:cstheme="majorBidi"/>
          <w:szCs w:val="22"/>
        </w:rPr>
        <w:t xml:space="preserve"> If the </w:t>
      </w:r>
      <w:r w:rsidRPr="00584F97">
        <w:rPr>
          <w:rFonts w:asciiTheme="majorBidi" w:eastAsia="Calibri" w:hAnsiTheme="majorBidi" w:cstheme="majorBidi"/>
          <w:i/>
          <w:iCs/>
          <w:szCs w:val="22"/>
        </w:rPr>
        <w:t>limen</w:t>
      </w:r>
      <w:r w:rsidRPr="00584F97">
        <w:rPr>
          <w:rFonts w:asciiTheme="majorBidi" w:eastAsia="Calibri" w:hAnsiTheme="majorBidi" w:cstheme="majorBidi"/>
          <w:szCs w:val="22"/>
        </w:rPr>
        <w:t xml:space="preserve"> marks the “limit below which a given stimulus ceases to be perceptible,” as measured by the response, does the sublime constitute the stimulus or the response? As one cannot exist in a meaningful way without the other (i.e., there is no response without a stimulus, and a stimulus is insignificant if it fails to produce a response), the question hardly matters. </w:t>
      </w:r>
    </w:p>
    <w:p w14:paraId="71E063DB" w14:textId="50EF3C45" w:rsidR="00584F97" w:rsidRPr="00584F97" w:rsidRDefault="00584F97" w:rsidP="00584F97">
      <w:pPr>
        <w:spacing w:line="480" w:lineRule="auto"/>
        <w:ind w:firstLine="720"/>
        <w:rPr>
          <w:rFonts w:asciiTheme="majorBidi" w:eastAsia="Calibri" w:hAnsiTheme="majorBidi" w:cstheme="majorBidi"/>
          <w:szCs w:val="22"/>
        </w:rPr>
      </w:pPr>
      <w:r w:rsidRPr="00584F97">
        <w:rPr>
          <w:rFonts w:asciiTheme="majorBidi" w:eastAsia="Calibri" w:hAnsiTheme="majorBidi" w:cstheme="majorBidi"/>
          <w:szCs w:val="22"/>
        </w:rPr>
        <w:t>The point, really, concerns the myriad ways the artist dwells in liminal and subliminal spaces, which are, by definition, not exclusively confined to any particular subject or object. Prosthetic objects are, in every respect, (sub)liminal objects: “characterized by being on a boundary or threshold, esp. by being transitional between two states, situations, etc.”</w:t>
      </w:r>
      <w:r w:rsidRPr="00584F97">
        <w:rPr>
          <w:rFonts w:asciiTheme="majorBidi" w:eastAsia="Calibri" w:hAnsiTheme="majorBidi" w:cstheme="majorBidi"/>
          <w:szCs w:val="22"/>
          <w:vertAlign w:val="superscript"/>
        </w:rPr>
        <w:footnoteReference w:id="21"/>
      </w:r>
      <w:r w:rsidRPr="00584F97">
        <w:rPr>
          <w:rFonts w:asciiTheme="majorBidi" w:eastAsia="Calibri" w:hAnsiTheme="majorBidi" w:cstheme="majorBidi"/>
          <w:szCs w:val="22"/>
        </w:rPr>
        <w:t xml:space="preserve"> Their status as uncanny quasi-parts dictates that they must exist always up or close to the </w:t>
      </w:r>
      <w:r w:rsidRPr="00584F97">
        <w:rPr>
          <w:rFonts w:asciiTheme="majorBidi" w:eastAsia="Calibri" w:hAnsiTheme="majorBidi" w:cstheme="majorBidi"/>
          <w:i/>
          <w:iCs/>
          <w:szCs w:val="22"/>
        </w:rPr>
        <w:t>limis</w:t>
      </w:r>
      <w:r w:rsidRPr="00584F97">
        <w:rPr>
          <w:rFonts w:asciiTheme="majorBidi" w:eastAsia="Calibri" w:hAnsiTheme="majorBidi" w:cstheme="majorBidi"/>
          <w:szCs w:val="22"/>
        </w:rPr>
        <w:t xml:space="preserve">. They </w:t>
      </w:r>
      <w:r w:rsidRPr="00584F97">
        <w:rPr>
          <w:rFonts w:asciiTheme="majorBidi" w:eastAsia="Calibri" w:hAnsiTheme="majorBidi" w:cstheme="majorBidi"/>
          <w:szCs w:val="22"/>
        </w:rPr>
        <w:lastRenderedPageBreak/>
        <w:t xml:space="preserve">act in conjunction with the organic body but are themselves artificial. They occupy a state that is at once and always transitional and permanent. They demonstrate the plasticity of the human form while carving rigid dividing lines among those various forms. While the sublime and the subliminal are clearly distinct concepts, their etymological linkage in the prosthetic object highlights the instability of the body that often unmoors and unsettles the nondisabled observer or reader. In their elemental indeterminacy, prostheses are suggestive of the human body’s inescapable association with and </w:t>
      </w:r>
      <w:r w:rsidR="00317A99">
        <w:rPr>
          <w:rFonts w:asciiTheme="majorBidi" w:eastAsia="Calibri" w:hAnsiTheme="majorBidi" w:cstheme="majorBidi"/>
          <w:szCs w:val="22"/>
        </w:rPr>
        <w:t>dependence</w:t>
      </w:r>
      <w:r w:rsidRPr="00584F97">
        <w:rPr>
          <w:rFonts w:asciiTheme="majorBidi" w:eastAsia="Calibri" w:hAnsiTheme="majorBidi" w:cstheme="majorBidi"/>
          <w:szCs w:val="22"/>
        </w:rPr>
        <w:t xml:space="preserve"> on the material world it inhabits. What other object, turned over in the artistic imagination, could elicit such anxiogenic feelings of awe and terror about the volatility of the human condition? </w:t>
      </w:r>
    </w:p>
    <w:p w14:paraId="4863B641" w14:textId="607786F5" w:rsidR="00584F97" w:rsidRPr="00584F97" w:rsidRDefault="00584F97" w:rsidP="00584F97">
      <w:pPr>
        <w:spacing w:line="480" w:lineRule="auto"/>
        <w:rPr>
          <w:rFonts w:asciiTheme="majorBidi" w:eastAsia="Calibri" w:hAnsiTheme="majorBidi" w:cstheme="majorBidi"/>
          <w:szCs w:val="22"/>
        </w:rPr>
      </w:pPr>
      <w:r w:rsidRPr="00584F97">
        <w:rPr>
          <w:rFonts w:asciiTheme="majorBidi" w:eastAsia="Calibri" w:hAnsiTheme="majorBidi" w:cstheme="majorBidi"/>
          <w:szCs w:val="22"/>
        </w:rPr>
        <w:t xml:space="preserve"> </w:t>
      </w:r>
      <w:r w:rsidRPr="00584F97">
        <w:rPr>
          <w:rFonts w:asciiTheme="majorBidi" w:eastAsia="Calibri" w:hAnsiTheme="majorBidi" w:cstheme="majorBidi"/>
          <w:szCs w:val="22"/>
        </w:rPr>
        <w:tab/>
        <w:t>Of course, while artistic conceptions of the prosthetic object (and what it portends for the human character) may emerge as sublime, individual prosthetic devices could certainly be called simply beautiful or unimpressive, eliciting a wide range of emotional responses.</w:t>
      </w:r>
      <w:r w:rsidRPr="00584F97">
        <w:rPr>
          <w:rFonts w:asciiTheme="majorBidi" w:eastAsia="Calibri" w:hAnsiTheme="majorBidi" w:cstheme="majorBidi"/>
          <w:szCs w:val="22"/>
          <w:vertAlign w:val="superscript"/>
        </w:rPr>
        <w:footnoteReference w:id="22"/>
      </w:r>
      <w:r w:rsidRPr="00584F97">
        <w:rPr>
          <w:rFonts w:asciiTheme="majorBidi" w:eastAsia="Calibri" w:hAnsiTheme="majorBidi" w:cstheme="majorBidi"/>
          <w:szCs w:val="22"/>
        </w:rPr>
        <w:t xml:space="preserve"> Infinitely plastic, assistive accessories in nineteenth-century novels can provoke sympathy (as in the case of Charles Dickens’s Tiny Tim and his equally tiny crutch) (</w:t>
      </w:r>
      <w:r w:rsidRPr="00584F97">
        <w:rPr>
          <w:rFonts w:asciiTheme="majorBidi" w:eastAsia="Calibri" w:hAnsiTheme="majorBidi" w:cstheme="majorBidi"/>
          <w:i/>
          <w:szCs w:val="22"/>
        </w:rPr>
        <w:t>A Christmas Carol</w:t>
      </w:r>
      <w:r w:rsidRPr="00584F97">
        <w:rPr>
          <w:rFonts w:asciiTheme="majorBidi" w:eastAsia="Calibri" w:hAnsiTheme="majorBidi" w:cstheme="majorBidi"/>
          <w:szCs w:val="22"/>
        </w:rPr>
        <w:t>, 1843)</w:t>
      </w:r>
      <w:r w:rsidR="001943D4">
        <w:rPr>
          <w:rFonts w:asciiTheme="majorBidi" w:eastAsia="Calibri" w:hAnsiTheme="majorBidi" w:cstheme="majorBidi"/>
          <w:szCs w:val="22"/>
        </w:rPr>
        <w:t>;</w:t>
      </w:r>
      <w:r w:rsidRPr="00584F97">
        <w:rPr>
          <w:rFonts w:asciiTheme="majorBidi" w:eastAsia="Calibri" w:hAnsiTheme="majorBidi" w:cstheme="majorBidi"/>
          <w:szCs w:val="22"/>
        </w:rPr>
        <w:t xml:space="preserve"> arouse suspicion or sexual intrigue (as in the case of Anthony Trollope’s Signora Neroni and her gilded couch) (</w:t>
      </w:r>
      <w:r w:rsidRPr="00584F97">
        <w:rPr>
          <w:rFonts w:asciiTheme="majorBidi" w:eastAsia="Calibri" w:hAnsiTheme="majorBidi" w:cstheme="majorBidi"/>
          <w:i/>
          <w:szCs w:val="22"/>
        </w:rPr>
        <w:t>Barchester Towers</w:t>
      </w:r>
      <w:r w:rsidRPr="00584F97">
        <w:rPr>
          <w:rFonts w:asciiTheme="majorBidi" w:eastAsia="Calibri" w:hAnsiTheme="majorBidi" w:cstheme="majorBidi"/>
          <w:szCs w:val="22"/>
        </w:rPr>
        <w:t>, 1857)</w:t>
      </w:r>
      <w:r w:rsidR="001943D4">
        <w:rPr>
          <w:rFonts w:asciiTheme="majorBidi" w:eastAsia="Calibri" w:hAnsiTheme="majorBidi" w:cstheme="majorBidi"/>
          <w:szCs w:val="22"/>
        </w:rPr>
        <w:t>;</w:t>
      </w:r>
      <w:r w:rsidRPr="00584F97">
        <w:rPr>
          <w:rFonts w:asciiTheme="majorBidi" w:eastAsia="Calibri" w:hAnsiTheme="majorBidi" w:cstheme="majorBidi"/>
          <w:szCs w:val="22"/>
        </w:rPr>
        <w:t xml:space="preserve"> literalize and ossify hierarchical distinctions (as in the case of Dickens’s Silas Wegg or Gustave Flaubert’s Hippolyte and their working-class legs) (</w:t>
      </w:r>
      <w:r w:rsidRPr="00584F97">
        <w:rPr>
          <w:rFonts w:asciiTheme="majorBidi" w:eastAsia="Calibri" w:hAnsiTheme="majorBidi" w:cstheme="majorBidi"/>
          <w:i/>
          <w:szCs w:val="22"/>
        </w:rPr>
        <w:t>Our Mutual Friend</w:t>
      </w:r>
      <w:r w:rsidRPr="00584F97">
        <w:rPr>
          <w:rFonts w:asciiTheme="majorBidi" w:eastAsia="Calibri" w:hAnsiTheme="majorBidi" w:cstheme="majorBidi"/>
          <w:szCs w:val="22"/>
        </w:rPr>
        <w:t xml:space="preserve">, 1864-65; </w:t>
      </w:r>
      <w:r w:rsidRPr="00584F97">
        <w:rPr>
          <w:rFonts w:asciiTheme="majorBidi" w:eastAsia="Calibri" w:hAnsiTheme="majorBidi" w:cstheme="majorBidi"/>
          <w:i/>
          <w:szCs w:val="22"/>
        </w:rPr>
        <w:t>Madame Bovary</w:t>
      </w:r>
      <w:r w:rsidRPr="00584F97">
        <w:rPr>
          <w:rFonts w:asciiTheme="majorBidi" w:eastAsia="Calibri" w:hAnsiTheme="majorBidi" w:cstheme="majorBidi"/>
          <w:szCs w:val="22"/>
        </w:rPr>
        <w:t>, 1856)</w:t>
      </w:r>
      <w:r w:rsidR="001943D4">
        <w:rPr>
          <w:rFonts w:asciiTheme="majorBidi" w:eastAsia="Calibri" w:hAnsiTheme="majorBidi" w:cstheme="majorBidi"/>
          <w:szCs w:val="22"/>
        </w:rPr>
        <w:t>;</w:t>
      </w:r>
      <w:r w:rsidRPr="00584F97">
        <w:rPr>
          <w:rFonts w:asciiTheme="majorBidi" w:eastAsia="Calibri" w:hAnsiTheme="majorBidi" w:cstheme="majorBidi"/>
          <w:szCs w:val="22"/>
        </w:rPr>
        <w:t xml:space="preserve"> and sensationalize or dehumanize (as in the case of Wilkie Collins’s Miserrimus Dexter and his wheelchair) (</w:t>
      </w:r>
      <w:r w:rsidRPr="00584F97">
        <w:rPr>
          <w:rFonts w:asciiTheme="majorBidi" w:eastAsia="Calibri" w:hAnsiTheme="majorBidi" w:cstheme="majorBidi"/>
          <w:i/>
          <w:szCs w:val="22"/>
        </w:rPr>
        <w:t>The Law and the Lady</w:t>
      </w:r>
      <w:r w:rsidRPr="00584F97">
        <w:rPr>
          <w:rFonts w:asciiTheme="majorBidi" w:eastAsia="Calibri" w:hAnsiTheme="majorBidi" w:cstheme="majorBidi"/>
          <w:szCs w:val="22"/>
        </w:rPr>
        <w:t xml:space="preserve">, 1875). Fictional manifestations of medical technologies, like the narratives they occupy, are at once </w:t>
      </w:r>
      <w:r w:rsidRPr="00584F97">
        <w:rPr>
          <w:rFonts w:asciiTheme="majorBidi" w:eastAsia="Calibri" w:hAnsiTheme="majorBidi" w:cstheme="majorBidi"/>
          <w:szCs w:val="22"/>
        </w:rPr>
        <w:lastRenderedPageBreak/>
        <w:t xml:space="preserve">imitative, speculative, and generative. They propelled the Victorian novel towards revolutionized modes of representation by fusing organic and inorganic matter into an altogether new kind of character. As a result, examining the function of prosthetics and mobility aids in these novels affords us greater insight into the nineteenth-century redefinition of what it means to be (or counts as) human and how that perception of physical difference continues to influence our interpretation of material, bodily alterity. </w:t>
      </w:r>
    </w:p>
    <w:p w14:paraId="3453B275" w14:textId="1FC85385" w:rsidR="00584F97" w:rsidRPr="00584F97" w:rsidRDefault="00584F97" w:rsidP="00584F97">
      <w:pPr>
        <w:spacing w:line="480" w:lineRule="auto"/>
        <w:rPr>
          <w:rFonts w:asciiTheme="majorBidi" w:eastAsia="Calibri" w:hAnsiTheme="majorBidi" w:cstheme="majorBidi"/>
        </w:rPr>
      </w:pPr>
      <w:r w:rsidRPr="00584F97">
        <w:rPr>
          <w:rFonts w:asciiTheme="majorBidi" w:eastAsia="Calibri" w:hAnsiTheme="majorBidi" w:cstheme="majorBidi"/>
        </w:rPr>
        <w:tab/>
        <w:t xml:space="preserve">To complicate the human-object network of disabled representation further, while some fictionalized prosthetics discussed here are recognizably medical (e.g., Silas Wegg’s artificial leg in Dickens’s </w:t>
      </w:r>
      <w:r w:rsidRPr="00584F97">
        <w:rPr>
          <w:rFonts w:asciiTheme="majorBidi" w:eastAsia="Calibri" w:hAnsiTheme="majorBidi" w:cstheme="majorBidi"/>
          <w:i/>
          <w:iCs/>
        </w:rPr>
        <w:t>Our Mutual Friend</w:t>
      </w:r>
      <w:r w:rsidRPr="00584F97">
        <w:rPr>
          <w:rFonts w:asciiTheme="majorBidi" w:eastAsia="Calibri" w:hAnsiTheme="majorBidi" w:cstheme="majorBidi"/>
        </w:rPr>
        <w:t xml:space="preserve">), others appear informal (e.g., Signora Neroni’s highly decorative sofa in Anthony Trollope’s </w:t>
      </w:r>
      <w:r w:rsidRPr="00584F97">
        <w:rPr>
          <w:rFonts w:asciiTheme="majorBidi" w:eastAsia="Calibri" w:hAnsiTheme="majorBidi" w:cstheme="majorBidi"/>
          <w:i/>
          <w:iCs/>
        </w:rPr>
        <w:t>Barchester Towers</w:t>
      </w:r>
      <w:r w:rsidRPr="00584F97">
        <w:rPr>
          <w:rFonts w:asciiTheme="majorBidi" w:eastAsia="Calibri" w:hAnsiTheme="majorBidi" w:cstheme="majorBidi"/>
        </w:rPr>
        <w:t>). As a catchall term for a wide range of devices, how does “prosthesis” contribute to our understanding of the disability continuum? What counts, and how does the type of prosthesis adopted by a disabled character affect our reading of their person? A brief etymology of the term “prosthesis” helps clarify and unravel some of its early connotations, denotations, and evolutions and provides a foundational grasp of the historical implications on which the</w:t>
      </w:r>
      <w:r w:rsidR="00F65069">
        <w:rPr>
          <w:rFonts w:asciiTheme="majorBidi" w:eastAsia="Calibri" w:hAnsiTheme="majorBidi" w:cstheme="majorBidi"/>
        </w:rPr>
        <w:t xml:space="preserve"> </w:t>
      </w:r>
      <w:r w:rsidRPr="00584F97">
        <w:rPr>
          <w:rFonts w:asciiTheme="majorBidi" w:eastAsia="Calibri" w:hAnsiTheme="majorBidi" w:cstheme="majorBidi"/>
        </w:rPr>
        <w:t>disability studies</w:t>
      </w:r>
      <w:r w:rsidR="00F65069">
        <w:rPr>
          <w:rFonts w:asciiTheme="majorBidi" w:eastAsia="Calibri" w:hAnsiTheme="majorBidi" w:cstheme="majorBidi"/>
        </w:rPr>
        <w:t xml:space="preserve"> </w:t>
      </w:r>
      <w:r w:rsidRPr="00584F97">
        <w:rPr>
          <w:rFonts w:asciiTheme="majorBidi" w:eastAsia="Calibri" w:hAnsiTheme="majorBidi" w:cstheme="majorBidi"/>
        </w:rPr>
        <w:t>community might continue to foster and pursue these points of inquiry.</w:t>
      </w:r>
      <w:r w:rsidRPr="00584F97">
        <w:rPr>
          <w:rFonts w:asciiTheme="majorBidi" w:eastAsia="Calibri" w:hAnsiTheme="majorBidi" w:cstheme="majorBidi"/>
          <w:vertAlign w:val="superscript"/>
        </w:rPr>
        <w:footnoteReference w:id="23"/>
      </w:r>
      <w:r w:rsidRPr="00584F97">
        <w:rPr>
          <w:rFonts w:asciiTheme="majorBidi" w:eastAsia="Calibri" w:hAnsiTheme="majorBidi" w:cstheme="majorBidi"/>
        </w:rPr>
        <w:t xml:space="preserve"> In 1538, Sir Thomas Eliot defined “prosthesis” as “an addicion of a lettre: as gnatus, for natus” (</w:t>
      </w:r>
      <w:r w:rsidRPr="00584F97">
        <w:rPr>
          <w:rFonts w:asciiTheme="majorBidi" w:eastAsia="Calibri" w:hAnsiTheme="majorBidi" w:cstheme="majorBidi"/>
          <w:i/>
        </w:rPr>
        <w:t>The dictionary of syr Thomas Eliot knyght</w:t>
      </w:r>
      <w:r w:rsidRPr="00584F97">
        <w:rPr>
          <w:rFonts w:asciiTheme="majorBidi" w:eastAsia="Calibri" w:hAnsiTheme="majorBidi" w:cstheme="majorBidi"/>
        </w:rPr>
        <w:t>). Richard Sherry produced a similar definition for the word in a note on “Appositio” just over a decade later.</w:t>
      </w:r>
      <w:r w:rsidRPr="00584F97">
        <w:rPr>
          <w:rFonts w:asciiTheme="majorBidi" w:eastAsia="Calibri" w:hAnsiTheme="majorBidi" w:cstheme="majorBidi"/>
          <w:vertAlign w:val="superscript"/>
        </w:rPr>
        <w:footnoteReference w:id="24"/>
      </w:r>
      <w:r w:rsidRPr="00584F97">
        <w:rPr>
          <w:rFonts w:asciiTheme="majorBidi" w:eastAsia="Calibri" w:hAnsiTheme="majorBidi" w:cstheme="majorBidi"/>
        </w:rPr>
        <w:t xml:space="preserve"> And in 1658, the word broadened; Edward Phillips described prosthesis as simply “an </w:t>
      </w:r>
      <w:r w:rsidRPr="00584F97">
        <w:rPr>
          <w:rFonts w:asciiTheme="majorBidi" w:eastAsia="Calibri" w:hAnsiTheme="majorBidi" w:cstheme="majorBidi"/>
        </w:rPr>
        <w:lastRenderedPageBreak/>
        <w:t>adding unto” (</w:t>
      </w:r>
      <w:r w:rsidRPr="00584F97">
        <w:rPr>
          <w:rFonts w:asciiTheme="majorBidi" w:eastAsia="Calibri" w:hAnsiTheme="majorBidi" w:cstheme="majorBidi"/>
          <w:i/>
        </w:rPr>
        <w:t>The new world of English words</w:t>
      </w:r>
      <w:r w:rsidRPr="00584F97">
        <w:rPr>
          <w:rFonts w:asciiTheme="majorBidi" w:eastAsia="Calibri" w:hAnsiTheme="majorBidi" w:cstheme="majorBidi"/>
        </w:rPr>
        <w:t xml:space="preserve">). Perhaps it was the expanded range of possible applications of prosthesis (the potential prosthesis of prosthesis, as it were) that allowed surgeons in the early modern period to adopt the word into their own professional lexicon. </w:t>
      </w:r>
      <w:r w:rsidRPr="00584F97">
        <w:rPr>
          <w:rFonts w:asciiTheme="majorBidi" w:eastAsia="Calibri" w:hAnsiTheme="majorBidi" w:cstheme="majorBidi"/>
          <w:shd w:val="clear" w:color="auto" w:fill="FFFFFF"/>
        </w:rPr>
        <w:t>The earliest standardized prosthetics emerged from the fields of dentistry and oral surgery decades before they extended to the rest of the human body.</w:t>
      </w:r>
      <w:r w:rsidRPr="00584F97">
        <w:rPr>
          <w:rFonts w:asciiTheme="majorBidi" w:eastAsia="Calibri" w:hAnsiTheme="majorBidi" w:cstheme="majorBidi"/>
          <w:shd w:val="clear" w:color="auto" w:fill="FFFFFF"/>
          <w:vertAlign w:val="superscript"/>
        </w:rPr>
        <w:footnoteReference w:id="25"/>
      </w:r>
      <w:r w:rsidRPr="00584F97">
        <w:rPr>
          <w:rFonts w:asciiTheme="majorBidi" w:eastAsia="Calibri" w:hAnsiTheme="majorBidi" w:cstheme="majorBidi"/>
          <w:i/>
          <w:iCs/>
          <w:shd w:val="clear" w:color="auto" w:fill="FFFFFF"/>
        </w:rPr>
        <w:t xml:space="preserve"> </w:t>
      </w:r>
      <w:r w:rsidRPr="00584F97">
        <w:rPr>
          <w:rFonts w:asciiTheme="majorBidi" w:eastAsia="Calibri" w:hAnsiTheme="majorBidi" w:cstheme="majorBidi"/>
        </w:rPr>
        <w:t>“Prosthesis,” in a sense, escaped the lips of the rhetor and grammarian in the early fifteenth century only to return a century later, ossified, in the form of material appendages for oral articulation</w:t>
      </w:r>
      <w:r w:rsidRPr="00584F97">
        <w:rPr>
          <w:rFonts w:asciiTheme="majorBidi" w:eastAsia="Calibri" w:hAnsiTheme="majorBidi" w:cstheme="majorBidi"/>
          <w:i/>
          <w:iCs/>
          <w:shd w:val="clear" w:color="auto" w:fill="FFFFFF"/>
        </w:rPr>
        <w:t>.</w:t>
      </w:r>
      <w:r w:rsidRPr="00584F97">
        <w:rPr>
          <w:rFonts w:asciiTheme="majorBidi" w:eastAsia="Calibri" w:hAnsiTheme="majorBidi" w:cstheme="majorBidi"/>
          <w:shd w:val="clear" w:color="auto" w:fill="FFFFFF"/>
        </w:rPr>
        <w:t xml:space="preserve"> Perhaps the emanation of prosthesis from dentistry is due, at the most basic level, to the integral function of teeth in maintaining human health. (Even the Etruscans and the Romans experimented with dental bridges.)</w:t>
      </w:r>
      <w:r w:rsidRPr="00584F97">
        <w:rPr>
          <w:rFonts w:asciiTheme="majorBidi" w:eastAsia="Calibri" w:hAnsiTheme="majorBidi" w:cstheme="majorBidi"/>
          <w:shd w:val="clear" w:color="auto" w:fill="FFFFFF"/>
          <w:vertAlign w:val="superscript"/>
        </w:rPr>
        <w:footnoteReference w:id="26"/>
      </w:r>
      <w:r w:rsidRPr="00584F97">
        <w:rPr>
          <w:rFonts w:asciiTheme="majorBidi" w:eastAsia="Calibri" w:hAnsiTheme="majorBidi" w:cstheme="majorBidi"/>
        </w:rPr>
        <w:t xml:space="preserve"> By the end of the seventeenth century, surgeons, as M. Le Clerc outlines in his 1696 treatise on chirurgical operations, had espoused a branch of surgery they called “prosthesis,” which “adds some Instrument or Body to supply the defect of those that are wanting; such a</w:t>
      </w:r>
      <w:r w:rsidR="00D95D7F">
        <w:rPr>
          <w:rFonts w:asciiTheme="majorBidi" w:eastAsia="Calibri" w:hAnsiTheme="majorBidi" w:cstheme="majorBidi"/>
        </w:rPr>
        <w:t>s</w:t>
      </w:r>
      <w:r w:rsidRPr="00584F97">
        <w:rPr>
          <w:rFonts w:asciiTheme="majorBidi" w:eastAsia="Calibri" w:hAnsiTheme="majorBidi" w:cstheme="majorBidi"/>
        </w:rPr>
        <w:t xml:space="preserve"> Artificial Legs and Arms, when the Natural ones are lost” (</w:t>
      </w:r>
      <w:r w:rsidRPr="00584F97">
        <w:rPr>
          <w:rFonts w:asciiTheme="majorBidi" w:eastAsia="Calibri" w:hAnsiTheme="majorBidi" w:cstheme="majorBidi"/>
          <w:i/>
        </w:rPr>
        <w:t>The Compleat Surgeon</w:t>
      </w:r>
      <w:r w:rsidRPr="00584F97">
        <w:rPr>
          <w:rFonts w:asciiTheme="majorBidi" w:eastAsia="Calibri" w:hAnsiTheme="majorBidi" w:cstheme="majorBidi"/>
          <w:iCs/>
        </w:rPr>
        <w:t>, 1696</w:t>
      </w:r>
      <w:r w:rsidRPr="00584F97">
        <w:rPr>
          <w:rFonts w:asciiTheme="majorBidi" w:eastAsia="Calibri" w:hAnsiTheme="majorBidi" w:cstheme="majorBidi"/>
        </w:rPr>
        <w:t>).</w:t>
      </w:r>
      <w:r w:rsidRPr="00584F97">
        <w:rPr>
          <w:rFonts w:asciiTheme="majorBidi" w:eastAsia="Calibri" w:hAnsiTheme="majorBidi" w:cstheme="majorBidi"/>
          <w:vertAlign w:val="superscript"/>
        </w:rPr>
        <w:footnoteReference w:id="27"/>
      </w:r>
      <w:r w:rsidRPr="00584F97">
        <w:rPr>
          <w:rFonts w:asciiTheme="majorBidi" w:eastAsia="Calibri" w:hAnsiTheme="majorBidi" w:cstheme="majorBidi"/>
        </w:rPr>
        <w:t xml:space="preserve"> William Salmon’s exegesis of prosthesis—in which he “teaches how to supply Parts which are wanting”—in his </w:t>
      </w:r>
      <w:r w:rsidRPr="00584F97">
        <w:rPr>
          <w:rFonts w:asciiTheme="majorBidi" w:eastAsia="Calibri" w:hAnsiTheme="majorBidi" w:cstheme="majorBidi"/>
          <w:i/>
        </w:rPr>
        <w:lastRenderedPageBreak/>
        <w:t>Ars chirurgica</w:t>
      </w:r>
      <w:r w:rsidRPr="00584F97">
        <w:rPr>
          <w:rFonts w:asciiTheme="majorBidi" w:eastAsia="Calibri" w:hAnsiTheme="majorBidi" w:cstheme="majorBidi"/>
        </w:rPr>
        <w:t xml:space="preserve"> (1698), too, evinces the continued development of the practice of prosthesis at the turn of the century.</w:t>
      </w:r>
      <w:r w:rsidRPr="00584F97">
        <w:rPr>
          <w:rFonts w:asciiTheme="majorBidi" w:eastAsia="Calibri" w:hAnsiTheme="majorBidi" w:cstheme="majorBidi"/>
          <w:vertAlign w:val="superscript"/>
        </w:rPr>
        <w:footnoteReference w:id="28"/>
      </w:r>
    </w:p>
    <w:p w14:paraId="09F1F9FD" w14:textId="451D8869" w:rsidR="00584F97" w:rsidRPr="00584F97" w:rsidRDefault="00584F97" w:rsidP="00584F97">
      <w:pPr>
        <w:spacing w:line="480" w:lineRule="auto"/>
        <w:rPr>
          <w:rFonts w:asciiTheme="majorBidi" w:eastAsia="Calibri" w:hAnsiTheme="majorBidi" w:cstheme="majorBidi"/>
          <w:shd w:val="clear" w:color="auto" w:fill="FFFFFF"/>
        </w:rPr>
      </w:pPr>
      <w:bookmarkStart w:id="7" w:name="_Hlk96095116"/>
      <w:r w:rsidRPr="00584F97">
        <w:rPr>
          <w:rFonts w:asciiTheme="majorBidi" w:eastAsia="Calibri" w:hAnsiTheme="majorBidi" w:cstheme="majorBidi"/>
          <w:bCs/>
        </w:rPr>
        <w:tab/>
        <w:t>In spite of the rapid technological advancements made in the field of prosthesis over the last few centuries, the medical denotation of prosthesis and its progeny (</w:t>
      </w:r>
      <w:r w:rsidR="00122EBE" w:rsidRPr="00584F97">
        <w:rPr>
          <w:rFonts w:asciiTheme="majorBidi" w:eastAsia="Calibri" w:hAnsiTheme="majorBidi" w:cstheme="majorBidi"/>
          <w:bCs/>
        </w:rPr>
        <w:t>e.g.,</w:t>
      </w:r>
      <w:r w:rsidRPr="00584F97">
        <w:rPr>
          <w:rFonts w:asciiTheme="majorBidi" w:eastAsia="Calibri" w:hAnsiTheme="majorBidi" w:cstheme="majorBidi"/>
          <w:bCs/>
        </w:rPr>
        <w:t xml:space="preserve"> “prosthetic”) has gone essentially unchanged since its inception in the seventeenth century. </w:t>
      </w:r>
      <w:r w:rsidRPr="00584F97">
        <w:rPr>
          <w:rFonts w:asciiTheme="majorBidi" w:eastAsia="Calibri" w:hAnsiTheme="majorBidi" w:cstheme="majorBidi"/>
        </w:rPr>
        <w:t xml:space="preserve">The </w:t>
      </w:r>
      <w:r w:rsidRPr="00584F97">
        <w:rPr>
          <w:rFonts w:asciiTheme="majorBidi" w:eastAsia="Calibri" w:hAnsiTheme="majorBidi" w:cstheme="majorBidi"/>
          <w:i/>
          <w:iCs/>
        </w:rPr>
        <w:t>Oxford English Dictionary</w:t>
      </w:r>
      <w:r w:rsidRPr="00584F97">
        <w:rPr>
          <w:rFonts w:asciiTheme="majorBidi" w:eastAsia="Calibri" w:hAnsiTheme="majorBidi" w:cstheme="majorBidi"/>
        </w:rPr>
        <w:t xml:space="preserve"> cites as the first recorded instance of “prosthesis” as it pertains to medicine an entry from John Kersey’s dictionary, </w:t>
      </w:r>
      <w:r w:rsidRPr="00584F97">
        <w:rPr>
          <w:rFonts w:asciiTheme="majorBidi" w:eastAsia="Calibri" w:hAnsiTheme="majorBidi" w:cstheme="majorBidi"/>
          <w:i/>
        </w:rPr>
        <w:t>The New World of Words</w:t>
      </w:r>
      <w:r w:rsidRPr="00584F97">
        <w:rPr>
          <w:rFonts w:asciiTheme="majorBidi" w:eastAsia="Calibri" w:hAnsiTheme="majorBidi" w:cstheme="majorBidi"/>
        </w:rPr>
        <w:t xml:space="preserve"> (1706): </w:t>
      </w:r>
      <w:r w:rsidRPr="00584F97">
        <w:rPr>
          <w:rFonts w:asciiTheme="majorBidi" w:eastAsia="Calibri" w:hAnsiTheme="majorBidi" w:cstheme="majorBidi"/>
          <w:shd w:val="clear" w:color="auto" w:fill="FFFFFF"/>
        </w:rPr>
        <w:t xml:space="preserve">“In Surgery, Prosthesis is taken for that which fills up what is wanting, as to be seen in fistulous and hollow Ulcers, filled up with Flesh by that Art: </w:t>
      </w:r>
      <w:proofErr w:type="gramStart"/>
      <w:r w:rsidRPr="00584F97">
        <w:rPr>
          <w:rFonts w:asciiTheme="majorBidi" w:eastAsia="Calibri" w:hAnsiTheme="majorBidi" w:cstheme="majorBidi"/>
          <w:shd w:val="clear" w:color="auto" w:fill="FFFFFF"/>
        </w:rPr>
        <w:t>Also</w:t>
      </w:r>
      <w:proofErr w:type="gramEnd"/>
      <w:r w:rsidRPr="00584F97">
        <w:rPr>
          <w:rFonts w:asciiTheme="majorBidi" w:eastAsia="Calibri" w:hAnsiTheme="majorBidi" w:cstheme="majorBidi"/>
          <w:shd w:val="clear" w:color="auto" w:fill="FFFFFF"/>
        </w:rPr>
        <w:t xml:space="preserve"> the making of artificial Legs and Arms, when the natural ones are lost.”</w:t>
      </w:r>
      <w:r w:rsidRPr="00584F97">
        <w:rPr>
          <w:rFonts w:asciiTheme="majorBidi" w:eastAsia="Calibri" w:hAnsiTheme="majorBidi" w:cstheme="majorBidi"/>
          <w:i/>
          <w:iCs/>
          <w:shd w:val="clear" w:color="auto" w:fill="FFFFFF"/>
        </w:rPr>
        <w:t xml:space="preserve"> </w:t>
      </w:r>
      <w:r w:rsidRPr="00584F97">
        <w:rPr>
          <w:rFonts w:asciiTheme="majorBidi" w:eastAsia="Calibri" w:hAnsiTheme="majorBidi" w:cstheme="majorBidi"/>
          <w:shd w:val="clear" w:color="auto" w:fill="FFFFFF"/>
        </w:rPr>
        <w:t>Twenty-first century medical dictionaries have consistently used “prosthesis” or “prosthetics” to refer to “the art and science of supplying, fitting, and servicing artificial replacements for missing parts of the human body” (Thomas Zwemer</w:t>
      </w:r>
      <w:r w:rsidRPr="00584F97">
        <w:rPr>
          <w:rFonts w:asciiTheme="majorBidi" w:eastAsia="Calibri" w:hAnsiTheme="majorBidi" w:cstheme="majorBidi"/>
          <w:i/>
          <w:iCs/>
          <w:shd w:val="clear" w:color="auto" w:fill="FFFFFF"/>
        </w:rPr>
        <w:t>, Mosby’s Dental Dictionary</w:t>
      </w:r>
      <w:r w:rsidRPr="00584F97">
        <w:rPr>
          <w:rFonts w:asciiTheme="majorBidi" w:eastAsia="Calibri" w:hAnsiTheme="majorBidi" w:cstheme="majorBidi"/>
          <w:shd w:val="clear" w:color="auto" w:fill="FFFFFF"/>
        </w:rPr>
        <w:t>) and to the “[f]abricated substitute used to assist a damaged or replace a missing body part; or to augment or stabilize a hypoplastic structure</w:t>
      </w:r>
      <w:r w:rsidRPr="00584F97">
        <w:rPr>
          <w:rFonts w:asciiTheme="majorBidi" w:eastAsia="Calibri" w:hAnsiTheme="majorBidi" w:cstheme="majorBidi"/>
          <w:i/>
          <w:iCs/>
          <w:shd w:val="clear" w:color="auto" w:fill="FFFFFF"/>
        </w:rPr>
        <w:t xml:space="preserve">” </w:t>
      </w:r>
      <w:r w:rsidRPr="00584F97">
        <w:rPr>
          <w:rFonts w:asciiTheme="majorBidi" w:eastAsia="Calibri" w:hAnsiTheme="majorBidi" w:cstheme="majorBidi"/>
          <w:shd w:val="clear" w:color="auto" w:fill="FFFFFF"/>
        </w:rPr>
        <w:t>(</w:t>
      </w:r>
      <w:r w:rsidRPr="00584F97">
        <w:rPr>
          <w:rFonts w:asciiTheme="majorBidi" w:eastAsia="Calibri" w:hAnsiTheme="majorBidi" w:cstheme="majorBidi"/>
          <w:i/>
          <w:iCs/>
          <w:shd w:val="clear" w:color="auto" w:fill="FFFFFF"/>
        </w:rPr>
        <w:t>Lippincott Williams &amp; Wilkins, Stedman’s Medical Dictionary</w:t>
      </w:r>
      <w:r w:rsidRPr="00584F97">
        <w:rPr>
          <w:rFonts w:asciiTheme="majorBidi" w:eastAsia="Calibri" w:hAnsiTheme="majorBidi" w:cstheme="majorBidi"/>
          <w:shd w:val="clear" w:color="auto" w:fill="FFFFFF"/>
        </w:rPr>
        <w:t>)</w:t>
      </w:r>
      <w:r w:rsidRPr="00584F97">
        <w:rPr>
          <w:rFonts w:asciiTheme="majorBidi" w:eastAsia="Calibri" w:hAnsiTheme="majorBidi" w:cstheme="majorBidi"/>
          <w:i/>
          <w:iCs/>
          <w:shd w:val="clear" w:color="auto" w:fill="FFFFFF"/>
        </w:rPr>
        <w:t xml:space="preserve">. </w:t>
      </w:r>
      <w:r w:rsidRPr="00584F97">
        <w:rPr>
          <w:rFonts w:asciiTheme="majorBidi" w:eastAsia="Calibri" w:hAnsiTheme="majorBidi" w:cstheme="majorBidi"/>
          <w:shd w:val="clear" w:color="auto" w:fill="FFFFFF"/>
        </w:rPr>
        <w:t xml:space="preserve">Essentially, any artificial replacement or supplement for a missing, “damaged,” or otherwise atypically developed body part constitutes a prosthetic. </w:t>
      </w:r>
    </w:p>
    <w:p w14:paraId="23101D54" w14:textId="77777777" w:rsidR="00584F97" w:rsidRPr="00584F97" w:rsidRDefault="00584F97" w:rsidP="00584F97">
      <w:pPr>
        <w:spacing w:line="480" w:lineRule="auto"/>
        <w:ind w:firstLine="720"/>
        <w:rPr>
          <w:rFonts w:asciiTheme="majorBidi" w:eastAsia="Calibri" w:hAnsiTheme="majorBidi" w:cstheme="majorBidi"/>
          <w:i/>
          <w:iCs/>
          <w:shd w:val="clear" w:color="auto" w:fill="FFFFFF"/>
        </w:rPr>
      </w:pPr>
      <w:r w:rsidRPr="00584F97">
        <w:rPr>
          <w:rFonts w:asciiTheme="majorBidi" w:eastAsia="Calibri" w:hAnsiTheme="majorBidi" w:cstheme="majorBidi"/>
          <w:shd w:val="clear" w:color="auto" w:fill="FFFFFF"/>
        </w:rPr>
        <w:lastRenderedPageBreak/>
        <w:t>For the purposes of this dissertation, “prosthesis” (or “prosthetic”) includes, quite broadly, any artificial appendage or device adopted or used by a character with a disability that accommodates their disability. “Accommodation” in this sense means that even if the prosthetic object has decorative or theatrical elements, it still serves a medical, rehabilitative, or practical function; it is not sheerly cosmetic. The prosthetics I take up in this dissertation, then, include artificial limbs as well as mobility aids (e.g., wheelchairs and crutches) that are used as extensions of a disabled character’s body.</w:t>
      </w:r>
    </w:p>
    <w:bookmarkEnd w:id="7"/>
    <w:p w14:paraId="3C41DEC1" w14:textId="52B4B8AA" w:rsidR="00584F97" w:rsidRPr="00584F97" w:rsidRDefault="00584F97" w:rsidP="00584F97">
      <w:pPr>
        <w:spacing w:line="480" w:lineRule="auto"/>
        <w:rPr>
          <w:rFonts w:asciiTheme="majorBidi" w:eastAsia="Calibri" w:hAnsiTheme="majorBidi" w:cstheme="majorBidi"/>
          <w:szCs w:val="22"/>
        </w:rPr>
      </w:pPr>
      <w:r w:rsidRPr="00584F97">
        <w:rPr>
          <w:rFonts w:asciiTheme="majorBidi" w:eastAsia="Calibri" w:hAnsiTheme="majorBidi" w:cstheme="majorBidi"/>
          <w:szCs w:val="22"/>
        </w:rPr>
        <w:tab/>
        <w:t xml:space="preserve">For all my focus on the aesthetic function of the prosthetic object, a brand of anthropocentrism ultimately comprises the core of my investigation. Still, an extended meditation on the inanimate objects that scaffold character development, it seems, calls for at least a modicum of investment in the kind of methodological fetishism that </w:t>
      </w:r>
      <w:r w:rsidR="00EB2C35">
        <w:rPr>
          <w:rFonts w:asciiTheme="majorBidi" w:eastAsia="Calibri" w:hAnsiTheme="majorBidi" w:cstheme="majorBidi"/>
          <w:szCs w:val="22"/>
        </w:rPr>
        <w:t xml:space="preserve">Bill </w:t>
      </w:r>
      <w:r w:rsidRPr="00584F97">
        <w:rPr>
          <w:rFonts w:asciiTheme="majorBidi" w:eastAsia="Calibri" w:hAnsiTheme="majorBidi" w:cstheme="majorBidi"/>
          <w:szCs w:val="22"/>
        </w:rPr>
        <w:t>Brown says acts as “a condition for thought, new thoughts about how inanimate objects constitute human subjects, how they move them, how they threaten them, how they facilitate or threaten their relation to other subjects” (</w:t>
      </w:r>
      <w:r w:rsidRPr="00584F97">
        <w:rPr>
          <w:rFonts w:asciiTheme="majorBidi" w:eastAsia="Calibri" w:hAnsiTheme="majorBidi" w:cstheme="majorBidi"/>
          <w:iCs/>
          <w:szCs w:val="22"/>
        </w:rPr>
        <w:t>“Thing Theory” 7</w:t>
      </w:r>
      <w:r w:rsidRPr="00584F97">
        <w:rPr>
          <w:rFonts w:asciiTheme="majorBidi" w:eastAsia="Calibri" w:hAnsiTheme="majorBidi" w:cstheme="majorBidi"/>
          <w:szCs w:val="22"/>
        </w:rPr>
        <w:t>). In considering how prosthetics transcend their status as mere objects, we recognize the way in which they arise out of, denote, and become “values, fetishes, idols, and totems” (5). And if, linguistically, we use “things” to mark uncertainty, as Brown contends, I would further emphasize the malleability and ambiguity of the prosthetic, which exists as an inanimate object that, once appended to an organic body, can detract from or draw attention to the complex, rounded humanity of that body. From this angle, nineteenth-century authors’ intense fixation on prosthetics as they define and are directed by disabled characters in the Victorian novel draws attention to the various ways in which materiality, ideology, and representation all exist as mutually constitutive states and systems.</w:t>
      </w:r>
    </w:p>
    <w:p w14:paraId="460B77A4" w14:textId="77777777" w:rsidR="00584F97" w:rsidRPr="00584F97" w:rsidRDefault="00584F97" w:rsidP="00584F97">
      <w:pPr>
        <w:spacing w:line="480" w:lineRule="auto"/>
        <w:rPr>
          <w:rFonts w:asciiTheme="majorBidi" w:eastAsia="Calibri" w:hAnsiTheme="majorBidi" w:cstheme="majorBidi"/>
          <w:szCs w:val="22"/>
        </w:rPr>
      </w:pPr>
      <w:r w:rsidRPr="00584F97">
        <w:rPr>
          <w:rFonts w:asciiTheme="majorBidi" w:eastAsia="Calibri" w:hAnsiTheme="majorBidi" w:cstheme="majorBidi"/>
          <w:szCs w:val="22"/>
        </w:rPr>
        <w:lastRenderedPageBreak/>
        <w:tab/>
        <w:t xml:space="preserve">The broad generic scope of this dissertation, which ranges from science (or speculation) fiction to realist fiction to sensation fiction, seems to me all but unavoidable. As Carolyn Williams contends, “No genre is pure—least of all the novel, whose generic formation depends on its assimilating, ironizing, and superseding previous genres within its own comprehensive form” (“Stupidity and Stupefaction” 358). Moreover, in its liminal position, the fictionalized prosthetic in nineteenth-century literature operates on so many, widely-varying ontological, symbolic, sociocultural, and interpersonal levels across texts that its narrative function further transects genre. As a literary, signifying device, the prosthetic object appears hugely unstable, especially where generic divisions are involved. The vicissitudes of the prosthetic object render it the exclusive property of no single genre but the common property of all. </w:t>
      </w:r>
    </w:p>
    <w:p w14:paraId="40F9AD23" w14:textId="77777777" w:rsidR="00584F97" w:rsidRPr="00584F97" w:rsidRDefault="00584F97" w:rsidP="00584F97">
      <w:pPr>
        <w:spacing w:line="480" w:lineRule="auto"/>
        <w:ind w:firstLine="720"/>
        <w:rPr>
          <w:rFonts w:asciiTheme="majorBidi" w:eastAsia="Calibri" w:hAnsiTheme="majorBidi" w:cstheme="majorBidi"/>
          <w:szCs w:val="22"/>
        </w:rPr>
      </w:pPr>
      <w:r w:rsidRPr="00584F97">
        <w:rPr>
          <w:rFonts w:asciiTheme="majorBidi" w:eastAsia="Calibri" w:hAnsiTheme="majorBidi" w:cstheme="majorBidi"/>
          <w:szCs w:val="22"/>
        </w:rPr>
        <w:t xml:space="preserve">Chapter I, “Prosthetic Narration in </w:t>
      </w:r>
      <w:r w:rsidRPr="00584F97">
        <w:rPr>
          <w:rFonts w:asciiTheme="majorBidi" w:eastAsia="Calibri" w:hAnsiTheme="majorBidi" w:cstheme="majorBidi"/>
          <w:i/>
          <w:iCs/>
          <w:szCs w:val="22"/>
        </w:rPr>
        <w:t>Frankenstein</w:t>
      </w:r>
      <w:r w:rsidRPr="00584F97">
        <w:rPr>
          <w:rFonts w:asciiTheme="majorBidi" w:eastAsia="Calibri" w:hAnsiTheme="majorBidi" w:cstheme="majorBidi"/>
          <w:szCs w:val="22"/>
        </w:rPr>
        <w:t xml:space="preserve">,” looks to the legacy of eighteenth-century object narration, nineteenth-century technoculture, and evolving notions of physical difference in Mary Shelley’s genre-bending work of science fiction. As the nineteenth century’s ur-disability text, Shelley’s </w:t>
      </w:r>
      <w:r w:rsidRPr="00584F97">
        <w:rPr>
          <w:rFonts w:asciiTheme="majorBidi" w:eastAsia="Calibri" w:hAnsiTheme="majorBidi" w:cstheme="majorBidi"/>
          <w:i/>
          <w:iCs/>
          <w:szCs w:val="22"/>
        </w:rPr>
        <w:t xml:space="preserve">Frankenstein </w:t>
      </w:r>
      <w:r w:rsidRPr="00584F97">
        <w:rPr>
          <w:rFonts w:asciiTheme="majorBidi" w:eastAsia="Calibri" w:hAnsiTheme="majorBidi" w:cstheme="majorBidi"/>
          <w:szCs w:val="22"/>
        </w:rPr>
        <w:t xml:space="preserve">(1818) incorporates experimental medical technologies to explore the liminality of prosthesis and the potential of autobiography and science fiction to accommodate disabled narration and characterization. The </w:t>
      </w:r>
      <w:proofErr w:type="gramStart"/>
      <w:r w:rsidRPr="00584F97">
        <w:rPr>
          <w:rFonts w:asciiTheme="majorBidi" w:eastAsia="Calibri" w:hAnsiTheme="majorBidi" w:cstheme="majorBidi"/>
          <w:szCs w:val="22"/>
        </w:rPr>
        <w:t>Creature</w:t>
      </w:r>
      <w:proofErr w:type="gramEnd"/>
      <w:r w:rsidRPr="00584F97">
        <w:rPr>
          <w:rFonts w:asciiTheme="majorBidi" w:eastAsia="Calibri" w:hAnsiTheme="majorBidi" w:cstheme="majorBidi"/>
          <w:szCs w:val="22"/>
        </w:rPr>
        <w:t xml:space="preserve">, like the narrative it inhabits, defies, even violates, conventional classification, and in the novel’s obsession with physicality and bodily variation, </w:t>
      </w:r>
      <w:r w:rsidRPr="00584F97">
        <w:rPr>
          <w:rFonts w:asciiTheme="majorBidi" w:eastAsia="Calibri" w:hAnsiTheme="majorBidi" w:cstheme="majorBidi"/>
          <w:i/>
          <w:iCs/>
          <w:szCs w:val="22"/>
        </w:rPr>
        <w:t>Frankenstein</w:t>
      </w:r>
      <w:r w:rsidRPr="00584F97">
        <w:rPr>
          <w:rFonts w:asciiTheme="majorBidi" w:eastAsia="Calibri" w:hAnsiTheme="majorBidi" w:cstheme="majorBidi"/>
          <w:szCs w:val="22"/>
        </w:rPr>
        <w:t xml:space="preserve"> underscores the status and power of material objects and the intrinsic hybridity of the human condition. In so doing, Shelley’s novel demonstrates how medical technology and technoculture in early nineteenth-century fiction effectively beget a new kind of object subjectivity that lays the foundation for expanded modes of disabled representation.</w:t>
      </w:r>
    </w:p>
    <w:p w14:paraId="4573FA65" w14:textId="77777777" w:rsidR="00584F97" w:rsidRPr="00584F97" w:rsidRDefault="00584F97" w:rsidP="00584F97">
      <w:pPr>
        <w:spacing w:line="480" w:lineRule="auto"/>
        <w:ind w:firstLine="720"/>
        <w:rPr>
          <w:rFonts w:asciiTheme="majorBidi" w:eastAsia="Calibri" w:hAnsiTheme="majorBidi" w:cstheme="majorBidi"/>
          <w:szCs w:val="22"/>
        </w:rPr>
      </w:pPr>
      <w:r w:rsidRPr="00584F97">
        <w:rPr>
          <w:rFonts w:asciiTheme="majorBidi" w:eastAsia="Calibri" w:hAnsiTheme="majorBidi" w:cstheme="majorBidi"/>
          <w:szCs w:val="22"/>
        </w:rPr>
        <w:lastRenderedPageBreak/>
        <w:t xml:space="preserve">Moving from a consideration of the primacy of objects in the characterization of disabled figures, Chapter II, “Techne: Performance Pieces in Dickens,” turns to the novels of Charles Dickens for an extended analysis of prosthetic objects as textual props. The transgeneric quality of Dickens’s writing presents a varied panorama of physical alterity and assistive devices. In my readings of </w:t>
      </w:r>
      <w:r w:rsidRPr="00584F97">
        <w:rPr>
          <w:rFonts w:asciiTheme="majorBidi" w:eastAsia="Calibri" w:hAnsiTheme="majorBidi" w:cstheme="majorBidi"/>
          <w:i/>
          <w:iCs/>
          <w:szCs w:val="22"/>
        </w:rPr>
        <w:t>Little Dorrit</w:t>
      </w:r>
      <w:r w:rsidRPr="00584F97">
        <w:rPr>
          <w:rFonts w:asciiTheme="majorBidi" w:eastAsia="Calibri" w:hAnsiTheme="majorBidi" w:cstheme="majorBidi"/>
          <w:szCs w:val="22"/>
        </w:rPr>
        <w:t xml:space="preserve"> (1855-57) and </w:t>
      </w:r>
      <w:r w:rsidRPr="00584F97">
        <w:rPr>
          <w:rFonts w:asciiTheme="majorBidi" w:eastAsia="Calibri" w:hAnsiTheme="majorBidi" w:cstheme="majorBidi"/>
          <w:i/>
          <w:iCs/>
          <w:szCs w:val="22"/>
        </w:rPr>
        <w:t xml:space="preserve">Our Mutual Friend </w:t>
      </w:r>
      <w:r w:rsidRPr="00584F97">
        <w:rPr>
          <w:rFonts w:asciiTheme="majorBidi" w:eastAsia="Calibri" w:hAnsiTheme="majorBidi" w:cstheme="majorBidi"/>
          <w:szCs w:val="22"/>
        </w:rPr>
        <w:t xml:space="preserve">(1864-65), I argue that the prosthetic object (in spite of its apparent rigidity) allows characters to stage or perform—to produce—their disability on their own terms. I then consider the social mobility afforded by service animals (animate aids, for all intents and purposes) in </w:t>
      </w:r>
      <w:r w:rsidRPr="00584F97">
        <w:rPr>
          <w:rFonts w:asciiTheme="majorBidi" w:eastAsia="Calibri" w:hAnsiTheme="majorBidi" w:cstheme="majorBidi"/>
          <w:i/>
          <w:iCs/>
          <w:szCs w:val="22"/>
        </w:rPr>
        <w:t xml:space="preserve">Barnaby Rudge </w:t>
      </w:r>
      <w:r w:rsidRPr="00584F97">
        <w:rPr>
          <w:rFonts w:asciiTheme="majorBidi" w:eastAsia="Calibri" w:hAnsiTheme="majorBidi" w:cstheme="majorBidi"/>
          <w:szCs w:val="22"/>
        </w:rPr>
        <w:t xml:space="preserve">(1840-41). As sentient beings, animals occupy a markedly different space than inanimate prosthetic objects; the boundary between nonhuman service animals and their human counterparts is, in some ways, far more complex given the animals’ ambiguous ability to register and respond to human emotion. Divisions among species further complicate this relationship, especially when we consider, as I do in this chapter, the distinct character of an animal capable of human speech. To what extent, I ask, do prosthetics and assistive devices in Dickens challenge or strengthen disabled agency and representation? </w:t>
      </w:r>
    </w:p>
    <w:p w14:paraId="0D59D700" w14:textId="1486FB4B" w:rsidR="00584F97" w:rsidRPr="00584F97" w:rsidRDefault="00584F97" w:rsidP="00584F97">
      <w:pPr>
        <w:spacing w:line="480" w:lineRule="auto"/>
        <w:ind w:firstLine="720"/>
        <w:rPr>
          <w:rFonts w:asciiTheme="majorBidi" w:eastAsia="Calibri" w:hAnsiTheme="majorBidi" w:cstheme="majorBidi"/>
          <w:iCs/>
          <w:szCs w:val="22"/>
        </w:rPr>
      </w:pPr>
      <w:r w:rsidRPr="00584F97">
        <w:rPr>
          <w:rFonts w:asciiTheme="majorBidi" w:eastAsia="Calibri" w:hAnsiTheme="majorBidi" w:cstheme="majorBidi"/>
          <w:szCs w:val="22"/>
        </w:rPr>
        <w:t>Chapter III, “Major/Minor Redux: Object-ifying Character Space in Trollope and Collins,” expands on and problematizes the performative potential of the prosthetic object. In a textual realm of finite character space, some disabled characters jockey for position not only against their nondisabled counterparts, but also against their own prosthetics. I juxtapose works by Anthony Trollope and Wilkie Collins in order to probe the challenge posed by some prosthetic objects in works of realist and sensation fiction in the mid- to late</w:t>
      </w:r>
      <w:r w:rsidR="00DD4FB8">
        <w:rPr>
          <w:rFonts w:asciiTheme="majorBidi" w:eastAsia="Calibri" w:hAnsiTheme="majorBidi" w:cstheme="majorBidi"/>
          <w:szCs w:val="22"/>
        </w:rPr>
        <w:t xml:space="preserve"> </w:t>
      </w:r>
      <w:r w:rsidRPr="00584F97">
        <w:rPr>
          <w:rFonts w:asciiTheme="majorBidi" w:eastAsia="Calibri" w:hAnsiTheme="majorBidi" w:cstheme="majorBidi"/>
          <w:szCs w:val="22"/>
        </w:rPr>
        <w:t xml:space="preserve">nineteenth century. In my readings of Trollope’s </w:t>
      </w:r>
      <w:r w:rsidRPr="00584F97">
        <w:rPr>
          <w:rFonts w:asciiTheme="majorBidi" w:eastAsia="Calibri" w:hAnsiTheme="majorBidi" w:cstheme="majorBidi"/>
          <w:i/>
          <w:szCs w:val="22"/>
        </w:rPr>
        <w:t xml:space="preserve">Barchester Towers </w:t>
      </w:r>
      <w:r w:rsidRPr="00584F97">
        <w:rPr>
          <w:rFonts w:asciiTheme="majorBidi" w:eastAsia="Calibri" w:hAnsiTheme="majorBidi" w:cstheme="majorBidi"/>
          <w:iCs/>
          <w:szCs w:val="22"/>
        </w:rPr>
        <w:t>(1857)</w:t>
      </w:r>
      <w:r w:rsidRPr="00584F97">
        <w:rPr>
          <w:rFonts w:asciiTheme="majorBidi" w:eastAsia="Calibri" w:hAnsiTheme="majorBidi" w:cstheme="majorBidi"/>
          <w:szCs w:val="22"/>
        </w:rPr>
        <w:t xml:space="preserve">, </w:t>
      </w:r>
      <w:r w:rsidRPr="00584F97">
        <w:rPr>
          <w:rFonts w:asciiTheme="majorBidi" w:eastAsia="Calibri" w:hAnsiTheme="majorBidi" w:cstheme="majorBidi"/>
          <w:i/>
          <w:szCs w:val="22"/>
        </w:rPr>
        <w:t xml:space="preserve">The Belton Estate </w:t>
      </w:r>
      <w:r w:rsidRPr="00584F97">
        <w:rPr>
          <w:rFonts w:asciiTheme="majorBidi" w:eastAsia="Calibri" w:hAnsiTheme="majorBidi" w:cstheme="majorBidi"/>
          <w:iCs/>
          <w:szCs w:val="22"/>
        </w:rPr>
        <w:t xml:space="preserve">(1865), and </w:t>
      </w:r>
      <w:r w:rsidRPr="00584F97">
        <w:rPr>
          <w:rFonts w:asciiTheme="majorBidi" w:eastAsia="Calibri" w:hAnsiTheme="majorBidi" w:cstheme="majorBidi"/>
          <w:i/>
          <w:szCs w:val="22"/>
        </w:rPr>
        <w:t xml:space="preserve">He Knew He Was Right </w:t>
      </w:r>
      <w:r w:rsidRPr="00584F97">
        <w:rPr>
          <w:rFonts w:asciiTheme="majorBidi" w:eastAsia="Calibri" w:hAnsiTheme="majorBidi" w:cstheme="majorBidi"/>
          <w:iCs/>
          <w:szCs w:val="22"/>
        </w:rPr>
        <w:t xml:space="preserve">(1869) and Collins’s </w:t>
      </w:r>
      <w:r w:rsidRPr="00584F97">
        <w:rPr>
          <w:rFonts w:asciiTheme="majorBidi" w:eastAsia="Calibri" w:hAnsiTheme="majorBidi" w:cstheme="majorBidi"/>
          <w:i/>
          <w:szCs w:val="22"/>
        </w:rPr>
        <w:t>The Law and the Lady</w:t>
      </w:r>
      <w:r w:rsidRPr="00584F97">
        <w:rPr>
          <w:rFonts w:asciiTheme="majorBidi" w:eastAsia="Calibri" w:hAnsiTheme="majorBidi" w:cstheme="majorBidi"/>
          <w:iCs/>
          <w:szCs w:val="22"/>
        </w:rPr>
        <w:t xml:space="preserve"> (1875) and </w:t>
      </w:r>
      <w:r w:rsidRPr="00584F97">
        <w:rPr>
          <w:rFonts w:asciiTheme="majorBidi" w:eastAsia="Calibri" w:hAnsiTheme="majorBidi" w:cstheme="majorBidi"/>
          <w:i/>
          <w:szCs w:val="22"/>
        </w:rPr>
        <w:t xml:space="preserve">The Moonstone </w:t>
      </w:r>
      <w:r w:rsidRPr="00584F97">
        <w:rPr>
          <w:rFonts w:asciiTheme="majorBidi" w:eastAsia="Calibri" w:hAnsiTheme="majorBidi" w:cstheme="majorBidi"/>
          <w:iCs/>
          <w:szCs w:val="22"/>
        </w:rPr>
        <w:t xml:space="preserve">(1868), I </w:t>
      </w:r>
      <w:r w:rsidRPr="00584F97">
        <w:rPr>
          <w:rFonts w:asciiTheme="majorBidi" w:eastAsia="Calibri" w:hAnsiTheme="majorBidi" w:cstheme="majorBidi"/>
          <w:iCs/>
          <w:szCs w:val="22"/>
        </w:rPr>
        <w:lastRenderedPageBreak/>
        <w:t>inquire into the embodiment of disabled characters and ask whether the extreme attention paid to the prosthetic object threatens to detract from the narrative integrity of their users.</w:t>
      </w:r>
    </w:p>
    <w:p w14:paraId="4A99DA77" w14:textId="77777777" w:rsidR="00584F97" w:rsidRPr="00584F97" w:rsidRDefault="00584F97" w:rsidP="00584F97">
      <w:pPr>
        <w:spacing w:line="480" w:lineRule="auto"/>
        <w:ind w:firstLine="720"/>
        <w:rPr>
          <w:rFonts w:asciiTheme="majorBidi" w:eastAsia="Calibri" w:hAnsiTheme="majorBidi" w:cstheme="majorBidi"/>
          <w:iCs/>
          <w:szCs w:val="22"/>
        </w:rPr>
      </w:pPr>
      <w:r w:rsidRPr="00584F97">
        <w:rPr>
          <w:rFonts w:asciiTheme="majorBidi" w:eastAsia="Calibri" w:hAnsiTheme="majorBidi" w:cstheme="majorBidi"/>
          <w:szCs w:val="22"/>
        </w:rPr>
        <w:t xml:space="preserve">The coda, “International Echoes and the Commodification of Normativity,” identifies narrative connections among the representative strategies of these nineteenth-century British authors and their American and European contemporaries. Was the visceral fascination with physical alterity, medical technology, and the evolving human form unique to Victorian novelists? In pursuing the artistic reconstitution of the human body in nineteenth-century fiction more broadly, I take up Edgar Allen Poe’s Southern Gothic work “The Man Who Was Used Up” (1839) and Gustave Flaubert’s </w:t>
      </w:r>
      <w:r w:rsidRPr="00584F97">
        <w:rPr>
          <w:rFonts w:asciiTheme="majorBidi" w:eastAsia="Calibri" w:hAnsiTheme="majorBidi" w:cstheme="majorBidi"/>
          <w:i/>
          <w:szCs w:val="22"/>
        </w:rPr>
        <w:t xml:space="preserve">Madame Bovary </w:t>
      </w:r>
      <w:r w:rsidRPr="00584F97">
        <w:rPr>
          <w:rFonts w:asciiTheme="majorBidi" w:eastAsia="Calibri" w:hAnsiTheme="majorBidi" w:cstheme="majorBidi"/>
          <w:iCs/>
          <w:szCs w:val="22"/>
        </w:rPr>
        <w:t>(1856). Both works, I argue, exploit the indeterminacy and hybridity of the disabled body and engage the prosthetic object directly—though on distinctly different registers—in their gestures toward the</w:t>
      </w:r>
      <w:r w:rsidRPr="00584F97">
        <w:rPr>
          <w:rFonts w:asciiTheme="majorBidi" w:eastAsia="Calibri" w:hAnsiTheme="majorBidi" w:cstheme="majorBidi"/>
          <w:szCs w:val="22"/>
        </w:rPr>
        <w:t xml:space="preserve"> commodification of normalcy. </w:t>
      </w:r>
    </w:p>
    <w:p w14:paraId="643DFDC8" w14:textId="5FF02235" w:rsidR="0043447A" w:rsidRPr="003B70FA" w:rsidRDefault="00584F97" w:rsidP="003B70FA">
      <w:pPr>
        <w:spacing w:line="480" w:lineRule="auto"/>
        <w:ind w:firstLine="720"/>
        <w:rPr>
          <w:rFonts w:asciiTheme="majorBidi" w:eastAsia="Calibri" w:hAnsiTheme="majorBidi" w:cstheme="majorBidi"/>
          <w:szCs w:val="22"/>
        </w:rPr>
      </w:pPr>
      <w:r w:rsidRPr="00584F97">
        <w:rPr>
          <w:rFonts w:asciiTheme="majorBidi" w:eastAsia="Calibri" w:hAnsiTheme="majorBidi" w:cstheme="majorBidi"/>
          <w:szCs w:val="22"/>
        </w:rPr>
        <w:t xml:space="preserve">By attending to the elusive, evolving function of the prosthetic object in these novels, I demonstrate how Victorian authors anticipated the ethics and terms of human difference. I hope, in </w:t>
      </w:r>
      <w:r w:rsidRPr="00584F97">
        <w:rPr>
          <w:rFonts w:asciiTheme="majorBidi" w:eastAsia="Calibri" w:hAnsiTheme="majorBidi" w:cstheme="majorBidi"/>
          <w:color w:val="000000"/>
          <w:szCs w:val="22"/>
          <w:shd w:val="clear" w:color="auto" w:fill="FFFFFF"/>
        </w:rPr>
        <w:t xml:space="preserve">inquiring into the function of prosthetics in the Victorian novel, to prompt a reconsideration of how prosthetics, as metonymic accessories, can embody or accommodate the user’s identity while comprising a subjectivity of their own. The body, as rendered in nineteenth-century fiction, becomes overtly enmeshed in the material, and the prosthetic overhaul of the physically disabled body becomes emblematic of the human form’s blended constitution in its commingling of parts and perception, objects and experience. To trace the </w:t>
      </w:r>
      <w:r w:rsidR="0043447A">
        <w:rPr>
          <w:rFonts w:asciiTheme="majorBidi" w:eastAsia="Calibri" w:hAnsiTheme="majorBidi" w:cstheme="majorBidi"/>
          <w:color w:val="000000"/>
          <w:szCs w:val="22"/>
          <w:shd w:val="clear" w:color="auto" w:fill="FFFFFF"/>
        </w:rPr>
        <w:t>coalescence</w:t>
      </w:r>
      <w:r w:rsidRPr="00584F97">
        <w:rPr>
          <w:rFonts w:asciiTheme="majorBidi" w:eastAsia="Calibri" w:hAnsiTheme="majorBidi" w:cstheme="majorBidi"/>
          <w:color w:val="000000"/>
          <w:szCs w:val="22"/>
          <w:shd w:val="clear" w:color="auto" w:fill="FFFFFF"/>
        </w:rPr>
        <w:t xml:space="preserve"> of physically-othered bodies with prosthetics in </w:t>
      </w:r>
      <w:r w:rsidR="0043447A" w:rsidRPr="00584F97">
        <w:rPr>
          <w:rFonts w:asciiTheme="majorBidi" w:eastAsia="Calibri" w:hAnsiTheme="majorBidi" w:cstheme="majorBidi"/>
          <w:color w:val="000000"/>
          <w:szCs w:val="22"/>
          <w:shd w:val="clear" w:color="auto" w:fill="FFFFFF"/>
        </w:rPr>
        <w:t xml:space="preserve">nineteenth-century </w:t>
      </w:r>
      <w:r w:rsidRPr="00584F97">
        <w:rPr>
          <w:rFonts w:asciiTheme="majorBidi" w:eastAsia="Calibri" w:hAnsiTheme="majorBidi" w:cstheme="majorBidi"/>
          <w:color w:val="000000"/>
          <w:szCs w:val="22"/>
          <w:shd w:val="clear" w:color="auto" w:fill="FFFFFF"/>
        </w:rPr>
        <w:t xml:space="preserve">fiction, then, is to consider, more broadly, the human body as embodied and embedded in a wider, material world—to parse our coevolution with medical and technological tools. </w:t>
      </w:r>
      <w:bookmarkStart w:id="8" w:name="_Toc96096591"/>
    </w:p>
    <w:p w14:paraId="17F9C4D3" w14:textId="3E29CA2D" w:rsidR="00C72240" w:rsidRPr="002A5475" w:rsidRDefault="003C7FC5" w:rsidP="00B2573D">
      <w:pPr>
        <w:pStyle w:val="ETDTitle"/>
        <w:outlineLvl w:val="0"/>
        <w:rPr>
          <w:rFonts w:asciiTheme="majorBidi" w:hAnsiTheme="majorBidi" w:cstheme="majorBidi"/>
          <w:sz w:val="28"/>
          <w:szCs w:val="28"/>
        </w:rPr>
      </w:pPr>
      <w:r w:rsidRPr="002A5475">
        <w:rPr>
          <w:rFonts w:asciiTheme="majorBidi" w:hAnsiTheme="majorBidi" w:cstheme="majorBidi"/>
          <w:sz w:val="28"/>
          <w:szCs w:val="28"/>
        </w:rPr>
        <w:lastRenderedPageBreak/>
        <w:t>CHAPTER I</w:t>
      </w:r>
      <w:r w:rsidR="00FF1665" w:rsidRPr="002A5475">
        <w:rPr>
          <w:rFonts w:asciiTheme="majorBidi" w:hAnsiTheme="majorBidi" w:cstheme="majorBidi"/>
          <w:sz w:val="28"/>
          <w:szCs w:val="28"/>
        </w:rPr>
        <w:br/>
      </w:r>
      <w:bookmarkEnd w:id="4"/>
      <w:r w:rsidR="00C72240" w:rsidRPr="002A5475">
        <w:rPr>
          <w:rFonts w:asciiTheme="majorBidi" w:hAnsiTheme="majorBidi" w:cstheme="majorBidi"/>
          <w:sz w:val="28"/>
          <w:szCs w:val="28"/>
        </w:rPr>
        <w:t>P</w:t>
      </w:r>
      <w:r w:rsidR="00B2573D" w:rsidRPr="002A5475">
        <w:rPr>
          <w:rFonts w:asciiTheme="majorBidi" w:hAnsiTheme="majorBidi" w:cstheme="majorBidi"/>
          <w:sz w:val="28"/>
          <w:szCs w:val="28"/>
        </w:rPr>
        <w:t>rosthetic Narration in</w:t>
      </w:r>
      <w:r w:rsidR="00B2573D" w:rsidRPr="002A5475">
        <w:rPr>
          <w:rFonts w:asciiTheme="majorBidi" w:hAnsiTheme="majorBidi" w:cstheme="majorBidi"/>
          <w:i/>
          <w:iCs/>
          <w:sz w:val="28"/>
          <w:szCs w:val="28"/>
        </w:rPr>
        <w:t xml:space="preserve"> Frankenstein</w:t>
      </w:r>
      <w:bookmarkEnd w:id="8"/>
    </w:p>
    <w:p w14:paraId="1CFBD40E" w14:textId="64009D6E" w:rsidR="00003F6A" w:rsidRPr="002A5475" w:rsidRDefault="00003F6A" w:rsidP="005E54E2">
      <w:pPr>
        <w:pStyle w:val="Heading1"/>
        <w:rPr>
          <w:rFonts w:asciiTheme="majorBidi" w:hAnsiTheme="majorBidi" w:cstheme="majorBidi"/>
          <w:szCs w:val="28"/>
        </w:rPr>
      </w:pPr>
    </w:p>
    <w:p w14:paraId="0402E459" w14:textId="77777777" w:rsidR="00060A6A" w:rsidRPr="002A5475" w:rsidRDefault="00060A6A" w:rsidP="005E54E2">
      <w:pPr>
        <w:rPr>
          <w:rFonts w:asciiTheme="majorBidi" w:hAnsiTheme="majorBidi" w:cstheme="majorBidi"/>
        </w:rPr>
      </w:pPr>
    </w:p>
    <w:p w14:paraId="3411D113" w14:textId="77777777" w:rsidR="00003F6A" w:rsidRPr="002A5475" w:rsidRDefault="00003F6A" w:rsidP="00334400">
      <w:pPr>
        <w:pStyle w:val="Heading3"/>
        <w:rPr>
          <w:rFonts w:asciiTheme="majorBidi" w:hAnsiTheme="majorBidi" w:cstheme="majorBidi"/>
          <w:szCs w:val="24"/>
        </w:rPr>
      </w:pPr>
      <w:r w:rsidRPr="002A5475">
        <w:rPr>
          <w:rFonts w:asciiTheme="majorBidi" w:hAnsiTheme="majorBidi" w:cstheme="majorBidi"/>
          <w:szCs w:val="24"/>
        </w:rPr>
        <w:br w:type="page"/>
      </w:r>
    </w:p>
    <w:p w14:paraId="02D17138" w14:textId="77777777" w:rsidR="00942BA5" w:rsidRPr="002A5475" w:rsidRDefault="00942BA5" w:rsidP="00942BA5">
      <w:pPr>
        <w:rPr>
          <w:rFonts w:asciiTheme="majorBidi" w:eastAsia="Calibri" w:hAnsiTheme="majorBidi" w:cstheme="majorBidi"/>
          <w:szCs w:val="22"/>
        </w:rPr>
      </w:pPr>
      <w:r w:rsidRPr="002A5475">
        <w:rPr>
          <w:rFonts w:asciiTheme="majorBidi" w:eastAsia="Calibri" w:hAnsiTheme="majorBidi" w:cstheme="majorBidi"/>
          <w:szCs w:val="22"/>
        </w:rPr>
        <w:lastRenderedPageBreak/>
        <w:t xml:space="preserve">“I had admired the perfect forms of my cottagers—their grace, beauty, and delicate complexions: but how was I terrified, when I viewed myself in a transparent pool! At </w:t>
      </w:r>
      <w:proofErr w:type="gramStart"/>
      <w:r w:rsidRPr="002A5475">
        <w:rPr>
          <w:rFonts w:asciiTheme="majorBidi" w:eastAsia="Calibri" w:hAnsiTheme="majorBidi" w:cstheme="majorBidi"/>
          <w:szCs w:val="22"/>
        </w:rPr>
        <w:t>first</w:t>
      </w:r>
      <w:proofErr w:type="gramEnd"/>
      <w:r w:rsidRPr="002A5475">
        <w:rPr>
          <w:rFonts w:asciiTheme="majorBidi" w:eastAsia="Calibri" w:hAnsiTheme="majorBidi" w:cstheme="majorBidi"/>
          <w:szCs w:val="22"/>
        </w:rPr>
        <w:t xml:space="preserve"> I started back, unable to believe that it was indeed I who was reflected in the mirror; and when I became fully convinced that I was in reality the monster that I am, I was filled with the bitterest sensations of despondence and mortification. Alas! I did not yet entirely know the fatal effects of this miserable deformity.”</w:t>
      </w:r>
    </w:p>
    <w:p w14:paraId="37F122A6" w14:textId="33BCCCDB" w:rsidR="00942BA5" w:rsidRPr="002A5475" w:rsidRDefault="00942BA5" w:rsidP="00942BA5">
      <w:pPr>
        <w:tabs>
          <w:tab w:val="left" w:pos="3437"/>
        </w:tabs>
        <w:jc w:val="right"/>
        <w:rPr>
          <w:rFonts w:asciiTheme="majorBidi" w:eastAsia="Calibri" w:hAnsiTheme="majorBidi" w:cstheme="majorBidi"/>
          <w:i/>
          <w:szCs w:val="22"/>
        </w:rPr>
      </w:pPr>
      <w:r w:rsidRPr="002A5475">
        <w:rPr>
          <w:rFonts w:asciiTheme="majorBidi" w:eastAsia="Calibri" w:hAnsiTheme="majorBidi" w:cstheme="majorBidi"/>
          <w:szCs w:val="22"/>
        </w:rPr>
        <w:tab/>
        <w:t xml:space="preserve">Mary Shelley, </w:t>
      </w:r>
      <w:r w:rsidRPr="002A5475">
        <w:rPr>
          <w:rFonts w:asciiTheme="majorBidi" w:eastAsia="Calibri" w:hAnsiTheme="majorBidi" w:cstheme="majorBidi"/>
          <w:i/>
          <w:szCs w:val="22"/>
        </w:rPr>
        <w:t>Frankenstein</w:t>
      </w:r>
    </w:p>
    <w:p w14:paraId="6D0BC632" w14:textId="77BF67CB" w:rsidR="007B43E2" w:rsidRPr="002A5475" w:rsidRDefault="007B43E2" w:rsidP="00942BA5">
      <w:pPr>
        <w:tabs>
          <w:tab w:val="left" w:pos="3437"/>
        </w:tabs>
        <w:jc w:val="right"/>
        <w:rPr>
          <w:rFonts w:asciiTheme="majorBidi" w:eastAsia="Calibri" w:hAnsiTheme="majorBidi" w:cstheme="majorBidi"/>
          <w:i/>
          <w:szCs w:val="22"/>
        </w:rPr>
      </w:pPr>
    </w:p>
    <w:p w14:paraId="45891E08" w14:textId="77777777" w:rsidR="007B43E2" w:rsidRPr="007B43E2" w:rsidRDefault="007B43E2" w:rsidP="007B43E2">
      <w:pPr>
        <w:tabs>
          <w:tab w:val="left" w:pos="3437"/>
        </w:tabs>
        <w:rPr>
          <w:rFonts w:asciiTheme="majorBidi" w:eastAsia="Calibri" w:hAnsiTheme="majorBidi" w:cstheme="majorBidi"/>
          <w:szCs w:val="22"/>
        </w:rPr>
      </w:pPr>
      <w:r w:rsidRPr="007B43E2">
        <w:rPr>
          <w:rFonts w:asciiTheme="majorBidi" w:eastAsia="Calibri" w:hAnsiTheme="majorBidi" w:cstheme="majorBidi"/>
          <w:szCs w:val="22"/>
        </w:rPr>
        <w:t>“In the age of the hybrid human, the monstrous can be a celebration of difference.”</w:t>
      </w:r>
    </w:p>
    <w:p w14:paraId="04FDCBDD" w14:textId="06CDE8D8" w:rsidR="007B43E2" w:rsidRPr="002A5475" w:rsidRDefault="007B43E2" w:rsidP="007B43E2">
      <w:pPr>
        <w:tabs>
          <w:tab w:val="left" w:pos="3437"/>
        </w:tabs>
        <w:jc w:val="right"/>
        <w:rPr>
          <w:rFonts w:asciiTheme="majorBidi" w:eastAsia="Calibri" w:hAnsiTheme="majorBidi" w:cstheme="majorBidi"/>
          <w:i/>
          <w:iCs/>
          <w:szCs w:val="22"/>
        </w:rPr>
      </w:pPr>
      <w:r w:rsidRPr="007B43E2">
        <w:rPr>
          <w:rFonts w:asciiTheme="majorBidi" w:eastAsia="Calibri" w:hAnsiTheme="majorBidi" w:cstheme="majorBidi"/>
          <w:szCs w:val="22"/>
        </w:rPr>
        <w:t xml:space="preserve">Harry Parker, </w:t>
      </w:r>
      <w:r w:rsidRPr="007B43E2">
        <w:rPr>
          <w:rFonts w:asciiTheme="majorBidi" w:eastAsia="Calibri" w:hAnsiTheme="majorBidi" w:cstheme="majorBidi"/>
          <w:i/>
          <w:iCs/>
          <w:szCs w:val="22"/>
        </w:rPr>
        <w:t>Hybrid Humans: Dispatches from the Frontiers of Man and Machine</w:t>
      </w:r>
    </w:p>
    <w:p w14:paraId="27651A0B" w14:textId="2DEE8DA5" w:rsidR="007B43E2" w:rsidRPr="002A5475" w:rsidRDefault="00942BA5" w:rsidP="007B43E2">
      <w:pPr>
        <w:spacing w:line="480" w:lineRule="auto"/>
        <w:rPr>
          <w:rFonts w:asciiTheme="majorBidi" w:eastAsia="Calibri" w:hAnsiTheme="majorBidi" w:cstheme="majorBidi"/>
          <w:szCs w:val="22"/>
        </w:rPr>
      </w:pPr>
      <w:r w:rsidRPr="002A5475">
        <w:rPr>
          <w:rFonts w:asciiTheme="majorBidi" w:eastAsia="Calibri" w:hAnsiTheme="majorBidi" w:cstheme="majorBidi"/>
          <w:szCs w:val="22"/>
        </w:rPr>
        <w:t xml:space="preserve"> </w:t>
      </w:r>
    </w:p>
    <w:p w14:paraId="1BA8D995" w14:textId="2C47C0F1" w:rsidR="00F80C69" w:rsidRPr="00F80C69" w:rsidRDefault="00F80C69" w:rsidP="00F80C69">
      <w:pPr>
        <w:spacing w:line="480" w:lineRule="auto"/>
        <w:rPr>
          <w:rFonts w:asciiTheme="majorBidi" w:eastAsia="Calibri" w:hAnsiTheme="majorBidi" w:cstheme="majorBidi"/>
        </w:rPr>
      </w:pPr>
      <w:r w:rsidRPr="00F80C69">
        <w:rPr>
          <w:rFonts w:asciiTheme="majorBidi" w:eastAsia="Calibri" w:hAnsiTheme="majorBidi" w:cstheme="majorBidi"/>
        </w:rPr>
        <w:tab/>
        <w:t xml:space="preserve">In the highly charged afterlife of </w:t>
      </w:r>
      <w:r w:rsidRPr="00F80C69">
        <w:rPr>
          <w:rFonts w:asciiTheme="majorBidi" w:eastAsia="Calibri" w:hAnsiTheme="majorBidi" w:cstheme="majorBidi"/>
          <w:i/>
        </w:rPr>
        <w:t>Frankenstein; or, The Modern Prometheus</w:t>
      </w:r>
      <w:r w:rsidRPr="00F80C69">
        <w:rPr>
          <w:rFonts w:asciiTheme="majorBidi" w:eastAsia="Calibri" w:hAnsiTheme="majorBidi" w:cstheme="majorBidi"/>
        </w:rPr>
        <w:t xml:space="preserve"> (1818), scholars across disciplines have characterized Mary Shelley’s work as a novel of origins (mythical, theological, biological) and overreach (artistic, scientific, technological). Over the last three decades, critical approaches to Shelley’s novel have centered on the precarious effects of technology; the racial and national anxieties interwoven into the text; and the creature’s endurance as a malleable political metaphor for the “other.”</w:t>
      </w:r>
      <w:r w:rsidRPr="00F80C69">
        <w:rPr>
          <w:rFonts w:asciiTheme="majorBidi" w:eastAsia="Calibri" w:hAnsiTheme="majorBidi" w:cstheme="majorBidi"/>
          <w:vertAlign w:val="superscript"/>
        </w:rPr>
        <w:footnoteReference w:id="29"/>
      </w:r>
      <w:r w:rsidRPr="00F80C69">
        <w:rPr>
          <w:rFonts w:asciiTheme="majorBidi" w:eastAsia="Calibri" w:hAnsiTheme="majorBidi" w:cstheme="majorBidi"/>
        </w:rPr>
        <w:t xml:space="preserve"> What has often lurked quietly at the critical periphery, though, is an explicit acknowledgement of </w:t>
      </w:r>
      <w:r w:rsidRPr="00F80C69">
        <w:rPr>
          <w:rFonts w:asciiTheme="majorBidi" w:eastAsia="Calibri" w:hAnsiTheme="majorBidi" w:cstheme="majorBidi"/>
          <w:i/>
        </w:rPr>
        <w:t>Frankenstein</w:t>
      </w:r>
      <w:r w:rsidRPr="00F80C69">
        <w:rPr>
          <w:rFonts w:asciiTheme="majorBidi" w:eastAsia="Calibri" w:hAnsiTheme="majorBidi" w:cstheme="majorBidi"/>
        </w:rPr>
        <w:t xml:space="preserve">’s foundational narrative of physical disability and prosthetic regeneration. The </w:t>
      </w:r>
      <w:proofErr w:type="gramStart"/>
      <w:r w:rsidRPr="00F80C69">
        <w:rPr>
          <w:rFonts w:asciiTheme="majorBidi" w:eastAsia="Calibri" w:hAnsiTheme="majorBidi" w:cstheme="majorBidi"/>
        </w:rPr>
        <w:t>Creature’s</w:t>
      </w:r>
      <w:proofErr w:type="gramEnd"/>
      <w:r w:rsidRPr="00F80C69">
        <w:rPr>
          <w:rFonts w:asciiTheme="majorBidi" w:eastAsia="Calibri" w:hAnsiTheme="majorBidi" w:cstheme="majorBidi"/>
        </w:rPr>
        <w:t xml:space="preserve"> self-narration is the product of elaborate prosthesis, of the stitching and soldering of human and animal parts; the gross materiality of his physical construction and amalgamated form reflect the novel’s myriad valences and vocalities. In a textual landscape in which the narrating voices really are greater than the sum of their parts, a </w:t>
      </w:r>
      <w:r w:rsidR="00BB719B">
        <w:rPr>
          <w:rFonts w:asciiTheme="majorBidi" w:eastAsia="Calibri" w:hAnsiTheme="majorBidi" w:cstheme="majorBidi"/>
        </w:rPr>
        <w:t>disability studies</w:t>
      </w:r>
      <w:r w:rsidRPr="00F80C69">
        <w:rPr>
          <w:rFonts w:asciiTheme="majorBidi" w:eastAsia="Calibri" w:hAnsiTheme="majorBidi" w:cstheme="majorBidi"/>
        </w:rPr>
        <w:t xml:space="preserve">-centric approach to the novel’s deployment of prosthesis allows us to parse the textually and ethically salient aspects of the novel by maintaining—rather than attempting to reconcile—the text’s slipperiness; it provides a means of </w:t>
      </w:r>
      <w:r w:rsidRPr="00F80C69">
        <w:rPr>
          <w:rFonts w:asciiTheme="majorBidi" w:eastAsia="Calibri" w:hAnsiTheme="majorBidi" w:cstheme="majorBidi"/>
        </w:rPr>
        <w:lastRenderedPageBreak/>
        <w:t>accessing the book’s generic and ethical keystone by joining together—rather than tearing apart—its constituent pieces.</w:t>
      </w:r>
    </w:p>
    <w:p w14:paraId="37AFD99C" w14:textId="6AAB2AB3" w:rsidR="00F80C69" w:rsidRPr="00F80C69" w:rsidRDefault="00F80C69" w:rsidP="00F80C69">
      <w:pPr>
        <w:spacing w:line="480" w:lineRule="auto"/>
        <w:ind w:firstLine="720"/>
        <w:rPr>
          <w:rFonts w:asciiTheme="majorBidi" w:eastAsia="Calibri" w:hAnsiTheme="majorBidi" w:cstheme="majorBidi"/>
        </w:rPr>
      </w:pPr>
      <w:r w:rsidRPr="00F80C69">
        <w:rPr>
          <w:rFonts w:asciiTheme="majorBidi" w:eastAsia="Calibri" w:hAnsiTheme="majorBidi" w:cstheme="majorBidi"/>
        </w:rPr>
        <w:t xml:space="preserve">In attending to the </w:t>
      </w:r>
      <w:proofErr w:type="gramStart"/>
      <w:r w:rsidRPr="00F80C69">
        <w:rPr>
          <w:rFonts w:asciiTheme="majorBidi" w:eastAsia="Calibri" w:hAnsiTheme="majorBidi" w:cstheme="majorBidi"/>
        </w:rPr>
        <w:t>Creature’s</w:t>
      </w:r>
      <w:proofErr w:type="gramEnd"/>
      <w:r w:rsidRPr="00F80C69">
        <w:rPr>
          <w:rFonts w:asciiTheme="majorBidi" w:eastAsia="Calibri" w:hAnsiTheme="majorBidi" w:cstheme="majorBidi"/>
        </w:rPr>
        <w:t xml:space="preserve"> status as a narrating assemblage of prosthetics, I demonstrate how Shelley’s use of novel</w:t>
      </w:r>
      <w:r w:rsidR="009B11C0">
        <w:rPr>
          <w:rFonts w:asciiTheme="majorBidi" w:eastAsia="Calibri" w:hAnsiTheme="majorBidi" w:cstheme="majorBidi"/>
        </w:rPr>
        <w:t xml:space="preserve"> and imagined</w:t>
      </w:r>
      <w:r w:rsidRPr="00F80C69">
        <w:rPr>
          <w:rFonts w:asciiTheme="majorBidi" w:eastAsia="Calibri" w:hAnsiTheme="majorBidi" w:cstheme="majorBidi"/>
        </w:rPr>
        <w:t xml:space="preserve"> medical technologies engendered new narrative forms in the early nineteenth century: modes of representation that present a challenge both to the neat generic classifications that delimited works of literature in the Western canon and, more broadly, to the social classification of bodies. This chapter assumes a dual purpose. First, I underscore how the post-surgical construction of the creature’s physical deformity establishes the foundation for a </w:t>
      </w:r>
      <w:proofErr w:type="gramStart"/>
      <w:r w:rsidRPr="00F80C69">
        <w:rPr>
          <w:rFonts w:asciiTheme="majorBidi" w:eastAsia="Calibri" w:hAnsiTheme="majorBidi" w:cstheme="majorBidi"/>
        </w:rPr>
        <w:t>disability studies</w:t>
      </w:r>
      <w:proofErr w:type="gramEnd"/>
      <w:r w:rsidRPr="00F80C69">
        <w:rPr>
          <w:rFonts w:asciiTheme="majorBidi" w:eastAsia="Calibri" w:hAnsiTheme="majorBidi" w:cstheme="majorBidi"/>
        </w:rPr>
        <w:t xml:space="preserve"> reading of Shelley’s novel. From that point, I take up the novel’s diverse narrative and generic structures, which, I argue, emanate, in part, from an engagement with prosthesis. In so doing, I lay out the critical potentials inherent to </w:t>
      </w:r>
      <w:r w:rsidR="009B11C0">
        <w:rPr>
          <w:rFonts w:asciiTheme="majorBidi" w:eastAsia="Calibri" w:hAnsiTheme="majorBidi" w:cstheme="majorBidi"/>
        </w:rPr>
        <w:t>this</w:t>
      </w:r>
      <w:r w:rsidRPr="00F80C69">
        <w:rPr>
          <w:rFonts w:asciiTheme="majorBidi" w:eastAsia="Calibri" w:hAnsiTheme="majorBidi" w:cstheme="majorBidi"/>
        </w:rPr>
        <w:t xml:space="preserve"> reading of Shelley’s object-human hybrid as they apply both to the Victorian literary canon and to developing notions of the (disabled) human body. In particular, such an approach allows us to understand </w:t>
      </w:r>
      <w:r w:rsidRPr="00F80C69">
        <w:rPr>
          <w:rFonts w:asciiTheme="majorBidi" w:eastAsia="Calibri" w:hAnsiTheme="majorBidi" w:cstheme="majorBidi"/>
          <w:i/>
          <w:iCs/>
        </w:rPr>
        <w:t>Frankenstein</w:t>
      </w:r>
      <w:r w:rsidRPr="00F80C69">
        <w:rPr>
          <w:rFonts w:asciiTheme="majorBidi" w:eastAsia="Calibri" w:hAnsiTheme="majorBidi" w:cstheme="majorBidi"/>
        </w:rPr>
        <w:t xml:space="preserve"> as a pivotal text in a centuries’ long debate over prosthetic agency, both corporeal and textual. The successor of it-narratives and the predecessor of techno-performance, </w:t>
      </w:r>
      <w:r w:rsidRPr="00F80C69">
        <w:rPr>
          <w:rFonts w:asciiTheme="majorBidi" w:eastAsia="Calibri" w:hAnsiTheme="majorBidi" w:cstheme="majorBidi"/>
          <w:i/>
          <w:iCs/>
        </w:rPr>
        <w:t>Frankenstein</w:t>
      </w:r>
      <w:r w:rsidRPr="00F80C69">
        <w:rPr>
          <w:rFonts w:asciiTheme="majorBidi" w:eastAsia="Calibri" w:hAnsiTheme="majorBidi" w:cstheme="majorBidi"/>
        </w:rPr>
        <w:t xml:space="preserve"> bridges eighteenth-century deliberations over the degree of subjecthood possessed by prostheses and the nineteenth-century move toward the mass production of such objects.</w:t>
      </w:r>
      <w:r w:rsidRPr="00F80C69">
        <w:rPr>
          <w:rFonts w:asciiTheme="majorBidi" w:eastAsia="Calibri" w:hAnsiTheme="majorBidi" w:cstheme="majorBidi"/>
          <w:vertAlign w:val="superscript"/>
        </w:rPr>
        <w:footnoteReference w:id="30"/>
      </w:r>
      <w:r w:rsidRPr="00F80C69">
        <w:rPr>
          <w:rFonts w:asciiTheme="majorBidi" w:eastAsia="Calibri" w:hAnsiTheme="majorBidi" w:cstheme="majorBidi"/>
        </w:rPr>
        <w:t xml:space="preserve"> I </w:t>
      </w:r>
      <w:r w:rsidRPr="00F80C69">
        <w:rPr>
          <w:rFonts w:asciiTheme="majorBidi" w:eastAsia="Calibri" w:hAnsiTheme="majorBidi" w:cstheme="majorBidi"/>
        </w:rPr>
        <w:lastRenderedPageBreak/>
        <w:t xml:space="preserve">also demonstrate how the autobiographical structure of </w:t>
      </w:r>
      <w:r w:rsidRPr="00F80C69">
        <w:rPr>
          <w:rFonts w:asciiTheme="majorBidi" w:eastAsia="Calibri" w:hAnsiTheme="majorBidi" w:cstheme="majorBidi"/>
          <w:i/>
          <w:iCs/>
        </w:rPr>
        <w:t>Frankenstein</w:t>
      </w:r>
      <w:r w:rsidRPr="00F80C69">
        <w:rPr>
          <w:rFonts w:asciiTheme="majorBidi" w:eastAsia="Calibri" w:hAnsiTheme="majorBidi" w:cstheme="majorBidi"/>
        </w:rPr>
        <w:t xml:space="preserve">—the homodiegetic potentials afforded by prosthesis in the novel—lays the narrative foundation for the nineteenth-century novel’s recursive (re)production and reconciliation of the human body. The </w:t>
      </w:r>
      <w:proofErr w:type="gramStart"/>
      <w:r w:rsidRPr="00F80C69">
        <w:rPr>
          <w:rFonts w:asciiTheme="majorBidi" w:eastAsia="Calibri" w:hAnsiTheme="majorBidi" w:cstheme="majorBidi"/>
        </w:rPr>
        <w:t>Creature</w:t>
      </w:r>
      <w:proofErr w:type="gramEnd"/>
      <w:r w:rsidRPr="00F80C69">
        <w:rPr>
          <w:rFonts w:asciiTheme="majorBidi" w:eastAsia="Calibri" w:hAnsiTheme="majorBidi" w:cstheme="majorBidi"/>
        </w:rPr>
        <w:t xml:space="preserve"> is both made and self-made; he narrates and is narrated. His creation hinges equally on medical, technological, and narrative innovation. The grotesque assemblage of parts that coalesce into humanoid form in Shelley’s novel, then, engenders a new corporeal aesthetic that paves the way for Victorian fiction’s grappling with a new human-object network and the refashioning of the human machine.</w:t>
      </w:r>
    </w:p>
    <w:p w14:paraId="703BFD27" w14:textId="2CF961F3" w:rsidR="00F80C69" w:rsidRPr="00F80C69" w:rsidRDefault="00F80C69" w:rsidP="00F80C69">
      <w:pPr>
        <w:spacing w:line="480" w:lineRule="auto"/>
        <w:rPr>
          <w:rFonts w:asciiTheme="majorBidi" w:eastAsia="Calibri" w:hAnsiTheme="majorBidi" w:cstheme="majorBidi"/>
        </w:rPr>
      </w:pPr>
      <w:r w:rsidRPr="00F80C69">
        <w:rPr>
          <w:rFonts w:asciiTheme="majorBidi" w:eastAsia="Calibri" w:hAnsiTheme="majorBidi" w:cstheme="majorBidi"/>
        </w:rPr>
        <w:tab/>
        <w:t xml:space="preserve">Of course, to approach </w:t>
      </w:r>
      <w:r w:rsidRPr="00F80C69">
        <w:rPr>
          <w:rFonts w:asciiTheme="majorBidi" w:eastAsia="Calibri" w:hAnsiTheme="majorBidi" w:cstheme="majorBidi"/>
          <w:i/>
        </w:rPr>
        <w:t>Frankenstein</w:t>
      </w:r>
      <w:r w:rsidRPr="00F80C69">
        <w:rPr>
          <w:rFonts w:asciiTheme="majorBidi" w:eastAsia="Calibri" w:hAnsiTheme="majorBidi" w:cstheme="majorBidi"/>
        </w:rPr>
        <w:t xml:space="preserve"> as a disability narrative is not altogether to reinvent the wheel. Many critics have engaged in analyses of Shelley’s production of difference and her inquiry into the essence of the human, but they have typically done so under the aegis of theories that account for socio-economic conditions, nationality, gender, or sexual hierarchies or for anxieties concerning soul-making. (It is little wonder that Michel Foucault’s works—and </w:t>
      </w:r>
      <w:r w:rsidRPr="00F80C69">
        <w:rPr>
          <w:rFonts w:asciiTheme="majorBidi" w:eastAsia="Calibri" w:hAnsiTheme="majorBidi" w:cstheme="majorBidi"/>
          <w:i/>
        </w:rPr>
        <w:t>Discipline and Punish</w:t>
      </w:r>
      <w:r w:rsidRPr="00F80C69">
        <w:rPr>
          <w:rFonts w:asciiTheme="majorBidi" w:eastAsia="Calibri" w:hAnsiTheme="majorBidi" w:cstheme="majorBidi"/>
        </w:rPr>
        <w:t xml:space="preserve"> in particular—function as a touchstone in so many investigations of the latter.) Jack Halberstam, for instance, undertakes a reading of the Gothic monster as a cultural object in </w:t>
      </w:r>
      <w:r w:rsidRPr="00F80C69">
        <w:rPr>
          <w:rFonts w:asciiTheme="majorBidi" w:eastAsia="Calibri" w:hAnsiTheme="majorBidi" w:cstheme="majorBidi"/>
          <w:i/>
        </w:rPr>
        <w:t>Frankenstein</w:t>
      </w:r>
      <w:r w:rsidRPr="00F80C69">
        <w:rPr>
          <w:rFonts w:asciiTheme="majorBidi" w:eastAsia="Calibri" w:hAnsiTheme="majorBidi" w:cstheme="majorBidi"/>
        </w:rPr>
        <w:t xml:space="preserve"> through the lenses of feminist and queer studies. But even Halberstam’s compelling assertion that “Gothic fiction of the nineteenth century specifically used the body of the monster to produce race, class, gender, and sexuality within narratives about the relation between subjectivities and certain bodies” elides a discussion of the literary construction of disabled bodies in the nineteenth century (</w:t>
      </w:r>
      <w:r w:rsidRPr="00F80C69">
        <w:rPr>
          <w:rFonts w:asciiTheme="majorBidi" w:eastAsia="Calibri" w:hAnsiTheme="majorBidi" w:cstheme="majorBidi"/>
          <w:i/>
        </w:rPr>
        <w:t>Skin Shows</w:t>
      </w:r>
      <w:r w:rsidRPr="00F80C69">
        <w:rPr>
          <w:rFonts w:asciiTheme="majorBidi" w:eastAsia="Calibri" w:hAnsiTheme="majorBidi" w:cstheme="majorBidi"/>
        </w:rPr>
        <w:t xml:space="preserve"> 6). Halberstam convincingly argues that, in raising questions about what constitutes the human (and human relationships), Shelley’s novel incites fear by constructing a “paranoia about boundaries” (36), but</w:t>
      </w:r>
      <w:r w:rsidR="00011C4A">
        <w:rPr>
          <w:rFonts w:asciiTheme="majorBidi" w:eastAsia="Calibri" w:hAnsiTheme="majorBidi" w:cstheme="majorBidi"/>
        </w:rPr>
        <w:t xml:space="preserve"> Halberstam’s</w:t>
      </w:r>
      <w:r w:rsidRPr="00F80C69">
        <w:rPr>
          <w:rFonts w:asciiTheme="majorBidi" w:eastAsia="Calibri" w:hAnsiTheme="majorBidi" w:cstheme="majorBidi"/>
        </w:rPr>
        <w:t xml:space="preserve"> extended meditation on skin as “a kind of metonym for the human” ultimately concerns </w:t>
      </w:r>
      <w:proofErr w:type="gramStart"/>
      <w:r w:rsidRPr="00F80C69">
        <w:rPr>
          <w:rFonts w:asciiTheme="majorBidi" w:eastAsia="Calibri" w:hAnsiTheme="majorBidi" w:cstheme="majorBidi"/>
        </w:rPr>
        <w:t>matters</w:t>
      </w:r>
      <w:proofErr w:type="gramEnd"/>
      <w:r w:rsidRPr="00F80C69">
        <w:rPr>
          <w:rFonts w:asciiTheme="majorBidi" w:eastAsia="Calibri" w:hAnsiTheme="majorBidi" w:cstheme="majorBidi"/>
        </w:rPr>
        <w:t xml:space="preserve"> of class, </w:t>
      </w:r>
      <w:r w:rsidRPr="00F80C69">
        <w:rPr>
          <w:rFonts w:asciiTheme="majorBidi" w:eastAsia="Calibri" w:hAnsiTheme="majorBidi" w:cstheme="majorBidi"/>
        </w:rPr>
        <w:lastRenderedPageBreak/>
        <w:t xml:space="preserve">race, and gender, not fitness (7). Still, similar sites of paranoia in Shelley’s novel offer critical entry into the production of normative hierarchies of physical difference that results from inanimate supplementation. More specifically, reading the </w:t>
      </w:r>
      <w:proofErr w:type="gramStart"/>
      <w:r w:rsidRPr="00F80C69">
        <w:rPr>
          <w:rFonts w:asciiTheme="majorBidi" w:eastAsia="Calibri" w:hAnsiTheme="majorBidi" w:cstheme="majorBidi"/>
        </w:rPr>
        <w:t>Creature’s</w:t>
      </w:r>
      <w:proofErr w:type="gramEnd"/>
      <w:r w:rsidRPr="00F80C69">
        <w:rPr>
          <w:rFonts w:asciiTheme="majorBidi" w:eastAsia="Calibri" w:hAnsiTheme="majorBidi" w:cstheme="majorBidi"/>
        </w:rPr>
        <w:t xml:space="preserve"> physical and narrative constructions allows us to reconsider </w:t>
      </w:r>
      <w:r w:rsidRPr="00F80C69">
        <w:rPr>
          <w:rFonts w:asciiTheme="majorBidi" w:eastAsia="Calibri" w:hAnsiTheme="majorBidi" w:cstheme="majorBidi"/>
          <w:i/>
        </w:rPr>
        <w:t>Frankenstein</w:t>
      </w:r>
      <w:r w:rsidRPr="00F80C69">
        <w:rPr>
          <w:rFonts w:asciiTheme="majorBidi" w:eastAsia="Calibri" w:hAnsiTheme="majorBidi" w:cstheme="majorBidi"/>
        </w:rPr>
        <w:t xml:space="preserve"> as among the nineteenth century’s earliest iterations of a novel in which old and new forms of narration collude with material objects to reshape and recast the disabled character.</w:t>
      </w:r>
    </w:p>
    <w:p w14:paraId="486BA5F2" w14:textId="4599E8C7" w:rsidR="00F80C69" w:rsidRPr="00F80C69" w:rsidRDefault="00F80C69" w:rsidP="00F80C69">
      <w:pPr>
        <w:spacing w:line="480" w:lineRule="auto"/>
        <w:ind w:firstLine="720"/>
        <w:rPr>
          <w:rFonts w:asciiTheme="majorBidi" w:eastAsia="Calibri" w:hAnsiTheme="majorBidi" w:cstheme="majorBidi"/>
        </w:rPr>
      </w:pPr>
      <w:r w:rsidRPr="00F80C69">
        <w:rPr>
          <w:rFonts w:asciiTheme="majorBidi" w:eastAsia="Calibri" w:hAnsiTheme="majorBidi" w:cstheme="majorBidi"/>
        </w:rPr>
        <w:t>Indeed, what is most unsettling about the novel and its monstrous protagonist is th</w:t>
      </w:r>
      <w:r w:rsidR="00011C4A">
        <w:rPr>
          <w:rFonts w:asciiTheme="majorBidi" w:eastAsia="Calibri" w:hAnsiTheme="majorBidi" w:cstheme="majorBidi"/>
        </w:rPr>
        <w:t>eir</w:t>
      </w:r>
      <w:r w:rsidRPr="00F80C69">
        <w:rPr>
          <w:rFonts w:asciiTheme="majorBidi" w:eastAsia="Calibri" w:hAnsiTheme="majorBidi" w:cstheme="majorBidi"/>
        </w:rPr>
        <w:t xml:space="preserve"> occup</w:t>
      </w:r>
      <w:r w:rsidR="00011C4A">
        <w:rPr>
          <w:rFonts w:asciiTheme="majorBidi" w:eastAsia="Calibri" w:hAnsiTheme="majorBidi" w:cstheme="majorBidi"/>
        </w:rPr>
        <w:t>ation of</w:t>
      </w:r>
      <w:r w:rsidRPr="00F80C69">
        <w:rPr>
          <w:rFonts w:asciiTheme="majorBidi" w:eastAsia="Calibri" w:hAnsiTheme="majorBidi" w:cstheme="majorBidi"/>
        </w:rPr>
        <w:t xml:space="preserve"> hazy, liminal spaces. They are hybrids that violate neat either/or classification: neither wholly one thing or another, but both. (I examine the text’s generic hybridity later in the chapter.) The </w:t>
      </w:r>
      <w:proofErr w:type="gramStart"/>
      <w:r w:rsidRPr="00F80C69">
        <w:rPr>
          <w:rFonts w:asciiTheme="majorBidi" w:eastAsia="Calibri" w:hAnsiTheme="majorBidi" w:cstheme="majorBidi"/>
        </w:rPr>
        <w:t>Creature</w:t>
      </w:r>
      <w:proofErr w:type="gramEnd"/>
      <w:r w:rsidRPr="00F80C69">
        <w:rPr>
          <w:rFonts w:asciiTheme="majorBidi" w:eastAsia="Calibri" w:hAnsiTheme="majorBidi" w:cstheme="majorBidi"/>
        </w:rPr>
        <w:t xml:space="preserve"> is a living organism made up of dead ones. His frame comprises both human and nonhuman animal parts, as Frankenstein, glossing his inventory, reveals</w:t>
      </w:r>
      <w:r w:rsidR="00011C4A">
        <w:rPr>
          <w:rFonts w:asciiTheme="majorBidi" w:eastAsia="Calibri" w:hAnsiTheme="majorBidi" w:cstheme="majorBidi"/>
        </w:rPr>
        <w:t>:</w:t>
      </w:r>
      <w:r w:rsidRPr="00F80C69">
        <w:rPr>
          <w:rFonts w:asciiTheme="majorBidi" w:eastAsia="Calibri" w:hAnsiTheme="majorBidi" w:cstheme="majorBidi"/>
        </w:rPr>
        <w:t xml:space="preserve"> “The dissecting room and the slaughter-house furnished many of my materials” (34). He is neither purely natural or unnatural, organic or artificial—but both: an indeterminate state of being that provokes paranoia. Jed Mayer has commented on </w:t>
      </w:r>
      <w:r w:rsidRPr="00F80C69">
        <w:rPr>
          <w:rFonts w:asciiTheme="majorBidi" w:eastAsia="Calibri" w:hAnsiTheme="majorBidi" w:cstheme="majorBidi"/>
          <w:i/>
          <w:iCs/>
        </w:rPr>
        <w:t>Frankenstein</w:t>
      </w:r>
      <w:r w:rsidRPr="00F80C69">
        <w:rPr>
          <w:rFonts w:asciiTheme="majorBidi" w:eastAsia="Calibri" w:hAnsiTheme="majorBidi" w:cstheme="majorBidi"/>
        </w:rPr>
        <w:t xml:space="preserve">’s concern with what he identifies as “the inextricability of the human and the nonhuman” and its “understanding that the natural can be manipulated, manufactured by humans, and that humans can be simulated, supplemented by nonhumans. The horrors evoked in the narrative reflect anxieties concerning lack of boundaries [ . . . and] weird hybridities” (“The Weird Ecologies of Mary Shelley’s </w:t>
      </w:r>
      <w:r w:rsidRPr="00F80C69">
        <w:rPr>
          <w:rFonts w:asciiTheme="majorBidi" w:eastAsia="Calibri" w:hAnsiTheme="majorBidi" w:cstheme="majorBidi"/>
          <w:i/>
          <w:iCs/>
        </w:rPr>
        <w:t>Frankenstein</w:t>
      </w:r>
      <w:r w:rsidRPr="00F80C69">
        <w:rPr>
          <w:rFonts w:asciiTheme="majorBidi" w:eastAsia="Calibri" w:hAnsiTheme="majorBidi" w:cstheme="majorBidi"/>
        </w:rPr>
        <w:t xml:space="preserve">” 229). The hybridity that results from those manipulations and supplementations becomes the site of such profound disquiet because it violates binary notions of what human bodies can or should be. Bodies, traditional lines of thinking may hold, are either alive or dead. Limbs are either present or absent. </w:t>
      </w:r>
      <w:proofErr w:type="gramStart"/>
      <w:r w:rsidRPr="00F80C69">
        <w:rPr>
          <w:rFonts w:asciiTheme="majorBidi" w:eastAsia="Calibri" w:hAnsiTheme="majorBidi" w:cstheme="majorBidi"/>
        </w:rPr>
        <w:t>Organs</w:t>
      </w:r>
      <w:proofErr w:type="gramEnd"/>
      <w:r w:rsidRPr="00F80C69">
        <w:rPr>
          <w:rFonts w:asciiTheme="majorBidi" w:eastAsia="Calibri" w:hAnsiTheme="majorBidi" w:cstheme="majorBidi"/>
        </w:rPr>
        <w:t xml:space="preserve"> function or they don’t. But the eerie simultaneity of artificial and organic supplementation that produces a new kind of body in </w:t>
      </w:r>
      <w:r w:rsidRPr="00F80C69">
        <w:rPr>
          <w:rFonts w:asciiTheme="majorBidi" w:eastAsia="Calibri" w:hAnsiTheme="majorBidi" w:cstheme="majorBidi"/>
          <w:i/>
          <w:iCs/>
        </w:rPr>
        <w:t>Frankenstein</w:t>
      </w:r>
      <w:r w:rsidRPr="00F80C69">
        <w:rPr>
          <w:rFonts w:asciiTheme="majorBidi" w:eastAsia="Calibri" w:hAnsiTheme="majorBidi" w:cstheme="majorBidi"/>
        </w:rPr>
        <w:t xml:space="preserve"> upends those </w:t>
      </w:r>
      <w:r w:rsidRPr="00F80C69">
        <w:rPr>
          <w:rFonts w:asciiTheme="majorBidi" w:eastAsia="Calibri" w:hAnsiTheme="majorBidi" w:cstheme="majorBidi"/>
        </w:rPr>
        <w:lastRenderedPageBreak/>
        <w:t xml:space="preserve">categories entirely, altogether frustrating normative expectations and occasioning intratextual fear and extratextual suspicion. </w:t>
      </w:r>
    </w:p>
    <w:p w14:paraId="64CA1A97" w14:textId="77777777" w:rsidR="00F80C69" w:rsidRPr="00F80C69" w:rsidRDefault="00F80C69" w:rsidP="00F80C69">
      <w:pPr>
        <w:spacing w:line="480" w:lineRule="auto"/>
        <w:ind w:firstLine="720"/>
        <w:rPr>
          <w:rFonts w:asciiTheme="majorBidi" w:eastAsia="Calibri" w:hAnsiTheme="majorBidi" w:cstheme="majorBidi"/>
        </w:rPr>
      </w:pPr>
      <w:r w:rsidRPr="00F80C69">
        <w:rPr>
          <w:rFonts w:asciiTheme="majorBidi" w:eastAsia="Calibri" w:hAnsiTheme="majorBidi" w:cstheme="majorBidi"/>
        </w:rPr>
        <w:t xml:space="preserve">Frankenstein’s elaborate attempts at supplementation and reanimation seem so incredible that we often take for granted that the vaguely described science at the heart of the novel’s plot exists as the product of speculative, cutting-edge technology. In fact, parts of Frankenstein’s experiments appear more deeply rooted in dated, debunked forms of pseudoscience. Frankenstein’s research, as Glen Cavaliero reminds us, “and his discovery of the principles of life arise out of his previous immersion in the discredited magical science of alchemy and the writings of the medieval cabbalists. </w:t>
      </w:r>
      <w:r w:rsidRPr="00F80C69">
        <w:rPr>
          <w:rFonts w:asciiTheme="majorBidi" w:eastAsia="Calibri" w:hAnsiTheme="majorBidi" w:cstheme="majorBidi"/>
          <w:i/>
          <w:iCs/>
        </w:rPr>
        <w:t>Frankenstein</w:t>
      </w:r>
      <w:r w:rsidRPr="00F80C69">
        <w:rPr>
          <w:rFonts w:asciiTheme="majorBidi" w:eastAsia="Calibri" w:hAnsiTheme="majorBidi" w:cstheme="majorBidi"/>
        </w:rPr>
        <w:t xml:space="preserve"> has its roots in occult tradition” (</w:t>
      </w:r>
      <w:r w:rsidRPr="00F80C69">
        <w:rPr>
          <w:rFonts w:asciiTheme="majorBidi" w:eastAsia="Calibri" w:hAnsiTheme="majorBidi" w:cstheme="majorBidi"/>
          <w:i/>
          <w:iCs/>
        </w:rPr>
        <w:t>The Supernatural and English Fiction</w:t>
      </w:r>
      <w:r w:rsidRPr="00F80C69">
        <w:rPr>
          <w:rFonts w:asciiTheme="majorBidi" w:eastAsia="Calibri" w:hAnsiTheme="majorBidi" w:cstheme="majorBidi"/>
        </w:rPr>
        <w:t xml:space="preserve"> 63). While Frankenstein’s abstruse practice of the occult in the lab lends itself well to the existential horror that haunts Shelley’s ghost story, it also foments an unshakeable sense of perversity that further establishes the novel’s core contest between a dominant norm and a brand of deviance that seems to challenge that norm.</w:t>
      </w:r>
      <w:r w:rsidRPr="00F80C69">
        <w:rPr>
          <w:rFonts w:asciiTheme="majorBidi" w:eastAsia="Calibri" w:hAnsiTheme="majorBidi" w:cstheme="majorBidi"/>
          <w:vertAlign w:val="superscript"/>
        </w:rPr>
        <w:footnoteReference w:id="31"/>
      </w:r>
    </w:p>
    <w:p w14:paraId="386AFF5A" w14:textId="5E9EFAF8" w:rsidR="00F80C69" w:rsidRPr="00F80C69" w:rsidRDefault="00F80C69" w:rsidP="00F80C69">
      <w:pPr>
        <w:spacing w:line="480" w:lineRule="auto"/>
        <w:rPr>
          <w:rFonts w:asciiTheme="majorBidi" w:eastAsia="Calibri" w:hAnsiTheme="majorBidi" w:cstheme="majorBidi"/>
        </w:rPr>
      </w:pPr>
      <w:r w:rsidRPr="00F80C69">
        <w:rPr>
          <w:rFonts w:asciiTheme="majorBidi" w:eastAsia="Calibri" w:hAnsiTheme="majorBidi" w:cstheme="majorBidi"/>
        </w:rPr>
        <w:tab/>
        <w:t xml:space="preserve">Still, for all of its occult underpinnings, the novel’s subtitle, </w:t>
      </w:r>
      <w:r w:rsidRPr="00F80C69">
        <w:rPr>
          <w:rFonts w:asciiTheme="majorBidi" w:eastAsia="Calibri" w:hAnsiTheme="majorBidi" w:cstheme="majorBidi"/>
          <w:i/>
        </w:rPr>
        <w:t>The Modern Prometheus</w:t>
      </w:r>
      <w:r w:rsidRPr="00F80C69">
        <w:rPr>
          <w:rFonts w:asciiTheme="majorBidi" w:eastAsia="Calibri" w:hAnsiTheme="majorBidi" w:cstheme="majorBidi"/>
        </w:rPr>
        <w:t xml:space="preserve">, evinces how firmly Shelley had her finger on the socio-technological pulse of early nineteenth-century Britain. Take, for instance, the legacy and popularity of galvanism experiments performed by the likes of Luigi Galvani and Alessandro Volta. Over a decade before Victor Frankenstein tried his hand at his own brand of galvanism, an audience at the Royal Academy of Surgeons watched as Giovanni Aldini (nephew of Luigi Galvani, the scientist who had </w:t>
      </w:r>
      <w:r w:rsidRPr="00F80C69">
        <w:rPr>
          <w:rFonts w:asciiTheme="majorBidi" w:eastAsia="Calibri" w:hAnsiTheme="majorBidi" w:cstheme="majorBidi"/>
        </w:rPr>
        <w:lastRenderedPageBreak/>
        <w:t>discovered “animal electricity” in the 1780’s) electrified a human corpse with such force that it seemed (for a moment, anyway) almost reanimated.</w:t>
      </w:r>
      <w:r w:rsidRPr="00F80C69">
        <w:rPr>
          <w:rFonts w:asciiTheme="majorBidi" w:eastAsia="Calibri" w:hAnsiTheme="majorBidi" w:cstheme="majorBidi"/>
          <w:vertAlign w:val="superscript"/>
        </w:rPr>
        <w:footnoteReference w:id="32"/>
      </w:r>
      <w:r w:rsidRPr="00F80C69">
        <w:rPr>
          <w:rFonts w:asciiTheme="majorBidi" w:eastAsia="Calibri" w:hAnsiTheme="majorBidi" w:cstheme="majorBidi"/>
        </w:rPr>
        <w:t xml:space="preserve"> In a sense, Shelley’s entire novel reads like an extended thought experiment on the limits and possibilities of such medical trials. Countless critical analyses of Shelley’s work and her indebtedness to the sciences include allusions to dozens of famous scientists ranging from Erasmus Darwin (whom Shelley explicitly names in the book’s preface) to William Nicholson to Humphry Davy to (predictably) John William Polidori</w:t>
      </w:r>
      <w:r w:rsidR="000C7DBF">
        <w:rPr>
          <w:rFonts w:asciiTheme="majorBidi" w:eastAsia="Calibri" w:hAnsiTheme="majorBidi" w:cstheme="majorBidi"/>
        </w:rPr>
        <w:t>,</w:t>
      </w:r>
      <w:r w:rsidRPr="00F80C69">
        <w:rPr>
          <w:rFonts w:asciiTheme="majorBidi" w:eastAsia="Calibri" w:hAnsiTheme="majorBidi" w:cstheme="majorBidi"/>
        </w:rPr>
        <w:t xml:space="preserve"> whose theories and experiments came to bear on her narrative.</w:t>
      </w:r>
      <w:r w:rsidRPr="00F80C69">
        <w:rPr>
          <w:rFonts w:asciiTheme="majorBidi" w:eastAsia="Calibri" w:hAnsiTheme="majorBidi" w:cstheme="majorBidi"/>
          <w:vertAlign w:val="superscript"/>
        </w:rPr>
        <w:footnoteReference w:id="33"/>
      </w:r>
    </w:p>
    <w:p w14:paraId="7BD2FA21" w14:textId="7E2334C3" w:rsidR="00F80C69" w:rsidRPr="00F80C69" w:rsidRDefault="00F80C69" w:rsidP="00F80C69">
      <w:pPr>
        <w:spacing w:line="480" w:lineRule="auto"/>
        <w:ind w:firstLine="720"/>
        <w:rPr>
          <w:rFonts w:asciiTheme="majorBidi" w:eastAsia="Calibri" w:hAnsiTheme="majorBidi" w:cstheme="majorBidi"/>
        </w:rPr>
      </w:pPr>
      <w:r w:rsidRPr="00F80C69">
        <w:rPr>
          <w:rFonts w:asciiTheme="majorBidi" w:eastAsia="Calibri" w:hAnsiTheme="majorBidi" w:cstheme="majorBidi"/>
        </w:rPr>
        <w:t>Shelley’s unnamed creature bears the brunt of the disembodied union of the Industrial Revolution, legal reform, and medical speculation at the turn of the century that effectively redefined the human. His creation coincides with—and in some respects anticipates—new notions of physical “fitness</w:t>
      </w:r>
      <w:r w:rsidR="000C7DBF">
        <w:rPr>
          <w:rFonts w:asciiTheme="majorBidi" w:eastAsia="Calibri" w:hAnsiTheme="majorBidi" w:cstheme="majorBidi"/>
        </w:rPr>
        <w:t xml:space="preserve">.” </w:t>
      </w:r>
      <w:r w:rsidRPr="00F80C69">
        <w:rPr>
          <w:rFonts w:asciiTheme="majorBidi" w:eastAsia="Calibri" w:hAnsiTheme="majorBidi" w:cstheme="majorBidi"/>
        </w:rPr>
        <w:t xml:space="preserve">As </w:t>
      </w:r>
      <w:r w:rsidR="000C7DBF">
        <w:rPr>
          <w:rFonts w:asciiTheme="majorBidi" w:eastAsia="Calibri" w:hAnsiTheme="majorBidi" w:cstheme="majorBidi"/>
        </w:rPr>
        <w:t>mentioned</w:t>
      </w:r>
      <w:r w:rsidRPr="00F80C69">
        <w:rPr>
          <w:rFonts w:asciiTheme="majorBidi" w:eastAsia="Calibri" w:hAnsiTheme="majorBidi" w:cstheme="majorBidi"/>
        </w:rPr>
        <w:t xml:space="preserve"> in the introduction, the tacit codification and standardization of human “fitness” and ability that emerged in </w:t>
      </w:r>
      <w:r w:rsidR="000C7DBF">
        <w:rPr>
          <w:rFonts w:asciiTheme="majorBidi" w:eastAsia="Calibri" w:hAnsiTheme="majorBidi" w:cstheme="majorBidi"/>
        </w:rPr>
        <w:t xml:space="preserve">nineteenth-century </w:t>
      </w:r>
      <w:r w:rsidRPr="00F80C69">
        <w:rPr>
          <w:rFonts w:asciiTheme="majorBidi" w:eastAsia="Calibri" w:hAnsiTheme="majorBidi" w:cstheme="majorBidi"/>
        </w:rPr>
        <w:t>Europe engendered systematic standards of “normalcy</w:t>
      </w:r>
      <w:r w:rsidR="000C7DBF">
        <w:rPr>
          <w:rFonts w:asciiTheme="majorBidi" w:eastAsia="Calibri" w:hAnsiTheme="majorBidi" w:cstheme="majorBidi"/>
        </w:rPr>
        <w:t>” and deviance</w:t>
      </w:r>
      <w:r w:rsidRPr="00F80C69">
        <w:rPr>
          <w:rFonts w:asciiTheme="majorBidi" w:eastAsia="Calibri" w:hAnsiTheme="majorBidi" w:cstheme="majorBidi"/>
        </w:rPr>
        <w:t xml:space="preserve">. While eugenicist notions of genetic superiority can be traced as far back in Western culture as Plato’s </w:t>
      </w:r>
      <w:r w:rsidRPr="00F80C69">
        <w:rPr>
          <w:rFonts w:asciiTheme="majorBidi" w:eastAsia="Calibri" w:hAnsiTheme="majorBidi" w:cstheme="majorBidi"/>
          <w:i/>
          <w:iCs/>
        </w:rPr>
        <w:t>Republic</w:t>
      </w:r>
      <w:r w:rsidRPr="00F80C69">
        <w:rPr>
          <w:rFonts w:asciiTheme="majorBidi" w:eastAsia="Calibri" w:hAnsiTheme="majorBidi" w:cstheme="majorBidi"/>
        </w:rPr>
        <w:t xml:space="preserve">, it was </w:t>
      </w:r>
      <w:r w:rsidRPr="00F80C69">
        <w:rPr>
          <w:rFonts w:asciiTheme="majorBidi" w:eastAsia="Calibri" w:hAnsiTheme="majorBidi" w:cstheme="majorBidi"/>
        </w:rPr>
        <w:lastRenderedPageBreak/>
        <w:t>nineteenth-century statisticians like Sir Francis Galton and Karl Pearson who combined elements of social Darwinism, mathematics, and biostatics to argue for model and inferior human properties.</w:t>
      </w:r>
      <w:r w:rsidRPr="00F80C69">
        <w:rPr>
          <w:rFonts w:asciiTheme="majorBidi" w:eastAsia="Calibri" w:hAnsiTheme="majorBidi" w:cstheme="majorBidi"/>
          <w:vertAlign w:val="superscript"/>
        </w:rPr>
        <w:footnoteReference w:id="34"/>
      </w:r>
      <w:r w:rsidRPr="00F80C69">
        <w:rPr>
          <w:rFonts w:asciiTheme="majorBidi" w:eastAsia="Calibri" w:hAnsiTheme="majorBidi" w:cstheme="majorBidi"/>
        </w:rPr>
        <w:t xml:space="preserve"> Shelley’s novel engages and manipulates the nineteenth-century public’s growing fascination with the human body and instances of disability. (Consider the popular obsession with tales of industrial accidents described in the introduction.) And while, as this dissertation lays out, disability (abstract, constructed) and prosthesis (literal, physical) </w:t>
      </w:r>
      <w:r w:rsidR="002A55D1">
        <w:rPr>
          <w:rFonts w:asciiTheme="majorBidi" w:eastAsia="Calibri" w:hAnsiTheme="majorBidi" w:cstheme="majorBidi"/>
        </w:rPr>
        <w:t>give rise to</w:t>
      </w:r>
      <w:r w:rsidRPr="00F80C69">
        <w:rPr>
          <w:rFonts w:asciiTheme="majorBidi" w:eastAsia="Calibri" w:hAnsiTheme="majorBidi" w:cstheme="majorBidi"/>
        </w:rPr>
        <w:t xml:space="preserve"> a new, prolific literary aesthetic in the Victorian period, the disabled outcast who arises in neo-golem form in 1818 endures as the ur-disabled protagonist</w:t>
      </w:r>
      <w:r w:rsidR="002A55D1">
        <w:rPr>
          <w:rFonts w:asciiTheme="majorBidi" w:eastAsia="Calibri" w:hAnsiTheme="majorBidi" w:cstheme="majorBidi"/>
        </w:rPr>
        <w:t xml:space="preserve">, </w:t>
      </w:r>
      <w:r w:rsidRPr="00F80C69">
        <w:rPr>
          <w:rFonts w:asciiTheme="majorBidi" w:eastAsia="Calibri" w:hAnsiTheme="majorBidi" w:cstheme="majorBidi"/>
        </w:rPr>
        <w:t>a prosthetic Romantic hero</w:t>
      </w:r>
      <w:r w:rsidR="002A55D1">
        <w:rPr>
          <w:rFonts w:asciiTheme="majorBidi" w:eastAsia="Calibri" w:hAnsiTheme="majorBidi" w:cstheme="majorBidi"/>
        </w:rPr>
        <w:t>,</w:t>
      </w:r>
      <w:r w:rsidRPr="00F80C69">
        <w:rPr>
          <w:rFonts w:asciiTheme="majorBidi" w:eastAsia="Calibri" w:hAnsiTheme="majorBidi" w:cstheme="majorBidi"/>
        </w:rPr>
        <w:t xml:space="preserve"> of the nineteenth century. Thus, a disability studies approach to Shelley’s novel in which we </w:t>
      </w:r>
      <w:r w:rsidR="002A55D1">
        <w:rPr>
          <w:rFonts w:asciiTheme="majorBidi" w:eastAsia="Calibri" w:hAnsiTheme="majorBidi" w:cstheme="majorBidi"/>
        </w:rPr>
        <w:t>view</w:t>
      </w:r>
      <w:r w:rsidRPr="00F80C69">
        <w:rPr>
          <w:rFonts w:asciiTheme="majorBidi" w:eastAsia="Calibri" w:hAnsiTheme="majorBidi" w:cstheme="majorBidi"/>
        </w:rPr>
        <w:t xml:space="preserve"> Frankenstein’s creature as embodied prosthetic provides an interpretive framework for reading the creature and his aborted female counterpart as prefiguring the social construction of physical disability and of new </w:t>
      </w:r>
      <w:r w:rsidR="002A55D1">
        <w:rPr>
          <w:rFonts w:asciiTheme="majorBidi" w:eastAsia="Calibri" w:hAnsiTheme="majorBidi" w:cstheme="majorBidi"/>
        </w:rPr>
        <w:t>D</w:t>
      </w:r>
      <w:r w:rsidRPr="00F80C69">
        <w:rPr>
          <w:rFonts w:asciiTheme="majorBidi" w:eastAsia="Calibri" w:hAnsiTheme="majorBidi" w:cstheme="majorBidi"/>
        </w:rPr>
        <w:t xml:space="preserve">isability communities in the nineteenth century. </w:t>
      </w:r>
    </w:p>
    <w:p w14:paraId="67D2CD68" w14:textId="490772CD" w:rsidR="00F80C69" w:rsidRPr="00F80C69" w:rsidRDefault="00F80C69" w:rsidP="00F80C69">
      <w:pPr>
        <w:spacing w:line="480" w:lineRule="auto"/>
        <w:rPr>
          <w:rFonts w:asciiTheme="majorBidi" w:eastAsia="Calibri" w:hAnsiTheme="majorBidi" w:cstheme="majorBidi"/>
        </w:rPr>
      </w:pPr>
      <w:r w:rsidRPr="00F80C69">
        <w:rPr>
          <w:rFonts w:asciiTheme="majorBidi" w:eastAsia="Calibri" w:hAnsiTheme="majorBidi" w:cstheme="majorBidi"/>
        </w:rPr>
        <w:tab/>
        <w:t>Ironically, Frankenstein alludes to the process of prosthesis—and not soul-making—as the difficult part of his enterprise. Recycling “bodies deprived of life” from a state of degradation and waste, Frankenstein prepares to bestow “animation upon lifeless matter” only to find himself frustrated by the technical constrains of his project</w:t>
      </w:r>
      <w:r w:rsidR="002A55D1">
        <w:rPr>
          <w:rFonts w:asciiTheme="majorBidi" w:eastAsia="Calibri" w:hAnsiTheme="majorBidi" w:cstheme="majorBidi"/>
        </w:rPr>
        <w:t xml:space="preserve"> (31)</w:t>
      </w:r>
      <w:r w:rsidRPr="00F80C69">
        <w:rPr>
          <w:rFonts w:asciiTheme="majorBidi" w:eastAsia="Calibri" w:hAnsiTheme="majorBidi" w:cstheme="majorBidi"/>
        </w:rPr>
        <w:t xml:space="preserve">. “Yet to prepare a frame for the reception of it [animation],” Frankenstein laments, “still remained a work of inconceivable difficulty and labor.” He finds that the “catastrophe” (35) of “infusing life into an inanimate body” of “lifeless clay” (33) inheres in his materials, which he finds “hardly . . . adequate to so arduous an undertaking.” An animate soul, it seems, proves easier to come by than anatomically </w:t>
      </w:r>
      <w:r w:rsidRPr="00F80C69">
        <w:rPr>
          <w:rFonts w:asciiTheme="majorBidi" w:eastAsia="Calibri" w:hAnsiTheme="majorBidi" w:cstheme="majorBidi"/>
        </w:rPr>
        <w:lastRenderedPageBreak/>
        <w:t xml:space="preserve">proportionate prosthetics. Human body parts prove uniform in the abstract, unique in the flesh—imperfect, in a sense, because they are organic and finite rather than artificial and malleable. And </w:t>
      </w:r>
      <w:proofErr w:type="gramStart"/>
      <w:r w:rsidRPr="00F80C69">
        <w:rPr>
          <w:rFonts w:asciiTheme="majorBidi" w:eastAsia="Calibri" w:hAnsiTheme="majorBidi" w:cstheme="majorBidi"/>
        </w:rPr>
        <w:t>so</w:t>
      </w:r>
      <w:proofErr w:type="gramEnd"/>
      <w:r w:rsidRPr="00F80C69">
        <w:rPr>
          <w:rFonts w:asciiTheme="majorBidi" w:eastAsia="Calibri" w:hAnsiTheme="majorBidi" w:cstheme="majorBidi"/>
        </w:rPr>
        <w:t xml:space="preserve"> Frankenstein overcomes the paradox of medical minutiae via magnification. The Creature, Frankenstein determines, will stand at a height of roughly eight feet so that he can work with “proportionably large” parts. The augmentation of the </w:t>
      </w:r>
      <w:proofErr w:type="gramStart"/>
      <w:r w:rsidRPr="00F80C69">
        <w:rPr>
          <w:rFonts w:asciiTheme="majorBidi" w:eastAsia="Calibri" w:hAnsiTheme="majorBidi" w:cstheme="majorBidi"/>
        </w:rPr>
        <w:t>Creature’s</w:t>
      </w:r>
      <w:proofErr w:type="gramEnd"/>
      <w:r w:rsidRPr="00F80C69">
        <w:rPr>
          <w:rFonts w:asciiTheme="majorBidi" w:eastAsia="Calibri" w:hAnsiTheme="majorBidi" w:cstheme="majorBidi"/>
        </w:rPr>
        <w:t xml:space="preserve"> constituent parts, though, bring</w:t>
      </w:r>
      <w:r w:rsidR="002A55D1">
        <w:rPr>
          <w:rFonts w:asciiTheme="majorBidi" w:eastAsia="Calibri" w:hAnsiTheme="majorBidi" w:cstheme="majorBidi"/>
        </w:rPr>
        <w:t>s</w:t>
      </w:r>
      <w:r w:rsidRPr="00F80C69">
        <w:rPr>
          <w:rFonts w:asciiTheme="majorBidi" w:eastAsia="Calibri" w:hAnsiTheme="majorBidi" w:cstheme="majorBidi"/>
        </w:rPr>
        <w:t xml:space="preserve"> him into being only to exclude him from the “chain of existence and events” (104). He is, in many ways, undone by his unifying supplementation; his material alterity, or perversity, becomes a radical challenge to social norms and hierarchies.</w:t>
      </w:r>
      <w:r w:rsidRPr="00F80C69">
        <w:rPr>
          <w:rFonts w:asciiTheme="majorBidi" w:eastAsia="Calibri" w:hAnsiTheme="majorBidi" w:cstheme="majorBidi"/>
          <w:vertAlign w:val="superscript"/>
        </w:rPr>
        <w:footnoteReference w:id="35"/>
      </w:r>
    </w:p>
    <w:p w14:paraId="1D1EEDB8" w14:textId="02695887" w:rsidR="00F80C69" w:rsidRPr="00F80C69" w:rsidRDefault="00F80C69" w:rsidP="00F80C69">
      <w:pPr>
        <w:spacing w:line="480" w:lineRule="auto"/>
        <w:rPr>
          <w:rFonts w:asciiTheme="majorBidi" w:eastAsia="Calibri" w:hAnsiTheme="majorBidi" w:cstheme="majorBidi"/>
          <w:b/>
          <w:bCs/>
        </w:rPr>
      </w:pPr>
      <w:r w:rsidRPr="00F80C69">
        <w:rPr>
          <w:rFonts w:asciiTheme="majorBidi" w:eastAsia="Calibri" w:hAnsiTheme="majorBidi" w:cstheme="majorBidi"/>
        </w:rPr>
        <w:tab/>
        <w:t>Significantly, then, Shelley does more than, to borrow Rosemarie Garland-Thompson’s phrasing, “probe the peripheral so as to view the whole in a fresh way</w:t>
      </w:r>
      <w:r w:rsidR="008D1883">
        <w:rPr>
          <w:rFonts w:asciiTheme="majorBidi" w:eastAsia="Calibri" w:hAnsiTheme="majorBidi" w:cstheme="majorBidi"/>
        </w:rPr>
        <w:t>,</w:t>
      </w:r>
      <w:r w:rsidRPr="00F80C69">
        <w:rPr>
          <w:rFonts w:asciiTheme="majorBidi" w:eastAsia="Calibri" w:hAnsiTheme="majorBidi" w:cstheme="majorBidi"/>
        </w:rPr>
        <w:t>” though she certainly does that as well</w:t>
      </w:r>
      <w:r w:rsidR="008D1883">
        <w:rPr>
          <w:rFonts w:asciiTheme="majorBidi" w:eastAsia="Calibri" w:hAnsiTheme="majorBidi" w:cstheme="majorBidi"/>
        </w:rPr>
        <w:t xml:space="preserve"> </w:t>
      </w:r>
      <w:r w:rsidR="008D1883" w:rsidRPr="00F80C69">
        <w:rPr>
          <w:rFonts w:asciiTheme="majorBidi" w:eastAsia="Calibri" w:hAnsiTheme="majorBidi" w:cstheme="majorBidi"/>
        </w:rPr>
        <w:t>(</w:t>
      </w:r>
      <w:r w:rsidR="008D1883" w:rsidRPr="00F80C69">
        <w:rPr>
          <w:rFonts w:asciiTheme="majorBidi" w:eastAsia="Calibri" w:hAnsiTheme="majorBidi" w:cstheme="majorBidi"/>
          <w:i/>
        </w:rPr>
        <w:t>Extraordinary Bodies</w:t>
      </w:r>
      <w:r w:rsidR="008D1883" w:rsidRPr="00F80C69">
        <w:rPr>
          <w:rFonts w:asciiTheme="majorBidi" w:eastAsia="Calibri" w:hAnsiTheme="majorBidi" w:cstheme="majorBidi"/>
        </w:rPr>
        <w:t xml:space="preserve"> 6)</w:t>
      </w:r>
      <w:r w:rsidRPr="00F80C69">
        <w:rPr>
          <w:rFonts w:asciiTheme="majorBidi" w:eastAsia="Calibri" w:hAnsiTheme="majorBidi" w:cstheme="majorBidi"/>
        </w:rPr>
        <w:t xml:space="preserve">. She invents a monster that confounds normative notions of ability or fitness by exceeding them. The monster is inhuman because he is </w:t>
      </w:r>
      <w:r w:rsidRPr="00F80C69">
        <w:rPr>
          <w:rFonts w:asciiTheme="majorBidi" w:eastAsia="Calibri" w:hAnsiTheme="majorBidi" w:cstheme="majorBidi"/>
          <w:i/>
          <w:iCs/>
        </w:rPr>
        <w:t>super</w:t>
      </w:r>
      <w:r w:rsidRPr="00F80C69">
        <w:rPr>
          <w:rFonts w:asciiTheme="majorBidi" w:eastAsia="Calibri" w:hAnsiTheme="majorBidi" w:cstheme="majorBidi"/>
        </w:rPr>
        <w:t>human. The physical superiority bestowed upon him by his prosthetics violates the standard, unaltered body by underscoring the shortcomings of the “normal” human form.</w:t>
      </w:r>
      <w:r w:rsidRPr="00F80C69">
        <w:rPr>
          <w:rFonts w:asciiTheme="majorBidi" w:eastAsia="Calibri" w:hAnsiTheme="majorBidi" w:cstheme="majorBidi"/>
          <w:vertAlign w:val="superscript"/>
        </w:rPr>
        <w:footnoteReference w:id="36"/>
      </w:r>
      <w:r w:rsidRPr="00F80C69">
        <w:rPr>
          <w:rFonts w:asciiTheme="majorBidi" w:eastAsia="Calibri" w:hAnsiTheme="majorBidi" w:cstheme="majorBidi"/>
        </w:rPr>
        <w:t xml:space="preserve"> As Richard C. Sha has suggested, Romanticism’s interest in any kind of perversity stems from its</w:t>
      </w:r>
      <w:r w:rsidRPr="00F80C69">
        <w:rPr>
          <w:rFonts w:asciiTheme="majorBidi" w:eastAsia="Calibri" w:hAnsiTheme="majorBidi" w:cstheme="majorBidi"/>
          <w:b/>
          <w:bCs/>
        </w:rPr>
        <w:t xml:space="preserve"> </w:t>
      </w:r>
    </w:p>
    <w:p w14:paraId="469264A4" w14:textId="77777777" w:rsidR="00F80C69" w:rsidRPr="00F80C69" w:rsidRDefault="00F80C69" w:rsidP="00F80C69">
      <w:pPr>
        <w:spacing w:line="480" w:lineRule="auto"/>
        <w:ind w:left="1440"/>
        <w:rPr>
          <w:rFonts w:asciiTheme="majorBidi" w:eastAsia="Calibri" w:hAnsiTheme="majorBidi" w:cstheme="majorBidi"/>
        </w:rPr>
      </w:pPr>
      <w:r w:rsidRPr="00F80C69">
        <w:rPr>
          <w:rFonts w:asciiTheme="majorBidi" w:eastAsia="Calibri" w:hAnsiTheme="majorBidi" w:cstheme="majorBidi"/>
        </w:rPr>
        <w:t xml:space="preserve">unique destabilizing potential, one rendered even more vexing given the role of the abnormal in eighteenth-century science. Medical and scientific knowledge were beholden to perversion insofar as anomalies were critical to the discovery of </w:t>
      </w:r>
      <w:r w:rsidRPr="00F80C69">
        <w:rPr>
          <w:rFonts w:asciiTheme="majorBidi" w:eastAsia="Calibri" w:hAnsiTheme="majorBidi" w:cstheme="majorBidi"/>
        </w:rPr>
        <w:lastRenderedPageBreak/>
        <w:t xml:space="preserve">any knowledge. Without disease or nonfunctioning organs, one could not know an organ’s function in the first place. Indeed, the </w:t>
      </w:r>
      <w:r w:rsidRPr="00F80C69">
        <w:rPr>
          <w:rFonts w:asciiTheme="majorBidi" w:eastAsia="Calibri" w:hAnsiTheme="majorBidi" w:cstheme="majorBidi"/>
          <w:i/>
          <w:iCs/>
        </w:rPr>
        <w:t>OED</w:t>
      </w:r>
      <w:r w:rsidRPr="00F80C69">
        <w:rPr>
          <w:rFonts w:asciiTheme="majorBidi" w:eastAsia="Calibri" w:hAnsiTheme="majorBidi" w:cstheme="majorBidi"/>
        </w:rPr>
        <w:t xml:space="preserve"> defines the medical application of perversion to be “an alteration of physiological function such that it becomes abnormal in kind rather than in degree; (also) distortion of a body part.” (</w:t>
      </w:r>
      <w:r w:rsidRPr="00F80C69">
        <w:rPr>
          <w:rFonts w:asciiTheme="majorBidi" w:eastAsia="Calibri" w:hAnsiTheme="majorBidi" w:cstheme="majorBidi"/>
          <w:i/>
          <w:iCs/>
        </w:rPr>
        <w:t>Perverse Romanticism</w:t>
      </w:r>
      <w:r w:rsidRPr="00F80C69">
        <w:rPr>
          <w:rFonts w:asciiTheme="majorBidi" w:eastAsia="Calibri" w:hAnsiTheme="majorBidi" w:cstheme="majorBidi"/>
        </w:rPr>
        <w:t xml:space="preserve"> 5)</w:t>
      </w:r>
    </w:p>
    <w:p w14:paraId="792BB547" w14:textId="0034F2E8" w:rsidR="00F80C69" w:rsidRPr="00F80C69" w:rsidRDefault="00F80C69" w:rsidP="00F80C69">
      <w:pPr>
        <w:spacing w:line="480" w:lineRule="auto"/>
        <w:rPr>
          <w:rFonts w:asciiTheme="majorBidi" w:eastAsia="Calibri" w:hAnsiTheme="majorBidi" w:cstheme="majorBidi"/>
        </w:rPr>
      </w:pPr>
      <w:r w:rsidRPr="00F80C69">
        <w:rPr>
          <w:rFonts w:asciiTheme="majorBidi" w:eastAsia="Calibri" w:hAnsiTheme="majorBidi" w:cstheme="majorBidi"/>
        </w:rPr>
        <w:t xml:space="preserve">Shelley capitalizes on this perversity by using physical deviance as the yardstick against which normalcy is measured and falls short. Deviance and difference breed knowledge; normalcy finds itself defined by (and, in that regard, hinges upon) the abnormal. While the Creature’s abnormalities render him a “destabilizing” superhuman entity, his physical difference exists as a reminder of the threatening potential of abnormalities more generally—of the center’s </w:t>
      </w:r>
      <w:r w:rsidR="008D1883">
        <w:rPr>
          <w:rFonts w:asciiTheme="majorBidi" w:eastAsia="Calibri" w:hAnsiTheme="majorBidi" w:cstheme="majorBidi"/>
        </w:rPr>
        <w:t>dependence</w:t>
      </w:r>
      <w:r w:rsidRPr="00F80C69">
        <w:rPr>
          <w:rFonts w:asciiTheme="majorBidi" w:eastAsia="Calibri" w:hAnsiTheme="majorBidi" w:cstheme="majorBidi"/>
        </w:rPr>
        <w:t xml:space="preserve"> on the periphery.</w:t>
      </w:r>
    </w:p>
    <w:p w14:paraId="1CD64C7F" w14:textId="11934DA0" w:rsidR="00F80C69" w:rsidRPr="00F80C69" w:rsidRDefault="00F80C69" w:rsidP="00F80C69">
      <w:pPr>
        <w:spacing w:line="480" w:lineRule="auto"/>
        <w:ind w:firstLine="720"/>
        <w:rPr>
          <w:rFonts w:asciiTheme="majorBidi" w:eastAsia="Calibri" w:hAnsiTheme="majorBidi" w:cstheme="majorBidi"/>
        </w:rPr>
      </w:pPr>
      <w:r w:rsidRPr="00F80C69">
        <w:rPr>
          <w:rFonts w:asciiTheme="majorBidi" w:eastAsia="Calibri" w:hAnsiTheme="majorBidi" w:cstheme="majorBidi"/>
        </w:rPr>
        <w:t>Crucially, then, in spite of all his “scaring” and “unearthly” ugliness, Frankenstein’s creation proves physically superior to the novel’s “normal” human beings</w:t>
      </w:r>
      <w:r w:rsidR="009518BC">
        <w:rPr>
          <w:rFonts w:asciiTheme="majorBidi" w:eastAsia="Calibri" w:hAnsiTheme="majorBidi" w:cstheme="majorBidi"/>
        </w:rPr>
        <w:t xml:space="preserve"> (158)</w:t>
      </w:r>
      <w:r w:rsidRPr="00F80C69">
        <w:rPr>
          <w:rFonts w:asciiTheme="majorBidi" w:eastAsia="Calibri" w:hAnsiTheme="majorBidi" w:cstheme="majorBidi"/>
        </w:rPr>
        <w:t xml:space="preserve">. Until the last, the Creature’s limbs endure and thrive where Frankenstein’s fail. Recounting his existential introspection to his creator, the </w:t>
      </w:r>
      <w:proofErr w:type="gramStart"/>
      <w:r w:rsidRPr="00F80C69">
        <w:rPr>
          <w:rFonts w:asciiTheme="majorBidi" w:eastAsia="Calibri" w:hAnsiTheme="majorBidi" w:cstheme="majorBidi"/>
        </w:rPr>
        <w:t>Creature</w:t>
      </w:r>
      <w:proofErr w:type="gramEnd"/>
      <w:r w:rsidRPr="00F80C69">
        <w:rPr>
          <w:rFonts w:asciiTheme="majorBidi" w:eastAsia="Calibri" w:hAnsiTheme="majorBidi" w:cstheme="majorBidi"/>
        </w:rPr>
        <w:t xml:space="preserve"> notes, “I was, besides, endowed with a figure hideously deformed and loathsome; I was not even of the same nature as man. I was more agile than they, and could subsist upon coarser diet; I bore the extremes of heat and cold with less injury to my frame; my stature far exceeded their’s” (83). And the Creature’s physical hardiness and vigor complement his intellectual capacity, which manifests in his rapid and largely unaided language acquisition. His social perspicacity and self-awareness, too, develop quickly. But for normalcy to retain its center position, atypicality must remain on the periphery; where there is no clear deficit, an impairment must be created. The </w:t>
      </w:r>
      <w:proofErr w:type="gramStart"/>
      <w:r w:rsidRPr="00F80C69">
        <w:rPr>
          <w:rFonts w:asciiTheme="majorBidi" w:eastAsia="Calibri" w:hAnsiTheme="majorBidi" w:cstheme="majorBidi"/>
        </w:rPr>
        <w:t>Creature’s</w:t>
      </w:r>
      <w:proofErr w:type="gramEnd"/>
      <w:r w:rsidRPr="00F80C69">
        <w:rPr>
          <w:rFonts w:asciiTheme="majorBidi" w:eastAsia="Calibri" w:hAnsiTheme="majorBidi" w:cstheme="majorBidi"/>
        </w:rPr>
        <w:t xml:space="preserve"> corporeal excess and unevenness become sites of monstrous, and therefore threatening, deviation. An amalgam of disparate human parts, </w:t>
      </w:r>
      <w:r w:rsidRPr="00F80C69">
        <w:rPr>
          <w:rFonts w:asciiTheme="majorBidi" w:eastAsia="Calibri" w:hAnsiTheme="majorBidi" w:cstheme="majorBidi"/>
        </w:rPr>
        <w:lastRenderedPageBreak/>
        <w:t xml:space="preserve">the </w:t>
      </w:r>
      <w:proofErr w:type="gramStart"/>
      <w:r w:rsidRPr="00F80C69">
        <w:rPr>
          <w:rFonts w:asciiTheme="majorBidi" w:eastAsia="Calibri" w:hAnsiTheme="majorBidi" w:cstheme="majorBidi"/>
        </w:rPr>
        <w:t>Creature</w:t>
      </w:r>
      <w:proofErr w:type="gramEnd"/>
      <w:r w:rsidRPr="00F80C69">
        <w:rPr>
          <w:rFonts w:asciiTheme="majorBidi" w:eastAsia="Calibri" w:hAnsiTheme="majorBidi" w:cstheme="majorBidi"/>
        </w:rPr>
        <w:t xml:space="preserve"> literally stretches, and consequently challenges, the boundaries of a normal human body. Where a prosthetic typically, and somewhat paradoxically, both conceals and accentuates a perceived physical deficit, the </w:t>
      </w:r>
      <w:proofErr w:type="gramStart"/>
      <w:r w:rsidRPr="00F80C69">
        <w:rPr>
          <w:rFonts w:asciiTheme="majorBidi" w:eastAsia="Calibri" w:hAnsiTheme="majorBidi" w:cstheme="majorBidi"/>
        </w:rPr>
        <w:t>Creature’s</w:t>
      </w:r>
      <w:proofErr w:type="gramEnd"/>
      <w:r w:rsidRPr="00F80C69">
        <w:rPr>
          <w:rFonts w:asciiTheme="majorBidi" w:eastAsia="Calibri" w:hAnsiTheme="majorBidi" w:cstheme="majorBidi"/>
        </w:rPr>
        <w:t xml:space="preserve"> body—prosthetic to its very core—reflects not biological deficiency (he is, in fact, made of the same “stuff” as the novel’s other characters and more), but the potential for bionic superiority.</w:t>
      </w:r>
      <w:r w:rsidRPr="00F80C69">
        <w:rPr>
          <w:rFonts w:asciiTheme="majorBidi" w:eastAsia="Calibri" w:hAnsiTheme="majorBidi" w:cstheme="majorBidi"/>
          <w:vertAlign w:val="superscript"/>
        </w:rPr>
        <w:footnoteReference w:id="37"/>
      </w:r>
    </w:p>
    <w:p w14:paraId="64416699" w14:textId="52112591" w:rsidR="00F80C69" w:rsidRPr="00F80C69" w:rsidRDefault="00F80C69" w:rsidP="00F80C69">
      <w:pPr>
        <w:spacing w:line="480" w:lineRule="auto"/>
        <w:rPr>
          <w:rFonts w:asciiTheme="majorBidi" w:eastAsia="Calibri" w:hAnsiTheme="majorBidi" w:cstheme="majorBidi"/>
        </w:rPr>
      </w:pPr>
      <w:r w:rsidRPr="00F80C69">
        <w:rPr>
          <w:rFonts w:asciiTheme="majorBidi" w:eastAsia="Calibri" w:hAnsiTheme="majorBidi" w:cstheme="majorBidi"/>
        </w:rPr>
        <w:tab/>
        <w:t xml:space="preserve">The </w:t>
      </w:r>
      <w:proofErr w:type="gramStart"/>
      <w:r w:rsidRPr="00F80C69">
        <w:rPr>
          <w:rFonts w:asciiTheme="majorBidi" w:eastAsia="Calibri" w:hAnsiTheme="majorBidi" w:cstheme="majorBidi"/>
        </w:rPr>
        <w:t>Creature’s</w:t>
      </w:r>
      <w:proofErr w:type="gramEnd"/>
      <w:r w:rsidRPr="00F80C69">
        <w:rPr>
          <w:rFonts w:asciiTheme="majorBidi" w:eastAsia="Calibri" w:hAnsiTheme="majorBidi" w:cstheme="majorBidi"/>
        </w:rPr>
        <w:t xml:space="preserve"> gigantic stature confers upon him an advantage that is no advantage at all. His extra-ability becomes a disability. The anomaly is by its nature deviant and therefore dangerous. The people he encounters recognize his capacity for physical force and dominance as proof of the </w:t>
      </w:r>
      <w:proofErr w:type="gramStart"/>
      <w:r w:rsidRPr="00F80C69">
        <w:rPr>
          <w:rFonts w:asciiTheme="majorBidi" w:eastAsia="Calibri" w:hAnsiTheme="majorBidi" w:cstheme="majorBidi"/>
        </w:rPr>
        <w:t>Creature’s</w:t>
      </w:r>
      <w:proofErr w:type="gramEnd"/>
      <w:r w:rsidRPr="00F80C69">
        <w:rPr>
          <w:rFonts w:asciiTheme="majorBidi" w:eastAsia="Calibri" w:hAnsiTheme="majorBidi" w:cstheme="majorBidi"/>
        </w:rPr>
        <w:t xml:space="preserve"> desire to exert that power over them; their perception of his potential ability to exact harm reads, to the other characters, as an intention to harm. Even Frankenstein’s early classification of the </w:t>
      </w:r>
      <w:proofErr w:type="gramStart"/>
      <w:r w:rsidRPr="00F80C69">
        <w:rPr>
          <w:rFonts w:asciiTheme="majorBidi" w:eastAsia="Calibri" w:hAnsiTheme="majorBidi" w:cstheme="majorBidi"/>
        </w:rPr>
        <w:t>Creature</w:t>
      </w:r>
      <w:proofErr w:type="gramEnd"/>
      <w:r w:rsidRPr="00F80C69">
        <w:rPr>
          <w:rFonts w:asciiTheme="majorBidi" w:eastAsia="Calibri" w:hAnsiTheme="majorBidi" w:cstheme="majorBidi"/>
        </w:rPr>
        <w:t xml:space="preserve"> as a “vampire” implies an immediate assumption of destructive intent</w:t>
      </w:r>
      <w:r w:rsidR="00331ACE">
        <w:rPr>
          <w:rFonts w:asciiTheme="majorBidi" w:eastAsia="Calibri" w:hAnsiTheme="majorBidi" w:cstheme="majorBidi"/>
        </w:rPr>
        <w:t xml:space="preserve"> (51)</w:t>
      </w:r>
      <w:r w:rsidRPr="00F80C69">
        <w:rPr>
          <w:rFonts w:asciiTheme="majorBidi" w:eastAsia="Calibri" w:hAnsiTheme="majorBidi" w:cstheme="majorBidi"/>
        </w:rPr>
        <w:t>.</w:t>
      </w:r>
      <w:r w:rsidRPr="00F80C69">
        <w:rPr>
          <w:rFonts w:asciiTheme="majorBidi" w:eastAsia="Calibri" w:hAnsiTheme="majorBidi" w:cstheme="majorBidi"/>
          <w:vertAlign w:val="superscript"/>
        </w:rPr>
        <w:footnoteReference w:id="38"/>
      </w:r>
      <w:r w:rsidRPr="00F80C69">
        <w:rPr>
          <w:rFonts w:asciiTheme="majorBidi" w:eastAsia="Calibri" w:hAnsiTheme="majorBidi" w:cstheme="majorBidi"/>
        </w:rPr>
        <w:t xml:space="preserve"> The Creature’s physical abnormality becomes a conduit for the other characters’ fear and persecution of him. His physical difference provides, ipso facto, justification for his condemnation.</w:t>
      </w:r>
      <w:r w:rsidRPr="00F80C69">
        <w:rPr>
          <w:rFonts w:asciiTheme="majorBidi" w:eastAsia="Calibri" w:hAnsiTheme="majorBidi" w:cstheme="majorBidi"/>
          <w:vertAlign w:val="superscript"/>
        </w:rPr>
        <w:footnoteReference w:id="39"/>
      </w:r>
      <w:r w:rsidRPr="00F80C69">
        <w:rPr>
          <w:rFonts w:asciiTheme="majorBidi" w:eastAsia="Calibri" w:hAnsiTheme="majorBidi" w:cstheme="majorBidi"/>
        </w:rPr>
        <w:t xml:space="preserve"> And yet, as the </w:t>
      </w:r>
      <w:proofErr w:type="gramStart"/>
      <w:r w:rsidRPr="00F80C69">
        <w:rPr>
          <w:rFonts w:asciiTheme="majorBidi" w:eastAsia="Calibri" w:hAnsiTheme="majorBidi" w:cstheme="majorBidi"/>
        </w:rPr>
        <w:t>Creature</w:t>
      </w:r>
      <w:proofErr w:type="gramEnd"/>
      <w:r w:rsidRPr="00F80C69">
        <w:rPr>
          <w:rFonts w:asciiTheme="majorBidi" w:eastAsia="Calibri" w:hAnsiTheme="majorBidi" w:cstheme="majorBidi"/>
        </w:rPr>
        <w:t xml:space="preserve"> reiterates, his physical superiority walls him off from the one thing he cannot acquire by force or intimidation: human relationships. When the Creature first approaches Frankenstein, the catalogue of his menacing dimensions quickly dissolves into submissive, desperate pleas for mercy and affection: </w:t>
      </w:r>
    </w:p>
    <w:p w14:paraId="3C09D9D8" w14:textId="40326198" w:rsidR="00F80C69" w:rsidRPr="00F80C69" w:rsidRDefault="00F80C69" w:rsidP="00F85E76">
      <w:pPr>
        <w:spacing w:line="480" w:lineRule="auto"/>
        <w:ind w:left="1440"/>
        <w:rPr>
          <w:rFonts w:asciiTheme="majorBidi" w:eastAsia="Calibri" w:hAnsiTheme="majorBidi" w:cstheme="majorBidi"/>
        </w:rPr>
      </w:pPr>
      <w:r w:rsidRPr="00F80C69">
        <w:rPr>
          <w:rFonts w:asciiTheme="majorBidi" w:eastAsia="Calibri" w:hAnsiTheme="majorBidi" w:cstheme="majorBidi"/>
        </w:rPr>
        <w:lastRenderedPageBreak/>
        <w:t xml:space="preserve">Remember thou hast made me more powerful than thyself; my height is superior to thine; my joints more supple. But I will not be tempted to set myself in opposition to thee. I am thy creature </w:t>
      </w:r>
      <w:proofErr w:type="gramStart"/>
      <w:r w:rsidRPr="00F80C69">
        <w:rPr>
          <w:rFonts w:asciiTheme="majorBidi" w:eastAsia="Calibri" w:hAnsiTheme="majorBidi" w:cstheme="majorBidi"/>
        </w:rPr>
        <w:t>. . . .</w:t>
      </w:r>
      <w:proofErr w:type="gramEnd"/>
      <w:r w:rsidRPr="00F80C69">
        <w:rPr>
          <w:rFonts w:asciiTheme="majorBidi" w:eastAsia="Calibri" w:hAnsiTheme="majorBidi" w:cstheme="majorBidi"/>
        </w:rPr>
        <w:t xml:space="preserve"> Oh, Frankenstein, be not equitable to every other, and trample upon me alone, to whom thy justice, and even thy clemency and affection is most due. Remember, that I am thy creature; I ought to be thy Adam; but I am rather the fallen angel, whom thou drivest from joy for no misdeed. Everywhere I see bliss, from which I alone am irrevocably excluded. (68)</w:t>
      </w:r>
    </w:p>
    <w:p w14:paraId="60F6FA46" w14:textId="7C319157" w:rsidR="00F80C69" w:rsidRPr="00F80C69" w:rsidRDefault="00F80C69" w:rsidP="00F80C69">
      <w:pPr>
        <w:spacing w:line="480" w:lineRule="auto"/>
        <w:rPr>
          <w:rFonts w:asciiTheme="majorBidi" w:eastAsia="Calibri" w:hAnsiTheme="majorBidi" w:cstheme="majorBidi"/>
        </w:rPr>
      </w:pPr>
      <w:r w:rsidRPr="00F80C69">
        <w:rPr>
          <w:rFonts w:asciiTheme="majorBidi" w:eastAsia="Calibri" w:hAnsiTheme="majorBidi" w:cstheme="majorBidi"/>
        </w:rPr>
        <w:t xml:space="preserve">In his petition for clemency, the </w:t>
      </w:r>
      <w:proofErr w:type="gramStart"/>
      <w:r w:rsidRPr="00F80C69">
        <w:rPr>
          <w:rFonts w:asciiTheme="majorBidi" w:eastAsia="Calibri" w:hAnsiTheme="majorBidi" w:cstheme="majorBidi"/>
        </w:rPr>
        <w:t>Creature</w:t>
      </w:r>
      <w:proofErr w:type="gramEnd"/>
      <w:r w:rsidRPr="00F80C69">
        <w:rPr>
          <w:rFonts w:asciiTheme="majorBidi" w:eastAsia="Calibri" w:hAnsiTheme="majorBidi" w:cstheme="majorBidi"/>
        </w:rPr>
        <w:t xml:space="preserve"> acknowledges the potential for Frankenstein and his fellow man to justify their prejudices by fashioning him into the very thing they fear him to be. For neither the first nor the last time, the </w:t>
      </w:r>
      <w:proofErr w:type="gramStart"/>
      <w:r w:rsidRPr="00F80C69">
        <w:rPr>
          <w:rFonts w:asciiTheme="majorBidi" w:eastAsia="Calibri" w:hAnsiTheme="majorBidi" w:cstheme="majorBidi"/>
        </w:rPr>
        <w:t>Creature</w:t>
      </w:r>
      <w:proofErr w:type="gramEnd"/>
      <w:r w:rsidRPr="00F80C69">
        <w:rPr>
          <w:rFonts w:asciiTheme="majorBidi" w:eastAsia="Calibri" w:hAnsiTheme="majorBidi" w:cstheme="majorBidi"/>
        </w:rPr>
        <w:t xml:space="preserve"> concedes his helplessness in an attempt to achieve his humanity. But the creator turns his back on his “fallen angel” as the </w:t>
      </w:r>
      <w:proofErr w:type="gramStart"/>
      <w:r w:rsidRPr="00F80C69">
        <w:rPr>
          <w:rFonts w:asciiTheme="majorBidi" w:eastAsia="Calibri" w:hAnsiTheme="majorBidi" w:cstheme="majorBidi"/>
        </w:rPr>
        <w:t>Creature</w:t>
      </w:r>
      <w:proofErr w:type="gramEnd"/>
      <w:r w:rsidRPr="00F80C69">
        <w:rPr>
          <w:rFonts w:asciiTheme="majorBidi" w:eastAsia="Calibri" w:hAnsiTheme="majorBidi" w:cstheme="majorBidi"/>
        </w:rPr>
        <w:t xml:space="preserve"> implores, “I was benevolent and good; misery made me a fiend. Make me happy, and I shall again be virtuous” (ibid.). In this exchange, and many to follow, Shelley’s Creature underscores the centuries-old production of disability that existed long before</w:t>
      </w:r>
      <w:r w:rsidR="00F65069">
        <w:rPr>
          <w:rFonts w:asciiTheme="majorBidi" w:eastAsia="Calibri" w:hAnsiTheme="majorBidi" w:cstheme="majorBidi"/>
        </w:rPr>
        <w:t xml:space="preserve"> </w:t>
      </w:r>
      <w:r w:rsidRPr="00F80C69">
        <w:rPr>
          <w:rFonts w:asciiTheme="majorBidi" w:eastAsia="Calibri" w:hAnsiTheme="majorBidi" w:cstheme="majorBidi"/>
        </w:rPr>
        <w:t>disability studies</w:t>
      </w:r>
      <w:r w:rsidR="00F65069">
        <w:rPr>
          <w:rFonts w:asciiTheme="majorBidi" w:eastAsia="Calibri" w:hAnsiTheme="majorBidi" w:cstheme="majorBidi"/>
        </w:rPr>
        <w:t xml:space="preserve"> </w:t>
      </w:r>
      <w:proofErr w:type="gramStart"/>
      <w:r w:rsidRPr="00F80C69">
        <w:rPr>
          <w:rFonts w:asciiTheme="majorBidi" w:eastAsia="Calibri" w:hAnsiTheme="majorBidi" w:cstheme="majorBidi"/>
        </w:rPr>
        <w:t>advocates</w:t>
      </w:r>
      <w:proofErr w:type="gramEnd"/>
      <w:r w:rsidRPr="00F80C69">
        <w:rPr>
          <w:rFonts w:asciiTheme="majorBidi" w:eastAsia="Calibri" w:hAnsiTheme="majorBidi" w:cstheme="majorBidi"/>
        </w:rPr>
        <w:t xml:space="preserve"> like Tom Shakespeare, Mairian Corker, and Lennard Davis called attention to the social constructedness of physical difference and impairment. His petition explicitly identifies the theological and social corollaries of his torment; human prejudice, not his physical variation, will ultimately mold his being.</w:t>
      </w:r>
      <w:r w:rsidRPr="00F80C69">
        <w:rPr>
          <w:rFonts w:asciiTheme="majorBidi" w:eastAsia="Calibri" w:hAnsiTheme="majorBidi" w:cstheme="majorBidi"/>
          <w:vertAlign w:val="superscript"/>
        </w:rPr>
        <w:footnoteReference w:id="40"/>
      </w:r>
    </w:p>
    <w:p w14:paraId="7DEC4237" w14:textId="708DC73E" w:rsidR="00F80C69" w:rsidRPr="00F80C69" w:rsidRDefault="00F80C69" w:rsidP="00F80C69">
      <w:pPr>
        <w:spacing w:line="480" w:lineRule="auto"/>
        <w:rPr>
          <w:rFonts w:asciiTheme="majorBidi" w:eastAsia="Calibri" w:hAnsiTheme="majorBidi" w:cstheme="majorBidi"/>
        </w:rPr>
      </w:pPr>
      <w:r w:rsidRPr="00F80C69">
        <w:rPr>
          <w:rFonts w:asciiTheme="majorBidi" w:eastAsia="Calibri" w:hAnsiTheme="majorBidi" w:cstheme="majorBidi"/>
        </w:rPr>
        <w:lastRenderedPageBreak/>
        <w:tab/>
        <w:t xml:space="preserve">The </w:t>
      </w:r>
      <w:proofErr w:type="gramStart"/>
      <w:r w:rsidRPr="00F80C69">
        <w:rPr>
          <w:rFonts w:asciiTheme="majorBidi" w:eastAsia="Calibri" w:hAnsiTheme="majorBidi" w:cstheme="majorBidi"/>
        </w:rPr>
        <w:t>Creature’s</w:t>
      </w:r>
      <w:proofErr w:type="gramEnd"/>
      <w:r w:rsidRPr="00F80C69">
        <w:rPr>
          <w:rFonts w:asciiTheme="majorBidi" w:eastAsia="Calibri" w:hAnsiTheme="majorBidi" w:cstheme="majorBidi"/>
        </w:rPr>
        <w:t xml:space="preserve"> continued pursuit of companionship introduces the novel’s inquiry into an ethics of community as it relates to disability and otherness: the intersection or exclusivity of communities based on normalcy and difference, the way in which prosthetics allow</w:t>
      </w:r>
      <w:r w:rsidR="00854494">
        <w:rPr>
          <w:rFonts w:asciiTheme="majorBidi" w:eastAsia="Calibri" w:hAnsiTheme="majorBidi" w:cstheme="majorBidi"/>
        </w:rPr>
        <w:t xml:space="preserve"> for</w:t>
      </w:r>
      <w:r w:rsidRPr="00F80C69">
        <w:rPr>
          <w:rFonts w:asciiTheme="majorBidi" w:eastAsia="Calibri" w:hAnsiTheme="majorBidi" w:cstheme="majorBidi"/>
        </w:rPr>
        <w:t xml:space="preserve"> or preclude normative “passing,” and the potentials for medical intervention to connect or divide people. Rebuffed by Frankenstein, the Creature attempts to create a community on the literal and metaphorical outskirts of human society. He establishes himself as an invisible, voyeuristic addition to the De Lacey household. Living in the cottage-adjacent hovel, the </w:t>
      </w:r>
      <w:proofErr w:type="gramStart"/>
      <w:r w:rsidRPr="00F80C69">
        <w:rPr>
          <w:rFonts w:asciiTheme="majorBidi" w:eastAsia="Calibri" w:hAnsiTheme="majorBidi" w:cstheme="majorBidi"/>
        </w:rPr>
        <w:t>Creature</w:t>
      </w:r>
      <w:proofErr w:type="gramEnd"/>
      <w:r w:rsidRPr="00F80C69">
        <w:rPr>
          <w:rFonts w:asciiTheme="majorBidi" w:eastAsia="Calibri" w:hAnsiTheme="majorBidi" w:cstheme="majorBidi"/>
        </w:rPr>
        <w:t xml:space="preserve"> learns about the De Lacey family (French exiles living on the border of wilderness and civilization in a foreign land), whom he identifies as his “protectors.” He locates a potential ally in the novel’s other physically disabled character: the blind elder De Lacey. The </w:t>
      </w:r>
      <w:proofErr w:type="gramStart"/>
      <w:r w:rsidRPr="00F80C69">
        <w:rPr>
          <w:rFonts w:asciiTheme="majorBidi" w:eastAsia="Calibri" w:hAnsiTheme="majorBidi" w:cstheme="majorBidi"/>
        </w:rPr>
        <w:t>Creature</w:t>
      </w:r>
      <w:proofErr w:type="gramEnd"/>
      <w:r w:rsidRPr="00F80C69">
        <w:rPr>
          <w:rFonts w:asciiTheme="majorBidi" w:eastAsia="Calibri" w:hAnsiTheme="majorBidi" w:cstheme="majorBidi"/>
        </w:rPr>
        <w:t xml:space="preserve"> outlines his attempt to form a relationship with the one person who might not immediately reject him, explaining, </w:t>
      </w:r>
    </w:p>
    <w:p w14:paraId="6BB542AC" w14:textId="5549A877" w:rsidR="00F80C69" w:rsidRPr="00F80C69" w:rsidRDefault="00F80C69" w:rsidP="004345B6">
      <w:pPr>
        <w:spacing w:line="480" w:lineRule="auto"/>
        <w:ind w:left="1440"/>
        <w:rPr>
          <w:rFonts w:asciiTheme="majorBidi" w:eastAsia="Calibri" w:hAnsiTheme="majorBidi" w:cstheme="majorBidi"/>
        </w:rPr>
      </w:pPr>
      <w:r w:rsidRPr="00F80C69">
        <w:rPr>
          <w:rFonts w:asciiTheme="majorBidi" w:eastAsia="Calibri" w:hAnsiTheme="majorBidi" w:cstheme="majorBidi"/>
        </w:rPr>
        <w:t>I required kindness and sympathy; but I did not believe myself utterly unworthy of it</w:t>
      </w:r>
      <w:proofErr w:type="gramStart"/>
      <w:r w:rsidRPr="00F80C69">
        <w:rPr>
          <w:rFonts w:asciiTheme="majorBidi" w:eastAsia="Calibri" w:hAnsiTheme="majorBidi" w:cstheme="majorBidi"/>
        </w:rPr>
        <w:t>. . . .</w:t>
      </w:r>
      <w:proofErr w:type="gramEnd"/>
      <w:r w:rsidRPr="00F80C69">
        <w:rPr>
          <w:rFonts w:asciiTheme="majorBidi" w:eastAsia="Calibri" w:hAnsiTheme="majorBidi" w:cstheme="majorBidi"/>
        </w:rPr>
        <w:t xml:space="preserve"> I revolved many projects; but that on which I finally fixed was to enter the dwelling when the blind old man should be alone. I had sagacity enough to discover that the unnatural hideousness of my person </w:t>
      </w:r>
      <w:r w:rsidR="00EA3C2E">
        <w:rPr>
          <w:rFonts w:asciiTheme="majorBidi" w:eastAsia="Calibri" w:hAnsiTheme="majorBidi" w:cstheme="majorBidi"/>
        </w:rPr>
        <w:t>w</w:t>
      </w:r>
      <w:r w:rsidRPr="00F80C69">
        <w:rPr>
          <w:rFonts w:asciiTheme="majorBidi" w:eastAsia="Calibri" w:hAnsiTheme="majorBidi" w:cstheme="majorBidi"/>
        </w:rPr>
        <w:t>as the chief object of horror with those who had formerly beheld me. My voice, although harsh, had nothing terrible in it; I thought, therefore, that if, in the absence of his children, I could gain the good-will and mediation of the old De Lacy, I might, by his means, be</w:t>
      </w:r>
      <w:r w:rsidR="004345B6" w:rsidRPr="002A5475">
        <w:rPr>
          <w:rFonts w:asciiTheme="majorBidi" w:eastAsia="Calibri" w:hAnsiTheme="majorBidi" w:cstheme="majorBidi"/>
        </w:rPr>
        <w:t xml:space="preserve"> </w:t>
      </w:r>
      <w:r w:rsidRPr="00F80C69">
        <w:rPr>
          <w:rFonts w:asciiTheme="majorBidi" w:eastAsia="Calibri" w:hAnsiTheme="majorBidi" w:cstheme="majorBidi"/>
        </w:rPr>
        <w:t>tolerated by my younger protectors. (92)</w:t>
      </w:r>
    </w:p>
    <w:p w14:paraId="23CBA2B8" w14:textId="77777777" w:rsidR="00F80C69" w:rsidRPr="00F80C69" w:rsidRDefault="00F80C69" w:rsidP="00F80C69">
      <w:pPr>
        <w:spacing w:line="480" w:lineRule="auto"/>
        <w:rPr>
          <w:rFonts w:asciiTheme="majorBidi" w:eastAsia="Calibri" w:hAnsiTheme="majorBidi" w:cstheme="majorBidi"/>
        </w:rPr>
      </w:pPr>
      <w:r w:rsidRPr="00F80C69">
        <w:rPr>
          <w:rFonts w:asciiTheme="majorBidi" w:eastAsia="Calibri" w:hAnsiTheme="majorBidi" w:cstheme="majorBidi"/>
        </w:rPr>
        <w:t xml:space="preserve">While the tactical advantage of introducing himself to the blind patron is clear—De Lacey, like the reader, cannot see the </w:t>
      </w:r>
      <w:proofErr w:type="gramStart"/>
      <w:r w:rsidRPr="00F80C69">
        <w:rPr>
          <w:rFonts w:asciiTheme="majorBidi" w:eastAsia="Calibri" w:hAnsiTheme="majorBidi" w:cstheme="majorBidi"/>
        </w:rPr>
        <w:t>Creature’s</w:t>
      </w:r>
      <w:proofErr w:type="gramEnd"/>
      <w:r w:rsidRPr="00F80C69">
        <w:rPr>
          <w:rFonts w:asciiTheme="majorBidi" w:eastAsia="Calibri" w:hAnsiTheme="majorBidi" w:cstheme="majorBidi"/>
        </w:rPr>
        <w:t xml:space="preserve"> offending physical form—the Creature may well align himself with De Lacey because he recognizes the man as a fellow outcast and sufferer. Indeed, the elder De Lacey concurrently acknowledges his own social and physical impairments when </w:t>
      </w:r>
      <w:r w:rsidRPr="00F80C69">
        <w:rPr>
          <w:rFonts w:asciiTheme="majorBidi" w:eastAsia="Calibri" w:hAnsiTheme="majorBidi" w:cstheme="majorBidi"/>
        </w:rPr>
        <w:lastRenderedPageBreak/>
        <w:t xml:space="preserve">gesturing to the </w:t>
      </w:r>
      <w:proofErr w:type="gramStart"/>
      <w:r w:rsidRPr="00F80C69">
        <w:rPr>
          <w:rFonts w:asciiTheme="majorBidi" w:eastAsia="Calibri" w:hAnsiTheme="majorBidi" w:cstheme="majorBidi"/>
        </w:rPr>
        <w:t>Creature’s</w:t>
      </w:r>
      <w:proofErr w:type="gramEnd"/>
      <w:r w:rsidRPr="00F80C69">
        <w:rPr>
          <w:rFonts w:asciiTheme="majorBidi" w:eastAsia="Calibri" w:hAnsiTheme="majorBidi" w:cstheme="majorBidi"/>
        </w:rPr>
        <w:t xml:space="preserve"> humanity. He states simply, “I am blind, and cannot judge of your countenance, but there is something in your words which persuades me that you are sincere. I am poor, and an exile; but it will afford me true pleasure to be in any way serviceable to a human creature” (94). De Lacey’s evaluation of his fellow man thus rests on a non-normative set of criteria, one that rejects cosmetic categorization effected by material signifiers. By latching on to a family that has experienced their own brand of social rejection and a potential peer who shares an isolating physical impairment, the </w:t>
      </w:r>
      <w:proofErr w:type="gramStart"/>
      <w:r w:rsidRPr="00F80C69">
        <w:rPr>
          <w:rFonts w:asciiTheme="majorBidi" w:eastAsia="Calibri" w:hAnsiTheme="majorBidi" w:cstheme="majorBidi"/>
        </w:rPr>
        <w:t>Creature</w:t>
      </w:r>
      <w:proofErr w:type="gramEnd"/>
      <w:r w:rsidRPr="00F80C69">
        <w:rPr>
          <w:rFonts w:asciiTheme="majorBidi" w:eastAsia="Calibri" w:hAnsiTheme="majorBidi" w:cstheme="majorBidi"/>
        </w:rPr>
        <w:t xml:space="preserve"> hypostatizes a disability community.</w:t>
      </w:r>
      <w:r w:rsidRPr="00F80C69">
        <w:rPr>
          <w:rFonts w:asciiTheme="majorBidi" w:eastAsia="Calibri" w:hAnsiTheme="majorBidi" w:cstheme="majorBidi"/>
          <w:vertAlign w:val="superscript"/>
        </w:rPr>
        <w:footnoteReference w:id="41"/>
      </w:r>
      <w:r w:rsidRPr="00F80C69">
        <w:rPr>
          <w:rFonts w:asciiTheme="majorBidi" w:eastAsia="Calibri" w:hAnsiTheme="majorBidi" w:cstheme="majorBidi"/>
        </w:rPr>
        <w:t xml:space="preserve"> </w:t>
      </w:r>
    </w:p>
    <w:p w14:paraId="562E256A" w14:textId="14E2C9F0" w:rsidR="00F80C69" w:rsidRPr="00F80C69" w:rsidRDefault="00F80C69" w:rsidP="00F80C69">
      <w:pPr>
        <w:spacing w:line="480" w:lineRule="auto"/>
        <w:rPr>
          <w:rFonts w:asciiTheme="majorBidi" w:eastAsia="Calibri" w:hAnsiTheme="majorBidi" w:cstheme="majorBidi"/>
        </w:rPr>
      </w:pPr>
      <w:r w:rsidRPr="00F80C69">
        <w:rPr>
          <w:rFonts w:asciiTheme="majorBidi" w:eastAsia="Calibri" w:hAnsiTheme="majorBidi" w:cstheme="majorBidi"/>
        </w:rPr>
        <w:tab/>
        <w:t xml:space="preserve">The </w:t>
      </w:r>
      <w:proofErr w:type="gramStart"/>
      <w:r w:rsidRPr="00F80C69">
        <w:rPr>
          <w:rFonts w:asciiTheme="majorBidi" w:eastAsia="Calibri" w:hAnsiTheme="majorBidi" w:cstheme="majorBidi"/>
        </w:rPr>
        <w:t>Creature</w:t>
      </w:r>
      <w:proofErr w:type="gramEnd"/>
      <w:r w:rsidRPr="00F80C69">
        <w:rPr>
          <w:rFonts w:asciiTheme="majorBidi" w:eastAsia="Calibri" w:hAnsiTheme="majorBidi" w:cstheme="majorBidi"/>
        </w:rPr>
        <w:t xml:space="preserve"> also brands the De Laceys his protectors and friends, ostensibly, because they are the first people he encounters who do not immediately try to kill him, if only because they have not actually laid eyes on him. Virginia Held’s theory of relational ethics provides some insight into the </w:t>
      </w:r>
      <w:proofErr w:type="gramStart"/>
      <w:r w:rsidRPr="00F80C69">
        <w:rPr>
          <w:rFonts w:asciiTheme="majorBidi" w:eastAsia="Calibri" w:hAnsiTheme="majorBidi" w:cstheme="majorBidi"/>
        </w:rPr>
        <w:t>Creature’s</w:t>
      </w:r>
      <w:proofErr w:type="gramEnd"/>
      <w:r w:rsidRPr="00F80C69">
        <w:rPr>
          <w:rFonts w:asciiTheme="majorBidi" w:eastAsia="Calibri" w:hAnsiTheme="majorBidi" w:cstheme="majorBidi"/>
        </w:rPr>
        <w:t xml:space="preserve"> relationship (imagined and real) with the De Laceys. In </w:t>
      </w:r>
      <w:r w:rsidRPr="00F80C69">
        <w:rPr>
          <w:rFonts w:asciiTheme="majorBidi" w:eastAsia="Calibri" w:hAnsiTheme="majorBidi" w:cstheme="majorBidi"/>
          <w:i/>
        </w:rPr>
        <w:t>The Ethics of Care: Personal, Political, and Global</w:t>
      </w:r>
      <w:r w:rsidRPr="00F80C69">
        <w:rPr>
          <w:rFonts w:asciiTheme="majorBidi" w:eastAsia="Calibri" w:hAnsiTheme="majorBidi" w:cstheme="majorBidi"/>
        </w:rPr>
        <w:t xml:space="preserve"> (2006), Held posits that humans are fundamentally interdependent, that all human beings are enmeshed in a fluid system of care giving and receiving. </w:t>
      </w:r>
      <w:r w:rsidR="00FB3333">
        <w:rPr>
          <w:rFonts w:asciiTheme="majorBidi" w:eastAsia="Calibri" w:hAnsiTheme="majorBidi" w:cstheme="majorBidi"/>
        </w:rPr>
        <w:t xml:space="preserve">Martha </w:t>
      </w:r>
      <w:r w:rsidRPr="00F80C69">
        <w:rPr>
          <w:rFonts w:asciiTheme="majorBidi" w:eastAsia="Calibri" w:hAnsiTheme="majorBidi" w:cstheme="majorBidi"/>
        </w:rPr>
        <w:t>Stoddard Holmes also employs the network-of-care theory as advanced by Held to examine nineteenth-century novels whose “overt message is that disability draws people close and creates the interdependency that is the basis of stronger and better . . . communities”</w:t>
      </w:r>
      <w:r w:rsidR="00FB3333">
        <w:rPr>
          <w:rFonts w:asciiTheme="majorBidi" w:eastAsia="Calibri" w:hAnsiTheme="majorBidi" w:cstheme="majorBidi"/>
        </w:rPr>
        <w:t xml:space="preserve"> </w:t>
      </w:r>
      <w:r w:rsidR="00FB3333" w:rsidRPr="00F80C69">
        <w:rPr>
          <w:rFonts w:asciiTheme="majorBidi" w:eastAsia="Calibri" w:hAnsiTheme="majorBidi" w:cstheme="majorBidi"/>
        </w:rPr>
        <w:t>(“Victorian Fictions</w:t>
      </w:r>
      <w:r w:rsidR="00FB3333">
        <w:rPr>
          <w:rFonts w:asciiTheme="majorBidi" w:eastAsia="Calibri" w:hAnsiTheme="majorBidi" w:cstheme="majorBidi"/>
        </w:rPr>
        <w:t xml:space="preserve"> of Interdependency” </w:t>
      </w:r>
      <w:r w:rsidR="00FB3333" w:rsidRPr="00F80C69">
        <w:rPr>
          <w:rFonts w:asciiTheme="majorBidi" w:eastAsia="Calibri" w:hAnsiTheme="majorBidi" w:cstheme="majorBidi"/>
        </w:rPr>
        <w:t>33)</w:t>
      </w:r>
      <w:r w:rsidR="00FB3333">
        <w:rPr>
          <w:rFonts w:asciiTheme="majorBidi" w:eastAsia="Calibri" w:hAnsiTheme="majorBidi" w:cstheme="majorBidi"/>
        </w:rPr>
        <w:t>.</w:t>
      </w:r>
      <w:r w:rsidRPr="00F80C69">
        <w:rPr>
          <w:rFonts w:asciiTheme="majorBidi" w:eastAsia="Calibri" w:hAnsiTheme="majorBidi" w:cstheme="majorBidi"/>
        </w:rPr>
        <w:t xml:space="preserve"> </w:t>
      </w:r>
      <w:r w:rsidR="00FB3333">
        <w:rPr>
          <w:rFonts w:asciiTheme="majorBidi" w:eastAsia="Calibri" w:hAnsiTheme="majorBidi" w:cstheme="majorBidi"/>
        </w:rPr>
        <w:t>She</w:t>
      </w:r>
      <w:r w:rsidRPr="00F80C69">
        <w:rPr>
          <w:rFonts w:asciiTheme="majorBidi" w:eastAsia="Calibri" w:hAnsiTheme="majorBidi" w:cstheme="majorBidi"/>
        </w:rPr>
        <w:t xml:space="preserve"> concludes, as do critics like Talia Schaffer, that disability, at least as it exists in Victorian novels, reshapes the disabled character into a member of the care community.</w:t>
      </w:r>
      <w:r w:rsidRPr="00F80C69">
        <w:rPr>
          <w:rFonts w:asciiTheme="majorBidi" w:eastAsia="Calibri" w:hAnsiTheme="majorBidi" w:cstheme="majorBidi"/>
          <w:vertAlign w:val="superscript"/>
        </w:rPr>
        <w:footnoteReference w:id="42"/>
      </w:r>
      <w:r w:rsidRPr="00F80C69">
        <w:rPr>
          <w:rFonts w:asciiTheme="majorBidi" w:eastAsia="Calibri" w:hAnsiTheme="majorBidi" w:cstheme="majorBidi"/>
        </w:rPr>
        <w:t xml:space="preserve"> Though none of these critics brings these theories to bear on </w:t>
      </w:r>
      <w:r w:rsidRPr="00F80C69">
        <w:rPr>
          <w:rFonts w:asciiTheme="majorBidi" w:eastAsia="Calibri" w:hAnsiTheme="majorBidi" w:cstheme="majorBidi"/>
        </w:rPr>
        <w:lastRenderedPageBreak/>
        <w:t xml:space="preserve">Shelley’s novel, the validity of theories of interdependence and care clearly operate in the </w:t>
      </w:r>
      <w:proofErr w:type="gramStart"/>
      <w:r w:rsidRPr="00F80C69">
        <w:rPr>
          <w:rFonts w:asciiTheme="majorBidi" w:eastAsia="Calibri" w:hAnsiTheme="majorBidi" w:cstheme="majorBidi"/>
        </w:rPr>
        <w:t>Creature’s</w:t>
      </w:r>
      <w:proofErr w:type="gramEnd"/>
      <w:r w:rsidRPr="00F80C69">
        <w:rPr>
          <w:rFonts w:asciiTheme="majorBidi" w:eastAsia="Calibri" w:hAnsiTheme="majorBidi" w:cstheme="majorBidi"/>
        </w:rPr>
        <w:t xml:space="preserve"> narrative when he covertly plays out his role as an imagined member of the De Lacey household.</w:t>
      </w:r>
      <w:r w:rsidRPr="00F80C69">
        <w:rPr>
          <w:rFonts w:asciiTheme="majorBidi" w:eastAsia="Calibri" w:hAnsiTheme="majorBidi" w:cstheme="majorBidi"/>
          <w:vertAlign w:val="superscript"/>
        </w:rPr>
        <w:footnoteReference w:id="43"/>
      </w:r>
      <w:r w:rsidRPr="00F80C69">
        <w:rPr>
          <w:rFonts w:asciiTheme="majorBidi" w:eastAsia="Calibri" w:hAnsiTheme="majorBidi" w:cstheme="majorBidi"/>
        </w:rPr>
        <w:t xml:space="preserve"> </w:t>
      </w:r>
    </w:p>
    <w:p w14:paraId="435E32AB" w14:textId="77777777" w:rsidR="00F80C69" w:rsidRPr="00F80C69" w:rsidRDefault="00F80C69" w:rsidP="00F80C69">
      <w:pPr>
        <w:spacing w:line="480" w:lineRule="auto"/>
        <w:rPr>
          <w:rFonts w:asciiTheme="majorBidi" w:eastAsia="Calibri" w:hAnsiTheme="majorBidi" w:cstheme="majorBidi"/>
        </w:rPr>
      </w:pPr>
      <w:r w:rsidRPr="00F80C69">
        <w:rPr>
          <w:rFonts w:asciiTheme="majorBidi" w:eastAsia="Calibri" w:hAnsiTheme="majorBidi" w:cstheme="majorBidi"/>
        </w:rPr>
        <w:tab/>
        <w:t xml:space="preserve">The </w:t>
      </w:r>
      <w:proofErr w:type="gramStart"/>
      <w:r w:rsidRPr="00F80C69">
        <w:rPr>
          <w:rFonts w:asciiTheme="majorBidi" w:eastAsia="Calibri" w:hAnsiTheme="majorBidi" w:cstheme="majorBidi"/>
        </w:rPr>
        <w:t>Creature</w:t>
      </w:r>
      <w:proofErr w:type="gramEnd"/>
      <w:r w:rsidRPr="00F80C69">
        <w:rPr>
          <w:rFonts w:asciiTheme="majorBidi" w:eastAsia="Calibri" w:hAnsiTheme="majorBidi" w:cstheme="majorBidi"/>
        </w:rPr>
        <w:t xml:space="preserve"> begins to imagine his disability as a shared experience of physical difference that offers an opportunity to create his own kinship system. He becomes cognizant of the family’s poverty and kindness—their dependence and care—simultaneously when he witnesses the two younger cottagers serving their blind father dinner while eating none themselves. Seeking social ties, the </w:t>
      </w:r>
      <w:proofErr w:type="gramStart"/>
      <w:r w:rsidRPr="00F80C69">
        <w:rPr>
          <w:rFonts w:asciiTheme="majorBidi" w:eastAsia="Calibri" w:hAnsiTheme="majorBidi" w:cstheme="majorBidi"/>
        </w:rPr>
        <w:t>Creature</w:t>
      </w:r>
      <w:proofErr w:type="gramEnd"/>
      <w:r w:rsidRPr="00F80C69">
        <w:rPr>
          <w:rFonts w:asciiTheme="majorBidi" w:eastAsia="Calibri" w:hAnsiTheme="majorBidi" w:cstheme="majorBidi"/>
        </w:rPr>
        <w:t xml:space="preserve"> resolves to insert himself into the family unit by mimicking their kindness. In detailing his moral response, the </w:t>
      </w:r>
      <w:proofErr w:type="gramStart"/>
      <w:r w:rsidRPr="00F80C69">
        <w:rPr>
          <w:rFonts w:asciiTheme="majorBidi" w:eastAsia="Calibri" w:hAnsiTheme="majorBidi" w:cstheme="majorBidi"/>
        </w:rPr>
        <w:t>Creature</w:t>
      </w:r>
      <w:proofErr w:type="gramEnd"/>
      <w:r w:rsidRPr="00F80C69">
        <w:rPr>
          <w:rFonts w:asciiTheme="majorBidi" w:eastAsia="Calibri" w:hAnsiTheme="majorBidi" w:cstheme="majorBidi"/>
        </w:rPr>
        <w:t xml:space="preserve"> recalls, “This trait of kindness moved me sensibly. I had been accustomed, during the night, to steal a part of their store for my own consumption; but when I found that in doing </w:t>
      </w:r>
      <w:proofErr w:type="gramStart"/>
      <w:r w:rsidRPr="00F80C69">
        <w:rPr>
          <w:rFonts w:asciiTheme="majorBidi" w:eastAsia="Calibri" w:hAnsiTheme="majorBidi" w:cstheme="majorBidi"/>
        </w:rPr>
        <w:t>this</w:t>
      </w:r>
      <w:proofErr w:type="gramEnd"/>
      <w:r w:rsidRPr="00F80C69">
        <w:rPr>
          <w:rFonts w:asciiTheme="majorBidi" w:eastAsia="Calibri" w:hAnsiTheme="majorBidi" w:cstheme="majorBidi"/>
        </w:rPr>
        <w:t xml:space="preserve"> I inflicted pain on the cottagers, I abstained, and satisfied myself with berries, nuts, and roots” (77). Beyond his own prandial abstinence, the </w:t>
      </w:r>
      <w:proofErr w:type="gramStart"/>
      <w:r w:rsidRPr="00F80C69">
        <w:rPr>
          <w:rFonts w:asciiTheme="majorBidi" w:eastAsia="Calibri" w:hAnsiTheme="majorBidi" w:cstheme="majorBidi"/>
        </w:rPr>
        <w:t>Creature</w:t>
      </w:r>
      <w:proofErr w:type="gramEnd"/>
      <w:r w:rsidRPr="00F80C69">
        <w:rPr>
          <w:rFonts w:asciiTheme="majorBidi" w:eastAsia="Calibri" w:hAnsiTheme="majorBidi" w:cstheme="majorBidi"/>
        </w:rPr>
        <w:t xml:space="preserve"> performs basic maintenance around the cottage grounds to lighten his protectors’ workload. The </w:t>
      </w:r>
      <w:proofErr w:type="gramStart"/>
      <w:r w:rsidRPr="00F80C69">
        <w:rPr>
          <w:rFonts w:asciiTheme="majorBidi" w:eastAsia="Calibri" w:hAnsiTheme="majorBidi" w:cstheme="majorBidi"/>
        </w:rPr>
        <w:t>Creature</w:t>
      </w:r>
      <w:proofErr w:type="gramEnd"/>
      <w:r w:rsidRPr="00F80C69">
        <w:rPr>
          <w:rFonts w:asciiTheme="majorBidi" w:eastAsia="Calibri" w:hAnsiTheme="majorBidi" w:cstheme="majorBidi"/>
        </w:rPr>
        <w:t xml:space="preserve"> imagines a concealed, though authentic, social system of care; he collects fuel for the De Laceys and clears snow from their path, and, in return, they teach him their language and allow him to live undisturbed on the property. He nurtures them from a distance in the hopes of one day becoming an accepted and intimate member of their household.</w:t>
      </w:r>
    </w:p>
    <w:p w14:paraId="0FCA97D3" w14:textId="330BF801" w:rsidR="00F80C69" w:rsidRPr="00F80C69" w:rsidRDefault="00F80C69" w:rsidP="00F80C69">
      <w:pPr>
        <w:spacing w:line="480" w:lineRule="auto"/>
        <w:rPr>
          <w:rFonts w:asciiTheme="majorBidi" w:eastAsia="Calibri" w:hAnsiTheme="majorBidi" w:cstheme="majorBidi"/>
        </w:rPr>
      </w:pPr>
      <w:r w:rsidRPr="00F80C69">
        <w:rPr>
          <w:rFonts w:asciiTheme="majorBidi" w:eastAsia="Calibri" w:hAnsiTheme="majorBidi" w:cstheme="majorBidi"/>
        </w:rPr>
        <w:tab/>
        <w:t xml:space="preserve">But like Prometheus, the Creature seeks to help man only to find himself punished for his altruism. He finds himself burned, as it were, by prejudice no less than by the embers that seem </w:t>
      </w:r>
      <w:r w:rsidRPr="00F80C69">
        <w:rPr>
          <w:rFonts w:asciiTheme="majorBidi" w:eastAsia="Calibri" w:hAnsiTheme="majorBidi" w:cstheme="majorBidi"/>
        </w:rPr>
        <w:lastRenderedPageBreak/>
        <w:t xml:space="preserve">to promise warmth and delight but scorch on contact. When they find the </w:t>
      </w:r>
      <w:proofErr w:type="gramStart"/>
      <w:r w:rsidRPr="00F80C69">
        <w:rPr>
          <w:rFonts w:asciiTheme="majorBidi" w:eastAsia="Calibri" w:hAnsiTheme="majorBidi" w:cstheme="majorBidi"/>
        </w:rPr>
        <w:t>Creature</w:t>
      </w:r>
      <w:proofErr w:type="gramEnd"/>
      <w:r w:rsidRPr="00F80C69">
        <w:rPr>
          <w:rFonts w:asciiTheme="majorBidi" w:eastAsia="Calibri" w:hAnsiTheme="majorBidi" w:cstheme="majorBidi"/>
        </w:rPr>
        <w:t xml:space="preserve"> in the house, the other members of the De Lacey family drive him away from their father, crystalizing the pattern of persecution. Still, the Creature tries again to nurture the better part of his nature by caring for others. He pulls a drowning girl from a river and revives her only to meet with a bullet from a man’s gun. This wound—the </w:t>
      </w:r>
      <w:r w:rsidR="007816B9">
        <w:rPr>
          <w:rFonts w:asciiTheme="majorBidi" w:eastAsia="Calibri" w:hAnsiTheme="majorBidi" w:cstheme="majorBidi"/>
        </w:rPr>
        <w:t xml:space="preserve">painful </w:t>
      </w:r>
      <w:r w:rsidRPr="00F80C69">
        <w:rPr>
          <w:rFonts w:asciiTheme="majorBidi" w:eastAsia="Calibri" w:hAnsiTheme="majorBidi" w:cstheme="majorBidi"/>
        </w:rPr>
        <w:t xml:space="preserve">embodiment of his predetermined exclusion from normative society—the </w:t>
      </w:r>
      <w:proofErr w:type="gramStart"/>
      <w:r w:rsidRPr="00F80C69">
        <w:rPr>
          <w:rFonts w:asciiTheme="majorBidi" w:eastAsia="Calibri" w:hAnsiTheme="majorBidi" w:cstheme="majorBidi"/>
        </w:rPr>
        <w:t>Creature</w:t>
      </w:r>
      <w:proofErr w:type="gramEnd"/>
      <w:r w:rsidRPr="00F80C69">
        <w:rPr>
          <w:rFonts w:asciiTheme="majorBidi" w:eastAsia="Calibri" w:hAnsiTheme="majorBidi" w:cstheme="majorBidi"/>
        </w:rPr>
        <w:t xml:space="preserve"> declares to Frankenstein, marks his turn toward hatred and vengeance. The </w:t>
      </w:r>
      <w:proofErr w:type="gramStart"/>
      <w:r w:rsidRPr="00F80C69">
        <w:rPr>
          <w:rFonts w:asciiTheme="majorBidi" w:eastAsia="Calibri" w:hAnsiTheme="majorBidi" w:cstheme="majorBidi"/>
        </w:rPr>
        <w:t>Creature</w:t>
      </w:r>
      <w:proofErr w:type="gramEnd"/>
      <w:r w:rsidRPr="00F80C69">
        <w:rPr>
          <w:rFonts w:asciiTheme="majorBidi" w:eastAsia="Calibri" w:hAnsiTheme="majorBidi" w:cstheme="majorBidi"/>
        </w:rPr>
        <w:t xml:space="preserve"> also articulates the injustice of this systematic indictment at the end of his life to Robert Walton in no uncertain terms:</w:t>
      </w:r>
    </w:p>
    <w:p w14:paraId="6A2F3AFD" w14:textId="113B14E6" w:rsidR="00F80C69" w:rsidRPr="00F80C69" w:rsidRDefault="00F80C69" w:rsidP="00CF0272">
      <w:pPr>
        <w:spacing w:line="480" w:lineRule="auto"/>
        <w:ind w:left="1440"/>
        <w:rPr>
          <w:rFonts w:asciiTheme="majorBidi" w:eastAsia="Calibri" w:hAnsiTheme="majorBidi" w:cstheme="majorBidi"/>
        </w:rPr>
      </w:pPr>
      <w:r w:rsidRPr="00F80C69">
        <w:rPr>
          <w:rFonts w:asciiTheme="majorBidi" w:eastAsia="Calibri" w:hAnsiTheme="majorBidi" w:cstheme="majorBidi"/>
        </w:rPr>
        <w:t>I desired love and fellowship, and I was still spurned. Was there no injustice in this? Am I to be thought the only criminal, when all human kind sinned against me? Why do you not hate Felix, who drove his friend from his door with contumely? Why do you not execrate the rustic who sought to destroy the savior of his child? Nay, these are virtuous and immaculate beings! I, the miserable and</w:t>
      </w:r>
      <w:r w:rsidR="004345B6" w:rsidRPr="002A5475">
        <w:rPr>
          <w:rFonts w:asciiTheme="majorBidi" w:eastAsia="Calibri" w:hAnsiTheme="majorBidi" w:cstheme="majorBidi"/>
        </w:rPr>
        <w:t xml:space="preserve"> </w:t>
      </w:r>
      <w:r w:rsidRPr="00F80C69">
        <w:rPr>
          <w:rFonts w:asciiTheme="majorBidi" w:eastAsia="Calibri" w:hAnsiTheme="majorBidi" w:cstheme="majorBidi"/>
        </w:rPr>
        <w:t>the abandoned, am an abortion, to be spurned at and kicked, and trampled on.</w:t>
      </w:r>
      <w:r w:rsidR="004345B6" w:rsidRPr="002A5475">
        <w:rPr>
          <w:rFonts w:asciiTheme="majorBidi" w:eastAsia="Calibri" w:hAnsiTheme="majorBidi" w:cstheme="majorBidi"/>
        </w:rPr>
        <w:t xml:space="preserve"> </w:t>
      </w:r>
      <w:r w:rsidRPr="00F80C69">
        <w:rPr>
          <w:rFonts w:asciiTheme="majorBidi" w:eastAsia="Calibri" w:hAnsiTheme="majorBidi" w:cstheme="majorBidi"/>
        </w:rPr>
        <w:t>(160)</w:t>
      </w:r>
    </w:p>
    <w:p w14:paraId="30F6E4BC" w14:textId="77777777" w:rsidR="00F80C69" w:rsidRPr="00F80C69" w:rsidRDefault="00F80C69" w:rsidP="00F80C69">
      <w:pPr>
        <w:spacing w:line="480" w:lineRule="auto"/>
        <w:rPr>
          <w:rFonts w:asciiTheme="majorBidi" w:eastAsia="Calibri" w:hAnsiTheme="majorBidi" w:cstheme="majorBidi"/>
        </w:rPr>
      </w:pPr>
      <w:r w:rsidRPr="00F80C69">
        <w:rPr>
          <w:rFonts w:asciiTheme="majorBidi" w:eastAsia="Calibri" w:hAnsiTheme="majorBidi" w:cstheme="majorBidi"/>
        </w:rPr>
        <w:t xml:space="preserve">But while the </w:t>
      </w:r>
      <w:proofErr w:type="gramStart"/>
      <w:r w:rsidRPr="00F80C69">
        <w:rPr>
          <w:rFonts w:asciiTheme="majorBidi" w:eastAsia="Calibri" w:hAnsiTheme="majorBidi" w:cstheme="majorBidi"/>
        </w:rPr>
        <w:t>Creature’s</w:t>
      </w:r>
      <w:proofErr w:type="gramEnd"/>
      <w:r w:rsidRPr="00F80C69">
        <w:rPr>
          <w:rFonts w:asciiTheme="majorBidi" w:eastAsia="Calibri" w:hAnsiTheme="majorBidi" w:cstheme="majorBidi"/>
        </w:rPr>
        <w:t xml:space="preserve"> identification of himself as an “abortion” substantiates the comprehensive internalization of his socially constructed monstrosity, he maintains that his frame has been made miserable by those who have unjustly conceived it as such.</w:t>
      </w:r>
      <w:r w:rsidRPr="00F80C69">
        <w:rPr>
          <w:rFonts w:asciiTheme="majorBidi" w:eastAsia="Calibri" w:hAnsiTheme="majorBidi" w:cstheme="majorBidi"/>
          <w:vertAlign w:val="superscript"/>
        </w:rPr>
        <w:footnoteReference w:id="44"/>
      </w:r>
      <w:r w:rsidRPr="00F80C69">
        <w:rPr>
          <w:rFonts w:asciiTheme="majorBidi" w:eastAsia="Calibri" w:hAnsiTheme="majorBidi" w:cstheme="majorBidi"/>
        </w:rPr>
        <w:t xml:space="preserve"> The very parts that have come together at Frankenstein’s hand to enable the Creature’s kinesis have also precluded his social entry and mobility. Far from facilitating relationships—from creating a </w:t>
      </w:r>
      <w:r w:rsidRPr="00F80C69">
        <w:rPr>
          <w:rFonts w:asciiTheme="majorBidi" w:eastAsia="Calibri" w:hAnsiTheme="majorBidi" w:cstheme="majorBidi"/>
        </w:rPr>
        <w:lastRenderedPageBreak/>
        <w:t xml:space="preserve">supplemented whole—the </w:t>
      </w:r>
      <w:proofErr w:type="gramStart"/>
      <w:r w:rsidRPr="00F80C69">
        <w:rPr>
          <w:rFonts w:asciiTheme="majorBidi" w:eastAsia="Calibri" w:hAnsiTheme="majorBidi" w:cstheme="majorBidi"/>
        </w:rPr>
        <w:t>Creature’s</w:t>
      </w:r>
      <w:proofErr w:type="gramEnd"/>
      <w:r w:rsidRPr="00F80C69">
        <w:rPr>
          <w:rFonts w:asciiTheme="majorBidi" w:eastAsia="Calibri" w:hAnsiTheme="majorBidi" w:cstheme="majorBidi"/>
        </w:rPr>
        <w:t xml:space="preserve"> prosthetic body only divides him from the novel’s nondisabled characters, who repeatedly drive him away to the social periphery in an effort to maintain the integrity of the normative center.</w:t>
      </w:r>
    </w:p>
    <w:p w14:paraId="0AB1DE8F" w14:textId="182A1A54" w:rsidR="00F80C69" w:rsidRPr="00F80C69" w:rsidRDefault="00F80C69" w:rsidP="00F80C69">
      <w:pPr>
        <w:spacing w:line="480" w:lineRule="auto"/>
        <w:rPr>
          <w:rFonts w:asciiTheme="majorBidi" w:eastAsia="Calibri" w:hAnsiTheme="majorBidi" w:cstheme="majorBidi"/>
        </w:rPr>
      </w:pPr>
      <w:r w:rsidRPr="00F80C69">
        <w:rPr>
          <w:rFonts w:asciiTheme="majorBidi" w:eastAsia="Calibri" w:hAnsiTheme="majorBidi" w:cstheme="majorBidi"/>
        </w:rPr>
        <w:tab/>
        <w:t>The Creature finds himself, like so many marginalized and isolated persons with disabilities, interned by his proximity to and irresolvable distance from the rest of humankind: “I found myself similar, yet at the same time strangely unlike the beings concerning whom I read, and to whose conversation I was a listener</w:t>
      </w:r>
      <w:proofErr w:type="gramStart"/>
      <w:r w:rsidRPr="00F80C69">
        <w:rPr>
          <w:rFonts w:asciiTheme="majorBidi" w:eastAsia="Calibri" w:hAnsiTheme="majorBidi" w:cstheme="majorBidi"/>
        </w:rPr>
        <w:t>. . . .</w:t>
      </w:r>
      <w:proofErr w:type="gramEnd"/>
      <w:r w:rsidRPr="00F80C69">
        <w:rPr>
          <w:rFonts w:asciiTheme="majorBidi" w:eastAsia="Calibri" w:hAnsiTheme="majorBidi" w:cstheme="majorBidi"/>
        </w:rPr>
        <w:t xml:space="preserve"> My person was hideous, and my stature gigantic: what did this mean: Who was I? What was I?” (89). Unable to define himself totally with or against other people or to find company among them, the </w:t>
      </w:r>
      <w:proofErr w:type="gramStart"/>
      <w:r w:rsidRPr="00F80C69">
        <w:rPr>
          <w:rFonts w:asciiTheme="majorBidi" w:eastAsia="Calibri" w:hAnsiTheme="majorBidi" w:cstheme="majorBidi"/>
        </w:rPr>
        <w:t>Creature</w:t>
      </w:r>
      <w:proofErr w:type="gramEnd"/>
      <w:r w:rsidRPr="00F80C69">
        <w:rPr>
          <w:rFonts w:asciiTheme="majorBidi" w:eastAsia="Calibri" w:hAnsiTheme="majorBidi" w:cstheme="majorBidi"/>
        </w:rPr>
        <w:t xml:space="preserve"> seeks to reconcile himself through companionship with another creature as grotesque and unwanted as he is. As Richard Holmes notes, “The scene on the Mer de Glace in which he begs Frankenstein to create a wife for him is central to his search for human identity and happiness. The clear implication is that a fully human ‘soul’ can only be created through friendship and love” (</w:t>
      </w:r>
      <w:r w:rsidRPr="00F80C69">
        <w:rPr>
          <w:rFonts w:asciiTheme="majorBidi" w:eastAsia="Calibri" w:hAnsiTheme="majorBidi" w:cstheme="majorBidi"/>
          <w:i/>
        </w:rPr>
        <w:t>The Age of Wonder</w:t>
      </w:r>
      <w:r w:rsidRPr="00F80C69">
        <w:rPr>
          <w:rFonts w:asciiTheme="majorBidi" w:eastAsia="Calibri" w:hAnsiTheme="majorBidi" w:cstheme="majorBidi"/>
        </w:rPr>
        <w:t xml:space="preserve"> 332). All but hopeless, the </w:t>
      </w:r>
      <w:proofErr w:type="gramStart"/>
      <w:r w:rsidRPr="00F80C69">
        <w:rPr>
          <w:rFonts w:asciiTheme="majorBidi" w:eastAsia="Calibri" w:hAnsiTheme="majorBidi" w:cstheme="majorBidi"/>
        </w:rPr>
        <w:t>Creature</w:t>
      </w:r>
      <w:proofErr w:type="gramEnd"/>
      <w:r w:rsidRPr="00F80C69">
        <w:rPr>
          <w:rFonts w:asciiTheme="majorBidi" w:eastAsia="Calibri" w:hAnsiTheme="majorBidi" w:cstheme="majorBidi"/>
        </w:rPr>
        <w:t xml:space="preserve"> demands not social acceptance, but the most meager form of inclusion. He confesses, “Our lives [his and the female creature’s] will not be happy, but they will be harmless, and free from the misery I now feel” and begs, “Let me see that I excite the sympathy of some existing thing”</w:t>
      </w:r>
      <w:r w:rsidR="007816B9">
        <w:rPr>
          <w:rFonts w:asciiTheme="majorBidi" w:eastAsia="Calibri" w:hAnsiTheme="majorBidi" w:cstheme="majorBidi"/>
        </w:rPr>
        <w:t xml:space="preserve"> (102).</w:t>
      </w:r>
      <w:r w:rsidRPr="00F80C69">
        <w:rPr>
          <w:rFonts w:asciiTheme="majorBidi" w:eastAsia="Calibri" w:hAnsiTheme="majorBidi" w:cstheme="majorBidi"/>
        </w:rPr>
        <w:t xml:space="preserve"> In the starkest terms, he seeks a connection based on similarity: similarity of an existence and experience that no “normal” person can understand.</w:t>
      </w:r>
      <w:r w:rsidRPr="00F80C69">
        <w:rPr>
          <w:rFonts w:asciiTheme="majorBidi" w:eastAsia="Calibri" w:hAnsiTheme="majorBidi" w:cstheme="majorBidi"/>
          <w:vertAlign w:val="superscript"/>
        </w:rPr>
        <w:footnoteReference w:id="45"/>
      </w:r>
      <w:r w:rsidRPr="00F80C69">
        <w:rPr>
          <w:rFonts w:asciiTheme="majorBidi" w:eastAsia="Calibri" w:hAnsiTheme="majorBidi" w:cstheme="majorBidi"/>
        </w:rPr>
        <w:t xml:space="preserve"> Crucially, though, this similarity also calls out the delimitation of an ethical (“harmless”) and </w:t>
      </w:r>
      <w:r w:rsidRPr="00F80C69">
        <w:rPr>
          <w:rFonts w:asciiTheme="majorBidi" w:eastAsia="Calibri" w:hAnsiTheme="majorBidi" w:cstheme="majorBidi"/>
        </w:rPr>
        <w:lastRenderedPageBreak/>
        <w:t xml:space="preserve">emotional (“free from misery”) status engendered by a particular physical relationality. Simply put, if his exclusion has been based on difference, the only means of access to connection is similarity. And only through a therapeutic (surgical) intervention, the </w:t>
      </w:r>
      <w:proofErr w:type="gramStart"/>
      <w:r w:rsidRPr="00F80C69">
        <w:rPr>
          <w:rFonts w:asciiTheme="majorBidi" w:eastAsia="Calibri" w:hAnsiTheme="majorBidi" w:cstheme="majorBidi"/>
        </w:rPr>
        <w:t>Creature</w:t>
      </w:r>
      <w:proofErr w:type="gramEnd"/>
      <w:r w:rsidRPr="00F80C69">
        <w:rPr>
          <w:rFonts w:asciiTheme="majorBidi" w:eastAsia="Calibri" w:hAnsiTheme="majorBidi" w:cstheme="majorBidi"/>
        </w:rPr>
        <w:t xml:space="preserve"> imagines, can he achieve this sympathy and be made whole.</w:t>
      </w:r>
    </w:p>
    <w:p w14:paraId="64B3DAC1" w14:textId="77777777" w:rsidR="00F80C69" w:rsidRPr="00F80C69" w:rsidRDefault="00F80C69" w:rsidP="00F80C69">
      <w:pPr>
        <w:spacing w:line="480" w:lineRule="auto"/>
        <w:rPr>
          <w:rFonts w:asciiTheme="majorBidi" w:eastAsia="Calibri" w:hAnsiTheme="majorBidi" w:cstheme="majorBidi"/>
        </w:rPr>
      </w:pPr>
      <w:r w:rsidRPr="00F80C69">
        <w:rPr>
          <w:rFonts w:asciiTheme="majorBidi" w:eastAsia="Calibri" w:hAnsiTheme="majorBidi" w:cstheme="majorBidi"/>
        </w:rPr>
        <w:tab/>
        <w:t xml:space="preserve">Frankenstein, though, moves to reassert authorial agency and refuses to accommodate the </w:t>
      </w:r>
      <w:proofErr w:type="gramStart"/>
      <w:r w:rsidRPr="00F80C69">
        <w:rPr>
          <w:rFonts w:asciiTheme="majorBidi" w:eastAsia="Calibri" w:hAnsiTheme="majorBidi" w:cstheme="majorBidi"/>
        </w:rPr>
        <w:t>Creature’s</w:t>
      </w:r>
      <w:proofErr w:type="gramEnd"/>
      <w:r w:rsidRPr="00F80C69">
        <w:rPr>
          <w:rFonts w:asciiTheme="majorBidi" w:eastAsia="Calibri" w:hAnsiTheme="majorBidi" w:cstheme="majorBidi"/>
        </w:rPr>
        <w:t xml:space="preserve"> request. He desperately attempts to sustain normalcy by denying the perpetuation of physical variation. Frankenstein cannot even imagine that something as hideous as the </w:t>
      </w:r>
      <w:proofErr w:type="gramStart"/>
      <w:r w:rsidRPr="00F80C69">
        <w:rPr>
          <w:rFonts w:asciiTheme="majorBidi" w:eastAsia="Calibri" w:hAnsiTheme="majorBidi" w:cstheme="majorBidi"/>
        </w:rPr>
        <w:t>Creature</w:t>
      </w:r>
      <w:proofErr w:type="gramEnd"/>
      <w:r w:rsidRPr="00F80C69">
        <w:rPr>
          <w:rFonts w:asciiTheme="majorBidi" w:eastAsia="Calibri" w:hAnsiTheme="majorBidi" w:cstheme="majorBidi"/>
        </w:rPr>
        <w:t xml:space="preserve"> himself could brook, let alone feel affection for, him (or vice versa). He reasons, “They might even hate each other; the creature who already lived loathed his own deformity, and might he not conceive a greater abhorrence for it when it came before his eyes in the female form? She also might turn with disgust from him to the superior beauty of man; she might quit him” (119).</w:t>
      </w:r>
      <w:r w:rsidRPr="00F80C69">
        <w:rPr>
          <w:rFonts w:asciiTheme="majorBidi" w:eastAsia="Calibri" w:hAnsiTheme="majorBidi" w:cstheme="majorBidi"/>
          <w:vertAlign w:val="superscript"/>
        </w:rPr>
        <w:footnoteReference w:id="46"/>
      </w:r>
      <w:r w:rsidRPr="00F80C69">
        <w:rPr>
          <w:rFonts w:asciiTheme="majorBidi" w:eastAsia="Calibri" w:hAnsiTheme="majorBidi" w:cstheme="majorBidi"/>
        </w:rPr>
        <w:t xml:space="preserve"> He abandons his work on the female creature, relegating the </w:t>
      </w:r>
      <w:proofErr w:type="gramStart"/>
      <w:r w:rsidRPr="00F80C69">
        <w:rPr>
          <w:rFonts w:asciiTheme="majorBidi" w:eastAsia="Calibri" w:hAnsiTheme="majorBidi" w:cstheme="majorBidi"/>
        </w:rPr>
        <w:t>Creature</w:t>
      </w:r>
      <w:proofErr w:type="gramEnd"/>
      <w:r w:rsidRPr="00F80C69">
        <w:rPr>
          <w:rFonts w:asciiTheme="majorBidi" w:eastAsia="Calibri" w:hAnsiTheme="majorBidi" w:cstheme="majorBidi"/>
        </w:rPr>
        <w:t xml:space="preserve"> to the role of slave. Frankenstein’s re-casting of the </w:t>
      </w:r>
      <w:proofErr w:type="gramStart"/>
      <w:r w:rsidRPr="00F80C69">
        <w:rPr>
          <w:rFonts w:asciiTheme="majorBidi" w:eastAsia="Calibri" w:hAnsiTheme="majorBidi" w:cstheme="majorBidi"/>
        </w:rPr>
        <w:t>Creature</w:t>
      </w:r>
      <w:proofErr w:type="gramEnd"/>
      <w:r w:rsidRPr="00F80C69">
        <w:rPr>
          <w:rFonts w:asciiTheme="majorBidi" w:eastAsia="Calibri" w:hAnsiTheme="majorBidi" w:cstheme="majorBidi"/>
        </w:rPr>
        <w:t xml:space="preserve"> as the ultimate subordinate at this moment exposes the larger fears concealed by his more overt protestations: the proliferation of difference amounts to the abnegation of a normative center and—even more crucially—the endorsement of alterity as the deviant voice gains authority in the narrative. The </w:t>
      </w:r>
      <w:proofErr w:type="gramStart"/>
      <w:r w:rsidRPr="00F80C69">
        <w:rPr>
          <w:rFonts w:asciiTheme="majorBidi" w:eastAsia="Calibri" w:hAnsiTheme="majorBidi" w:cstheme="majorBidi"/>
        </w:rPr>
        <w:t>Creature’s</w:t>
      </w:r>
      <w:proofErr w:type="gramEnd"/>
      <w:r w:rsidRPr="00F80C69">
        <w:rPr>
          <w:rFonts w:asciiTheme="majorBidi" w:eastAsia="Calibri" w:hAnsiTheme="majorBidi" w:cstheme="majorBidi"/>
        </w:rPr>
        <w:t xml:space="preserve"> “sentimental Bildungsroman,” Jed Mayer contends, “momentarily convinces his creator that he is a ‘creature of fine sensations,’ and thus worthy of his compassion (120)” (“The Weird Ecologies of Mary Shelley’s </w:t>
      </w:r>
      <w:r w:rsidRPr="00F80C69">
        <w:rPr>
          <w:rFonts w:asciiTheme="majorBidi" w:eastAsia="Calibri" w:hAnsiTheme="majorBidi" w:cstheme="majorBidi"/>
          <w:i/>
          <w:iCs/>
        </w:rPr>
        <w:lastRenderedPageBreak/>
        <w:t>Frankenstein</w:t>
      </w:r>
      <w:r w:rsidRPr="00F80C69">
        <w:rPr>
          <w:rFonts w:asciiTheme="majorBidi" w:eastAsia="Calibri" w:hAnsiTheme="majorBidi" w:cstheme="majorBidi"/>
        </w:rPr>
        <w:t xml:space="preserve">” 239). Crucially, in this exchange, the </w:t>
      </w:r>
      <w:proofErr w:type="gramStart"/>
      <w:r w:rsidRPr="00F80C69">
        <w:rPr>
          <w:rFonts w:asciiTheme="majorBidi" w:eastAsia="Calibri" w:hAnsiTheme="majorBidi" w:cstheme="majorBidi"/>
        </w:rPr>
        <w:t>Creature</w:t>
      </w:r>
      <w:proofErr w:type="gramEnd"/>
      <w:r w:rsidRPr="00F80C69">
        <w:rPr>
          <w:rFonts w:asciiTheme="majorBidi" w:eastAsia="Calibri" w:hAnsiTheme="majorBidi" w:cstheme="majorBidi"/>
        </w:rPr>
        <w:t xml:space="preserve"> effectively makes a bid to co-author another creature of his ilk. He argues for his hypothetical mate’s prospective humanity, projecting beyond the pieces’ current status as organic but inanimate to a future in which they comprise an entity, like himself, that is “peaceful and human” (103). But what the </w:t>
      </w:r>
      <w:proofErr w:type="gramStart"/>
      <w:r w:rsidRPr="00F80C69">
        <w:rPr>
          <w:rFonts w:asciiTheme="majorBidi" w:eastAsia="Calibri" w:hAnsiTheme="majorBidi" w:cstheme="majorBidi"/>
        </w:rPr>
        <w:t>Creature</w:t>
      </w:r>
      <w:proofErr w:type="gramEnd"/>
      <w:r w:rsidRPr="00F80C69">
        <w:rPr>
          <w:rFonts w:asciiTheme="majorBidi" w:eastAsia="Calibri" w:hAnsiTheme="majorBidi" w:cstheme="majorBidi"/>
        </w:rPr>
        <w:t xml:space="preserve"> proposes as collaboration soon appears to Frankenstein as his own subordination. Any extant feelings of compassion dissipate, and in beginning work on the </w:t>
      </w:r>
      <w:proofErr w:type="gramStart"/>
      <w:r w:rsidRPr="00F80C69">
        <w:rPr>
          <w:rFonts w:asciiTheme="majorBidi" w:eastAsia="Calibri" w:hAnsiTheme="majorBidi" w:cstheme="majorBidi"/>
        </w:rPr>
        <w:t>Creature’s</w:t>
      </w:r>
      <w:proofErr w:type="gramEnd"/>
      <w:r w:rsidRPr="00F80C69">
        <w:rPr>
          <w:rFonts w:asciiTheme="majorBidi" w:eastAsia="Calibri" w:hAnsiTheme="majorBidi" w:cstheme="majorBidi"/>
        </w:rPr>
        <w:t xml:space="preserve"> brainchild, Frankenstein bemoans the sensation of becoming “the slave of my creature” (110). Anxious to regain full authorial control, Frankenstein destroys the new creation and inverts the perceived slave/master roles. </w:t>
      </w:r>
    </w:p>
    <w:p w14:paraId="62DC10E7" w14:textId="77777777" w:rsidR="00F80C69" w:rsidRPr="00F80C69" w:rsidRDefault="00F80C69" w:rsidP="00F80C69">
      <w:pPr>
        <w:spacing w:line="480" w:lineRule="auto"/>
        <w:ind w:firstLine="720"/>
        <w:rPr>
          <w:rFonts w:asciiTheme="majorBidi" w:eastAsia="Calibri" w:hAnsiTheme="majorBidi" w:cstheme="majorBidi"/>
        </w:rPr>
      </w:pPr>
      <w:r w:rsidRPr="00F80C69">
        <w:rPr>
          <w:rFonts w:asciiTheme="majorBidi" w:eastAsia="Calibri" w:hAnsiTheme="majorBidi" w:cstheme="majorBidi"/>
        </w:rPr>
        <w:t xml:space="preserve">Denied his mate, the </w:t>
      </w:r>
      <w:proofErr w:type="gramStart"/>
      <w:r w:rsidRPr="00F80C69">
        <w:rPr>
          <w:rFonts w:asciiTheme="majorBidi" w:eastAsia="Calibri" w:hAnsiTheme="majorBidi" w:cstheme="majorBidi"/>
        </w:rPr>
        <w:t>Creature</w:t>
      </w:r>
      <w:proofErr w:type="gramEnd"/>
      <w:r w:rsidRPr="00F80C69">
        <w:rPr>
          <w:rFonts w:asciiTheme="majorBidi" w:eastAsia="Calibri" w:hAnsiTheme="majorBidi" w:cstheme="majorBidi"/>
        </w:rPr>
        <w:t xml:space="preserve"> clings to the only mortal being who can provide kinship, warped though the relationship may be: Victor Frankenstein. After killing Frankenstein’s younger brother, William, and closest friend, Henry Clerval, the Creature makes good on his final threat. He murders Frankenstein’s wife, Elizabeth, on their wedding night. Elizabeth’s death effectively vitiates Frankenstein’s family network and ensnares both creator and creature in a hunter/hunted relationship fortified by hate and mutual dependence, broken only by the death of Frankenstein and the implied suicide of the Creature (the extinction of his lone species) at the novel’s conclusion.</w:t>
      </w:r>
      <w:r w:rsidRPr="00F80C69">
        <w:rPr>
          <w:rFonts w:asciiTheme="majorBidi" w:eastAsia="Calibri" w:hAnsiTheme="majorBidi" w:cstheme="majorBidi"/>
          <w:vertAlign w:val="superscript"/>
        </w:rPr>
        <w:footnoteReference w:id="47"/>
      </w:r>
      <w:r w:rsidRPr="00F80C69">
        <w:rPr>
          <w:rFonts w:asciiTheme="majorBidi" w:eastAsia="Calibri" w:hAnsiTheme="majorBidi" w:cstheme="majorBidi"/>
        </w:rPr>
        <w:t xml:space="preserve"> The co-dependence of people and parts that drives the plot becomes clear as normative and prosthetic voices mingle and compete for narrative representation and </w:t>
      </w:r>
      <w:r w:rsidRPr="00F80C69">
        <w:rPr>
          <w:rFonts w:asciiTheme="majorBidi" w:eastAsia="Calibri" w:hAnsiTheme="majorBidi" w:cstheme="majorBidi"/>
        </w:rPr>
        <w:lastRenderedPageBreak/>
        <w:t>dominance. In other words, the narrative itself is contingent on artificial supplementation and the stitching together of genres.</w:t>
      </w:r>
    </w:p>
    <w:p w14:paraId="2F815240" w14:textId="77777777" w:rsidR="00F80C69" w:rsidRPr="00F80C69" w:rsidRDefault="00F80C69" w:rsidP="00F80C69">
      <w:pPr>
        <w:spacing w:line="480" w:lineRule="auto"/>
        <w:ind w:firstLine="720"/>
        <w:rPr>
          <w:rFonts w:asciiTheme="majorBidi" w:eastAsia="Calibri" w:hAnsiTheme="majorBidi" w:cstheme="majorBidi"/>
        </w:rPr>
      </w:pPr>
      <w:r w:rsidRPr="00F80C69">
        <w:rPr>
          <w:rFonts w:asciiTheme="majorBidi" w:eastAsia="Calibri" w:hAnsiTheme="majorBidi" w:cstheme="majorBidi"/>
        </w:rPr>
        <w:t xml:space="preserve">It is fitting, then, that we find the seeds of disabled narration in one of the most generically complex works of the era. After all, the narrative that puts at stake who and what get to speak—and how disability intersects with that issue—must involve broader confusions of genre, voice, and value. Jay Clayton’s historicization of Shelley’s early ruminations on the artificial human engineering in </w:t>
      </w:r>
      <w:r w:rsidRPr="00F80C69">
        <w:rPr>
          <w:rFonts w:asciiTheme="majorBidi" w:eastAsia="Calibri" w:hAnsiTheme="majorBidi" w:cstheme="majorBidi"/>
          <w:i/>
          <w:iCs/>
        </w:rPr>
        <w:t xml:space="preserve">Frankenstein </w:t>
      </w:r>
      <w:r w:rsidRPr="00F80C69">
        <w:rPr>
          <w:rFonts w:asciiTheme="majorBidi" w:eastAsia="Calibri" w:hAnsiTheme="majorBidi" w:cstheme="majorBidi"/>
        </w:rPr>
        <w:t xml:space="preserve">proves helpful on this front. Clayton wrestles with a critical tendency to define the novel—like its protagonist, a sort of fragmented “nonspecies” that effectively “reverses the terms of monstrosity”—via negation (“Concealed Circuits” 61). In particular, Clayton’s attention to the author’s means of distinguishing “good” science from “bad” provides further insight into how the novel, like its human-object narrator, often resists classification: </w:t>
      </w:r>
    </w:p>
    <w:p w14:paraId="0F3D1D0C" w14:textId="71664D6B" w:rsidR="00F80C69" w:rsidRPr="00F80C69" w:rsidRDefault="00F80C69" w:rsidP="00F80C69">
      <w:pPr>
        <w:spacing w:line="480" w:lineRule="auto"/>
        <w:ind w:left="1440"/>
        <w:rPr>
          <w:rFonts w:asciiTheme="majorBidi" w:eastAsia="Calibri" w:hAnsiTheme="majorBidi" w:cstheme="majorBidi"/>
        </w:rPr>
      </w:pPr>
      <w:r w:rsidRPr="00F80C69">
        <w:rPr>
          <w:rFonts w:asciiTheme="majorBidi" w:eastAsia="Calibri" w:hAnsiTheme="majorBidi" w:cstheme="majorBidi"/>
          <w:color w:val="333333"/>
        </w:rPr>
        <w:t>Unlike most of her prominent male contemporaries, she did not phrase her objections to Enlightenment science in Romantic terms. At the same time, she did not use her resistance to aspects of Romanticism as an excuse for a conservative return to prior values, the path chosen by some of the most popular female writers of the time. Shelley's position in relation to the principal intellectual currents of her era is so distinctive that existing categories fail to encompass it.</w:t>
      </w:r>
      <w:r w:rsidRPr="00F80C69">
        <w:rPr>
          <w:rFonts w:asciiTheme="majorBidi" w:eastAsia="Calibri" w:hAnsiTheme="majorBidi" w:cstheme="majorBidi"/>
        </w:rPr>
        <w:t xml:space="preserve"> (59)</w:t>
      </w:r>
      <w:r w:rsidRPr="00F80C69">
        <w:rPr>
          <w:rFonts w:asciiTheme="majorBidi" w:eastAsia="Calibri" w:hAnsiTheme="majorBidi" w:cstheme="majorBidi"/>
          <w:vertAlign w:val="superscript"/>
        </w:rPr>
        <w:footnoteReference w:id="48"/>
      </w:r>
    </w:p>
    <w:p w14:paraId="369006E3" w14:textId="77777777" w:rsidR="00F80C69" w:rsidRPr="00F80C69" w:rsidRDefault="00F80C69" w:rsidP="00F80C69">
      <w:pPr>
        <w:spacing w:line="480" w:lineRule="auto"/>
        <w:rPr>
          <w:rFonts w:asciiTheme="majorBidi" w:eastAsia="Calibri" w:hAnsiTheme="majorBidi" w:cstheme="majorBidi"/>
        </w:rPr>
      </w:pPr>
      <w:r w:rsidRPr="00F80C69">
        <w:rPr>
          <w:rFonts w:asciiTheme="majorBidi" w:eastAsia="Calibri" w:hAnsiTheme="majorBidi" w:cstheme="majorBidi"/>
        </w:rPr>
        <w:t xml:space="preserve">Neat categorization, delineation, or reconciliation is not the point. Only within that web of generic instability can norms and dichotomies can be prodded, questioned, and challenged. And </w:t>
      </w:r>
      <w:r w:rsidRPr="00F80C69">
        <w:rPr>
          <w:rFonts w:asciiTheme="majorBidi" w:eastAsia="Calibri" w:hAnsiTheme="majorBidi" w:cstheme="majorBidi"/>
        </w:rPr>
        <w:lastRenderedPageBreak/>
        <w:t xml:space="preserve">so, filtered through Robert Walton’s epistolary tale and Frankenstein’s oratory, the </w:t>
      </w:r>
      <w:proofErr w:type="gramStart"/>
      <w:r w:rsidRPr="00F80C69">
        <w:rPr>
          <w:rFonts w:asciiTheme="majorBidi" w:eastAsia="Calibri" w:hAnsiTheme="majorBidi" w:cstheme="majorBidi"/>
        </w:rPr>
        <w:t>Creature’s</w:t>
      </w:r>
      <w:proofErr w:type="gramEnd"/>
      <w:r w:rsidRPr="00F80C69">
        <w:rPr>
          <w:rFonts w:asciiTheme="majorBidi" w:eastAsia="Calibri" w:hAnsiTheme="majorBidi" w:cstheme="majorBidi"/>
        </w:rPr>
        <w:t xml:space="preserve"> account of himself emerges as an imaginative </w:t>
      </w:r>
      <w:r w:rsidRPr="00F80C69">
        <w:rPr>
          <w:rFonts w:asciiTheme="majorBidi" w:eastAsia="Calibri" w:hAnsiTheme="majorBidi" w:cstheme="majorBidi"/>
          <w:i/>
          <w:iCs/>
        </w:rPr>
        <w:t>apologia pro vita sua</w:t>
      </w:r>
      <w:r w:rsidRPr="00F80C69">
        <w:rPr>
          <w:rFonts w:asciiTheme="majorBidi" w:eastAsia="Calibri" w:hAnsiTheme="majorBidi" w:cstheme="majorBidi"/>
        </w:rPr>
        <w:t xml:space="preserve"> for a new century. A strong contender for the first true science fiction novel, </w:t>
      </w:r>
      <w:r w:rsidRPr="00F80C69">
        <w:rPr>
          <w:rFonts w:asciiTheme="majorBidi" w:eastAsia="Calibri" w:hAnsiTheme="majorBidi" w:cstheme="majorBidi"/>
          <w:i/>
          <w:iCs/>
        </w:rPr>
        <w:t>Frankenstein</w:t>
      </w:r>
      <w:r w:rsidRPr="00F80C69">
        <w:rPr>
          <w:rFonts w:asciiTheme="majorBidi" w:eastAsia="Calibri" w:hAnsiTheme="majorBidi" w:cstheme="majorBidi"/>
        </w:rPr>
        <w:t xml:space="preserve"> unfolds, crucially, as an autobiography, the literary genre G. Thomas Couser has designated “the most democratic of literary genres,” the medium with the greatest “liberatory potential” (“Disability and Autobiography” 292).</w:t>
      </w:r>
      <w:r w:rsidRPr="00F80C69">
        <w:rPr>
          <w:rFonts w:asciiTheme="majorBidi" w:eastAsia="Calibri" w:hAnsiTheme="majorBidi" w:cstheme="majorBidi"/>
          <w:vertAlign w:val="superscript"/>
        </w:rPr>
        <w:footnoteReference w:id="49"/>
      </w:r>
      <w:r w:rsidRPr="00F80C69">
        <w:rPr>
          <w:rFonts w:asciiTheme="majorBidi" w:eastAsia="Calibri" w:hAnsiTheme="majorBidi" w:cstheme="majorBidi"/>
        </w:rPr>
        <w:t xml:space="preserve"> While the Creature finds himself summarily branded and cast out by the novel’s other characters (save for the elder De Lacey), his self-narration affords him a means of self-interpretation. In turn, that self-determination, or narrative autonomy, becomes a means of validating his existence. When the homodiegesis of it-narratives collides with the medical interventions that comprise Shelley’s brand of science fiction, disabled authority becomes not only possible, but powerful. The </w:t>
      </w:r>
      <w:proofErr w:type="gramStart"/>
      <w:r w:rsidRPr="00F80C69">
        <w:rPr>
          <w:rFonts w:asciiTheme="majorBidi" w:eastAsia="Calibri" w:hAnsiTheme="majorBidi" w:cstheme="majorBidi"/>
        </w:rPr>
        <w:t>Creature</w:t>
      </w:r>
      <w:proofErr w:type="gramEnd"/>
      <w:r w:rsidRPr="00F80C69">
        <w:rPr>
          <w:rFonts w:asciiTheme="majorBidi" w:eastAsia="Calibri" w:hAnsiTheme="majorBidi" w:cstheme="majorBidi"/>
        </w:rPr>
        <w:t xml:space="preserve"> becomes the creator. Autobiography allows the </w:t>
      </w:r>
      <w:proofErr w:type="gramStart"/>
      <w:r w:rsidRPr="00F80C69">
        <w:rPr>
          <w:rFonts w:asciiTheme="majorBidi" w:eastAsia="Calibri" w:hAnsiTheme="majorBidi" w:cstheme="majorBidi"/>
        </w:rPr>
        <w:t>Creature</w:t>
      </w:r>
      <w:proofErr w:type="gramEnd"/>
      <w:r w:rsidRPr="00F80C69">
        <w:rPr>
          <w:rFonts w:asciiTheme="majorBidi" w:eastAsia="Calibri" w:hAnsiTheme="majorBidi" w:cstheme="majorBidi"/>
        </w:rPr>
        <w:t xml:space="preserve"> to (re)produce and authenticate his experience and self. </w:t>
      </w:r>
    </w:p>
    <w:p w14:paraId="4E650EC7" w14:textId="61ABF6AA" w:rsidR="00F80C69" w:rsidRPr="00F80C69" w:rsidRDefault="00F80C69" w:rsidP="00F80C69">
      <w:pPr>
        <w:spacing w:line="480" w:lineRule="auto"/>
        <w:ind w:firstLine="720"/>
        <w:rPr>
          <w:rFonts w:asciiTheme="majorBidi" w:eastAsia="Calibri" w:hAnsiTheme="majorBidi" w:cstheme="majorBidi"/>
        </w:rPr>
      </w:pPr>
      <w:r w:rsidRPr="00F80C69">
        <w:rPr>
          <w:rFonts w:asciiTheme="majorBidi" w:eastAsia="Calibri" w:hAnsiTheme="majorBidi" w:cstheme="majorBidi"/>
        </w:rPr>
        <w:t>When text and personal history efface physical form, the categorical distinctions between bodily integrity and artificial supplementation, “normalcy” and deformity, human and object are obliterated, if only temporarily. Perhaps it comes as little surprise, then, that the novel ends in the blank, endlessly-shifting reaches of the Arctic: a place, as Jonathan Bate points out, where “</w:t>
      </w:r>
      <w:r w:rsidRPr="00F80C69">
        <w:rPr>
          <w:rFonts w:asciiTheme="majorBidi" w:eastAsia="Calibri" w:hAnsiTheme="majorBidi" w:cstheme="majorBidi"/>
          <w:i/>
          <w:iCs/>
        </w:rPr>
        <w:t>divisions do not hold</w:t>
      </w:r>
      <w:r w:rsidRPr="00F80C69">
        <w:rPr>
          <w:rFonts w:asciiTheme="majorBidi" w:eastAsia="Calibri" w:hAnsiTheme="majorBidi" w:cstheme="majorBidi"/>
        </w:rPr>
        <w:t>”—on an unstable ice pack where “there is no division between land and sea” insofar as its status as either land or sea is only ever temporary—a place where “[t]he phenomenology of dualism cannot function” (“</w:t>
      </w:r>
      <w:r w:rsidRPr="00F80C69">
        <w:rPr>
          <w:rFonts w:asciiTheme="majorBidi" w:eastAsia="Calibri" w:hAnsiTheme="majorBidi" w:cstheme="majorBidi"/>
          <w:i/>
          <w:iCs/>
        </w:rPr>
        <w:t>Frankenstein</w:t>
      </w:r>
      <w:r w:rsidRPr="00F80C69">
        <w:rPr>
          <w:rFonts w:asciiTheme="majorBidi" w:eastAsia="Calibri" w:hAnsiTheme="majorBidi" w:cstheme="majorBidi"/>
        </w:rPr>
        <w:t xml:space="preserve"> and the State of Nature” 55). In the </w:t>
      </w:r>
      <w:r w:rsidRPr="00F80C69">
        <w:rPr>
          <w:rFonts w:asciiTheme="majorBidi" w:eastAsia="Calibri" w:hAnsiTheme="majorBidi" w:cstheme="majorBidi"/>
        </w:rPr>
        <w:lastRenderedPageBreak/>
        <w:t>boundless no-man’s-land of the Arctic</w:t>
      </w:r>
      <w:r w:rsidR="009359FA">
        <w:rPr>
          <w:rFonts w:asciiTheme="majorBidi" w:eastAsia="Calibri" w:hAnsiTheme="majorBidi" w:cstheme="majorBidi"/>
        </w:rPr>
        <w:t>,</w:t>
      </w:r>
      <w:r w:rsidRPr="00F80C69">
        <w:rPr>
          <w:rFonts w:asciiTheme="majorBidi" w:eastAsia="Calibri" w:hAnsiTheme="majorBidi" w:cstheme="majorBidi"/>
        </w:rPr>
        <w:t xml:space="preserve"> social parameters, ideological boundaries, and divisive hierarchies hold no sway. It is the ultimate site of sublime liminality. And it is here (in fact, always has been here, since the tale emanates from Walton’s </w:t>
      </w:r>
      <w:r w:rsidR="009359FA">
        <w:rPr>
          <w:rFonts w:asciiTheme="majorBidi" w:eastAsia="Calibri" w:hAnsiTheme="majorBidi" w:cstheme="majorBidi"/>
        </w:rPr>
        <w:t>ship</w:t>
      </w:r>
      <w:r w:rsidRPr="00F80C69">
        <w:rPr>
          <w:rFonts w:asciiTheme="majorBidi" w:eastAsia="Calibri" w:hAnsiTheme="majorBidi" w:cstheme="majorBidi"/>
        </w:rPr>
        <w:t xml:space="preserve">) that the voices that jockey for position in the novel leave the reader, who can only ever read and never truly see the </w:t>
      </w:r>
      <w:proofErr w:type="gramStart"/>
      <w:r w:rsidRPr="00F80C69">
        <w:rPr>
          <w:rFonts w:asciiTheme="majorBidi" w:eastAsia="Calibri" w:hAnsiTheme="majorBidi" w:cstheme="majorBidi"/>
        </w:rPr>
        <w:t>Creature</w:t>
      </w:r>
      <w:proofErr w:type="gramEnd"/>
      <w:r w:rsidRPr="00F80C69">
        <w:rPr>
          <w:rFonts w:asciiTheme="majorBidi" w:eastAsia="Calibri" w:hAnsiTheme="majorBidi" w:cstheme="majorBidi"/>
        </w:rPr>
        <w:t>, unmoored but guided in flashes by the Creature’s poignant, redemptive self-accounting, grappling with his irreconcilably nebulous form.</w:t>
      </w:r>
      <w:r w:rsidRPr="00F80C69">
        <w:rPr>
          <w:rFonts w:asciiTheme="majorBidi" w:eastAsia="Calibri" w:hAnsiTheme="majorBidi" w:cstheme="majorBidi"/>
          <w:vertAlign w:val="superscript"/>
        </w:rPr>
        <w:footnoteReference w:id="50"/>
      </w:r>
      <w:r w:rsidRPr="00F80C69">
        <w:rPr>
          <w:rFonts w:asciiTheme="majorBidi" w:eastAsia="Calibri" w:hAnsiTheme="majorBidi" w:cstheme="majorBidi"/>
        </w:rPr>
        <w:t xml:space="preserve"> </w:t>
      </w:r>
    </w:p>
    <w:p w14:paraId="15F4B9BE" w14:textId="5DF83394" w:rsidR="00F80C69" w:rsidRPr="00F80C69" w:rsidRDefault="00F80C69" w:rsidP="00F80C69">
      <w:pPr>
        <w:spacing w:line="480" w:lineRule="auto"/>
        <w:ind w:firstLine="720"/>
        <w:rPr>
          <w:rFonts w:asciiTheme="majorBidi" w:eastAsia="Calibri" w:hAnsiTheme="majorBidi" w:cstheme="majorBidi"/>
        </w:rPr>
      </w:pPr>
      <w:r w:rsidRPr="00F80C69">
        <w:rPr>
          <w:rFonts w:asciiTheme="majorBidi" w:eastAsia="Calibri" w:hAnsiTheme="majorBidi" w:cstheme="majorBidi"/>
        </w:rPr>
        <w:t xml:space="preserve">Nor is it surprising that the </w:t>
      </w:r>
      <w:proofErr w:type="gramStart"/>
      <w:r w:rsidRPr="00F80C69">
        <w:rPr>
          <w:rFonts w:asciiTheme="majorBidi" w:eastAsia="Calibri" w:hAnsiTheme="majorBidi" w:cstheme="majorBidi"/>
        </w:rPr>
        <w:t>Creature</w:t>
      </w:r>
      <w:proofErr w:type="gramEnd"/>
      <w:r w:rsidRPr="00F80C69">
        <w:rPr>
          <w:rFonts w:asciiTheme="majorBidi" w:eastAsia="Calibri" w:hAnsiTheme="majorBidi" w:cstheme="majorBidi"/>
        </w:rPr>
        <w:t xml:space="preserve"> vows to kill himself and end the story only after his original author, Frankenstein, has died. Autobiography allows the </w:t>
      </w:r>
      <w:proofErr w:type="gramStart"/>
      <w:r w:rsidRPr="00F80C69">
        <w:rPr>
          <w:rFonts w:asciiTheme="majorBidi" w:eastAsia="Calibri" w:hAnsiTheme="majorBidi" w:cstheme="majorBidi"/>
        </w:rPr>
        <w:t>Creature</w:t>
      </w:r>
      <w:proofErr w:type="gramEnd"/>
      <w:r w:rsidRPr="00F80C69">
        <w:rPr>
          <w:rFonts w:asciiTheme="majorBidi" w:eastAsia="Calibri" w:hAnsiTheme="majorBidi" w:cstheme="majorBidi"/>
        </w:rPr>
        <w:t xml:space="preserve"> to re-produce, re-form, and re-fashion himself. It also, in many ways, affords him the final word and facilitates his transition from created to creator. At the same time, the fact that the </w:t>
      </w:r>
      <w:proofErr w:type="gramStart"/>
      <w:r w:rsidRPr="00F80C69">
        <w:rPr>
          <w:rFonts w:asciiTheme="majorBidi" w:eastAsia="Calibri" w:hAnsiTheme="majorBidi" w:cstheme="majorBidi"/>
        </w:rPr>
        <w:t>Creature</w:t>
      </w:r>
      <w:proofErr w:type="gramEnd"/>
      <w:r w:rsidRPr="00F80C69">
        <w:rPr>
          <w:rFonts w:asciiTheme="majorBidi" w:eastAsia="Calibri" w:hAnsiTheme="majorBidi" w:cstheme="majorBidi"/>
        </w:rPr>
        <w:t xml:space="preserve"> writes himself out of the story only after Frankenstein’s narrative has ended may also signal a limit to the novel’s politics, which are radical but not so radical that the </w:t>
      </w:r>
      <w:r w:rsidR="00307488">
        <w:rPr>
          <w:rFonts w:asciiTheme="majorBidi" w:eastAsia="Calibri" w:hAnsiTheme="majorBidi" w:cstheme="majorBidi"/>
        </w:rPr>
        <w:t>C</w:t>
      </w:r>
      <w:r w:rsidRPr="00F80C69">
        <w:rPr>
          <w:rFonts w:asciiTheme="majorBidi" w:eastAsia="Calibri" w:hAnsiTheme="majorBidi" w:cstheme="majorBidi"/>
        </w:rPr>
        <w:t xml:space="preserve">reature can ever fully replace the original narrator, Walton. </w:t>
      </w:r>
      <w:r w:rsidRPr="00F80C69">
        <w:rPr>
          <w:rFonts w:asciiTheme="majorBidi" w:eastAsia="Calibri" w:hAnsiTheme="majorBidi" w:cstheme="majorBidi"/>
          <w:lang w:val="en-SG"/>
        </w:rPr>
        <w:t>If, as I have argued, autobiography and</w:t>
      </w:r>
      <w:r w:rsidRPr="00F80C69">
        <w:rPr>
          <w:rFonts w:asciiTheme="majorBidi" w:eastAsia="Calibri" w:hAnsiTheme="majorBidi" w:cstheme="majorBidi"/>
        </w:rPr>
        <w:t xml:space="preserve"> homodiegesis</w:t>
      </w:r>
      <w:r w:rsidRPr="00F80C69">
        <w:rPr>
          <w:rFonts w:asciiTheme="majorBidi" w:eastAsia="Calibri" w:hAnsiTheme="majorBidi" w:cstheme="majorBidi"/>
          <w:lang w:val="en-SG"/>
        </w:rPr>
        <w:t xml:space="preserve"> in the novel empower the disabled voice, and the novel’s status as a work of science fiction allows it to project the possibility (and the accompanying normative anxieties) of prosthesis to accommodate disabled agency, the relative inscrutability of the intent behind the </w:t>
      </w:r>
      <w:proofErr w:type="gramStart"/>
      <w:r w:rsidRPr="00F80C69">
        <w:rPr>
          <w:rFonts w:asciiTheme="majorBidi" w:eastAsia="Calibri" w:hAnsiTheme="majorBidi" w:cstheme="majorBidi"/>
          <w:lang w:val="en-SG"/>
        </w:rPr>
        <w:t>Creature’s</w:t>
      </w:r>
      <w:proofErr w:type="gramEnd"/>
      <w:r w:rsidRPr="00F80C69">
        <w:rPr>
          <w:rFonts w:asciiTheme="majorBidi" w:eastAsia="Calibri" w:hAnsiTheme="majorBidi" w:cstheme="majorBidi"/>
          <w:lang w:val="en-SG"/>
        </w:rPr>
        <w:t xml:space="preserve"> implied suicide seems to undermine the potential for the subversion of normative control. </w:t>
      </w:r>
      <w:r w:rsidRPr="00F80C69">
        <w:rPr>
          <w:rFonts w:asciiTheme="majorBidi" w:eastAsia="Calibri" w:hAnsiTheme="majorBidi" w:cstheme="majorBidi"/>
        </w:rPr>
        <w:t>Is the Creature’s suicide a demonstration of agency or defeat? The victorious tone of the Creature’s proclaimed self-</w:t>
      </w:r>
      <w:r w:rsidRPr="00F80C69">
        <w:rPr>
          <w:rFonts w:asciiTheme="majorBidi" w:eastAsia="Calibri" w:hAnsiTheme="majorBidi" w:cstheme="majorBidi"/>
        </w:rPr>
        <w:lastRenderedPageBreak/>
        <w:t>direction</w:t>
      </w:r>
      <w:proofErr w:type="gramStart"/>
      <w:r w:rsidRPr="00F80C69">
        <w:rPr>
          <w:rFonts w:asciiTheme="majorBidi" w:eastAsia="Calibri" w:hAnsiTheme="majorBidi" w:cstheme="majorBidi"/>
        </w:rPr>
        <w:t>—“</w:t>
      </w:r>
      <w:proofErr w:type="gramEnd"/>
      <w:r w:rsidRPr="00F80C69">
        <w:rPr>
          <w:rFonts w:asciiTheme="majorBidi" w:eastAsia="Calibri" w:hAnsiTheme="majorBidi" w:cstheme="majorBidi"/>
        </w:rPr>
        <w:t xml:space="preserve">I shall ascend my funeral pile triumphantly”—rings somewhat hollow in light of his acknowledged fulfillment of Frankenstein’s desire to obliterate his creation—“thou didst seek my extinction” (161). The novel’s struggle for narrative control terminates, it seems, in an ambiguous stalemate. </w:t>
      </w:r>
    </w:p>
    <w:p w14:paraId="68867281" w14:textId="034FE17B" w:rsidR="00F80C69" w:rsidRPr="00F80C69" w:rsidRDefault="00F80C69" w:rsidP="00F80C69">
      <w:pPr>
        <w:spacing w:line="480" w:lineRule="auto"/>
        <w:ind w:firstLine="720"/>
        <w:rPr>
          <w:rFonts w:asciiTheme="majorBidi" w:eastAsia="Calibri" w:hAnsiTheme="majorBidi" w:cstheme="majorBidi"/>
        </w:rPr>
      </w:pPr>
      <w:r w:rsidRPr="00F80C69">
        <w:rPr>
          <w:rFonts w:asciiTheme="majorBidi" w:eastAsia="Calibri" w:hAnsiTheme="majorBidi" w:cstheme="majorBidi"/>
        </w:rPr>
        <w:t xml:space="preserve">And so, beyond their arctic scramble, the real contest between Frankenstein and the Creature inheres in their endless contest of authorial agency, in a “border war,” as Donna Haraway might identify it, wherein the stakes include “the territories of production, reproduction, and imagination” (“A Cyborg Manifesto” 292). That the legacy of </w:t>
      </w:r>
      <w:r w:rsidRPr="00F80C69">
        <w:rPr>
          <w:rFonts w:asciiTheme="majorBidi" w:eastAsia="Calibri" w:hAnsiTheme="majorBidi" w:cstheme="majorBidi"/>
          <w:i/>
          <w:iCs/>
        </w:rPr>
        <w:t>Frankenstein</w:t>
      </w:r>
      <w:r w:rsidRPr="00F80C69">
        <w:rPr>
          <w:rFonts w:asciiTheme="majorBidi" w:eastAsia="Calibri" w:hAnsiTheme="majorBidi" w:cstheme="majorBidi"/>
        </w:rPr>
        <w:t xml:space="preserve"> still popularly entails an accidental tendency to conflate Frankenstein and his Creature attests to</w:t>
      </w:r>
      <w:r w:rsidR="00307488">
        <w:rPr>
          <w:rFonts w:asciiTheme="majorBidi" w:eastAsia="Calibri" w:hAnsiTheme="majorBidi" w:cstheme="majorBidi"/>
        </w:rPr>
        <w:t xml:space="preserve"> the</w:t>
      </w:r>
      <w:r w:rsidRPr="00F80C69">
        <w:rPr>
          <w:rFonts w:asciiTheme="majorBidi" w:eastAsia="Calibri" w:hAnsiTheme="majorBidi" w:cstheme="majorBidi"/>
        </w:rPr>
        <w:t xml:space="preserve"> porous boundaries of their rivalry and dependence. Like his inanimate predecessors, the narrators of eighteenth-century it-narratives, the </w:t>
      </w:r>
      <w:proofErr w:type="gramStart"/>
      <w:r w:rsidRPr="00F80C69">
        <w:rPr>
          <w:rFonts w:asciiTheme="majorBidi" w:eastAsia="Calibri" w:hAnsiTheme="majorBidi" w:cstheme="majorBidi"/>
        </w:rPr>
        <w:t>Creature</w:t>
      </w:r>
      <w:proofErr w:type="gramEnd"/>
      <w:r w:rsidRPr="00F80C69">
        <w:rPr>
          <w:rFonts w:asciiTheme="majorBidi" w:eastAsia="Calibri" w:hAnsiTheme="majorBidi" w:cstheme="majorBidi"/>
        </w:rPr>
        <w:t xml:space="preserve"> traces his circulation and ruminations on belonging. But unlike those narrating objects, the </w:t>
      </w:r>
      <w:proofErr w:type="gramStart"/>
      <w:r w:rsidRPr="00F80C69">
        <w:rPr>
          <w:rFonts w:asciiTheme="majorBidi" w:eastAsia="Calibri" w:hAnsiTheme="majorBidi" w:cstheme="majorBidi"/>
        </w:rPr>
        <w:t>Creature</w:t>
      </w:r>
      <w:proofErr w:type="gramEnd"/>
      <w:r w:rsidRPr="00F80C69">
        <w:rPr>
          <w:rFonts w:asciiTheme="majorBidi" w:eastAsia="Calibri" w:hAnsiTheme="majorBidi" w:cstheme="majorBidi"/>
        </w:rPr>
        <w:t xml:space="preserve"> finds himself endlessly pursued and threatened by a competing—human—authorial force. And neither party willingly concedes that authority.</w:t>
      </w:r>
      <w:r w:rsidRPr="00F80C69">
        <w:rPr>
          <w:rFonts w:asciiTheme="majorBidi" w:eastAsia="Calibri" w:hAnsiTheme="majorBidi" w:cstheme="majorBidi"/>
          <w:vertAlign w:val="superscript"/>
        </w:rPr>
        <w:footnoteReference w:id="51"/>
      </w:r>
      <w:r w:rsidRPr="00F80C69">
        <w:rPr>
          <w:rFonts w:asciiTheme="majorBidi" w:eastAsia="Calibri" w:hAnsiTheme="majorBidi" w:cstheme="majorBidi"/>
        </w:rPr>
        <w:t xml:space="preserve"> </w:t>
      </w:r>
    </w:p>
    <w:p w14:paraId="08E3BFD2" w14:textId="1A368FE7" w:rsidR="00F80C69" w:rsidRPr="00F80C69" w:rsidRDefault="00F80C69" w:rsidP="00F80C69">
      <w:pPr>
        <w:spacing w:line="480" w:lineRule="auto"/>
        <w:ind w:firstLine="720"/>
        <w:rPr>
          <w:rFonts w:asciiTheme="majorBidi" w:eastAsia="Calibri" w:hAnsiTheme="majorBidi" w:cstheme="majorBidi"/>
        </w:rPr>
      </w:pPr>
      <w:r w:rsidRPr="00F80C69">
        <w:rPr>
          <w:rFonts w:asciiTheme="majorBidi" w:eastAsia="Calibri" w:hAnsiTheme="majorBidi" w:cstheme="majorBidi"/>
        </w:rPr>
        <w:t xml:space="preserve">In a terrified bid to preclude the </w:t>
      </w:r>
      <w:proofErr w:type="gramStart"/>
      <w:r w:rsidRPr="00F80C69">
        <w:rPr>
          <w:rFonts w:asciiTheme="majorBidi" w:eastAsia="Calibri" w:hAnsiTheme="majorBidi" w:cstheme="majorBidi"/>
        </w:rPr>
        <w:t>Creature’s</w:t>
      </w:r>
      <w:proofErr w:type="gramEnd"/>
      <w:r w:rsidRPr="00F80C69">
        <w:rPr>
          <w:rFonts w:asciiTheme="majorBidi" w:eastAsia="Calibri" w:hAnsiTheme="majorBidi" w:cstheme="majorBidi"/>
        </w:rPr>
        <w:t xml:space="preserve"> replication, Frankenstein tries to erase the technical details of his co-narrator’s conception prior to his death. Walton explains as much in one of his letters: “Sometimes I endeavoured to gain from Frankenstein the particulars of his creature’s formation; but on this point he was impenetrable” (151). Walton further attests to Frankenstein’s method of co-opted storytelling when he describes </w:t>
      </w:r>
      <w:r w:rsidR="00307488">
        <w:rPr>
          <w:rFonts w:asciiTheme="majorBidi" w:eastAsia="Calibri" w:hAnsiTheme="majorBidi" w:cstheme="majorBidi"/>
        </w:rPr>
        <w:t>Frankenstein</w:t>
      </w:r>
      <w:r w:rsidRPr="00F80C69">
        <w:rPr>
          <w:rFonts w:asciiTheme="majorBidi" w:eastAsia="Calibri" w:hAnsiTheme="majorBidi" w:cstheme="majorBidi"/>
        </w:rPr>
        <w:t xml:space="preserve">’s efforts to edit Walton’s account of their exchange. When, Walton says, “Frankenstein discovered that I made </w:t>
      </w:r>
      <w:r w:rsidRPr="00F80C69">
        <w:rPr>
          <w:rFonts w:asciiTheme="majorBidi" w:eastAsia="Calibri" w:hAnsiTheme="majorBidi" w:cstheme="majorBidi"/>
        </w:rPr>
        <w:lastRenderedPageBreak/>
        <w:t>notes concerning his history: he asked to see them, and then himself corrected and augmented them in many places; but principally in giving the life and spirit to the conversations he held with his enemy. ‘Since you have preserved my narration,</w:t>
      </w:r>
      <w:r w:rsidR="00307488">
        <w:rPr>
          <w:rFonts w:asciiTheme="majorBidi" w:eastAsia="Calibri" w:hAnsiTheme="majorBidi" w:cstheme="majorBidi"/>
        </w:rPr>
        <w:t>’</w:t>
      </w:r>
      <w:r w:rsidRPr="00F80C69">
        <w:rPr>
          <w:rFonts w:asciiTheme="majorBidi" w:eastAsia="Calibri" w:hAnsiTheme="majorBidi" w:cstheme="majorBidi"/>
        </w:rPr>
        <w:t xml:space="preserve"> said he, ‘I would not that a mutilated one should go down to posterity’” (151). Even to the moment of his own death, Frankenstein seeks to police the </w:t>
      </w:r>
      <w:proofErr w:type="gramStart"/>
      <w:r w:rsidRPr="00F80C69">
        <w:rPr>
          <w:rFonts w:asciiTheme="majorBidi" w:eastAsia="Calibri" w:hAnsiTheme="majorBidi" w:cstheme="majorBidi"/>
        </w:rPr>
        <w:t>Creature’s</w:t>
      </w:r>
      <w:proofErr w:type="gramEnd"/>
      <w:r w:rsidRPr="00F80C69">
        <w:rPr>
          <w:rFonts w:asciiTheme="majorBidi" w:eastAsia="Calibri" w:hAnsiTheme="majorBidi" w:cstheme="majorBidi"/>
        </w:rPr>
        <w:t xml:space="preserve"> difference by grasping the narrative reins. To allow the </w:t>
      </w:r>
      <w:proofErr w:type="gramStart"/>
      <w:r w:rsidRPr="00F80C69">
        <w:rPr>
          <w:rFonts w:asciiTheme="majorBidi" w:eastAsia="Calibri" w:hAnsiTheme="majorBidi" w:cstheme="majorBidi"/>
        </w:rPr>
        <w:t>Creature</w:t>
      </w:r>
      <w:proofErr w:type="gramEnd"/>
      <w:r w:rsidRPr="00F80C69">
        <w:rPr>
          <w:rFonts w:asciiTheme="majorBidi" w:eastAsia="Calibri" w:hAnsiTheme="majorBidi" w:cstheme="majorBidi"/>
        </w:rPr>
        <w:t xml:space="preserve"> to deliver an unedited account for his own life is to empower a “deviant” voice and risk shifting away from a normative center. Writing, after all, as Haraway argues, has a “special significance” for subjugated groups insofar as it confers on the author the “power to signify,” the “power to survive . . . on the basis of seizing the tools to mark the world that marked them as other” (“A Cyborg Manifesto” 311).</w:t>
      </w:r>
    </w:p>
    <w:p w14:paraId="24427F8E" w14:textId="77777777" w:rsidR="00F80C69" w:rsidRPr="00F80C69" w:rsidRDefault="00F80C69" w:rsidP="00F80C69">
      <w:pPr>
        <w:spacing w:line="480" w:lineRule="auto"/>
        <w:ind w:firstLine="720"/>
        <w:rPr>
          <w:rFonts w:asciiTheme="majorBidi" w:eastAsia="Calibri" w:hAnsiTheme="majorBidi" w:cstheme="majorBidi"/>
        </w:rPr>
      </w:pPr>
      <w:r w:rsidRPr="00F80C69">
        <w:rPr>
          <w:rFonts w:asciiTheme="majorBidi" w:eastAsia="Calibri" w:hAnsiTheme="majorBidi" w:cstheme="majorBidi"/>
        </w:rPr>
        <w:t xml:space="preserve">As a result, Frankenstein becomes increasingly desperate to prevent further reproduction—scientific or narrative. He recognizes that the unchecked proliferation of this kind of telling will lend authority to the “deviant” body. He fears what Mark Mossman views as the “conscious act of becoming” occasioned by disability writing (“Acts of Becoming” 7). The </w:t>
      </w:r>
      <w:proofErr w:type="gramStart"/>
      <w:r w:rsidRPr="00F80C69">
        <w:rPr>
          <w:rFonts w:asciiTheme="majorBidi" w:eastAsia="Calibri" w:hAnsiTheme="majorBidi" w:cstheme="majorBidi"/>
        </w:rPr>
        <w:t>Creature’s</w:t>
      </w:r>
      <w:proofErr w:type="gramEnd"/>
      <w:r w:rsidRPr="00F80C69">
        <w:rPr>
          <w:rFonts w:asciiTheme="majorBidi" w:eastAsia="Calibri" w:hAnsiTheme="majorBidi" w:cstheme="majorBidi"/>
        </w:rPr>
        <w:t xml:space="preserve"> autobiography is threatening because, as Mossman explains of disability writing more generally, it “becomes an empowering act of control, a deconstructive critical strategy that attempts to break down oppressive and imprisoning cultural construction. By writing disability, the performance and general representation of disability is re-centered, re-focused on the disabled subject itself, which deflects and displaces the powerful gaze of the ‘norm’” (8). </w:t>
      </w:r>
    </w:p>
    <w:p w14:paraId="26244121" w14:textId="1F767B24" w:rsidR="00F80C69" w:rsidRPr="00F80C69" w:rsidRDefault="00F80C69" w:rsidP="00F80C69">
      <w:pPr>
        <w:spacing w:line="480" w:lineRule="auto"/>
        <w:ind w:firstLine="720"/>
        <w:rPr>
          <w:rFonts w:asciiTheme="majorBidi" w:eastAsia="Calibri" w:hAnsiTheme="majorBidi" w:cstheme="majorBidi"/>
        </w:rPr>
      </w:pPr>
      <w:r w:rsidRPr="00F80C69">
        <w:rPr>
          <w:rFonts w:asciiTheme="majorBidi" w:eastAsia="Calibri" w:hAnsiTheme="majorBidi" w:cstheme="majorBidi"/>
        </w:rPr>
        <w:t xml:space="preserve">The </w:t>
      </w:r>
      <w:proofErr w:type="gramStart"/>
      <w:r w:rsidRPr="00F80C69">
        <w:rPr>
          <w:rFonts w:asciiTheme="majorBidi" w:eastAsia="Calibri" w:hAnsiTheme="majorBidi" w:cstheme="majorBidi"/>
        </w:rPr>
        <w:t>Creature</w:t>
      </w:r>
      <w:proofErr w:type="gramEnd"/>
      <w:r w:rsidRPr="00F80C69">
        <w:rPr>
          <w:rFonts w:asciiTheme="majorBidi" w:eastAsia="Calibri" w:hAnsiTheme="majorBidi" w:cstheme="majorBidi"/>
        </w:rPr>
        <w:t xml:space="preserve">, too, identifies the legitimatizing potential of his self-narration. In his final farewell to Frankenstein, the Creature gestures to </w:t>
      </w:r>
      <w:r w:rsidR="00307488">
        <w:rPr>
          <w:rFonts w:asciiTheme="majorBidi" w:eastAsia="Calibri" w:hAnsiTheme="majorBidi" w:cstheme="majorBidi"/>
        </w:rPr>
        <w:t>his creator’</w:t>
      </w:r>
      <w:r w:rsidRPr="00F80C69">
        <w:rPr>
          <w:rFonts w:asciiTheme="majorBidi" w:eastAsia="Calibri" w:hAnsiTheme="majorBidi" w:cstheme="majorBidi"/>
        </w:rPr>
        <w:t xml:space="preserve">s dual anxiety: “thou didst seek my extinction, that I might not cause greater wretchedness” (161). As in the case of his aborted female creature, Frankenstein’s fear of the </w:t>
      </w:r>
      <w:proofErr w:type="gramStart"/>
      <w:r w:rsidRPr="00F80C69">
        <w:rPr>
          <w:rFonts w:asciiTheme="majorBidi" w:eastAsia="Calibri" w:hAnsiTheme="majorBidi" w:cstheme="majorBidi"/>
        </w:rPr>
        <w:t>Creature</w:t>
      </w:r>
      <w:proofErr w:type="gramEnd"/>
      <w:r w:rsidRPr="00F80C69">
        <w:rPr>
          <w:rFonts w:asciiTheme="majorBidi" w:eastAsia="Calibri" w:hAnsiTheme="majorBidi" w:cstheme="majorBidi"/>
        </w:rPr>
        <w:t xml:space="preserve"> stems from an expanded spectrum of what is </w:t>
      </w:r>
      <w:r w:rsidRPr="00F80C69">
        <w:rPr>
          <w:rFonts w:asciiTheme="majorBidi" w:eastAsia="Calibri" w:hAnsiTheme="majorBidi" w:cstheme="majorBidi"/>
        </w:rPr>
        <w:lastRenderedPageBreak/>
        <w:t xml:space="preserve">possible and acceptable, both physically and narratively. Left to his own devices, what might the </w:t>
      </w:r>
      <w:proofErr w:type="gramStart"/>
      <w:r w:rsidRPr="00F80C69">
        <w:rPr>
          <w:rFonts w:asciiTheme="majorBidi" w:eastAsia="Calibri" w:hAnsiTheme="majorBidi" w:cstheme="majorBidi"/>
        </w:rPr>
        <w:t>Creature</w:t>
      </w:r>
      <w:proofErr w:type="gramEnd"/>
      <w:r w:rsidRPr="00F80C69">
        <w:rPr>
          <w:rFonts w:asciiTheme="majorBidi" w:eastAsia="Calibri" w:hAnsiTheme="majorBidi" w:cstheme="majorBidi"/>
        </w:rPr>
        <w:t xml:space="preserve"> create? What story would he tell? What boundaries might he confuse? Might he become less strange? Who, at the end, might emerge as the real monster? Frankenstein’s paranoia concerning the </w:t>
      </w:r>
      <w:proofErr w:type="gramStart"/>
      <w:r w:rsidRPr="00F80C69">
        <w:rPr>
          <w:rFonts w:asciiTheme="majorBidi" w:eastAsia="Calibri" w:hAnsiTheme="majorBidi" w:cstheme="majorBidi"/>
        </w:rPr>
        <w:t>Creature’s</w:t>
      </w:r>
      <w:proofErr w:type="gramEnd"/>
      <w:r w:rsidRPr="00F80C69">
        <w:rPr>
          <w:rFonts w:asciiTheme="majorBidi" w:eastAsia="Calibri" w:hAnsiTheme="majorBidi" w:cstheme="majorBidi"/>
        </w:rPr>
        <w:t xml:space="preserve"> move to the narrative center continues to mount as his condition deteriorates. So disturbed is he by the notion that the </w:t>
      </w:r>
      <w:proofErr w:type="gramStart"/>
      <w:r w:rsidRPr="00F80C69">
        <w:rPr>
          <w:rFonts w:asciiTheme="majorBidi" w:eastAsia="Calibri" w:hAnsiTheme="majorBidi" w:cstheme="majorBidi"/>
        </w:rPr>
        <w:t>Creature</w:t>
      </w:r>
      <w:proofErr w:type="gramEnd"/>
      <w:r w:rsidRPr="00F80C69">
        <w:rPr>
          <w:rFonts w:asciiTheme="majorBidi" w:eastAsia="Calibri" w:hAnsiTheme="majorBidi" w:cstheme="majorBidi"/>
        </w:rPr>
        <w:t xml:space="preserve"> “should live to be an instrument of mischief” that he confers onto Walton the “task of his destruction” (157). Walton himself admits to nearly editing out the </w:t>
      </w:r>
      <w:proofErr w:type="gramStart"/>
      <w:r w:rsidRPr="00F80C69">
        <w:rPr>
          <w:rFonts w:asciiTheme="majorBidi" w:eastAsia="Calibri" w:hAnsiTheme="majorBidi" w:cstheme="majorBidi"/>
        </w:rPr>
        <w:t>Creature’s</w:t>
      </w:r>
      <w:proofErr w:type="gramEnd"/>
      <w:r w:rsidRPr="00F80C69">
        <w:rPr>
          <w:rFonts w:asciiTheme="majorBidi" w:eastAsia="Calibri" w:hAnsiTheme="majorBidi" w:cstheme="majorBidi"/>
        </w:rPr>
        <w:t xml:space="preserve"> final soliloquy, apparently as a means of honoring Frankenstein’s dying request. He has already concluded the letter to his sister with an image of Frankenstein’s lifeless remains lying on the cabin floor. But, almost spontaneously, Walton instead recounts his interaction with the </w:t>
      </w:r>
      <w:proofErr w:type="gramStart"/>
      <w:r w:rsidRPr="00F80C69">
        <w:rPr>
          <w:rFonts w:asciiTheme="majorBidi" w:eastAsia="Calibri" w:hAnsiTheme="majorBidi" w:cstheme="majorBidi"/>
        </w:rPr>
        <w:t>Creature</w:t>
      </w:r>
      <w:proofErr w:type="gramEnd"/>
      <w:r w:rsidRPr="00F80C69">
        <w:rPr>
          <w:rFonts w:asciiTheme="majorBidi" w:eastAsia="Calibri" w:hAnsiTheme="majorBidi" w:cstheme="majorBidi"/>
        </w:rPr>
        <w:t xml:space="preserve"> after deciding his tale would be “incomplete” without it (158). Walton finds himself captivated by the spectacle of the </w:t>
      </w:r>
      <w:proofErr w:type="gramStart"/>
      <w:r w:rsidRPr="00F80C69">
        <w:rPr>
          <w:rFonts w:asciiTheme="majorBidi" w:eastAsia="Calibri" w:hAnsiTheme="majorBidi" w:cstheme="majorBidi"/>
        </w:rPr>
        <w:t>Creature’s</w:t>
      </w:r>
      <w:proofErr w:type="gramEnd"/>
      <w:r w:rsidRPr="00F80C69">
        <w:rPr>
          <w:rFonts w:asciiTheme="majorBidi" w:eastAsia="Calibri" w:hAnsiTheme="majorBidi" w:cstheme="majorBidi"/>
        </w:rPr>
        <w:t xml:space="preserve"> “appalling hideousness” (ibid.). The material reality of the </w:t>
      </w:r>
      <w:proofErr w:type="gramStart"/>
      <w:r w:rsidRPr="00F80C69">
        <w:rPr>
          <w:rFonts w:asciiTheme="majorBidi" w:eastAsia="Calibri" w:hAnsiTheme="majorBidi" w:cstheme="majorBidi"/>
        </w:rPr>
        <w:t>Creature’s</w:t>
      </w:r>
      <w:proofErr w:type="gramEnd"/>
      <w:r w:rsidRPr="00F80C69">
        <w:rPr>
          <w:rFonts w:asciiTheme="majorBidi" w:eastAsia="Calibri" w:hAnsiTheme="majorBidi" w:cstheme="majorBidi"/>
        </w:rPr>
        <w:t xml:space="preserve"> physical form so overwhelms and overpowers Walton that he has to assume his former position (like that of the reader) of blindness: “I shut my eyes involuntarily, and endeavoured to recollect what were my duties with regard to this destroyer” (ibid.). With his eyes still averted, Walton hears and is moved by the </w:t>
      </w:r>
      <w:proofErr w:type="gramStart"/>
      <w:r w:rsidRPr="00F80C69">
        <w:rPr>
          <w:rFonts w:asciiTheme="majorBidi" w:eastAsia="Calibri" w:hAnsiTheme="majorBidi" w:cstheme="majorBidi"/>
        </w:rPr>
        <w:t>Creature’s</w:t>
      </w:r>
      <w:proofErr w:type="gramEnd"/>
      <w:r w:rsidRPr="00F80C69">
        <w:rPr>
          <w:rFonts w:asciiTheme="majorBidi" w:eastAsia="Calibri" w:hAnsiTheme="majorBidi" w:cstheme="majorBidi"/>
        </w:rPr>
        <w:t xml:space="preserve"> petition for understanding. Walton admits, “my first impulses which had suggested to me the duty of obeying the dying request of my friend, in destroying his enemy, were now suspended by a mixture of curiosity and compassion,” and ultimately makes the editorial decision to preserve rather than destroy the </w:t>
      </w:r>
      <w:proofErr w:type="gramStart"/>
      <w:r w:rsidRPr="00F80C69">
        <w:rPr>
          <w:rFonts w:asciiTheme="majorBidi" w:eastAsia="Calibri" w:hAnsiTheme="majorBidi" w:cstheme="majorBidi"/>
        </w:rPr>
        <w:t>Creature’s</w:t>
      </w:r>
      <w:proofErr w:type="gramEnd"/>
      <w:r w:rsidRPr="00F80C69">
        <w:rPr>
          <w:rFonts w:asciiTheme="majorBidi" w:eastAsia="Calibri" w:hAnsiTheme="majorBidi" w:cstheme="majorBidi"/>
        </w:rPr>
        <w:t xml:space="preserve"> testimony by including his final worlds in the letter to Margaret (ibid.).</w:t>
      </w:r>
    </w:p>
    <w:p w14:paraId="57E360F5" w14:textId="1D0C481E" w:rsidR="00F80C69" w:rsidRPr="00F80C69" w:rsidRDefault="00F80C69" w:rsidP="00F80C69">
      <w:pPr>
        <w:spacing w:line="480" w:lineRule="auto"/>
        <w:ind w:firstLine="720"/>
        <w:rPr>
          <w:rFonts w:asciiTheme="majorBidi" w:eastAsia="Calibri" w:hAnsiTheme="majorBidi" w:cstheme="majorBidi"/>
        </w:rPr>
      </w:pPr>
      <w:r w:rsidRPr="00F80C69">
        <w:rPr>
          <w:rFonts w:asciiTheme="majorBidi" w:eastAsia="Calibri" w:hAnsiTheme="majorBidi" w:cstheme="majorBidi"/>
        </w:rPr>
        <w:lastRenderedPageBreak/>
        <w:t xml:space="preserve">In this sense, the </w:t>
      </w:r>
      <w:proofErr w:type="gramStart"/>
      <w:r w:rsidRPr="00F80C69">
        <w:rPr>
          <w:rFonts w:asciiTheme="majorBidi" w:eastAsia="Calibri" w:hAnsiTheme="majorBidi" w:cstheme="majorBidi"/>
        </w:rPr>
        <w:t>Creature’s</w:t>
      </w:r>
      <w:proofErr w:type="gramEnd"/>
      <w:r w:rsidRPr="00F80C69">
        <w:rPr>
          <w:rFonts w:asciiTheme="majorBidi" w:eastAsia="Calibri" w:hAnsiTheme="majorBidi" w:cstheme="majorBidi"/>
        </w:rPr>
        <w:t xml:space="preserve"> corporeal status as </w:t>
      </w:r>
      <w:r w:rsidR="00491165">
        <w:rPr>
          <w:rFonts w:asciiTheme="majorBidi" w:eastAsia="Calibri" w:hAnsiTheme="majorBidi" w:cstheme="majorBidi"/>
        </w:rPr>
        <w:t xml:space="preserve">a </w:t>
      </w:r>
      <w:r w:rsidRPr="00F80C69">
        <w:rPr>
          <w:rFonts w:asciiTheme="majorBidi" w:eastAsia="Calibri" w:hAnsiTheme="majorBidi" w:cstheme="majorBidi"/>
        </w:rPr>
        <w:t>human-object</w:t>
      </w:r>
      <w:r w:rsidR="00491165">
        <w:rPr>
          <w:rFonts w:asciiTheme="majorBidi" w:eastAsia="Calibri" w:hAnsiTheme="majorBidi" w:cstheme="majorBidi"/>
        </w:rPr>
        <w:t xml:space="preserve"> hybrid</w:t>
      </w:r>
      <w:r w:rsidRPr="00F80C69">
        <w:rPr>
          <w:rFonts w:asciiTheme="majorBidi" w:eastAsia="Calibri" w:hAnsiTheme="majorBidi" w:cstheme="majorBidi"/>
        </w:rPr>
        <w:t xml:space="preserve"> is mirrored by the text; he exists both as the Creature narrated and the Creature narrating.</w:t>
      </w:r>
      <w:r w:rsidRPr="00F80C69">
        <w:rPr>
          <w:rFonts w:asciiTheme="majorBidi" w:eastAsia="Calibri" w:hAnsiTheme="majorBidi" w:cstheme="majorBidi"/>
          <w:vertAlign w:val="superscript"/>
        </w:rPr>
        <w:footnoteReference w:id="52"/>
      </w:r>
      <w:r w:rsidRPr="00F80C69">
        <w:rPr>
          <w:rFonts w:asciiTheme="majorBidi" w:eastAsia="Calibri" w:hAnsiTheme="majorBidi" w:cstheme="majorBidi"/>
        </w:rPr>
        <w:t xml:space="preserve"> This hybridity and competition for narrative agency, then, effectively c</w:t>
      </w:r>
      <w:r w:rsidR="00491165">
        <w:rPr>
          <w:rFonts w:asciiTheme="majorBidi" w:eastAsia="Calibri" w:hAnsiTheme="majorBidi" w:cstheme="majorBidi"/>
        </w:rPr>
        <w:t>onstitute</w:t>
      </w:r>
      <w:r w:rsidRPr="00F80C69">
        <w:rPr>
          <w:rFonts w:asciiTheme="majorBidi" w:eastAsia="Calibri" w:hAnsiTheme="majorBidi" w:cstheme="majorBidi"/>
        </w:rPr>
        <w:t xml:space="preserve"> a narrative experiment in recycling—one in which the author generates different characters out of the same parts. Frankenstein and the Creature, as the </w:t>
      </w:r>
      <w:proofErr w:type="gramStart"/>
      <w:r w:rsidRPr="00F80C69">
        <w:rPr>
          <w:rFonts w:asciiTheme="majorBidi" w:eastAsia="Calibri" w:hAnsiTheme="majorBidi" w:cstheme="majorBidi"/>
        </w:rPr>
        <w:t>Creature’s</w:t>
      </w:r>
      <w:proofErr w:type="gramEnd"/>
      <w:r w:rsidRPr="00F80C69">
        <w:rPr>
          <w:rFonts w:asciiTheme="majorBidi" w:eastAsia="Calibri" w:hAnsiTheme="majorBidi" w:cstheme="majorBidi"/>
        </w:rPr>
        <w:t xml:space="preserve"> repeated allusions imply, repeatedly recast themselves and each other. In this way, </w:t>
      </w:r>
      <w:r w:rsidR="00491165">
        <w:rPr>
          <w:rFonts w:asciiTheme="majorBidi" w:eastAsia="Calibri" w:hAnsiTheme="majorBidi" w:cstheme="majorBidi"/>
        </w:rPr>
        <w:t>t</w:t>
      </w:r>
      <w:r w:rsidRPr="00F80C69">
        <w:rPr>
          <w:rFonts w:asciiTheme="majorBidi" w:eastAsia="Calibri" w:hAnsiTheme="majorBidi" w:cstheme="majorBidi"/>
        </w:rPr>
        <w:t xml:space="preserve">he </w:t>
      </w:r>
      <w:proofErr w:type="gramStart"/>
      <w:r w:rsidRPr="00F80C69">
        <w:rPr>
          <w:rFonts w:asciiTheme="majorBidi" w:eastAsia="Calibri" w:hAnsiTheme="majorBidi" w:cstheme="majorBidi"/>
        </w:rPr>
        <w:t>Creature</w:t>
      </w:r>
      <w:proofErr w:type="gramEnd"/>
      <w:r w:rsidRPr="00F80C69">
        <w:rPr>
          <w:rFonts w:asciiTheme="majorBidi" w:eastAsia="Calibri" w:hAnsiTheme="majorBidi" w:cstheme="majorBidi"/>
        </w:rPr>
        <w:t xml:space="preserve">—as a narrating prosthetic amalgam—introduces a new narrative strategy for nineteenth-century fiction in which appended objects supplement or comprise a narrating entity. </w:t>
      </w:r>
    </w:p>
    <w:p w14:paraId="490B8C44" w14:textId="77777777" w:rsidR="00F80C69" w:rsidRPr="00F80C69" w:rsidRDefault="00F80C69" w:rsidP="00F80C69">
      <w:pPr>
        <w:spacing w:line="480" w:lineRule="auto"/>
        <w:ind w:firstLine="720"/>
        <w:rPr>
          <w:rFonts w:asciiTheme="majorBidi" w:eastAsia="Calibri" w:hAnsiTheme="majorBidi" w:cstheme="majorBidi"/>
        </w:rPr>
      </w:pPr>
      <w:r w:rsidRPr="00F80C69">
        <w:rPr>
          <w:rFonts w:asciiTheme="majorBidi" w:eastAsia="Calibri" w:hAnsiTheme="majorBidi" w:cstheme="majorBidi"/>
        </w:rPr>
        <w:t xml:space="preserve">The homodiegesis of Shelley’s novel thus prefigures the way in which medical technology, both actual and speculative, and narrative in the nineteenth century effectively beget a new kind of object subjectivity—wherein the object is not passive or subordinate to the human subject but an integral, dynamic part of the human network—that facilitates disabled narration and expression. </w:t>
      </w:r>
      <w:r w:rsidRPr="00F80C69">
        <w:rPr>
          <w:rFonts w:asciiTheme="majorBidi" w:eastAsia="Calibri" w:hAnsiTheme="majorBidi" w:cstheme="majorBidi"/>
          <w:i/>
          <w:iCs/>
        </w:rPr>
        <w:t>Frankenstein</w:t>
      </w:r>
      <w:r w:rsidRPr="00F80C69">
        <w:rPr>
          <w:rFonts w:asciiTheme="majorBidi" w:eastAsia="Calibri" w:hAnsiTheme="majorBidi" w:cstheme="majorBidi"/>
        </w:rPr>
        <w:t xml:space="preserve"> simultaneously meditates on and experiments with new medical technologies (real and imagined), assembling and reassembling parts, to test the limits and potentials of storytelling and the human condition. As a work of proto-science fiction, the novel draws on new medical interventions to challenge extant notions of both human physiology and the generic conventions of the novel.</w:t>
      </w:r>
      <w:r w:rsidRPr="00F80C69">
        <w:rPr>
          <w:rFonts w:asciiTheme="majorBidi" w:eastAsia="Calibri" w:hAnsiTheme="majorBidi" w:cstheme="majorBidi"/>
          <w:vertAlign w:val="superscript"/>
        </w:rPr>
        <w:footnoteReference w:id="53"/>
      </w:r>
      <w:r w:rsidRPr="00F80C69">
        <w:rPr>
          <w:rFonts w:asciiTheme="majorBidi" w:eastAsia="Calibri" w:hAnsiTheme="majorBidi" w:cstheme="majorBidi"/>
        </w:rPr>
        <w:t xml:space="preserve"> In considering these imaginative and material </w:t>
      </w:r>
      <w:r w:rsidRPr="00F80C69">
        <w:rPr>
          <w:rFonts w:asciiTheme="majorBidi" w:eastAsia="Calibri" w:hAnsiTheme="majorBidi" w:cstheme="majorBidi"/>
        </w:rPr>
        <w:lastRenderedPageBreak/>
        <w:t xml:space="preserve">renegotiations of the human body, we might consider Jennifer </w:t>
      </w:r>
      <w:proofErr w:type="gramStart"/>
      <w:r w:rsidRPr="00F80C69">
        <w:rPr>
          <w:rFonts w:asciiTheme="majorBidi" w:eastAsia="Calibri" w:hAnsiTheme="majorBidi" w:cstheme="majorBidi"/>
        </w:rPr>
        <w:t>Van</w:t>
      </w:r>
      <w:proofErr w:type="gramEnd"/>
      <w:r w:rsidRPr="00F80C69">
        <w:rPr>
          <w:rFonts w:asciiTheme="majorBidi" w:eastAsia="Calibri" w:hAnsiTheme="majorBidi" w:cstheme="majorBidi"/>
        </w:rPr>
        <w:t xml:space="preserve"> Horn’s commentary on the global, existential inquiries occasioned by developments in prosthetic technology: </w:t>
      </w:r>
    </w:p>
    <w:p w14:paraId="5B10F0CE" w14:textId="77777777" w:rsidR="00F80C69" w:rsidRPr="00F80C69" w:rsidRDefault="00F80C69" w:rsidP="00F80C69">
      <w:pPr>
        <w:spacing w:line="480" w:lineRule="auto"/>
        <w:ind w:left="1440"/>
        <w:rPr>
          <w:rFonts w:asciiTheme="majorBidi" w:eastAsia="Calibri" w:hAnsiTheme="majorBidi" w:cstheme="majorBidi"/>
        </w:rPr>
      </w:pPr>
      <w:r w:rsidRPr="00F80C69">
        <w:rPr>
          <w:rFonts w:asciiTheme="majorBidi" w:eastAsia="Calibri" w:hAnsiTheme="majorBidi" w:cstheme="majorBidi"/>
        </w:rPr>
        <w:t>While craftsmen produced artificial limbs to meet the needs of individual amputees, prostheses also intersected with the larger transatlantic scientific pursuit of artificial life. This field grew exponentially in the mid- to late eighteenth century as mechanists, scientists, and doctors attempted to solve the mysteries of the human ‘machine’ by inventing mechanical devices that reproduced the physiology of part or all of the human body. (</w:t>
      </w:r>
      <w:r w:rsidRPr="00F80C69">
        <w:rPr>
          <w:rFonts w:asciiTheme="majorBidi" w:eastAsia="Calibri" w:hAnsiTheme="majorBidi" w:cstheme="majorBidi"/>
          <w:i/>
          <w:iCs/>
        </w:rPr>
        <w:t>The Power of Objects</w:t>
      </w:r>
      <w:r w:rsidRPr="00F80C69">
        <w:rPr>
          <w:rFonts w:asciiTheme="majorBidi" w:eastAsia="Calibri" w:hAnsiTheme="majorBidi" w:cstheme="majorBidi"/>
        </w:rPr>
        <w:t xml:space="preserve"> 382)</w:t>
      </w:r>
      <w:r w:rsidRPr="00F80C69">
        <w:rPr>
          <w:rFonts w:asciiTheme="majorBidi" w:eastAsia="Calibri" w:hAnsiTheme="majorBidi" w:cstheme="majorBidi"/>
          <w:vertAlign w:val="superscript"/>
        </w:rPr>
        <w:footnoteReference w:id="54"/>
      </w:r>
      <w:r w:rsidRPr="00F80C69">
        <w:rPr>
          <w:rFonts w:asciiTheme="majorBidi" w:eastAsia="Calibri" w:hAnsiTheme="majorBidi" w:cstheme="majorBidi"/>
        </w:rPr>
        <w:t xml:space="preserve"> </w:t>
      </w:r>
    </w:p>
    <w:p w14:paraId="33F30274" w14:textId="31A7FBD4" w:rsidR="00F80C69" w:rsidRPr="00F80C69" w:rsidRDefault="00F80C69" w:rsidP="00F80C69">
      <w:pPr>
        <w:spacing w:line="480" w:lineRule="auto"/>
        <w:rPr>
          <w:rFonts w:asciiTheme="majorBidi" w:eastAsia="Calibri" w:hAnsiTheme="majorBidi" w:cstheme="majorBidi"/>
        </w:rPr>
      </w:pPr>
      <w:r w:rsidRPr="00F80C69">
        <w:rPr>
          <w:rFonts w:asciiTheme="majorBidi" w:eastAsia="Calibri" w:hAnsiTheme="majorBidi" w:cstheme="majorBidi"/>
        </w:rPr>
        <w:t xml:space="preserve">Shelley’s novel simultaneously engages the mysteries produced by these mechanical inventions and exploits the anxieties that surrounded them. On an existential level, </w:t>
      </w:r>
      <w:r w:rsidR="00DD4FB8">
        <w:rPr>
          <w:rFonts w:asciiTheme="majorBidi" w:eastAsia="Calibri" w:hAnsiTheme="majorBidi" w:cstheme="majorBidi"/>
        </w:rPr>
        <w:t>Frankenstein</w:t>
      </w:r>
      <w:r w:rsidRPr="00F80C69">
        <w:rPr>
          <w:rFonts w:asciiTheme="majorBidi" w:eastAsia="Calibri" w:hAnsiTheme="majorBidi" w:cstheme="majorBidi"/>
        </w:rPr>
        <w:t xml:space="preserve"> comes to fear his creation because the formerly inanimate parts gain collective consciousness and agency when they coalesce in human form. On a formal level, the narrator comes to fear his creation because it threatens his ability to wield control over the narrative. </w:t>
      </w:r>
    </w:p>
    <w:p w14:paraId="0CB1DA09" w14:textId="77777777" w:rsidR="00F80C69" w:rsidRPr="00F80C69" w:rsidRDefault="00F80C69" w:rsidP="00F80C69">
      <w:pPr>
        <w:spacing w:line="480" w:lineRule="auto"/>
        <w:rPr>
          <w:rFonts w:asciiTheme="majorBidi" w:eastAsia="Calibri" w:hAnsiTheme="majorBidi" w:cstheme="majorBidi"/>
        </w:rPr>
      </w:pPr>
      <w:r w:rsidRPr="00F80C69">
        <w:rPr>
          <w:rFonts w:asciiTheme="majorBidi" w:eastAsia="Calibri" w:hAnsiTheme="majorBidi" w:cstheme="majorBidi"/>
        </w:rPr>
        <w:tab/>
        <w:t xml:space="preserve">Frankenstein’s desperate effort to serve as Walton’s chief editor, then, coheres with his attempts to destroy and erase the </w:t>
      </w:r>
      <w:proofErr w:type="gramStart"/>
      <w:r w:rsidRPr="00F80C69">
        <w:rPr>
          <w:rFonts w:asciiTheme="majorBidi" w:eastAsia="Calibri" w:hAnsiTheme="majorBidi" w:cstheme="majorBidi"/>
        </w:rPr>
        <w:t>Creature</w:t>
      </w:r>
      <w:proofErr w:type="gramEnd"/>
      <w:r w:rsidRPr="00F80C69">
        <w:rPr>
          <w:rFonts w:asciiTheme="majorBidi" w:eastAsia="Calibri" w:hAnsiTheme="majorBidi" w:cstheme="majorBidi"/>
        </w:rPr>
        <w:t xml:space="preserve">. And in Walton’s written correspondences, Shelley generates literary origins for the physically disabled standard-bearer that the </w:t>
      </w:r>
      <w:proofErr w:type="gramStart"/>
      <w:r w:rsidRPr="00F80C69">
        <w:rPr>
          <w:rFonts w:asciiTheme="majorBidi" w:eastAsia="Calibri" w:hAnsiTheme="majorBidi" w:cstheme="majorBidi"/>
        </w:rPr>
        <w:t>Creature</w:t>
      </w:r>
      <w:proofErr w:type="gramEnd"/>
      <w:r w:rsidRPr="00F80C69">
        <w:rPr>
          <w:rFonts w:asciiTheme="majorBidi" w:eastAsia="Calibri" w:hAnsiTheme="majorBidi" w:cstheme="majorBidi"/>
        </w:rPr>
        <w:t xml:space="preserve"> so </w:t>
      </w:r>
      <w:r w:rsidRPr="00F80C69">
        <w:rPr>
          <w:rFonts w:asciiTheme="majorBidi" w:eastAsia="Calibri" w:hAnsiTheme="majorBidi" w:cstheme="majorBidi"/>
        </w:rPr>
        <w:lastRenderedPageBreak/>
        <w:t xml:space="preserve">painfully lacks. The first and only of his kind, a prosthetic hybrid, the </w:t>
      </w:r>
      <w:proofErr w:type="gramStart"/>
      <w:r w:rsidRPr="00F80C69">
        <w:rPr>
          <w:rFonts w:asciiTheme="majorBidi" w:eastAsia="Calibri" w:hAnsiTheme="majorBidi" w:cstheme="majorBidi"/>
        </w:rPr>
        <w:t>Creature</w:t>
      </w:r>
      <w:proofErr w:type="gramEnd"/>
      <w:r w:rsidRPr="00F80C69">
        <w:rPr>
          <w:rFonts w:asciiTheme="majorBidi" w:eastAsia="Calibri" w:hAnsiTheme="majorBidi" w:cstheme="majorBidi"/>
        </w:rPr>
        <w:t xml:space="preserve"> can find no correlation for his case even in his beloved </w:t>
      </w:r>
      <w:r w:rsidRPr="00F80C69">
        <w:rPr>
          <w:rFonts w:asciiTheme="majorBidi" w:eastAsia="Calibri" w:hAnsiTheme="majorBidi" w:cstheme="majorBidi"/>
          <w:i/>
        </w:rPr>
        <w:t>Paradise Lost</w:t>
      </w:r>
      <w:r w:rsidRPr="00F80C69">
        <w:rPr>
          <w:rFonts w:asciiTheme="majorBidi" w:eastAsia="Calibri" w:hAnsiTheme="majorBidi" w:cstheme="majorBidi"/>
        </w:rPr>
        <w:t xml:space="preserve">, which he takes as the true text of human existence: </w:t>
      </w:r>
    </w:p>
    <w:p w14:paraId="1E064019" w14:textId="43D7D318" w:rsidR="00F80C69" w:rsidRPr="00F80C69" w:rsidRDefault="00F80C69" w:rsidP="00221CBD">
      <w:pPr>
        <w:spacing w:line="480" w:lineRule="auto"/>
        <w:ind w:left="1440"/>
        <w:rPr>
          <w:rFonts w:asciiTheme="majorBidi" w:eastAsia="Calibri" w:hAnsiTheme="majorBidi" w:cstheme="majorBidi"/>
        </w:rPr>
      </w:pPr>
      <w:r w:rsidRPr="00F80C69">
        <w:rPr>
          <w:rFonts w:asciiTheme="majorBidi" w:eastAsia="Calibri" w:hAnsiTheme="majorBidi" w:cstheme="majorBidi"/>
        </w:rPr>
        <w:t xml:space="preserve">Like Adam, I was created apparently united by no link to any other being in existence; but his state was far different from mine in every other respect. He had come forth from the hands of God a perfect creature . . . allowed to converse with and acquire knowledge from beings of a superior nature but I was wretched, helpless, and alone. Many </w:t>
      </w:r>
      <w:proofErr w:type="gramStart"/>
      <w:r w:rsidRPr="00F80C69">
        <w:rPr>
          <w:rFonts w:asciiTheme="majorBidi" w:eastAsia="Calibri" w:hAnsiTheme="majorBidi" w:cstheme="majorBidi"/>
        </w:rPr>
        <w:t>times</w:t>
      </w:r>
      <w:proofErr w:type="gramEnd"/>
      <w:r w:rsidRPr="00F80C69">
        <w:rPr>
          <w:rFonts w:asciiTheme="majorBidi" w:eastAsia="Calibri" w:hAnsiTheme="majorBidi" w:cstheme="majorBidi"/>
        </w:rPr>
        <w:t xml:space="preserve"> I considered Satan as the fitter emblem of my conditions; for often, like him, when I viewed the bliss of my protectors, the bitter gall of envy rose within me. (90) </w:t>
      </w:r>
    </w:p>
    <w:p w14:paraId="70D5B4BA" w14:textId="1474C7B7" w:rsidR="00F80C69" w:rsidRPr="00F80C69" w:rsidRDefault="00F80C69" w:rsidP="00F80C69">
      <w:pPr>
        <w:spacing w:line="480" w:lineRule="auto"/>
        <w:rPr>
          <w:rFonts w:asciiTheme="majorBidi" w:eastAsia="Calibri" w:hAnsiTheme="majorBidi" w:cstheme="majorBidi"/>
        </w:rPr>
      </w:pPr>
      <w:r w:rsidRPr="00F80C69">
        <w:rPr>
          <w:rFonts w:asciiTheme="majorBidi" w:eastAsia="Calibri" w:hAnsiTheme="majorBidi" w:cstheme="majorBidi"/>
        </w:rPr>
        <w:t xml:space="preserve">But, as the </w:t>
      </w:r>
      <w:proofErr w:type="gramStart"/>
      <w:r w:rsidRPr="00F80C69">
        <w:rPr>
          <w:rFonts w:asciiTheme="majorBidi" w:eastAsia="Calibri" w:hAnsiTheme="majorBidi" w:cstheme="majorBidi"/>
        </w:rPr>
        <w:t>Creature</w:t>
      </w:r>
      <w:proofErr w:type="gramEnd"/>
      <w:r w:rsidRPr="00F80C69">
        <w:rPr>
          <w:rFonts w:asciiTheme="majorBidi" w:eastAsia="Calibri" w:hAnsiTheme="majorBidi" w:cstheme="majorBidi"/>
        </w:rPr>
        <w:t xml:space="preserve"> laments both to Frankenstein in his plea for a female companion and to Walton at the novel’s conclusion, even the figure of Satan fails to provide an apposite parallel for his existence. At the end of his life, the </w:t>
      </w:r>
      <w:proofErr w:type="gramStart"/>
      <w:r w:rsidRPr="00F80C69">
        <w:rPr>
          <w:rFonts w:asciiTheme="majorBidi" w:eastAsia="Calibri" w:hAnsiTheme="majorBidi" w:cstheme="majorBidi"/>
        </w:rPr>
        <w:t>Creature</w:t>
      </w:r>
      <w:proofErr w:type="gramEnd"/>
      <w:r w:rsidRPr="00F80C69">
        <w:rPr>
          <w:rFonts w:asciiTheme="majorBidi" w:eastAsia="Calibri" w:hAnsiTheme="majorBidi" w:cstheme="majorBidi"/>
        </w:rPr>
        <w:t xml:space="preserve"> casts himself as a modern, solitary fallen angel with no discernable equivalent—mythological, religious, literary, or otherwise. He explains the way in which he, “the fallen </w:t>
      </w:r>
      <w:proofErr w:type="gramStart"/>
      <w:r w:rsidRPr="00F80C69">
        <w:rPr>
          <w:rFonts w:asciiTheme="majorBidi" w:eastAsia="Calibri" w:hAnsiTheme="majorBidi" w:cstheme="majorBidi"/>
        </w:rPr>
        <w:t>angle[</w:t>
      </w:r>
      <w:proofErr w:type="gramEnd"/>
      <w:r w:rsidRPr="00F80C69">
        <w:rPr>
          <w:rFonts w:asciiTheme="majorBidi" w:eastAsia="Calibri" w:hAnsiTheme="majorBidi" w:cstheme="majorBidi"/>
        </w:rPr>
        <w:t>,] becomes a malignant devil” while qualifying his allusion: “Yet even that enemy of God and man had friends and associates in his desolation; I am quite alone” (160). The Creature reads the account of his own creation in Frankenstein’s laboratory papers only to find himself confronted by a deepening existential crisis: “the minutest description of my odious and loathsome person is given, in language which painted your own horrors, and rendered mine ineffaceable</w:t>
      </w:r>
      <w:proofErr w:type="gramStart"/>
      <w:r w:rsidRPr="00F80C69">
        <w:rPr>
          <w:rFonts w:asciiTheme="majorBidi" w:eastAsia="Calibri" w:hAnsiTheme="majorBidi" w:cstheme="majorBidi"/>
        </w:rPr>
        <w:t>. . . .</w:t>
      </w:r>
      <w:proofErr w:type="gramEnd"/>
      <w:r w:rsidRPr="00F80C69">
        <w:rPr>
          <w:rFonts w:asciiTheme="majorBidi" w:eastAsia="Calibri" w:hAnsiTheme="majorBidi" w:cstheme="majorBidi"/>
        </w:rPr>
        <w:t xml:space="preserve"> Why did you form a monster so hideous that even you turned from me in disgust? . . . Satan had his companions, fellow-devils, to admire and encourage him; but I am solitary and detested” (91). The text that narrates the </w:t>
      </w:r>
      <w:proofErr w:type="gramStart"/>
      <w:r w:rsidRPr="00F80C69">
        <w:rPr>
          <w:rFonts w:asciiTheme="majorBidi" w:eastAsia="Calibri" w:hAnsiTheme="majorBidi" w:cstheme="majorBidi"/>
        </w:rPr>
        <w:t>Creature’s</w:t>
      </w:r>
      <w:proofErr w:type="gramEnd"/>
      <w:r w:rsidRPr="00F80C69">
        <w:rPr>
          <w:rFonts w:asciiTheme="majorBidi" w:eastAsia="Calibri" w:hAnsiTheme="majorBidi" w:cstheme="majorBidi"/>
        </w:rPr>
        <w:t xml:space="preserve"> suffering, then, becomes, in the abstract, the consolation for the Creature’s life. It accommodates the </w:t>
      </w:r>
      <w:proofErr w:type="gramStart"/>
      <w:r w:rsidRPr="00F80C69">
        <w:rPr>
          <w:rFonts w:asciiTheme="majorBidi" w:eastAsia="Calibri" w:hAnsiTheme="majorBidi" w:cstheme="majorBidi"/>
        </w:rPr>
        <w:t>Creature’s</w:t>
      </w:r>
      <w:proofErr w:type="gramEnd"/>
      <w:r w:rsidRPr="00F80C69">
        <w:rPr>
          <w:rFonts w:asciiTheme="majorBidi" w:eastAsia="Calibri" w:hAnsiTheme="majorBidi" w:cstheme="majorBidi"/>
        </w:rPr>
        <w:t xml:space="preserve"> </w:t>
      </w:r>
      <w:r w:rsidRPr="00F80C69">
        <w:rPr>
          <w:rFonts w:asciiTheme="majorBidi" w:eastAsia="Calibri" w:hAnsiTheme="majorBidi" w:cstheme="majorBidi"/>
        </w:rPr>
        <w:lastRenderedPageBreak/>
        <w:t xml:space="preserve">narrative by rendering his tale in a medium that places the audience in a role shared only by the elder De Lacey. It opposes the disabled-normative binaries and their attendant prejudices by shifting perspectives, by limiting and reprioritizing the reader’s senses.   </w:t>
      </w:r>
    </w:p>
    <w:p w14:paraId="518345DF" w14:textId="77777777" w:rsidR="00F80C69" w:rsidRPr="00F80C69" w:rsidRDefault="00F80C69" w:rsidP="00F80C69">
      <w:pPr>
        <w:spacing w:line="480" w:lineRule="auto"/>
        <w:ind w:firstLine="720"/>
        <w:rPr>
          <w:rFonts w:asciiTheme="majorBidi" w:eastAsia="Calibri" w:hAnsiTheme="majorBidi" w:cstheme="majorBidi"/>
        </w:rPr>
      </w:pPr>
      <w:r w:rsidRPr="00F80C69">
        <w:rPr>
          <w:rFonts w:asciiTheme="majorBidi" w:eastAsia="Calibri" w:hAnsiTheme="majorBidi" w:cstheme="majorBidi"/>
        </w:rPr>
        <w:t xml:space="preserve">The significance of this text within the matrix of Victorian medical technology and the history of the novel, then, lies in its capacity to function as a prosthetic medium of disruption. The </w:t>
      </w:r>
      <w:proofErr w:type="gramStart"/>
      <w:r w:rsidRPr="00F80C69">
        <w:rPr>
          <w:rFonts w:asciiTheme="majorBidi" w:eastAsia="Calibri" w:hAnsiTheme="majorBidi" w:cstheme="majorBidi"/>
        </w:rPr>
        <w:t>Creature</w:t>
      </w:r>
      <w:proofErr w:type="gramEnd"/>
      <w:r w:rsidRPr="00F80C69">
        <w:rPr>
          <w:rFonts w:asciiTheme="majorBidi" w:eastAsia="Calibri" w:hAnsiTheme="majorBidi" w:cstheme="majorBidi"/>
        </w:rPr>
        <w:t xml:space="preserve">, unlike his mid- to late-century counterparts, lacks camouflaging technology. As Mossman notes, </w:t>
      </w:r>
    </w:p>
    <w:p w14:paraId="341C510E" w14:textId="77777777" w:rsidR="00F80C69" w:rsidRPr="00F80C69" w:rsidRDefault="00F80C69" w:rsidP="00F80C69">
      <w:pPr>
        <w:spacing w:line="480" w:lineRule="auto"/>
        <w:ind w:left="1440"/>
        <w:rPr>
          <w:rFonts w:asciiTheme="majorBidi" w:eastAsia="Calibri" w:hAnsiTheme="majorBidi" w:cstheme="majorBidi"/>
        </w:rPr>
      </w:pPr>
      <w:r w:rsidRPr="00F80C69">
        <w:rPr>
          <w:rFonts w:asciiTheme="majorBidi" w:eastAsia="Calibri" w:hAnsiTheme="majorBidi" w:cstheme="majorBidi"/>
        </w:rPr>
        <w:t xml:space="preserve">The creature is trapped in repeated social construction, is unable to cloak its disability and escape the constant repetition of “monster.” . . . it is never anything but nakedly disabled in its “hideousness.” It can never hide with clothes or technology or self-narration or any other cloaking device other than the darkness of night. In open daylight, its disfigurement and abnormality are always present, immediate, defining.” (“Acts of Becoming” 21) </w:t>
      </w:r>
    </w:p>
    <w:p w14:paraId="3D5E6625" w14:textId="77777777" w:rsidR="00F80C69" w:rsidRPr="00F80C69" w:rsidRDefault="00F80C69" w:rsidP="00F80C69">
      <w:pPr>
        <w:spacing w:line="480" w:lineRule="auto"/>
        <w:rPr>
          <w:rFonts w:asciiTheme="majorBidi" w:eastAsia="Calibri" w:hAnsiTheme="majorBidi" w:cstheme="majorBidi"/>
        </w:rPr>
      </w:pPr>
      <w:r w:rsidRPr="00F80C69">
        <w:rPr>
          <w:rFonts w:asciiTheme="majorBidi" w:eastAsia="Calibri" w:hAnsiTheme="majorBidi" w:cstheme="majorBidi"/>
        </w:rPr>
        <w:t xml:space="preserve">Where the Creature’s conspicuously prosthetic body draws attention to his physical alterity among the story’s normative characters, the novel provides (if only sporadically and never completely) the supplementation required for his narrative mobility among the reading public. It performs in art what medical technology will not furnish in the commercial sphere until later in the century. In anticipates, aesthetically, a means of confronting a hierarchy constructed on notions of normativity. It arouses a recognition of his humanity, effectively working toward inclusion through the </w:t>
      </w:r>
      <w:proofErr w:type="gramStart"/>
      <w:r w:rsidRPr="00F80C69">
        <w:rPr>
          <w:rFonts w:asciiTheme="majorBidi" w:eastAsia="Calibri" w:hAnsiTheme="majorBidi" w:cstheme="majorBidi"/>
        </w:rPr>
        <w:t>Creature’s</w:t>
      </w:r>
      <w:proofErr w:type="gramEnd"/>
      <w:r w:rsidRPr="00F80C69">
        <w:rPr>
          <w:rFonts w:asciiTheme="majorBidi" w:eastAsia="Calibri" w:hAnsiTheme="majorBidi" w:cstheme="majorBidi"/>
        </w:rPr>
        <w:t xml:space="preserve"> self-narration. The text itself becomes a prosthetic—a material extension of the </w:t>
      </w:r>
      <w:proofErr w:type="gramStart"/>
      <w:r w:rsidRPr="00F80C69">
        <w:rPr>
          <w:rFonts w:asciiTheme="majorBidi" w:eastAsia="Calibri" w:hAnsiTheme="majorBidi" w:cstheme="majorBidi"/>
        </w:rPr>
        <w:t>Creature</w:t>
      </w:r>
      <w:proofErr w:type="gramEnd"/>
      <w:r w:rsidRPr="00F80C69">
        <w:rPr>
          <w:rFonts w:asciiTheme="majorBidi" w:eastAsia="Calibri" w:hAnsiTheme="majorBidi" w:cstheme="majorBidi"/>
        </w:rPr>
        <w:t xml:space="preserve"> that accommodates his voice and self-production—and, as a prosthetic, functions as an agent of supplementation and camouflage, albeit imperfectly. After all, to couch the </w:t>
      </w:r>
      <w:proofErr w:type="gramStart"/>
      <w:r w:rsidRPr="00F80C69">
        <w:rPr>
          <w:rFonts w:asciiTheme="majorBidi" w:eastAsia="Calibri" w:hAnsiTheme="majorBidi" w:cstheme="majorBidi"/>
        </w:rPr>
        <w:t>Creature’s</w:t>
      </w:r>
      <w:proofErr w:type="gramEnd"/>
      <w:r w:rsidRPr="00F80C69">
        <w:rPr>
          <w:rFonts w:asciiTheme="majorBidi" w:eastAsia="Calibri" w:hAnsiTheme="majorBidi" w:cstheme="majorBidi"/>
        </w:rPr>
        <w:t xml:space="preserve"> autobiography in Walton’s letters is to keep the reader, at the novel’s beginning </w:t>
      </w:r>
      <w:r w:rsidRPr="00F80C69">
        <w:rPr>
          <w:rFonts w:asciiTheme="majorBidi" w:eastAsia="Calibri" w:hAnsiTheme="majorBidi" w:cstheme="majorBidi"/>
        </w:rPr>
        <w:lastRenderedPageBreak/>
        <w:t>and its conclusion, at something of a distance. Still, the hybridity of both Creature and text, like the medical technologies they incorporate, serve not only to confuse the systemic categorization of bodies, but also to project a new spectrum of possible bodies. Like Haraway’s cyborg, the creation of Shelley’s Creature represents “transgressed boundaries, potent fusions and dangerous possibilities” on corporeal and narrative registers (“A Cyborg Manifesto” 295).</w:t>
      </w:r>
      <w:r w:rsidRPr="00F80C69">
        <w:rPr>
          <w:rFonts w:asciiTheme="majorBidi" w:eastAsia="Calibri" w:hAnsiTheme="majorBidi" w:cstheme="majorBidi"/>
          <w:vertAlign w:val="superscript"/>
        </w:rPr>
        <w:footnoteReference w:id="55"/>
      </w:r>
      <w:r w:rsidRPr="00F80C69">
        <w:rPr>
          <w:rFonts w:asciiTheme="majorBidi" w:eastAsia="Calibri" w:hAnsiTheme="majorBidi" w:cstheme="majorBidi"/>
        </w:rPr>
        <w:t xml:space="preserve"> The irony of Shelley’s prosthetic Creature, no less than Haraway’s cyborg, is its ability to achieve synthesis via a process of fragmentation and reconstitution. </w:t>
      </w:r>
    </w:p>
    <w:p w14:paraId="69816E09" w14:textId="22E0EF50" w:rsidR="00F80C69" w:rsidRPr="00F80C69" w:rsidRDefault="00F80C69" w:rsidP="00F80C69">
      <w:pPr>
        <w:spacing w:line="480" w:lineRule="auto"/>
        <w:ind w:firstLine="720"/>
        <w:rPr>
          <w:rFonts w:asciiTheme="majorBidi" w:eastAsia="Calibri" w:hAnsiTheme="majorBidi" w:cstheme="majorBidi"/>
        </w:rPr>
      </w:pPr>
      <w:r w:rsidRPr="00F80C69">
        <w:rPr>
          <w:rFonts w:asciiTheme="majorBidi" w:eastAsia="Calibri" w:hAnsiTheme="majorBidi" w:cstheme="majorBidi"/>
        </w:rPr>
        <w:t xml:space="preserve">Thus, when we consider how </w:t>
      </w:r>
      <w:r w:rsidRPr="00F80C69">
        <w:rPr>
          <w:rFonts w:asciiTheme="majorBidi" w:eastAsia="Calibri" w:hAnsiTheme="majorBidi" w:cstheme="majorBidi"/>
          <w:i/>
        </w:rPr>
        <w:t>Frankenstein</w:t>
      </w:r>
      <w:r w:rsidRPr="00F80C69">
        <w:rPr>
          <w:rFonts w:asciiTheme="majorBidi" w:eastAsia="Calibri" w:hAnsiTheme="majorBidi" w:cstheme="majorBidi"/>
        </w:rPr>
        <w:t xml:space="preserve"> prefigures the narrative power and a</w:t>
      </w:r>
      <w:r w:rsidR="00DD4FB8">
        <w:rPr>
          <w:rFonts w:asciiTheme="majorBidi" w:eastAsia="Calibri" w:hAnsiTheme="majorBidi" w:cstheme="majorBidi"/>
        </w:rPr>
        <w:t>gency</w:t>
      </w:r>
      <w:r w:rsidRPr="00F80C69">
        <w:rPr>
          <w:rFonts w:asciiTheme="majorBidi" w:eastAsia="Calibri" w:hAnsiTheme="majorBidi" w:cstheme="majorBidi"/>
        </w:rPr>
        <w:t xml:space="preserve"> of prosthetic objects in nineteenth-century fiction, we can begin to trace or account for larger generic developments arising out of industrial expansion, medical advancement, and evolving views of different bodies. It establishes the prosthetic object as a mechanism of social mobility and self-expression in the novel that becomes an incumbent piece of disabled representation in the works of Dickens, Collins, Trollope, and other Victorian novelists.</w:t>
      </w:r>
      <w:r w:rsidRPr="00F80C69">
        <w:rPr>
          <w:rFonts w:asciiTheme="majorBidi" w:eastAsia="Calibri" w:hAnsiTheme="majorBidi" w:cstheme="majorBidi"/>
          <w:vertAlign w:val="superscript"/>
        </w:rPr>
        <w:footnoteReference w:id="56"/>
      </w:r>
      <w:r w:rsidRPr="00F80C69">
        <w:rPr>
          <w:rFonts w:asciiTheme="majorBidi" w:eastAsia="Calibri" w:hAnsiTheme="majorBidi" w:cstheme="majorBidi"/>
        </w:rPr>
        <w:t xml:space="preserve"> (For a transatlantic parallel, I take up Edgar Allen Poe’s “The Man That Was Used Up: A Tale of the Late Bugaboo and Kickapoo Campaign” in the coda.)</w:t>
      </w:r>
    </w:p>
    <w:p w14:paraId="25672BE2" w14:textId="0B476301" w:rsidR="00F80C69" w:rsidRPr="00F80C69" w:rsidRDefault="00F80C69" w:rsidP="00F80C69">
      <w:pPr>
        <w:spacing w:line="480" w:lineRule="auto"/>
        <w:ind w:firstLine="720"/>
        <w:rPr>
          <w:rFonts w:asciiTheme="majorBidi" w:eastAsia="Calibri" w:hAnsiTheme="majorBidi" w:cstheme="majorBidi"/>
        </w:rPr>
      </w:pPr>
      <w:r w:rsidRPr="00F80C69">
        <w:rPr>
          <w:rFonts w:asciiTheme="majorBidi" w:eastAsia="Calibri" w:hAnsiTheme="majorBidi" w:cstheme="majorBidi"/>
        </w:rPr>
        <w:t>Critics like Stacy Alaimo have posited considerations of the social and material ethics of “trans-corporeality”</w:t>
      </w:r>
      <w:r w:rsidR="00DD4FB8">
        <w:rPr>
          <w:rFonts w:asciiTheme="majorBidi" w:eastAsia="Calibri" w:hAnsiTheme="majorBidi" w:cstheme="majorBidi"/>
        </w:rPr>
        <w:t xml:space="preserve">: </w:t>
      </w:r>
      <w:r w:rsidRPr="00F80C69">
        <w:rPr>
          <w:rFonts w:asciiTheme="majorBidi" w:eastAsia="Calibri" w:hAnsiTheme="majorBidi" w:cstheme="majorBidi"/>
        </w:rPr>
        <w:t>the convergence of human corporeality and the “more-than-human world”</w:t>
      </w:r>
      <w:r w:rsidR="00DD4FB8">
        <w:rPr>
          <w:rFonts w:asciiTheme="majorBidi" w:eastAsia="Calibri" w:hAnsiTheme="majorBidi" w:cstheme="majorBidi"/>
        </w:rPr>
        <w:t xml:space="preserve"> </w:t>
      </w:r>
      <w:r w:rsidR="00DD4FB8" w:rsidRPr="00F80C69">
        <w:rPr>
          <w:rFonts w:asciiTheme="majorBidi" w:eastAsia="Calibri" w:hAnsiTheme="majorBidi" w:cstheme="majorBidi"/>
        </w:rPr>
        <w:t>(</w:t>
      </w:r>
      <w:r w:rsidR="00DD4FB8" w:rsidRPr="00F80C69">
        <w:rPr>
          <w:rFonts w:asciiTheme="majorBidi" w:eastAsia="Calibri" w:hAnsiTheme="majorBidi" w:cstheme="majorBidi"/>
          <w:i/>
          <w:iCs/>
        </w:rPr>
        <w:t>Bodily Natures</w:t>
      </w:r>
      <w:r w:rsidR="00DD4FB8" w:rsidRPr="00F80C69">
        <w:rPr>
          <w:rFonts w:asciiTheme="majorBidi" w:eastAsia="Calibri" w:hAnsiTheme="majorBidi" w:cstheme="majorBidi"/>
        </w:rPr>
        <w:t xml:space="preserve"> 2)</w:t>
      </w:r>
      <w:r w:rsidR="00DD4FB8">
        <w:rPr>
          <w:rFonts w:asciiTheme="majorBidi" w:eastAsia="Calibri" w:hAnsiTheme="majorBidi" w:cstheme="majorBidi"/>
        </w:rPr>
        <w:t>.</w:t>
      </w:r>
      <w:r w:rsidRPr="00F80C69">
        <w:rPr>
          <w:rFonts w:asciiTheme="majorBidi" w:eastAsia="Calibri" w:hAnsiTheme="majorBidi" w:cstheme="majorBidi"/>
        </w:rPr>
        <w:t xml:space="preserve"> They are, in many ways, indebted to Shelley’s prosthetic Creature and the imaginative plasticity of the human body in </w:t>
      </w:r>
      <w:r w:rsidRPr="00F80C69">
        <w:rPr>
          <w:rFonts w:asciiTheme="majorBidi" w:eastAsia="Calibri" w:hAnsiTheme="majorBidi" w:cstheme="majorBidi"/>
          <w:i/>
          <w:iCs/>
        </w:rPr>
        <w:t>Frankenstein</w:t>
      </w:r>
      <w:r w:rsidRPr="00F80C69">
        <w:rPr>
          <w:rFonts w:asciiTheme="majorBidi" w:eastAsia="Calibri" w:hAnsiTheme="majorBidi" w:cstheme="majorBidi"/>
        </w:rPr>
        <w:t xml:space="preserve">. The novel’s materiality is capacious. </w:t>
      </w:r>
      <w:r w:rsidRPr="00F80C69">
        <w:rPr>
          <w:rFonts w:asciiTheme="majorBidi" w:eastAsia="Calibri" w:hAnsiTheme="majorBidi" w:cstheme="majorBidi"/>
        </w:rPr>
        <w:lastRenderedPageBreak/>
        <w:t>It repeatedly tears asunder and stitches together its own narrative, and in so doing, it creates new epistemologies of human possibility. The multivocality of its constituent parts engenders new ethical positions and prompts a reconsideration of an “organic” or “intact” body</w:t>
      </w:r>
      <w:r w:rsidR="00DD4FB8">
        <w:rPr>
          <w:rFonts w:asciiTheme="majorBidi" w:eastAsia="Calibri" w:hAnsiTheme="majorBidi" w:cstheme="majorBidi"/>
        </w:rPr>
        <w:t xml:space="preserve">, of the way in which the human is contingent on </w:t>
      </w:r>
      <w:r w:rsidRPr="00F80C69">
        <w:rPr>
          <w:rFonts w:asciiTheme="majorBidi" w:eastAsia="Calibri" w:hAnsiTheme="majorBidi" w:cstheme="majorBidi"/>
        </w:rPr>
        <w:t xml:space="preserve">nonhuman materials. Even well into the twentieth and twenty-first centuries, adaptations and reimaginings of </w:t>
      </w:r>
      <w:r w:rsidRPr="00F80C69">
        <w:rPr>
          <w:rFonts w:asciiTheme="majorBidi" w:eastAsia="Calibri" w:hAnsiTheme="majorBidi" w:cstheme="majorBidi"/>
          <w:i/>
        </w:rPr>
        <w:t>Frankenstein</w:t>
      </w:r>
      <w:r w:rsidRPr="00F80C69">
        <w:rPr>
          <w:rFonts w:asciiTheme="majorBidi" w:eastAsia="Calibri" w:hAnsiTheme="majorBidi" w:cstheme="majorBidi"/>
        </w:rPr>
        <w:t xml:space="preserve"> continue to provide platforms for the playing-out of evolving concerns about bodily variation. Dwight Codr’s “Arresting Monstrosity: Polio, </w:t>
      </w:r>
      <w:r w:rsidRPr="00F80C69">
        <w:rPr>
          <w:rFonts w:asciiTheme="majorBidi" w:eastAsia="Calibri" w:hAnsiTheme="majorBidi" w:cstheme="majorBidi"/>
          <w:i/>
        </w:rPr>
        <w:t>Frankenstein</w:t>
      </w:r>
      <w:r w:rsidRPr="00F80C69">
        <w:rPr>
          <w:rFonts w:asciiTheme="majorBidi" w:eastAsia="Calibri" w:hAnsiTheme="majorBidi" w:cstheme="majorBidi"/>
        </w:rPr>
        <w:t xml:space="preserve">, and the Horror Film” (2014), for instance, takes up Boris Karloff’s role in James Whale’s 1931 </w:t>
      </w:r>
      <w:r w:rsidRPr="00F80C69">
        <w:rPr>
          <w:rFonts w:asciiTheme="majorBidi" w:eastAsia="Calibri" w:hAnsiTheme="majorBidi" w:cstheme="majorBidi"/>
          <w:i/>
        </w:rPr>
        <w:t>Frankenstein</w:t>
      </w:r>
      <w:r w:rsidRPr="00F80C69">
        <w:rPr>
          <w:rFonts w:asciiTheme="majorBidi" w:eastAsia="Calibri" w:hAnsiTheme="majorBidi" w:cstheme="majorBidi"/>
        </w:rPr>
        <w:t xml:space="preserve"> series to make a case for how the film’s Monster evoked and engaged fears about polio in the 1930s.</w:t>
      </w:r>
      <w:r w:rsidRPr="00F80C69">
        <w:rPr>
          <w:rFonts w:asciiTheme="majorBidi" w:eastAsia="Calibri" w:hAnsiTheme="majorBidi" w:cstheme="majorBidi"/>
          <w:vertAlign w:val="superscript"/>
        </w:rPr>
        <w:footnoteReference w:id="57"/>
      </w:r>
      <w:r w:rsidRPr="00F80C69">
        <w:rPr>
          <w:rFonts w:asciiTheme="majorBidi" w:eastAsia="Calibri" w:hAnsiTheme="majorBidi" w:cstheme="majorBidi"/>
        </w:rPr>
        <w:t xml:space="preserve"> Angela M. Smith’s “Walk This Way: Frankenstein’s Monster, Disability Performance, and Zombie Ambulation” (2018) similarly reads the atypical “Frankenstein walk” in film (as well as in songs and dances) as both a stereotyped expression of nonnormative movement and as an embodied form of resistance to the ableism that produces those stereotypes. As Whale’s series and many other popular reworkings of Shelley’s novel demonstrate, the </w:t>
      </w:r>
      <w:proofErr w:type="gramStart"/>
      <w:r w:rsidRPr="00F80C69">
        <w:rPr>
          <w:rFonts w:asciiTheme="majorBidi" w:eastAsia="Calibri" w:hAnsiTheme="majorBidi" w:cstheme="majorBidi"/>
        </w:rPr>
        <w:t>Creature</w:t>
      </w:r>
      <w:proofErr w:type="gramEnd"/>
      <w:r w:rsidRPr="00F80C69">
        <w:rPr>
          <w:rFonts w:asciiTheme="majorBidi" w:eastAsia="Calibri" w:hAnsiTheme="majorBidi" w:cstheme="majorBidi"/>
        </w:rPr>
        <w:t xml:space="preserve"> survives as a flexible and durable metaphor for difference and discrimination. (In the conclusion, I take up the artistic legacy of Shelley’s prosthetic Creature in twentieth- and twenty-first-century novels and films that center on organic bodily integrity and artificial supplementation.) Indeed, the enduring popularity of </w:t>
      </w:r>
      <w:r w:rsidRPr="00F80C69">
        <w:rPr>
          <w:rFonts w:asciiTheme="majorBidi" w:eastAsia="Calibri" w:hAnsiTheme="majorBidi" w:cstheme="majorBidi"/>
          <w:i/>
        </w:rPr>
        <w:t>Frankenstein</w:t>
      </w:r>
      <w:r w:rsidRPr="00F80C69">
        <w:rPr>
          <w:rFonts w:asciiTheme="majorBidi" w:eastAsia="Calibri" w:hAnsiTheme="majorBidi" w:cstheme="majorBidi"/>
        </w:rPr>
        <w:t xml:space="preserve"> can be attributed, in large part, to the light it sheds on social conditions and </w:t>
      </w:r>
      <w:r w:rsidRPr="00F80C69">
        <w:rPr>
          <w:rFonts w:asciiTheme="majorBidi" w:eastAsia="Calibri" w:hAnsiTheme="majorBidi" w:cstheme="majorBidi"/>
        </w:rPr>
        <w:lastRenderedPageBreak/>
        <w:t xml:space="preserve">biomedical technologies that (re)create and (re)define the human body in all its forms, and critical readings of Shelley’s novel that prioritize a </w:t>
      </w:r>
      <w:r w:rsidRPr="002A5475">
        <w:rPr>
          <w:rFonts w:asciiTheme="majorBidi" w:eastAsia="Calibri" w:hAnsiTheme="majorBidi" w:cstheme="majorBidi"/>
        </w:rPr>
        <w:t>disability studies</w:t>
      </w:r>
      <w:r w:rsidRPr="00F80C69">
        <w:rPr>
          <w:rFonts w:asciiTheme="majorBidi" w:eastAsia="Calibri" w:hAnsiTheme="majorBidi" w:cstheme="majorBidi"/>
        </w:rPr>
        <w:t>-centric approach to the intractable problem of disabled representation in nineteenth-century literary fiction enables us to reconsider prosthesis—both as an artistic and medical technology—as a generative process of production.</w:t>
      </w:r>
    </w:p>
    <w:p w14:paraId="7E55E054" w14:textId="77777777" w:rsidR="00C72240" w:rsidRPr="002A5475" w:rsidRDefault="00C72240" w:rsidP="00C72240">
      <w:pPr>
        <w:rPr>
          <w:rFonts w:asciiTheme="majorBidi" w:hAnsiTheme="majorBidi" w:cstheme="majorBidi"/>
        </w:rPr>
      </w:pPr>
    </w:p>
    <w:p w14:paraId="3F8BF73E" w14:textId="77777777" w:rsidR="00C72240" w:rsidRPr="002A5475" w:rsidRDefault="00C72240" w:rsidP="00C72240">
      <w:pPr>
        <w:rPr>
          <w:rFonts w:asciiTheme="majorBidi" w:hAnsiTheme="majorBidi" w:cstheme="majorBidi"/>
        </w:rPr>
      </w:pPr>
    </w:p>
    <w:p w14:paraId="7798E1C2" w14:textId="77777777" w:rsidR="00C72240" w:rsidRPr="002A5475" w:rsidRDefault="00C72240" w:rsidP="00C72240">
      <w:pPr>
        <w:rPr>
          <w:rFonts w:asciiTheme="majorBidi" w:hAnsiTheme="majorBidi" w:cstheme="majorBidi"/>
        </w:rPr>
      </w:pPr>
    </w:p>
    <w:p w14:paraId="3F19C052" w14:textId="77777777" w:rsidR="00C72240" w:rsidRPr="002A5475" w:rsidRDefault="00C72240" w:rsidP="00C72240">
      <w:pPr>
        <w:rPr>
          <w:rFonts w:asciiTheme="majorBidi" w:hAnsiTheme="majorBidi" w:cstheme="majorBidi"/>
        </w:rPr>
      </w:pPr>
    </w:p>
    <w:p w14:paraId="59F3D28B" w14:textId="77777777" w:rsidR="00C72240" w:rsidRPr="002A5475" w:rsidRDefault="00C72240" w:rsidP="00C72240">
      <w:pPr>
        <w:rPr>
          <w:rFonts w:asciiTheme="majorBidi" w:hAnsiTheme="majorBidi" w:cstheme="majorBidi"/>
        </w:rPr>
      </w:pPr>
      <w:r w:rsidRPr="002A5475">
        <w:rPr>
          <w:rFonts w:asciiTheme="majorBidi" w:hAnsiTheme="majorBidi" w:cstheme="majorBidi"/>
        </w:rPr>
        <w:tab/>
        <w:t xml:space="preserve"> </w:t>
      </w:r>
    </w:p>
    <w:p w14:paraId="6E13B782" w14:textId="458384FD" w:rsidR="00B2573D" w:rsidRPr="002A5475" w:rsidRDefault="00B2573D">
      <w:pPr>
        <w:rPr>
          <w:rFonts w:asciiTheme="majorBidi" w:hAnsiTheme="majorBidi" w:cstheme="majorBidi"/>
          <w:b/>
          <w:bCs/>
          <w:iCs/>
        </w:rPr>
      </w:pPr>
      <w:r w:rsidRPr="002A5475">
        <w:rPr>
          <w:rFonts w:asciiTheme="majorBidi" w:hAnsiTheme="majorBidi" w:cstheme="majorBidi"/>
        </w:rPr>
        <w:br w:type="page"/>
      </w:r>
    </w:p>
    <w:p w14:paraId="2FC16139" w14:textId="77777777" w:rsidR="00B2573D" w:rsidRPr="002A5475" w:rsidRDefault="00B2573D" w:rsidP="00B2573D">
      <w:pPr>
        <w:pStyle w:val="ETDTitle"/>
        <w:outlineLvl w:val="0"/>
        <w:rPr>
          <w:rFonts w:asciiTheme="majorBidi" w:hAnsiTheme="majorBidi" w:cstheme="majorBidi"/>
          <w:sz w:val="28"/>
          <w:szCs w:val="28"/>
        </w:rPr>
      </w:pPr>
      <w:bookmarkStart w:id="9" w:name="_Toc289175833"/>
      <w:bookmarkStart w:id="10" w:name="_Toc96096592"/>
      <w:r w:rsidRPr="002A5475">
        <w:rPr>
          <w:rFonts w:asciiTheme="majorBidi" w:hAnsiTheme="majorBidi" w:cstheme="majorBidi"/>
          <w:sz w:val="28"/>
          <w:szCs w:val="28"/>
        </w:rPr>
        <w:lastRenderedPageBreak/>
        <w:t>CHAPTER II</w:t>
      </w:r>
      <w:bookmarkEnd w:id="9"/>
      <w:bookmarkEnd w:id="10"/>
    </w:p>
    <w:p w14:paraId="28BB9615" w14:textId="77777777" w:rsidR="00B2573D" w:rsidRPr="002A5475" w:rsidRDefault="00B2573D" w:rsidP="00B2573D">
      <w:pPr>
        <w:pStyle w:val="ETDTitle"/>
        <w:outlineLvl w:val="0"/>
        <w:rPr>
          <w:rFonts w:asciiTheme="majorBidi" w:hAnsiTheme="majorBidi" w:cstheme="majorBidi"/>
          <w:sz w:val="28"/>
          <w:szCs w:val="28"/>
        </w:rPr>
      </w:pPr>
      <w:bookmarkStart w:id="11" w:name="_Toc96096509"/>
      <w:bookmarkStart w:id="12" w:name="_Toc96096593"/>
      <w:r w:rsidRPr="002A5475">
        <w:rPr>
          <w:rFonts w:asciiTheme="majorBidi" w:hAnsiTheme="majorBidi" w:cstheme="majorBidi"/>
          <w:sz w:val="28"/>
          <w:szCs w:val="28"/>
        </w:rPr>
        <w:t>Techne: Performance Pieces in Dickens</w:t>
      </w:r>
      <w:bookmarkEnd w:id="11"/>
      <w:bookmarkEnd w:id="12"/>
    </w:p>
    <w:p w14:paraId="6191C1B7" w14:textId="77777777" w:rsidR="00F428BF" w:rsidRPr="002A5475" w:rsidRDefault="00F428BF" w:rsidP="00B2573D">
      <w:pPr>
        <w:pStyle w:val="Heading2"/>
        <w:jc w:val="left"/>
        <w:rPr>
          <w:rFonts w:asciiTheme="majorBidi" w:hAnsiTheme="majorBidi" w:cstheme="majorBidi"/>
          <w:lang w:val="en-CA"/>
        </w:rPr>
      </w:pPr>
    </w:p>
    <w:p w14:paraId="07997EB5" w14:textId="6B1D4C4C" w:rsidR="009060A5" w:rsidRPr="002A5475" w:rsidRDefault="00CE3A3E" w:rsidP="00336DD5">
      <w:pPr>
        <w:jc w:val="center"/>
        <w:rPr>
          <w:rFonts w:asciiTheme="majorBidi" w:hAnsiTheme="majorBidi" w:cstheme="majorBidi"/>
        </w:rPr>
      </w:pPr>
      <w:r w:rsidRPr="002A5475">
        <w:rPr>
          <w:rFonts w:asciiTheme="majorBidi" w:hAnsiTheme="majorBidi" w:cstheme="majorBidi"/>
        </w:rPr>
        <w:br w:type="page"/>
      </w:r>
    </w:p>
    <w:p w14:paraId="640EF846" w14:textId="77777777" w:rsidR="00693EA6" w:rsidRPr="00693EA6" w:rsidRDefault="00693EA6" w:rsidP="00693EA6">
      <w:pPr>
        <w:rPr>
          <w:rFonts w:asciiTheme="majorBidi" w:eastAsia="Calibri" w:hAnsiTheme="majorBidi" w:cstheme="majorBidi"/>
          <w:szCs w:val="22"/>
        </w:rPr>
      </w:pPr>
      <w:r w:rsidRPr="00693EA6">
        <w:rPr>
          <w:rFonts w:asciiTheme="majorBidi" w:eastAsia="Calibri" w:hAnsiTheme="majorBidi" w:cstheme="majorBidi"/>
          <w:szCs w:val="22"/>
        </w:rPr>
        <w:lastRenderedPageBreak/>
        <w:t>“The old Princess Sobieski, transformed into a malignant fairy, hovered incessantly around my couch, waving her ivory-handled crutch-stick (she was lame, and carried such a prop) by way of a wand, and mopping and mowing at me in the wickedest exultation.”</w:t>
      </w:r>
    </w:p>
    <w:p w14:paraId="2D577112" w14:textId="6BAADD2F" w:rsidR="00693EA6" w:rsidRPr="00693EA6" w:rsidRDefault="005F111B" w:rsidP="00693EA6">
      <w:pPr>
        <w:jc w:val="right"/>
        <w:rPr>
          <w:rFonts w:asciiTheme="majorBidi" w:eastAsia="Calibri" w:hAnsiTheme="majorBidi" w:cstheme="majorBidi"/>
          <w:szCs w:val="22"/>
        </w:rPr>
      </w:pPr>
      <w:r>
        <w:rPr>
          <w:rFonts w:asciiTheme="majorBidi" w:eastAsia="Calibri" w:hAnsiTheme="majorBidi" w:cstheme="majorBidi"/>
          <w:szCs w:val="22"/>
        </w:rPr>
        <w:t xml:space="preserve">Charles Dickens, </w:t>
      </w:r>
      <w:r w:rsidR="00693EA6" w:rsidRPr="00693EA6">
        <w:rPr>
          <w:rFonts w:asciiTheme="majorBidi" w:eastAsia="Calibri" w:hAnsiTheme="majorBidi" w:cstheme="majorBidi"/>
          <w:szCs w:val="22"/>
        </w:rPr>
        <w:t>“The Roll of Music”</w:t>
      </w:r>
      <w:r>
        <w:rPr>
          <w:rFonts w:asciiTheme="majorBidi" w:eastAsia="Calibri" w:hAnsiTheme="majorBidi" w:cstheme="majorBidi"/>
          <w:szCs w:val="22"/>
        </w:rPr>
        <w:t xml:space="preserve"> </w:t>
      </w:r>
      <w:r w:rsidR="00693EA6" w:rsidRPr="00693EA6">
        <w:rPr>
          <w:rFonts w:asciiTheme="majorBidi" w:eastAsia="Calibri" w:hAnsiTheme="majorBidi" w:cstheme="majorBidi"/>
          <w:szCs w:val="22"/>
        </w:rPr>
        <w:t>(1863)</w:t>
      </w:r>
    </w:p>
    <w:p w14:paraId="0E9978A3" w14:textId="77777777" w:rsidR="00693EA6" w:rsidRPr="00693EA6" w:rsidRDefault="00693EA6" w:rsidP="00693EA6">
      <w:pPr>
        <w:jc w:val="right"/>
        <w:rPr>
          <w:rFonts w:asciiTheme="majorBidi" w:eastAsia="Calibri" w:hAnsiTheme="majorBidi" w:cstheme="majorBidi"/>
          <w:szCs w:val="22"/>
        </w:rPr>
      </w:pPr>
    </w:p>
    <w:p w14:paraId="30B5C86D" w14:textId="77777777" w:rsidR="00693EA6" w:rsidRPr="00693EA6" w:rsidRDefault="00693EA6" w:rsidP="00693EA6">
      <w:pPr>
        <w:rPr>
          <w:rFonts w:asciiTheme="majorBidi" w:eastAsia="Calibri" w:hAnsiTheme="majorBidi" w:cstheme="majorBidi"/>
          <w:szCs w:val="22"/>
        </w:rPr>
      </w:pPr>
    </w:p>
    <w:p w14:paraId="48D6D4D0" w14:textId="497807E7" w:rsidR="00693EA6" w:rsidRPr="00693EA6" w:rsidRDefault="00693EA6" w:rsidP="00693EA6">
      <w:pPr>
        <w:spacing w:line="480" w:lineRule="auto"/>
        <w:rPr>
          <w:rFonts w:asciiTheme="majorBidi" w:eastAsia="Calibri" w:hAnsiTheme="majorBidi" w:cstheme="majorBidi"/>
          <w:szCs w:val="22"/>
        </w:rPr>
      </w:pPr>
      <w:r w:rsidRPr="00693EA6">
        <w:rPr>
          <w:rFonts w:asciiTheme="majorBidi" w:eastAsia="Calibri" w:hAnsiTheme="majorBidi" w:cstheme="majorBidi"/>
          <w:szCs w:val="22"/>
        </w:rPr>
        <w:tab/>
        <w:t xml:space="preserve">At the 2014 meeting of the Dickens Universe Conference, one speaker, lecturing on Charles Dickens’s </w:t>
      </w:r>
      <w:r w:rsidRPr="00693EA6">
        <w:rPr>
          <w:rFonts w:asciiTheme="majorBidi" w:eastAsia="Calibri" w:hAnsiTheme="majorBidi" w:cstheme="majorBidi"/>
          <w:i/>
          <w:szCs w:val="22"/>
        </w:rPr>
        <w:t>Our Mutual Friend</w:t>
      </w:r>
      <w:r w:rsidRPr="00693EA6">
        <w:rPr>
          <w:rFonts w:asciiTheme="majorBidi" w:eastAsia="Calibri" w:hAnsiTheme="majorBidi" w:cstheme="majorBidi"/>
          <w:szCs w:val="22"/>
        </w:rPr>
        <w:t xml:space="preserve"> (1864-65), half joked that Jenny Wren’s crutch looks, at times, like an elaborate excuse not to answer the door. The joke hit; the majority of the audience, it seems, had entertained similar reactions to the domineering, though not altogether unaffectionate, child and her prop. In Jenny Wren</w:t>
      </w:r>
      <w:r w:rsidR="004D2C39">
        <w:rPr>
          <w:rFonts w:asciiTheme="majorBidi" w:eastAsia="Calibri" w:hAnsiTheme="majorBidi" w:cstheme="majorBidi"/>
          <w:szCs w:val="22"/>
        </w:rPr>
        <w:t>,</w:t>
      </w:r>
      <w:r w:rsidRPr="00693EA6">
        <w:rPr>
          <w:rFonts w:asciiTheme="majorBidi" w:eastAsia="Calibri" w:hAnsiTheme="majorBidi" w:cstheme="majorBidi"/>
          <w:szCs w:val="22"/>
        </w:rPr>
        <w:t xml:space="preserve"> Dickens fashions a young, physically disabled girl who, as she so often repeats, has a “bad” back and “queer” legs. Children peep at and mimic her. The narrator describes her as “a child—a dwarf—a girl—a something” (222): a human/subhuman fluctuation typical of many disabled characters in Dickens. And, almost without fail, whenever a visitor or patron comes to her door, she gestures to or with her crutch, reminds anyone in attendance of her bad back and queer legs, and requests that someone</w:t>
      </w:r>
      <w:r w:rsidR="004D2C39">
        <w:rPr>
          <w:rFonts w:asciiTheme="majorBidi" w:eastAsia="Calibri" w:hAnsiTheme="majorBidi" w:cstheme="majorBidi"/>
          <w:szCs w:val="22"/>
        </w:rPr>
        <w:t xml:space="preserve"> else</w:t>
      </w:r>
      <w:r w:rsidRPr="00693EA6">
        <w:rPr>
          <w:rFonts w:asciiTheme="majorBidi" w:eastAsia="Calibri" w:hAnsiTheme="majorBidi" w:cstheme="majorBidi"/>
          <w:szCs w:val="22"/>
        </w:rPr>
        <w:t xml:space="preserve"> answer the door or that the caller let himself in. But the dolls’ dress maker also reports engaging in strenuous physical activity, weaving precariously through crowds, carriage wheels, and horses to observe the well-to-do ladies who unwittingly serve as models for her dolls’ clothes. Through a normative lens, Jenny’s erratic vacillation between atypical and typical mobility raises questions about props and dissembling; </w:t>
      </w:r>
      <w:r w:rsidR="004D2C39">
        <w:rPr>
          <w:rFonts w:asciiTheme="majorBidi" w:eastAsia="Calibri" w:hAnsiTheme="majorBidi" w:cstheme="majorBidi"/>
          <w:szCs w:val="22"/>
        </w:rPr>
        <w:t>in actuality, though, the versatility of her crutch</w:t>
      </w:r>
      <w:r w:rsidRPr="00693EA6">
        <w:rPr>
          <w:rFonts w:asciiTheme="majorBidi" w:eastAsia="Calibri" w:hAnsiTheme="majorBidi" w:cstheme="majorBidi"/>
          <w:szCs w:val="22"/>
        </w:rPr>
        <w:t xml:space="preserve"> troubles the normative impulse to view disability as a fixed rather than fluid state, the urge to constrain difference to stasis by insisting that difference always look a certain way.  </w:t>
      </w:r>
    </w:p>
    <w:p w14:paraId="1C285A1A" w14:textId="77777777" w:rsidR="001A7B7B" w:rsidRPr="00693EA6" w:rsidRDefault="00693EA6" w:rsidP="001A7B7B">
      <w:pPr>
        <w:spacing w:line="480" w:lineRule="auto"/>
        <w:rPr>
          <w:rFonts w:asciiTheme="majorBidi" w:eastAsia="Calibri" w:hAnsiTheme="majorBidi" w:cstheme="majorBidi"/>
          <w:szCs w:val="22"/>
        </w:rPr>
      </w:pPr>
      <w:r w:rsidRPr="00693EA6">
        <w:rPr>
          <w:rFonts w:asciiTheme="majorBidi" w:eastAsia="Calibri" w:hAnsiTheme="majorBidi" w:cstheme="majorBidi"/>
          <w:szCs w:val="22"/>
        </w:rPr>
        <w:tab/>
        <w:t>The apparent discrepancy between Jenny’s physical impairment and her instances of active mobility, th</w:t>
      </w:r>
      <w:r w:rsidR="004D2C39">
        <w:rPr>
          <w:rFonts w:asciiTheme="majorBidi" w:eastAsia="Calibri" w:hAnsiTheme="majorBidi" w:cstheme="majorBidi"/>
          <w:szCs w:val="22"/>
        </w:rPr>
        <w:t>en</w:t>
      </w:r>
      <w:r w:rsidRPr="00693EA6">
        <w:rPr>
          <w:rFonts w:asciiTheme="majorBidi" w:eastAsia="Calibri" w:hAnsiTheme="majorBidi" w:cstheme="majorBidi"/>
          <w:szCs w:val="22"/>
        </w:rPr>
        <w:t xml:space="preserve">, does not necessarily imply any malingering on the child’s part. Rather, Jenny’s crutch indicates the sociomedical and theatric complexities and potentials of prosthesis </w:t>
      </w:r>
      <w:r w:rsidRPr="00693EA6">
        <w:rPr>
          <w:rFonts w:asciiTheme="majorBidi" w:eastAsia="Calibri" w:hAnsiTheme="majorBidi" w:cstheme="majorBidi"/>
          <w:szCs w:val="22"/>
        </w:rPr>
        <w:lastRenderedPageBreak/>
        <w:t xml:space="preserve">in the production of disability in nineteenth-century literature more generally. Much like Wilkie Collin’s Miserrimus Dexter and his wheelchair (a prosthetic coupling I take up in Chapter III) Jenny’s assistive device affords her a means of defining her disability, instead of allowing it to define her or, worse still, to be defined for her. While Dickens’s narrators tend to pigeonhole disabled characters into a set of two-dimensional disabled stereotypes (pitiable, monstrous, impotent, and so forth), prosthetics and mobility aids in his novels seem to offer a potential means of resisting these classifications. In the first part of this chapter, I posit </w:t>
      </w:r>
      <w:r w:rsidRPr="00693EA6">
        <w:rPr>
          <w:rFonts w:asciiTheme="majorBidi" w:eastAsia="Calibri" w:hAnsiTheme="majorBidi" w:cstheme="majorBidi"/>
          <w:i/>
          <w:szCs w:val="22"/>
        </w:rPr>
        <w:t>Little Dorrit</w:t>
      </w:r>
      <w:r w:rsidRPr="00693EA6">
        <w:rPr>
          <w:rFonts w:asciiTheme="majorBidi" w:eastAsia="Calibri" w:hAnsiTheme="majorBidi" w:cstheme="majorBidi"/>
          <w:szCs w:val="22"/>
        </w:rPr>
        <w:t xml:space="preserve">’s (1855-57) Mrs. Clennam and her wheelchair and </w:t>
      </w:r>
      <w:r w:rsidRPr="00693EA6">
        <w:rPr>
          <w:rFonts w:asciiTheme="majorBidi" w:eastAsia="Calibri" w:hAnsiTheme="majorBidi" w:cstheme="majorBidi"/>
          <w:i/>
          <w:szCs w:val="22"/>
        </w:rPr>
        <w:t>Our Mutual Friend</w:t>
      </w:r>
      <w:r w:rsidRPr="00693EA6">
        <w:rPr>
          <w:rFonts w:asciiTheme="majorBidi" w:eastAsia="Calibri" w:hAnsiTheme="majorBidi" w:cstheme="majorBidi"/>
          <w:szCs w:val="22"/>
        </w:rPr>
        <w:t>’s Jenny Wren and her attendant crutch-stick as thematically illustrative examples of the kind of performative (re)shaping of identity and disability Dickens advances in his novels through the medium of prosthesis.</w:t>
      </w:r>
      <w:r w:rsidR="001D067D" w:rsidRPr="002A5475">
        <w:rPr>
          <w:rFonts w:asciiTheme="majorBidi" w:eastAsia="Calibri" w:hAnsiTheme="majorBidi" w:cstheme="majorBidi"/>
          <w:szCs w:val="22"/>
        </w:rPr>
        <w:t xml:space="preserve"> (See figures 1 and 2.)</w:t>
      </w:r>
      <w:r w:rsidRPr="00693EA6">
        <w:rPr>
          <w:rFonts w:asciiTheme="majorBidi" w:eastAsia="Calibri" w:hAnsiTheme="majorBidi" w:cstheme="majorBidi"/>
          <w:szCs w:val="22"/>
        </w:rPr>
        <w:t xml:space="preserve"> I then shift to a consideration of animate aids—service animals—to explore how Dickens theorized the potential for a unique form of social mobility afforded by interspecies partnerships in novels like </w:t>
      </w:r>
      <w:r w:rsidRPr="00693EA6">
        <w:rPr>
          <w:rFonts w:asciiTheme="majorBidi" w:eastAsia="Calibri" w:hAnsiTheme="majorBidi" w:cstheme="majorBidi"/>
          <w:i/>
          <w:iCs/>
          <w:szCs w:val="22"/>
        </w:rPr>
        <w:t>Barnaby Rudge</w:t>
      </w:r>
      <w:r w:rsidRPr="00693EA6">
        <w:rPr>
          <w:rFonts w:asciiTheme="majorBidi" w:eastAsia="Calibri" w:hAnsiTheme="majorBidi" w:cstheme="majorBidi"/>
          <w:szCs w:val="22"/>
        </w:rPr>
        <w:t xml:space="preserve">. This chapter, then, investigates the interaction between disabled characters and their assistive devices (or animals) to address the following question: to what degree does the prosthetic object confirm a sociomedical model of disability or allow its user to reject characterization within that model? In pursuing this line of questioning, I read the prosthetic in Dickens as a medical tool and a theatrical object: a device that </w:t>
      </w:r>
      <w:r w:rsidR="001A7B7B" w:rsidRPr="00693EA6">
        <w:rPr>
          <w:rFonts w:asciiTheme="majorBidi" w:eastAsia="Calibri" w:hAnsiTheme="majorBidi" w:cstheme="majorBidi"/>
          <w:szCs w:val="22"/>
        </w:rPr>
        <w:t xml:space="preserve">accommodates and extends the subject and endows the disabled subject with creative agency. </w:t>
      </w:r>
    </w:p>
    <w:p w14:paraId="581BB229" w14:textId="531558A2" w:rsidR="001D067D" w:rsidRPr="002A5475" w:rsidRDefault="001A7B7B" w:rsidP="001A7B7B">
      <w:pPr>
        <w:spacing w:line="480" w:lineRule="auto"/>
        <w:ind w:firstLine="720"/>
        <w:rPr>
          <w:rFonts w:asciiTheme="majorBidi" w:eastAsia="Calibri" w:hAnsiTheme="majorBidi" w:cstheme="majorBidi"/>
          <w:szCs w:val="22"/>
        </w:rPr>
      </w:pPr>
      <w:r w:rsidRPr="00693EA6">
        <w:rPr>
          <w:rFonts w:asciiTheme="majorBidi" w:eastAsia="Calibri" w:hAnsiTheme="majorBidi" w:cstheme="majorBidi"/>
          <w:szCs w:val="22"/>
        </w:rPr>
        <w:t>Mrs. Clennam transforms her wheelchair into a vehicle for confinement, a material means of converting her rheumatic body into a performance of guilt and reparation. Similarly, though with a child’s imagination, Jenny uses her crutch to externalize emotions, corollaries of her physical impairments, that she cannot fully grapple with or contain. Prosthetics in these novels, I</w:t>
      </w:r>
    </w:p>
    <w:p w14:paraId="4643B8E0" w14:textId="77777777" w:rsidR="00AA1A21" w:rsidRDefault="001D067D" w:rsidP="00F75DB1">
      <w:pPr>
        <w:keepNext/>
        <w:jc w:val="center"/>
        <w:rPr>
          <w:rFonts w:asciiTheme="majorBidi" w:hAnsiTheme="majorBidi" w:cstheme="majorBidi"/>
        </w:rPr>
      </w:pPr>
      <w:bookmarkStart w:id="13" w:name="_Toc101797034"/>
      <w:r w:rsidRPr="002A5475">
        <w:rPr>
          <w:rFonts w:asciiTheme="majorBidi" w:hAnsiTheme="majorBidi" w:cstheme="majorBidi"/>
          <w:noProof/>
        </w:rPr>
        <w:lastRenderedPageBreak/>
        <w:drawing>
          <wp:inline distT="0" distB="0" distL="0" distR="0" wp14:anchorId="133C4CCB" wp14:editId="5A50863F">
            <wp:extent cx="5161725" cy="3196958"/>
            <wp:effectExtent l="0" t="0" r="127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72665" cy="3203734"/>
                    </a:xfrm>
                    <a:prstGeom prst="rect">
                      <a:avLst/>
                    </a:prstGeom>
                    <a:noFill/>
                    <a:ln>
                      <a:noFill/>
                    </a:ln>
                  </pic:spPr>
                </pic:pic>
              </a:graphicData>
            </a:graphic>
          </wp:inline>
        </w:drawing>
      </w:r>
    </w:p>
    <w:p w14:paraId="028B8643" w14:textId="504D730E" w:rsidR="00DF43E8" w:rsidRPr="002A5475" w:rsidRDefault="00F75DB1" w:rsidP="00F75DB1">
      <w:pPr>
        <w:keepNext/>
        <w:jc w:val="center"/>
        <w:rPr>
          <w:rFonts w:asciiTheme="majorBidi" w:hAnsiTheme="majorBidi" w:cstheme="majorBidi"/>
        </w:rPr>
      </w:pPr>
      <w:r w:rsidRPr="002A5475">
        <w:rPr>
          <w:rFonts w:asciiTheme="majorBidi" w:hAnsiTheme="majorBidi" w:cstheme="majorBidi"/>
        </w:rPr>
        <w:t xml:space="preserve">Figure </w:t>
      </w:r>
      <w:r w:rsidRPr="002A5475">
        <w:rPr>
          <w:rFonts w:asciiTheme="majorBidi" w:hAnsiTheme="majorBidi" w:cstheme="majorBidi"/>
        </w:rPr>
        <w:fldChar w:fldCharType="begin"/>
      </w:r>
      <w:r w:rsidRPr="002A5475">
        <w:rPr>
          <w:rFonts w:asciiTheme="majorBidi" w:hAnsiTheme="majorBidi" w:cstheme="majorBidi"/>
        </w:rPr>
        <w:instrText xml:space="preserve"> SEQ Figure \* ARABIC </w:instrText>
      </w:r>
      <w:r w:rsidRPr="002A5475">
        <w:rPr>
          <w:rFonts w:asciiTheme="majorBidi" w:hAnsiTheme="majorBidi" w:cstheme="majorBidi"/>
        </w:rPr>
        <w:fldChar w:fldCharType="separate"/>
      </w:r>
      <w:r w:rsidR="00A90752">
        <w:rPr>
          <w:rFonts w:asciiTheme="majorBidi" w:hAnsiTheme="majorBidi" w:cstheme="majorBidi"/>
          <w:noProof/>
        </w:rPr>
        <w:t>1</w:t>
      </w:r>
      <w:r w:rsidRPr="002A5475">
        <w:rPr>
          <w:rFonts w:asciiTheme="majorBidi" w:hAnsiTheme="majorBidi" w:cstheme="majorBidi"/>
        </w:rPr>
        <w:fldChar w:fldCharType="end"/>
      </w:r>
      <w:r w:rsidRPr="002A5475">
        <w:rPr>
          <w:rFonts w:asciiTheme="majorBidi" w:hAnsiTheme="majorBidi" w:cstheme="majorBidi"/>
        </w:rPr>
        <w:t>: Jenny Wren</w:t>
      </w:r>
      <w:r w:rsidR="001D067D" w:rsidRPr="002A5475">
        <w:rPr>
          <w:rFonts w:asciiTheme="majorBidi" w:eastAsia="Calibri" w:hAnsiTheme="majorBidi" w:cstheme="majorBidi"/>
          <w:szCs w:val="22"/>
        </w:rPr>
        <w:t>. “Miss Wren Fixes Her Idea” from Vol</w:t>
      </w:r>
      <w:r w:rsidR="00801635" w:rsidRPr="002A5475">
        <w:rPr>
          <w:rFonts w:asciiTheme="majorBidi" w:eastAsia="Calibri" w:hAnsiTheme="majorBidi" w:cstheme="majorBidi"/>
          <w:szCs w:val="22"/>
        </w:rPr>
        <w:t>.</w:t>
      </w:r>
      <w:r w:rsidR="001D067D" w:rsidRPr="002A5475">
        <w:rPr>
          <w:rFonts w:asciiTheme="majorBidi" w:eastAsia="Calibri" w:hAnsiTheme="majorBidi" w:cstheme="majorBidi"/>
          <w:szCs w:val="22"/>
        </w:rPr>
        <w:t xml:space="preserve"> II of </w:t>
      </w:r>
      <w:r w:rsidR="001D067D" w:rsidRPr="002A5475">
        <w:rPr>
          <w:rFonts w:asciiTheme="majorBidi" w:eastAsia="Calibri" w:hAnsiTheme="majorBidi" w:cstheme="majorBidi"/>
          <w:i/>
          <w:iCs/>
          <w:szCs w:val="22"/>
        </w:rPr>
        <w:t>Our Mutual Friend</w:t>
      </w:r>
      <w:r w:rsidR="001D067D" w:rsidRPr="002A5475">
        <w:rPr>
          <w:rFonts w:asciiTheme="majorBidi" w:eastAsia="Calibri" w:hAnsiTheme="majorBidi" w:cstheme="majorBidi"/>
          <w:szCs w:val="22"/>
        </w:rPr>
        <w:t xml:space="preserve"> (Chapman and Hall, 1865). </w:t>
      </w:r>
      <w:r w:rsidR="00DF43E8" w:rsidRPr="002A5475">
        <w:rPr>
          <w:rFonts w:asciiTheme="majorBidi" w:eastAsia="Calibri" w:hAnsiTheme="majorBidi" w:cstheme="majorBidi"/>
          <w:szCs w:val="22"/>
        </w:rPr>
        <w:t>Illustration printed</w:t>
      </w:r>
      <w:r w:rsidR="001D067D" w:rsidRPr="002A5475">
        <w:rPr>
          <w:rFonts w:asciiTheme="majorBidi" w:eastAsia="Calibri" w:hAnsiTheme="majorBidi" w:cstheme="majorBidi"/>
          <w:szCs w:val="22"/>
        </w:rPr>
        <w:t xml:space="preserve"> fr</w:t>
      </w:r>
      <w:r w:rsidR="00A95FE6">
        <w:rPr>
          <w:rFonts w:asciiTheme="majorBidi" w:eastAsia="Calibri" w:hAnsiTheme="majorBidi" w:cstheme="majorBidi"/>
          <w:szCs w:val="22"/>
        </w:rPr>
        <w:t>om woodcuts</w:t>
      </w:r>
      <w:r w:rsidR="00DF43E8" w:rsidRPr="002A5475">
        <w:rPr>
          <w:rFonts w:asciiTheme="majorBidi" w:eastAsia="Calibri" w:hAnsiTheme="majorBidi" w:cstheme="majorBidi"/>
          <w:szCs w:val="22"/>
        </w:rPr>
        <w:t xml:space="preserve"> by Marcus Stone.</w:t>
      </w:r>
      <w:bookmarkEnd w:id="13"/>
    </w:p>
    <w:p w14:paraId="4DD1A448" w14:textId="77777777" w:rsidR="00DF43E8" w:rsidRPr="002A5475" w:rsidRDefault="00DF43E8">
      <w:pPr>
        <w:rPr>
          <w:rFonts w:asciiTheme="majorBidi" w:eastAsia="Calibri" w:hAnsiTheme="majorBidi" w:cstheme="majorBidi"/>
          <w:szCs w:val="22"/>
        </w:rPr>
      </w:pPr>
    </w:p>
    <w:p w14:paraId="30920458" w14:textId="5E3B108D" w:rsidR="00DF43E8" w:rsidRDefault="00DF43E8">
      <w:pPr>
        <w:rPr>
          <w:rFonts w:asciiTheme="majorBidi" w:eastAsia="Calibri" w:hAnsiTheme="majorBidi" w:cstheme="majorBidi"/>
          <w:szCs w:val="22"/>
        </w:rPr>
      </w:pPr>
    </w:p>
    <w:p w14:paraId="1AF6E01E" w14:textId="77777777" w:rsidR="00A95FE6" w:rsidRPr="002A5475" w:rsidRDefault="00A95FE6">
      <w:pPr>
        <w:rPr>
          <w:rFonts w:asciiTheme="majorBidi" w:eastAsia="Calibri" w:hAnsiTheme="majorBidi" w:cstheme="majorBidi"/>
          <w:szCs w:val="22"/>
        </w:rPr>
      </w:pPr>
    </w:p>
    <w:p w14:paraId="028ADB8D" w14:textId="4DE0601B" w:rsidR="00DF43E8" w:rsidRPr="002A5475" w:rsidRDefault="00DF43E8">
      <w:pPr>
        <w:rPr>
          <w:rFonts w:asciiTheme="majorBidi" w:eastAsia="Calibri" w:hAnsiTheme="majorBidi" w:cstheme="majorBidi"/>
          <w:szCs w:val="22"/>
        </w:rPr>
      </w:pPr>
    </w:p>
    <w:p w14:paraId="64E4056F" w14:textId="41451483" w:rsidR="00F75DB1" w:rsidRPr="002A5475" w:rsidRDefault="00F44637" w:rsidP="00F75DB1">
      <w:pPr>
        <w:rPr>
          <w:rFonts w:asciiTheme="majorBidi" w:eastAsia="Calibri" w:hAnsiTheme="majorBidi" w:cstheme="majorBidi"/>
          <w:szCs w:val="22"/>
        </w:rPr>
      </w:pPr>
      <w:r w:rsidRPr="002A5475">
        <w:rPr>
          <w:rFonts w:asciiTheme="majorBidi" w:hAnsiTheme="majorBidi" w:cstheme="majorBidi"/>
          <w:noProof/>
        </w:rPr>
        <w:drawing>
          <wp:anchor distT="0" distB="0" distL="114300" distR="114300" simplePos="0" relativeHeight="251662336" behindDoc="1" locked="0" layoutInCell="1" allowOverlap="1" wp14:anchorId="1F9766F3" wp14:editId="564C8BD6">
            <wp:simplePos x="0" y="0"/>
            <wp:positionH relativeFrom="column">
              <wp:posOffset>1250950</wp:posOffset>
            </wp:positionH>
            <wp:positionV relativeFrom="paragraph">
              <wp:posOffset>155575</wp:posOffset>
            </wp:positionV>
            <wp:extent cx="3359150" cy="2578100"/>
            <wp:effectExtent l="0" t="0" r="0" b="0"/>
            <wp:wrapTight wrapText="bothSides">
              <wp:wrapPolygon edited="0">
                <wp:start x="0" y="0"/>
                <wp:lineTo x="0" y="21387"/>
                <wp:lineTo x="21437" y="21387"/>
                <wp:lineTo x="21437"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59150" cy="2578100"/>
                    </a:xfrm>
                    <a:prstGeom prst="rect">
                      <a:avLst/>
                    </a:prstGeom>
                    <a:noFill/>
                    <a:ln>
                      <a:noFill/>
                    </a:ln>
                  </pic:spPr>
                </pic:pic>
              </a:graphicData>
            </a:graphic>
          </wp:anchor>
        </w:drawing>
      </w:r>
    </w:p>
    <w:p w14:paraId="4870AB42" w14:textId="2FED64E9" w:rsidR="00F75DB1" w:rsidRPr="002A5475" w:rsidRDefault="00F75DB1" w:rsidP="00F75DB1">
      <w:pPr>
        <w:rPr>
          <w:rFonts w:asciiTheme="majorBidi" w:eastAsia="Calibri" w:hAnsiTheme="majorBidi" w:cstheme="majorBidi"/>
          <w:szCs w:val="22"/>
        </w:rPr>
      </w:pPr>
    </w:p>
    <w:p w14:paraId="202EFE52" w14:textId="028A3744" w:rsidR="00F75DB1" w:rsidRPr="002A5475" w:rsidRDefault="00F75DB1" w:rsidP="00F75DB1">
      <w:pPr>
        <w:rPr>
          <w:rFonts w:asciiTheme="majorBidi" w:eastAsia="Calibri" w:hAnsiTheme="majorBidi" w:cstheme="majorBidi"/>
          <w:szCs w:val="22"/>
        </w:rPr>
      </w:pPr>
    </w:p>
    <w:p w14:paraId="24AAF0C5" w14:textId="254596A3" w:rsidR="00F75DB1" w:rsidRPr="002A5475" w:rsidRDefault="00F75DB1" w:rsidP="00F75DB1">
      <w:pPr>
        <w:rPr>
          <w:rFonts w:asciiTheme="majorBidi" w:eastAsia="Calibri" w:hAnsiTheme="majorBidi" w:cstheme="majorBidi"/>
          <w:szCs w:val="22"/>
        </w:rPr>
      </w:pPr>
    </w:p>
    <w:p w14:paraId="68502C60" w14:textId="77777777" w:rsidR="00F75DB1" w:rsidRPr="002A5475" w:rsidRDefault="00F75DB1" w:rsidP="00F75DB1">
      <w:pPr>
        <w:rPr>
          <w:rFonts w:asciiTheme="majorBidi" w:eastAsia="Calibri" w:hAnsiTheme="majorBidi" w:cstheme="majorBidi"/>
          <w:szCs w:val="22"/>
        </w:rPr>
      </w:pPr>
    </w:p>
    <w:p w14:paraId="6F9F2845" w14:textId="77777777" w:rsidR="00F75DB1" w:rsidRPr="002A5475" w:rsidRDefault="00F75DB1" w:rsidP="00F75DB1">
      <w:pPr>
        <w:rPr>
          <w:rFonts w:asciiTheme="majorBidi" w:eastAsia="Calibri" w:hAnsiTheme="majorBidi" w:cstheme="majorBidi"/>
          <w:szCs w:val="22"/>
        </w:rPr>
      </w:pPr>
    </w:p>
    <w:p w14:paraId="64DAB8BE" w14:textId="77777777" w:rsidR="00F75DB1" w:rsidRPr="002A5475" w:rsidRDefault="00F75DB1" w:rsidP="00F75DB1">
      <w:pPr>
        <w:rPr>
          <w:rFonts w:asciiTheme="majorBidi" w:eastAsia="Calibri" w:hAnsiTheme="majorBidi" w:cstheme="majorBidi"/>
          <w:szCs w:val="22"/>
        </w:rPr>
      </w:pPr>
    </w:p>
    <w:p w14:paraId="122D9591" w14:textId="77777777" w:rsidR="00F75DB1" w:rsidRPr="002A5475" w:rsidRDefault="00F75DB1" w:rsidP="00F75DB1">
      <w:pPr>
        <w:rPr>
          <w:rFonts w:asciiTheme="majorBidi" w:eastAsia="Calibri" w:hAnsiTheme="majorBidi" w:cstheme="majorBidi"/>
          <w:szCs w:val="22"/>
        </w:rPr>
      </w:pPr>
    </w:p>
    <w:p w14:paraId="29AE089C" w14:textId="77777777" w:rsidR="00F75DB1" w:rsidRPr="002A5475" w:rsidRDefault="00F75DB1" w:rsidP="00F75DB1">
      <w:pPr>
        <w:rPr>
          <w:rFonts w:asciiTheme="majorBidi" w:eastAsia="Calibri" w:hAnsiTheme="majorBidi" w:cstheme="majorBidi"/>
          <w:szCs w:val="22"/>
        </w:rPr>
      </w:pPr>
    </w:p>
    <w:p w14:paraId="0418DCC9" w14:textId="77777777" w:rsidR="00F75DB1" w:rsidRPr="002A5475" w:rsidRDefault="00F75DB1" w:rsidP="00F75DB1">
      <w:pPr>
        <w:rPr>
          <w:rFonts w:asciiTheme="majorBidi" w:eastAsia="Calibri" w:hAnsiTheme="majorBidi" w:cstheme="majorBidi"/>
          <w:szCs w:val="22"/>
        </w:rPr>
      </w:pPr>
    </w:p>
    <w:p w14:paraId="0A18A7D5" w14:textId="77777777" w:rsidR="00F75DB1" w:rsidRPr="002A5475" w:rsidRDefault="00F75DB1" w:rsidP="00F75DB1">
      <w:pPr>
        <w:rPr>
          <w:rFonts w:asciiTheme="majorBidi" w:eastAsia="Calibri" w:hAnsiTheme="majorBidi" w:cstheme="majorBidi"/>
          <w:szCs w:val="22"/>
        </w:rPr>
      </w:pPr>
    </w:p>
    <w:p w14:paraId="5177BF82" w14:textId="77777777" w:rsidR="00F75DB1" w:rsidRPr="002A5475" w:rsidRDefault="00F75DB1" w:rsidP="00F75DB1">
      <w:pPr>
        <w:rPr>
          <w:rFonts w:asciiTheme="majorBidi" w:eastAsia="Calibri" w:hAnsiTheme="majorBidi" w:cstheme="majorBidi"/>
          <w:szCs w:val="22"/>
        </w:rPr>
      </w:pPr>
    </w:p>
    <w:p w14:paraId="2457201F" w14:textId="77777777" w:rsidR="00F75DB1" w:rsidRPr="002A5475" w:rsidRDefault="00F75DB1" w:rsidP="00F75DB1">
      <w:pPr>
        <w:rPr>
          <w:rFonts w:asciiTheme="majorBidi" w:eastAsia="Calibri" w:hAnsiTheme="majorBidi" w:cstheme="majorBidi"/>
          <w:szCs w:val="22"/>
        </w:rPr>
      </w:pPr>
    </w:p>
    <w:p w14:paraId="43FD7DBD" w14:textId="77777777" w:rsidR="00F75DB1" w:rsidRPr="002A5475" w:rsidRDefault="00F75DB1" w:rsidP="00F75DB1">
      <w:pPr>
        <w:rPr>
          <w:rFonts w:asciiTheme="majorBidi" w:eastAsia="Calibri" w:hAnsiTheme="majorBidi" w:cstheme="majorBidi"/>
          <w:szCs w:val="22"/>
        </w:rPr>
      </w:pPr>
    </w:p>
    <w:p w14:paraId="2ADDCE10" w14:textId="77777777" w:rsidR="00F44637" w:rsidRPr="002A5475" w:rsidRDefault="00F44637" w:rsidP="00F75DB1">
      <w:pPr>
        <w:pStyle w:val="Caption"/>
        <w:rPr>
          <w:rFonts w:asciiTheme="majorBidi" w:hAnsiTheme="majorBidi" w:cstheme="majorBidi"/>
          <w:b w:val="0"/>
          <w:bCs w:val="0"/>
        </w:rPr>
      </w:pPr>
    </w:p>
    <w:p w14:paraId="6B2558F9" w14:textId="5143BC69" w:rsidR="00DF43E8" w:rsidRPr="002A5475" w:rsidRDefault="00F75DB1" w:rsidP="00F44637">
      <w:pPr>
        <w:pStyle w:val="Caption"/>
        <w:jc w:val="center"/>
        <w:rPr>
          <w:rFonts w:asciiTheme="majorBidi" w:hAnsiTheme="majorBidi" w:cstheme="majorBidi"/>
          <w:b w:val="0"/>
          <w:bCs w:val="0"/>
        </w:rPr>
      </w:pPr>
      <w:bookmarkStart w:id="14" w:name="_Toc101797035"/>
      <w:r w:rsidRPr="002A5475">
        <w:rPr>
          <w:rFonts w:asciiTheme="majorBidi" w:hAnsiTheme="majorBidi" w:cstheme="majorBidi"/>
          <w:b w:val="0"/>
          <w:bCs w:val="0"/>
        </w:rPr>
        <w:t xml:space="preserve">Figure </w:t>
      </w:r>
      <w:r w:rsidRPr="002A5475">
        <w:rPr>
          <w:rFonts w:asciiTheme="majorBidi" w:hAnsiTheme="majorBidi" w:cstheme="majorBidi"/>
          <w:b w:val="0"/>
          <w:bCs w:val="0"/>
        </w:rPr>
        <w:fldChar w:fldCharType="begin"/>
      </w:r>
      <w:r w:rsidRPr="002A5475">
        <w:rPr>
          <w:rFonts w:asciiTheme="majorBidi" w:hAnsiTheme="majorBidi" w:cstheme="majorBidi"/>
          <w:b w:val="0"/>
          <w:bCs w:val="0"/>
        </w:rPr>
        <w:instrText xml:space="preserve"> SEQ Figure \* ARABIC </w:instrText>
      </w:r>
      <w:r w:rsidRPr="002A5475">
        <w:rPr>
          <w:rFonts w:asciiTheme="majorBidi" w:hAnsiTheme="majorBidi" w:cstheme="majorBidi"/>
          <w:b w:val="0"/>
          <w:bCs w:val="0"/>
        </w:rPr>
        <w:fldChar w:fldCharType="separate"/>
      </w:r>
      <w:r w:rsidR="00A90752">
        <w:rPr>
          <w:rFonts w:asciiTheme="majorBidi" w:hAnsiTheme="majorBidi" w:cstheme="majorBidi"/>
          <w:b w:val="0"/>
          <w:bCs w:val="0"/>
          <w:noProof/>
        </w:rPr>
        <w:t>2</w:t>
      </w:r>
      <w:r w:rsidRPr="002A5475">
        <w:rPr>
          <w:rFonts w:asciiTheme="majorBidi" w:hAnsiTheme="majorBidi" w:cstheme="majorBidi"/>
          <w:b w:val="0"/>
          <w:bCs w:val="0"/>
        </w:rPr>
        <w:fldChar w:fldCharType="end"/>
      </w:r>
      <w:r w:rsidRPr="002A5475">
        <w:rPr>
          <w:rFonts w:asciiTheme="majorBidi" w:hAnsiTheme="majorBidi" w:cstheme="majorBidi"/>
          <w:b w:val="0"/>
          <w:bCs w:val="0"/>
        </w:rPr>
        <w:t>: Mrs. Clennam</w:t>
      </w:r>
      <w:r w:rsidRPr="002A5475">
        <w:rPr>
          <w:rFonts w:asciiTheme="majorBidi" w:eastAsia="Calibri" w:hAnsiTheme="majorBidi" w:cstheme="majorBidi"/>
          <w:b w:val="0"/>
          <w:bCs w:val="0"/>
        </w:rPr>
        <w:t>.</w:t>
      </w:r>
      <w:r w:rsidR="00DF43E8" w:rsidRPr="002A5475">
        <w:rPr>
          <w:rFonts w:asciiTheme="majorBidi" w:eastAsia="Calibri" w:hAnsiTheme="majorBidi" w:cstheme="majorBidi"/>
          <w:b w:val="0"/>
          <w:bCs w:val="0"/>
        </w:rPr>
        <w:t xml:space="preserve"> </w:t>
      </w:r>
      <w:r w:rsidRPr="002A5475">
        <w:rPr>
          <w:rStyle w:val="Caption1"/>
          <w:rFonts w:asciiTheme="majorBidi" w:hAnsiTheme="majorBidi" w:cstheme="majorBidi"/>
          <w:b w:val="0"/>
          <w:bCs w:val="0"/>
          <w:color w:val="000000"/>
          <w:shd w:val="clear" w:color="auto" w:fill="FFFFFF"/>
        </w:rPr>
        <w:t xml:space="preserve">“Mrs. Clennam and Arthur Clennam” </w:t>
      </w:r>
      <w:r w:rsidRPr="002A5475">
        <w:rPr>
          <w:rFonts w:asciiTheme="majorBidi" w:hAnsiTheme="majorBidi" w:cstheme="majorBidi"/>
          <w:b w:val="0"/>
          <w:bCs w:val="0"/>
          <w:color w:val="000000"/>
          <w:shd w:val="clear" w:color="auto" w:fill="FFFFFF"/>
        </w:rPr>
        <w:t>by Sol Eytinge for the Diamond Edition of </w:t>
      </w:r>
      <w:r w:rsidRPr="002A5475">
        <w:rPr>
          <w:rStyle w:val="book"/>
          <w:rFonts w:asciiTheme="majorBidi" w:hAnsiTheme="majorBidi" w:cstheme="majorBidi"/>
          <w:b w:val="0"/>
          <w:bCs w:val="0"/>
          <w:i/>
          <w:iCs/>
          <w:color w:val="000000"/>
          <w:shd w:val="clear" w:color="auto" w:fill="FFFFFF"/>
        </w:rPr>
        <w:t>Little Dorrit</w:t>
      </w:r>
      <w:r w:rsidRPr="002A5475">
        <w:rPr>
          <w:rFonts w:asciiTheme="majorBidi" w:hAnsiTheme="majorBidi" w:cstheme="majorBidi"/>
          <w:b w:val="0"/>
          <w:bCs w:val="0"/>
          <w:color w:val="000000"/>
          <w:shd w:val="clear" w:color="auto" w:fill="FFFFFF"/>
        </w:rPr>
        <w:t> (James R. Osgood, 1</w:t>
      </w:r>
      <w:r w:rsidRPr="002A5475">
        <w:rPr>
          <w:rFonts w:asciiTheme="majorBidi" w:hAnsiTheme="majorBidi" w:cstheme="majorBidi"/>
          <w:b w:val="0"/>
          <w:bCs w:val="0"/>
          <w:shd w:val="clear" w:color="auto" w:fill="FFFFFF"/>
        </w:rPr>
        <w:t xml:space="preserve">871). Scanned image by </w:t>
      </w:r>
      <w:hyperlink r:id="rId11" w:history="1">
        <w:r w:rsidRPr="002A5475">
          <w:rPr>
            <w:rStyle w:val="Hyperlink"/>
            <w:rFonts w:asciiTheme="majorBidi" w:hAnsiTheme="majorBidi" w:cstheme="majorBidi"/>
            <w:b w:val="0"/>
            <w:bCs w:val="0"/>
            <w:color w:val="auto"/>
            <w:u w:val="none"/>
            <w:shd w:val="clear" w:color="auto" w:fill="FFFFFF"/>
          </w:rPr>
          <w:t>Philip V. Allingham.</w:t>
        </w:r>
        <w:bookmarkEnd w:id="14"/>
        <w:r w:rsidRPr="002A5475">
          <w:rPr>
            <w:rStyle w:val="Hyperlink"/>
            <w:rFonts w:asciiTheme="majorBidi" w:hAnsiTheme="majorBidi" w:cstheme="majorBidi"/>
            <w:b w:val="0"/>
            <w:bCs w:val="0"/>
            <w:color w:val="auto"/>
            <w:u w:val="none"/>
            <w:shd w:val="clear" w:color="auto" w:fill="FFFFFF"/>
          </w:rPr>
          <w:t> </w:t>
        </w:r>
      </w:hyperlink>
    </w:p>
    <w:p w14:paraId="44CA9973" w14:textId="77777777" w:rsidR="00F44637" w:rsidRPr="002A5475" w:rsidRDefault="00F44637">
      <w:pPr>
        <w:rPr>
          <w:rFonts w:asciiTheme="majorBidi" w:eastAsia="Calibri" w:hAnsiTheme="majorBidi" w:cstheme="majorBidi"/>
          <w:szCs w:val="22"/>
        </w:rPr>
      </w:pPr>
      <w:r w:rsidRPr="002A5475">
        <w:rPr>
          <w:rFonts w:asciiTheme="majorBidi" w:eastAsia="Calibri" w:hAnsiTheme="majorBidi" w:cstheme="majorBidi"/>
          <w:szCs w:val="22"/>
        </w:rPr>
        <w:br w:type="page"/>
      </w:r>
    </w:p>
    <w:p w14:paraId="7C80E9A2" w14:textId="08E389C1" w:rsidR="00693EA6" w:rsidRPr="00693EA6" w:rsidRDefault="00693EA6" w:rsidP="001A7B7B">
      <w:pPr>
        <w:spacing w:line="480" w:lineRule="auto"/>
        <w:rPr>
          <w:rFonts w:asciiTheme="majorBidi" w:eastAsia="Calibri" w:hAnsiTheme="majorBidi" w:cstheme="majorBidi"/>
          <w:szCs w:val="22"/>
        </w:rPr>
      </w:pPr>
      <w:r w:rsidRPr="00693EA6">
        <w:rPr>
          <w:rFonts w:asciiTheme="majorBidi" w:eastAsia="Calibri" w:hAnsiTheme="majorBidi" w:cstheme="majorBidi"/>
          <w:szCs w:val="22"/>
        </w:rPr>
        <w:lastRenderedPageBreak/>
        <w:t xml:space="preserve">argue, as much as gender or class, play a crucial role in Mrs. Clennam’s and Jenny Wren’s self-fashioning and self-production. As in the case of Shelley’s Creature, these medical objects grant agency to their wearers and users. Christina Lupton has noted the ways in which the “speaking objects” of it-narratives—or, as I discussed in the previous chapter, in </w:t>
      </w:r>
      <w:r w:rsidRPr="00693EA6">
        <w:rPr>
          <w:rFonts w:asciiTheme="majorBidi" w:eastAsia="Calibri" w:hAnsiTheme="majorBidi" w:cstheme="majorBidi"/>
          <w:i/>
          <w:iCs/>
          <w:szCs w:val="22"/>
        </w:rPr>
        <w:t>Frankenstein</w:t>
      </w:r>
      <w:proofErr w:type="gramStart"/>
      <w:r w:rsidR="00A95FE6">
        <w:rPr>
          <w:rFonts w:asciiTheme="majorBidi" w:eastAsia="Calibri" w:hAnsiTheme="majorBidi" w:cstheme="majorBidi"/>
          <w:szCs w:val="22"/>
        </w:rPr>
        <w:t>—</w:t>
      </w:r>
      <w:r w:rsidRPr="00693EA6">
        <w:rPr>
          <w:rFonts w:asciiTheme="majorBidi" w:eastAsia="Calibri" w:hAnsiTheme="majorBidi" w:cstheme="majorBidi"/>
          <w:szCs w:val="22"/>
        </w:rPr>
        <w:t>“</w:t>
      </w:r>
      <w:proofErr w:type="gramEnd"/>
      <w:r w:rsidRPr="00693EA6">
        <w:rPr>
          <w:rFonts w:asciiTheme="majorBidi" w:eastAsia="Calibri" w:hAnsiTheme="majorBidi" w:cstheme="majorBidi"/>
          <w:szCs w:val="22"/>
        </w:rPr>
        <w:t>can move unlimited by class, gender, character development, or social affiliation through diverse spheres of the society” (“The Knowing Book” 403). Prosthetics perform a similar function in Dickens’s novels; they allow disabled characters to move and mix among the crowded cast of other characters. But while they do, on occasion, perform a sort of ghostly homodiegesis, they more frequently become tools for self-narration or performance.</w:t>
      </w:r>
    </w:p>
    <w:p w14:paraId="788FF9D6" w14:textId="77777777" w:rsidR="00693EA6" w:rsidRPr="00693EA6" w:rsidRDefault="00693EA6" w:rsidP="00693EA6">
      <w:pPr>
        <w:spacing w:line="480" w:lineRule="auto"/>
        <w:rPr>
          <w:rFonts w:asciiTheme="majorBidi" w:eastAsia="Calibri" w:hAnsiTheme="majorBidi" w:cstheme="majorBidi"/>
          <w:szCs w:val="22"/>
        </w:rPr>
      </w:pPr>
      <w:r w:rsidRPr="00693EA6">
        <w:rPr>
          <w:rFonts w:asciiTheme="majorBidi" w:eastAsia="Calibri" w:hAnsiTheme="majorBidi" w:cstheme="majorBidi"/>
          <w:szCs w:val="22"/>
        </w:rPr>
        <w:tab/>
        <w:t>Dickens’s oeuvre is replete with physically disabled characters whose forms entail prostheses—Captain Cuttle with his hook, Simon Tappertit and Silas Wegg with their wooden legs, Tiny Tim and Jenny Wren with their diminutive crutches, Mrs. Skewton and Mrs. Clennam with their wheelchairs, and so on. And as Dickens’s disabled characters demonstrate, prostheses in the nineteenth century contributed to an evolving technology of self-performance. Prosthetics in the social and literary spheres of the Victorian era (as in our own) endow their users and wearers with the agency to camouflage, flaunt, or altogether reinterpret their physical variations. Martha Stoddard Holmes has cogently noted the way in which “The performance of disability in Victorian culture forms an even richer and more complex exemplar of [the] paradigm of identity-formation. For a disabled Victorian person, especially within the working classes, life and identity were materially constituted by a series of performative and relational bodily events” (</w:t>
      </w:r>
      <w:r w:rsidRPr="00693EA6">
        <w:rPr>
          <w:rFonts w:asciiTheme="majorBidi" w:eastAsia="Calibri" w:hAnsiTheme="majorBidi" w:cstheme="majorBidi"/>
          <w:i/>
          <w:szCs w:val="22"/>
        </w:rPr>
        <w:t>Fictions of Affliction</w:t>
      </w:r>
      <w:r w:rsidRPr="00693EA6">
        <w:rPr>
          <w:rFonts w:asciiTheme="majorBidi" w:eastAsia="Calibri" w:hAnsiTheme="majorBidi" w:cstheme="majorBidi"/>
          <w:szCs w:val="22"/>
        </w:rPr>
        <w:t xml:space="preserve"> 186). Applying Judith Butler’s theory of gender performativity (especially as it appears in “Performative Acts and Gender Constitution” and </w:t>
      </w:r>
      <w:r w:rsidRPr="00693EA6">
        <w:rPr>
          <w:rFonts w:asciiTheme="majorBidi" w:eastAsia="Calibri" w:hAnsiTheme="majorBidi" w:cstheme="majorBidi"/>
          <w:i/>
          <w:szCs w:val="22"/>
        </w:rPr>
        <w:t>Gender Trouble</w:t>
      </w:r>
      <w:r w:rsidRPr="00693EA6">
        <w:rPr>
          <w:rFonts w:asciiTheme="majorBidi" w:eastAsia="Calibri" w:hAnsiTheme="majorBidi" w:cstheme="majorBidi"/>
          <w:szCs w:val="22"/>
        </w:rPr>
        <w:t xml:space="preserve">) to disability, Holmes contends that Victorians with disabilities would engage in “the ‘stylized repetition of </w:t>
      </w:r>
      <w:r w:rsidRPr="00693EA6">
        <w:rPr>
          <w:rFonts w:asciiTheme="majorBidi" w:eastAsia="Calibri" w:hAnsiTheme="majorBidi" w:cstheme="majorBidi"/>
          <w:szCs w:val="22"/>
        </w:rPr>
        <w:lastRenderedPageBreak/>
        <w:t xml:space="preserve">acts’ . . . to confirm social membership on whatever terms it was offered” and concludes that it is imperative to read every utterance made by a character with a disability as “potentially embedded in the requirements of this performative context” (Ibid.). </w:t>
      </w:r>
    </w:p>
    <w:p w14:paraId="46708F09" w14:textId="719763FA" w:rsidR="00693EA6" w:rsidRPr="00693EA6" w:rsidRDefault="00693EA6" w:rsidP="00693EA6">
      <w:pPr>
        <w:spacing w:line="480" w:lineRule="auto"/>
        <w:rPr>
          <w:rFonts w:asciiTheme="majorBidi" w:eastAsia="Calibri" w:hAnsiTheme="majorBidi" w:cstheme="majorBidi"/>
          <w:szCs w:val="22"/>
        </w:rPr>
      </w:pPr>
      <w:r w:rsidRPr="00693EA6">
        <w:rPr>
          <w:rFonts w:asciiTheme="majorBidi" w:eastAsia="Calibri" w:hAnsiTheme="majorBidi" w:cstheme="majorBidi"/>
          <w:szCs w:val="22"/>
        </w:rPr>
        <w:tab/>
        <w:t xml:space="preserve">But where Holmes locates the mental or physical impairment itself as the site of performance—in shows of abjection, the feigning of comprehension, and so on—I aim to emphasize the (re)appropriation of inanimate prostheses as </w:t>
      </w:r>
      <w:r w:rsidRPr="00693EA6">
        <w:rPr>
          <w:rFonts w:asciiTheme="majorBidi" w:eastAsia="Calibri" w:hAnsiTheme="majorBidi" w:cstheme="majorBidi"/>
          <w:i/>
          <w:szCs w:val="22"/>
        </w:rPr>
        <w:t>props</w:t>
      </w:r>
      <w:r w:rsidRPr="00693EA6">
        <w:rPr>
          <w:rFonts w:asciiTheme="majorBidi" w:eastAsia="Calibri" w:hAnsiTheme="majorBidi" w:cstheme="majorBidi"/>
          <w:szCs w:val="22"/>
        </w:rPr>
        <w:t>: performance pieces in the literary and cultural production of disability. And in its polysemy, “prop”—</w:t>
      </w:r>
      <w:r w:rsidRPr="00693EA6">
        <w:rPr>
          <w:rFonts w:asciiTheme="majorBidi" w:eastAsia="Calibri" w:hAnsiTheme="majorBidi" w:cstheme="majorBidi"/>
          <w:bCs/>
          <w:szCs w:val="22"/>
        </w:rPr>
        <w:t>an object that “</w:t>
      </w:r>
      <w:r w:rsidRPr="00693EA6">
        <w:rPr>
          <w:rFonts w:asciiTheme="majorBidi" w:eastAsia="Calibri" w:hAnsiTheme="majorBidi" w:cstheme="majorBidi"/>
          <w:szCs w:val="22"/>
        </w:rPr>
        <w:t>suppor</w:t>
      </w:r>
      <w:r w:rsidRPr="00693EA6">
        <w:rPr>
          <w:rFonts w:asciiTheme="majorBidi" w:eastAsia="Calibri" w:hAnsiTheme="majorBidi" w:cstheme="majorBidi"/>
          <w:bCs/>
          <w:szCs w:val="22"/>
        </w:rPr>
        <w:t>t[s] something or keep[s] it in place” and, in theater slang, “a stage property”—provides a particularly apposite term to signal the performative potentials of prosthetics.</w:t>
      </w:r>
      <w:r w:rsidRPr="00693EA6">
        <w:rPr>
          <w:rFonts w:asciiTheme="majorBidi" w:eastAsia="Calibri" w:hAnsiTheme="majorBidi" w:cstheme="majorBidi"/>
          <w:bCs/>
          <w:szCs w:val="22"/>
          <w:vertAlign w:val="superscript"/>
        </w:rPr>
        <w:footnoteReference w:id="58"/>
      </w:r>
      <w:r w:rsidRPr="00693EA6">
        <w:rPr>
          <w:rFonts w:asciiTheme="majorBidi" w:eastAsia="Calibri" w:hAnsiTheme="majorBidi" w:cstheme="majorBidi"/>
          <w:szCs w:val="22"/>
        </w:rPr>
        <w:t xml:space="preserve"> Put another way, where scholars like Holmes draw attention to bodies in literature that are “represented as feeling bodies,</w:t>
      </w:r>
      <w:r w:rsidR="00C73549">
        <w:rPr>
          <w:rFonts w:asciiTheme="majorBidi" w:eastAsia="Calibri" w:hAnsiTheme="majorBidi" w:cstheme="majorBidi"/>
          <w:szCs w:val="22"/>
        </w:rPr>
        <w:t>”</w:t>
      </w:r>
      <w:r w:rsidRPr="00693EA6">
        <w:rPr>
          <w:rFonts w:asciiTheme="majorBidi" w:eastAsia="Calibri" w:hAnsiTheme="majorBidi" w:cstheme="majorBidi"/>
          <w:szCs w:val="22"/>
        </w:rPr>
        <w:t xml:space="preserve"> “physical bodies as slates on which feelings are writ large, or as markers in an emotional landscape,” I seek to redirect focus to the </w:t>
      </w:r>
      <w:r w:rsidRPr="00693EA6">
        <w:rPr>
          <w:rFonts w:asciiTheme="majorBidi" w:eastAsia="Calibri" w:hAnsiTheme="majorBidi" w:cstheme="majorBidi"/>
          <w:i/>
          <w:szCs w:val="22"/>
        </w:rPr>
        <w:t>unfeeling</w:t>
      </w:r>
      <w:r w:rsidRPr="00693EA6">
        <w:rPr>
          <w:rFonts w:asciiTheme="majorBidi" w:eastAsia="Calibri" w:hAnsiTheme="majorBidi" w:cstheme="majorBidi"/>
          <w:szCs w:val="22"/>
        </w:rPr>
        <w:t xml:space="preserve"> appendages that fuse with these bodies</w:t>
      </w:r>
      <w:r w:rsidR="00C73549">
        <w:rPr>
          <w:rFonts w:asciiTheme="majorBidi" w:eastAsia="Calibri" w:hAnsiTheme="majorBidi" w:cstheme="majorBidi"/>
          <w:szCs w:val="22"/>
        </w:rPr>
        <w:t xml:space="preserve"> </w:t>
      </w:r>
      <w:r w:rsidR="00C73549" w:rsidRPr="00693EA6">
        <w:rPr>
          <w:rFonts w:asciiTheme="majorBidi" w:eastAsia="Calibri" w:hAnsiTheme="majorBidi" w:cstheme="majorBidi"/>
          <w:szCs w:val="22"/>
        </w:rPr>
        <w:t>(vii)</w:t>
      </w:r>
      <w:r w:rsidRPr="00693EA6">
        <w:rPr>
          <w:rFonts w:asciiTheme="majorBidi" w:eastAsia="Calibri" w:hAnsiTheme="majorBidi" w:cstheme="majorBidi"/>
          <w:szCs w:val="22"/>
        </w:rPr>
        <w:t xml:space="preserve">. In reading these prosthetic objects, I aim to emphasize the </w:t>
      </w:r>
      <w:r w:rsidRPr="00693EA6">
        <w:rPr>
          <w:rFonts w:asciiTheme="majorBidi" w:eastAsia="Calibri" w:hAnsiTheme="majorBidi" w:cstheme="majorBidi"/>
          <w:iCs/>
          <w:szCs w:val="22"/>
        </w:rPr>
        <w:t xml:space="preserve">cultural </w:t>
      </w:r>
      <w:r w:rsidRPr="00693EA6">
        <w:rPr>
          <w:rFonts w:asciiTheme="majorBidi" w:eastAsia="Calibri" w:hAnsiTheme="majorBidi" w:cstheme="majorBidi"/>
          <w:szCs w:val="22"/>
        </w:rPr>
        <w:t xml:space="preserve">and </w:t>
      </w:r>
      <w:r w:rsidRPr="00693EA6">
        <w:rPr>
          <w:rFonts w:asciiTheme="majorBidi" w:eastAsia="Calibri" w:hAnsiTheme="majorBidi" w:cstheme="majorBidi"/>
          <w:iCs/>
          <w:szCs w:val="22"/>
        </w:rPr>
        <w:t>anthropocentric</w:t>
      </w:r>
      <w:r w:rsidRPr="00693EA6">
        <w:rPr>
          <w:rFonts w:asciiTheme="majorBidi" w:eastAsia="Calibri" w:hAnsiTheme="majorBidi" w:cstheme="majorBidi"/>
          <w:szCs w:val="22"/>
        </w:rPr>
        <w:t xml:space="preserve"> contingency of prostheses in Dickens’s novels. </w:t>
      </w:r>
      <w:r w:rsidR="00C73549">
        <w:rPr>
          <w:rFonts w:asciiTheme="majorBidi" w:eastAsia="Calibri" w:hAnsiTheme="majorBidi" w:cstheme="majorBidi"/>
          <w:szCs w:val="22"/>
        </w:rPr>
        <w:t>This exploration</w:t>
      </w:r>
      <w:r w:rsidRPr="00693EA6">
        <w:rPr>
          <w:rFonts w:asciiTheme="majorBidi" w:eastAsia="Calibri" w:hAnsiTheme="majorBidi" w:cstheme="majorBidi"/>
          <w:szCs w:val="22"/>
        </w:rPr>
        <w:t xml:space="preserve"> of medical technology and disability in Dickens allows for a more nuanced consideration of the human and cultural significance of those objects and of their existence as conduits for identity construction and </w:t>
      </w:r>
      <w:r w:rsidRPr="00693EA6">
        <w:rPr>
          <w:rFonts w:asciiTheme="majorBidi" w:eastAsia="Calibri" w:hAnsiTheme="majorBidi" w:cstheme="majorBidi"/>
          <w:iCs/>
          <w:szCs w:val="22"/>
        </w:rPr>
        <w:t xml:space="preserve">social </w:t>
      </w:r>
      <w:r w:rsidRPr="00693EA6">
        <w:rPr>
          <w:rFonts w:asciiTheme="majorBidi" w:eastAsia="Calibri" w:hAnsiTheme="majorBidi" w:cstheme="majorBidi"/>
          <w:szCs w:val="22"/>
        </w:rPr>
        <w:t>integration or performance.</w:t>
      </w:r>
      <w:r w:rsidRPr="00693EA6">
        <w:rPr>
          <w:rFonts w:asciiTheme="majorBidi" w:eastAsia="Calibri" w:hAnsiTheme="majorBidi" w:cstheme="majorBidi"/>
          <w:szCs w:val="22"/>
          <w:vertAlign w:val="superscript"/>
        </w:rPr>
        <w:footnoteReference w:id="59"/>
      </w:r>
      <w:r w:rsidRPr="00693EA6">
        <w:rPr>
          <w:rFonts w:asciiTheme="majorBidi" w:eastAsia="Calibri" w:hAnsiTheme="majorBidi" w:cstheme="majorBidi"/>
          <w:szCs w:val="22"/>
        </w:rPr>
        <w:t xml:space="preserve"> Moreover, this </w:t>
      </w:r>
      <w:r w:rsidR="00C73549">
        <w:rPr>
          <w:rFonts w:asciiTheme="majorBidi" w:eastAsia="Calibri" w:hAnsiTheme="majorBidi" w:cstheme="majorBidi"/>
          <w:szCs w:val="22"/>
        </w:rPr>
        <w:t xml:space="preserve">reading of </w:t>
      </w:r>
      <w:r w:rsidRPr="00693EA6">
        <w:rPr>
          <w:rFonts w:asciiTheme="majorBidi" w:eastAsia="Calibri" w:hAnsiTheme="majorBidi" w:cstheme="majorBidi"/>
          <w:szCs w:val="22"/>
        </w:rPr>
        <w:t>prosthetic</w:t>
      </w:r>
      <w:r w:rsidR="00C73549">
        <w:rPr>
          <w:rFonts w:asciiTheme="majorBidi" w:eastAsia="Calibri" w:hAnsiTheme="majorBidi" w:cstheme="majorBidi"/>
          <w:szCs w:val="22"/>
        </w:rPr>
        <w:t>s</w:t>
      </w:r>
      <w:r w:rsidRPr="00693EA6">
        <w:rPr>
          <w:rFonts w:asciiTheme="majorBidi" w:eastAsia="Calibri" w:hAnsiTheme="majorBidi" w:cstheme="majorBidi"/>
          <w:szCs w:val="22"/>
        </w:rPr>
        <w:t xml:space="preserve"> sheds light not only on their assistive function, but also on their formal influence: the power of prosthetic </w:t>
      </w:r>
      <w:r w:rsidRPr="00693EA6">
        <w:rPr>
          <w:rFonts w:asciiTheme="majorBidi" w:eastAsia="Calibri" w:hAnsiTheme="majorBidi" w:cstheme="majorBidi"/>
          <w:szCs w:val="22"/>
        </w:rPr>
        <w:lastRenderedPageBreak/>
        <w:t xml:space="preserve">objects in the novel to support, transform, or subvert literary forms that represent the human-object network. </w:t>
      </w:r>
    </w:p>
    <w:p w14:paraId="672C35B1" w14:textId="77777777" w:rsidR="00693EA6" w:rsidRPr="00693EA6" w:rsidRDefault="00693EA6" w:rsidP="00693EA6">
      <w:pPr>
        <w:spacing w:line="480" w:lineRule="auto"/>
        <w:rPr>
          <w:rFonts w:asciiTheme="majorBidi" w:eastAsia="Calibri" w:hAnsiTheme="majorBidi" w:cstheme="majorBidi"/>
          <w:szCs w:val="22"/>
        </w:rPr>
      </w:pPr>
      <w:r w:rsidRPr="00693EA6">
        <w:rPr>
          <w:rFonts w:asciiTheme="majorBidi" w:eastAsia="Calibri" w:hAnsiTheme="majorBidi" w:cstheme="majorBidi"/>
          <w:szCs w:val="22"/>
        </w:rPr>
        <w:tab/>
        <w:t xml:space="preserve">Of the scholars who have attended to all literary </w:t>
      </w:r>
      <w:proofErr w:type="gramStart"/>
      <w:r w:rsidRPr="00693EA6">
        <w:rPr>
          <w:rFonts w:asciiTheme="majorBidi" w:eastAsia="Calibri" w:hAnsiTheme="majorBidi" w:cstheme="majorBidi"/>
          <w:szCs w:val="22"/>
        </w:rPr>
        <w:t>matters</w:t>
      </w:r>
      <w:proofErr w:type="gramEnd"/>
      <w:r w:rsidRPr="00693EA6">
        <w:rPr>
          <w:rFonts w:asciiTheme="majorBidi" w:eastAsia="Calibri" w:hAnsiTheme="majorBidi" w:cstheme="majorBidi"/>
          <w:szCs w:val="22"/>
        </w:rPr>
        <w:t xml:space="preserve"> prosthetic, most take a decidedly pessimistic tack when discussing the function of prosthetics—real or imagined. They gesture toward the prosthetic’s presence as a capitulation to normative cultural notions about what a complete, “normal” body should look like or how it should function. David Mitchell and Sharon Snyder, for instance, have played a crucial role in directing critical attention to the way in which prosthetics often serve as a means of helping (or pushing) people in the disability community to “pass” by hiding or playing down their disabilities. And their argument, on the whole, proves compelling: </w:t>
      </w:r>
    </w:p>
    <w:p w14:paraId="7CA54DE8" w14:textId="77777777" w:rsidR="00693EA6" w:rsidRPr="002A5475" w:rsidRDefault="00693EA6" w:rsidP="00693EA6">
      <w:pPr>
        <w:spacing w:line="480" w:lineRule="auto"/>
        <w:rPr>
          <w:rFonts w:asciiTheme="majorBidi" w:eastAsia="Calibri" w:hAnsiTheme="majorBidi" w:cstheme="majorBidi"/>
          <w:szCs w:val="22"/>
        </w:rPr>
      </w:pPr>
      <w:r w:rsidRPr="00693EA6">
        <w:rPr>
          <w:rFonts w:asciiTheme="majorBidi" w:eastAsia="Calibri" w:hAnsiTheme="majorBidi" w:cstheme="majorBidi"/>
          <w:szCs w:val="22"/>
        </w:rPr>
        <w:tab/>
      </w:r>
      <w:r w:rsidRPr="00693EA6">
        <w:rPr>
          <w:rFonts w:asciiTheme="majorBidi" w:eastAsia="Calibri" w:hAnsiTheme="majorBidi" w:cstheme="majorBidi"/>
          <w:szCs w:val="22"/>
        </w:rPr>
        <w:tab/>
        <w:t xml:space="preserve">In a literal sense a prosthesis seeks to accomplish an illusion. A body </w:t>
      </w:r>
    </w:p>
    <w:p w14:paraId="2614B6F2" w14:textId="6A545B5C" w:rsidR="00693EA6" w:rsidRPr="00693EA6" w:rsidRDefault="00693EA6" w:rsidP="00693EA6">
      <w:pPr>
        <w:spacing w:line="480" w:lineRule="auto"/>
        <w:ind w:left="1440"/>
        <w:rPr>
          <w:rFonts w:asciiTheme="majorBidi" w:eastAsia="Calibri" w:hAnsiTheme="majorBidi" w:cstheme="majorBidi"/>
          <w:szCs w:val="22"/>
        </w:rPr>
      </w:pPr>
      <w:r w:rsidRPr="00693EA6">
        <w:rPr>
          <w:rFonts w:asciiTheme="majorBidi" w:eastAsia="Calibri" w:hAnsiTheme="majorBidi" w:cstheme="majorBidi"/>
          <w:szCs w:val="22"/>
        </w:rPr>
        <w:t>deemed lacking, unfunctional, or inappropriately functional needs compensation, and prosthesis help</w:t>
      </w:r>
      <w:r w:rsidR="00C73549">
        <w:rPr>
          <w:rFonts w:asciiTheme="majorBidi" w:eastAsia="Calibri" w:hAnsiTheme="majorBidi" w:cstheme="majorBidi"/>
          <w:szCs w:val="22"/>
        </w:rPr>
        <w:t>s</w:t>
      </w:r>
      <w:r w:rsidRPr="00693EA6">
        <w:rPr>
          <w:rFonts w:asciiTheme="majorBidi" w:eastAsia="Calibri" w:hAnsiTheme="majorBidi" w:cstheme="majorBidi"/>
          <w:szCs w:val="22"/>
        </w:rPr>
        <w:t xml:space="preserve"> to </w:t>
      </w:r>
      <w:proofErr w:type="gramStart"/>
      <w:r w:rsidRPr="00693EA6">
        <w:rPr>
          <w:rFonts w:asciiTheme="majorBidi" w:eastAsia="Calibri" w:hAnsiTheme="majorBidi" w:cstheme="majorBidi"/>
          <w:szCs w:val="22"/>
        </w:rPr>
        <w:t>effect</w:t>
      </w:r>
      <w:proofErr w:type="gramEnd"/>
      <w:r w:rsidRPr="00693EA6">
        <w:rPr>
          <w:rFonts w:asciiTheme="majorBidi" w:eastAsia="Calibri" w:hAnsiTheme="majorBidi" w:cstheme="majorBidi"/>
          <w:szCs w:val="22"/>
        </w:rPr>
        <w:t xml:space="preserve"> this end. Yet the prothesizing of a body or a rhetorical figure carries with it ideological assumptions about what is aberrant</w:t>
      </w:r>
      <w:proofErr w:type="gramStart"/>
      <w:r w:rsidRPr="00693EA6">
        <w:rPr>
          <w:rFonts w:asciiTheme="majorBidi" w:eastAsia="Calibri" w:hAnsiTheme="majorBidi" w:cstheme="majorBidi"/>
          <w:szCs w:val="22"/>
        </w:rPr>
        <w:t>. . . .</w:t>
      </w:r>
      <w:proofErr w:type="gramEnd"/>
      <w:r w:rsidRPr="00693EA6">
        <w:rPr>
          <w:rFonts w:asciiTheme="majorBidi" w:eastAsia="Calibri" w:hAnsiTheme="majorBidi" w:cstheme="majorBidi"/>
          <w:szCs w:val="22"/>
        </w:rPr>
        <w:t xml:space="preserve"> The need to restore a disabled body to some semblance of an originary wholeness is the key</w:t>
      </w:r>
      <w:r w:rsidRPr="002A5475">
        <w:rPr>
          <w:rFonts w:asciiTheme="majorBidi" w:eastAsia="Calibri" w:hAnsiTheme="majorBidi" w:cstheme="majorBidi"/>
          <w:szCs w:val="22"/>
        </w:rPr>
        <w:t xml:space="preserve"> </w:t>
      </w:r>
      <w:r w:rsidRPr="00693EA6">
        <w:rPr>
          <w:rFonts w:asciiTheme="majorBidi" w:eastAsia="Calibri" w:hAnsiTheme="majorBidi" w:cstheme="majorBidi"/>
          <w:szCs w:val="22"/>
        </w:rPr>
        <w:t>to a false recognition: that disabilities extract one from a social norm or average of bodies and their corresponding (social) expectations. To prostheti</w:t>
      </w:r>
      <w:r w:rsidR="00C73549">
        <w:rPr>
          <w:rFonts w:asciiTheme="majorBidi" w:eastAsia="Calibri" w:hAnsiTheme="majorBidi" w:cstheme="majorBidi"/>
          <w:szCs w:val="22"/>
        </w:rPr>
        <w:t>ci</w:t>
      </w:r>
      <w:r w:rsidRPr="00693EA6">
        <w:rPr>
          <w:rFonts w:asciiTheme="majorBidi" w:eastAsia="Calibri" w:hAnsiTheme="majorBidi" w:cstheme="majorBidi"/>
          <w:szCs w:val="22"/>
        </w:rPr>
        <w:t>ze, in this sense, is to institute a notion of the body within a regime of tolerable deviance. If</w:t>
      </w:r>
      <w:r w:rsidR="00C81482" w:rsidRPr="002A5475">
        <w:rPr>
          <w:rFonts w:asciiTheme="majorBidi" w:eastAsia="Calibri" w:hAnsiTheme="majorBidi" w:cstheme="majorBidi"/>
          <w:szCs w:val="22"/>
        </w:rPr>
        <w:t xml:space="preserve"> </w:t>
      </w:r>
      <w:r w:rsidRPr="00693EA6">
        <w:rPr>
          <w:rFonts w:asciiTheme="majorBidi" w:eastAsia="Calibri" w:hAnsiTheme="majorBidi" w:cstheme="majorBidi"/>
          <w:szCs w:val="22"/>
        </w:rPr>
        <w:t>disability falls too far from an acceptable norm, a prosthetic intervention seeks to accomplish an erasure of difference all together; yet, failing that, as is always the case with prosthesis, the minimal goal is to return one to an acceptable degree of difference. (</w:t>
      </w:r>
      <w:r w:rsidRPr="00693EA6">
        <w:rPr>
          <w:rFonts w:asciiTheme="majorBidi" w:eastAsia="Calibri" w:hAnsiTheme="majorBidi" w:cstheme="majorBidi"/>
          <w:i/>
          <w:szCs w:val="22"/>
        </w:rPr>
        <w:t>Narrative Prostheses</w:t>
      </w:r>
      <w:r w:rsidRPr="00693EA6">
        <w:rPr>
          <w:rFonts w:asciiTheme="majorBidi" w:eastAsia="Calibri" w:hAnsiTheme="majorBidi" w:cstheme="majorBidi"/>
          <w:szCs w:val="22"/>
        </w:rPr>
        <w:t xml:space="preserve"> 6-7)</w:t>
      </w:r>
    </w:p>
    <w:p w14:paraId="03BB2E1F" w14:textId="7FD9E319" w:rsidR="00693EA6" w:rsidRPr="00693EA6" w:rsidRDefault="00693EA6" w:rsidP="00693EA6">
      <w:pPr>
        <w:spacing w:line="480" w:lineRule="auto"/>
        <w:rPr>
          <w:rFonts w:asciiTheme="majorBidi" w:eastAsia="Calibri" w:hAnsiTheme="majorBidi" w:cstheme="majorBidi"/>
          <w:szCs w:val="22"/>
        </w:rPr>
      </w:pPr>
      <w:r w:rsidRPr="00693EA6">
        <w:rPr>
          <w:rFonts w:asciiTheme="majorBidi" w:eastAsia="Calibri" w:hAnsiTheme="majorBidi" w:cstheme="majorBidi"/>
          <w:szCs w:val="22"/>
        </w:rPr>
        <w:lastRenderedPageBreak/>
        <w:t>But the absolute quality of their and other critics’ assessment of a “ruse of prosthesis”</w:t>
      </w:r>
      <w:r w:rsidR="00C73549">
        <w:rPr>
          <w:rFonts w:asciiTheme="majorBidi" w:eastAsia="Calibri" w:hAnsiTheme="majorBidi" w:cstheme="majorBidi"/>
          <w:szCs w:val="22"/>
        </w:rPr>
        <w:t xml:space="preserve"> </w:t>
      </w:r>
      <w:r w:rsidRPr="00693EA6">
        <w:rPr>
          <w:rFonts w:asciiTheme="majorBidi" w:eastAsia="Calibri" w:hAnsiTheme="majorBidi" w:cstheme="majorBidi"/>
          <w:szCs w:val="22"/>
        </w:rPr>
        <w:t>that confirms normative notions about the human body fails to accommodate alternate narratives of physical disability</w:t>
      </w:r>
      <w:r w:rsidR="00C73549">
        <w:rPr>
          <w:rFonts w:asciiTheme="majorBidi" w:eastAsia="Calibri" w:hAnsiTheme="majorBidi" w:cstheme="majorBidi"/>
          <w:szCs w:val="22"/>
        </w:rPr>
        <w:t xml:space="preserve"> </w:t>
      </w:r>
      <w:r w:rsidR="00C73549" w:rsidRPr="00693EA6">
        <w:rPr>
          <w:rFonts w:asciiTheme="majorBidi" w:eastAsia="Calibri" w:hAnsiTheme="majorBidi" w:cstheme="majorBidi"/>
          <w:szCs w:val="22"/>
        </w:rPr>
        <w:t>(8)</w:t>
      </w:r>
      <w:r w:rsidRPr="00693EA6">
        <w:rPr>
          <w:rFonts w:asciiTheme="majorBidi" w:eastAsia="Calibri" w:hAnsiTheme="majorBidi" w:cstheme="majorBidi"/>
          <w:szCs w:val="22"/>
        </w:rPr>
        <w:t>. This dichotomy between normativity and disability suggests a disabled essentialism that may neglect narratives in which a person or character using a prosthetic wields that object to their own ends, transcending object’s perceived “normative” function. In their unequivocal objections to norms, these critics run the risk, tout court, of divesting the person who adopts a prosthetic of personal or performative agency.</w:t>
      </w:r>
      <w:r w:rsidRPr="00693EA6">
        <w:rPr>
          <w:rFonts w:asciiTheme="majorBidi" w:eastAsia="Calibri" w:hAnsiTheme="majorBidi" w:cstheme="majorBidi"/>
          <w:szCs w:val="22"/>
          <w:vertAlign w:val="superscript"/>
        </w:rPr>
        <w:footnoteReference w:id="60"/>
      </w:r>
      <w:r w:rsidRPr="00693EA6">
        <w:rPr>
          <w:rFonts w:asciiTheme="majorBidi" w:eastAsia="Calibri" w:hAnsiTheme="majorBidi" w:cstheme="majorBidi"/>
          <w:szCs w:val="22"/>
        </w:rPr>
        <w:t xml:space="preserve"> </w:t>
      </w:r>
    </w:p>
    <w:p w14:paraId="3EE50453" w14:textId="77777777" w:rsidR="00693EA6" w:rsidRPr="00693EA6" w:rsidRDefault="00693EA6" w:rsidP="00693EA6">
      <w:pPr>
        <w:spacing w:line="480" w:lineRule="auto"/>
        <w:rPr>
          <w:rFonts w:asciiTheme="majorBidi" w:eastAsia="Calibri" w:hAnsiTheme="majorBidi" w:cstheme="majorBidi"/>
          <w:szCs w:val="22"/>
        </w:rPr>
      </w:pPr>
      <w:r w:rsidRPr="00693EA6">
        <w:rPr>
          <w:rFonts w:asciiTheme="majorBidi" w:eastAsia="Calibri" w:hAnsiTheme="majorBidi" w:cstheme="majorBidi"/>
          <w:szCs w:val="22"/>
        </w:rPr>
        <w:tab/>
        <w:t xml:space="preserve">Elsewhere along the prosthetic spectrum, scholars point to nodes of medical and technological innovation, disability, and existential anxieties in the nineteenth century in an effort to establish a literary preoccupation with the prosthetic human in a proto-cyborgian era. Herbert Sussman and Gerhard Joseph assert that “prosthetic extensions of the organic body, whether seamlessly sutured to that body or not, became a figure for discussions of subjectivity and human identity” (“Prefiguring the Posthuman” 618). And while I agree with their notions concerning the intersection of inanimate augmentation and new modes of identity performance, the posthuman, cybernetics conception of prosthesis ostensibly subverts their gestures toward human agency: “from a posthuman perspective, at least as defined by [N. Katharine] Hayles, there is no significant boundary between the naturalized organic body and its artificial extensions </w:t>
      </w:r>
      <w:proofErr w:type="gramStart"/>
      <w:r w:rsidRPr="00693EA6">
        <w:rPr>
          <w:rFonts w:asciiTheme="majorBidi" w:eastAsia="Calibri" w:hAnsiTheme="majorBidi" w:cstheme="majorBidi"/>
          <w:szCs w:val="22"/>
        </w:rPr>
        <w:t>. . . .</w:t>
      </w:r>
      <w:proofErr w:type="gramEnd"/>
      <w:r w:rsidRPr="00693EA6">
        <w:rPr>
          <w:rFonts w:asciiTheme="majorBidi" w:eastAsia="Calibri" w:hAnsiTheme="majorBidi" w:cstheme="majorBidi"/>
          <w:szCs w:val="22"/>
        </w:rPr>
        <w:t xml:space="preserve"> Prosthesis goes all the way down, never quite touching a pre-prosthetic, a natural rather than a naturalized ‘self’” (619). To brand all prosthetic users as (proto-)cyborgs is to threaten to obviate disabled subjectivity. I aim, instead, to advance an approach to the literary interpretation </w:t>
      </w:r>
      <w:r w:rsidRPr="00693EA6">
        <w:rPr>
          <w:rFonts w:asciiTheme="majorBidi" w:eastAsia="Calibri" w:hAnsiTheme="majorBidi" w:cstheme="majorBidi"/>
          <w:szCs w:val="22"/>
        </w:rPr>
        <w:lastRenderedPageBreak/>
        <w:t xml:space="preserve">of prosthesis in the nineteenth century that allows for, rather than precludes, elective reciprocations between the person with a physical disability and his or her prosthetic object. Such an interpretation also proves crucial when considering (as I do in the case of </w:t>
      </w:r>
      <w:r w:rsidRPr="00693EA6">
        <w:rPr>
          <w:rFonts w:asciiTheme="majorBidi" w:eastAsia="Calibri" w:hAnsiTheme="majorBidi" w:cstheme="majorBidi"/>
          <w:i/>
          <w:iCs/>
          <w:szCs w:val="22"/>
        </w:rPr>
        <w:t>Barnaby Rudge</w:t>
      </w:r>
      <w:r w:rsidRPr="00693EA6">
        <w:rPr>
          <w:rFonts w:asciiTheme="majorBidi" w:eastAsia="Calibri" w:hAnsiTheme="majorBidi" w:cstheme="majorBidi"/>
          <w:szCs w:val="22"/>
        </w:rPr>
        <w:t xml:space="preserve"> in the final section of this chapter) the relationship between a disabled character and an animate prop: a service animal.</w:t>
      </w:r>
      <w:r w:rsidRPr="00693EA6">
        <w:rPr>
          <w:rFonts w:asciiTheme="majorBidi" w:eastAsia="Calibri" w:hAnsiTheme="majorBidi" w:cstheme="majorBidi"/>
          <w:szCs w:val="22"/>
          <w:vertAlign w:val="superscript"/>
        </w:rPr>
        <w:footnoteReference w:id="61"/>
      </w:r>
    </w:p>
    <w:p w14:paraId="72E3AC4E" w14:textId="1C4B9832" w:rsidR="00693EA6" w:rsidRPr="00693EA6" w:rsidRDefault="00693EA6" w:rsidP="00693EA6">
      <w:pPr>
        <w:spacing w:line="480" w:lineRule="auto"/>
        <w:rPr>
          <w:rFonts w:asciiTheme="majorBidi" w:eastAsia="Calibri" w:hAnsiTheme="majorBidi" w:cstheme="majorBidi"/>
          <w:szCs w:val="22"/>
        </w:rPr>
      </w:pPr>
      <w:r w:rsidRPr="00693EA6">
        <w:rPr>
          <w:rFonts w:asciiTheme="majorBidi" w:eastAsia="Calibri" w:hAnsiTheme="majorBidi" w:cstheme="majorBidi"/>
          <w:szCs w:val="22"/>
        </w:rPr>
        <w:tab/>
        <w:t xml:space="preserve">Mrs. Clennam and Jenny Wren serve as especially remunerative examples of identity and prosthetic performance in Victorian fiction insofar as, at the most basic level, they engage in extended acts of posturing or </w:t>
      </w:r>
      <w:r w:rsidR="003C11A7" w:rsidRPr="002A5475">
        <w:rPr>
          <w:rFonts w:asciiTheme="majorBidi" w:eastAsia="Calibri" w:hAnsiTheme="majorBidi" w:cstheme="majorBidi"/>
          <w:szCs w:val="22"/>
        </w:rPr>
        <w:t>self-expression</w:t>
      </w:r>
      <w:r w:rsidRPr="00693EA6">
        <w:rPr>
          <w:rFonts w:asciiTheme="majorBidi" w:eastAsia="Calibri" w:hAnsiTheme="majorBidi" w:cstheme="majorBidi"/>
          <w:szCs w:val="22"/>
        </w:rPr>
        <w:t xml:space="preserve">. Both women wield their prosthetics as blocking devices, accentuating their physical immobility in order to direct the movements of others. Their chairs, couches, and crutches allow them to acquire physical intimacy with or distance from the people around them; their props </w:t>
      </w:r>
      <w:r w:rsidRPr="00693EA6">
        <w:rPr>
          <w:rFonts w:asciiTheme="majorBidi" w:eastAsia="Calibri" w:hAnsiTheme="majorBidi" w:cstheme="majorBidi"/>
          <w:i/>
          <w:szCs w:val="22"/>
        </w:rPr>
        <w:t>object</w:t>
      </w:r>
      <w:r w:rsidRPr="00693EA6">
        <w:rPr>
          <w:rFonts w:asciiTheme="majorBidi" w:eastAsia="Calibri" w:hAnsiTheme="majorBidi" w:cstheme="majorBidi"/>
          <w:szCs w:val="22"/>
        </w:rPr>
        <w:t>-ify their anxieties, desires, and interpersonal relationships.</w:t>
      </w:r>
      <w:r w:rsidRPr="00693EA6">
        <w:rPr>
          <w:rFonts w:asciiTheme="majorBidi" w:eastAsia="Calibri" w:hAnsiTheme="majorBidi" w:cstheme="majorBidi"/>
          <w:b/>
          <w:szCs w:val="22"/>
        </w:rPr>
        <w:br/>
        <w:t>Crime and Punishment</w:t>
      </w:r>
    </w:p>
    <w:p w14:paraId="23562978" w14:textId="4B39CBFE" w:rsidR="00693EA6" w:rsidRPr="00693EA6" w:rsidRDefault="00693EA6" w:rsidP="00693EA6">
      <w:pPr>
        <w:spacing w:line="480" w:lineRule="auto"/>
        <w:rPr>
          <w:rFonts w:asciiTheme="majorBidi" w:eastAsia="Calibri" w:hAnsiTheme="majorBidi" w:cstheme="majorBidi"/>
          <w:szCs w:val="22"/>
        </w:rPr>
      </w:pPr>
      <w:r w:rsidRPr="00693EA6">
        <w:rPr>
          <w:rFonts w:asciiTheme="majorBidi" w:eastAsia="Calibri" w:hAnsiTheme="majorBidi" w:cstheme="majorBidi"/>
          <w:szCs w:val="22"/>
        </w:rPr>
        <w:tab/>
        <w:t xml:space="preserve">In </w:t>
      </w:r>
      <w:r w:rsidRPr="00693EA6">
        <w:rPr>
          <w:rFonts w:asciiTheme="majorBidi" w:eastAsia="Calibri" w:hAnsiTheme="majorBidi" w:cstheme="majorBidi"/>
          <w:i/>
          <w:iCs/>
          <w:szCs w:val="22"/>
        </w:rPr>
        <w:t>Little Dorrit</w:t>
      </w:r>
      <w:r w:rsidRPr="00693EA6">
        <w:rPr>
          <w:rFonts w:asciiTheme="majorBidi" w:eastAsia="Calibri" w:hAnsiTheme="majorBidi" w:cstheme="majorBidi"/>
          <w:szCs w:val="22"/>
        </w:rPr>
        <w:t xml:space="preserve">, the narrator gradually but consistently alludes to the true depths of the performative—rather than purely assistive—function of Mrs. Clennam’s wheelchair. Mrs. Clennam cites “rheumatic affection . . . with its attendant debility or nervous weakness—names are of no matter now” and the inability to use her limbs as the reason for her self-imposed </w:t>
      </w:r>
      <w:r w:rsidRPr="00693EA6">
        <w:rPr>
          <w:rFonts w:asciiTheme="majorBidi" w:eastAsia="Calibri" w:hAnsiTheme="majorBidi" w:cstheme="majorBidi"/>
          <w:szCs w:val="22"/>
        </w:rPr>
        <w:lastRenderedPageBreak/>
        <w:t>confinement</w:t>
      </w:r>
      <w:r w:rsidR="00C73549">
        <w:rPr>
          <w:rFonts w:asciiTheme="majorBidi" w:eastAsia="Calibri" w:hAnsiTheme="majorBidi" w:cstheme="majorBidi"/>
          <w:szCs w:val="22"/>
        </w:rPr>
        <w:t xml:space="preserve"> </w:t>
      </w:r>
      <w:r w:rsidR="00C73549" w:rsidRPr="00693EA6">
        <w:rPr>
          <w:rFonts w:asciiTheme="majorBidi" w:eastAsia="Calibri" w:hAnsiTheme="majorBidi" w:cstheme="majorBidi"/>
          <w:szCs w:val="22"/>
        </w:rPr>
        <w:t>(47)</w:t>
      </w:r>
      <w:r w:rsidRPr="00693EA6">
        <w:rPr>
          <w:rFonts w:asciiTheme="majorBidi" w:eastAsia="Calibri" w:hAnsiTheme="majorBidi" w:cstheme="majorBidi"/>
          <w:szCs w:val="22"/>
        </w:rPr>
        <w:t>. She occasionally moves between her wheeled chair and her couch, but she rarely travels beyond her room and certainly never leaves the house. She has not left the house, in fact, in at least a dozen years. Though the narrator does not disclose the transgressions of Mrs. Clennam’s earlier years until the latter half of the novel, he consistently employs penal metaphors in the descriptions of Mrs. Clennam’s props. The reader’s first glimpse of the widow Clennam comes by way of her appearance on the “bier-like sofa in this hollow, propped up behind with one great angular black bolster, like the block at a state execution in the good old times” (46). The initial funereal description of Mrs. Clennam’s assistive object renders an almost elegiac portrait of the couch and its user. Its immediate transformation into an execution block, though, betrays the guilt driving Mrs. Clennam’s performance. The simile casts the arthritic female figure as a condemned criminal waiting for the hanging blade to drop. These metaphors prefigure what Mrs. Clennam confirms only in the last moments before she becomes catatonic; despite whatever form of rheumatism she suffers, Mrs. Clennam’s</w:t>
      </w:r>
      <w:r w:rsidR="00C73549">
        <w:rPr>
          <w:rFonts w:asciiTheme="majorBidi" w:eastAsia="Calibri" w:hAnsiTheme="majorBidi" w:cstheme="majorBidi"/>
          <w:szCs w:val="22"/>
        </w:rPr>
        <w:t xml:space="preserve"> reliance on</w:t>
      </w:r>
      <w:r w:rsidRPr="00693EA6">
        <w:rPr>
          <w:rFonts w:asciiTheme="majorBidi" w:eastAsia="Calibri" w:hAnsiTheme="majorBidi" w:cstheme="majorBidi"/>
          <w:szCs w:val="22"/>
        </w:rPr>
        <w:t xml:space="preserve"> her wheelchair is </w:t>
      </w:r>
      <w:r w:rsidR="00C73549">
        <w:rPr>
          <w:rFonts w:asciiTheme="majorBidi" w:eastAsia="Calibri" w:hAnsiTheme="majorBidi" w:cstheme="majorBidi"/>
          <w:szCs w:val="22"/>
        </w:rPr>
        <w:t>less fixed than it initially seems</w:t>
      </w:r>
      <w:r w:rsidRPr="00693EA6">
        <w:rPr>
          <w:rFonts w:asciiTheme="majorBidi" w:eastAsia="Calibri" w:hAnsiTheme="majorBidi" w:cstheme="majorBidi"/>
          <w:szCs w:val="22"/>
        </w:rPr>
        <w:t>—when blackmailed by Rigaud later in the novel, Mrs. Clennam runs out of her house and into the streets to obtain the damning documents that will expose her offenses—and her adoption of that particular object allows her to stage, by embodying but not admitting outright, her culpability in a number of wrongdoings. And in declining to articulate the nature or details of her condition, Mrs. Clennam appoints the chair to act as her body’s mouthpiece, the inanimate chair performing a silent soliloquy.</w:t>
      </w:r>
    </w:p>
    <w:p w14:paraId="3B81A142" w14:textId="77777777" w:rsidR="00693EA6" w:rsidRPr="00693EA6" w:rsidRDefault="00693EA6" w:rsidP="00693EA6">
      <w:pPr>
        <w:spacing w:line="480" w:lineRule="auto"/>
        <w:rPr>
          <w:rFonts w:asciiTheme="majorBidi" w:eastAsia="Calibri" w:hAnsiTheme="majorBidi" w:cstheme="majorBidi"/>
          <w:szCs w:val="22"/>
        </w:rPr>
      </w:pPr>
      <w:r w:rsidRPr="00693EA6">
        <w:rPr>
          <w:rFonts w:asciiTheme="majorBidi" w:eastAsia="Calibri" w:hAnsiTheme="majorBidi" w:cstheme="majorBidi"/>
          <w:szCs w:val="22"/>
        </w:rPr>
        <w:tab/>
        <w:t xml:space="preserve">Indeed, the limited mobility of a wheelchair confined to a house ensures that Mrs. Clennam’s performances remain private, limited to the theater of her own home. In the wake of his father’s death, Arthur Clennam, </w:t>
      </w:r>
      <w:r w:rsidRPr="00693EA6">
        <w:rPr>
          <w:rFonts w:asciiTheme="majorBidi" w:eastAsia="Calibri" w:hAnsiTheme="majorBidi" w:cstheme="majorBidi"/>
          <w:i/>
          <w:szCs w:val="22"/>
        </w:rPr>
        <w:t>Little Dorrit</w:t>
      </w:r>
      <w:r w:rsidRPr="00693EA6">
        <w:rPr>
          <w:rFonts w:asciiTheme="majorBidi" w:eastAsia="Calibri" w:hAnsiTheme="majorBidi" w:cstheme="majorBidi"/>
          <w:szCs w:val="22"/>
        </w:rPr>
        <w:t xml:space="preserve">’s male protagonist, returns to his mother’s home in London. As Arthur makes his way to the Clennam house, the narrative description of the </w:t>
      </w:r>
      <w:r w:rsidRPr="00693EA6">
        <w:rPr>
          <w:rFonts w:asciiTheme="majorBidi" w:eastAsia="Calibri" w:hAnsiTheme="majorBidi" w:cstheme="majorBidi"/>
          <w:szCs w:val="22"/>
        </w:rPr>
        <w:lastRenderedPageBreak/>
        <w:t xml:space="preserve">urban surroundings become increasingly monotonous, echoing the confining sketch of </w:t>
      </w:r>
      <w:r w:rsidRPr="00693EA6">
        <w:rPr>
          <w:rFonts w:asciiTheme="majorBidi" w:eastAsia="Calibri" w:hAnsiTheme="majorBidi" w:cstheme="majorBidi"/>
          <w:i/>
          <w:szCs w:val="22"/>
        </w:rPr>
        <w:t>Hard Times</w:t>
      </w:r>
      <w:r w:rsidRPr="00693EA6">
        <w:rPr>
          <w:rFonts w:asciiTheme="majorBidi" w:eastAsia="Calibri" w:hAnsiTheme="majorBidi" w:cstheme="majorBidi"/>
          <w:szCs w:val="22"/>
        </w:rPr>
        <w:t>’s Coketown.</w:t>
      </w:r>
      <w:r w:rsidRPr="00693EA6">
        <w:rPr>
          <w:rFonts w:asciiTheme="majorBidi" w:eastAsia="Calibri" w:hAnsiTheme="majorBidi" w:cstheme="majorBidi"/>
          <w:szCs w:val="22"/>
          <w:vertAlign w:val="superscript"/>
        </w:rPr>
        <w:footnoteReference w:id="62"/>
      </w:r>
      <w:r w:rsidRPr="00693EA6">
        <w:rPr>
          <w:rFonts w:asciiTheme="majorBidi" w:eastAsia="Calibri" w:hAnsiTheme="majorBidi" w:cstheme="majorBidi"/>
          <w:szCs w:val="22"/>
        </w:rPr>
        <w:t xml:space="preserve"> The streets lined with houses become rows of prison cells. His mother’s isolated house, set behind rusty iron gates, constitutes the urban-prison’s site of solitary confinement. When Jeremiah Flintwich, Mrs. Clennam’s servant, meets Arthur at the door, he informs Arthur that his mother, now the sole proprietor of Clennam and Co., “Keeps to her room when not actually bedridden, and hasn’t been out of it fifteen times in as many years” (45). Paradoxically, Mrs. Clennam chooses to surrender her mobility by imbricating herself with a device designed to confer freedom of movement. </w:t>
      </w:r>
    </w:p>
    <w:p w14:paraId="77143172" w14:textId="3FA9CEFE" w:rsidR="00693EA6" w:rsidRPr="00693EA6" w:rsidRDefault="00693EA6" w:rsidP="00693EA6">
      <w:pPr>
        <w:spacing w:line="480" w:lineRule="auto"/>
        <w:rPr>
          <w:rFonts w:asciiTheme="majorBidi" w:eastAsia="Calibri" w:hAnsiTheme="majorBidi" w:cstheme="majorBidi"/>
          <w:szCs w:val="22"/>
        </w:rPr>
      </w:pPr>
      <w:r w:rsidRPr="00693EA6">
        <w:rPr>
          <w:rFonts w:asciiTheme="majorBidi" w:eastAsia="Calibri" w:hAnsiTheme="majorBidi" w:cstheme="majorBidi"/>
          <w:szCs w:val="22"/>
        </w:rPr>
        <w:tab/>
        <w:t xml:space="preserve">The prospect of Mrs. Clennam’s penitential performance is not lost on Arthur. The chair, after all, operates according to its user’s movements and thus becomes a conduit for involuntary tells. When Arthur begins to ask his mother whether she ever suspected his late father of wronging someone, Mrs. Clennam’s surprise or conscience manifests itself in the chair’s shifts as it registers her body’s retreat from the interrogation: “Still so recoiling in her chair that her </w:t>
      </w:r>
      <w:r w:rsidRPr="00693EA6">
        <w:rPr>
          <w:rFonts w:asciiTheme="majorBidi" w:eastAsia="Calibri" w:hAnsiTheme="majorBidi" w:cstheme="majorBidi"/>
          <w:szCs w:val="22"/>
        </w:rPr>
        <w:lastRenderedPageBreak/>
        <w:t>overpoised weight moved it from time to time, a little on its wheels, and gave her the appearance of a phantom of fierce aspect gliding away from him” (60). The prop can thwart as easily as enhance the performance.</w:t>
      </w:r>
      <w:r w:rsidR="00C73549" w:rsidRPr="00C73549">
        <w:rPr>
          <w:rFonts w:asciiTheme="majorBidi" w:eastAsia="Calibri" w:hAnsiTheme="majorBidi" w:cstheme="majorBidi"/>
          <w:szCs w:val="22"/>
          <w:vertAlign w:val="superscript"/>
        </w:rPr>
        <w:t xml:space="preserve"> </w:t>
      </w:r>
      <w:r w:rsidR="00C73549" w:rsidRPr="00693EA6">
        <w:rPr>
          <w:rFonts w:asciiTheme="majorBidi" w:eastAsia="Calibri" w:hAnsiTheme="majorBidi" w:cstheme="majorBidi"/>
          <w:szCs w:val="22"/>
          <w:vertAlign w:val="superscript"/>
        </w:rPr>
        <w:footnoteReference w:id="63"/>
      </w:r>
      <w:r w:rsidRPr="00693EA6">
        <w:rPr>
          <w:rFonts w:asciiTheme="majorBidi" w:eastAsia="Calibri" w:hAnsiTheme="majorBidi" w:cstheme="majorBidi"/>
          <w:szCs w:val="22"/>
        </w:rPr>
        <w:t xml:space="preserve"> And in trying to make sense of the Dorrit family’s circumstances (William Dorrit and his children have spent the better part of their lives in debtor’s prison) and his mother’s curious “softening” to Amy Dorrit, Arthur begins to suspect the affected nature of Mrs. Clennam’s disabling incarceration—the </w:t>
      </w:r>
      <w:r w:rsidR="00C73549">
        <w:rPr>
          <w:rFonts w:asciiTheme="majorBidi" w:eastAsia="Calibri" w:hAnsiTheme="majorBidi" w:cstheme="majorBidi"/>
          <w:szCs w:val="22"/>
        </w:rPr>
        <w:t>other</w:t>
      </w:r>
      <w:r w:rsidRPr="00693EA6">
        <w:rPr>
          <w:rFonts w:asciiTheme="majorBidi" w:eastAsia="Calibri" w:hAnsiTheme="majorBidi" w:cstheme="majorBidi"/>
          <w:szCs w:val="22"/>
        </w:rPr>
        <w:t xml:space="preserve"> function of her wheeled chair:</w:t>
      </w:r>
    </w:p>
    <w:p w14:paraId="5CB9E5C3" w14:textId="76B75F01" w:rsidR="00693EA6" w:rsidRPr="00693EA6" w:rsidRDefault="00693EA6" w:rsidP="00BD5916">
      <w:pPr>
        <w:spacing w:line="480" w:lineRule="auto"/>
        <w:ind w:left="1440"/>
        <w:rPr>
          <w:rFonts w:asciiTheme="majorBidi" w:eastAsia="Calibri" w:hAnsiTheme="majorBidi" w:cstheme="majorBidi"/>
          <w:szCs w:val="22"/>
        </w:rPr>
      </w:pPr>
      <w:r w:rsidRPr="00693EA6">
        <w:rPr>
          <w:rFonts w:asciiTheme="majorBidi" w:eastAsia="Calibri" w:hAnsiTheme="majorBidi" w:cstheme="majorBidi"/>
          <w:szCs w:val="22"/>
        </w:rPr>
        <w:t>A swift thought shot into his mind. In that long imprisonment here, and in her own long confinement to her room, did his mother find a balance to be struck? I admit that I was accessory to that man’s captivity. I have suffered for it in kind. He has decayed in his prison; I in mine. I have paid the penalty</w:t>
      </w:r>
      <w:proofErr w:type="gramStart"/>
      <w:r w:rsidRPr="00693EA6">
        <w:rPr>
          <w:rFonts w:asciiTheme="majorBidi" w:eastAsia="Calibri" w:hAnsiTheme="majorBidi" w:cstheme="majorBidi"/>
          <w:szCs w:val="22"/>
        </w:rPr>
        <w:t>. . . .</w:t>
      </w:r>
      <w:proofErr w:type="gramEnd"/>
      <w:r w:rsidRPr="00693EA6">
        <w:rPr>
          <w:rFonts w:asciiTheme="majorBidi" w:eastAsia="Calibri" w:hAnsiTheme="majorBidi" w:cstheme="majorBidi"/>
          <w:szCs w:val="22"/>
        </w:rPr>
        <w:t xml:space="preserve"> When he fell asleep, she came before him in her wheeled chair </w:t>
      </w:r>
      <w:proofErr w:type="gramStart"/>
      <w:r w:rsidRPr="00693EA6">
        <w:rPr>
          <w:rFonts w:asciiTheme="majorBidi" w:eastAsia="Calibri" w:hAnsiTheme="majorBidi" w:cstheme="majorBidi"/>
          <w:szCs w:val="22"/>
        </w:rPr>
        <w:t>. . . .</w:t>
      </w:r>
      <w:proofErr w:type="gramEnd"/>
      <w:r w:rsidRPr="00693EA6">
        <w:rPr>
          <w:rFonts w:asciiTheme="majorBidi" w:eastAsia="Calibri" w:hAnsiTheme="majorBidi" w:cstheme="majorBidi"/>
          <w:szCs w:val="22"/>
        </w:rPr>
        <w:t xml:space="preserve"> When he awoke, and sprang up causelessly frightened, the words were in his ears, as if her voice had slowly spoken them at his pillow, to break his rest: “He withers away in his prison; I wither away in mine; inexorable justice is done; what do I owe on this score!” (98)</w:t>
      </w:r>
    </w:p>
    <w:p w14:paraId="62B053B6" w14:textId="77777777" w:rsidR="00693EA6" w:rsidRPr="00693EA6" w:rsidRDefault="00693EA6" w:rsidP="00693EA6">
      <w:pPr>
        <w:spacing w:line="480" w:lineRule="auto"/>
        <w:rPr>
          <w:rFonts w:asciiTheme="majorBidi" w:eastAsia="Calibri" w:hAnsiTheme="majorBidi" w:cstheme="majorBidi"/>
          <w:szCs w:val="22"/>
        </w:rPr>
      </w:pPr>
      <w:r w:rsidRPr="00693EA6">
        <w:rPr>
          <w:rFonts w:asciiTheme="majorBidi" w:eastAsia="Calibri" w:hAnsiTheme="majorBidi" w:cstheme="majorBidi"/>
          <w:szCs w:val="22"/>
        </w:rPr>
        <w:t xml:space="preserve">If Arthur’s inference holds, his mother’s wheelchair supports not only her body, but also the psychoemotional weight of her guilt. The medical object adopted by his mother, in other words, performs multiple assistive functions. Arthur subsequently becomes witness to his mother’s </w:t>
      </w:r>
      <w:r w:rsidRPr="00693EA6">
        <w:rPr>
          <w:rFonts w:asciiTheme="majorBidi" w:eastAsia="Calibri" w:hAnsiTheme="majorBidi" w:cstheme="majorBidi"/>
          <w:szCs w:val="22"/>
        </w:rPr>
        <w:lastRenderedPageBreak/>
        <w:t>corporeal soliloquy as the wheeled chair facilitates Mrs. Clennam’s one-woman performance of her triadic self as accused criminal, judge, and warden.</w:t>
      </w:r>
    </w:p>
    <w:p w14:paraId="21886036" w14:textId="77777777" w:rsidR="00693EA6" w:rsidRPr="00693EA6" w:rsidRDefault="00693EA6" w:rsidP="00693EA6">
      <w:pPr>
        <w:spacing w:line="480" w:lineRule="auto"/>
        <w:rPr>
          <w:rFonts w:asciiTheme="majorBidi" w:eastAsia="Calibri" w:hAnsiTheme="majorBidi" w:cstheme="majorBidi"/>
          <w:szCs w:val="22"/>
        </w:rPr>
      </w:pPr>
      <w:r w:rsidRPr="00693EA6">
        <w:rPr>
          <w:rFonts w:asciiTheme="majorBidi" w:eastAsia="Calibri" w:hAnsiTheme="majorBidi" w:cstheme="majorBidi"/>
          <w:szCs w:val="22"/>
        </w:rPr>
        <w:tab/>
        <w:t xml:space="preserve">Much like Mrs. Clennam’s chair, Jenny Wren’s crutch attests to the lingering effects of past violence. But unlike Mrs. Clennam, </w:t>
      </w:r>
      <w:r w:rsidRPr="00693EA6">
        <w:rPr>
          <w:rFonts w:asciiTheme="majorBidi" w:eastAsia="Calibri" w:hAnsiTheme="majorBidi" w:cstheme="majorBidi"/>
          <w:i/>
          <w:szCs w:val="22"/>
        </w:rPr>
        <w:t>Our Mutual Friend</w:t>
      </w:r>
      <w:r w:rsidRPr="00693EA6">
        <w:rPr>
          <w:rFonts w:asciiTheme="majorBidi" w:eastAsia="Calibri" w:hAnsiTheme="majorBidi" w:cstheme="majorBidi"/>
          <w:szCs w:val="22"/>
        </w:rPr>
        <w:t>’s Jenny Wren has suffered for someone else’s wrongs, and the mobility and authority imparted to her by her prop allow Jenny to rewrite her damaged person, inverting the parent-child, abuser-abused roles. In fact, Jenny appears almost totally self-authored. Jenny Wren, notably, is not even the girl’s real name. The narrator explains of the curious person of the house, “Her real name was Fanny Cleaver; but she had long ago chosen to bestow upon herself the appellation of Miss Jenny Wren” (233).</w:t>
      </w:r>
      <w:r w:rsidRPr="00693EA6">
        <w:rPr>
          <w:rFonts w:asciiTheme="majorBidi" w:eastAsia="Calibri" w:hAnsiTheme="majorBidi" w:cstheme="majorBidi"/>
          <w:szCs w:val="22"/>
          <w:vertAlign w:val="superscript"/>
        </w:rPr>
        <w:footnoteReference w:id="64"/>
      </w:r>
      <w:r w:rsidRPr="00693EA6">
        <w:rPr>
          <w:rFonts w:asciiTheme="majorBidi" w:eastAsia="Calibri" w:hAnsiTheme="majorBidi" w:cstheme="majorBidi"/>
          <w:szCs w:val="22"/>
        </w:rPr>
        <w:t xml:space="preserve"> Jenny’s bodily variation renders her a kind of vague slate on which her identity can be (re)written. When the child professes, for the first of many times, her profound hatred of other children, the narrator assumes an ill-defined mode of free indirect discourse as Charley Hexam and Bradley Headstone try to make sense of the girl, musing, “It was difficult to guess the age of this strange creature, for her poor figure furnished no clue to it, and her face was at once so young and so old” (224). Jenny seems almost deliberately difficult to read. </w:t>
      </w:r>
    </w:p>
    <w:p w14:paraId="07DFAB19" w14:textId="3C19946A" w:rsidR="00693EA6" w:rsidRPr="00693EA6" w:rsidRDefault="00693EA6" w:rsidP="00693EA6">
      <w:pPr>
        <w:spacing w:line="480" w:lineRule="auto"/>
        <w:ind w:firstLine="720"/>
        <w:rPr>
          <w:rFonts w:asciiTheme="majorBidi" w:eastAsia="Calibri" w:hAnsiTheme="majorBidi" w:cstheme="majorBidi"/>
          <w:szCs w:val="22"/>
        </w:rPr>
      </w:pPr>
      <w:r w:rsidRPr="00693EA6">
        <w:rPr>
          <w:rFonts w:asciiTheme="majorBidi" w:eastAsia="Calibri" w:hAnsiTheme="majorBidi" w:cstheme="majorBidi"/>
          <w:szCs w:val="22"/>
        </w:rPr>
        <w:t xml:space="preserve">Amid the inscrutability of her bodily variation, Jenny’s prosthetic object enables her performances. She constructs a fantasy household in which she becomes the surrogate mother to her drunken, formerly abusive father. (The narrator’s pithy gesture toward Jenny’s abuse and ensuing disability provides one of the rare narrative injections of pity for the girl who berates and </w:t>
      </w:r>
      <w:r w:rsidRPr="00693EA6">
        <w:rPr>
          <w:rFonts w:asciiTheme="majorBidi" w:eastAsia="Calibri" w:hAnsiTheme="majorBidi" w:cstheme="majorBidi"/>
          <w:szCs w:val="22"/>
        </w:rPr>
        <w:lastRenderedPageBreak/>
        <w:t>threatens her father: “Poor doll's dressmaker! How often dragged down by hands that should have raised her up; how often so misdirected when losing her way on the eternal road, and asking guidance! Poor, poor, little dolls’ dressmaker!” [243].) She performs the impossibly “dire reversal of the places of parent and child" with such conviction that an outside observer could only believe it to be a sort of unsettling play-acting (241). When Jenny warns Eugene Wrayburn, “it’s Saturday night . . . and my child’s coming home. And my child is a troublesome bad child and costs me a world of scolding. I would rather you didn't see my child</w:t>
      </w:r>
      <w:r w:rsidR="00A03F5B">
        <w:rPr>
          <w:rFonts w:asciiTheme="majorBidi" w:eastAsia="Calibri" w:hAnsiTheme="majorBidi" w:cstheme="majorBidi"/>
          <w:szCs w:val="22"/>
        </w:rPr>
        <w:t>,</w:t>
      </w:r>
      <w:r w:rsidRPr="00693EA6">
        <w:rPr>
          <w:rFonts w:asciiTheme="majorBidi" w:eastAsia="Calibri" w:hAnsiTheme="majorBidi" w:cstheme="majorBidi"/>
          <w:szCs w:val="22"/>
        </w:rPr>
        <w:t>” Wrayburn assumes Jenny has projected her maternal fantasy onto one of her dolls</w:t>
      </w:r>
      <w:r w:rsidR="00A03F5B">
        <w:rPr>
          <w:rFonts w:asciiTheme="majorBidi" w:eastAsia="Calibri" w:hAnsiTheme="majorBidi" w:cstheme="majorBidi"/>
          <w:szCs w:val="22"/>
        </w:rPr>
        <w:t xml:space="preserve"> (240)</w:t>
      </w:r>
      <w:r w:rsidRPr="00693EA6">
        <w:rPr>
          <w:rFonts w:asciiTheme="majorBidi" w:eastAsia="Calibri" w:hAnsiTheme="majorBidi" w:cstheme="majorBidi"/>
          <w:szCs w:val="22"/>
        </w:rPr>
        <w:t xml:space="preserve">. Of course, Jenny’s “child” is her drunken, invalid father, whom she threatens and directs into absolute submission.  </w:t>
      </w:r>
    </w:p>
    <w:p w14:paraId="2AB38964" w14:textId="77777777" w:rsidR="00693EA6" w:rsidRPr="00693EA6" w:rsidRDefault="00693EA6" w:rsidP="00693EA6">
      <w:pPr>
        <w:spacing w:line="480" w:lineRule="auto"/>
        <w:rPr>
          <w:rFonts w:asciiTheme="majorBidi" w:eastAsia="Calibri" w:hAnsiTheme="majorBidi" w:cstheme="majorBidi"/>
          <w:szCs w:val="22"/>
        </w:rPr>
      </w:pPr>
      <w:r w:rsidRPr="00693EA6">
        <w:rPr>
          <w:rFonts w:asciiTheme="majorBidi" w:eastAsia="Calibri" w:hAnsiTheme="majorBidi" w:cstheme="majorBidi"/>
          <w:szCs w:val="22"/>
        </w:rPr>
        <w:tab/>
        <w:t xml:space="preserve">Jenny’s crutch provides the browbeaten, disabled girl the material accessory necessary for rewriting her circumstances insofar as it mitigates her physical disadvantages. The crutch literally props Jenny up above her abuser and enables a twisted inversion in which the disabled child becomes an unrelenting slave master to her “poor shattered invalid” father (242). Her material augmentation also becomes the grounds on which she refuses to sympathize with her father-child's plea that she </w:t>
      </w:r>
      <w:proofErr w:type="gramStart"/>
      <w:r w:rsidRPr="00693EA6">
        <w:rPr>
          <w:rFonts w:asciiTheme="majorBidi" w:eastAsia="Calibri" w:hAnsiTheme="majorBidi" w:cstheme="majorBidi"/>
          <w:szCs w:val="22"/>
        </w:rPr>
        <w:t>spare</w:t>
      </w:r>
      <w:proofErr w:type="gramEnd"/>
      <w:r w:rsidRPr="00693EA6">
        <w:rPr>
          <w:rFonts w:asciiTheme="majorBidi" w:eastAsia="Calibri" w:hAnsiTheme="majorBidi" w:cstheme="majorBidi"/>
          <w:szCs w:val="22"/>
        </w:rPr>
        <w:t xml:space="preserve"> him for “Circumstances over which [he] had no control” (241). It assists her development into the person of the house, supporting her frame while symbolizing her wretched past and testifying to her ability to “circumstance” and “control” the context of her existence.</w:t>
      </w:r>
    </w:p>
    <w:p w14:paraId="44AA9AB8" w14:textId="77777777" w:rsidR="00693EA6" w:rsidRPr="00693EA6" w:rsidRDefault="00693EA6" w:rsidP="00693EA6">
      <w:pPr>
        <w:spacing w:line="480" w:lineRule="auto"/>
        <w:rPr>
          <w:rFonts w:asciiTheme="majorBidi" w:eastAsia="Calibri" w:hAnsiTheme="majorBidi" w:cstheme="majorBidi"/>
          <w:b/>
          <w:szCs w:val="22"/>
        </w:rPr>
      </w:pPr>
      <w:r w:rsidRPr="00693EA6">
        <w:rPr>
          <w:rFonts w:asciiTheme="majorBidi" w:eastAsia="Calibri" w:hAnsiTheme="majorBidi" w:cstheme="majorBidi"/>
          <w:b/>
          <w:szCs w:val="22"/>
        </w:rPr>
        <w:t>(Re)production: Business and Intimacy</w:t>
      </w:r>
    </w:p>
    <w:p w14:paraId="5FFE5311" w14:textId="003E0133" w:rsidR="00693EA6" w:rsidRPr="00693EA6" w:rsidRDefault="00693EA6" w:rsidP="00693EA6">
      <w:pPr>
        <w:spacing w:line="480" w:lineRule="auto"/>
        <w:rPr>
          <w:rFonts w:asciiTheme="majorBidi" w:eastAsia="Calibri" w:hAnsiTheme="majorBidi" w:cstheme="majorBidi"/>
          <w:szCs w:val="22"/>
        </w:rPr>
      </w:pPr>
      <w:r w:rsidRPr="00693EA6">
        <w:rPr>
          <w:rFonts w:asciiTheme="majorBidi" w:eastAsia="Calibri" w:hAnsiTheme="majorBidi" w:cstheme="majorBidi"/>
          <w:szCs w:val="22"/>
        </w:rPr>
        <w:tab/>
        <w:t xml:space="preserve">Victorian women with physical impairments found themselves doubly disabled by their supposed inability to perform their public or private functions: to work or to marry and reproduce. Dickens challenges this cultural inference by supplying Mrs. Clennam and Jenny with instruments that enhance (often indirectly) their professional or romantic potential. What </w:t>
      </w:r>
      <w:r w:rsidR="00A03F5B">
        <w:rPr>
          <w:rFonts w:asciiTheme="majorBidi" w:eastAsia="Calibri" w:hAnsiTheme="majorBidi" w:cstheme="majorBidi"/>
          <w:szCs w:val="22"/>
        </w:rPr>
        <w:t xml:space="preserve">Martha </w:t>
      </w:r>
      <w:r w:rsidRPr="00693EA6">
        <w:rPr>
          <w:rFonts w:asciiTheme="majorBidi" w:eastAsia="Calibri" w:hAnsiTheme="majorBidi" w:cstheme="majorBidi"/>
          <w:szCs w:val="22"/>
        </w:rPr>
        <w:lastRenderedPageBreak/>
        <w:t xml:space="preserve">Stoddard Holmes notes of Jenny’s case in </w:t>
      </w:r>
      <w:r w:rsidRPr="00693EA6">
        <w:rPr>
          <w:rFonts w:asciiTheme="majorBidi" w:eastAsia="Calibri" w:hAnsiTheme="majorBidi" w:cstheme="majorBidi"/>
          <w:i/>
          <w:szCs w:val="22"/>
        </w:rPr>
        <w:t xml:space="preserve">Our Mutual Friend </w:t>
      </w:r>
      <w:r w:rsidRPr="00693EA6">
        <w:rPr>
          <w:rFonts w:asciiTheme="majorBidi" w:eastAsia="Calibri" w:hAnsiTheme="majorBidi" w:cstheme="majorBidi"/>
          <w:szCs w:val="22"/>
        </w:rPr>
        <w:t>also holds true for Mrs. Clennam: both characters suggest “that disabled women can be marriageable rather than simply the midwives of others’ unions</w:t>
      </w:r>
      <w:proofErr w:type="gramStart"/>
      <w:r w:rsidRPr="00693EA6">
        <w:rPr>
          <w:rFonts w:asciiTheme="majorBidi" w:eastAsia="Calibri" w:hAnsiTheme="majorBidi" w:cstheme="majorBidi"/>
          <w:szCs w:val="22"/>
        </w:rPr>
        <w:t>. . . .</w:t>
      </w:r>
      <w:proofErr w:type="gramEnd"/>
      <w:r w:rsidRPr="00693EA6">
        <w:rPr>
          <w:rFonts w:asciiTheme="majorBidi" w:eastAsia="Calibri" w:hAnsiTheme="majorBidi" w:cstheme="majorBidi"/>
          <w:szCs w:val="22"/>
        </w:rPr>
        <w:t xml:space="preserve"> Jenny’s relationship to the marriage plot, to pathos and eros, and to the courting couple of Lizzie and Eugene is more complex than can be resolved in her final parceling off in a suggested romance with Sloppy, another ‘good’ disabled character” (</w:t>
      </w:r>
      <w:r w:rsidRPr="00693EA6">
        <w:rPr>
          <w:rFonts w:asciiTheme="majorBidi" w:eastAsia="Calibri" w:hAnsiTheme="majorBidi" w:cstheme="majorBidi"/>
          <w:i/>
          <w:szCs w:val="22"/>
        </w:rPr>
        <w:t>Fictions of Affliction</w:t>
      </w:r>
      <w:r w:rsidRPr="00693EA6">
        <w:rPr>
          <w:rFonts w:asciiTheme="majorBidi" w:eastAsia="Calibri" w:hAnsiTheme="majorBidi" w:cstheme="majorBidi"/>
          <w:szCs w:val="22"/>
        </w:rPr>
        <w:t xml:space="preserve"> 6). Mrs. Clennam, after all, has been married, though she and her late husband were separated for some time prior to his death. And Mrs. Clennam, in particular, presents a potent, and now materially impenetrable, force when confronted by sexual rivals. But the women’s involvement with business and economic production proves, perhaps, even more crucial than their participation in the marriage plot.</w:t>
      </w:r>
    </w:p>
    <w:p w14:paraId="3AC5A54B" w14:textId="77777777" w:rsidR="00693EA6" w:rsidRPr="00693EA6" w:rsidRDefault="00693EA6" w:rsidP="00693EA6">
      <w:pPr>
        <w:spacing w:line="480" w:lineRule="auto"/>
        <w:rPr>
          <w:rFonts w:asciiTheme="majorBidi" w:eastAsia="Calibri" w:hAnsiTheme="majorBidi" w:cstheme="majorBidi"/>
          <w:szCs w:val="22"/>
        </w:rPr>
      </w:pPr>
      <w:r w:rsidRPr="00693EA6">
        <w:rPr>
          <w:rFonts w:asciiTheme="majorBidi" w:eastAsia="Calibri" w:hAnsiTheme="majorBidi" w:cstheme="majorBidi"/>
          <w:szCs w:val="22"/>
        </w:rPr>
        <w:tab/>
        <w:t>What Mrs. Clennam rejects in terms of maternal obligation, she compensates for with sheer productive energy, which she channels overtly through her wheelchair. The professional persona that renders her an unsuitable mother makes her an imposing entrepreneurial force.</w:t>
      </w:r>
      <w:r w:rsidRPr="00693EA6">
        <w:rPr>
          <w:rFonts w:asciiTheme="majorBidi" w:eastAsia="Calibri" w:hAnsiTheme="majorBidi" w:cstheme="majorBidi"/>
          <w:szCs w:val="22"/>
          <w:vertAlign w:val="superscript"/>
        </w:rPr>
        <w:footnoteReference w:id="65"/>
      </w:r>
      <w:r w:rsidRPr="00693EA6">
        <w:rPr>
          <w:rFonts w:asciiTheme="majorBidi" w:eastAsia="Calibri" w:hAnsiTheme="majorBidi" w:cstheme="majorBidi"/>
          <w:szCs w:val="22"/>
        </w:rPr>
        <w:t xml:space="preserve"> The combination of Mrs. Clennam's unfeeling demeanor, her use of a chair that seems to age with her, and her long separation from society renders her, in the minds of those outside of her immediate circle, an imposing embodiment of Victorian industry. She becomes a frightening, conflated amalgamation of human flesh and mechanical parts. When Mr. Dorrit asks Flora who Clennam and Co. is, she responds, “It’s a very different person indeed . . . with no limbs and wheels instead and the grimmest of women though his mother” (610). The image of the </w:t>
      </w:r>
      <w:r w:rsidRPr="00693EA6">
        <w:rPr>
          <w:rFonts w:asciiTheme="majorBidi" w:eastAsia="Calibri" w:hAnsiTheme="majorBidi" w:cstheme="majorBidi"/>
          <w:szCs w:val="22"/>
        </w:rPr>
        <w:lastRenderedPageBreak/>
        <w:t xml:space="preserve">putatively sexless human-machine produced by a tangle of object pronouns and human subjects, machinery and maternity, leaves Mr. Dorrit looking </w:t>
      </w:r>
    </w:p>
    <w:p w14:paraId="4B62FA39" w14:textId="57AA1EB0" w:rsidR="00693EA6" w:rsidRPr="00693EA6" w:rsidRDefault="00693EA6" w:rsidP="0038006E">
      <w:pPr>
        <w:spacing w:line="480" w:lineRule="auto"/>
        <w:ind w:left="1440"/>
        <w:rPr>
          <w:rFonts w:asciiTheme="majorBidi" w:eastAsia="Calibri" w:hAnsiTheme="majorBidi" w:cstheme="majorBidi"/>
          <w:szCs w:val="22"/>
        </w:rPr>
      </w:pPr>
      <w:r w:rsidRPr="00693EA6">
        <w:rPr>
          <w:rFonts w:asciiTheme="majorBidi" w:eastAsia="Calibri" w:hAnsiTheme="majorBidi" w:cstheme="majorBidi"/>
          <w:szCs w:val="22"/>
        </w:rPr>
        <w:t xml:space="preserve">as if he must immediately be driven out of his mind </w:t>
      </w:r>
      <w:proofErr w:type="gramStart"/>
      <w:r w:rsidRPr="00693EA6">
        <w:rPr>
          <w:rFonts w:asciiTheme="majorBidi" w:eastAsia="Calibri" w:hAnsiTheme="majorBidi" w:cstheme="majorBidi"/>
          <w:szCs w:val="22"/>
        </w:rPr>
        <w:t>. . . .</w:t>
      </w:r>
      <w:proofErr w:type="gramEnd"/>
      <w:r w:rsidRPr="00693EA6">
        <w:rPr>
          <w:rFonts w:asciiTheme="majorBidi" w:eastAsia="Calibri" w:hAnsiTheme="majorBidi" w:cstheme="majorBidi"/>
          <w:szCs w:val="22"/>
        </w:rPr>
        <w:t xml:space="preserve"> Neither was it [Flora’s account] rendered more favorable to sanity by Flora’s dashing into a rapid analysis of Mr. Flintwinch’s cravat, and describing him, without the lightest boundary line of separation between his identity and Mrs. Clennam’s, as a rusty screw in gaiters. Which compound of man and woman, no limbs, wheels, rusty screw, grimness, and gaiters, so completely stupefied Mr. Dorrit, that he was a spectacle to be pitied. (Ibid.)</w:t>
      </w:r>
    </w:p>
    <w:p w14:paraId="2F263D97" w14:textId="77777777" w:rsidR="00693EA6" w:rsidRPr="00693EA6" w:rsidRDefault="00693EA6" w:rsidP="00693EA6">
      <w:pPr>
        <w:spacing w:line="480" w:lineRule="auto"/>
        <w:rPr>
          <w:rFonts w:asciiTheme="majorBidi" w:eastAsia="Calibri" w:hAnsiTheme="majorBidi" w:cstheme="majorBidi"/>
          <w:szCs w:val="22"/>
        </w:rPr>
      </w:pPr>
      <w:r w:rsidRPr="00693EA6">
        <w:rPr>
          <w:rFonts w:asciiTheme="majorBidi" w:eastAsia="Calibri" w:hAnsiTheme="majorBidi" w:cstheme="majorBidi"/>
          <w:szCs w:val="22"/>
        </w:rPr>
        <w:t xml:space="preserve">This confounding torrent of subjects—male, female, object—leaves Mr. Dorrit temporarily unmoored in a liminal space where all orienting “boundary lines of separation” have been suspended or exploded. Flesh, fabric, limbs, metal alternatively fold, crease, disappear, rust. </w:t>
      </w:r>
    </w:p>
    <w:p w14:paraId="69159E5F" w14:textId="77777777" w:rsidR="00693EA6" w:rsidRPr="00693EA6" w:rsidRDefault="00693EA6" w:rsidP="00693EA6">
      <w:pPr>
        <w:spacing w:line="480" w:lineRule="auto"/>
        <w:ind w:firstLine="720"/>
        <w:rPr>
          <w:rFonts w:asciiTheme="majorBidi" w:eastAsia="Calibri" w:hAnsiTheme="majorBidi" w:cstheme="majorBidi"/>
          <w:szCs w:val="22"/>
        </w:rPr>
      </w:pPr>
      <w:r w:rsidRPr="00693EA6">
        <w:rPr>
          <w:rFonts w:asciiTheme="majorBidi" w:eastAsia="Calibri" w:hAnsiTheme="majorBidi" w:cstheme="majorBidi"/>
          <w:szCs w:val="22"/>
        </w:rPr>
        <w:t>Flora’s disorienting description, in short, reinforces the commanding shadow of Mrs. Clennam’s hardware. In the absence of her husband, Mrs. Clennam unsexes and casts herself as a productive mechanism, a woman turned mechanical entity born about by her wheels. One cannot help but recognize in Mrs. Clennam a material, industrial reverberation of Lady Macbeth’s desire unsex herself so as to “Stop of the access and passage to remorse, / That no compunctious visitings of nature / Shake [her] fell purpose” (</w:t>
      </w:r>
      <w:r w:rsidRPr="00693EA6">
        <w:rPr>
          <w:rFonts w:asciiTheme="majorBidi" w:eastAsia="Calibri" w:hAnsiTheme="majorBidi" w:cstheme="majorBidi"/>
          <w:i/>
          <w:szCs w:val="22"/>
        </w:rPr>
        <w:t>Macbeth</w:t>
      </w:r>
      <w:r w:rsidRPr="00693EA6">
        <w:rPr>
          <w:rFonts w:asciiTheme="majorBidi" w:eastAsia="Calibri" w:hAnsiTheme="majorBidi" w:cstheme="majorBidi"/>
          <w:szCs w:val="22"/>
        </w:rPr>
        <w:t xml:space="preserve"> I.v.44-46). The wheelchair allows Mrs. Clennam to free herself from her sex—to divorce her body from a socially mandated commitment to marriage and maternity—and to assume, instead, the intimidating industrial cyborg form of Clennam &amp; Co.</w:t>
      </w:r>
    </w:p>
    <w:p w14:paraId="7D699E84" w14:textId="77777777" w:rsidR="00693EA6" w:rsidRPr="00693EA6" w:rsidRDefault="00693EA6" w:rsidP="00693EA6">
      <w:pPr>
        <w:spacing w:line="480" w:lineRule="auto"/>
        <w:rPr>
          <w:rFonts w:asciiTheme="majorBidi" w:eastAsia="Calibri" w:hAnsiTheme="majorBidi" w:cstheme="majorBidi"/>
          <w:szCs w:val="22"/>
        </w:rPr>
      </w:pPr>
      <w:r w:rsidRPr="00693EA6">
        <w:rPr>
          <w:rFonts w:asciiTheme="majorBidi" w:eastAsia="Calibri" w:hAnsiTheme="majorBidi" w:cstheme="majorBidi"/>
          <w:szCs w:val="22"/>
        </w:rPr>
        <w:tab/>
        <w:t xml:space="preserve">On the one hand, Flora’s monstrous conception of Mrs. Clennam appears to substantiate what Erin O’Connor identifies as “the fundamental paradox of prosthetics—that the </w:t>
      </w:r>
      <w:r w:rsidRPr="00693EA6">
        <w:rPr>
          <w:rFonts w:asciiTheme="majorBidi" w:eastAsia="Calibri" w:hAnsiTheme="majorBidi" w:cstheme="majorBidi"/>
          <w:szCs w:val="22"/>
        </w:rPr>
        <w:lastRenderedPageBreak/>
        <w:t>dismembered body cannot be rearticulated without also being objectified” (</w:t>
      </w:r>
      <w:r w:rsidRPr="00693EA6">
        <w:rPr>
          <w:rFonts w:asciiTheme="majorBidi" w:eastAsia="Calibri" w:hAnsiTheme="majorBidi" w:cstheme="majorBidi"/>
          <w:i/>
          <w:szCs w:val="22"/>
        </w:rPr>
        <w:t xml:space="preserve">Raw Material </w:t>
      </w:r>
      <w:r w:rsidRPr="00693EA6">
        <w:rPr>
          <w:rFonts w:asciiTheme="majorBidi" w:eastAsia="Calibri" w:hAnsiTheme="majorBidi" w:cstheme="majorBidi"/>
          <w:szCs w:val="22"/>
        </w:rPr>
        <w:t xml:space="preserve">133). On the other hand, it is worth noting that Mrs. Clennam’s choice of the practical, unadorned chair proves apposite when one considers her own cultivation of a Gradgrindian attitude toward human life in general. At the outset of the novel, Arthur Clennam, speaking to Mr. Meagles, states, “I am the only child of parents who weighed, measured, and priced everything: for whom what could not be weighed, measured and priced, had no existence” (34). Her means of conveyance winnow her life down to the bare bones of an occupation: “‘I am able,’ said Mrs. Clennam, with a slight motion of her worsted-muffled right hand towards a chair on wheels . . . ‘I am able to attend to my business duties, and I am thankful for the privilege. It is a great privilege’” (47). Rather than merely </w:t>
      </w:r>
      <w:r w:rsidRPr="00693EA6">
        <w:rPr>
          <w:rFonts w:asciiTheme="majorBidi" w:eastAsia="Calibri" w:hAnsiTheme="majorBidi" w:cstheme="majorBidi"/>
          <w:i/>
          <w:iCs/>
          <w:szCs w:val="22"/>
        </w:rPr>
        <w:t>objectifying</w:t>
      </w:r>
      <w:r w:rsidRPr="00693EA6">
        <w:rPr>
          <w:rFonts w:asciiTheme="majorBidi" w:eastAsia="Calibri" w:hAnsiTheme="majorBidi" w:cstheme="majorBidi"/>
          <w:szCs w:val="22"/>
        </w:rPr>
        <w:t xml:space="preserve"> its user’s body, the chair provides Mrs. Clennam the technology to </w:t>
      </w:r>
      <w:r w:rsidRPr="00693EA6">
        <w:rPr>
          <w:rFonts w:asciiTheme="majorBidi" w:eastAsia="Calibri" w:hAnsiTheme="majorBidi" w:cstheme="majorBidi"/>
          <w:i/>
          <w:szCs w:val="22"/>
        </w:rPr>
        <w:t>embody</w:t>
      </w:r>
      <w:r w:rsidRPr="00693EA6">
        <w:rPr>
          <w:rFonts w:asciiTheme="majorBidi" w:eastAsia="Calibri" w:hAnsiTheme="majorBidi" w:cstheme="majorBidi"/>
          <w:szCs w:val="22"/>
        </w:rPr>
        <w:t xml:space="preserve"> her starkly practical, quantitative philosophies.</w:t>
      </w:r>
    </w:p>
    <w:p w14:paraId="57F31F65" w14:textId="77777777" w:rsidR="00693EA6" w:rsidRPr="00693EA6" w:rsidRDefault="00693EA6" w:rsidP="00693EA6">
      <w:pPr>
        <w:spacing w:line="480" w:lineRule="auto"/>
        <w:rPr>
          <w:rFonts w:asciiTheme="majorBidi" w:eastAsia="Calibri" w:hAnsiTheme="majorBidi" w:cstheme="majorBidi"/>
          <w:szCs w:val="22"/>
        </w:rPr>
      </w:pPr>
      <w:r w:rsidRPr="00693EA6">
        <w:rPr>
          <w:rFonts w:asciiTheme="majorBidi" w:eastAsia="Calibri" w:hAnsiTheme="majorBidi" w:cstheme="majorBidi"/>
          <w:szCs w:val="22"/>
        </w:rPr>
        <w:tab/>
        <w:t>The wheelchair does double duty in the office. It both unsexes and automates Mrs. Clennam’s physical body, allowing her to transcend typical gender roles and run a successful, if highly suspect, company. It also renders her a commanding central point around which others must circulate. The narrator details the routine staging of Mrs. Clennam’s business interactions in the following terms:</w:t>
      </w:r>
    </w:p>
    <w:p w14:paraId="25083FD5" w14:textId="16F1A16C" w:rsidR="00693EA6" w:rsidRPr="00693EA6" w:rsidRDefault="00693EA6" w:rsidP="0038006E">
      <w:pPr>
        <w:spacing w:line="480" w:lineRule="auto"/>
        <w:ind w:left="1440"/>
        <w:rPr>
          <w:rFonts w:asciiTheme="majorBidi" w:eastAsia="Calibri" w:hAnsiTheme="majorBidi" w:cstheme="majorBidi"/>
          <w:szCs w:val="22"/>
        </w:rPr>
      </w:pPr>
      <w:r w:rsidRPr="00693EA6">
        <w:rPr>
          <w:rFonts w:asciiTheme="majorBidi" w:eastAsia="Calibri" w:hAnsiTheme="majorBidi" w:cstheme="majorBidi"/>
          <w:szCs w:val="22"/>
        </w:rPr>
        <w:t>It had long been customary, as she never changed her room, for those who had anything to say to her apart, to wheel her to her desk; where she sat, usually with the back of her chair turned towards the rest of the room, and the person who talked with her seated in a corner, on a stool which was always set in that place for that purpose</w:t>
      </w:r>
      <w:proofErr w:type="gramStart"/>
      <w:r w:rsidRPr="00693EA6">
        <w:rPr>
          <w:rFonts w:asciiTheme="majorBidi" w:eastAsia="Calibri" w:hAnsiTheme="majorBidi" w:cstheme="majorBidi"/>
          <w:szCs w:val="22"/>
        </w:rPr>
        <w:t>. . . .</w:t>
      </w:r>
      <w:proofErr w:type="gramEnd"/>
      <w:r w:rsidRPr="00693EA6">
        <w:rPr>
          <w:rFonts w:asciiTheme="majorBidi" w:eastAsia="Calibri" w:hAnsiTheme="majorBidi" w:cstheme="majorBidi"/>
          <w:szCs w:val="22"/>
        </w:rPr>
        <w:t xml:space="preserve"> it was an ordinary matter of course within the experience of visitors for Mrs. Clennam to be asked, with a word of apology for the </w:t>
      </w:r>
      <w:r w:rsidRPr="00693EA6">
        <w:rPr>
          <w:rFonts w:asciiTheme="majorBidi" w:eastAsia="Calibri" w:hAnsiTheme="majorBidi" w:cstheme="majorBidi"/>
          <w:szCs w:val="22"/>
        </w:rPr>
        <w:lastRenderedPageBreak/>
        <w:t>interruption, if she could be spoken with on a matter of business, and, on her replying in the affirmative, to be wheeled into the position described. (668)</w:t>
      </w:r>
    </w:p>
    <w:p w14:paraId="48859590" w14:textId="77777777" w:rsidR="00693EA6" w:rsidRPr="00693EA6" w:rsidRDefault="00693EA6" w:rsidP="00693EA6">
      <w:pPr>
        <w:spacing w:line="480" w:lineRule="auto"/>
        <w:rPr>
          <w:rFonts w:asciiTheme="majorBidi" w:eastAsia="Calibri" w:hAnsiTheme="majorBidi" w:cstheme="majorBidi"/>
          <w:szCs w:val="22"/>
        </w:rPr>
      </w:pPr>
      <w:r w:rsidRPr="00693EA6">
        <w:rPr>
          <w:rFonts w:asciiTheme="majorBidi" w:eastAsia="Calibri" w:hAnsiTheme="majorBidi" w:cstheme="majorBidi"/>
          <w:szCs w:val="22"/>
        </w:rPr>
        <w:t>Mrs. Clennam’s movements are deliberate, and her wheelchair assists her professional posturing via dramatic blocking. Much like Jenny Wren’s crutch, Mrs. Clennam’s chair allows her to direct the movement of others and imbue her own movements with a heightened significance. As a result, Mrs. Clennam effects commercial agency by affixing an assistive object to her body that interrupts the habitual movements of others and forces them to conform to her terms of her production.</w:t>
      </w:r>
    </w:p>
    <w:p w14:paraId="47C77E38" w14:textId="77777777" w:rsidR="00693EA6" w:rsidRPr="00693EA6" w:rsidRDefault="00693EA6" w:rsidP="00693EA6">
      <w:pPr>
        <w:spacing w:line="480" w:lineRule="auto"/>
        <w:rPr>
          <w:rFonts w:asciiTheme="majorBidi" w:eastAsia="Calibri" w:hAnsiTheme="majorBidi" w:cstheme="majorBidi"/>
          <w:szCs w:val="22"/>
        </w:rPr>
      </w:pPr>
      <w:r w:rsidRPr="00693EA6">
        <w:rPr>
          <w:rFonts w:asciiTheme="majorBidi" w:eastAsia="Calibri" w:hAnsiTheme="majorBidi" w:cstheme="majorBidi"/>
          <w:szCs w:val="22"/>
        </w:rPr>
        <w:tab/>
        <w:t xml:space="preserve">Jenny’s crutch, as much as her bad back and queer legs, similarly contributes to her unusual brand of professional agency. She commands, and those around her comply—none will argue with a crutch. When, for instance, Charley Hexam and Bradley Headstone arrive at a little house on Church Street to visit Lizzie Hexam, Jenny Wren remains at her work bench, asserts herself as the person of the house, and directs the men's movements: “Take a seat. And would you please to shut the street door first? I can't very well do it myself, because my back's so bad, and my legs are so queer” (222). In this scene and its many reiterations, Jenny transmutes her apparent physical impairment into the mundane burden of others. Like Collins’s Miserrimus Dexter, Jenny plays on external markers of her disability to direct and exact performance from others. She paradoxically uses the material sign of her atypical mobility to make “perfect slave[s]” (436) of non-intimate visitors as much as she does her unsuspecting lady models. Her crutch, in this regard, becomes as much her calling card as the business card she distributes to potential clients. </w:t>
      </w:r>
    </w:p>
    <w:p w14:paraId="4B41FA11" w14:textId="22FA8D4C" w:rsidR="00693EA6" w:rsidRPr="00693EA6" w:rsidRDefault="00693EA6" w:rsidP="00693EA6">
      <w:pPr>
        <w:spacing w:line="480" w:lineRule="auto"/>
        <w:rPr>
          <w:rFonts w:asciiTheme="majorBidi" w:eastAsia="Calibri" w:hAnsiTheme="majorBidi" w:cstheme="majorBidi"/>
          <w:szCs w:val="22"/>
        </w:rPr>
      </w:pPr>
      <w:r w:rsidRPr="00693EA6">
        <w:rPr>
          <w:rFonts w:asciiTheme="majorBidi" w:eastAsia="Calibri" w:hAnsiTheme="majorBidi" w:cstheme="majorBidi"/>
          <w:szCs w:val="22"/>
        </w:rPr>
        <w:tab/>
        <w:t xml:space="preserve">The formal and practical versatility of Jenny’s prop also generates variable personal boundaries, as well as professional ones. The crutch can become, at virtually any moment, an </w:t>
      </w:r>
      <w:r w:rsidRPr="00693EA6">
        <w:rPr>
          <w:rFonts w:asciiTheme="majorBidi" w:eastAsia="Calibri" w:hAnsiTheme="majorBidi" w:cstheme="majorBidi"/>
          <w:szCs w:val="22"/>
        </w:rPr>
        <w:lastRenderedPageBreak/>
        <w:t xml:space="preserve">entity </w:t>
      </w:r>
      <w:proofErr w:type="gramStart"/>
      <w:r w:rsidRPr="00693EA6">
        <w:rPr>
          <w:rFonts w:asciiTheme="majorBidi" w:eastAsia="Calibri" w:hAnsiTheme="majorBidi" w:cstheme="majorBidi"/>
          <w:szCs w:val="22"/>
        </w:rPr>
        <w:t>separate</w:t>
      </w:r>
      <w:proofErr w:type="gramEnd"/>
      <w:r w:rsidRPr="00693EA6">
        <w:rPr>
          <w:rFonts w:asciiTheme="majorBidi" w:eastAsia="Calibri" w:hAnsiTheme="majorBidi" w:cstheme="majorBidi"/>
          <w:szCs w:val="22"/>
        </w:rPr>
        <w:t xml:space="preserve"> from or contiguous with its user. The narrative presents the crutch as an inanimate assistant and companion</w:t>
      </w:r>
      <w:proofErr w:type="gramStart"/>
      <w:r w:rsidRPr="00693EA6">
        <w:rPr>
          <w:rFonts w:asciiTheme="majorBidi" w:eastAsia="Calibri" w:hAnsiTheme="majorBidi" w:cstheme="majorBidi"/>
          <w:szCs w:val="22"/>
        </w:rPr>
        <w:t>—“</w:t>
      </w:r>
      <w:proofErr w:type="gramEnd"/>
      <w:r w:rsidRPr="00693EA6">
        <w:rPr>
          <w:rFonts w:asciiTheme="majorBidi" w:eastAsia="Calibri" w:hAnsiTheme="majorBidi" w:cstheme="majorBidi"/>
          <w:szCs w:val="22"/>
        </w:rPr>
        <w:t>Miss Jenny and her crutch-stick went up-stairs” (721)—or a metonymic stand-in for its user—“The brisk little crutch-stick was but too brisk” (731). And in the moment after Mr. Lammel assaults Fledgeby and the scene gains momentum, the narrator fashions an anthropomorphic, metonymic account of the crutch's movements</w:t>
      </w:r>
      <w:proofErr w:type="gramStart"/>
      <w:r w:rsidRPr="00693EA6">
        <w:rPr>
          <w:rFonts w:asciiTheme="majorBidi" w:eastAsia="Calibri" w:hAnsiTheme="majorBidi" w:cstheme="majorBidi"/>
          <w:szCs w:val="22"/>
        </w:rPr>
        <w:t>—“</w:t>
      </w:r>
      <w:proofErr w:type="gramEnd"/>
      <w:r w:rsidRPr="00693EA6">
        <w:rPr>
          <w:rFonts w:asciiTheme="majorBidi" w:eastAsia="Calibri" w:hAnsiTheme="majorBidi" w:cstheme="majorBidi"/>
          <w:szCs w:val="22"/>
        </w:rPr>
        <w:t>In a few moments the black bonnet and the crutch-stick were on duty”—effectively hypostatizing the fusion of prosthetic object and prosthetic user</w:t>
      </w:r>
      <w:r w:rsidR="00A03F5B">
        <w:rPr>
          <w:rFonts w:asciiTheme="majorBidi" w:eastAsia="Calibri" w:hAnsiTheme="majorBidi" w:cstheme="majorBidi"/>
          <w:szCs w:val="22"/>
        </w:rPr>
        <w:t xml:space="preserve"> (735)</w:t>
      </w:r>
      <w:r w:rsidRPr="00693EA6">
        <w:rPr>
          <w:rFonts w:asciiTheme="majorBidi" w:eastAsia="Calibri" w:hAnsiTheme="majorBidi" w:cstheme="majorBidi"/>
          <w:szCs w:val="22"/>
        </w:rPr>
        <w:t>. The formal interactions between Jenny and her crutch—the way in which it can exist, in one moment, as something separate from her and, in another moment, a metonymic understudy for her person—underscore the crutch’s support not only of Jenny’s body, but also of the narrative itself. The crutch, in other words, generates new possibilities both on the level of representation and on the level of plot.</w:t>
      </w:r>
    </w:p>
    <w:p w14:paraId="3D234235" w14:textId="1C181EF1" w:rsidR="00693EA6" w:rsidRPr="00693EA6" w:rsidRDefault="00693EA6" w:rsidP="00693EA6">
      <w:pPr>
        <w:spacing w:line="480" w:lineRule="auto"/>
        <w:rPr>
          <w:rFonts w:asciiTheme="majorBidi" w:eastAsia="Calibri" w:hAnsiTheme="majorBidi" w:cstheme="majorBidi"/>
          <w:szCs w:val="22"/>
        </w:rPr>
      </w:pPr>
      <w:r w:rsidRPr="00693EA6">
        <w:rPr>
          <w:rFonts w:asciiTheme="majorBidi" w:eastAsia="Calibri" w:hAnsiTheme="majorBidi" w:cstheme="majorBidi"/>
          <w:szCs w:val="22"/>
        </w:rPr>
        <w:tab/>
        <w:t xml:space="preserve">Thus, when Jenny feels threatened, the crutch can function as a defense mechanism. When Fledgeby makes his way to Lizzie and Jenny’s door, Jenny resists his intimidation. She establishes her dominance through the twinned posturing of her disability and nonchalant abandonment of her mobility aid: “Miss Wren likewise became conscious, and said, irreverently addressing the great chief of the premises: ‘Whoever you are, </w:t>
      </w:r>
      <w:r w:rsidRPr="00693EA6">
        <w:rPr>
          <w:rFonts w:asciiTheme="majorBidi" w:eastAsia="Calibri" w:hAnsiTheme="majorBidi" w:cstheme="majorBidi"/>
          <w:i/>
          <w:szCs w:val="22"/>
        </w:rPr>
        <w:t>I</w:t>
      </w:r>
      <w:r w:rsidRPr="00693EA6">
        <w:rPr>
          <w:rFonts w:asciiTheme="majorBidi" w:eastAsia="Calibri" w:hAnsiTheme="majorBidi" w:cstheme="majorBidi"/>
          <w:szCs w:val="22"/>
        </w:rPr>
        <w:t xml:space="preserve"> can’t get up, because my back’s bad and my legs are queer’” (279). These instances of lofty detachment and physical stasis stand as stark contrasts against the rare occasions when Jenny uses her crutch to move towards the people she cares for. Upon her “godmother” Riah’s appearance at her home, Jenny responds to his tap on the window, which “roused her from the musing solitude in which she sat, and she came to the door to open it; aiding her steps with a little crutch-stick” (433). Jenny’s eager movement to greet Riah at the door, along with their subsequent stroll, demonstrate the capacity of the crutch to serve as an instrument of connection and intimacy as easily as one of distance </w:t>
      </w:r>
      <w:r w:rsidRPr="00693EA6">
        <w:rPr>
          <w:rFonts w:asciiTheme="majorBidi" w:eastAsia="Calibri" w:hAnsiTheme="majorBidi" w:cstheme="majorBidi"/>
          <w:szCs w:val="22"/>
        </w:rPr>
        <w:lastRenderedPageBreak/>
        <w:t xml:space="preserve">and detachment. Like Signora Neroni’s couch (see Chapter III), Jenny’s crutch is contingent on her will, alternately assisting or excusing. It allows her to demonstrate, via a miniature dramatization, her desire to accommodate (or put herself in a position of some discomfort for) her friends. When Jenny stands holding her crutch in one hand and Riah’s arm in the other—linking her fantastical projections of fairy tales to the real, material conditions of her physical disability—Jenny finds her oversized house key creates an impediment to their immediate progress. </w:t>
      </w:r>
      <w:r w:rsidR="00A03F5B">
        <w:rPr>
          <w:rFonts w:asciiTheme="majorBidi" w:eastAsia="Calibri" w:hAnsiTheme="majorBidi" w:cstheme="majorBidi"/>
          <w:szCs w:val="22"/>
        </w:rPr>
        <w:t>W</w:t>
      </w:r>
      <w:r w:rsidRPr="00693EA6">
        <w:rPr>
          <w:rFonts w:asciiTheme="majorBidi" w:eastAsia="Calibri" w:hAnsiTheme="majorBidi" w:cstheme="majorBidi"/>
          <w:szCs w:val="22"/>
        </w:rPr>
        <w:t xml:space="preserve">hen Riah offers to carry the cumbersome object for her, Jenny refuses, “No, no, no! I'll carry it myself </w:t>
      </w:r>
      <w:proofErr w:type="gramStart"/>
      <w:r w:rsidRPr="00693EA6">
        <w:rPr>
          <w:rFonts w:asciiTheme="majorBidi" w:eastAsia="Calibri" w:hAnsiTheme="majorBidi" w:cstheme="majorBidi"/>
          <w:szCs w:val="22"/>
        </w:rPr>
        <w:t>. . . .</w:t>
      </w:r>
      <w:proofErr w:type="gramEnd"/>
      <w:r w:rsidRPr="00693EA6">
        <w:rPr>
          <w:rFonts w:asciiTheme="majorBidi" w:eastAsia="Calibri" w:hAnsiTheme="majorBidi" w:cstheme="majorBidi"/>
          <w:szCs w:val="22"/>
        </w:rPr>
        <w:t xml:space="preserve"> I’m awfully lop-sided, you know, and stowed down in my pocket, it’ll trim the ship. To let you into a secret, godmother, I wear my pocket on my high side, o’ purpose” (Ibid.). Jenny breaks down the elements of her performance to Riah—lets him see behind the scenes, laying bear the crutch and high pocket—so that they can work and play together.</w:t>
      </w:r>
    </w:p>
    <w:p w14:paraId="0CAFB18A" w14:textId="77777777" w:rsidR="00693EA6" w:rsidRPr="00693EA6" w:rsidRDefault="00693EA6" w:rsidP="00693EA6">
      <w:pPr>
        <w:spacing w:line="480" w:lineRule="auto"/>
        <w:rPr>
          <w:rFonts w:asciiTheme="majorBidi" w:eastAsia="Calibri" w:hAnsiTheme="majorBidi" w:cstheme="majorBidi"/>
          <w:szCs w:val="22"/>
        </w:rPr>
      </w:pPr>
      <w:r w:rsidRPr="00693EA6">
        <w:rPr>
          <w:rFonts w:asciiTheme="majorBidi" w:eastAsia="Calibri" w:hAnsiTheme="majorBidi" w:cstheme="majorBidi"/>
          <w:szCs w:val="22"/>
        </w:rPr>
        <w:tab/>
        <w:t>Jenny also foregrounds her impaired mobility through the absenting of her prop in order to effect physical proximity between herself and Lizzie. When, for instance, Headstone calls on Lizzie at home, Jenny allows her own removal from the room in exchange for an acknowledgment of intimacy from her friend. Speaking of herself in the third person (as an extraneous “third party”), Jenny objectifies herself, neglecting the crutch and dramatizing her reliance on Lizzie:</w:t>
      </w:r>
    </w:p>
    <w:p w14:paraId="4B3ABD25" w14:textId="027B1686" w:rsidR="00693EA6" w:rsidRPr="00693EA6" w:rsidRDefault="00693EA6" w:rsidP="0038006E">
      <w:pPr>
        <w:spacing w:line="480" w:lineRule="auto"/>
        <w:ind w:left="1440"/>
        <w:rPr>
          <w:rFonts w:asciiTheme="majorBidi" w:eastAsia="Calibri" w:hAnsiTheme="majorBidi" w:cstheme="majorBidi"/>
          <w:szCs w:val="22"/>
        </w:rPr>
      </w:pPr>
      <w:r w:rsidRPr="00693EA6">
        <w:rPr>
          <w:rFonts w:asciiTheme="majorBidi" w:eastAsia="Calibri" w:hAnsiTheme="majorBidi" w:cstheme="majorBidi"/>
          <w:szCs w:val="22"/>
        </w:rPr>
        <w:t xml:space="preserve">“I am sure there ought to be no </w:t>
      </w:r>
      <w:proofErr w:type="gramStart"/>
      <w:r w:rsidRPr="00693EA6">
        <w:rPr>
          <w:rFonts w:asciiTheme="majorBidi" w:eastAsia="Calibri" w:hAnsiTheme="majorBidi" w:cstheme="majorBidi"/>
          <w:szCs w:val="22"/>
        </w:rPr>
        <w:t>third party</w:t>
      </w:r>
      <w:proofErr w:type="gramEnd"/>
      <w:r w:rsidRPr="00693EA6">
        <w:rPr>
          <w:rFonts w:asciiTheme="majorBidi" w:eastAsia="Calibri" w:hAnsiTheme="majorBidi" w:cstheme="majorBidi"/>
          <w:szCs w:val="22"/>
        </w:rPr>
        <w:t xml:space="preserve"> present at anything so very kind and so very serious; and so, if you’ll remove the third party upstairs, my dear, the third party will retire.”</w:t>
      </w:r>
    </w:p>
    <w:p w14:paraId="27770F42" w14:textId="471BC136" w:rsidR="00693EA6" w:rsidRPr="00693EA6" w:rsidRDefault="00693EA6" w:rsidP="00F61DFC">
      <w:pPr>
        <w:spacing w:line="480" w:lineRule="auto"/>
        <w:ind w:left="1440" w:firstLine="720"/>
        <w:rPr>
          <w:rFonts w:asciiTheme="majorBidi" w:eastAsia="Calibri" w:hAnsiTheme="majorBidi" w:cstheme="majorBidi"/>
          <w:szCs w:val="22"/>
        </w:rPr>
      </w:pPr>
      <w:r w:rsidRPr="00693EA6">
        <w:rPr>
          <w:rFonts w:asciiTheme="majorBidi" w:eastAsia="Calibri" w:hAnsiTheme="majorBidi" w:cstheme="majorBidi"/>
          <w:szCs w:val="22"/>
        </w:rPr>
        <w:t>Lizzie took the hand which the dolls’ dressmaker held out to her for the purpose of being supported away, but only looked at her with an inquiring smile, and made no other movement.</w:t>
      </w:r>
    </w:p>
    <w:p w14:paraId="1D911026" w14:textId="006FC7B3" w:rsidR="00693EA6" w:rsidRPr="00693EA6" w:rsidRDefault="00693EA6" w:rsidP="00F61DFC">
      <w:pPr>
        <w:spacing w:line="480" w:lineRule="auto"/>
        <w:ind w:left="1440" w:firstLine="720"/>
        <w:rPr>
          <w:rFonts w:asciiTheme="majorBidi" w:eastAsia="Calibri" w:hAnsiTheme="majorBidi" w:cstheme="majorBidi"/>
          <w:szCs w:val="22"/>
        </w:rPr>
      </w:pPr>
      <w:r w:rsidRPr="00693EA6">
        <w:rPr>
          <w:rFonts w:asciiTheme="majorBidi" w:eastAsia="Calibri" w:hAnsiTheme="majorBidi" w:cstheme="majorBidi"/>
          <w:szCs w:val="22"/>
        </w:rPr>
        <w:lastRenderedPageBreak/>
        <w:t xml:space="preserve">“The </w:t>
      </w:r>
      <w:proofErr w:type="gramStart"/>
      <w:r w:rsidRPr="00693EA6">
        <w:rPr>
          <w:rFonts w:asciiTheme="majorBidi" w:eastAsia="Calibri" w:hAnsiTheme="majorBidi" w:cstheme="majorBidi"/>
          <w:szCs w:val="22"/>
        </w:rPr>
        <w:t>third party</w:t>
      </w:r>
      <w:proofErr w:type="gramEnd"/>
      <w:r w:rsidRPr="00693EA6">
        <w:rPr>
          <w:rFonts w:asciiTheme="majorBidi" w:eastAsia="Calibri" w:hAnsiTheme="majorBidi" w:cstheme="majorBidi"/>
          <w:szCs w:val="22"/>
        </w:rPr>
        <w:t xml:space="preserve"> hobbles awfully, you know, when she’s left to herself,” said Miss Wren, “her back being so bad, and her legs so queer; so she can’t retire gracefully unless you help her, Lizzie.”</w:t>
      </w:r>
    </w:p>
    <w:p w14:paraId="61254BFB" w14:textId="426A6293" w:rsidR="00693EA6" w:rsidRPr="00693EA6" w:rsidRDefault="00693EA6" w:rsidP="00F61DFC">
      <w:pPr>
        <w:spacing w:line="480" w:lineRule="auto"/>
        <w:ind w:left="1440" w:firstLine="720"/>
        <w:rPr>
          <w:rFonts w:asciiTheme="majorBidi" w:eastAsia="Calibri" w:hAnsiTheme="majorBidi" w:cstheme="majorBidi"/>
          <w:szCs w:val="22"/>
        </w:rPr>
      </w:pPr>
      <w:r w:rsidRPr="00693EA6">
        <w:rPr>
          <w:rFonts w:asciiTheme="majorBidi" w:eastAsia="Calibri" w:hAnsiTheme="majorBidi" w:cstheme="majorBidi"/>
          <w:szCs w:val="22"/>
        </w:rPr>
        <w:t>“She can do no better than stay where she is,” returned Lizzie releasing the hand, and laying her own lightly on Miss Jenny’s curls. (343)</w:t>
      </w:r>
    </w:p>
    <w:p w14:paraId="6EE0D5A4" w14:textId="77777777" w:rsidR="00693EA6" w:rsidRPr="00693EA6" w:rsidRDefault="00693EA6" w:rsidP="00693EA6">
      <w:pPr>
        <w:spacing w:line="480" w:lineRule="auto"/>
        <w:rPr>
          <w:rFonts w:asciiTheme="majorBidi" w:eastAsia="Calibri" w:hAnsiTheme="majorBidi" w:cstheme="majorBidi"/>
          <w:szCs w:val="22"/>
        </w:rPr>
      </w:pPr>
      <w:r w:rsidRPr="00693EA6">
        <w:rPr>
          <w:rFonts w:asciiTheme="majorBidi" w:eastAsia="Calibri" w:hAnsiTheme="majorBidi" w:cstheme="majorBidi"/>
          <w:szCs w:val="22"/>
        </w:rPr>
        <w:t>Jenny can revise her performances based on the venue and fellow players. She can engage or eliminate the crutch to achieve the preferred distance from or nearness to those around her. In this instance, Lizzie serves as an animate prop that can choose either to “support [Jenny] away” or to insist on her continued presence via dramatic inaction, as directed by Jenny herself.</w:t>
      </w:r>
    </w:p>
    <w:p w14:paraId="4270DF47" w14:textId="77777777" w:rsidR="00693EA6" w:rsidRPr="00693EA6" w:rsidRDefault="00693EA6" w:rsidP="00693EA6">
      <w:pPr>
        <w:spacing w:line="480" w:lineRule="auto"/>
        <w:rPr>
          <w:rFonts w:asciiTheme="majorBidi" w:eastAsia="Calibri" w:hAnsiTheme="majorBidi" w:cstheme="majorBidi"/>
          <w:szCs w:val="22"/>
        </w:rPr>
      </w:pPr>
      <w:r w:rsidRPr="00693EA6">
        <w:rPr>
          <w:rFonts w:asciiTheme="majorBidi" w:eastAsia="Calibri" w:hAnsiTheme="majorBidi" w:cstheme="majorBidi"/>
          <w:szCs w:val="22"/>
        </w:rPr>
        <w:tab/>
        <w:t xml:space="preserve">Jenny further evinces this directorial competence and confidence in scripting a marriage plot that is unique to her. Where she can practically imagine herself fulfilling a woman’s domestic role, she does, and where she cannot, she represents that role as a point of displeasure (rather than a point of failure). On a number of occasions, Jenny casually and matter-of-factly weaves herself into a traditional marriage plot, but she also actively rejects the idea of real motherhood. Refusing to hear talk of children, Jenny interrupts Headstone's inquiry about potential playmates in the neighborhood and instructs, “Don’t talk of children. I can't bear children. </w:t>
      </w:r>
      <w:r w:rsidRPr="00693EA6">
        <w:rPr>
          <w:rFonts w:asciiTheme="majorBidi" w:eastAsia="Calibri" w:hAnsiTheme="majorBidi" w:cstheme="majorBidi"/>
          <w:i/>
          <w:szCs w:val="22"/>
        </w:rPr>
        <w:t>I</w:t>
      </w:r>
      <w:r w:rsidRPr="00693EA6">
        <w:rPr>
          <w:rFonts w:asciiTheme="majorBidi" w:eastAsia="Calibri" w:hAnsiTheme="majorBidi" w:cstheme="majorBidi"/>
          <w:szCs w:val="22"/>
        </w:rPr>
        <w:t xml:space="preserve"> know their tricks and their manners,” explaining, “Ever so often calling names in through a person’s keyhole, and imitating a person's back and legs. Oh! </w:t>
      </w:r>
      <w:r w:rsidRPr="00693EA6">
        <w:rPr>
          <w:rFonts w:asciiTheme="majorBidi" w:eastAsia="Calibri" w:hAnsiTheme="majorBidi" w:cstheme="majorBidi"/>
          <w:i/>
          <w:szCs w:val="22"/>
        </w:rPr>
        <w:t>I</w:t>
      </w:r>
      <w:r w:rsidRPr="00693EA6">
        <w:rPr>
          <w:rFonts w:asciiTheme="majorBidi" w:eastAsia="Calibri" w:hAnsiTheme="majorBidi" w:cstheme="majorBidi"/>
          <w:szCs w:val="22"/>
        </w:rPr>
        <w:t xml:space="preserve"> know their tricks and their manners” (224). Jenny’s use of the word “bear” resonates on two distinct, though related, fronts. She cannot physically conceive or give birth to children, but this presents no real issue as she also cannot emotionally tolerate the children’s cruel mimicking of her physical variation. In the same breath, Jenny acknowledges her preference for the company of adults and confides, “I mean always to keep among none but grown-ups till I marry. I suppose I must make up my mind </w:t>
      </w:r>
      <w:r w:rsidRPr="00693EA6">
        <w:rPr>
          <w:rFonts w:asciiTheme="majorBidi" w:eastAsia="Calibri" w:hAnsiTheme="majorBidi" w:cstheme="majorBidi"/>
          <w:szCs w:val="22"/>
        </w:rPr>
        <w:lastRenderedPageBreak/>
        <w:t xml:space="preserve">to marry, one of these days” (224-5). Jenny’s determined self-fashioning in this scene extends from the self-confidence gained by her revision of conditions and circumstances via the adoption of her prop. </w:t>
      </w:r>
    </w:p>
    <w:p w14:paraId="7F327371" w14:textId="7C0780A4" w:rsidR="00693EA6" w:rsidRPr="00693EA6" w:rsidRDefault="00693EA6" w:rsidP="00693EA6">
      <w:pPr>
        <w:spacing w:line="480" w:lineRule="auto"/>
        <w:rPr>
          <w:rFonts w:asciiTheme="majorBidi" w:eastAsia="Calibri" w:hAnsiTheme="majorBidi" w:cstheme="majorBidi"/>
          <w:szCs w:val="22"/>
        </w:rPr>
      </w:pPr>
      <w:r w:rsidRPr="00693EA6">
        <w:rPr>
          <w:rFonts w:asciiTheme="majorBidi" w:eastAsia="Calibri" w:hAnsiTheme="majorBidi" w:cstheme="majorBidi"/>
          <w:szCs w:val="22"/>
        </w:rPr>
        <w:tab/>
        <w:t xml:space="preserve">Accordingly, when the narrator moves to establish a romantic connection between Jenny and the novel’s other disabled character, Sloppy, the crutch serves as a crucial conversation piece. It mediates and provides a material basis for the couple’s interactions. In an effort to </w:t>
      </w:r>
      <w:proofErr w:type="gramStart"/>
      <w:r w:rsidRPr="00693EA6">
        <w:rPr>
          <w:rFonts w:asciiTheme="majorBidi" w:eastAsia="Calibri" w:hAnsiTheme="majorBidi" w:cstheme="majorBidi"/>
          <w:szCs w:val="22"/>
        </w:rPr>
        <w:t>effect</w:t>
      </w:r>
      <w:proofErr w:type="gramEnd"/>
      <w:r w:rsidRPr="00693EA6">
        <w:rPr>
          <w:rFonts w:asciiTheme="majorBidi" w:eastAsia="Calibri" w:hAnsiTheme="majorBidi" w:cstheme="majorBidi"/>
          <w:szCs w:val="22"/>
        </w:rPr>
        <w:t xml:space="preserve"> a connection with Jenny, Sloppy offers to make something that will be of use to her. Surveying the room, Sloppy suggests, “I could make you a handy set of nests to lay the dolls in. Or I could make you a handy little set of drawers, to keep your silks and threads and scraps in. Or I could turn you a rare handle for that crutch stick, if it belongs to </w:t>
      </w:r>
      <w:proofErr w:type="gramStart"/>
      <w:r w:rsidRPr="00693EA6">
        <w:rPr>
          <w:rFonts w:asciiTheme="majorBidi" w:eastAsia="Calibri" w:hAnsiTheme="majorBidi" w:cstheme="majorBidi"/>
          <w:szCs w:val="22"/>
        </w:rPr>
        <w:t>him</w:t>
      </w:r>
      <w:proofErr w:type="gramEnd"/>
      <w:r w:rsidRPr="00693EA6">
        <w:rPr>
          <w:rFonts w:asciiTheme="majorBidi" w:eastAsia="Calibri" w:hAnsiTheme="majorBidi" w:cstheme="majorBidi"/>
          <w:szCs w:val="22"/>
        </w:rPr>
        <w:t xml:space="preserve"> you call your father” (809). Sloppy’s unwitting attribution of Jenny’s crutch to someone else catches her off guard. She has to improvise and speak on behalf of the object that usually speaks for her: “‘It belongs to me,’ returned the little creature, with a quick flush of her face and neck. ‘I am lame’” (Ibid.). Jenny’s uncomfortable verbal acknowledgement of her lameness verifies the dramatic process by which the crutch’s presence usually allows Jenny to act out, without labeling, her disability. Like Mrs. Clennam, Jenny typically refuses conventional descriptions of her bodily variation (preferring the more fanciful “bad back” and “queer legs” to the terse, dismissive “lame”) in favor of plastic interpretations generated by the crutch’s presence or absence. Without it, the personal buffer between physical difference and social constructions of disability breaks down, and Jenny becomes vulnerable. In this instance, however, vulnerability enables intimacy, and Sloppy assures Jenny, “I am very glad it’s yours because I’d rather ornament it for you than for any one else” (Ibid.). The narrative thus provides Jenny not only with a romantic interest, but also with a prop master, another member of the </w:t>
      </w:r>
      <w:r w:rsidR="00A03F5B">
        <w:rPr>
          <w:rFonts w:asciiTheme="majorBidi" w:eastAsia="Calibri" w:hAnsiTheme="majorBidi" w:cstheme="majorBidi"/>
          <w:szCs w:val="22"/>
        </w:rPr>
        <w:t>D</w:t>
      </w:r>
      <w:r w:rsidRPr="00693EA6">
        <w:rPr>
          <w:rFonts w:asciiTheme="majorBidi" w:eastAsia="Calibri" w:hAnsiTheme="majorBidi" w:cstheme="majorBidi"/>
          <w:szCs w:val="22"/>
        </w:rPr>
        <w:t xml:space="preserve">isability community who can assist Jenny with the </w:t>
      </w:r>
      <w:r w:rsidRPr="00693EA6">
        <w:rPr>
          <w:rFonts w:asciiTheme="majorBidi" w:eastAsia="Calibri" w:hAnsiTheme="majorBidi" w:cstheme="majorBidi"/>
          <w:szCs w:val="22"/>
        </w:rPr>
        <w:lastRenderedPageBreak/>
        <w:t xml:space="preserve">accoutrements of her performance. The offer of ornamentation also demonstrates how the decorative or theatrical elements of the “prop” denote not falsity, but the potential for creative agency. </w:t>
      </w:r>
    </w:p>
    <w:p w14:paraId="4D83AF49" w14:textId="77777777" w:rsidR="00693EA6" w:rsidRPr="00693EA6" w:rsidRDefault="00693EA6" w:rsidP="00693EA6">
      <w:pPr>
        <w:spacing w:line="480" w:lineRule="auto"/>
        <w:rPr>
          <w:rFonts w:asciiTheme="majorBidi" w:eastAsia="Calibri" w:hAnsiTheme="majorBidi" w:cstheme="majorBidi"/>
          <w:szCs w:val="22"/>
        </w:rPr>
      </w:pPr>
      <w:r w:rsidRPr="00693EA6">
        <w:rPr>
          <w:rFonts w:asciiTheme="majorBidi" w:eastAsia="Calibri" w:hAnsiTheme="majorBidi" w:cstheme="majorBidi"/>
          <w:b/>
          <w:bCs/>
          <w:szCs w:val="22"/>
        </w:rPr>
        <w:t>Magical Objects</w:t>
      </w:r>
    </w:p>
    <w:p w14:paraId="4FE85976" w14:textId="5CA3B1F2" w:rsidR="00693EA6" w:rsidRPr="00693EA6" w:rsidRDefault="00693EA6" w:rsidP="00693EA6">
      <w:pPr>
        <w:spacing w:line="480" w:lineRule="auto"/>
        <w:rPr>
          <w:rFonts w:asciiTheme="majorBidi" w:eastAsia="Calibri" w:hAnsiTheme="majorBidi" w:cstheme="majorBidi"/>
          <w:szCs w:val="22"/>
        </w:rPr>
      </w:pPr>
      <w:r w:rsidRPr="00693EA6">
        <w:rPr>
          <w:rFonts w:asciiTheme="majorBidi" w:eastAsia="Calibri" w:hAnsiTheme="majorBidi" w:cstheme="majorBidi"/>
          <w:szCs w:val="22"/>
        </w:rPr>
        <w:tab/>
        <w:t>For all the parallels one discerns between Mrs. Clennam’s case and Jenny’s, there is no denying that their performances, no less than their live</w:t>
      </w:r>
      <w:r w:rsidR="00A03F5B">
        <w:rPr>
          <w:rFonts w:asciiTheme="majorBidi" w:eastAsia="Calibri" w:hAnsiTheme="majorBidi" w:cstheme="majorBidi"/>
          <w:szCs w:val="22"/>
        </w:rPr>
        <w:t>d experiences</w:t>
      </w:r>
      <w:r w:rsidRPr="00693EA6">
        <w:rPr>
          <w:rFonts w:asciiTheme="majorBidi" w:eastAsia="Calibri" w:hAnsiTheme="majorBidi" w:cstheme="majorBidi"/>
          <w:szCs w:val="22"/>
        </w:rPr>
        <w:t xml:space="preserve"> and physical selves, differ remarkably. Both characters exploit the sign value of their prosthetic objects, but while the elderly Mrs. Clennam chooses to dramatize her impairment by keeping her means of mobility confined to the house’s interior, Jenny’s performance achieves spiritual liberation as well as social mobility. She regularly uses her crutch to propel herself into a larger, imaginative world. Her assistive device allows her to play out her desire to transcend the elements of her life and the world around her that seem to condemn her condition—not only as a child with a physical disability, but also as an abused, working-class girl with no parents (practically and then literally) and few friends.</w:t>
      </w:r>
    </w:p>
    <w:p w14:paraId="1FBCEAD2" w14:textId="22797E10" w:rsidR="00693EA6" w:rsidRPr="00693EA6" w:rsidRDefault="00693EA6" w:rsidP="00693EA6">
      <w:pPr>
        <w:spacing w:line="480" w:lineRule="auto"/>
        <w:rPr>
          <w:rFonts w:asciiTheme="majorBidi" w:eastAsia="Calibri" w:hAnsiTheme="majorBidi" w:cstheme="majorBidi"/>
          <w:szCs w:val="22"/>
        </w:rPr>
      </w:pPr>
      <w:r w:rsidRPr="00693EA6">
        <w:rPr>
          <w:rFonts w:asciiTheme="majorBidi" w:eastAsia="Calibri" w:hAnsiTheme="majorBidi" w:cstheme="majorBidi"/>
          <w:szCs w:val="22"/>
        </w:rPr>
        <w:tab/>
        <w:t>Jenny so ardently insists that Riah is “so like the fairy godmother in the bright little books” that she imagines he can transform her crutch into a magical instrument</w:t>
      </w:r>
      <w:r w:rsidR="00A03F5B">
        <w:rPr>
          <w:rFonts w:asciiTheme="majorBidi" w:eastAsia="Calibri" w:hAnsiTheme="majorBidi" w:cstheme="majorBidi"/>
          <w:szCs w:val="22"/>
        </w:rPr>
        <w:t xml:space="preserve"> (434)</w:t>
      </w:r>
      <w:r w:rsidRPr="00693EA6">
        <w:rPr>
          <w:rFonts w:asciiTheme="majorBidi" w:eastAsia="Calibri" w:hAnsiTheme="majorBidi" w:cstheme="majorBidi"/>
          <w:szCs w:val="22"/>
        </w:rPr>
        <w:t xml:space="preserve">. She uses her prop to project a fairy tale onto the urban theater: “If you’d only borrow my stick and tap this piece of pavement—this dirty stone that my foot taps—it would start up a coach and six. I </w:t>
      </w:r>
      <w:proofErr w:type="gramStart"/>
      <w:r w:rsidRPr="00693EA6">
        <w:rPr>
          <w:rFonts w:asciiTheme="majorBidi" w:eastAsia="Calibri" w:hAnsiTheme="majorBidi" w:cstheme="majorBidi"/>
          <w:szCs w:val="22"/>
        </w:rPr>
        <w:t>say</w:t>
      </w:r>
      <w:proofErr w:type="gramEnd"/>
      <w:r w:rsidRPr="00693EA6">
        <w:rPr>
          <w:rFonts w:asciiTheme="majorBidi" w:eastAsia="Calibri" w:hAnsiTheme="majorBidi" w:cstheme="majorBidi"/>
          <w:szCs w:val="22"/>
        </w:rPr>
        <w:t>! Let's believe so!” (Ibid.) Riah plays along, confirming his amenability to the child’s fantastic plans, and the real-world gravity of Jenny's desires increases. She continues, “I must ask you to be so kind as give my child a tap, and change him altogether. Oh, my child has been such a bad, bad child of late! It worries me out of my wits” (Ibid.). And she advances her final wish by returning to the crutch-wand’s origins</w:t>
      </w:r>
      <w:proofErr w:type="gramStart"/>
      <w:r w:rsidRPr="00693EA6">
        <w:rPr>
          <w:rFonts w:asciiTheme="majorBidi" w:eastAsia="Calibri" w:hAnsiTheme="majorBidi" w:cstheme="majorBidi"/>
          <w:szCs w:val="22"/>
        </w:rPr>
        <w:t>—“</w:t>
      </w:r>
      <w:proofErr w:type="gramEnd"/>
      <w:r w:rsidRPr="00693EA6">
        <w:rPr>
          <w:rFonts w:asciiTheme="majorBidi" w:eastAsia="Calibri" w:hAnsiTheme="majorBidi" w:cstheme="majorBidi"/>
          <w:szCs w:val="22"/>
        </w:rPr>
        <w:t xml:space="preserve">Upon my word, godmother, I am afraid I must be </w:t>
      </w:r>
      <w:r w:rsidRPr="00693EA6">
        <w:rPr>
          <w:rFonts w:asciiTheme="majorBidi" w:eastAsia="Calibri" w:hAnsiTheme="majorBidi" w:cstheme="majorBidi"/>
          <w:szCs w:val="22"/>
        </w:rPr>
        <w:lastRenderedPageBreak/>
        <w:t>selfish next, and get you to set me right in the back and the legs. It’s a little thing to you with your power, godmother, but it's a great deal to poor weak aching me” (Ibid.)—before happily concluding that they can then jump into the conjured coach and set off to retrieve Lizzie. Here and elsewhere, Jenny’s crutch functions as a conduit for her poignantly whimsical productions. She casts the otherwise conventional, inanimate means of her conveyance as a fantastic tool. It becomes the crucial prop in the performance of her escapist daydreams. She is, after all, still a little girl lodged between her longing for a make-believe world of fairy tales and the inescapable reality of living as an abused, disabled child who has to support herself and her childlike father.</w:t>
      </w:r>
      <w:r w:rsidRPr="00693EA6">
        <w:rPr>
          <w:rFonts w:asciiTheme="majorBidi" w:eastAsia="Calibri" w:hAnsiTheme="majorBidi" w:cstheme="majorBidi"/>
          <w:szCs w:val="22"/>
          <w:vertAlign w:val="superscript"/>
        </w:rPr>
        <w:footnoteReference w:id="66"/>
      </w:r>
      <w:r w:rsidRPr="00693EA6">
        <w:rPr>
          <w:rFonts w:asciiTheme="majorBidi" w:eastAsia="Calibri" w:hAnsiTheme="majorBidi" w:cstheme="majorBidi"/>
          <w:szCs w:val="22"/>
        </w:rPr>
        <w:t xml:space="preserve"> Thus, while some critics might hasten to identify this passage as a sad, regrettable turn away from the potential for disabled agency, I would argue that it marks, instead, both an acknowledgment of the actual, tangible upshots of disability and a censure of the cultural stigmatizations of difference. Rather than whitewash the physical pain (the “aching”) associated with Jenny’s impairments and the emotional and psychological distress occasioned by social conceptions of normativity, Dickens creates a character who achieves agency by modifying the </w:t>
      </w:r>
      <w:r w:rsidRPr="00693EA6">
        <w:rPr>
          <w:rFonts w:asciiTheme="majorBidi" w:eastAsia="Calibri" w:hAnsiTheme="majorBidi" w:cstheme="majorBidi"/>
          <w:szCs w:val="22"/>
        </w:rPr>
        <w:lastRenderedPageBreak/>
        <w:t>terms and performance of her disability—even if she cannot altogether escape the extant suffering that her impairments entail.</w:t>
      </w:r>
    </w:p>
    <w:p w14:paraId="2D8943CC" w14:textId="77777777" w:rsidR="00693EA6" w:rsidRPr="00693EA6" w:rsidRDefault="00693EA6" w:rsidP="00693EA6">
      <w:pPr>
        <w:spacing w:line="480" w:lineRule="auto"/>
        <w:rPr>
          <w:rFonts w:asciiTheme="majorBidi" w:eastAsia="Calibri" w:hAnsiTheme="majorBidi" w:cstheme="majorBidi"/>
          <w:szCs w:val="22"/>
        </w:rPr>
      </w:pPr>
      <w:r w:rsidRPr="00693EA6">
        <w:rPr>
          <w:rFonts w:asciiTheme="majorBidi" w:eastAsia="Calibri" w:hAnsiTheme="majorBidi" w:cstheme="majorBidi"/>
          <w:szCs w:val="22"/>
        </w:rPr>
        <w:tab/>
        <w:t>Jenny’s imaginative repurposing of her crutch recalls another instance in Dickens’s lesser-known fiction in which the inherent word play on “prop” asserts itself.</w:t>
      </w:r>
      <w:r w:rsidRPr="00693EA6">
        <w:rPr>
          <w:rFonts w:asciiTheme="majorBidi" w:eastAsia="Calibri" w:hAnsiTheme="majorBidi" w:cstheme="majorBidi"/>
          <w:szCs w:val="22"/>
          <w:vertAlign w:val="superscript"/>
        </w:rPr>
        <w:footnoteReference w:id="67"/>
      </w:r>
      <w:r w:rsidRPr="00693EA6">
        <w:rPr>
          <w:rFonts w:asciiTheme="majorBidi" w:eastAsia="Calibri" w:hAnsiTheme="majorBidi" w:cstheme="majorBidi"/>
          <w:szCs w:val="22"/>
        </w:rPr>
        <w:t xml:space="preserve"> In an April 1863 edition of </w:t>
      </w:r>
      <w:r w:rsidRPr="00693EA6">
        <w:rPr>
          <w:rFonts w:asciiTheme="majorBidi" w:eastAsia="Calibri" w:hAnsiTheme="majorBidi" w:cstheme="majorBidi"/>
          <w:i/>
          <w:szCs w:val="22"/>
        </w:rPr>
        <w:t>All the Year Round</w:t>
      </w:r>
      <w:r w:rsidRPr="00693EA6">
        <w:rPr>
          <w:rFonts w:asciiTheme="majorBidi" w:eastAsia="Calibri" w:hAnsiTheme="majorBidi" w:cstheme="majorBidi"/>
          <w:szCs w:val="22"/>
        </w:rPr>
        <w:t xml:space="preserve">, Dickens published “The Roll of Music,” a story in which the narrator, Captain Yates, carries a roll of manuscript music from St. Petersburg to Warsaw on the behalf on a noble Polish widow, Princess Anna Sobieski, to Sobieski’s niece, Rosalie. A brief, mysterious tale of scheming unfolds as Yates accepts the services of the shifty Ignatius Kraskoff. The train stalls in Warsaw, train officials report a conspiracy, and a number of Polish nobles are captured. Still aboard the train, the first-person narrator slips into a dream state, at which point “The old Princess Sobieski, transformed into a malignant fairy, hovered incessantly around my couch, waving her ivory-handled crutch-stick (she was lame, and carried such a prop) by way of a wand, and mopping and mowing at me in the wickedest exultation” (208). Reminiscent of Jenny’s wand-like crutch, Princess Sobieski’s assistive object becomes, in the narrator’s disoriented dream, an enchanted tool of transformation. It allows her to transition from her “lame,” halting gait to a menacing hover. “The Roll of Music,” like </w:t>
      </w:r>
      <w:r w:rsidRPr="00693EA6">
        <w:rPr>
          <w:rFonts w:asciiTheme="majorBidi" w:eastAsia="Calibri" w:hAnsiTheme="majorBidi" w:cstheme="majorBidi"/>
          <w:i/>
          <w:szCs w:val="22"/>
        </w:rPr>
        <w:t>Our Mutual Friend</w:t>
      </w:r>
      <w:r w:rsidRPr="00693EA6">
        <w:rPr>
          <w:rFonts w:asciiTheme="majorBidi" w:eastAsia="Calibri" w:hAnsiTheme="majorBidi" w:cstheme="majorBidi"/>
          <w:szCs w:val="22"/>
        </w:rPr>
        <w:t>, then, reminds the Victorian audience of the transcendental and transformative potentials of prosthetics, one that speaks to a fluidity (as opposed to a binary) of personhood and the material lives of humans.</w:t>
      </w:r>
    </w:p>
    <w:p w14:paraId="05FAA3DB" w14:textId="77777777" w:rsidR="00693EA6" w:rsidRPr="00693EA6" w:rsidRDefault="00693EA6" w:rsidP="00693EA6">
      <w:pPr>
        <w:spacing w:line="480" w:lineRule="auto"/>
        <w:rPr>
          <w:rFonts w:asciiTheme="majorBidi" w:eastAsia="Calibri" w:hAnsiTheme="majorBidi" w:cstheme="majorBidi"/>
        </w:rPr>
      </w:pPr>
      <w:r w:rsidRPr="00693EA6">
        <w:rPr>
          <w:rFonts w:asciiTheme="majorBidi" w:eastAsia="Calibri" w:hAnsiTheme="majorBidi" w:cstheme="majorBidi"/>
        </w:rPr>
        <w:lastRenderedPageBreak/>
        <w:tab/>
        <w:t>By providing Mrs. Clennam and Jenny Wren a material means of self-direction and self-performance, Dickens demonstrates the potential for prosthesis (both in art and the world at large) to challenge, upend, exploit, and play with normative concepts of fitness and ability even as the presence and production of prosthesis ostensibly solidifies those notions. As Vanessa Warne asserts in her</w:t>
      </w:r>
      <w:r w:rsidRPr="00693EA6">
        <w:rPr>
          <w:rFonts w:asciiTheme="majorBidi" w:eastAsia="Calibri" w:hAnsiTheme="majorBidi" w:cstheme="majorBidi"/>
          <w:szCs w:val="22"/>
        </w:rPr>
        <w:t xml:space="preserve"> theorization of artificial legs, the presence of prosthetics in Victorian literature “remind[s] us that bodies were literally shaped and re-shaped by the material world they occupied. As such, they underscore the need for a history of the Victorian era that includes the material lives of disabled people and addresses their experiences of both bodily difference and prosthetic compensation” (“Artificial Leg” 33). Victorian lives and identities, much like our own, extended far beyond people’s corporeal beings. And the kind of reshaping and rehearsing of the self through material additions found in </w:t>
      </w:r>
      <w:r w:rsidRPr="00693EA6">
        <w:rPr>
          <w:rFonts w:asciiTheme="majorBidi" w:eastAsia="Calibri" w:hAnsiTheme="majorBidi" w:cstheme="majorBidi"/>
          <w:i/>
          <w:szCs w:val="22"/>
        </w:rPr>
        <w:t>Little Dorrit</w:t>
      </w:r>
      <w:r w:rsidRPr="00693EA6">
        <w:rPr>
          <w:rFonts w:asciiTheme="majorBidi" w:eastAsia="Calibri" w:hAnsiTheme="majorBidi" w:cstheme="majorBidi"/>
          <w:szCs w:val="22"/>
        </w:rPr>
        <w:t xml:space="preserve"> and </w:t>
      </w:r>
      <w:r w:rsidRPr="00693EA6">
        <w:rPr>
          <w:rFonts w:asciiTheme="majorBidi" w:eastAsia="Calibri" w:hAnsiTheme="majorBidi" w:cstheme="majorBidi"/>
          <w:i/>
          <w:szCs w:val="22"/>
        </w:rPr>
        <w:t>Our Mutual Friend</w:t>
      </w:r>
      <w:r w:rsidRPr="00693EA6">
        <w:rPr>
          <w:rFonts w:asciiTheme="majorBidi" w:eastAsia="Calibri" w:hAnsiTheme="majorBidi" w:cstheme="majorBidi"/>
          <w:szCs w:val="22"/>
        </w:rPr>
        <w:t xml:space="preserve"> fosters the active re-performance of human identity and a redefinition of difference. The theatrical pliability of props—the simultaneous presence of medical, social, and dramatic technologies unified in a single object—in Dickens’s novels, then, ultimately necessitates a reevaluation of the way in which real-world objects influence evolving productions and representations of physical disability.</w:t>
      </w:r>
    </w:p>
    <w:p w14:paraId="7B6CCB9E" w14:textId="77777777" w:rsidR="00693EA6" w:rsidRPr="00693EA6" w:rsidRDefault="00693EA6" w:rsidP="00693EA6">
      <w:pPr>
        <w:rPr>
          <w:rFonts w:asciiTheme="majorBidi" w:eastAsia="Calibri" w:hAnsiTheme="majorBidi" w:cstheme="majorBidi"/>
          <w:szCs w:val="22"/>
        </w:rPr>
      </w:pPr>
      <w:r w:rsidRPr="00693EA6">
        <w:rPr>
          <w:rFonts w:asciiTheme="majorBidi" w:eastAsia="Calibri" w:hAnsiTheme="majorBidi" w:cstheme="majorBidi"/>
          <w:b/>
          <w:bCs/>
          <w:iCs/>
          <w:szCs w:val="22"/>
        </w:rPr>
        <w:t xml:space="preserve">Animal Objects: </w:t>
      </w:r>
      <w:r w:rsidRPr="00693EA6">
        <w:rPr>
          <w:rFonts w:asciiTheme="majorBidi" w:eastAsia="Calibri" w:hAnsiTheme="majorBidi" w:cstheme="majorBidi"/>
          <w:b/>
          <w:bCs/>
          <w:i/>
          <w:szCs w:val="22"/>
        </w:rPr>
        <w:t>Barnaby Rudge</w:t>
      </w:r>
      <w:r w:rsidRPr="00693EA6">
        <w:rPr>
          <w:rFonts w:asciiTheme="majorBidi" w:eastAsia="Calibri" w:hAnsiTheme="majorBidi" w:cstheme="majorBidi"/>
          <w:b/>
          <w:bCs/>
          <w:szCs w:val="22"/>
        </w:rPr>
        <w:t xml:space="preserve"> and the Victorian Service Animal</w:t>
      </w:r>
    </w:p>
    <w:p w14:paraId="17CC5C0B" w14:textId="77777777" w:rsidR="00693EA6" w:rsidRPr="00693EA6" w:rsidRDefault="00693EA6" w:rsidP="00693EA6">
      <w:pPr>
        <w:rPr>
          <w:rFonts w:asciiTheme="majorBidi" w:eastAsia="Calibri" w:hAnsiTheme="majorBidi" w:cstheme="majorBidi"/>
          <w:szCs w:val="22"/>
        </w:rPr>
      </w:pPr>
    </w:p>
    <w:p w14:paraId="15F3DE5A" w14:textId="6F74064D" w:rsidR="00693EA6" w:rsidRPr="00693EA6" w:rsidRDefault="00693EA6" w:rsidP="00693EA6">
      <w:pPr>
        <w:spacing w:line="480" w:lineRule="auto"/>
        <w:ind w:firstLine="720"/>
        <w:rPr>
          <w:rFonts w:asciiTheme="majorBidi" w:eastAsia="Calibri" w:hAnsiTheme="majorBidi" w:cstheme="majorBidi"/>
          <w:szCs w:val="22"/>
        </w:rPr>
      </w:pPr>
      <w:r w:rsidRPr="00693EA6">
        <w:rPr>
          <w:rFonts w:asciiTheme="majorBidi" w:eastAsia="Calibri" w:hAnsiTheme="majorBidi" w:cstheme="majorBidi"/>
          <w:szCs w:val="22"/>
        </w:rPr>
        <w:t xml:space="preserve">Still, the function of prosthetics in Dickens becomes doubly complicated when we consider </w:t>
      </w:r>
      <w:r w:rsidRPr="00693EA6">
        <w:rPr>
          <w:rFonts w:asciiTheme="majorBidi" w:eastAsia="Calibri" w:hAnsiTheme="majorBidi" w:cstheme="majorBidi"/>
          <w:i/>
          <w:iCs/>
          <w:szCs w:val="22"/>
        </w:rPr>
        <w:t>sentient</w:t>
      </w:r>
      <w:r w:rsidRPr="00693EA6">
        <w:rPr>
          <w:rFonts w:asciiTheme="majorBidi" w:eastAsia="Calibri" w:hAnsiTheme="majorBidi" w:cstheme="majorBidi"/>
          <w:szCs w:val="22"/>
        </w:rPr>
        <w:t xml:space="preserve"> extensions of disabled characters’ minds and movements: service animals. Dickens’s penchant for melodrama and theatrical elements extends into his historical novels, as evinced by the twinned human-raven pair in </w:t>
      </w:r>
      <w:r w:rsidRPr="00693EA6">
        <w:rPr>
          <w:rFonts w:asciiTheme="majorBidi" w:eastAsia="Calibri" w:hAnsiTheme="majorBidi" w:cstheme="majorBidi"/>
          <w:i/>
          <w:iCs/>
          <w:szCs w:val="22"/>
        </w:rPr>
        <w:t xml:space="preserve">Barnaby Rudge </w:t>
      </w:r>
      <w:r w:rsidRPr="00693EA6">
        <w:rPr>
          <w:rFonts w:asciiTheme="majorBidi" w:eastAsia="Calibri" w:hAnsiTheme="majorBidi" w:cstheme="majorBidi"/>
          <w:szCs w:val="22"/>
        </w:rPr>
        <w:t xml:space="preserve">(1840-41). Carolyn Williams has read the “composite” figure of Grip and Barnaby in </w:t>
      </w:r>
      <w:r w:rsidRPr="00693EA6">
        <w:rPr>
          <w:rFonts w:asciiTheme="majorBidi" w:eastAsia="Calibri" w:hAnsiTheme="majorBidi" w:cstheme="majorBidi"/>
          <w:i/>
          <w:iCs/>
          <w:szCs w:val="22"/>
        </w:rPr>
        <w:t>Barnaby Rudge</w:t>
      </w:r>
      <w:r w:rsidRPr="00693EA6">
        <w:rPr>
          <w:rFonts w:asciiTheme="majorBidi" w:eastAsia="Calibri" w:hAnsiTheme="majorBidi" w:cstheme="majorBidi"/>
          <w:szCs w:val="22"/>
        </w:rPr>
        <w:t xml:space="preserve"> under the auspices of melodrama, arguing that duo constitutes “a whole composed of a witless human and a talking </w:t>
      </w:r>
      <w:r w:rsidRPr="00693EA6">
        <w:rPr>
          <w:rFonts w:asciiTheme="majorBidi" w:eastAsia="Calibri" w:hAnsiTheme="majorBidi" w:cstheme="majorBidi"/>
          <w:szCs w:val="22"/>
        </w:rPr>
        <w:lastRenderedPageBreak/>
        <w:t xml:space="preserve">animal that ‘has all the wit’ (61; ch. 6)” (“Stupidity and Stupefaction” 359). She further reasons that since Barnaby often carries Grip on his back, they also “physically make one body together.” The narrative codependence of Barnaby and Grip, though, proves more profound than these surface, generic elements might lead us to believe. In concluding my survey of the interactions between Dickens’s disabled characters and their assistive devices, I look to the representation of Barnaby’s service animal to examine how Dickens leverages elements of melodrama to blend domestic Victorian pet-keeping with </w:t>
      </w:r>
      <w:r w:rsidR="00A03F5B">
        <w:rPr>
          <w:rFonts w:asciiTheme="majorBidi" w:eastAsia="Calibri" w:hAnsiTheme="majorBidi" w:cstheme="majorBidi"/>
          <w:szCs w:val="22"/>
        </w:rPr>
        <w:t xml:space="preserve">aspects of accommodation </w:t>
      </w:r>
      <w:r w:rsidRPr="00693EA6">
        <w:rPr>
          <w:rFonts w:asciiTheme="majorBidi" w:eastAsia="Calibri" w:hAnsiTheme="majorBidi" w:cstheme="majorBidi"/>
          <w:szCs w:val="22"/>
        </w:rPr>
        <w:t xml:space="preserve">in this human-animal pair. As an animate aid, Grip looks less like Barnaby’s prop and more like his co-actor, and their identities often appear mutually constitutive. </w:t>
      </w:r>
    </w:p>
    <w:p w14:paraId="47A5D9B1" w14:textId="77777777" w:rsidR="00693EA6" w:rsidRPr="00693EA6" w:rsidRDefault="00693EA6" w:rsidP="00693EA6">
      <w:pPr>
        <w:spacing w:line="480" w:lineRule="auto"/>
        <w:ind w:firstLine="720"/>
        <w:rPr>
          <w:rFonts w:asciiTheme="majorBidi" w:eastAsia="Calibri" w:hAnsiTheme="majorBidi" w:cstheme="majorBidi"/>
          <w:szCs w:val="22"/>
        </w:rPr>
      </w:pPr>
      <w:r w:rsidRPr="00693EA6">
        <w:rPr>
          <w:rFonts w:asciiTheme="majorBidi" w:eastAsia="Calibri" w:hAnsiTheme="majorBidi" w:cstheme="majorBidi"/>
          <w:szCs w:val="22"/>
        </w:rPr>
        <w:t xml:space="preserve">With the pair working in tandem, the question of who needs or “cares for” either of them remains at issue for both man and bird up until the novel’s final pages. (“Care,” in </w:t>
      </w:r>
      <w:r w:rsidRPr="00693EA6">
        <w:rPr>
          <w:rFonts w:asciiTheme="majorBidi" w:eastAsia="Calibri" w:hAnsiTheme="majorBidi" w:cstheme="majorBidi"/>
          <w:i/>
          <w:iCs/>
          <w:szCs w:val="22"/>
        </w:rPr>
        <w:t>Barnaby</w:t>
      </w:r>
      <w:r w:rsidRPr="00693EA6">
        <w:rPr>
          <w:rFonts w:asciiTheme="majorBidi" w:eastAsia="Calibri" w:hAnsiTheme="majorBidi" w:cstheme="majorBidi"/>
          <w:szCs w:val="22"/>
        </w:rPr>
        <w:t>, means, variously, “assist” or “watch over” as well as “have a vested interest in.”) Crucially, when imprisoned with his feathered companion at the end of the novel, Barnaby repeatedly asks, “But who cares for Grip?” to which the raven croaks in response, “Nobody” (583). Contemplating their mutual and essentially exclusive system of care, Barnaby wonders how either he or Grip can possibly exist without the other:</w:t>
      </w:r>
      <w:r w:rsidRPr="00693EA6">
        <w:rPr>
          <w:rFonts w:asciiTheme="majorBidi" w:eastAsia="Calibri" w:hAnsiTheme="majorBidi" w:cstheme="majorBidi"/>
          <w:szCs w:val="22"/>
        </w:rPr>
        <w:tab/>
      </w:r>
    </w:p>
    <w:p w14:paraId="409D4194" w14:textId="3A7F8411" w:rsidR="00693EA6" w:rsidRPr="00693EA6" w:rsidRDefault="00F61DFC" w:rsidP="00EC0A57">
      <w:pPr>
        <w:spacing w:line="480" w:lineRule="auto"/>
        <w:ind w:left="1440"/>
        <w:rPr>
          <w:rFonts w:asciiTheme="majorBidi" w:eastAsia="Calibri" w:hAnsiTheme="majorBidi" w:cstheme="majorBidi"/>
          <w:szCs w:val="22"/>
        </w:rPr>
      </w:pPr>
      <w:r w:rsidRPr="002A5475">
        <w:rPr>
          <w:rFonts w:asciiTheme="majorBidi" w:eastAsia="Calibri" w:hAnsiTheme="majorBidi" w:cstheme="majorBidi"/>
          <w:szCs w:val="22"/>
        </w:rPr>
        <w:t>“</w:t>
      </w:r>
      <w:r w:rsidR="00693EA6" w:rsidRPr="00693EA6">
        <w:rPr>
          <w:rFonts w:asciiTheme="majorBidi" w:eastAsia="Calibri" w:hAnsiTheme="majorBidi" w:cstheme="majorBidi"/>
          <w:szCs w:val="22"/>
        </w:rPr>
        <w:t>And by the way,</w:t>
      </w:r>
      <w:r w:rsidRPr="002A5475">
        <w:rPr>
          <w:rFonts w:asciiTheme="majorBidi" w:eastAsia="Calibri" w:hAnsiTheme="majorBidi" w:cstheme="majorBidi"/>
          <w:szCs w:val="22"/>
        </w:rPr>
        <w:t>”</w:t>
      </w:r>
      <w:r w:rsidR="00693EA6" w:rsidRPr="00693EA6">
        <w:rPr>
          <w:rFonts w:asciiTheme="majorBidi" w:eastAsia="Calibri" w:hAnsiTheme="majorBidi" w:cstheme="majorBidi"/>
          <w:szCs w:val="22"/>
        </w:rPr>
        <w:t xml:space="preserve"> said Barnaby, withdrawing his hand from the bird, and laying it upon his mother’s arm, as he looked eagerly in her face; </w:t>
      </w:r>
      <w:r w:rsidRPr="002A5475">
        <w:rPr>
          <w:rFonts w:asciiTheme="majorBidi" w:eastAsia="Calibri" w:hAnsiTheme="majorBidi" w:cstheme="majorBidi"/>
          <w:szCs w:val="22"/>
        </w:rPr>
        <w:t>“</w:t>
      </w:r>
      <w:r w:rsidR="00693EA6" w:rsidRPr="00693EA6">
        <w:rPr>
          <w:rFonts w:asciiTheme="majorBidi" w:eastAsia="Calibri" w:hAnsiTheme="majorBidi" w:cstheme="majorBidi"/>
          <w:szCs w:val="22"/>
        </w:rPr>
        <w:t>if they kill me—they may, I heard it said they would—what will become of Grip when I am dead?</w:t>
      </w:r>
      <w:r w:rsidRPr="002A5475">
        <w:rPr>
          <w:rFonts w:asciiTheme="majorBidi" w:eastAsia="Calibri" w:hAnsiTheme="majorBidi" w:cstheme="majorBidi"/>
          <w:szCs w:val="22"/>
        </w:rPr>
        <w:t>”</w:t>
      </w:r>
    </w:p>
    <w:p w14:paraId="6BE9A248" w14:textId="2455127F" w:rsidR="00693EA6" w:rsidRPr="00693EA6" w:rsidRDefault="00693EA6" w:rsidP="00693EA6">
      <w:pPr>
        <w:spacing w:line="480" w:lineRule="auto"/>
        <w:ind w:left="1440" w:firstLine="720"/>
        <w:rPr>
          <w:rFonts w:asciiTheme="majorBidi" w:eastAsia="Calibri" w:hAnsiTheme="majorBidi" w:cstheme="majorBidi"/>
          <w:szCs w:val="22"/>
        </w:rPr>
      </w:pPr>
      <w:r w:rsidRPr="00693EA6">
        <w:rPr>
          <w:rFonts w:asciiTheme="majorBidi" w:eastAsia="Calibri" w:hAnsiTheme="majorBidi" w:cstheme="majorBidi"/>
          <w:szCs w:val="22"/>
        </w:rPr>
        <w:t xml:space="preserve">The sound of the word, or the current of his own thoughts, suggested to Grip his old phrase </w:t>
      </w:r>
      <w:r w:rsidR="00F61DFC" w:rsidRPr="002A5475">
        <w:rPr>
          <w:rFonts w:asciiTheme="majorBidi" w:eastAsia="Calibri" w:hAnsiTheme="majorBidi" w:cstheme="majorBidi"/>
          <w:szCs w:val="22"/>
        </w:rPr>
        <w:t>“</w:t>
      </w:r>
      <w:r w:rsidRPr="00693EA6">
        <w:rPr>
          <w:rFonts w:asciiTheme="majorBidi" w:eastAsia="Calibri" w:hAnsiTheme="majorBidi" w:cstheme="majorBidi"/>
          <w:szCs w:val="22"/>
        </w:rPr>
        <w:t>Never say die!</w:t>
      </w:r>
      <w:r w:rsidR="00F61DFC" w:rsidRPr="002A5475">
        <w:rPr>
          <w:rFonts w:asciiTheme="majorBidi" w:eastAsia="Calibri" w:hAnsiTheme="majorBidi" w:cstheme="majorBidi"/>
          <w:szCs w:val="22"/>
        </w:rPr>
        <w:t>”</w:t>
      </w:r>
      <w:r w:rsidRPr="00693EA6">
        <w:rPr>
          <w:rFonts w:asciiTheme="majorBidi" w:eastAsia="Calibri" w:hAnsiTheme="majorBidi" w:cstheme="majorBidi"/>
          <w:szCs w:val="22"/>
        </w:rPr>
        <w:t xml:space="preserve"> But he stopped short in the middle of it, drew a dismal cork, and subsided into a faint croak, as if he lacked the heart to get through the shortest sentence.</w:t>
      </w:r>
    </w:p>
    <w:p w14:paraId="7D0383FC" w14:textId="5376F0DA" w:rsidR="00693EA6" w:rsidRPr="00693EA6" w:rsidRDefault="00F61DFC" w:rsidP="00693EA6">
      <w:pPr>
        <w:spacing w:line="480" w:lineRule="auto"/>
        <w:ind w:left="1440" w:firstLine="720"/>
        <w:rPr>
          <w:rFonts w:asciiTheme="majorBidi" w:eastAsia="Calibri" w:hAnsiTheme="majorBidi" w:cstheme="majorBidi"/>
          <w:szCs w:val="22"/>
        </w:rPr>
      </w:pPr>
      <w:r w:rsidRPr="002A5475">
        <w:rPr>
          <w:rFonts w:asciiTheme="majorBidi" w:eastAsia="Calibri" w:hAnsiTheme="majorBidi" w:cstheme="majorBidi"/>
          <w:szCs w:val="22"/>
        </w:rPr>
        <w:lastRenderedPageBreak/>
        <w:t>“</w:t>
      </w:r>
      <w:r w:rsidR="00693EA6" w:rsidRPr="00693EA6">
        <w:rPr>
          <w:rFonts w:asciiTheme="majorBidi" w:eastAsia="Calibri" w:hAnsiTheme="majorBidi" w:cstheme="majorBidi"/>
          <w:szCs w:val="22"/>
        </w:rPr>
        <w:t xml:space="preserve">Will they take </w:t>
      </w:r>
      <w:r w:rsidR="00693EA6" w:rsidRPr="00693EA6">
        <w:rPr>
          <w:rFonts w:asciiTheme="majorBidi" w:eastAsia="Calibri" w:hAnsiTheme="majorBidi" w:cstheme="majorBidi"/>
          <w:i/>
          <w:szCs w:val="22"/>
        </w:rPr>
        <w:t>his</w:t>
      </w:r>
      <w:r w:rsidR="00693EA6" w:rsidRPr="00693EA6">
        <w:rPr>
          <w:rFonts w:asciiTheme="majorBidi" w:eastAsia="Calibri" w:hAnsiTheme="majorBidi" w:cstheme="majorBidi"/>
          <w:szCs w:val="22"/>
        </w:rPr>
        <w:t xml:space="preserve"> life as well as mine?</w:t>
      </w:r>
      <w:r w:rsidRPr="002A5475">
        <w:rPr>
          <w:rFonts w:asciiTheme="majorBidi" w:eastAsia="Calibri" w:hAnsiTheme="majorBidi" w:cstheme="majorBidi"/>
          <w:szCs w:val="22"/>
        </w:rPr>
        <w:t>”</w:t>
      </w:r>
      <w:r w:rsidR="00693EA6" w:rsidRPr="00693EA6">
        <w:rPr>
          <w:rFonts w:asciiTheme="majorBidi" w:eastAsia="Calibri" w:hAnsiTheme="majorBidi" w:cstheme="majorBidi"/>
          <w:szCs w:val="22"/>
        </w:rPr>
        <w:t xml:space="preserve"> said Barnaby. </w:t>
      </w:r>
      <w:r w:rsidRPr="002A5475">
        <w:rPr>
          <w:rFonts w:asciiTheme="majorBidi" w:eastAsia="Calibri" w:hAnsiTheme="majorBidi" w:cstheme="majorBidi"/>
          <w:szCs w:val="22"/>
        </w:rPr>
        <w:t>“</w:t>
      </w:r>
      <w:r w:rsidR="00693EA6" w:rsidRPr="00693EA6">
        <w:rPr>
          <w:rFonts w:asciiTheme="majorBidi" w:eastAsia="Calibri" w:hAnsiTheme="majorBidi" w:cstheme="majorBidi"/>
          <w:szCs w:val="22"/>
        </w:rPr>
        <w:t>I wish they would. If you and I and he could die together, there would be none to feel sorry, or to grieve for us. But do what they will, I don’t fear them mother.</w:t>
      </w:r>
      <w:r w:rsidRPr="002A5475">
        <w:rPr>
          <w:rFonts w:asciiTheme="majorBidi" w:eastAsia="Calibri" w:hAnsiTheme="majorBidi" w:cstheme="majorBidi"/>
          <w:szCs w:val="22"/>
        </w:rPr>
        <w:t>”</w:t>
      </w:r>
      <w:r w:rsidR="00693EA6" w:rsidRPr="00693EA6">
        <w:rPr>
          <w:rFonts w:asciiTheme="majorBidi" w:eastAsia="Calibri" w:hAnsiTheme="majorBidi" w:cstheme="majorBidi"/>
          <w:szCs w:val="22"/>
        </w:rPr>
        <w:t xml:space="preserve"> (Ibid.)</w:t>
      </w:r>
    </w:p>
    <w:p w14:paraId="2A6FFFF2" w14:textId="59D9A745" w:rsidR="00513827" w:rsidRPr="002A5475" w:rsidRDefault="00693EA6" w:rsidP="00A03F5B">
      <w:pPr>
        <w:spacing w:line="480" w:lineRule="auto"/>
        <w:rPr>
          <w:rFonts w:asciiTheme="majorBidi" w:eastAsia="Calibri" w:hAnsiTheme="majorBidi" w:cstheme="majorBidi"/>
        </w:rPr>
      </w:pPr>
      <w:r w:rsidRPr="00693EA6">
        <w:rPr>
          <w:rFonts w:asciiTheme="majorBidi" w:eastAsia="Calibri" w:hAnsiTheme="majorBidi" w:cstheme="majorBidi"/>
          <w:szCs w:val="22"/>
        </w:rPr>
        <w:t>Barnaby’s existential deliberation generates larger questions about the sociophysical link between disabled characters and their service animals.</w:t>
      </w:r>
      <w:r w:rsidRPr="00693EA6">
        <w:rPr>
          <w:rFonts w:asciiTheme="majorBidi" w:eastAsia="Calibri" w:hAnsiTheme="majorBidi" w:cstheme="majorBidi"/>
          <w:szCs w:val="22"/>
          <w:vertAlign w:val="superscript"/>
        </w:rPr>
        <w:footnoteReference w:id="68"/>
      </w:r>
      <w:r w:rsidRPr="00693EA6">
        <w:rPr>
          <w:rFonts w:asciiTheme="majorBidi" w:eastAsia="Calibri" w:hAnsiTheme="majorBidi" w:cstheme="majorBidi"/>
          <w:szCs w:val="22"/>
        </w:rPr>
        <w:t xml:space="preserve"> </w:t>
      </w:r>
      <w:r w:rsidRPr="00693EA6">
        <w:rPr>
          <w:rFonts w:asciiTheme="majorBidi" w:eastAsia="Calibri" w:hAnsiTheme="majorBidi" w:cstheme="majorBidi"/>
        </w:rPr>
        <w:t xml:space="preserve">That Barnaby’s fate and Grip’s </w:t>
      </w:r>
    </w:p>
    <w:p w14:paraId="3D35338D" w14:textId="34F8E0D5" w:rsidR="00A03F5B" w:rsidRDefault="00A03F5B" w:rsidP="002518A0">
      <w:pPr>
        <w:spacing w:line="480" w:lineRule="auto"/>
        <w:rPr>
          <w:rFonts w:asciiTheme="majorBidi" w:eastAsia="Calibri" w:hAnsiTheme="majorBidi" w:cstheme="majorBidi"/>
          <w:szCs w:val="22"/>
        </w:rPr>
      </w:pPr>
      <w:r w:rsidRPr="00693EA6">
        <w:rPr>
          <w:rFonts w:asciiTheme="majorBidi" w:eastAsia="Calibri" w:hAnsiTheme="majorBidi" w:cstheme="majorBidi"/>
        </w:rPr>
        <w:t xml:space="preserve">are linked or mutually dependent also suggests that human beings, too, may fall under the category of “animal,” that our social network entails a much more extensive biological web. Perhaps, then, it is no wonder that the novel’s final line—final two paragraphs—centers almost exclusively on Grip in recounting the post-incarceration lives of Barnaby </w:t>
      </w:r>
      <w:r w:rsidR="00693EA6" w:rsidRPr="00693EA6">
        <w:rPr>
          <w:rFonts w:asciiTheme="majorBidi" w:eastAsia="Calibri" w:hAnsiTheme="majorBidi" w:cstheme="majorBidi"/>
        </w:rPr>
        <w:t>and Grip, whose recovery, while mutual, is never fully complete.</w:t>
      </w:r>
      <w:r w:rsidR="00E21B5C">
        <w:rPr>
          <w:rFonts w:asciiTheme="majorBidi" w:eastAsia="Calibri" w:hAnsiTheme="majorBidi" w:cstheme="majorBidi"/>
        </w:rPr>
        <w:t xml:space="preserve"> (See figure 3.)</w:t>
      </w:r>
      <w:r w:rsidR="00693EA6" w:rsidRPr="00693EA6">
        <w:rPr>
          <w:rFonts w:asciiTheme="majorBidi" w:eastAsia="Calibri" w:hAnsiTheme="majorBidi" w:cstheme="majorBidi"/>
        </w:rPr>
        <w:t xml:space="preserve"> </w:t>
      </w:r>
      <w:r w:rsidR="00693EA6" w:rsidRPr="00693EA6">
        <w:rPr>
          <w:rFonts w:asciiTheme="majorBidi" w:eastAsia="Calibri" w:hAnsiTheme="majorBidi" w:cstheme="majorBidi"/>
          <w:szCs w:val="22"/>
        </w:rPr>
        <w:t xml:space="preserve">Distinct from inanimate prosthetics, service animals involve a different narrative tack of engagement and deployment. In </w:t>
      </w:r>
    </w:p>
    <w:p w14:paraId="4F158E0F" w14:textId="77777777" w:rsidR="00A03F5B" w:rsidRPr="00693EA6" w:rsidRDefault="00A03F5B" w:rsidP="00A03F5B">
      <w:pPr>
        <w:keepNext/>
        <w:jc w:val="center"/>
        <w:rPr>
          <w:rFonts w:asciiTheme="majorBidi" w:hAnsiTheme="majorBidi" w:cstheme="majorBidi"/>
        </w:rPr>
      </w:pPr>
      <w:bookmarkStart w:id="15" w:name="_Toc101797036"/>
      <w:r w:rsidRPr="00693EA6">
        <w:rPr>
          <w:rFonts w:asciiTheme="majorBidi" w:eastAsia="Calibri" w:hAnsiTheme="majorBidi" w:cstheme="majorBidi"/>
          <w:noProof/>
          <w:szCs w:val="22"/>
        </w:rPr>
        <w:lastRenderedPageBreak/>
        <w:drawing>
          <wp:anchor distT="0" distB="0" distL="114300" distR="114300" simplePos="0" relativeHeight="251669504" behindDoc="1" locked="0" layoutInCell="1" allowOverlap="1" wp14:anchorId="0399B81B" wp14:editId="3B389291">
            <wp:simplePos x="0" y="0"/>
            <wp:positionH relativeFrom="column">
              <wp:posOffset>304800</wp:posOffset>
            </wp:positionH>
            <wp:positionV relativeFrom="paragraph">
              <wp:posOffset>0</wp:posOffset>
            </wp:positionV>
            <wp:extent cx="5231130" cy="2635250"/>
            <wp:effectExtent l="0" t="0" r="7620" b="0"/>
            <wp:wrapTight wrapText="bothSides">
              <wp:wrapPolygon edited="0">
                <wp:start x="0" y="0"/>
                <wp:lineTo x="0" y="21392"/>
                <wp:lineTo x="21553" y="21392"/>
                <wp:lineTo x="21553"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31130" cy="2635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A5475">
        <w:rPr>
          <w:rFonts w:asciiTheme="majorBidi" w:hAnsiTheme="majorBidi" w:cstheme="majorBidi"/>
        </w:rPr>
        <w:t xml:space="preserve">Figure </w:t>
      </w:r>
      <w:r w:rsidRPr="002A5475">
        <w:rPr>
          <w:rFonts w:asciiTheme="majorBidi" w:hAnsiTheme="majorBidi" w:cstheme="majorBidi"/>
        </w:rPr>
        <w:fldChar w:fldCharType="begin"/>
      </w:r>
      <w:r w:rsidRPr="002A5475">
        <w:rPr>
          <w:rFonts w:asciiTheme="majorBidi" w:hAnsiTheme="majorBidi" w:cstheme="majorBidi"/>
        </w:rPr>
        <w:instrText xml:space="preserve"> SEQ Figure \* ARABIC </w:instrText>
      </w:r>
      <w:r w:rsidRPr="002A5475">
        <w:rPr>
          <w:rFonts w:asciiTheme="majorBidi" w:hAnsiTheme="majorBidi" w:cstheme="majorBidi"/>
        </w:rPr>
        <w:fldChar w:fldCharType="separate"/>
      </w:r>
      <w:r>
        <w:rPr>
          <w:rFonts w:asciiTheme="majorBidi" w:hAnsiTheme="majorBidi" w:cstheme="majorBidi"/>
          <w:noProof/>
        </w:rPr>
        <w:t>3</w:t>
      </w:r>
      <w:r w:rsidRPr="002A5475">
        <w:rPr>
          <w:rFonts w:asciiTheme="majorBidi" w:hAnsiTheme="majorBidi" w:cstheme="majorBidi"/>
        </w:rPr>
        <w:fldChar w:fldCharType="end"/>
      </w:r>
      <w:r w:rsidRPr="002A5475">
        <w:rPr>
          <w:rFonts w:asciiTheme="majorBidi" w:hAnsiTheme="majorBidi" w:cstheme="majorBidi"/>
        </w:rPr>
        <w:t>: Barnaby and Grip</w:t>
      </w:r>
      <w:r w:rsidRPr="002A5475">
        <w:rPr>
          <w:rFonts w:asciiTheme="majorBidi" w:eastAsia="Calibri" w:hAnsiTheme="majorBidi" w:cstheme="majorBidi"/>
          <w:szCs w:val="22"/>
        </w:rPr>
        <w:t>.</w:t>
      </w:r>
      <w:r w:rsidRPr="00693EA6">
        <w:rPr>
          <w:rFonts w:asciiTheme="majorBidi" w:eastAsia="Calibri" w:hAnsiTheme="majorBidi" w:cstheme="majorBidi"/>
          <w:szCs w:val="22"/>
        </w:rPr>
        <w:t xml:space="preserve"> </w:t>
      </w:r>
      <w:r w:rsidRPr="002A5475">
        <w:rPr>
          <w:rFonts w:asciiTheme="majorBidi" w:eastAsia="Calibri" w:hAnsiTheme="majorBidi" w:cstheme="majorBidi"/>
          <w:szCs w:val="22"/>
        </w:rPr>
        <w:t xml:space="preserve">Illustration for </w:t>
      </w:r>
      <w:r w:rsidRPr="002A5475">
        <w:rPr>
          <w:rFonts w:asciiTheme="majorBidi" w:eastAsia="Calibri" w:hAnsiTheme="majorBidi" w:cstheme="majorBidi"/>
          <w:i/>
          <w:iCs/>
          <w:szCs w:val="22"/>
        </w:rPr>
        <w:t>Barnaby Rudge</w:t>
      </w:r>
      <w:r w:rsidRPr="002A5475">
        <w:rPr>
          <w:rFonts w:asciiTheme="majorBidi" w:eastAsia="Calibri" w:hAnsiTheme="majorBidi" w:cstheme="majorBidi"/>
          <w:szCs w:val="22"/>
        </w:rPr>
        <w:t xml:space="preserve"> (1841) by Hablot Knight Browne (Phiz).</w:t>
      </w:r>
      <w:bookmarkEnd w:id="15"/>
    </w:p>
    <w:p w14:paraId="08F7C10D" w14:textId="797F4246" w:rsidR="00A03F5B" w:rsidRDefault="00A03F5B" w:rsidP="00A03F5B">
      <w:pPr>
        <w:rPr>
          <w:rFonts w:asciiTheme="majorBidi" w:eastAsia="Calibri" w:hAnsiTheme="majorBidi" w:cstheme="majorBidi"/>
          <w:szCs w:val="22"/>
        </w:rPr>
      </w:pPr>
    </w:p>
    <w:p w14:paraId="221E5DC9" w14:textId="0200A04B" w:rsidR="00A03F5B" w:rsidRDefault="00A03F5B" w:rsidP="00A03F5B">
      <w:pPr>
        <w:rPr>
          <w:rFonts w:asciiTheme="majorBidi" w:eastAsia="Calibri" w:hAnsiTheme="majorBidi" w:cstheme="majorBidi"/>
          <w:szCs w:val="22"/>
        </w:rPr>
      </w:pPr>
    </w:p>
    <w:p w14:paraId="6D122087" w14:textId="6B76DF97" w:rsidR="00A03F5B" w:rsidRDefault="00A03F5B" w:rsidP="00A03F5B">
      <w:pPr>
        <w:rPr>
          <w:rFonts w:asciiTheme="majorBidi" w:eastAsia="Calibri" w:hAnsiTheme="majorBidi" w:cstheme="majorBidi"/>
          <w:szCs w:val="22"/>
        </w:rPr>
      </w:pPr>
    </w:p>
    <w:p w14:paraId="4A6CA10F" w14:textId="446BAA5E" w:rsidR="00A03F5B" w:rsidRDefault="00A03F5B" w:rsidP="00A03F5B">
      <w:pPr>
        <w:rPr>
          <w:rFonts w:asciiTheme="majorBidi" w:eastAsia="Calibri" w:hAnsiTheme="majorBidi" w:cstheme="majorBidi"/>
          <w:szCs w:val="22"/>
        </w:rPr>
      </w:pPr>
    </w:p>
    <w:p w14:paraId="7173C3E5" w14:textId="77777777" w:rsidR="00A03F5B" w:rsidRPr="002A5475" w:rsidRDefault="00A03F5B" w:rsidP="00A03F5B">
      <w:pPr>
        <w:rPr>
          <w:rFonts w:asciiTheme="majorBidi" w:eastAsia="Calibri" w:hAnsiTheme="majorBidi" w:cstheme="majorBidi"/>
          <w:szCs w:val="22"/>
        </w:rPr>
      </w:pPr>
    </w:p>
    <w:p w14:paraId="23B5BCE8" w14:textId="77777777" w:rsidR="00A03F5B" w:rsidRPr="002A5475" w:rsidRDefault="00A03F5B" w:rsidP="00A03F5B">
      <w:pPr>
        <w:keepNext/>
        <w:jc w:val="center"/>
        <w:rPr>
          <w:rFonts w:asciiTheme="majorBidi" w:hAnsiTheme="majorBidi" w:cstheme="majorBidi"/>
        </w:rPr>
      </w:pPr>
      <w:r w:rsidRPr="00693EA6">
        <w:rPr>
          <w:rFonts w:asciiTheme="majorBidi" w:eastAsia="Calibri" w:hAnsiTheme="majorBidi" w:cstheme="majorBidi"/>
          <w:noProof/>
          <w:szCs w:val="22"/>
        </w:rPr>
        <w:drawing>
          <wp:inline distT="0" distB="0" distL="0" distR="0" wp14:anchorId="045B8558" wp14:editId="46172B14">
            <wp:extent cx="2317898" cy="3280045"/>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17898" cy="3280045"/>
                    </a:xfrm>
                    <a:prstGeom prst="rect">
                      <a:avLst/>
                    </a:prstGeom>
                    <a:noFill/>
                    <a:ln>
                      <a:noFill/>
                    </a:ln>
                  </pic:spPr>
                </pic:pic>
              </a:graphicData>
            </a:graphic>
          </wp:inline>
        </w:drawing>
      </w:r>
    </w:p>
    <w:p w14:paraId="0E1CD811" w14:textId="77777777" w:rsidR="00A03F5B" w:rsidRPr="00693EA6" w:rsidRDefault="00A03F5B" w:rsidP="00A03F5B">
      <w:pPr>
        <w:pStyle w:val="Caption"/>
        <w:jc w:val="center"/>
        <w:rPr>
          <w:rFonts w:asciiTheme="majorBidi" w:hAnsiTheme="majorBidi" w:cstheme="majorBidi"/>
          <w:b w:val="0"/>
          <w:bCs w:val="0"/>
        </w:rPr>
      </w:pPr>
      <w:bookmarkStart w:id="16" w:name="_Toc101797037"/>
      <w:r w:rsidRPr="002A5475">
        <w:rPr>
          <w:rFonts w:asciiTheme="majorBidi" w:hAnsiTheme="majorBidi" w:cstheme="majorBidi"/>
          <w:b w:val="0"/>
          <w:bCs w:val="0"/>
        </w:rPr>
        <w:t xml:space="preserve">Figure </w:t>
      </w:r>
      <w:r w:rsidRPr="002A5475">
        <w:rPr>
          <w:rFonts w:asciiTheme="majorBidi" w:hAnsiTheme="majorBidi" w:cstheme="majorBidi"/>
          <w:b w:val="0"/>
          <w:bCs w:val="0"/>
        </w:rPr>
        <w:fldChar w:fldCharType="begin"/>
      </w:r>
      <w:r w:rsidRPr="002A5475">
        <w:rPr>
          <w:rFonts w:asciiTheme="majorBidi" w:hAnsiTheme="majorBidi" w:cstheme="majorBidi"/>
          <w:b w:val="0"/>
          <w:bCs w:val="0"/>
        </w:rPr>
        <w:instrText xml:space="preserve"> SEQ Figure \* ARABIC </w:instrText>
      </w:r>
      <w:r w:rsidRPr="002A5475">
        <w:rPr>
          <w:rFonts w:asciiTheme="majorBidi" w:hAnsiTheme="majorBidi" w:cstheme="majorBidi"/>
          <w:b w:val="0"/>
          <w:bCs w:val="0"/>
        </w:rPr>
        <w:fldChar w:fldCharType="separate"/>
      </w:r>
      <w:r>
        <w:rPr>
          <w:rFonts w:asciiTheme="majorBidi" w:hAnsiTheme="majorBidi" w:cstheme="majorBidi"/>
          <w:b w:val="0"/>
          <w:bCs w:val="0"/>
          <w:noProof/>
        </w:rPr>
        <w:t>4</w:t>
      </w:r>
      <w:r w:rsidRPr="002A5475">
        <w:rPr>
          <w:rFonts w:asciiTheme="majorBidi" w:hAnsiTheme="majorBidi" w:cstheme="majorBidi"/>
          <w:b w:val="0"/>
          <w:bCs w:val="0"/>
        </w:rPr>
        <w:fldChar w:fldCharType="end"/>
      </w:r>
      <w:r w:rsidRPr="002A5475">
        <w:rPr>
          <w:rFonts w:asciiTheme="majorBidi" w:hAnsiTheme="majorBidi" w:cstheme="majorBidi"/>
          <w:b w:val="0"/>
          <w:bCs w:val="0"/>
        </w:rPr>
        <w:t>: The Blind Boot-Lace Seller</w:t>
      </w:r>
      <w:r w:rsidRPr="002A5475">
        <w:rPr>
          <w:rFonts w:asciiTheme="majorBidi" w:eastAsia="Calibri" w:hAnsiTheme="majorBidi" w:cstheme="majorBidi"/>
          <w:b w:val="0"/>
          <w:bCs w:val="0"/>
          <w:szCs w:val="22"/>
        </w:rPr>
        <w:t>.</w:t>
      </w:r>
      <w:r w:rsidRPr="00693EA6">
        <w:rPr>
          <w:rFonts w:asciiTheme="majorBidi" w:eastAsia="Calibri" w:hAnsiTheme="majorBidi" w:cstheme="majorBidi"/>
          <w:b w:val="0"/>
          <w:bCs w:val="0"/>
          <w:szCs w:val="22"/>
        </w:rPr>
        <w:t xml:space="preserve"> </w:t>
      </w:r>
      <w:r w:rsidRPr="002A5475">
        <w:rPr>
          <w:rFonts w:asciiTheme="majorBidi" w:eastAsia="Calibri" w:hAnsiTheme="majorBidi" w:cstheme="majorBidi"/>
          <w:b w:val="0"/>
          <w:bCs w:val="0"/>
          <w:szCs w:val="22"/>
        </w:rPr>
        <w:t>F</w:t>
      </w:r>
      <w:r w:rsidRPr="00693EA6">
        <w:rPr>
          <w:rFonts w:asciiTheme="majorBidi" w:eastAsia="Calibri" w:hAnsiTheme="majorBidi" w:cstheme="majorBidi"/>
          <w:b w:val="0"/>
          <w:bCs w:val="0"/>
          <w:szCs w:val="22"/>
        </w:rPr>
        <w:t xml:space="preserve">rom Vol. I of Mayhew’s </w:t>
      </w:r>
      <w:r w:rsidRPr="00693EA6">
        <w:rPr>
          <w:rFonts w:asciiTheme="majorBidi" w:eastAsia="Calibri" w:hAnsiTheme="majorBidi" w:cstheme="majorBidi"/>
          <w:b w:val="0"/>
          <w:bCs w:val="0"/>
          <w:i/>
          <w:iCs/>
          <w:szCs w:val="22"/>
        </w:rPr>
        <w:t>London Labour and the London Poor</w:t>
      </w:r>
      <w:r w:rsidRPr="00693EA6">
        <w:rPr>
          <w:rFonts w:asciiTheme="majorBidi" w:eastAsia="Calibri" w:hAnsiTheme="majorBidi" w:cstheme="majorBidi"/>
          <w:b w:val="0"/>
          <w:bCs w:val="0"/>
          <w:szCs w:val="22"/>
        </w:rPr>
        <w:t>.</w:t>
      </w:r>
      <w:bookmarkEnd w:id="16"/>
    </w:p>
    <w:p w14:paraId="63D07496" w14:textId="77777777" w:rsidR="00A03F5B" w:rsidRDefault="00A03F5B">
      <w:pPr>
        <w:rPr>
          <w:rFonts w:asciiTheme="majorBidi" w:eastAsia="Calibri" w:hAnsiTheme="majorBidi" w:cstheme="majorBidi"/>
          <w:szCs w:val="22"/>
        </w:rPr>
      </w:pPr>
      <w:r>
        <w:rPr>
          <w:rFonts w:asciiTheme="majorBidi" w:eastAsia="Calibri" w:hAnsiTheme="majorBidi" w:cstheme="majorBidi"/>
          <w:szCs w:val="22"/>
        </w:rPr>
        <w:br w:type="page"/>
      </w:r>
    </w:p>
    <w:p w14:paraId="4AD62452" w14:textId="77777777" w:rsidR="002518A0" w:rsidRPr="00693EA6" w:rsidRDefault="002518A0" w:rsidP="002518A0">
      <w:pPr>
        <w:spacing w:line="480" w:lineRule="auto"/>
        <w:rPr>
          <w:rFonts w:asciiTheme="majorBidi" w:eastAsia="Calibri" w:hAnsiTheme="majorBidi" w:cstheme="majorBidi"/>
          <w:szCs w:val="22"/>
        </w:rPr>
      </w:pPr>
      <w:r w:rsidRPr="00693EA6">
        <w:rPr>
          <w:rFonts w:asciiTheme="majorBidi" w:eastAsia="Calibri" w:hAnsiTheme="majorBidi" w:cstheme="majorBidi"/>
          <w:szCs w:val="22"/>
        </w:rPr>
        <w:lastRenderedPageBreak/>
        <w:t>particular, the way in which Barnaby and the narrator take turns projecting meaning onto the raven’s utterances and actions raises questions about the extent to which either character (human or nonhuman) possesses autonomy or meaning irrespective of the other.</w:t>
      </w:r>
      <w:r w:rsidRPr="00693EA6">
        <w:rPr>
          <w:rFonts w:asciiTheme="majorBidi" w:eastAsia="Calibri" w:hAnsiTheme="majorBidi" w:cstheme="majorBidi"/>
          <w:szCs w:val="22"/>
          <w:vertAlign w:val="superscript"/>
        </w:rPr>
        <w:footnoteReference w:id="69"/>
      </w:r>
      <w:r w:rsidRPr="00693EA6">
        <w:rPr>
          <w:rFonts w:asciiTheme="majorBidi" w:eastAsia="Calibri" w:hAnsiTheme="majorBidi" w:cstheme="majorBidi"/>
          <w:szCs w:val="22"/>
        </w:rPr>
        <w:t xml:space="preserve"> </w:t>
      </w:r>
    </w:p>
    <w:p w14:paraId="5DE6F130" w14:textId="083666FA" w:rsidR="00421934" w:rsidRPr="00693EA6" w:rsidRDefault="002518A0" w:rsidP="002518A0">
      <w:pPr>
        <w:spacing w:line="480" w:lineRule="auto"/>
        <w:rPr>
          <w:rFonts w:asciiTheme="majorBidi" w:eastAsia="Calibri" w:hAnsiTheme="majorBidi" w:cstheme="majorBidi"/>
          <w:szCs w:val="22"/>
        </w:rPr>
      </w:pPr>
      <w:r w:rsidRPr="00693EA6">
        <w:rPr>
          <w:rFonts w:asciiTheme="majorBidi" w:eastAsia="Calibri" w:hAnsiTheme="majorBidi" w:cstheme="majorBidi"/>
          <w:szCs w:val="22"/>
        </w:rPr>
        <w:tab/>
        <w:t>In our present moment (in much of the Western world), service, emotional support, and therapy animals (designations that entail strict legal and practical distinctions) have become commonplace.</w:t>
      </w:r>
      <w:r w:rsidRPr="00693EA6">
        <w:rPr>
          <w:rFonts w:asciiTheme="majorBidi" w:eastAsia="Calibri" w:hAnsiTheme="majorBidi" w:cstheme="majorBidi"/>
          <w:szCs w:val="22"/>
          <w:vertAlign w:val="superscript"/>
        </w:rPr>
        <w:footnoteReference w:id="70"/>
      </w:r>
      <w:r w:rsidRPr="00693EA6">
        <w:rPr>
          <w:rFonts w:asciiTheme="majorBidi" w:eastAsia="Calibri" w:hAnsiTheme="majorBidi" w:cstheme="majorBidi"/>
          <w:szCs w:val="22"/>
        </w:rPr>
        <w:t xml:space="preserve"> This expanding spectrum of servic</w:t>
      </w:r>
      <w:r>
        <w:rPr>
          <w:rFonts w:asciiTheme="majorBidi" w:eastAsia="Calibri" w:hAnsiTheme="majorBidi" w:cstheme="majorBidi"/>
          <w:szCs w:val="22"/>
        </w:rPr>
        <w:t>e</w:t>
      </w:r>
      <w:r w:rsidRPr="00693EA6">
        <w:rPr>
          <w:rFonts w:asciiTheme="majorBidi" w:eastAsia="Calibri" w:hAnsiTheme="majorBidi" w:cstheme="majorBidi"/>
          <w:szCs w:val="22"/>
        </w:rPr>
        <w:t xml:space="preserve"> and therapy animals seems, on the one hand, to demonstrate a sort of democratizing impulse that blurs the divisions between and creates affective connections among nonhuman</w:t>
      </w:r>
      <w:r>
        <w:rPr>
          <w:rFonts w:asciiTheme="majorBidi" w:eastAsia="Calibri" w:hAnsiTheme="majorBidi" w:cstheme="majorBidi"/>
          <w:szCs w:val="22"/>
        </w:rPr>
        <w:t xml:space="preserve"> </w:t>
      </w:r>
      <w:r w:rsidR="00693EA6" w:rsidRPr="00693EA6">
        <w:rPr>
          <w:rFonts w:asciiTheme="majorBidi" w:eastAsia="Calibri" w:hAnsiTheme="majorBidi" w:cstheme="majorBidi"/>
          <w:szCs w:val="22"/>
        </w:rPr>
        <w:t>animal species and humans. On the other hand, it tends to carry with it the inevitable pushback that insists upon a strict hierarchy that separates humans from other animal species and “appropriate,” traditionally domestic, animals from their less familiar, more “feral” peers.</w:t>
      </w:r>
      <w:r w:rsidR="00693EA6" w:rsidRPr="00693EA6">
        <w:rPr>
          <w:rFonts w:asciiTheme="majorBidi" w:eastAsia="Calibri" w:hAnsiTheme="majorBidi" w:cstheme="majorBidi"/>
          <w:szCs w:val="22"/>
          <w:vertAlign w:val="superscript"/>
        </w:rPr>
        <w:footnoteReference w:id="71"/>
      </w:r>
      <w:r w:rsidR="00693EA6" w:rsidRPr="00693EA6">
        <w:rPr>
          <w:rFonts w:asciiTheme="majorBidi" w:eastAsia="Calibri" w:hAnsiTheme="majorBidi" w:cstheme="majorBidi"/>
          <w:szCs w:val="22"/>
        </w:rPr>
        <w:t xml:space="preserve"> More troublingly, though, this mode of dissent—one that relies on a restricting, delimited view of human/animal relationships—also necessarily entails distinguishing among and judging what constitutes “legitimate” forms of disability. Who really </w:t>
      </w:r>
      <w:r w:rsidR="00693EA6" w:rsidRPr="00693EA6">
        <w:rPr>
          <w:rFonts w:asciiTheme="majorBidi" w:eastAsia="Calibri" w:hAnsiTheme="majorBidi" w:cstheme="majorBidi"/>
          <w:i/>
          <w:iCs/>
          <w:szCs w:val="22"/>
        </w:rPr>
        <w:t>needs</w:t>
      </w:r>
      <w:r w:rsidR="00693EA6" w:rsidRPr="00693EA6">
        <w:rPr>
          <w:rFonts w:asciiTheme="majorBidi" w:eastAsia="Calibri" w:hAnsiTheme="majorBidi" w:cstheme="majorBidi"/>
          <w:szCs w:val="22"/>
        </w:rPr>
        <w:t xml:space="preserve"> or </w:t>
      </w:r>
      <w:r w:rsidR="00693EA6" w:rsidRPr="00693EA6">
        <w:rPr>
          <w:rFonts w:asciiTheme="majorBidi" w:eastAsia="Calibri" w:hAnsiTheme="majorBidi" w:cstheme="majorBidi"/>
          <w:i/>
          <w:iCs/>
          <w:szCs w:val="22"/>
        </w:rPr>
        <w:t>looks like</w:t>
      </w:r>
      <w:r w:rsidR="00693EA6" w:rsidRPr="00693EA6">
        <w:rPr>
          <w:rFonts w:asciiTheme="majorBidi" w:eastAsia="Calibri" w:hAnsiTheme="majorBidi" w:cstheme="majorBidi"/>
          <w:szCs w:val="22"/>
        </w:rPr>
        <w:t xml:space="preserve"> they need a service animal? What does that animal even do, anyway? (Never </w:t>
      </w:r>
      <w:r w:rsidR="00421934" w:rsidRPr="00693EA6">
        <w:rPr>
          <w:rFonts w:asciiTheme="majorBidi" w:eastAsia="Calibri" w:hAnsiTheme="majorBidi" w:cstheme="majorBidi"/>
          <w:szCs w:val="22"/>
        </w:rPr>
        <w:t xml:space="preserve">mind the people who assume they can touch or engage with a service animal the way they would </w:t>
      </w:r>
      <w:r w:rsidR="00421934" w:rsidRPr="00693EA6">
        <w:rPr>
          <w:rFonts w:asciiTheme="majorBidi" w:eastAsia="Calibri" w:hAnsiTheme="majorBidi" w:cstheme="majorBidi"/>
          <w:szCs w:val="22"/>
        </w:rPr>
        <w:lastRenderedPageBreak/>
        <w:t xml:space="preserve">their own pet—the normative ignorance of encroaching on a disabled person’s support.) How are we supposed to know? Does disability have to be validated by the normative gaze? Does it have to be seen or performed? It is in these moments that the social interaction facilitated by animals becomes a site of extreme tension. But as my reading of </w:t>
      </w:r>
      <w:r w:rsidR="00421934" w:rsidRPr="00693EA6">
        <w:rPr>
          <w:rFonts w:asciiTheme="majorBidi" w:eastAsia="Calibri" w:hAnsiTheme="majorBidi" w:cstheme="majorBidi"/>
          <w:i/>
          <w:iCs/>
          <w:szCs w:val="22"/>
        </w:rPr>
        <w:t>Barnaby Rudge</w:t>
      </w:r>
      <w:r w:rsidR="00421934" w:rsidRPr="00693EA6">
        <w:rPr>
          <w:rFonts w:asciiTheme="majorBidi" w:eastAsia="Calibri" w:hAnsiTheme="majorBidi" w:cstheme="majorBidi"/>
          <w:szCs w:val="22"/>
        </w:rPr>
        <w:t xml:space="preserve"> suggests, these relationships and issues are hardly unique or new to the twentieth and twenty-first centuries.</w:t>
      </w:r>
      <w:r w:rsidR="00421934" w:rsidRPr="00693EA6">
        <w:rPr>
          <w:rFonts w:asciiTheme="majorBidi" w:eastAsia="Calibri" w:hAnsiTheme="majorBidi" w:cstheme="majorBidi"/>
          <w:szCs w:val="22"/>
          <w:vertAlign w:val="superscript"/>
        </w:rPr>
        <w:footnoteReference w:id="72"/>
      </w:r>
      <w:r w:rsidR="00421934" w:rsidRPr="00693EA6">
        <w:rPr>
          <w:rFonts w:asciiTheme="majorBidi" w:eastAsia="Calibri" w:hAnsiTheme="majorBidi" w:cstheme="majorBidi"/>
          <w:szCs w:val="22"/>
        </w:rPr>
        <w:t xml:space="preserve">  </w:t>
      </w:r>
    </w:p>
    <w:p w14:paraId="3DFC413C" w14:textId="15D8118C" w:rsidR="00693EA6" w:rsidRPr="00693EA6" w:rsidRDefault="00421934" w:rsidP="000417F1">
      <w:pPr>
        <w:spacing w:line="480" w:lineRule="auto"/>
        <w:ind w:firstLine="720"/>
        <w:rPr>
          <w:rFonts w:asciiTheme="majorBidi" w:eastAsia="Calibri" w:hAnsiTheme="majorBidi" w:cstheme="majorBidi"/>
          <w:szCs w:val="22"/>
        </w:rPr>
      </w:pPr>
      <w:r w:rsidRPr="00693EA6">
        <w:rPr>
          <w:rFonts w:asciiTheme="majorBidi" w:eastAsia="Calibri" w:hAnsiTheme="majorBidi" w:cstheme="majorBidi"/>
          <w:szCs w:val="22"/>
        </w:rPr>
        <w:t xml:space="preserve">As Deborah Denenholz Morse and Martin Danahay have illustrated in </w:t>
      </w:r>
      <w:r w:rsidRPr="00693EA6">
        <w:rPr>
          <w:rFonts w:asciiTheme="majorBidi" w:eastAsia="Calibri" w:hAnsiTheme="majorBidi" w:cstheme="majorBidi"/>
          <w:i/>
          <w:szCs w:val="22"/>
        </w:rPr>
        <w:t>Victorian Animal Dreams</w:t>
      </w:r>
      <w:r w:rsidRPr="00693EA6">
        <w:rPr>
          <w:rFonts w:asciiTheme="majorBidi" w:eastAsia="Calibri" w:hAnsiTheme="majorBidi" w:cstheme="majorBidi"/>
          <w:szCs w:val="22"/>
        </w:rPr>
        <w:t xml:space="preserve"> (2007), a great deal of Victorian art reflected a growing popular interest and belief in “animal subjectivity.” One practical upshot of this widespread narrative representation of human/animal relationships in Victorian fiction concerns service animals and the tacit recognition of their ability to promote intrahuman relationships between members of the disability community and the nondisabled majority. In both his</w:t>
      </w:r>
      <w:r w:rsidR="000417F1">
        <w:rPr>
          <w:rFonts w:asciiTheme="majorBidi" w:eastAsia="Calibri" w:hAnsiTheme="majorBidi" w:cstheme="majorBidi"/>
          <w:szCs w:val="22"/>
        </w:rPr>
        <w:t xml:space="preserve"> </w:t>
      </w:r>
      <w:r w:rsidR="00693EA6" w:rsidRPr="00693EA6">
        <w:rPr>
          <w:rFonts w:asciiTheme="majorBidi" w:eastAsia="Calibri" w:hAnsiTheme="majorBidi" w:cstheme="majorBidi"/>
          <w:szCs w:val="22"/>
        </w:rPr>
        <w:t xml:space="preserve">fiction and nonfiction alike, Dickens exhibits a keen interest in the evolving human-animal relationships of his day. As an avid antivivisectionist and pet-keeper, Dickens repeatedly aligned his fictional characters—frequently those divorced from polite human society—with nonhuman counterparts. The editors and contributors of </w:t>
      </w:r>
      <w:r w:rsidR="00693EA6" w:rsidRPr="00693EA6">
        <w:rPr>
          <w:rFonts w:asciiTheme="majorBidi" w:eastAsia="Calibri" w:hAnsiTheme="majorBidi" w:cstheme="majorBidi"/>
          <w:i/>
          <w:szCs w:val="22"/>
        </w:rPr>
        <w:t>Victorian Animal Dreams</w:t>
      </w:r>
      <w:r w:rsidR="00693EA6" w:rsidRPr="00693EA6">
        <w:rPr>
          <w:rFonts w:asciiTheme="majorBidi" w:eastAsia="Calibri" w:hAnsiTheme="majorBidi" w:cstheme="majorBidi"/>
          <w:szCs w:val="22"/>
        </w:rPr>
        <w:t xml:space="preserve"> have posited modes of reading nineteenth-century animal imagery, and scholars like Beryl Gray have noted the integral role animals (especially dogs) play in Dickens’s novels. I aim to expand the scope of their inquiries by showing how Dickens imagined animals fostering a link between disabled persons at the periphery of society and nondisabled persons at its center.</w:t>
      </w:r>
    </w:p>
    <w:p w14:paraId="115F66B4" w14:textId="77777777" w:rsidR="00693EA6" w:rsidRPr="00693EA6" w:rsidRDefault="00693EA6" w:rsidP="00693EA6">
      <w:pPr>
        <w:spacing w:line="480" w:lineRule="auto"/>
        <w:rPr>
          <w:rFonts w:asciiTheme="majorBidi" w:eastAsia="Calibri" w:hAnsiTheme="majorBidi" w:cstheme="majorBidi"/>
          <w:bCs/>
          <w:szCs w:val="22"/>
        </w:rPr>
      </w:pPr>
      <w:r w:rsidRPr="00693EA6">
        <w:rPr>
          <w:rFonts w:asciiTheme="majorBidi" w:eastAsia="Calibri" w:hAnsiTheme="majorBidi" w:cstheme="majorBidi"/>
          <w:szCs w:val="22"/>
        </w:rPr>
        <w:lastRenderedPageBreak/>
        <w:tab/>
        <w:t xml:space="preserve">Dickens’s first historical novel, </w:t>
      </w:r>
      <w:r w:rsidRPr="00693EA6">
        <w:rPr>
          <w:rFonts w:asciiTheme="majorBidi" w:eastAsia="Calibri" w:hAnsiTheme="majorBidi" w:cstheme="majorBidi"/>
          <w:i/>
          <w:szCs w:val="22"/>
        </w:rPr>
        <w:t>Barnaby Rudge</w:t>
      </w:r>
      <w:r w:rsidRPr="00693EA6">
        <w:rPr>
          <w:rFonts w:asciiTheme="majorBidi" w:eastAsia="Calibri" w:hAnsiTheme="majorBidi" w:cstheme="majorBidi"/>
          <w:iCs/>
          <w:szCs w:val="22"/>
        </w:rPr>
        <w:t>,</w:t>
      </w:r>
      <w:r w:rsidRPr="00693EA6">
        <w:rPr>
          <w:rFonts w:asciiTheme="majorBidi" w:eastAsia="Calibri" w:hAnsiTheme="majorBidi" w:cstheme="majorBidi"/>
          <w:szCs w:val="22"/>
        </w:rPr>
        <w:t xml:space="preserve"> which narrates events that precipitate and unfold during the Gordon Riots of 1780, assumes a strikingly forward-looking position in its focus on Barnaby—the neurologically atypical protagonist—and his pet raven, Grip. Grip serves as a friend and aide to Barnaby; the pair are virtually inseparable, with the raven perpetually riding in a basket on the boy’s back during the day and perching on his leg at night. Barnaby refers to Grip as both his pet and his friend, and at a number of key moments in the novel, Barnaby extols Grip’s caretaking skills, exclaiming, </w:t>
      </w:r>
      <w:r w:rsidRPr="00693EA6">
        <w:rPr>
          <w:rFonts w:asciiTheme="majorBidi" w:eastAsia="Calibri" w:hAnsiTheme="majorBidi" w:cstheme="majorBidi"/>
          <w:bCs/>
          <w:szCs w:val="22"/>
        </w:rPr>
        <w:t xml:space="preserve">“He takes such care of me besides! . . . . Such care </w:t>
      </w:r>
      <w:proofErr w:type="gramStart"/>
      <w:r w:rsidRPr="00693EA6">
        <w:rPr>
          <w:rFonts w:asciiTheme="majorBidi" w:eastAsia="Calibri" w:hAnsiTheme="majorBidi" w:cstheme="majorBidi"/>
          <w:bCs/>
          <w:szCs w:val="22"/>
        </w:rPr>
        <w:t>. . . .</w:t>
      </w:r>
      <w:proofErr w:type="gramEnd"/>
      <w:r w:rsidRPr="00693EA6">
        <w:rPr>
          <w:rFonts w:asciiTheme="majorBidi" w:eastAsia="Calibri" w:hAnsiTheme="majorBidi" w:cstheme="majorBidi"/>
          <w:bCs/>
          <w:szCs w:val="22"/>
        </w:rPr>
        <w:t xml:space="preserve"> He watches all the time I sleep, and when I shut my eyes, and make-believe to slumber, he practises new learning softly; but he keeps his eye on me the while” (143). Not only does Grip “watch over” Barnaby, but the two also, according to Barnaby, participate in “make-believe” play acting that resembles modern occupational therapy. In mimicking each other, the developmentally-delayed character and his service animal engage in a practical system of pretending; they both rehearse (neuro)typical human behaviors, learning from repetitive and reciprocal schemas of play.</w:t>
      </w:r>
    </w:p>
    <w:p w14:paraId="13F3BAF2" w14:textId="77777777" w:rsidR="00693EA6" w:rsidRPr="00693EA6" w:rsidRDefault="00693EA6" w:rsidP="00693EA6">
      <w:pPr>
        <w:spacing w:line="480" w:lineRule="auto"/>
        <w:ind w:firstLine="720"/>
        <w:rPr>
          <w:rFonts w:asciiTheme="majorBidi" w:eastAsia="Calibri" w:hAnsiTheme="majorBidi" w:cstheme="majorBidi"/>
          <w:szCs w:val="22"/>
        </w:rPr>
      </w:pPr>
      <w:r w:rsidRPr="00693EA6">
        <w:rPr>
          <w:rFonts w:asciiTheme="majorBidi" w:eastAsia="Calibri" w:hAnsiTheme="majorBidi" w:cstheme="majorBidi"/>
          <w:szCs w:val="22"/>
        </w:rPr>
        <w:t>Beyond guiding Barnaby’s recreation and interpersonal exchanges, Grip also provides assistance in the form of financial support for the Rudge family when they face destitution; his powers of speech allow him to engage in a semi-lucrative form of busking.</w:t>
      </w:r>
      <w:r w:rsidRPr="00693EA6">
        <w:rPr>
          <w:rFonts w:asciiTheme="majorBidi" w:eastAsia="Calibri" w:hAnsiTheme="majorBidi" w:cstheme="majorBidi"/>
          <w:szCs w:val="22"/>
          <w:vertAlign w:val="superscript"/>
        </w:rPr>
        <w:footnoteReference w:id="73"/>
      </w:r>
      <w:r w:rsidRPr="00693EA6">
        <w:rPr>
          <w:rFonts w:asciiTheme="majorBidi" w:eastAsia="Calibri" w:hAnsiTheme="majorBidi" w:cstheme="majorBidi"/>
          <w:szCs w:val="22"/>
        </w:rPr>
        <w:t xml:space="preserve"> As the narrator </w:t>
      </w:r>
      <w:r w:rsidRPr="00693EA6">
        <w:rPr>
          <w:rFonts w:asciiTheme="majorBidi" w:eastAsia="Calibri" w:hAnsiTheme="majorBidi" w:cstheme="majorBidi"/>
          <w:szCs w:val="22"/>
        </w:rPr>
        <w:lastRenderedPageBreak/>
        <w:t xml:space="preserve">notes, “Grip was by no means an idle or unprofitable member of the humble household. Partly by dint of Barnaby’s tuition, and partly by pursuing a species of self-instruction common to his tribe, and exerting his powers of observation to the utmost, he had acquired a degree of sagacity which rendered him famous for miles round” (359-60). After Mary Rudge’s encounter with Stagg, the family’s poverty nearly overwhelms them; the Rudges manage to maintain their remaining funds only because “they had Grip in company; and when they must otherwise have changed the [last] guinea, it was but to make him exhibit outside an alehouse door, or in a village street, or in the grounds or gardens of a mansion of the better sort, and </w:t>
      </w:r>
      <w:r w:rsidRPr="00693EA6">
        <w:rPr>
          <w:rFonts w:asciiTheme="majorBidi" w:eastAsia="Calibri" w:hAnsiTheme="majorBidi" w:cstheme="majorBidi"/>
          <w:bCs/>
          <w:szCs w:val="22"/>
        </w:rPr>
        <w:t>scores, who would have given nothing in charity, were ready to bargain for more amusement from the talking bird”</w:t>
      </w:r>
      <w:r w:rsidRPr="00693EA6">
        <w:rPr>
          <w:rFonts w:asciiTheme="majorBidi" w:eastAsia="Calibri" w:hAnsiTheme="majorBidi" w:cstheme="majorBidi"/>
          <w:szCs w:val="22"/>
        </w:rPr>
        <w:t xml:space="preserve"> (373). The raven’s theatrical magnetism keeps Barnaby and his mother circulating through society. While Grip is, strictly speaking, Barnaby’s aid, his services extend beyond his “constant companion.” From this angle, </w:t>
      </w:r>
      <w:r w:rsidRPr="00693EA6">
        <w:rPr>
          <w:rFonts w:asciiTheme="majorBidi" w:eastAsia="Calibri" w:hAnsiTheme="majorBidi" w:cstheme="majorBidi"/>
          <w:i/>
          <w:szCs w:val="22"/>
        </w:rPr>
        <w:t>Barnaby</w:t>
      </w:r>
      <w:r w:rsidRPr="00693EA6">
        <w:rPr>
          <w:rFonts w:asciiTheme="majorBidi" w:eastAsia="Calibri" w:hAnsiTheme="majorBidi" w:cstheme="majorBidi"/>
          <w:szCs w:val="22"/>
        </w:rPr>
        <w:t xml:space="preserve"> productively exploits sympathetic attitudes toward relationships between human and nonhuman species to effect new social connections among humans themselves. Nondisabled characters who would have turned away from Barnaby (i.e., those who “would have given nothing in charity”) turn toward or even seek out interactions with Grip, which, inadvertently, also places them into association with Barnaby since he and Grip constitute a synthesized unit rather than wholly discrete entities. </w:t>
      </w:r>
    </w:p>
    <w:p w14:paraId="08578832" w14:textId="13D53049" w:rsidR="00693EA6" w:rsidRPr="00693EA6" w:rsidRDefault="00693EA6" w:rsidP="00693EA6">
      <w:pPr>
        <w:spacing w:line="480" w:lineRule="auto"/>
        <w:rPr>
          <w:rFonts w:asciiTheme="majorBidi" w:eastAsia="Calibri" w:hAnsiTheme="majorBidi" w:cstheme="majorBidi"/>
          <w:szCs w:val="22"/>
        </w:rPr>
      </w:pPr>
      <w:r w:rsidRPr="00693EA6">
        <w:rPr>
          <w:rFonts w:asciiTheme="majorBidi" w:eastAsia="Calibri" w:hAnsiTheme="majorBidi" w:cstheme="majorBidi"/>
          <w:szCs w:val="22"/>
        </w:rPr>
        <w:tab/>
        <w:t>Of course, that Barnaby’s impairment is neurological rather than physical is worth noting. Performative acts, affective feedback loops, and melodramatic representation tend to code physical disability in a way that seems to depend almost entirely on material difference(s). In particular, Holmes identifies the way in which the “emotional landscape” of physical disability in Victorian texts “what the characters feel, and what we feel in response—tends to obscure other questions we might have about it”</w:t>
      </w:r>
      <w:r w:rsidR="003E2CEF">
        <w:rPr>
          <w:rFonts w:asciiTheme="majorBidi" w:eastAsia="Calibri" w:hAnsiTheme="majorBidi" w:cstheme="majorBidi"/>
          <w:szCs w:val="22"/>
        </w:rPr>
        <w:t xml:space="preserve"> (</w:t>
      </w:r>
      <w:r w:rsidR="003E2CEF">
        <w:rPr>
          <w:rFonts w:asciiTheme="majorBidi" w:eastAsia="Calibri" w:hAnsiTheme="majorBidi" w:cstheme="majorBidi"/>
          <w:i/>
          <w:iCs/>
          <w:szCs w:val="22"/>
        </w:rPr>
        <w:t>Fictions of Affliction</w:t>
      </w:r>
      <w:r w:rsidR="003E2CEF">
        <w:rPr>
          <w:rFonts w:asciiTheme="majorBidi" w:eastAsia="Calibri" w:hAnsiTheme="majorBidi" w:cstheme="majorBidi"/>
          <w:szCs w:val="22"/>
        </w:rPr>
        <w:t xml:space="preserve"> 2).</w:t>
      </w:r>
      <w:r w:rsidRPr="00693EA6">
        <w:rPr>
          <w:rFonts w:asciiTheme="majorBidi" w:eastAsia="Calibri" w:hAnsiTheme="majorBidi" w:cstheme="majorBidi"/>
          <w:szCs w:val="22"/>
        </w:rPr>
        <w:t xml:space="preserve"> “Emotional excess” (5) and the </w:t>
      </w:r>
      <w:r w:rsidRPr="00693EA6">
        <w:rPr>
          <w:rFonts w:asciiTheme="majorBidi" w:eastAsia="Calibri" w:hAnsiTheme="majorBidi" w:cstheme="majorBidi"/>
          <w:szCs w:val="22"/>
        </w:rPr>
        <w:lastRenderedPageBreak/>
        <w:t>“</w:t>
      </w:r>
      <w:r w:rsidRPr="00693EA6">
        <w:rPr>
          <w:rFonts w:asciiTheme="majorBidi" w:eastAsia="Calibri" w:hAnsiTheme="majorBidi" w:cstheme="majorBidi"/>
          <w:bCs/>
          <w:szCs w:val="22"/>
        </w:rPr>
        <w:t>visual nature</w:t>
      </w:r>
      <w:r w:rsidRPr="00693EA6">
        <w:rPr>
          <w:rFonts w:asciiTheme="majorBidi" w:eastAsia="Calibri" w:hAnsiTheme="majorBidi" w:cstheme="majorBidi"/>
          <w:szCs w:val="22"/>
        </w:rPr>
        <w:t>” (17) of melodrama unite in disabled bodies, and as a result, Holmes contends, physical differences “are evoked as the core of character.” But while this model of “looking and knowing (or failing to know)” appears to depend on the visual element of disability, critics like Judith Butler intervene in claims that the construal of physical differences is never merely contingent on material differences; rather, Butler argues, it is a function of discursive, reiterative, and citational practices (</w:t>
      </w:r>
      <w:r w:rsidRPr="00693EA6">
        <w:rPr>
          <w:rFonts w:asciiTheme="majorBidi" w:eastAsia="Calibri" w:hAnsiTheme="majorBidi" w:cstheme="majorBidi"/>
          <w:i/>
          <w:szCs w:val="22"/>
        </w:rPr>
        <w:t>Bodies that Matter</w:t>
      </w:r>
      <w:r w:rsidRPr="00693EA6">
        <w:rPr>
          <w:rFonts w:asciiTheme="majorBidi" w:eastAsia="Calibri" w:hAnsiTheme="majorBidi" w:cstheme="majorBidi"/>
          <w:szCs w:val="22"/>
        </w:rPr>
        <w:t xml:space="preserve"> 2, 94-5).</w:t>
      </w:r>
      <w:r w:rsidRPr="00693EA6">
        <w:rPr>
          <w:rFonts w:asciiTheme="majorBidi" w:eastAsia="Calibri" w:hAnsiTheme="majorBidi" w:cstheme="majorBidi"/>
          <w:szCs w:val="22"/>
          <w:vertAlign w:val="superscript"/>
        </w:rPr>
        <w:footnoteReference w:id="74"/>
      </w:r>
      <w:r w:rsidRPr="00693EA6">
        <w:rPr>
          <w:rFonts w:asciiTheme="majorBidi" w:eastAsia="Calibri" w:hAnsiTheme="majorBidi" w:cstheme="majorBidi"/>
          <w:szCs w:val="22"/>
        </w:rPr>
        <w:t xml:space="preserve"> The immateriality of this process makes room for so-called “invisible” disabilities that may, at first glance, seem ill-suited to interpretations like Holmes’s theorization of disability and melodrama.</w:t>
      </w:r>
    </w:p>
    <w:p w14:paraId="21109512" w14:textId="29E884A0" w:rsidR="00693EA6" w:rsidRPr="00693EA6" w:rsidRDefault="00693EA6" w:rsidP="00693EA6">
      <w:pPr>
        <w:spacing w:line="480" w:lineRule="auto"/>
        <w:rPr>
          <w:rFonts w:asciiTheme="majorBidi" w:eastAsia="Calibri" w:hAnsiTheme="majorBidi" w:cstheme="majorBidi"/>
        </w:rPr>
      </w:pPr>
      <w:r w:rsidRPr="00693EA6">
        <w:rPr>
          <w:rFonts w:asciiTheme="majorBidi" w:eastAsia="Calibri" w:hAnsiTheme="majorBidi" w:cstheme="majorBidi"/>
          <w:szCs w:val="22"/>
        </w:rPr>
        <w:tab/>
        <w:t xml:space="preserve">But then, the stigmatization of neurological and developmental disabilities and the anxiety surrounding their potential </w:t>
      </w:r>
      <w:r w:rsidRPr="00693EA6">
        <w:rPr>
          <w:rFonts w:asciiTheme="majorBidi" w:eastAsia="Calibri" w:hAnsiTheme="majorBidi" w:cstheme="majorBidi"/>
          <w:i/>
          <w:szCs w:val="22"/>
        </w:rPr>
        <w:t>in</w:t>
      </w:r>
      <w:r w:rsidRPr="00693EA6">
        <w:rPr>
          <w:rFonts w:asciiTheme="majorBidi" w:eastAsia="Calibri" w:hAnsiTheme="majorBidi" w:cstheme="majorBidi"/>
          <w:szCs w:val="22"/>
        </w:rPr>
        <w:t xml:space="preserve">visibility pave the way for mental illnesses and impairments to be similarly sensationalized in fiction. The careful attention paid to Barnaby proves a rare exception to this rule of disabled representation in Victorian fiction. Even within Dickens’s body of work characters with cognitive disabilities repeatedly fail to receive the same narrative development. </w:t>
      </w:r>
      <w:r w:rsidRPr="00693EA6">
        <w:rPr>
          <w:rFonts w:asciiTheme="majorBidi" w:eastAsia="Calibri" w:hAnsiTheme="majorBidi" w:cstheme="majorBidi"/>
          <w:i/>
          <w:szCs w:val="22"/>
        </w:rPr>
        <w:t>David Copperfield</w:t>
      </w:r>
      <w:r w:rsidRPr="00693EA6">
        <w:rPr>
          <w:rFonts w:asciiTheme="majorBidi" w:eastAsia="Calibri" w:hAnsiTheme="majorBidi" w:cstheme="majorBidi"/>
          <w:szCs w:val="22"/>
        </w:rPr>
        <w:t xml:space="preserve">’s (1849-50) Mr. Dick, </w:t>
      </w:r>
      <w:r w:rsidRPr="00693EA6">
        <w:rPr>
          <w:rFonts w:asciiTheme="majorBidi" w:eastAsia="Calibri" w:hAnsiTheme="majorBidi" w:cstheme="majorBidi"/>
          <w:i/>
          <w:szCs w:val="22"/>
        </w:rPr>
        <w:t>Little Dorrit</w:t>
      </w:r>
      <w:r w:rsidRPr="00693EA6">
        <w:rPr>
          <w:rFonts w:asciiTheme="majorBidi" w:eastAsia="Calibri" w:hAnsiTheme="majorBidi" w:cstheme="majorBidi"/>
          <w:szCs w:val="22"/>
        </w:rPr>
        <w:t xml:space="preserve">’s (1855-57) Maggie, </w:t>
      </w:r>
      <w:r w:rsidRPr="00693EA6">
        <w:rPr>
          <w:rFonts w:asciiTheme="majorBidi" w:eastAsia="Calibri" w:hAnsiTheme="majorBidi" w:cstheme="majorBidi"/>
          <w:i/>
          <w:szCs w:val="22"/>
        </w:rPr>
        <w:t>Our Mutual Friend</w:t>
      </w:r>
      <w:r w:rsidRPr="00693EA6">
        <w:rPr>
          <w:rFonts w:asciiTheme="majorBidi" w:eastAsia="Calibri" w:hAnsiTheme="majorBidi" w:cstheme="majorBidi"/>
          <w:szCs w:val="22"/>
        </w:rPr>
        <w:t xml:space="preserve">’s (1865) Sloppy all emerge as endearing but ultimately minor characters </w:t>
      </w:r>
      <w:r w:rsidR="003E2CEF">
        <w:rPr>
          <w:rFonts w:asciiTheme="majorBidi" w:eastAsia="Calibri" w:hAnsiTheme="majorBidi" w:cstheme="majorBidi"/>
          <w:szCs w:val="22"/>
        </w:rPr>
        <w:t>often</w:t>
      </w:r>
      <w:r w:rsidRPr="00693EA6">
        <w:rPr>
          <w:rFonts w:asciiTheme="majorBidi" w:eastAsia="Calibri" w:hAnsiTheme="majorBidi" w:cstheme="majorBidi"/>
          <w:szCs w:val="22"/>
        </w:rPr>
        <w:t xml:space="preserve"> defined, no less than their physically disabled counterparts, almost exclusively by their disabilities.</w:t>
      </w:r>
      <w:r w:rsidRPr="00693EA6">
        <w:rPr>
          <w:rFonts w:asciiTheme="majorBidi" w:eastAsia="Calibri" w:hAnsiTheme="majorBidi" w:cstheme="majorBidi"/>
          <w:szCs w:val="22"/>
          <w:vertAlign w:val="superscript"/>
        </w:rPr>
        <w:footnoteReference w:id="75"/>
      </w:r>
      <w:r w:rsidRPr="00693EA6">
        <w:rPr>
          <w:rFonts w:asciiTheme="majorBidi" w:eastAsia="Calibri" w:hAnsiTheme="majorBidi" w:cstheme="majorBidi"/>
          <w:szCs w:val="22"/>
        </w:rPr>
        <w:t xml:space="preserve"> </w:t>
      </w:r>
      <w:r w:rsidRPr="00693EA6">
        <w:rPr>
          <w:rFonts w:asciiTheme="majorBidi" w:eastAsia="Calibri" w:hAnsiTheme="majorBidi" w:cstheme="majorBidi"/>
        </w:rPr>
        <w:t xml:space="preserve">Once their “round”ness, to borrow Alex Woloch’s phrasing, is sacrificed for the development of the nuerotypical characters, characters with cognitive impairments must yield to </w:t>
      </w:r>
      <w:r w:rsidRPr="00693EA6">
        <w:rPr>
          <w:rFonts w:asciiTheme="majorBidi" w:eastAsia="Calibri" w:hAnsiTheme="majorBidi" w:cstheme="majorBidi"/>
        </w:rPr>
        <w:lastRenderedPageBreak/>
        <w:t>distortion and, frequently, eccentricity or sensationalization.</w:t>
      </w:r>
      <w:r w:rsidRPr="00693EA6">
        <w:rPr>
          <w:rFonts w:asciiTheme="majorBidi" w:eastAsia="Calibri" w:hAnsiTheme="majorBidi" w:cstheme="majorBidi"/>
          <w:vertAlign w:val="superscript"/>
        </w:rPr>
        <w:footnoteReference w:id="76"/>
      </w:r>
      <w:r w:rsidRPr="00693EA6">
        <w:rPr>
          <w:rFonts w:asciiTheme="majorBidi" w:eastAsia="Calibri" w:hAnsiTheme="majorBidi" w:cstheme="majorBidi"/>
        </w:rPr>
        <w:t xml:space="preserve"> Consider, for example, the concealed “hereditary insanity” that haunts but remains unseen for most of Mary Elizabeth Braddon’s 1862 sensation novel, </w:t>
      </w:r>
      <w:r w:rsidRPr="00693EA6">
        <w:rPr>
          <w:rFonts w:asciiTheme="majorBidi" w:eastAsia="Calibri" w:hAnsiTheme="majorBidi" w:cstheme="majorBidi"/>
          <w:i/>
        </w:rPr>
        <w:t>Lady Audley’s Secret</w:t>
      </w:r>
      <w:r w:rsidR="003E2CEF">
        <w:rPr>
          <w:rFonts w:asciiTheme="majorBidi" w:eastAsia="Calibri" w:hAnsiTheme="majorBidi" w:cstheme="majorBidi"/>
          <w:i/>
        </w:rPr>
        <w:t xml:space="preserve"> </w:t>
      </w:r>
      <w:r w:rsidR="003E2CEF">
        <w:rPr>
          <w:rFonts w:asciiTheme="majorBidi" w:eastAsia="Calibri" w:hAnsiTheme="majorBidi" w:cstheme="majorBidi"/>
          <w:iCs/>
        </w:rPr>
        <w:t>(321)</w:t>
      </w:r>
      <w:r w:rsidRPr="00693EA6">
        <w:rPr>
          <w:rFonts w:asciiTheme="majorBidi" w:eastAsia="Calibri" w:hAnsiTheme="majorBidi" w:cstheme="majorBidi"/>
        </w:rPr>
        <w:t>. The physician declares, “There is latent insanity! . . . . The lady is not mad; but she has the hereditary taint in her blood. She has the cunning of madness, with the prudence of intelligence. I will tell you what she is, Mr Audley. She is dangerous!” (323). Lady Audley is more narrative device—the lurking threat of infiltration (from the working class) and infection (of insanity)—than fully-realized character, often serving to suggest a tenuous us/them divide between the sane and the insane: “</w:t>
      </w:r>
      <w:r w:rsidRPr="00693EA6">
        <w:rPr>
          <w:rFonts w:asciiTheme="majorBidi" w:eastAsia="Calibri" w:hAnsiTheme="majorBidi" w:cstheme="majorBidi"/>
          <w:i/>
        </w:rPr>
        <w:t>we</w:t>
      </w:r>
      <w:r w:rsidRPr="00693EA6">
        <w:rPr>
          <w:rFonts w:asciiTheme="majorBidi" w:eastAsia="Calibri" w:hAnsiTheme="majorBidi" w:cstheme="majorBidi"/>
        </w:rPr>
        <w:t xml:space="preserve"> think of how many helpless wretches must beat </w:t>
      </w:r>
      <w:r w:rsidRPr="00693EA6">
        <w:rPr>
          <w:rFonts w:asciiTheme="majorBidi" w:eastAsia="Calibri" w:hAnsiTheme="majorBidi" w:cstheme="majorBidi"/>
          <w:i/>
        </w:rPr>
        <w:t>their</w:t>
      </w:r>
      <w:r w:rsidRPr="00693EA6">
        <w:rPr>
          <w:rFonts w:asciiTheme="majorBidi" w:eastAsia="Calibri" w:hAnsiTheme="majorBidi" w:cstheme="majorBidi"/>
        </w:rPr>
        <w:t xml:space="preserve"> brains against this hopeless persistency of the orderly </w:t>
      </w:r>
      <w:r w:rsidRPr="00693EA6">
        <w:rPr>
          <w:rFonts w:asciiTheme="majorBidi" w:eastAsia="Calibri" w:hAnsiTheme="majorBidi" w:cstheme="majorBidi"/>
          <w:i/>
        </w:rPr>
        <w:t xml:space="preserve">outward </w:t>
      </w:r>
      <w:r w:rsidRPr="00693EA6">
        <w:rPr>
          <w:rFonts w:asciiTheme="majorBidi" w:eastAsia="Calibri" w:hAnsiTheme="majorBidi" w:cstheme="majorBidi"/>
        </w:rPr>
        <w:t xml:space="preserve">world, as compared with the storm and tempest, the riot and confusion </w:t>
      </w:r>
      <w:r w:rsidRPr="00693EA6">
        <w:rPr>
          <w:rFonts w:asciiTheme="majorBidi" w:eastAsia="Calibri" w:hAnsiTheme="majorBidi" w:cstheme="majorBidi"/>
          <w:i/>
        </w:rPr>
        <w:t>within</w:t>
      </w:r>
      <w:r w:rsidRPr="00693EA6">
        <w:rPr>
          <w:rFonts w:asciiTheme="majorBidi" w:eastAsia="Calibri" w:hAnsiTheme="majorBidi" w:cstheme="majorBidi"/>
        </w:rPr>
        <w:t xml:space="preserve">:—when </w:t>
      </w:r>
      <w:r w:rsidRPr="00693EA6">
        <w:rPr>
          <w:rFonts w:asciiTheme="majorBidi" w:eastAsia="Calibri" w:hAnsiTheme="majorBidi" w:cstheme="majorBidi"/>
          <w:i/>
        </w:rPr>
        <w:t>we</w:t>
      </w:r>
      <w:r w:rsidRPr="00693EA6">
        <w:rPr>
          <w:rFonts w:asciiTheme="majorBidi" w:eastAsia="Calibri" w:hAnsiTheme="majorBidi" w:cstheme="majorBidi"/>
        </w:rPr>
        <w:t xml:space="preserve"> remember how many minds must tremble upon the narrow boundary between reason and unreason </w:t>
      </w:r>
      <w:r w:rsidRPr="00693EA6">
        <w:rPr>
          <w:rFonts w:asciiTheme="majorBidi" w:eastAsia="Calibri" w:hAnsiTheme="majorBidi" w:cstheme="majorBidi"/>
          <w:i/>
        </w:rPr>
        <w:t>mad to-day and sane to-morrow mad yesterday and sane to-day</w:t>
      </w:r>
      <w:r w:rsidRPr="00693EA6">
        <w:rPr>
          <w:rFonts w:asciiTheme="majorBidi" w:eastAsia="Calibri" w:hAnsiTheme="majorBidi" w:cstheme="majorBidi"/>
        </w:rPr>
        <w:t xml:space="preserve">” (176, emphasis mine). Similarly, the normative relegation of mental disability, narratively and structurally, in Charlotte Brontë’s </w:t>
      </w:r>
      <w:r w:rsidRPr="00693EA6">
        <w:rPr>
          <w:rFonts w:asciiTheme="majorBidi" w:eastAsia="Calibri" w:hAnsiTheme="majorBidi" w:cstheme="majorBidi"/>
          <w:i/>
        </w:rPr>
        <w:t>Jane Eyre</w:t>
      </w:r>
      <w:r w:rsidRPr="00693EA6">
        <w:rPr>
          <w:rFonts w:asciiTheme="majorBidi" w:eastAsia="Calibri" w:hAnsiTheme="majorBidi" w:cstheme="majorBidi"/>
        </w:rPr>
        <w:t xml:space="preserve"> (1847) exemplifies imperial narratives of national integrity in Rochester’s desire “to be clean” of and to “wrench” himself “from connections with her [Bertha Mason’s] mental defects” (354). Mental illness made minor is Helen Talboys masquerading as Lucy Graham (then Audley), pushing her former husband down a well, setting the inn on fire; it </w:t>
      </w:r>
      <w:r w:rsidRPr="00693EA6">
        <w:rPr>
          <w:rFonts w:asciiTheme="majorBidi" w:eastAsia="Calibri" w:hAnsiTheme="majorBidi" w:cstheme="majorBidi"/>
        </w:rPr>
        <w:lastRenderedPageBreak/>
        <w:t>is mad Bertha Mason, the product of three generations of “a mad family; idiots and maniacs</w:t>
      </w:r>
      <w:r w:rsidR="00395EE6">
        <w:rPr>
          <w:rFonts w:asciiTheme="majorBidi" w:eastAsia="Calibri" w:hAnsiTheme="majorBidi" w:cstheme="majorBidi"/>
        </w:rPr>
        <w:t>,”</w:t>
      </w:r>
      <w:r w:rsidRPr="00693EA6">
        <w:rPr>
          <w:rFonts w:asciiTheme="majorBidi" w:eastAsia="Calibri" w:hAnsiTheme="majorBidi" w:cstheme="majorBidi"/>
        </w:rPr>
        <w:t xml:space="preserve"> escaping her attic prison and burning Thornfield to the ground</w:t>
      </w:r>
      <w:r w:rsidR="00395EE6">
        <w:rPr>
          <w:rFonts w:asciiTheme="majorBidi" w:eastAsia="Calibri" w:hAnsiTheme="majorBidi" w:cstheme="majorBidi"/>
        </w:rPr>
        <w:t xml:space="preserve"> (337)</w:t>
      </w:r>
      <w:r w:rsidRPr="00693EA6">
        <w:rPr>
          <w:rFonts w:asciiTheme="majorBidi" w:eastAsia="Calibri" w:hAnsiTheme="majorBidi" w:cstheme="majorBidi"/>
        </w:rPr>
        <w:t xml:space="preserve">. </w:t>
      </w:r>
    </w:p>
    <w:p w14:paraId="1433A224" w14:textId="77777777" w:rsidR="00693EA6" w:rsidRPr="00693EA6" w:rsidRDefault="00693EA6" w:rsidP="00693EA6">
      <w:pPr>
        <w:spacing w:line="480" w:lineRule="auto"/>
        <w:ind w:firstLine="720"/>
        <w:rPr>
          <w:rFonts w:asciiTheme="majorBidi" w:eastAsia="Calibri" w:hAnsiTheme="majorBidi" w:cstheme="majorBidi"/>
        </w:rPr>
      </w:pPr>
      <w:r w:rsidRPr="00693EA6">
        <w:rPr>
          <w:rFonts w:asciiTheme="majorBidi" w:eastAsia="Calibri" w:hAnsiTheme="majorBidi" w:cstheme="majorBidi"/>
          <w:szCs w:val="22"/>
        </w:rPr>
        <w:t xml:space="preserve">On their own, then, these neurologically impaired characters flatten into mere types. </w:t>
      </w:r>
      <w:r w:rsidRPr="00693EA6">
        <w:rPr>
          <w:rFonts w:asciiTheme="majorBidi" w:eastAsia="Calibri" w:hAnsiTheme="majorBidi" w:cstheme="majorBidi"/>
          <w:bCs/>
        </w:rPr>
        <w:t>This tack of alienating disabled characters from both the audience and the majority of the novel’s nondisabled characters often becomes all the more apparent where a narrative fixation on a prosthetic or mobility aid is involved.</w:t>
      </w:r>
      <w:r w:rsidRPr="00693EA6">
        <w:rPr>
          <w:rFonts w:asciiTheme="majorBidi" w:eastAsia="Calibri" w:hAnsiTheme="majorBidi" w:cstheme="majorBidi"/>
        </w:rPr>
        <w:t xml:space="preserve"> The narrative conflation of the disabled characters’ physical selves with their inanimate appendages or aids often facilitates a two-dimensional or stereotyped representation or reading of those characters. But how does the representation of disability play out when it entails an animate, rather than inanimate aid? </w:t>
      </w:r>
      <w:r w:rsidRPr="00693EA6">
        <w:rPr>
          <w:rFonts w:asciiTheme="majorBidi" w:eastAsia="Calibri" w:hAnsiTheme="majorBidi" w:cstheme="majorBidi"/>
          <w:szCs w:val="22"/>
        </w:rPr>
        <w:t xml:space="preserve">While the construction of meaning via inanimate prosthetics occurs through the physical interaction between the disabled user and their prop, the construction of meaning between Barnaby and his assistance animal occurs both through their physical interactions </w:t>
      </w:r>
      <w:r w:rsidRPr="00693EA6">
        <w:rPr>
          <w:rFonts w:asciiTheme="majorBidi" w:eastAsia="Calibri" w:hAnsiTheme="majorBidi" w:cstheme="majorBidi"/>
          <w:i/>
          <w:iCs/>
          <w:szCs w:val="22"/>
        </w:rPr>
        <w:t>and</w:t>
      </w:r>
      <w:r w:rsidRPr="00693EA6">
        <w:rPr>
          <w:rFonts w:asciiTheme="majorBidi" w:eastAsia="Calibri" w:hAnsiTheme="majorBidi" w:cstheme="majorBidi"/>
          <w:szCs w:val="22"/>
        </w:rPr>
        <w:t xml:space="preserve"> through his oral interpretation of those interactions. Barnaby constantly </w:t>
      </w:r>
      <w:r w:rsidRPr="00693EA6">
        <w:rPr>
          <w:rFonts w:asciiTheme="majorBidi" w:eastAsia="Calibri" w:hAnsiTheme="majorBidi" w:cstheme="majorBidi"/>
          <w:i/>
          <w:iCs/>
          <w:szCs w:val="22"/>
        </w:rPr>
        <w:t>translates</w:t>
      </w:r>
      <w:r w:rsidRPr="00693EA6">
        <w:rPr>
          <w:rFonts w:asciiTheme="majorBidi" w:eastAsia="Calibri" w:hAnsiTheme="majorBidi" w:cstheme="majorBidi"/>
          <w:szCs w:val="22"/>
        </w:rPr>
        <w:t xml:space="preserve">, for the neurotypical cast, both Grip’s own cognizance as well the nature and character of his relationship with Grip. In so doing, Barnaby demonstrates the capacity of a neurologically atypical character to function as an internal narrative cipher. </w:t>
      </w:r>
    </w:p>
    <w:p w14:paraId="1BE00750" w14:textId="77777777" w:rsidR="00693EA6" w:rsidRPr="00693EA6" w:rsidRDefault="00693EA6" w:rsidP="00693EA6">
      <w:pPr>
        <w:spacing w:line="480" w:lineRule="auto"/>
        <w:ind w:firstLine="720"/>
        <w:rPr>
          <w:rFonts w:asciiTheme="majorBidi" w:eastAsia="Calibri" w:hAnsiTheme="majorBidi" w:cstheme="majorBidi"/>
          <w:szCs w:val="22"/>
        </w:rPr>
      </w:pPr>
      <w:r w:rsidRPr="00693EA6">
        <w:rPr>
          <w:rFonts w:asciiTheme="majorBidi" w:eastAsia="Calibri" w:hAnsiTheme="majorBidi" w:cstheme="majorBidi"/>
          <w:szCs w:val="22"/>
        </w:rPr>
        <w:t xml:space="preserve">Not limited by conventional vision or thought, Barnaby possesses the unique capacity to project onto the inanimate world his otherwise inexpressible perceptions of his surroundings. For example, Barnaby’s explanation of the “mystery” of the clothes hanging from the line conveys something about the person to whom he speaks rather than the objects themselves (92). Looking at the clothesline, Barnaby asks Mr. Chester, “Do you see how they stop for a moment, when they think there is no one looking, and mutter among themselves again; . . . I say—what is it that they plot and hatch?” (93). Fanciful as Barnaby’s observations may seem on the surface, his </w:t>
      </w:r>
      <w:r w:rsidRPr="00693EA6">
        <w:rPr>
          <w:rFonts w:asciiTheme="majorBidi" w:eastAsia="Calibri" w:hAnsiTheme="majorBidi" w:cstheme="majorBidi"/>
          <w:szCs w:val="22"/>
        </w:rPr>
        <w:lastRenderedPageBreak/>
        <w:t>remarks prove uncannily shrewd when directed at the plotting Chester. After Chester dismisses Barnaby’s inquiry, Barnaby exclaims, “Why, how much better to be silly, than as wise as you! You don’t see shadowy people there, like those that live in sleep—not you. Nor eyes in the knotted panes of glass, nor swift ghosts when it blows hard, nor do you hear voices in the air, nor see men stalking in the sky—not you! . . . . You’re the dull men. We’re the bright ones” (93). From Barnaby’s perspective, the novel’s nondisabled characters are the ones who inhabit a two-dimensional, unimaginative world.</w:t>
      </w:r>
      <w:r w:rsidRPr="00693EA6">
        <w:rPr>
          <w:rFonts w:asciiTheme="majorBidi" w:eastAsia="Calibri" w:hAnsiTheme="majorBidi" w:cstheme="majorBidi"/>
          <w:szCs w:val="22"/>
          <w:vertAlign w:val="superscript"/>
        </w:rPr>
        <w:footnoteReference w:id="77"/>
      </w:r>
      <w:r w:rsidRPr="00693EA6">
        <w:rPr>
          <w:rFonts w:asciiTheme="majorBidi" w:eastAsia="Calibri" w:hAnsiTheme="majorBidi" w:cstheme="majorBidi"/>
          <w:szCs w:val="22"/>
        </w:rPr>
        <w:t xml:space="preserve"> When applied to animate beings, rather than objects, Barnaby’s powers of observation further heighten his narrative importance and status in the novel. </w:t>
      </w:r>
    </w:p>
    <w:p w14:paraId="7C853F6E" w14:textId="626B3C34" w:rsidR="00693EA6" w:rsidRPr="00693EA6" w:rsidRDefault="00693EA6" w:rsidP="00693EA6">
      <w:pPr>
        <w:spacing w:line="480" w:lineRule="auto"/>
        <w:ind w:firstLine="720"/>
        <w:rPr>
          <w:rFonts w:asciiTheme="majorBidi" w:eastAsia="Calibri" w:hAnsiTheme="majorBidi" w:cstheme="majorBidi"/>
        </w:rPr>
      </w:pPr>
      <w:r w:rsidRPr="00693EA6">
        <w:rPr>
          <w:rFonts w:asciiTheme="majorBidi" w:eastAsia="Calibri" w:hAnsiTheme="majorBidi" w:cstheme="majorBidi"/>
          <w:szCs w:val="22"/>
        </w:rPr>
        <w:t xml:space="preserve">In </w:t>
      </w:r>
      <w:r w:rsidR="00570485">
        <w:rPr>
          <w:rFonts w:asciiTheme="majorBidi" w:eastAsia="Calibri" w:hAnsiTheme="majorBidi" w:cstheme="majorBidi"/>
          <w:szCs w:val="22"/>
        </w:rPr>
        <w:t>Chapter III</w:t>
      </w:r>
      <w:r w:rsidRPr="00693EA6">
        <w:rPr>
          <w:rFonts w:asciiTheme="majorBidi" w:eastAsia="Calibri" w:hAnsiTheme="majorBidi" w:cstheme="majorBidi"/>
          <w:szCs w:val="22"/>
        </w:rPr>
        <w:t xml:space="preserve">, I use Alex Woloch’s formulation of “character space” to theorize how prosthetics—the inanimate embodiment of liminal spaces—contribute to the relative position of and narrative attention afforded to their users. </w:t>
      </w:r>
      <w:r w:rsidR="00395EE6">
        <w:rPr>
          <w:rFonts w:asciiTheme="majorBidi" w:eastAsia="Calibri" w:hAnsiTheme="majorBidi" w:cstheme="majorBidi"/>
        </w:rPr>
        <w:t>I c</w:t>
      </w:r>
      <w:r w:rsidRPr="00693EA6">
        <w:rPr>
          <w:rFonts w:asciiTheme="majorBidi" w:eastAsia="Calibri" w:hAnsiTheme="majorBidi" w:cstheme="majorBidi"/>
        </w:rPr>
        <w:t xml:space="preserve">onsider the narrative position typically occupied by disabled characters (on the periphery rather than at the novel’s center) in conjunction with Woloch’s notion of the structural “subordination” of minor characters (“Minor Characters” 300). On the levels of plot and narrative structure, minor characters with disabilities routinely become even more minor. The introduction of prosthetics or mobility aids in a novel, I argue, threatens to place the disabled character in competition with the prosthesis for narrative space or attention. </w:t>
      </w:r>
      <w:r w:rsidRPr="00693EA6">
        <w:rPr>
          <w:rFonts w:asciiTheme="majorBidi" w:eastAsia="Calibri" w:hAnsiTheme="majorBidi" w:cstheme="majorBidi"/>
        </w:rPr>
        <w:lastRenderedPageBreak/>
        <w:t xml:space="preserve">Put another way, disabled characters who fail to master their props (to give them meaning) frequently </w:t>
      </w:r>
      <w:proofErr w:type="gramStart"/>
      <w:r w:rsidRPr="00693EA6">
        <w:rPr>
          <w:rFonts w:asciiTheme="majorBidi" w:eastAsia="Calibri" w:hAnsiTheme="majorBidi" w:cstheme="majorBidi"/>
        </w:rPr>
        <w:t>wind up</w:t>
      </w:r>
      <w:proofErr w:type="gramEnd"/>
      <w:r w:rsidRPr="00693EA6">
        <w:rPr>
          <w:rFonts w:asciiTheme="majorBidi" w:eastAsia="Calibri" w:hAnsiTheme="majorBidi" w:cstheme="majorBidi"/>
        </w:rPr>
        <w:t xml:space="preserve"> vying for space not only against their fellow </w:t>
      </w:r>
      <w:r w:rsidR="00395EE6">
        <w:rPr>
          <w:rFonts w:asciiTheme="majorBidi" w:eastAsia="Calibri" w:hAnsiTheme="majorBidi" w:cstheme="majorBidi"/>
        </w:rPr>
        <w:t>human</w:t>
      </w:r>
      <w:r w:rsidRPr="00693EA6">
        <w:rPr>
          <w:rFonts w:asciiTheme="majorBidi" w:eastAsia="Calibri" w:hAnsiTheme="majorBidi" w:cstheme="majorBidi"/>
        </w:rPr>
        <w:t xml:space="preserve"> characters but against or amongst the inanimate objects appended to their own bodies. The very materials that allow people with disabilities to be more socially mobile also, paradoxically, t</w:t>
      </w:r>
      <w:r w:rsidR="00395EE6">
        <w:rPr>
          <w:rFonts w:asciiTheme="majorBidi" w:eastAsia="Calibri" w:hAnsiTheme="majorBidi" w:cstheme="majorBidi"/>
        </w:rPr>
        <w:t>hreaten</w:t>
      </w:r>
      <w:r w:rsidRPr="00693EA6">
        <w:rPr>
          <w:rFonts w:asciiTheme="majorBidi" w:eastAsia="Calibri" w:hAnsiTheme="majorBidi" w:cstheme="majorBidi"/>
        </w:rPr>
        <w:t xml:space="preserve"> to inhibit that mobility. An </w:t>
      </w:r>
      <w:r w:rsidRPr="00693EA6">
        <w:rPr>
          <w:rFonts w:asciiTheme="majorBidi" w:eastAsia="Calibri" w:hAnsiTheme="majorBidi" w:cstheme="majorBidi"/>
          <w:i/>
        </w:rPr>
        <w:t>animate</w:t>
      </w:r>
      <w:r w:rsidRPr="00693EA6">
        <w:rPr>
          <w:rFonts w:asciiTheme="majorBidi" w:eastAsia="Calibri" w:hAnsiTheme="majorBidi" w:cstheme="majorBidi"/>
        </w:rPr>
        <w:t xml:space="preserve"> aid (in this case, the service animal created in Grip), though, may afford a disabled character an alternate route to narrative primacy or centrality, especially because Barnaby, like the novel’s narrator, succeeds in attributing meaning to Grip’s performances. (As I argue below, in their fundamental indivisibility, Barnaby and Grip do, as Williams contends, constitute a composite character; to that end, I believe we can attribute Barnaby’s unusual centrality, in large part, to Grip.) Animals, moreover, can be read in nearly infinite ways, few of which, in a nineteenth-century context, have </w:t>
      </w:r>
      <w:r w:rsidR="00395EE6">
        <w:rPr>
          <w:rFonts w:asciiTheme="majorBidi" w:eastAsia="Calibri" w:hAnsiTheme="majorBidi" w:cstheme="majorBidi"/>
        </w:rPr>
        <w:t xml:space="preserve">explicitly </w:t>
      </w:r>
      <w:r w:rsidRPr="00693EA6">
        <w:rPr>
          <w:rFonts w:asciiTheme="majorBidi" w:eastAsia="Calibri" w:hAnsiTheme="majorBidi" w:cstheme="majorBidi"/>
        </w:rPr>
        <w:t>clinical overtones. The human-animal pairing, then, like the other prosthetics that appear in this chapter, may allow for an unconventional staging of disability.</w:t>
      </w:r>
      <w:r w:rsidRPr="00693EA6">
        <w:rPr>
          <w:rFonts w:asciiTheme="majorBidi" w:eastAsia="Calibri" w:hAnsiTheme="majorBidi" w:cstheme="majorBidi"/>
          <w:vertAlign w:val="superscript"/>
        </w:rPr>
        <w:footnoteReference w:id="78"/>
      </w:r>
    </w:p>
    <w:p w14:paraId="1EDF6815" w14:textId="66FB6AE9" w:rsidR="00693EA6" w:rsidRPr="00693EA6" w:rsidRDefault="00693EA6" w:rsidP="00693EA6">
      <w:pPr>
        <w:spacing w:line="480" w:lineRule="auto"/>
        <w:rPr>
          <w:rFonts w:asciiTheme="majorBidi" w:eastAsia="Calibri" w:hAnsiTheme="majorBidi" w:cstheme="majorBidi"/>
        </w:rPr>
      </w:pPr>
      <w:r w:rsidRPr="00693EA6">
        <w:rPr>
          <w:rFonts w:asciiTheme="majorBidi" w:eastAsia="Calibri" w:hAnsiTheme="majorBidi" w:cstheme="majorBidi"/>
          <w:szCs w:val="22"/>
        </w:rPr>
        <w:tab/>
        <w:t xml:space="preserve">At this juncture, I will note briefly that this examination of the human-service animal nexus coincides with the kind of methodological fetishism inherent to Thing Theory that Bill Brown says acts as a condition for </w:t>
      </w:r>
      <w:r w:rsidR="00E37719">
        <w:rPr>
          <w:rFonts w:asciiTheme="majorBidi" w:eastAsia="Calibri" w:hAnsiTheme="majorBidi" w:cstheme="majorBidi"/>
          <w:szCs w:val="22"/>
        </w:rPr>
        <w:t>thinking about how objects—or, in this case nonhuman animals</w:t>
      </w:r>
      <w:proofErr w:type="gramStart"/>
      <w:r w:rsidR="00E37719">
        <w:rPr>
          <w:rFonts w:asciiTheme="majorBidi" w:eastAsia="Calibri" w:hAnsiTheme="majorBidi" w:cstheme="majorBidi"/>
          <w:szCs w:val="22"/>
        </w:rPr>
        <w:t>—“</w:t>
      </w:r>
      <w:proofErr w:type="gramEnd"/>
      <w:r w:rsidRPr="00693EA6">
        <w:rPr>
          <w:rFonts w:asciiTheme="majorBidi" w:eastAsia="Calibri" w:hAnsiTheme="majorBidi" w:cstheme="majorBidi"/>
          <w:szCs w:val="22"/>
        </w:rPr>
        <w:t xml:space="preserve">constitute human subjects, how they move them, how they threaten them, how they facilitate or threaten their relation to other subjects” (“Thing Theory” 7). </w:t>
      </w:r>
      <w:r w:rsidRPr="00693EA6">
        <w:rPr>
          <w:rFonts w:asciiTheme="majorBidi" w:eastAsia="Calibri" w:hAnsiTheme="majorBidi" w:cstheme="majorBidi"/>
        </w:rPr>
        <w:t>Jed Mayer, too, has similarly suggested that “</w:t>
      </w:r>
      <w:r w:rsidRPr="00693EA6">
        <w:rPr>
          <w:rFonts w:asciiTheme="majorBidi" w:eastAsia="Calibri" w:hAnsiTheme="majorBidi" w:cstheme="majorBidi"/>
          <w:color w:val="000000"/>
          <w:shd w:val="clear" w:color="auto" w:fill="FFFFFF"/>
        </w:rPr>
        <w:t xml:space="preserve">One of the principal ways animals influence human behaviour is by serving as a fulcrum for defining the human. Giorgio Agamben, Jacques Derrida, Cary Wolfe </w:t>
      </w:r>
      <w:r w:rsidRPr="00693EA6">
        <w:rPr>
          <w:rFonts w:asciiTheme="majorBidi" w:eastAsia="Calibri" w:hAnsiTheme="majorBidi" w:cstheme="majorBidi"/>
          <w:color w:val="000000"/>
          <w:shd w:val="clear" w:color="auto" w:fill="FFFFFF"/>
        </w:rPr>
        <w:lastRenderedPageBreak/>
        <w:t>and others have shown how the question of the human, in a philosophical tradition extending from Aristotle to Lacan, is inextricably connected with the question of the animal” (“Ways of Reading Animals” 353).</w:t>
      </w:r>
      <w:r w:rsidRPr="00693EA6">
        <w:rPr>
          <w:rFonts w:asciiTheme="majorBidi" w:eastAsia="Calibri" w:hAnsiTheme="majorBidi" w:cstheme="majorBidi"/>
          <w:color w:val="000000"/>
          <w:shd w:val="clear" w:color="auto" w:fill="FFFFFF"/>
          <w:vertAlign w:val="superscript"/>
        </w:rPr>
        <w:footnoteReference w:id="79"/>
      </w:r>
      <w:r w:rsidRPr="00693EA6">
        <w:rPr>
          <w:rFonts w:asciiTheme="majorBidi" w:eastAsia="Calibri" w:hAnsiTheme="majorBidi" w:cstheme="majorBidi"/>
          <w:color w:val="000000"/>
          <w:shd w:val="clear" w:color="auto" w:fill="FFFFFF"/>
        </w:rPr>
        <w:t xml:space="preserve"> In other words, the reciprocal connection between a person with a disability and their service animal underscores the way in which the human body and larger human network (as I discuss in the dissertation’s conclusion) involve and depend upon nonhuman entities.</w:t>
      </w:r>
      <w:r w:rsidRPr="00693EA6">
        <w:rPr>
          <w:rFonts w:asciiTheme="majorBidi" w:eastAsia="Calibri" w:hAnsiTheme="majorBidi" w:cstheme="majorBidi"/>
        </w:rPr>
        <w:t xml:space="preserve"> Grip, in this model, constitutes part of Barnaby himself as well as the lynchpin for Barnaby’s wider socialization.</w:t>
      </w:r>
      <w:r w:rsidRPr="00693EA6">
        <w:rPr>
          <w:rFonts w:asciiTheme="majorBidi" w:eastAsia="Calibri" w:hAnsiTheme="majorBidi" w:cstheme="majorBidi"/>
          <w:szCs w:val="22"/>
          <w:vertAlign w:val="superscript"/>
        </w:rPr>
        <w:footnoteReference w:id="80"/>
      </w:r>
      <w:r w:rsidRPr="00693EA6">
        <w:rPr>
          <w:rFonts w:asciiTheme="majorBidi" w:eastAsia="Calibri" w:hAnsiTheme="majorBidi" w:cstheme="majorBidi"/>
          <w:szCs w:val="22"/>
        </w:rPr>
        <w:t xml:space="preserve"> </w:t>
      </w:r>
    </w:p>
    <w:p w14:paraId="7BA8B0B0" w14:textId="77777777" w:rsidR="00693EA6" w:rsidRPr="00693EA6" w:rsidRDefault="00693EA6" w:rsidP="00693EA6">
      <w:pPr>
        <w:spacing w:line="480" w:lineRule="auto"/>
        <w:rPr>
          <w:rFonts w:asciiTheme="majorBidi" w:eastAsia="Calibri" w:hAnsiTheme="majorBidi" w:cstheme="majorBidi"/>
          <w:szCs w:val="22"/>
        </w:rPr>
      </w:pPr>
      <w:r w:rsidRPr="00693EA6">
        <w:rPr>
          <w:rFonts w:asciiTheme="majorBidi" w:eastAsia="Calibri" w:hAnsiTheme="majorBidi" w:cstheme="majorBidi"/>
          <w:szCs w:val="22"/>
        </w:rPr>
        <w:tab/>
        <w:t xml:space="preserve">Ivan Kreilkamp has considered the criteria required for an animal to count as a character within nineteenth-century British literature, ultimately arriving at the conclusion that fictional animals comprise the “sub-proletariat of the novel,” that an animal character is, “perhaps by definition, an incomplete or fragile character” (“Dying Like a Dog” 82, 84). As Barnaby and Grip exist as a sort of compound, hybrid character (something of a co-dependent package deal)—incomplete on their own—we must scrutinize the more complicated dimensions of Grip’s </w:t>
      </w:r>
      <w:r w:rsidRPr="00693EA6">
        <w:rPr>
          <w:rFonts w:asciiTheme="majorBidi" w:eastAsia="Calibri" w:hAnsiTheme="majorBidi" w:cstheme="majorBidi"/>
          <w:szCs w:val="22"/>
        </w:rPr>
        <w:lastRenderedPageBreak/>
        <w:t xml:space="preserve">character and his relationship with Barnaby to parse his function as a signifier in the novel. To start, we might ask outright one of the most obvious questions about Barnaby’s winged companion: why a bird? Why not a dog or some other more-traditional, mammalian pet?  Beyond Dickens’s own affinity for pet birds (he briefly recounts owning two in the novel’s preface), Grip’s capacity for speech seems crucial. Unlike inanimate assistive devices or other service animals, the raven can engage in performative vocalizations that lend themselves to myriad readings. </w:t>
      </w:r>
    </w:p>
    <w:p w14:paraId="118F3F95" w14:textId="161EB30A" w:rsidR="00693EA6" w:rsidRPr="00693EA6" w:rsidRDefault="00693EA6" w:rsidP="00693EA6">
      <w:pPr>
        <w:spacing w:line="480" w:lineRule="auto"/>
        <w:ind w:firstLine="720"/>
        <w:rPr>
          <w:rFonts w:asciiTheme="majorBidi" w:eastAsia="Calibri" w:hAnsiTheme="majorBidi" w:cstheme="majorBidi"/>
          <w:szCs w:val="22"/>
        </w:rPr>
      </w:pPr>
      <w:r w:rsidRPr="00693EA6">
        <w:rPr>
          <w:rFonts w:asciiTheme="majorBidi" w:eastAsia="Calibri" w:hAnsiTheme="majorBidi" w:cstheme="majorBidi"/>
          <w:szCs w:val="22"/>
        </w:rPr>
        <w:t xml:space="preserve">Of course, as Kreilkamp contends, the issue of how to consider whether animal signs and gestures deserve to be understood as a kind of language or signifying continues to pose a problem to the characterization of animals in the nineteenth-century novel. As a result, Grip’s rudimentary command of basic spoken English further complicates his definition and deployment in </w:t>
      </w:r>
      <w:r w:rsidRPr="00693EA6">
        <w:rPr>
          <w:rFonts w:asciiTheme="majorBidi" w:eastAsia="Calibri" w:hAnsiTheme="majorBidi" w:cstheme="majorBidi"/>
          <w:i/>
          <w:szCs w:val="22"/>
        </w:rPr>
        <w:t>Barnaby Rudge</w:t>
      </w:r>
      <w:r w:rsidRPr="00693EA6">
        <w:rPr>
          <w:rFonts w:asciiTheme="majorBidi" w:eastAsia="Calibri" w:hAnsiTheme="majorBidi" w:cstheme="majorBidi"/>
          <w:szCs w:val="22"/>
        </w:rPr>
        <w:t xml:space="preserve">. Grip’s “ambiguous relationship to [human] speech” enables a form of individuation that is simultaneously augmented and attenuated (“Dying Like a Dog” 86). </w:t>
      </w:r>
      <w:r w:rsidRPr="00693EA6">
        <w:rPr>
          <w:rFonts w:asciiTheme="majorBidi" w:eastAsia="Calibri" w:hAnsiTheme="majorBidi" w:cstheme="majorBidi"/>
          <w:i/>
          <w:iCs/>
          <w:szCs w:val="22"/>
        </w:rPr>
        <w:t>Barnaby</w:t>
      </w:r>
      <w:r w:rsidRPr="00693EA6">
        <w:rPr>
          <w:rFonts w:asciiTheme="majorBidi" w:eastAsia="Calibri" w:hAnsiTheme="majorBidi" w:cstheme="majorBidi"/>
          <w:szCs w:val="22"/>
        </w:rPr>
        <w:t xml:space="preserve">’s narrator teases out the ambiguity of Grip’s speech acts, playing on the tension between simple imitation and genuine comprehension. He describes Grip as “alive to everything his master was unconscious of . . . and . . . [always] watching him intently with his glistening eye” (144). Typically, we resist labelling nonhuman animal communication as “language”; our notions of language are bound up in the notion that it must be validated by grammar and syntax. Grip, though, is at least passably conversant in human language, and the narrator wants us, at the very least, to entertain (or not dismiss outright) the possibility of the animal’s near-human cognizance. As a result, Grip’s species (and capacity for comprehensible if sometimes inscrutable language) aligns cleanly with the novel’s melodramatic overtones. Melodrama, after all, stands as a genre in which the plot benefits from flat characters who lend themselves to the </w:t>
      </w:r>
      <w:r w:rsidRPr="00693EA6">
        <w:rPr>
          <w:rFonts w:asciiTheme="majorBidi" w:eastAsia="Calibri" w:hAnsiTheme="majorBidi" w:cstheme="majorBidi"/>
          <w:szCs w:val="22"/>
        </w:rPr>
        <w:lastRenderedPageBreak/>
        <w:t>extreme legibility of superficial signs. The simple vocabulary and basic syntactic structure of Grip’s and Barnaby’s verbal exchanges cleanly signal major plot points while simultaneously gesturing to the more complex facets of their relationship</w:t>
      </w:r>
      <w:r w:rsidR="00E37719">
        <w:rPr>
          <w:rFonts w:asciiTheme="majorBidi" w:eastAsia="Calibri" w:hAnsiTheme="majorBidi" w:cstheme="majorBidi"/>
          <w:szCs w:val="22"/>
        </w:rPr>
        <w:t xml:space="preserve"> and psyches</w:t>
      </w:r>
      <w:r w:rsidRPr="00693EA6">
        <w:rPr>
          <w:rFonts w:asciiTheme="majorBidi" w:eastAsia="Calibri" w:hAnsiTheme="majorBidi" w:cstheme="majorBidi"/>
          <w:szCs w:val="22"/>
        </w:rPr>
        <w:t>.</w:t>
      </w:r>
    </w:p>
    <w:p w14:paraId="3F87037B" w14:textId="03A668FC" w:rsidR="00693EA6" w:rsidRPr="00693EA6" w:rsidRDefault="00693EA6" w:rsidP="00693EA6">
      <w:pPr>
        <w:spacing w:line="480" w:lineRule="auto"/>
        <w:ind w:firstLine="720"/>
        <w:rPr>
          <w:rFonts w:asciiTheme="majorBidi" w:eastAsia="Calibri" w:hAnsiTheme="majorBidi" w:cstheme="majorBidi"/>
          <w:szCs w:val="22"/>
        </w:rPr>
      </w:pPr>
      <w:r w:rsidRPr="00693EA6">
        <w:rPr>
          <w:rFonts w:asciiTheme="majorBidi" w:eastAsia="Calibri" w:hAnsiTheme="majorBidi" w:cstheme="majorBidi"/>
          <w:szCs w:val="22"/>
        </w:rPr>
        <w:t xml:space="preserve">Even Barnaby himself notes Grip’s exceptional and unique suitability (compared to other animals) as a companion, translator, assistant, and friend. Disclosing an evening’s activities to his mother, Barnaby says, “it’s a secret, mind, and only known to me, and Grip, and Hugh. We had the dog with us, </w:t>
      </w:r>
      <w:r w:rsidRPr="00693EA6">
        <w:rPr>
          <w:rFonts w:asciiTheme="majorBidi" w:eastAsia="Calibri" w:hAnsiTheme="majorBidi" w:cstheme="majorBidi"/>
          <w:bCs/>
          <w:i/>
          <w:iCs/>
          <w:szCs w:val="22"/>
        </w:rPr>
        <w:t>but he’s not like Grip</w:t>
      </w:r>
      <w:r w:rsidRPr="00693EA6">
        <w:rPr>
          <w:rFonts w:asciiTheme="majorBidi" w:eastAsia="Calibri" w:hAnsiTheme="majorBidi" w:cstheme="majorBidi"/>
          <w:szCs w:val="22"/>
        </w:rPr>
        <w:t>, clever as he is, and doesn’t guess it yet” (145, emphasis mine). The narrative projection of intelligence, companionship, and so forth onto Grip recalls Danahay and Denenholz Morse’s claim that “the boundary between the animal and the human has long been unstable, especially since the Victorian period” (</w:t>
      </w:r>
      <w:r w:rsidRPr="00693EA6">
        <w:rPr>
          <w:rFonts w:asciiTheme="majorBidi" w:eastAsia="Calibri" w:hAnsiTheme="majorBidi" w:cstheme="majorBidi"/>
          <w:i/>
          <w:iCs/>
          <w:szCs w:val="22"/>
        </w:rPr>
        <w:t>Victorian Animal Dreams</w:t>
      </w:r>
      <w:r w:rsidRPr="00693EA6">
        <w:rPr>
          <w:rFonts w:asciiTheme="majorBidi" w:eastAsia="Calibri" w:hAnsiTheme="majorBidi" w:cstheme="majorBidi"/>
          <w:szCs w:val="22"/>
        </w:rPr>
        <w:t xml:space="preserve"> 4). Barnaby counts Grip among the human crew (along with Hugh) and later refers to Grip as his brother.</w:t>
      </w:r>
      <w:r w:rsidRPr="00693EA6">
        <w:rPr>
          <w:rFonts w:asciiTheme="majorBidi" w:eastAsia="Calibri" w:hAnsiTheme="majorBidi" w:cstheme="majorBidi"/>
          <w:szCs w:val="22"/>
          <w:vertAlign w:val="superscript"/>
        </w:rPr>
        <w:footnoteReference w:id="81"/>
      </w:r>
      <w:r w:rsidRPr="00693EA6">
        <w:rPr>
          <w:rFonts w:asciiTheme="majorBidi" w:eastAsia="Calibri" w:hAnsiTheme="majorBidi" w:cstheme="majorBidi"/>
          <w:szCs w:val="22"/>
        </w:rPr>
        <w:t xml:space="preserve"> In so doing, he identifies the raven as occupying a continuous place with humans on the animal spectrum while locating their canine companion farther down the nonhuman animal line. This radical shifting of the human-animal line raises additional questions about taxonomical and hierarchical boundaries.</w:t>
      </w:r>
      <w:r w:rsidRPr="00693EA6">
        <w:rPr>
          <w:rFonts w:asciiTheme="majorBidi" w:eastAsia="Calibri" w:hAnsiTheme="majorBidi" w:cstheme="majorBidi"/>
          <w:szCs w:val="22"/>
          <w:vertAlign w:val="superscript"/>
        </w:rPr>
        <w:footnoteReference w:id="82"/>
      </w:r>
      <w:r w:rsidRPr="00693EA6">
        <w:rPr>
          <w:rFonts w:asciiTheme="majorBidi" w:eastAsia="Calibri" w:hAnsiTheme="majorBidi" w:cstheme="majorBidi"/>
          <w:szCs w:val="22"/>
        </w:rPr>
        <w:t xml:space="preserve"> Troublingly, though, the perforation of the human-animal boundary, dubiously, works both ways. While it stands to legitimize the animal’s more human qualities, it also threatens to undermine the disabled character’s humanity.</w:t>
      </w:r>
    </w:p>
    <w:p w14:paraId="399D630C" w14:textId="77777777" w:rsidR="00693EA6" w:rsidRPr="00693EA6" w:rsidRDefault="00693EA6" w:rsidP="00693EA6">
      <w:pPr>
        <w:spacing w:line="480" w:lineRule="auto"/>
        <w:rPr>
          <w:rFonts w:asciiTheme="majorBidi" w:eastAsia="Calibri" w:hAnsiTheme="majorBidi" w:cstheme="majorBidi"/>
          <w:szCs w:val="22"/>
        </w:rPr>
      </w:pPr>
      <w:r w:rsidRPr="00693EA6">
        <w:rPr>
          <w:rFonts w:asciiTheme="majorBidi" w:eastAsia="Calibri" w:hAnsiTheme="majorBidi" w:cstheme="majorBidi"/>
          <w:szCs w:val="22"/>
        </w:rPr>
        <w:lastRenderedPageBreak/>
        <w:tab/>
        <w:t>In a survey of disabled characters, the service animal’s relative position to its human counterpart—any instance of co-dependence between them—forces questions about aid and autonomy.</w:t>
      </w:r>
      <w:r w:rsidRPr="00693EA6">
        <w:rPr>
          <w:rFonts w:asciiTheme="majorBidi" w:eastAsia="Calibri" w:hAnsiTheme="majorBidi" w:cstheme="majorBidi"/>
          <w:szCs w:val="22"/>
          <w:vertAlign w:val="superscript"/>
        </w:rPr>
        <w:footnoteReference w:id="83"/>
      </w:r>
      <w:r w:rsidRPr="00693EA6">
        <w:rPr>
          <w:rFonts w:asciiTheme="majorBidi" w:eastAsia="Calibri" w:hAnsiTheme="majorBidi" w:cstheme="majorBidi"/>
          <w:szCs w:val="22"/>
        </w:rPr>
        <w:t xml:space="preserve"> If, as some philosophers and cultural critics have claimed, the domesticated animal has no life beyond its owner’s, what does that imply about a disabled character whose own life depends on or is enhanced by such an animal?</w:t>
      </w:r>
      <w:r w:rsidRPr="00693EA6">
        <w:rPr>
          <w:rFonts w:asciiTheme="majorBidi" w:eastAsia="Calibri" w:hAnsiTheme="majorBidi" w:cstheme="majorBidi"/>
          <w:szCs w:val="22"/>
          <w:vertAlign w:val="superscript"/>
        </w:rPr>
        <w:footnoteReference w:id="84"/>
      </w:r>
      <w:r w:rsidRPr="00693EA6">
        <w:rPr>
          <w:rFonts w:asciiTheme="majorBidi" w:eastAsia="Calibri" w:hAnsiTheme="majorBidi" w:cstheme="majorBidi"/>
          <w:szCs w:val="22"/>
        </w:rPr>
        <w:t xml:space="preserve"> Is their own existence or essential identity, too, conditional? Does the liminality of the human-animal relationship further attenuate the disabled position? </w:t>
      </w:r>
      <w:r w:rsidRPr="00693EA6">
        <w:rPr>
          <w:rFonts w:asciiTheme="majorBidi" w:eastAsia="Calibri" w:hAnsiTheme="majorBidi" w:cstheme="majorBidi"/>
          <w:i/>
          <w:iCs/>
          <w:szCs w:val="22"/>
        </w:rPr>
        <w:t>Or</w:t>
      </w:r>
      <w:r w:rsidRPr="00693EA6">
        <w:rPr>
          <w:rFonts w:asciiTheme="majorBidi" w:eastAsia="Calibri" w:hAnsiTheme="majorBidi" w:cstheme="majorBidi"/>
          <w:szCs w:val="22"/>
        </w:rPr>
        <w:t xml:space="preserve"> does that relationship so closely resemble the conventional companionship between humans and their pets that disabled characters with service animals become occasionally indistinguishable from their nondisabled counterparts? Do domesticated animals—whether household pets or trained service animals—simply constitute another element of modern personhood for their human owners? If the answer to the final two questions is yes, then the narrative union between a disabled character and their service animal stands to assist the disabled character’s social mobility and self-expression in a way that even a custom-build inanimate prosthetic cannot. </w:t>
      </w:r>
    </w:p>
    <w:p w14:paraId="65ED8345" w14:textId="67AEF88E" w:rsidR="00693EA6" w:rsidRPr="00693EA6" w:rsidRDefault="00693EA6" w:rsidP="00693EA6">
      <w:pPr>
        <w:spacing w:line="480" w:lineRule="auto"/>
        <w:ind w:firstLine="720"/>
        <w:rPr>
          <w:rFonts w:asciiTheme="majorBidi" w:eastAsia="Calibri" w:hAnsiTheme="majorBidi" w:cstheme="majorBidi"/>
          <w:szCs w:val="22"/>
        </w:rPr>
      </w:pPr>
      <w:r w:rsidRPr="00693EA6">
        <w:rPr>
          <w:rFonts w:asciiTheme="majorBidi" w:eastAsia="Calibri" w:hAnsiTheme="majorBidi" w:cstheme="majorBidi"/>
          <w:szCs w:val="22"/>
        </w:rPr>
        <w:t xml:space="preserve">The melodramatic rendering of Barnaby and Grip’s joint participation delivers a representation of prosthesis and aid that is mutualistic and dynamic—and that, crucially, guides </w:t>
      </w:r>
      <w:r w:rsidRPr="00693EA6">
        <w:rPr>
          <w:rFonts w:asciiTheme="majorBidi" w:eastAsia="Calibri" w:hAnsiTheme="majorBidi" w:cstheme="majorBidi"/>
          <w:szCs w:val="22"/>
        </w:rPr>
        <w:lastRenderedPageBreak/>
        <w:t>our own reading of the novel’s plot. The composite figure and interdependence of Grip and Barnaby, in many ways, prefigure</w:t>
      </w:r>
      <w:r w:rsidR="00E37719">
        <w:rPr>
          <w:rFonts w:asciiTheme="majorBidi" w:eastAsia="Calibri" w:hAnsiTheme="majorBidi" w:cstheme="majorBidi"/>
          <w:szCs w:val="22"/>
        </w:rPr>
        <w:t>s</w:t>
      </w:r>
      <w:r w:rsidRPr="00693EA6">
        <w:rPr>
          <w:rFonts w:asciiTheme="majorBidi" w:eastAsia="Calibri" w:hAnsiTheme="majorBidi" w:cstheme="majorBidi"/>
          <w:szCs w:val="22"/>
        </w:rPr>
        <w:t xml:space="preserve"> the twentieth- and twenty-first-century service animal relationship that has become commonplace in the social landscape of most developed countries.</w:t>
      </w:r>
      <w:r w:rsidRPr="00693EA6">
        <w:rPr>
          <w:rFonts w:asciiTheme="majorBidi" w:eastAsia="Calibri" w:hAnsiTheme="majorBidi" w:cstheme="majorBidi"/>
          <w:szCs w:val="22"/>
          <w:vertAlign w:val="superscript"/>
        </w:rPr>
        <w:footnoteReference w:id="85"/>
      </w:r>
      <w:r w:rsidRPr="00693EA6">
        <w:rPr>
          <w:rFonts w:asciiTheme="majorBidi" w:eastAsia="Calibri" w:hAnsiTheme="majorBidi" w:cstheme="majorBidi"/>
          <w:szCs w:val="22"/>
        </w:rPr>
        <w:t xml:space="preserve"> At the same time, prosthetics and service animals in Victorian fiction may be more alike than we think. Both exist as metonymic accessories (objects or creatures) that code elements of their owner’s identity. The difference, it would seem, inheres in the level of subjectivity or agency possessed by the accessory or the degree to which a disabled character defines himself with or against that accessory. After all, while these signifiers can elucidate their subject, one can just as easily become trapped or undermined by one’s signifiers, as I explore in the next chapter. </w:t>
      </w:r>
    </w:p>
    <w:p w14:paraId="429380BD" w14:textId="6E523D85" w:rsidR="009060A5" w:rsidRPr="002A5475" w:rsidRDefault="009060A5" w:rsidP="009060A5">
      <w:pPr>
        <w:spacing w:line="480" w:lineRule="auto"/>
        <w:ind w:firstLine="720"/>
        <w:rPr>
          <w:rFonts w:asciiTheme="majorBidi" w:eastAsia="Calibri" w:hAnsiTheme="majorBidi" w:cstheme="majorBidi"/>
          <w:szCs w:val="22"/>
        </w:rPr>
      </w:pPr>
      <w:r w:rsidRPr="002A5475">
        <w:rPr>
          <w:rFonts w:asciiTheme="majorBidi" w:eastAsia="Calibri" w:hAnsiTheme="majorBidi" w:cstheme="majorBidi"/>
          <w:szCs w:val="22"/>
        </w:rPr>
        <w:t xml:space="preserve"> </w:t>
      </w:r>
    </w:p>
    <w:p w14:paraId="2FBEB531" w14:textId="77777777" w:rsidR="009060A5" w:rsidRPr="002A5475" w:rsidRDefault="009060A5" w:rsidP="009060A5">
      <w:pPr>
        <w:rPr>
          <w:rFonts w:asciiTheme="majorBidi" w:eastAsia="Calibri" w:hAnsiTheme="majorBidi" w:cstheme="majorBidi"/>
          <w:szCs w:val="22"/>
        </w:rPr>
      </w:pPr>
    </w:p>
    <w:p w14:paraId="4C4AC0F4" w14:textId="77777777" w:rsidR="0063291C" w:rsidRPr="002A5475" w:rsidRDefault="0063291C">
      <w:pPr>
        <w:rPr>
          <w:rFonts w:asciiTheme="majorBidi" w:hAnsiTheme="majorBidi" w:cstheme="majorBidi"/>
        </w:rPr>
      </w:pPr>
      <w:r w:rsidRPr="002A5475">
        <w:rPr>
          <w:rFonts w:asciiTheme="majorBidi" w:hAnsiTheme="majorBidi" w:cstheme="majorBidi"/>
        </w:rPr>
        <w:br w:type="page"/>
      </w:r>
    </w:p>
    <w:p w14:paraId="3A5581EB" w14:textId="7BB3C25B" w:rsidR="00F428BF" w:rsidRPr="002A5475" w:rsidRDefault="0063291C" w:rsidP="0073481B">
      <w:pPr>
        <w:pStyle w:val="Heading1"/>
        <w:rPr>
          <w:rFonts w:asciiTheme="majorBidi" w:hAnsiTheme="majorBidi" w:cstheme="majorBidi"/>
        </w:rPr>
      </w:pPr>
      <w:bookmarkStart w:id="18" w:name="_Toc96096594"/>
      <w:r w:rsidRPr="002A5475">
        <w:rPr>
          <w:rFonts w:asciiTheme="majorBidi" w:hAnsiTheme="majorBidi" w:cstheme="majorBidi"/>
        </w:rPr>
        <w:lastRenderedPageBreak/>
        <w:t>CHAPTER III</w:t>
      </w:r>
      <w:bookmarkEnd w:id="18"/>
    </w:p>
    <w:p w14:paraId="2FE86EA1" w14:textId="56EF3013" w:rsidR="0086481D" w:rsidRPr="002A5475" w:rsidRDefault="0086481D" w:rsidP="0086481D">
      <w:pPr>
        <w:spacing w:line="480" w:lineRule="auto"/>
        <w:jc w:val="center"/>
        <w:rPr>
          <w:rFonts w:asciiTheme="majorBidi" w:hAnsiTheme="majorBidi" w:cstheme="majorBidi"/>
          <w:b/>
          <w:bCs/>
          <w:color w:val="000000"/>
          <w:shd w:val="clear" w:color="auto" w:fill="FFFFFF"/>
        </w:rPr>
      </w:pPr>
      <w:r w:rsidRPr="002A5475">
        <w:rPr>
          <w:rFonts w:asciiTheme="majorBidi" w:hAnsiTheme="majorBidi" w:cstheme="majorBidi"/>
          <w:b/>
          <w:bCs/>
          <w:color w:val="000000"/>
          <w:shd w:val="clear" w:color="auto" w:fill="FFFFFF"/>
        </w:rPr>
        <w:t>Major/Minor Redux: Object-ifying Character Space in Trollope and Collins</w:t>
      </w:r>
    </w:p>
    <w:p w14:paraId="31142298" w14:textId="6C7FE4F4" w:rsidR="0086481D" w:rsidRPr="002A5475" w:rsidRDefault="0086481D">
      <w:pPr>
        <w:rPr>
          <w:rFonts w:asciiTheme="majorBidi" w:hAnsiTheme="majorBidi" w:cstheme="majorBidi"/>
          <w:b/>
          <w:bCs/>
          <w:color w:val="000000"/>
          <w:shd w:val="clear" w:color="auto" w:fill="FFFFFF"/>
        </w:rPr>
      </w:pPr>
      <w:r w:rsidRPr="002A5475">
        <w:rPr>
          <w:rFonts w:asciiTheme="majorBidi" w:hAnsiTheme="majorBidi" w:cstheme="majorBidi"/>
          <w:b/>
          <w:bCs/>
          <w:color w:val="000000"/>
          <w:shd w:val="clear" w:color="auto" w:fill="FFFFFF"/>
        </w:rPr>
        <w:br w:type="page"/>
      </w:r>
    </w:p>
    <w:p w14:paraId="0EF902F5" w14:textId="786B7CD5" w:rsidR="00D159B4" w:rsidRPr="00D159B4" w:rsidRDefault="00D159B4" w:rsidP="00D159B4">
      <w:pPr>
        <w:spacing w:line="480" w:lineRule="auto"/>
        <w:rPr>
          <w:rFonts w:asciiTheme="majorBidi" w:eastAsia="Calibri" w:hAnsiTheme="majorBidi" w:cstheme="majorBidi"/>
        </w:rPr>
      </w:pPr>
      <w:r w:rsidRPr="00D159B4">
        <w:rPr>
          <w:rFonts w:asciiTheme="majorBidi" w:eastAsia="Calibri" w:hAnsiTheme="majorBidi" w:cstheme="majorBidi"/>
        </w:rPr>
        <w:lastRenderedPageBreak/>
        <w:tab/>
        <w:t>When, in the technocultural representation of characters with disabilities, does the prosthetic object pose a narrative challenge to its user? For all its performative potential, when does the prosthetic object eclipse or flatten its user in the narrative landscape of the novel? One dominant theory holds that disabled characters in Victorian fiction are already, as Clare Walker Gore points out, “to some extent marginalised within the novels they enliven by their failure as realist characters, more or less disabled in narrative terms by their embodiment</w:t>
      </w:r>
      <w:proofErr w:type="gramStart"/>
      <w:r w:rsidRPr="00D159B4">
        <w:rPr>
          <w:rFonts w:asciiTheme="majorBidi" w:eastAsia="Calibri" w:hAnsiTheme="majorBidi" w:cstheme="majorBidi"/>
        </w:rPr>
        <w:t>. . . .</w:t>
      </w:r>
      <w:proofErr w:type="gramEnd"/>
      <w:r w:rsidRPr="00D159B4">
        <w:rPr>
          <w:rFonts w:asciiTheme="majorBidi" w:eastAsia="Calibri" w:hAnsiTheme="majorBidi" w:cstheme="majorBidi"/>
        </w:rPr>
        <w:t xml:space="preserve"> All of them are marked out from the major characters they meet by their distinctive, distorted bodies; all of them depart from the ‘normal’ standard set by the characters who occupy the narrative centre” (</w:t>
      </w:r>
      <w:r w:rsidRPr="00D159B4">
        <w:rPr>
          <w:rFonts w:asciiTheme="majorBidi" w:eastAsia="Calibri" w:hAnsiTheme="majorBidi" w:cstheme="majorBidi"/>
          <w:i/>
          <w:iCs/>
        </w:rPr>
        <w:t xml:space="preserve">Plotting Disability </w:t>
      </w:r>
      <w:r w:rsidRPr="00D159B4">
        <w:rPr>
          <w:rFonts w:asciiTheme="majorBidi" w:eastAsia="Calibri" w:hAnsiTheme="majorBidi" w:cstheme="majorBidi"/>
        </w:rPr>
        <w:t xml:space="preserve">22). </w:t>
      </w:r>
      <w:proofErr w:type="gramStart"/>
      <w:r w:rsidRPr="00D159B4">
        <w:rPr>
          <w:rFonts w:asciiTheme="majorBidi" w:eastAsia="Calibri" w:hAnsiTheme="majorBidi" w:cstheme="majorBidi"/>
        </w:rPr>
        <w:t>So</w:t>
      </w:r>
      <w:proofErr w:type="gramEnd"/>
      <w:r w:rsidRPr="00D159B4">
        <w:rPr>
          <w:rFonts w:asciiTheme="majorBidi" w:eastAsia="Calibri" w:hAnsiTheme="majorBidi" w:cstheme="majorBidi"/>
        </w:rPr>
        <w:t xml:space="preserve"> if, as Gore claims, the exceptional amount of detail devoted to a disabled character’s body necessarily “mark[s] them out for minorness,” it stands to reason that the similarly extraordinary level of attention paid to an assistive device or prosthetic extension might further encroach on a disabled character’s status in the novel they occupy, as the prosthetic object may </w:t>
      </w:r>
      <w:r w:rsidR="00C13C85">
        <w:rPr>
          <w:rFonts w:asciiTheme="majorBidi" w:eastAsia="Calibri" w:hAnsiTheme="majorBidi" w:cstheme="majorBidi"/>
        </w:rPr>
        <w:t>overshadow</w:t>
      </w:r>
      <w:r w:rsidRPr="00D159B4">
        <w:rPr>
          <w:rFonts w:asciiTheme="majorBidi" w:eastAsia="Calibri" w:hAnsiTheme="majorBidi" w:cstheme="majorBidi"/>
        </w:rPr>
        <w:t xml:space="preserve"> the speaking, thinking, living character. </w:t>
      </w:r>
    </w:p>
    <w:p w14:paraId="01F31BA4" w14:textId="77777777" w:rsidR="00D159B4" w:rsidRPr="00D159B4" w:rsidRDefault="00D159B4" w:rsidP="00D159B4">
      <w:pPr>
        <w:spacing w:line="480" w:lineRule="auto"/>
        <w:rPr>
          <w:rFonts w:asciiTheme="majorBidi" w:eastAsia="Calibri" w:hAnsiTheme="majorBidi" w:cstheme="majorBidi"/>
        </w:rPr>
      </w:pPr>
      <w:r w:rsidRPr="00D159B4">
        <w:rPr>
          <w:rFonts w:asciiTheme="majorBidi" w:eastAsia="Calibri" w:hAnsiTheme="majorBidi" w:cstheme="majorBidi"/>
        </w:rPr>
        <w:tab/>
        <w:t>This chapter pairs the work of Anthony Trollope and Wilkie Collins (seemingly unlikely bedfellows) in order to pursue the narrative orchestration of the human-object competition for character space across a more capacious generic spectrum. While strict realism predominates Trollope’s prolific clerical and political novels, attention to detail assumes a more scintillating form in Collins’s sensation and detective fiction.</w:t>
      </w:r>
      <w:r w:rsidRPr="00D159B4">
        <w:rPr>
          <w:rFonts w:asciiTheme="majorBidi" w:eastAsia="Calibri" w:hAnsiTheme="majorBidi" w:cstheme="majorBidi"/>
          <w:vertAlign w:val="superscript"/>
        </w:rPr>
        <w:footnoteReference w:id="86"/>
      </w:r>
      <w:r w:rsidRPr="00D159B4">
        <w:rPr>
          <w:rFonts w:asciiTheme="majorBidi" w:eastAsia="Calibri" w:hAnsiTheme="majorBidi" w:cstheme="majorBidi"/>
        </w:rPr>
        <w:t xml:space="preserve"> But even Trollope, the self-proclaimed realist, argues against the notion that realism and sensationalism are mutually exclusive. He holds that a </w:t>
      </w:r>
      <w:r w:rsidRPr="00D159B4">
        <w:rPr>
          <w:rFonts w:asciiTheme="majorBidi" w:eastAsia="Calibri" w:hAnsiTheme="majorBidi" w:cstheme="majorBidi"/>
        </w:rPr>
        <w:lastRenderedPageBreak/>
        <w:t>novel should engage both in the “elucidation of character” (a trait typically associated with realism) and in the “construction and gradual development of a plot” (a trait typically associated with sensationalism) (</w:t>
      </w:r>
      <w:r w:rsidRPr="00D159B4">
        <w:rPr>
          <w:rFonts w:asciiTheme="majorBidi" w:eastAsia="Calibri" w:hAnsiTheme="majorBidi" w:cstheme="majorBidi"/>
          <w:i/>
          <w:iCs/>
        </w:rPr>
        <w:t>Autobiography</w:t>
      </w:r>
      <w:r w:rsidRPr="00D159B4">
        <w:rPr>
          <w:rFonts w:asciiTheme="majorBidi" w:eastAsia="Calibri" w:hAnsiTheme="majorBidi" w:cstheme="majorBidi"/>
        </w:rPr>
        <w:t xml:space="preserve"> 227).</w:t>
      </w:r>
      <w:r w:rsidRPr="00D159B4">
        <w:rPr>
          <w:rFonts w:asciiTheme="majorBidi" w:eastAsia="Calibri" w:hAnsiTheme="majorBidi" w:cstheme="majorBidi"/>
          <w:vertAlign w:val="superscript"/>
        </w:rPr>
        <w:footnoteReference w:id="87"/>
      </w:r>
      <w:r w:rsidRPr="00D159B4">
        <w:rPr>
          <w:rFonts w:asciiTheme="majorBidi" w:eastAsia="Calibri" w:hAnsiTheme="majorBidi" w:cstheme="majorBidi"/>
        </w:rPr>
        <w:t xml:space="preserve"> </w:t>
      </w:r>
    </w:p>
    <w:p w14:paraId="6678239D" w14:textId="496884D5" w:rsidR="00D159B4" w:rsidRPr="00D159B4" w:rsidRDefault="00D159B4" w:rsidP="00D159B4">
      <w:pPr>
        <w:spacing w:line="480" w:lineRule="auto"/>
        <w:ind w:firstLine="720"/>
        <w:rPr>
          <w:rFonts w:asciiTheme="majorBidi" w:eastAsia="Calibri" w:hAnsiTheme="majorBidi" w:cstheme="majorBidi"/>
        </w:rPr>
      </w:pPr>
      <w:r w:rsidRPr="00D159B4">
        <w:rPr>
          <w:rFonts w:asciiTheme="majorBidi" w:eastAsia="Calibri" w:hAnsiTheme="majorBidi" w:cstheme="majorBidi"/>
        </w:rPr>
        <w:t>Still, for all his gestures toward the balance of plot construction and character development, Trollope’s dedication to the latter proved his highest artistic ideal. Trollope believed “the highest merit which a novel can have consists in perfect delineation of character, rather than in plot” (</w:t>
      </w:r>
      <w:r w:rsidRPr="00D159B4">
        <w:rPr>
          <w:rFonts w:asciiTheme="majorBidi" w:eastAsia="Calibri" w:hAnsiTheme="majorBidi" w:cstheme="majorBidi"/>
          <w:i/>
          <w:iCs/>
        </w:rPr>
        <w:t xml:space="preserve">Autobiography </w:t>
      </w:r>
      <w:r w:rsidRPr="00D159B4">
        <w:rPr>
          <w:rFonts w:asciiTheme="majorBidi" w:eastAsia="Calibri" w:hAnsiTheme="majorBidi" w:cstheme="majorBidi"/>
        </w:rPr>
        <w:t xml:space="preserve">166). “A novel,” he insisted, “should give a picture of common life enlivened by humour and sweetened by pathos. To make that picture worthy of attention, the canvas should be crowded with real portraits </w:t>
      </w:r>
      <w:proofErr w:type="gramStart"/>
      <w:r w:rsidRPr="00D159B4">
        <w:rPr>
          <w:rFonts w:asciiTheme="majorBidi" w:eastAsia="Calibri" w:hAnsiTheme="majorBidi" w:cstheme="majorBidi"/>
        </w:rPr>
        <w:t>. . . .</w:t>
      </w:r>
      <w:proofErr w:type="gramEnd"/>
      <w:r w:rsidRPr="00D159B4">
        <w:rPr>
          <w:rFonts w:asciiTheme="majorBidi" w:eastAsia="Calibri" w:hAnsiTheme="majorBidi" w:cstheme="majorBidi"/>
        </w:rPr>
        <w:t xml:space="preserve"> To my thinking, the plot is but the vehicle for all this; and when you have the vehicle without passengers, a story of mystery in which the agents never spring to life, you have but a wooden show” (126). Indeed, though much late-nineteenth- and early-twentieth-century criticism paints Trollope’s brand of realism as simple, though highly detailed, his writings demonstrate an acute attention to and empathy for the psychological and philosophical trappings of human existence.</w:t>
      </w:r>
      <w:r w:rsidRPr="00D159B4">
        <w:rPr>
          <w:rFonts w:asciiTheme="majorBidi" w:eastAsia="Calibri" w:hAnsiTheme="majorBidi" w:cstheme="majorBidi"/>
          <w:vertAlign w:val="superscript"/>
        </w:rPr>
        <w:footnoteReference w:id="88"/>
      </w:r>
      <w:r w:rsidRPr="00D159B4">
        <w:rPr>
          <w:rFonts w:asciiTheme="majorBidi" w:eastAsia="Calibri" w:hAnsiTheme="majorBidi" w:cstheme="majorBidi"/>
        </w:rPr>
        <w:t xml:space="preserve"> In fact, the Jamesian tendency to dismiss Trollope as merely “a good observer; but . . . literally nothing else” may attest to the subtlety of his sympathetic interest in human character (</w:t>
      </w:r>
      <w:r w:rsidRPr="00D159B4">
        <w:rPr>
          <w:rFonts w:asciiTheme="majorBidi" w:eastAsia="Calibri" w:hAnsiTheme="majorBidi" w:cstheme="majorBidi"/>
          <w:i/>
          <w:iCs/>
        </w:rPr>
        <w:t>Henry James: The Critical Heritage</w:t>
      </w:r>
      <w:r w:rsidRPr="00D159B4">
        <w:rPr>
          <w:rFonts w:asciiTheme="majorBidi" w:eastAsia="Calibri" w:hAnsiTheme="majorBidi" w:cstheme="majorBidi"/>
        </w:rPr>
        <w:t xml:space="preserve"> 258).</w:t>
      </w:r>
      <w:r w:rsidRPr="00D159B4">
        <w:rPr>
          <w:rFonts w:asciiTheme="majorBidi" w:eastAsia="Calibri" w:hAnsiTheme="majorBidi" w:cstheme="majorBidi"/>
          <w:vertAlign w:val="superscript"/>
        </w:rPr>
        <w:footnoteReference w:id="89"/>
      </w:r>
      <w:r w:rsidRPr="00D159B4">
        <w:rPr>
          <w:rFonts w:asciiTheme="majorBidi" w:eastAsia="Calibri" w:hAnsiTheme="majorBidi" w:cstheme="majorBidi"/>
        </w:rPr>
        <w:t xml:space="preserve"> (It also overlooks Trollope’s propensity for satire and parody.) In </w:t>
      </w:r>
      <w:r w:rsidRPr="00D159B4">
        <w:rPr>
          <w:rFonts w:asciiTheme="majorBidi" w:eastAsia="Calibri" w:hAnsiTheme="majorBidi" w:cstheme="majorBidi"/>
          <w:i/>
          <w:iCs/>
        </w:rPr>
        <w:t xml:space="preserve">History and </w:t>
      </w:r>
      <w:r w:rsidRPr="00D159B4">
        <w:rPr>
          <w:rFonts w:asciiTheme="majorBidi" w:eastAsia="Calibri" w:hAnsiTheme="majorBidi" w:cstheme="majorBidi"/>
          <w:i/>
          <w:iCs/>
        </w:rPr>
        <w:lastRenderedPageBreak/>
        <w:t>the Novel</w:t>
      </w:r>
      <w:r w:rsidRPr="00D159B4">
        <w:rPr>
          <w:rFonts w:asciiTheme="majorBidi" w:eastAsia="Calibri" w:hAnsiTheme="majorBidi" w:cstheme="majorBidi"/>
        </w:rPr>
        <w:t>, Irving Howe characterizes Trollope as an “unrebellious novelist” even as he allows that there lingers in his work “a subterranean critical ferment,” an assessment he makes on</w:t>
      </w:r>
      <w:r w:rsidR="00C13C85">
        <w:rPr>
          <w:rFonts w:asciiTheme="majorBidi" w:eastAsia="Calibri" w:hAnsiTheme="majorBidi" w:cstheme="majorBidi"/>
        </w:rPr>
        <w:t xml:space="preserve"> the</w:t>
      </w:r>
      <w:r w:rsidRPr="00D159B4">
        <w:rPr>
          <w:rFonts w:asciiTheme="majorBidi" w:eastAsia="Calibri" w:hAnsiTheme="majorBidi" w:cstheme="majorBidi"/>
        </w:rPr>
        <w:t xml:space="preserve"> belief that “a representation of life can rarely be separated from a criticism of values” (1395). But how “unrebellious” is Trollope, really, where disabled characters and minor characters—one and the same in his novels—are concerned? In theory, Trollope’s meticulous characterization across the </w:t>
      </w:r>
      <w:r w:rsidRPr="00D159B4">
        <w:rPr>
          <w:rFonts w:asciiTheme="majorBidi" w:eastAsia="Calibri" w:hAnsiTheme="majorBidi" w:cstheme="majorBidi"/>
          <w:i/>
          <w:iCs/>
        </w:rPr>
        <w:t>Chronicles of Barsetshire</w:t>
      </w:r>
      <w:r w:rsidRPr="00D159B4">
        <w:rPr>
          <w:rFonts w:asciiTheme="majorBidi" w:eastAsia="Calibri" w:hAnsiTheme="majorBidi" w:cstheme="majorBidi"/>
        </w:rPr>
        <w:t>, the Palliser novels, and his standalone works reminds us that all bodies, in one way or another, are socially constructed and enmeshed in the material world. The extreme embodiment (i.e., the unwavering attention to physical detail) in his novels should allow characters with disabilities to blend in rather than be marked out by the narrative dissection of their physical particulars, and, to an extent, they do. But when, in those voluminous novels, do they begin to blend in, instead, with the narrative’s nonhuman infrastructure? Do the assistive and prosthetic devices in Trollope’s novels flatten or round out his disabled characters?</w:t>
      </w:r>
    </w:p>
    <w:p w14:paraId="29FB315B" w14:textId="5C7ED019" w:rsidR="00D159B4" w:rsidRPr="00D159B4" w:rsidRDefault="00D159B4" w:rsidP="00D159B4">
      <w:pPr>
        <w:spacing w:line="480" w:lineRule="auto"/>
        <w:ind w:firstLine="720"/>
        <w:rPr>
          <w:rFonts w:asciiTheme="majorBidi" w:eastAsia="Calibri" w:hAnsiTheme="majorBidi" w:cstheme="majorBidi"/>
        </w:rPr>
      </w:pPr>
      <w:r w:rsidRPr="00D159B4">
        <w:rPr>
          <w:rFonts w:asciiTheme="majorBidi" w:eastAsia="Calibri" w:hAnsiTheme="majorBidi" w:cstheme="majorBidi"/>
        </w:rPr>
        <w:t>The supposed contest for primacy between plot construction and character development in Collins turns out to be no contest at all. After all, sensation fiction’s narrative structures hinge on deviance and play on the instability of character and identity. Anatomical detail sometimes appears more erratic than standardized. Likewise, detective fiction culminates in the restoration of order and therefore also necessarily centers on chaos and instability.</w:t>
      </w:r>
      <w:r w:rsidRPr="00D159B4">
        <w:rPr>
          <w:rFonts w:asciiTheme="majorBidi" w:eastAsia="Calibri" w:hAnsiTheme="majorBidi" w:cstheme="majorBidi"/>
          <w:vertAlign w:val="superscript"/>
        </w:rPr>
        <w:footnoteReference w:id="90"/>
      </w:r>
      <w:r w:rsidRPr="00D159B4">
        <w:rPr>
          <w:rFonts w:asciiTheme="majorBidi" w:eastAsia="Calibri" w:hAnsiTheme="majorBidi" w:cstheme="majorBidi"/>
        </w:rPr>
        <w:t xml:space="preserve"> At many crucial junctures, the point is, frustratingly, not to know: to question and pick everything apart until one </w:t>
      </w:r>
      <w:r w:rsidRPr="00D159B4">
        <w:rPr>
          <w:rFonts w:asciiTheme="majorBidi" w:eastAsia="Calibri" w:hAnsiTheme="majorBidi" w:cstheme="majorBidi"/>
        </w:rPr>
        <w:lastRenderedPageBreak/>
        <w:t>is left with a confounding pile of pieces. The repeated process of dissection and reconstitution creates a vast liminal space of attenuated boundaries. Really, it seems almost impossible that a character like Collins’s Miserrimus Dexter could exist in any novel where rigid boundaries (social, taxonomical) remained intact. The man and his chair are one, furnishing a doubled self, a “new Centaur” (</w:t>
      </w:r>
      <w:r w:rsidRPr="00D159B4">
        <w:rPr>
          <w:rFonts w:asciiTheme="majorBidi" w:eastAsia="Calibri" w:hAnsiTheme="majorBidi" w:cstheme="majorBidi"/>
          <w:i/>
          <w:iCs/>
        </w:rPr>
        <w:t>The Law and the Lady</w:t>
      </w:r>
      <w:r w:rsidRPr="00D159B4">
        <w:rPr>
          <w:rFonts w:asciiTheme="majorBidi" w:eastAsia="Calibri" w:hAnsiTheme="majorBidi" w:cstheme="majorBidi"/>
        </w:rPr>
        <w:t xml:space="preserve"> 206): an entity that, much like Frankenstein’s Creature, explodes boundaries between human, machine, and—as that particular designation and others imply—nonhuman animals. In taking up disabled minor characters in both Trollope and Collins, then, I aim to answer the following question: how does attention to a disabled character’s prosthetic</w:t>
      </w:r>
      <w:r w:rsidR="00C13C85">
        <w:rPr>
          <w:rFonts w:asciiTheme="majorBidi" w:eastAsia="Calibri" w:hAnsiTheme="majorBidi" w:cstheme="majorBidi"/>
        </w:rPr>
        <w:t xml:space="preserve"> </w:t>
      </w:r>
      <w:r w:rsidRPr="00D159B4">
        <w:rPr>
          <w:rFonts w:asciiTheme="majorBidi" w:eastAsia="Calibri" w:hAnsiTheme="majorBidi" w:cstheme="majorBidi"/>
        </w:rPr>
        <w:t xml:space="preserve">object inhibit or facilitate their ability to jockey for position in the narrative space they inhabit? </w:t>
      </w:r>
    </w:p>
    <w:p w14:paraId="24A12915" w14:textId="77777777" w:rsidR="00D159B4" w:rsidRPr="00D159B4" w:rsidRDefault="00D159B4" w:rsidP="00D159B4">
      <w:pPr>
        <w:spacing w:line="480" w:lineRule="auto"/>
        <w:rPr>
          <w:rFonts w:asciiTheme="majorBidi" w:eastAsia="Calibri" w:hAnsiTheme="majorBidi" w:cstheme="majorBidi"/>
        </w:rPr>
      </w:pPr>
      <w:r w:rsidRPr="00D159B4">
        <w:rPr>
          <w:rFonts w:asciiTheme="majorBidi" w:eastAsia="Calibri" w:hAnsiTheme="majorBidi" w:cstheme="majorBidi"/>
        </w:rPr>
        <w:tab/>
        <w:t xml:space="preserve">In gauging character space and distinguishing between major and minor characters, I have in mind Alex Woloch’s </w:t>
      </w:r>
      <w:r w:rsidRPr="00D159B4">
        <w:rPr>
          <w:rFonts w:asciiTheme="majorBidi" w:eastAsia="Calibri" w:hAnsiTheme="majorBidi" w:cstheme="majorBidi"/>
          <w:i/>
        </w:rPr>
        <w:t>The One vs. the Many</w:t>
      </w:r>
      <w:r w:rsidRPr="00D159B4">
        <w:rPr>
          <w:rFonts w:asciiTheme="majorBidi" w:eastAsia="Calibri" w:hAnsiTheme="majorBidi" w:cstheme="majorBidi"/>
        </w:rPr>
        <w:t xml:space="preserve"> (2004) and “Minor Characters” (2007), particularly because his notions of “lesser” characters and the subordination required to enable the development of the novel’s central characters both become hugely significant when one reflects on the routine subordination, delimitation, and attenuation of disabled characters in minor roles (including but hardly limited to the works of Trollope and Collins). Lennard Davis, like Gore and others, has noted how, if disability or a disabled character “appears in a novel, it is rarely centrally represented” (</w:t>
      </w:r>
      <w:r w:rsidRPr="00D159B4">
        <w:rPr>
          <w:rFonts w:asciiTheme="majorBidi" w:eastAsia="Calibri" w:hAnsiTheme="majorBidi" w:cstheme="majorBidi"/>
          <w:i/>
        </w:rPr>
        <w:t>Enforcing Normalcy</w:t>
      </w:r>
      <w:r w:rsidRPr="00D159B4">
        <w:rPr>
          <w:rFonts w:asciiTheme="majorBidi" w:eastAsia="Calibri" w:hAnsiTheme="majorBidi" w:cstheme="majorBidi"/>
        </w:rPr>
        <w:t xml:space="preserve"> 41). In light of Davis’s claim, Woloch’s contention that “the ‘lesser people’ whom we extract together with ‘the exquisite’ protagonist </w:t>
      </w:r>
      <w:proofErr w:type="gramStart"/>
      <w:r w:rsidRPr="00D159B4">
        <w:rPr>
          <w:rFonts w:asciiTheme="majorBidi" w:eastAsia="Calibri" w:hAnsiTheme="majorBidi" w:cstheme="majorBidi"/>
        </w:rPr>
        <w:t>are</w:t>
      </w:r>
      <w:proofErr w:type="gramEnd"/>
      <w:r w:rsidRPr="00D159B4">
        <w:rPr>
          <w:rFonts w:asciiTheme="majorBidi" w:eastAsia="Calibri" w:hAnsiTheme="majorBidi" w:cstheme="majorBidi"/>
        </w:rPr>
        <w:t xml:space="preserve"> not actually lesser as ‘people’ but are, precisely, subordinate in terms of narrative structure” becomes tenuous when normative characters continually dominate the narrative landscape, relegating disabled minor characters to the periphery (“Minor Characters” 300). </w:t>
      </w:r>
    </w:p>
    <w:p w14:paraId="55B1C6DF" w14:textId="77777777" w:rsidR="00D159B4" w:rsidRPr="00D159B4" w:rsidRDefault="00D159B4" w:rsidP="00D159B4">
      <w:pPr>
        <w:spacing w:line="480" w:lineRule="auto"/>
        <w:rPr>
          <w:rFonts w:asciiTheme="majorBidi" w:eastAsia="Calibri" w:hAnsiTheme="majorBidi" w:cstheme="majorBidi"/>
        </w:rPr>
      </w:pPr>
      <w:r w:rsidRPr="00D159B4">
        <w:rPr>
          <w:rFonts w:asciiTheme="majorBidi" w:eastAsia="Calibri" w:hAnsiTheme="majorBidi" w:cstheme="majorBidi"/>
        </w:rPr>
        <w:lastRenderedPageBreak/>
        <w:tab/>
        <w:t>Indeed, Felicity A. Nussbaum (</w:t>
      </w:r>
      <w:r w:rsidRPr="00D159B4">
        <w:rPr>
          <w:rFonts w:asciiTheme="majorBidi" w:eastAsia="Calibri" w:hAnsiTheme="majorBidi" w:cstheme="majorBidi"/>
          <w:i/>
        </w:rPr>
        <w:t>Limits of the Human</w:t>
      </w:r>
      <w:r w:rsidRPr="00D159B4">
        <w:rPr>
          <w:rFonts w:asciiTheme="majorBidi" w:eastAsia="Calibri" w:hAnsiTheme="majorBidi" w:cstheme="majorBidi"/>
        </w:rPr>
        <w:t>), Paul Youngquist (</w:t>
      </w:r>
      <w:r w:rsidRPr="00D159B4">
        <w:rPr>
          <w:rFonts w:asciiTheme="majorBidi" w:eastAsia="Calibri" w:hAnsiTheme="majorBidi" w:cstheme="majorBidi"/>
          <w:i/>
        </w:rPr>
        <w:t>Monstrosities</w:t>
      </w:r>
      <w:r w:rsidRPr="00D159B4">
        <w:rPr>
          <w:rFonts w:asciiTheme="majorBidi" w:eastAsia="Calibri" w:hAnsiTheme="majorBidi" w:cstheme="majorBidi"/>
        </w:rPr>
        <w:t>), Martha Stoddard Holmes (</w:t>
      </w:r>
      <w:r w:rsidRPr="00D159B4">
        <w:rPr>
          <w:rFonts w:asciiTheme="majorBidi" w:eastAsia="Calibri" w:hAnsiTheme="majorBidi" w:cstheme="majorBidi"/>
          <w:i/>
        </w:rPr>
        <w:t>Fictions of Affliction</w:t>
      </w:r>
      <w:r w:rsidRPr="00D159B4">
        <w:rPr>
          <w:rFonts w:asciiTheme="majorBidi" w:eastAsia="Calibri" w:hAnsiTheme="majorBidi" w:cstheme="majorBidi"/>
        </w:rPr>
        <w:t>), and Lennard Davis (</w:t>
      </w:r>
      <w:r w:rsidRPr="00D159B4">
        <w:rPr>
          <w:rFonts w:asciiTheme="majorBidi" w:eastAsia="Calibri" w:hAnsiTheme="majorBidi" w:cstheme="majorBidi"/>
          <w:i/>
        </w:rPr>
        <w:t>Enforcing Normalcy</w:t>
      </w:r>
      <w:r w:rsidRPr="00D159B4">
        <w:rPr>
          <w:rFonts w:asciiTheme="majorBidi" w:eastAsia="Calibri" w:hAnsiTheme="majorBidi" w:cstheme="majorBidi"/>
        </w:rPr>
        <w:t xml:space="preserve">), among others, have all insisted on the intrinsic role of visibility, presence, and the gaze in the construction of disability in works of fiction and the cultures that produce them. The emphasis on visibility in this model essentially forces the issue of regulated, “normative” perception. Even in the medium of text, nondisabled narrators routinely demand that the readers “see” disabled characters on the page the way they would in real life. As a result, literary representations of disability in these analyses nearly always center on physicality and materiality. Observations and understandings of the disabled character come to depend on anatomical detail and the sensory processing of that detail. Davis bases much of his conception of disability on what a “normal” observer can perceive and respond to physiologically: “Disability exists in the realm of the senses. The disabled body is embodied through the senses. </w:t>
      </w:r>
      <w:proofErr w:type="gramStart"/>
      <w:r w:rsidRPr="00D159B4">
        <w:rPr>
          <w:rFonts w:asciiTheme="majorBidi" w:eastAsia="Calibri" w:hAnsiTheme="majorBidi" w:cstheme="majorBidi"/>
        </w:rPr>
        <w:t>So</w:t>
      </w:r>
      <w:proofErr w:type="gramEnd"/>
      <w:r w:rsidRPr="00D159B4">
        <w:rPr>
          <w:rFonts w:asciiTheme="majorBidi" w:eastAsia="Calibri" w:hAnsiTheme="majorBidi" w:cstheme="majorBidi"/>
        </w:rPr>
        <w:t xml:space="preserve"> there is a kind of reciprocal relationship between the senses and disability” (</w:t>
      </w:r>
      <w:r w:rsidRPr="00D159B4">
        <w:rPr>
          <w:rFonts w:asciiTheme="majorBidi" w:eastAsia="Calibri" w:hAnsiTheme="majorBidi" w:cstheme="majorBidi"/>
          <w:i/>
        </w:rPr>
        <w:t>Enforcing Normalcy</w:t>
      </w:r>
      <w:r w:rsidRPr="00D159B4">
        <w:rPr>
          <w:rFonts w:asciiTheme="majorBidi" w:eastAsia="Calibri" w:hAnsiTheme="majorBidi" w:cstheme="majorBidi"/>
        </w:rPr>
        <w:t xml:space="preserve"> 13). This kind of sensual perception and the “violence of the response” that succeeds it make physical disability fertile ground for its imaginative sensationalization in narrative (12). Characters with physical disabilities function as figures to be pitied (as in the case of </w:t>
      </w:r>
      <w:r w:rsidRPr="00D159B4">
        <w:rPr>
          <w:rFonts w:asciiTheme="majorBidi" w:eastAsia="Calibri" w:hAnsiTheme="majorBidi" w:cstheme="majorBidi"/>
          <w:i/>
        </w:rPr>
        <w:t>A Christmas Carol</w:t>
      </w:r>
      <w:r w:rsidRPr="00D159B4">
        <w:rPr>
          <w:rFonts w:asciiTheme="majorBidi" w:eastAsia="Calibri" w:hAnsiTheme="majorBidi" w:cstheme="majorBidi"/>
        </w:rPr>
        <w:t xml:space="preserve">’s Tiny Tim and his equally tiny crutch) or regarded with suspicion, wonder, or fear (as in the case of </w:t>
      </w:r>
      <w:r w:rsidRPr="00D159B4">
        <w:rPr>
          <w:rFonts w:asciiTheme="majorBidi" w:eastAsia="Calibri" w:hAnsiTheme="majorBidi" w:cstheme="majorBidi"/>
          <w:i/>
        </w:rPr>
        <w:t>The Law and the Lady</w:t>
      </w:r>
      <w:r w:rsidRPr="00D159B4">
        <w:rPr>
          <w:rFonts w:asciiTheme="majorBidi" w:eastAsia="Calibri" w:hAnsiTheme="majorBidi" w:cstheme="majorBidi"/>
        </w:rPr>
        <w:t>’s Miserrimus Dexter flying about wildly in his wheelchair), but their identities seem, superficially at least, not to extend beyond their impairments.</w:t>
      </w:r>
    </w:p>
    <w:p w14:paraId="2027345A" w14:textId="77777777" w:rsidR="00D159B4" w:rsidRPr="00D159B4" w:rsidRDefault="00D159B4" w:rsidP="00D159B4">
      <w:pPr>
        <w:spacing w:line="480" w:lineRule="auto"/>
        <w:rPr>
          <w:rFonts w:asciiTheme="majorBidi" w:eastAsia="Calibri" w:hAnsiTheme="majorBidi" w:cstheme="majorBidi"/>
        </w:rPr>
      </w:pPr>
      <w:r w:rsidRPr="00D159B4">
        <w:rPr>
          <w:rFonts w:asciiTheme="majorBidi" w:eastAsia="Calibri" w:hAnsiTheme="majorBidi" w:cstheme="majorBidi"/>
        </w:rPr>
        <w:tab/>
        <w:t xml:space="preserve">In the last section of Chapter II, I considered Barnaby Rudge’s unusual status as a major character with a disability alongside Martha Stoddard Holmes’s and Judith Butler’s competing notions about the extent to which disability is coded primarily in material terms. This chapter further complicates the issue by taking into account some of the technical, quantifiable elements </w:t>
      </w:r>
      <w:r w:rsidRPr="00D159B4">
        <w:rPr>
          <w:rFonts w:asciiTheme="majorBidi" w:eastAsia="Calibri" w:hAnsiTheme="majorBidi" w:cstheme="majorBidi"/>
        </w:rPr>
        <w:lastRenderedPageBreak/>
        <w:t>of the Victorian novel where the representation of disabled characters is concerned. Across genres, the combination of narrative structure, character space, and disability in fiction contributes to sociocultural narrations of identity. Woloch himself claims, “making people minor produces more and more distortion and flatness” (</w:t>
      </w:r>
      <w:r w:rsidRPr="00D159B4">
        <w:rPr>
          <w:rFonts w:asciiTheme="majorBidi" w:eastAsia="Calibri" w:hAnsiTheme="majorBidi" w:cstheme="majorBidi"/>
          <w:i/>
        </w:rPr>
        <w:t>The One</w:t>
      </w:r>
      <w:r w:rsidRPr="00D159B4">
        <w:rPr>
          <w:rFonts w:asciiTheme="majorBidi" w:eastAsia="Calibri" w:hAnsiTheme="majorBidi" w:cstheme="majorBidi"/>
        </w:rPr>
        <w:t xml:space="preserve"> 128). And when that distortion intersects with marginalized groups, the pathological distinction between subcategories (physical or mental disabilities) becomes less important than the controlling mode of representation. In short, it is not only the precise nature of what is being represented </w:t>
      </w:r>
      <w:proofErr w:type="gramStart"/>
      <w:r w:rsidRPr="00D159B4">
        <w:rPr>
          <w:rFonts w:asciiTheme="majorBidi" w:eastAsia="Calibri" w:hAnsiTheme="majorBidi" w:cstheme="majorBidi"/>
        </w:rPr>
        <w:t>that matters</w:t>
      </w:r>
      <w:proofErr w:type="gramEnd"/>
      <w:r w:rsidRPr="00D159B4">
        <w:rPr>
          <w:rFonts w:asciiTheme="majorBidi" w:eastAsia="Calibri" w:hAnsiTheme="majorBidi" w:cstheme="majorBidi"/>
        </w:rPr>
        <w:t xml:space="preserve">, but how, in how much space, and by whom it is represented. Our theorizations, therefore, should advance readings of disability not solely in pathological terms of what kind of impairment is represented but </w:t>
      </w:r>
      <w:r w:rsidRPr="00D159B4">
        <w:rPr>
          <w:rFonts w:asciiTheme="majorBidi" w:eastAsia="Calibri" w:hAnsiTheme="majorBidi" w:cstheme="majorBidi"/>
          <w:i/>
        </w:rPr>
        <w:t>how fully</w:t>
      </w:r>
      <w:r w:rsidRPr="00D159B4">
        <w:rPr>
          <w:rFonts w:asciiTheme="majorBidi" w:eastAsia="Calibri" w:hAnsiTheme="majorBidi" w:cstheme="majorBidi"/>
        </w:rPr>
        <w:t xml:space="preserve"> the disabled character is developed. </w:t>
      </w:r>
    </w:p>
    <w:p w14:paraId="1B102449" w14:textId="77777777" w:rsidR="00D159B4" w:rsidRPr="00D159B4" w:rsidRDefault="00D159B4" w:rsidP="00D159B4">
      <w:pPr>
        <w:spacing w:line="480" w:lineRule="auto"/>
        <w:rPr>
          <w:rFonts w:asciiTheme="majorBidi" w:eastAsia="Calibri" w:hAnsiTheme="majorBidi" w:cstheme="majorBidi"/>
        </w:rPr>
      </w:pPr>
      <w:r w:rsidRPr="00D159B4">
        <w:rPr>
          <w:rFonts w:asciiTheme="majorBidi" w:eastAsia="Calibri" w:hAnsiTheme="majorBidi" w:cstheme="majorBidi"/>
        </w:rPr>
        <w:tab/>
        <w:t>In many ways, we can trace the pathological, nineteenth-century materialization of human nature and experience through the developing aesthetics of embodiment in Romantic and Victorian literature. As Paul Youngquist observes, “The literature of sensibility that flourishes in the last half of the eighteenth century owes everything to physiology. Feeling becomes the new evangel because the body knows best” (</w:t>
      </w:r>
      <w:r w:rsidRPr="00D159B4">
        <w:rPr>
          <w:rFonts w:asciiTheme="majorBidi" w:eastAsia="Calibri" w:hAnsiTheme="majorBidi" w:cstheme="majorBidi"/>
          <w:i/>
        </w:rPr>
        <w:t>Monstrosities</w:t>
      </w:r>
      <w:r w:rsidRPr="00D159B4">
        <w:rPr>
          <w:rFonts w:asciiTheme="majorBidi" w:eastAsia="Calibri" w:hAnsiTheme="majorBidi" w:cstheme="majorBidi"/>
        </w:rPr>
        <w:t xml:space="preserve"> 30). And in illustrating the influence of a growing “cultural politics of embodiment” (xiv) in the early nineteenth century, Youngquist notes the “somatic challenge” of physical otherness (ranging from deformity to racial difference) faced by British culture during the Romantic period and describes how medicine “met it by measuring deformity against the rule of health, helping to materialize a norm of proper embodiment” (9). As the century wore on, this Romantic-era intersection of the body and the social world merged with what Erin O’Connor identifies as “the birth of modern medicine” (</w:t>
      </w:r>
      <w:r w:rsidRPr="00D159B4">
        <w:rPr>
          <w:rFonts w:asciiTheme="majorBidi" w:eastAsia="Calibri" w:hAnsiTheme="majorBidi" w:cstheme="majorBidi"/>
          <w:i/>
        </w:rPr>
        <w:t>Raw Material</w:t>
      </w:r>
      <w:r w:rsidRPr="00D159B4">
        <w:rPr>
          <w:rFonts w:asciiTheme="majorBidi" w:eastAsia="Calibri" w:hAnsiTheme="majorBidi" w:cstheme="majorBidi"/>
        </w:rPr>
        <w:t xml:space="preserve"> 220). The nineteenth century’s cultural politics of embodiment and medicalized norms, then, engendered notions of the body and its integrity (or lack thereof) that were increasingly </w:t>
      </w:r>
      <w:r w:rsidRPr="00D159B4">
        <w:rPr>
          <w:rFonts w:asciiTheme="majorBidi" w:eastAsia="Calibri" w:hAnsiTheme="majorBidi" w:cstheme="majorBidi"/>
        </w:rPr>
        <w:lastRenderedPageBreak/>
        <w:t>bound up in new relationships with the physical world that surrounded and defined it.</w:t>
      </w:r>
      <w:r w:rsidRPr="00D159B4">
        <w:rPr>
          <w:rFonts w:asciiTheme="majorBidi" w:eastAsia="Calibri" w:hAnsiTheme="majorBidi" w:cstheme="majorBidi"/>
          <w:vertAlign w:val="superscript"/>
        </w:rPr>
        <w:footnoteReference w:id="91"/>
      </w:r>
      <w:r w:rsidRPr="00D159B4">
        <w:rPr>
          <w:rFonts w:asciiTheme="majorBidi" w:eastAsia="Calibri" w:hAnsiTheme="majorBidi" w:cstheme="majorBidi"/>
        </w:rPr>
        <w:t xml:space="preserve"> To this end, William A. Cohen suggests that Victorian writers (a category that includes novelists, journalists, and scientists) fostered a physical, material view of the self in which “what makes us human is the </w:t>
      </w:r>
      <w:r w:rsidRPr="00D159B4">
        <w:rPr>
          <w:rFonts w:asciiTheme="majorBidi" w:eastAsia="Calibri" w:hAnsiTheme="majorBidi" w:cstheme="majorBidi"/>
          <w:i/>
        </w:rPr>
        <w:t>matter</w:t>
      </w:r>
      <w:r w:rsidRPr="00D159B4">
        <w:rPr>
          <w:rFonts w:asciiTheme="majorBidi" w:eastAsia="Calibri" w:hAnsiTheme="majorBidi" w:cstheme="majorBidi"/>
        </w:rPr>
        <w:t xml:space="preserve"> of our being” (</w:t>
      </w:r>
      <w:r w:rsidRPr="00D159B4">
        <w:rPr>
          <w:rFonts w:asciiTheme="majorBidi" w:eastAsia="Calibri" w:hAnsiTheme="majorBidi" w:cstheme="majorBidi"/>
          <w:i/>
        </w:rPr>
        <w:t>Embodied</w:t>
      </w:r>
      <w:r w:rsidRPr="00D159B4">
        <w:rPr>
          <w:rFonts w:asciiTheme="majorBidi" w:eastAsia="Calibri" w:hAnsiTheme="majorBidi" w:cstheme="majorBidi"/>
        </w:rPr>
        <w:t xml:space="preserve"> xii, emphasis mine). The burgeoning sociomedical discourse of the era and new literary genres—and in particular, Gothic and sensation fiction and the social realist novel—thus existed as co-actors in this materialization of norms and deviations. The obsessive engagement with this physical matter merged with social distinctions (especially among gender, nationality, and class), which embedded in disabled bodies and prosthetic objects. As I discuss later in the chapter, Trollope’s minor disabled characters in </w:t>
      </w:r>
      <w:r w:rsidRPr="00D159B4">
        <w:rPr>
          <w:rFonts w:asciiTheme="majorBidi" w:eastAsia="Calibri" w:hAnsiTheme="majorBidi" w:cstheme="majorBidi"/>
          <w:i/>
          <w:iCs/>
        </w:rPr>
        <w:t xml:space="preserve">Barchester Towers </w:t>
      </w:r>
      <w:r w:rsidRPr="00D159B4">
        <w:rPr>
          <w:rFonts w:asciiTheme="majorBidi" w:eastAsia="Calibri" w:hAnsiTheme="majorBidi" w:cstheme="majorBidi"/>
        </w:rPr>
        <w:t xml:space="preserve">(1857), </w:t>
      </w:r>
      <w:r w:rsidRPr="00D159B4">
        <w:rPr>
          <w:rFonts w:asciiTheme="majorBidi" w:eastAsia="Calibri" w:hAnsiTheme="majorBidi" w:cstheme="majorBidi"/>
          <w:i/>
          <w:iCs/>
        </w:rPr>
        <w:t>The Belton Estate</w:t>
      </w:r>
      <w:r w:rsidRPr="00D159B4">
        <w:rPr>
          <w:rFonts w:asciiTheme="majorBidi" w:eastAsia="Calibri" w:hAnsiTheme="majorBidi" w:cstheme="majorBidi"/>
        </w:rPr>
        <w:t xml:space="preserve"> (1865), and </w:t>
      </w:r>
      <w:r w:rsidRPr="00D159B4">
        <w:rPr>
          <w:rFonts w:asciiTheme="majorBidi" w:eastAsia="Calibri" w:hAnsiTheme="majorBidi" w:cstheme="majorBidi"/>
          <w:i/>
          <w:iCs/>
        </w:rPr>
        <w:t>He Knew He Was Right</w:t>
      </w:r>
      <w:r w:rsidRPr="00D159B4">
        <w:rPr>
          <w:rFonts w:asciiTheme="majorBidi" w:eastAsia="Calibri" w:hAnsiTheme="majorBidi" w:cstheme="majorBidi"/>
        </w:rPr>
        <w:t xml:space="preserve"> (1869) illustrate the physical integration of class and morality into the human body that results from the concurrent revolutions in medical responses to and artistic representations of bodily variation. </w:t>
      </w:r>
    </w:p>
    <w:p w14:paraId="554CB1DA" w14:textId="57DF0174" w:rsidR="00D159B4" w:rsidRPr="00D159B4" w:rsidRDefault="00D159B4" w:rsidP="00D159B4">
      <w:pPr>
        <w:spacing w:line="480" w:lineRule="auto"/>
        <w:ind w:firstLine="720"/>
        <w:rPr>
          <w:rFonts w:asciiTheme="majorBidi" w:eastAsia="Calibri" w:hAnsiTheme="majorBidi" w:cstheme="majorBidi"/>
        </w:rPr>
      </w:pPr>
      <w:r w:rsidRPr="00D159B4">
        <w:rPr>
          <w:rFonts w:asciiTheme="majorBidi" w:eastAsia="Calibri" w:hAnsiTheme="majorBidi" w:cstheme="majorBidi"/>
        </w:rPr>
        <w:t>Additionally, the material conditions of discourse and circulation played a prominent role in the perception of scientific and medical praxis in the nineteenth-century British cultural imagination. Nonfiction pieces expounding on scientific ethics and innovations as well as new medical procedures routinely appeared alongside the latest installations of serialized fiction in popular publications. Charles Dickens, for instance, catalogued surgical updates on the “rules for restoring suspended animation in the human body” while espousing antivivisection rhetoric in the same periodical—</w:t>
      </w:r>
      <w:r w:rsidRPr="00D159B4">
        <w:rPr>
          <w:rFonts w:asciiTheme="majorBidi" w:eastAsia="Calibri" w:hAnsiTheme="majorBidi" w:cstheme="majorBidi"/>
          <w:i/>
        </w:rPr>
        <w:t>All the Year Round</w:t>
      </w:r>
      <w:r w:rsidRPr="00D159B4">
        <w:rPr>
          <w:rFonts w:asciiTheme="majorBidi" w:eastAsia="Calibri" w:hAnsiTheme="majorBidi" w:cstheme="majorBidi"/>
        </w:rPr>
        <w:t xml:space="preserve">—in which prominent novelists including Wilkie Collins, Anthony Trollope, Edward Bulwer-Lytton, and Elizabeth Gaskell printed their works of </w:t>
      </w:r>
      <w:r w:rsidRPr="00D159B4">
        <w:rPr>
          <w:rFonts w:asciiTheme="majorBidi" w:eastAsia="Calibri" w:hAnsiTheme="majorBidi" w:cstheme="majorBidi"/>
        </w:rPr>
        <w:lastRenderedPageBreak/>
        <w:t xml:space="preserve">fiction (“Inhumane Humanity” 240). In many such publications voraciously consumed by the public, then, the aesthetics of social criticism and fiction fused, refracting the variously </w:t>
      </w:r>
      <w:r w:rsidR="00C13C85">
        <w:rPr>
          <w:rFonts w:asciiTheme="majorBidi" w:eastAsia="Calibri" w:hAnsiTheme="majorBidi" w:cstheme="majorBidi"/>
        </w:rPr>
        <w:t xml:space="preserve">renditions </w:t>
      </w:r>
      <w:r w:rsidRPr="00D159B4">
        <w:rPr>
          <w:rFonts w:asciiTheme="majorBidi" w:eastAsia="Calibri" w:hAnsiTheme="majorBidi" w:cstheme="majorBidi"/>
        </w:rPr>
        <w:t>of disability therein. The influence and shaping contributions of nineteenth-century print culture thus stands as another potential set of aesthetic and technological discourses we may look to in reading the production of disability and the physicality of literature during this period.</w:t>
      </w:r>
    </w:p>
    <w:p w14:paraId="7A4FCDE9" w14:textId="77777777" w:rsidR="00D159B4" w:rsidRPr="00D159B4" w:rsidRDefault="00D159B4" w:rsidP="00D159B4">
      <w:pPr>
        <w:spacing w:line="480" w:lineRule="auto"/>
        <w:rPr>
          <w:rFonts w:asciiTheme="majorBidi" w:eastAsia="Calibri" w:hAnsiTheme="majorBidi" w:cstheme="majorBidi"/>
        </w:rPr>
      </w:pPr>
      <w:r w:rsidRPr="00D159B4">
        <w:rPr>
          <w:rFonts w:asciiTheme="majorBidi" w:eastAsia="Calibri" w:hAnsiTheme="majorBidi" w:cstheme="majorBidi"/>
        </w:rPr>
        <w:tab/>
        <w:t>The tack of embodiment pursued in Gothic and sensation novels of the period tends, somewhat paradoxically, to exacerbate abstraction by, to borrow Youngquist’s phrasing, materializing “transformative forces, haunting the proper body in the abject shape of change” (</w:t>
      </w:r>
      <w:r w:rsidRPr="00D159B4">
        <w:rPr>
          <w:rFonts w:asciiTheme="majorBidi" w:eastAsia="Calibri" w:hAnsiTheme="majorBidi" w:cstheme="majorBidi"/>
          <w:i/>
          <w:iCs/>
        </w:rPr>
        <w:t>Monstrosities</w:t>
      </w:r>
      <w:r w:rsidRPr="00D159B4">
        <w:rPr>
          <w:rFonts w:asciiTheme="majorBidi" w:eastAsia="Calibri" w:hAnsiTheme="majorBidi" w:cstheme="majorBidi"/>
        </w:rPr>
        <w:t xml:space="preserve"> 9). Put another way, these genres often achieve an aesthetics of terror through a shift away from the “norm of proper embodiment” (Ibid.). While this shift may take the form of deficit, it can also create monstrosity via corporeal excess. As I discuss in Chapter I, Mary Shelley’s </w:t>
      </w:r>
      <w:r w:rsidRPr="00D159B4">
        <w:rPr>
          <w:rFonts w:asciiTheme="majorBidi" w:eastAsia="Calibri" w:hAnsiTheme="majorBidi" w:cstheme="majorBidi"/>
          <w:i/>
        </w:rPr>
        <w:t>Frankenstein</w:t>
      </w:r>
      <w:r w:rsidRPr="00D159B4">
        <w:rPr>
          <w:rFonts w:asciiTheme="majorBidi" w:eastAsia="Calibri" w:hAnsiTheme="majorBidi" w:cstheme="majorBidi"/>
        </w:rPr>
        <w:t xml:space="preserve"> (1818) provides such an example of a Gothic aesthetic of abjection in her creation of an individual that confounds normative notions of ability or fitness by exceeding them, that is inhuman because he is superhuman. The </w:t>
      </w:r>
      <w:proofErr w:type="gramStart"/>
      <w:r w:rsidRPr="00D159B4">
        <w:rPr>
          <w:rFonts w:asciiTheme="majorBidi" w:eastAsia="Calibri" w:hAnsiTheme="majorBidi" w:cstheme="majorBidi"/>
        </w:rPr>
        <w:t>Creature</w:t>
      </w:r>
      <w:proofErr w:type="gramEnd"/>
      <w:r w:rsidRPr="00D159B4">
        <w:rPr>
          <w:rFonts w:asciiTheme="majorBidi" w:eastAsia="Calibri" w:hAnsiTheme="majorBidi" w:cstheme="majorBidi"/>
        </w:rPr>
        <w:t xml:space="preserve"> reads his physical superiority as defect because that is how the novel’s normative characters read it. Speaking to Victor Frankenstein, the Creature explains, “I was not even of the same nature as man. I was more agile than they . . . I bore the extremes of heat and cold with less injury to my frame; my stature far exceeded their’s” (83). Corporeal excess and unevenness become sites of monstrous deviation. Jack Halberstam’s reading of </w:t>
      </w:r>
      <w:r w:rsidRPr="00D159B4">
        <w:rPr>
          <w:rFonts w:asciiTheme="majorBidi" w:eastAsia="Calibri" w:hAnsiTheme="majorBidi" w:cstheme="majorBidi"/>
          <w:i/>
        </w:rPr>
        <w:t>Frankenstein</w:t>
      </w:r>
      <w:r w:rsidRPr="00D159B4">
        <w:rPr>
          <w:rFonts w:asciiTheme="majorBidi" w:eastAsia="Calibri" w:hAnsiTheme="majorBidi" w:cstheme="majorBidi"/>
        </w:rPr>
        <w:t>, which proceeds under the auspices of feminist and queer studies, argues that Shelley’s novel incites fear by constructing a “paranoia about boundaries” (</w:t>
      </w:r>
      <w:r w:rsidRPr="00D159B4">
        <w:rPr>
          <w:rFonts w:asciiTheme="majorBidi" w:eastAsia="Calibri" w:hAnsiTheme="majorBidi" w:cstheme="majorBidi"/>
          <w:i/>
        </w:rPr>
        <w:t>Skin Shows</w:t>
      </w:r>
      <w:r w:rsidRPr="00D159B4">
        <w:rPr>
          <w:rFonts w:asciiTheme="majorBidi" w:eastAsia="Calibri" w:hAnsiTheme="majorBidi" w:cstheme="majorBidi"/>
        </w:rPr>
        <w:t xml:space="preserve"> 36). And while Halberstam’s interpretation centers on national and racial boundaries, I would further contend that the novel produces the Gothic genre’s trademark climate of fear by stretching and challenging the physical boundaries of proper embodiment.</w:t>
      </w:r>
    </w:p>
    <w:p w14:paraId="629B5C0D" w14:textId="0908A2E8" w:rsidR="00D159B4" w:rsidRPr="00D159B4" w:rsidRDefault="00D159B4" w:rsidP="00D159B4">
      <w:pPr>
        <w:spacing w:line="480" w:lineRule="auto"/>
        <w:rPr>
          <w:rFonts w:asciiTheme="majorBidi" w:eastAsia="Calibri" w:hAnsiTheme="majorBidi" w:cstheme="majorBidi"/>
        </w:rPr>
      </w:pPr>
      <w:r w:rsidRPr="00D159B4">
        <w:rPr>
          <w:rFonts w:asciiTheme="majorBidi" w:eastAsia="Calibri" w:hAnsiTheme="majorBidi" w:cstheme="majorBidi"/>
        </w:rPr>
        <w:lastRenderedPageBreak/>
        <w:tab/>
        <w:t>Authors of sensation fiction, too, astonished and appalled via intensified points of somatic contrast, frequently reinforcing notions of normativity by dramatizing physical difference. Disabled figures in Wilkie Collins’s novels, for example, serve to shock, surprise, or otherwise disturb readers. And among them—</w:t>
      </w:r>
      <w:r w:rsidRPr="00D159B4">
        <w:rPr>
          <w:rFonts w:asciiTheme="majorBidi" w:eastAsia="Calibri" w:hAnsiTheme="majorBidi" w:cstheme="majorBidi"/>
          <w:i/>
        </w:rPr>
        <w:t>The Moonstone</w:t>
      </w:r>
      <w:r w:rsidRPr="00D159B4">
        <w:rPr>
          <w:rFonts w:asciiTheme="majorBidi" w:eastAsia="Calibri" w:hAnsiTheme="majorBidi" w:cstheme="majorBidi"/>
        </w:rPr>
        <w:t xml:space="preserve">’s (1868) Rosanna Spearman and Limping Lucy, </w:t>
      </w:r>
      <w:r w:rsidRPr="00D159B4">
        <w:rPr>
          <w:rFonts w:asciiTheme="majorBidi" w:eastAsia="Calibri" w:hAnsiTheme="majorBidi" w:cstheme="majorBidi"/>
          <w:i/>
        </w:rPr>
        <w:t>Poor Miss Finch</w:t>
      </w:r>
      <w:r w:rsidRPr="00D159B4">
        <w:rPr>
          <w:rFonts w:asciiTheme="majorBidi" w:eastAsia="Calibri" w:hAnsiTheme="majorBidi" w:cstheme="majorBidi"/>
        </w:rPr>
        <w:t>’s (1872) Lucilla Finch to name a</w:t>
      </w:r>
      <w:r w:rsidR="00C13C85">
        <w:rPr>
          <w:rFonts w:asciiTheme="majorBidi" w:eastAsia="Calibri" w:hAnsiTheme="majorBidi" w:cstheme="majorBidi"/>
        </w:rPr>
        <w:t xml:space="preserve"> </w:t>
      </w:r>
      <w:r w:rsidRPr="00D159B4">
        <w:rPr>
          <w:rFonts w:asciiTheme="majorBidi" w:eastAsia="Calibri" w:hAnsiTheme="majorBidi" w:cstheme="majorBidi"/>
        </w:rPr>
        <w:t>few—</w:t>
      </w:r>
      <w:r w:rsidRPr="00D159B4">
        <w:rPr>
          <w:rFonts w:asciiTheme="majorBidi" w:eastAsia="Calibri" w:hAnsiTheme="majorBidi" w:cstheme="majorBidi"/>
          <w:i/>
        </w:rPr>
        <w:t>The Law and the Lady</w:t>
      </w:r>
      <w:r w:rsidRPr="00D159B4">
        <w:rPr>
          <w:rFonts w:asciiTheme="majorBidi" w:eastAsia="Calibri" w:hAnsiTheme="majorBidi" w:cstheme="majorBidi"/>
        </w:rPr>
        <w:t xml:space="preserve">’s (1875) Miserrimus Dexter emerges as perhaps the most recognizable of Collins’s eccentric disabled characters. The novel, much like </w:t>
      </w:r>
      <w:r w:rsidRPr="00D159B4">
        <w:rPr>
          <w:rFonts w:asciiTheme="majorBidi" w:eastAsia="Calibri" w:hAnsiTheme="majorBidi" w:cstheme="majorBidi"/>
          <w:i/>
        </w:rPr>
        <w:t>Frankenstein</w:t>
      </w:r>
      <w:r w:rsidRPr="00D159B4">
        <w:rPr>
          <w:rFonts w:asciiTheme="majorBidi" w:eastAsia="Calibri" w:hAnsiTheme="majorBidi" w:cstheme="majorBidi"/>
        </w:rPr>
        <w:t xml:space="preserve">, represents the deviant body as an unsettling amalgamation of human, animal, and machine: a confusing aggregation of parts and sensations that deliberately distracts from a synthesized impression of the character himself. Valeria describes him in one instance as “man and machinery blended in one—the new Centaur, half man, half chair” (206), at another as a “limbless body” posing “bird-like” or hopping “like a monstrous frog” (259). Dexter’s wheelchair functions as both an integral and separable part of his body; the wheelchair’s presence or absence does not decrease the degree of Dexter’s monstrosity but only changes the </w:t>
      </w:r>
      <w:r w:rsidRPr="00D159B4">
        <w:rPr>
          <w:rFonts w:asciiTheme="majorBidi" w:eastAsia="Calibri" w:hAnsiTheme="majorBidi" w:cstheme="majorBidi"/>
          <w:i/>
        </w:rPr>
        <w:t>kind</w:t>
      </w:r>
      <w:r w:rsidRPr="00D159B4">
        <w:rPr>
          <w:rFonts w:asciiTheme="majorBidi" w:eastAsia="Calibri" w:hAnsiTheme="majorBidi" w:cstheme="majorBidi"/>
        </w:rPr>
        <w:t xml:space="preserve"> of monstrosity that he embodies. In this sense, </w:t>
      </w:r>
      <w:r w:rsidRPr="00D159B4">
        <w:rPr>
          <w:rFonts w:asciiTheme="majorBidi" w:eastAsia="Calibri" w:hAnsiTheme="majorBidi" w:cstheme="majorBidi"/>
          <w:i/>
        </w:rPr>
        <w:t>The Law and the Lady</w:t>
      </w:r>
      <w:r w:rsidRPr="00D159B4">
        <w:rPr>
          <w:rFonts w:asciiTheme="majorBidi" w:eastAsia="Calibri" w:hAnsiTheme="majorBidi" w:cstheme="majorBidi"/>
        </w:rPr>
        <w:t xml:space="preserve"> incorporates the same aesthetics of abjection that underpins representations of disability in Gothic novels like </w:t>
      </w:r>
      <w:r w:rsidRPr="00D159B4">
        <w:rPr>
          <w:rFonts w:asciiTheme="majorBidi" w:eastAsia="Calibri" w:hAnsiTheme="majorBidi" w:cstheme="majorBidi"/>
          <w:i/>
        </w:rPr>
        <w:t>Frankenstein</w:t>
      </w:r>
      <w:r w:rsidRPr="00D159B4">
        <w:rPr>
          <w:rFonts w:asciiTheme="majorBidi" w:eastAsia="Calibri" w:hAnsiTheme="majorBidi" w:cstheme="majorBidi"/>
        </w:rPr>
        <w:t xml:space="preserve">. </w:t>
      </w:r>
    </w:p>
    <w:p w14:paraId="7D275B06" w14:textId="59EE1A23" w:rsidR="00D159B4" w:rsidRPr="00D159B4" w:rsidRDefault="00D159B4" w:rsidP="00D159B4">
      <w:pPr>
        <w:spacing w:line="480" w:lineRule="auto"/>
        <w:rPr>
          <w:rFonts w:asciiTheme="majorBidi" w:eastAsia="Calibri" w:hAnsiTheme="majorBidi" w:cstheme="majorBidi"/>
        </w:rPr>
      </w:pPr>
      <w:r w:rsidRPr="00D159B4">
        <w:rPr>
          <w:rFonts w:asciiTheme="majorBidi" w:eastAsia="Calibri" w:hAnsiTheme="majorBidi" w:cstheme="majorBidi"/>
        </w:rPr>
        <w:tab/>
        <w:t>Authors of social realism (those of Trollope’s ilk), though, deal less in abjection and radical monstrosity than in aesthetics of loss or violation. In effect, they translate abstractions (</w:t>
      </w:r>
      <w:r w:rsidR="00AE126F" w:rsidRPr="00D159B4">
        <w:rPr>
          <w:rFonts w:asciiTheme="majorBidi" w:eastAsia="Calibri" w:hAnsiTheme="majorBidi" w:cstheme="majorBidi"/>
        </w:rPr>
        <w:t>e.g.,</w:t>
      </w:r>
      <w:r w:rsidRPr="00D159B4">
        <w:rPr>
          <w:rFonts w:asciiTheme="majorBidi" w:eastAsia="Calibri" w:hAnsiTheme="majorBidi" w:cstheme="majorBidi"/>
        </w:rPr>
        <w:t xml:space="preserve"> of loss or misfortune) into embodiments of defect or disability to produce a norm of embodiment through which threats to holistic integrity can be considered or quantified. George Eliot’s </w:t>
      </w:r>
      <w:r w:rsidRPr="00D159B4">
        <w:rPr>
          <w:rFonts w:asciiTheme="majorBidi" w:eastAsia="Calibri" w:hAnsiTheme="majorBidi" w:cstheme="majorBidi"/>
          <w:i/>
        </w:rPr>
        <w:t>Middlemarch</w:t>
      </w:r>
      <w:r w:rsidRPr="00D159B4">
        <w:rPr>
          <w:rFonts w:asciiTheme="majorBidi" w:eastAsia="Calibri" w:hAnsiTheme="majorBidi" w:cstheme="majorBidi"/>
        </w:rPr>
        <w:t xml:space="preserve"> (1871-2) provides one such example of how the figuring of disability can function as a vehicle for objectifying affect. In picturing a Dorothea-less life, Will Ladislaw, the narrator articulates, feels “there was no more foretaste of enjoyment in the life before him than if </w:t>
      </w:r>
      <w:r w:rsidRPr="00D159B4">
        <w:rPr>
          <w:rFonts w:asciiTheme="majorBidi" w:eastAsia="Calibri" w:hAnsiTheme="majorBidi" w:cstheme="majorBidi"/>
        </w:rPr>
        <w:lastRenderedPageBreak/>
        <w:t>his limbs had been lopped off and he was making his fresh start on crutches” (754).</w:t>
      </w:r>
      <w:r w:rsidRPr="00D159B4">
        <w:rPr>
          <w:rFonts w:asciiTheme="majorBidi" w:eastAsia="Calibri" w:hAnsiTheme="majorBidi" w:cstheme="majorBidi"/>
          <w:vertAlign w:val="superscript"/>
        </w:rPr>
        <w:footnoteReference w:id="92"/>
      </w:r>
      <w:r w:rsidRPr="00D159B4">
        <w:rPr>
          <w:rFonts w:asciiTheme="majorBidi" w:eastAsia="Calibri" w:hAnsiTheme="majorBidi" w:cstheme="majorBidi"/>
        </w:rPr>
        <w:t xml:space="preserve"> The twinned metaphors of amputation and prosthesis objectify Ladislaw’s grief on a number of levels. The imagined loss of Dorothea here unmans Ladislaw, rendering him unnaturally inert and ineffectual.</w:t>
      </w:r>
      <w:r w:rsidRPr="00D159B4">
        <w:rPr>
          <w:rFonts w:asciiTheme="majorBidi" w:eastAsia="Calibri" w:hAnsiTheme="majorBidi" w:cstheme="majorBidi"/>
          <w:vertAlign w:val="superscript"/>
        </w:rPr>
        <w:footnoteReference w:id="93"/>
      </w:r>
      <w:r w:rsidRPr="00D159B4">
        <w:rPr>
          <w:rFonts w:asciiTheme="majorBidi" w:eastAsia="Calibri" w:hAnsiTheme="majorBidi" w:cstheme="majorBidi"/>
        </w:rPr>
        <w:t xml:space="preserve"> And the prosthetic objects, the crutches, would serve only as a crude reminder of what he has lost. The narrative represents prosthesis as a reification of the disabled body that, again, reinforces notions of the proper body, the proper psyche. Prosthesis in this sense, as David Wills argues, “is necessarily a transfer into otherness, articulated through the radical alterity of ablation as loss of integrity” (</w:t>
      </w:r>
      <w:r w:rsidRPr="00D159B4">
        <w:rPr>
          <w:rFonts w:asciiTheme="majorBidi" w:eastAsia="Calibri" w:hAnsiTheme="majorBidi" w:cstheme="majorBidi"/>
          <w:i/>
        </w:rPr>
        <w:t>Prosthesis</w:t>
      </w:r>
      <w:r w:rsidRPr="00D159B4">
        <w:rPr>
          <w:rFonts w:asciiTheme="majorBidi" w:eastAsia="Calibri" w:hAnsiTheme="majorBidi" w:cstheme="majorBidi"/>
        </w:rPr>
        <w:t xml:space="preserve"> 12-13). The figurative translation of Ladislaw’s injury thus embodies what David Mitchell and Sharon Snyder identify as the “ruse of prosthesis” in which the prosthetic always “fails in its primary objective: to return the incomplete body to the invisible status of a normative essence” (</w:t>
      </w:r>
      <w:r w:rsidRPr="00D159B4">
        <w:rPr>
          <w:rFonts w:asciiTheme="majorBidi" w:eastAsia="Calibri" w:hAnsiTheme="majorBidi" w:cstheme="majorBidi"/>
          <w:i/>
          <w:iCs/>
        </w:rPr>
        <w:t>Narrative Prosthesis</w:t>
      </w:r>
      <w:r w:rsidRPr="00D159B4">
        <w:rPr>
          <w:rFonts w:asciiTheme="majorBidi" w:eastAsia="Calibri" w:hAnsiTheme="majorBidi" w:cstheme="majorBidi"/>
        </w:rPr>
        <w:t xml:space="preserve"> 8). The “fresh start” Ladislaw imagines on crutches, then, articulates his recognition of how he, like </w:t>
      </w:r>
      <w:r w:rsidR="00C13C85">
        <w:rPr>
          <w:rFonts w:asciiTheme="majorBidi" w:eastAsia="Calibri" w:hAnsiTheme="majorBidi" w:cstheme="majorBidi"/>
        </w:rPr>
        <w:t>the</w:t>
      </w:r>
      <w:r w:rsidRPr="00D159B4">
        <w:rPr>
          <w:rFonts w:asciiTheme="majorBidi" w:eastAsia="Calibri" w:hAnsiTheme="majorBidi" w:cstheme="majorBidi"/>
        </w:rPr>
        <w:t xml:space="preserve"> disabled bod</w:t>
      </w:r>
      <w:r w:rsidR="00C13C85">
        <w:rPr>
          <w:rFonts w:asciiTheme="majorBidi" w:eastAsia="Calibri" w:hAnsiTheme="majorBidi" w:cstheme="majorBidi"/>
        </w:rPr>
        <w:t>y</w:t>
      </w:r>
      <w:r w:rsidRPr="00D159B4">
        <w:rPr>
          <w:rFonts w:asciiTheme="majorBidi" w:eastAsia="Calibri" w:hAnsiTheme="majorBidi" w:cstheme="majorBidi"/>
        </w:rPr>
        <w:t>, will inhabit “a troubled and troubling position within culture” (Ibid.). Metaphor, in this instance, reifies pathological identification and the shortcomings of medical technology.</w:t>
      </w:r>
    </w:p>
    <w:p w14:paraId="69DC027E" w14:textId="77777777" w:rsidR="00D159B4" w:rsidRPr="00D159B4" w:rsidRDefault="00D159B4" w:rsidP="00D159B4">
      <w:pPr>
        <w:spacing w:line="480" w:lineRule="auto"/>
        <w:rPr>
          <w:rFonts w:asciiTheme="majorBidi" w:eastAsia="Calibri" w:hAnsiTheme="majorBidi" w:cstheme="majorBidi"/>
        </w:rPr>
      </w:pPr>
      <w:r w:rsidRPr="00D159B4">
        <w:rPr>
          <w:rFonts w:asciiTheme="majorBidi" w:eastAsia="Calibri" w:hAnsiTheme="majorBidi" w:cstheme="majorBidi"/>
        </w:rPr>
        <w:tab/>
        <w:t xml:space="preserve">Eschewing the affective brand of metaphors that would later appear in </w:t>
      </w:r>
      <w:r w:rsidRPr="00D159B4">
        <w:rPr>
          <w:rFonts w:asciiTheme="majorBidi" w:eastAsia="Calibri" w:hAnsiTheme="majorBidi" w:cstheme="majorBidi"/>
          <w:i/>
        </w:rPr>
        <w:t>Middlemarch</w:t>
      </w:r>
      <w:r w:rsidRPr="00D159B4">
        <w:rPr>
          <w:rFonts w:asciiTheme="majorBidi" w:eastAsia="Calibri" w:hAnsiTheme="majorBidi" w:cstheme="majorBidi"/>
        </w:rPr>
        <w:t>,</w:t>
      </w:r>
      <w:r w:rsidRPr="00D159B4">
        <w:rPr>
          <w:rFonts w:asciiTheme="majorBidi" w:eastAsia="Calibri" w:hAnsiTheme="majorBidi" w:cstheme="majorBidi"/>
          <w:i/>
        </w:rPr>
        <w:t xml:space="preserve"> </w:t>
      </w:r>
      <w:r w:rsidRPr="00D159B4">
        <w:rPr>
          <w:rFonts w:asciiTheme="majorBidi" w:eastAsia="Calibri" w:hAnsiTheme="majorBidi" w:cstheme="majorBidi"/>
        </w:rPr>
        <w:t xml:space="preserve">Anthony Trollope’s </w:t>
      </w:r>
      <w:r w:rsidRPr="00D159B4">
        <w:rPr>
          <w:rFonts w:asciiTheme="majorBidi" w:eastAsia="Calibri" w:hAnsiTheme="majorBidi" w:cstheme="majorBidi"/>
          <w:i/>
        </w:rPr>
        <w:t>Barchester Towers</w:t>
      </w:r>
      <w:r w:rsidRPr="00D159B4">
        <w:rPr>
          <w:rFonts w:asciiTheme="majorBidi" w:eastAsia="Calibri" w:hAnsiTheme="majorBidi" w:cstheme="majorBidi"/>
        </w:rPr>
        <w:t xml:space="preserve"> (1857) depicts disability as the upshot of compromised sexual integrity and prosthesis as the medium of embodying that moral lapse. In one respect, Madeline Neroni’s (née Stanhope) assistive device acts—both medically and artistically—as a </w:t>
      </w:r>
      <w:r w:rsidRPr="00D159B4">
        <w:rPr>
          <w:rFonts w:asciiTheme="majorBidi" w:eastAsia="Calibri" w:hAnsiTheme="majorBidi" w:cstheme="majorBidi"/>
        </w:rPr>
        <w:lastRenderedPageBreak/>
        <w:t xml:space="preserve">normative intimation that the “ruined” body can be accommodated but never completely made whole again. Young Madeline Stanhope runs away to Italy, marries a low-ranking Italian captain, and returns six months later “a cripple, and a mother” (66). The narrative implies that an act of domestic violence caused her impairment (though Madeline proffers another account of the accident), and Madeline Neroni literally embodies her “fallen” status in her pregnancy and injury. And while she can cast off the child, she cannot break away from the defects that materialize her violation of the proper, intact female body. What she </w:t>
      </w:r>
      <w:r w:rsidRPr="00D159B4">
        <w:rPr>
          <w:rFonts w:asciiTheme="majorBidi" w:eastAsia="Calibri" w:hAnsiTheme="majorBidi" w:cstheme="majorBidi"/>
          <w:i/>
        </w:rPr>
        <w:t>can</w:t>
      </w:r>
      <w:r w:rsidRPr="00D159B4">
        <w:rPr>
          <w:rFonts w:asciiTheme="majorBidi" w:eastAsia="Calibri" w:hAnsiTheme="majorBidi" w:cstheme="majorBidi"/>
        </w:rPr>
        <w:t xml:space="preserve"> do is participate in the aestheticization of prosthesis to assume some degree of control over the representation of the sexual and physical deviance she embodies. She blends the medical accommodations of an assistive device with the ornamentation of commodity culture in the couch she chooses to be carried around on. The encounters she and others have with the couch while she occupies it objectify the fetishization of the female body, physical difference, and the inanimate objects that intersect with those bodies and re-produce those differences. </w:t>
      </w:r>
    </w:p>
    <w:p w14:paraId="38588BCB" w14:textId="77777777" w:rsidR="00D159B4" w:rsidRPr="00D159B4" w:rsidRDefault="00D159B4" w:rsidP="00D159B4">
      <w:pPr>
        <w:spacing w:line="480" w:lineRule="auto"/>
        <w:rPr>
          <w:rFonts w:asciiTheme="majorBidi" w:eastAsia="Calibri" w:hAnsiTheme="majorBidi" w:cstheme="majorBidi"/>
          <w:szCs w:val="22"/>
        </w:rPr>
      </w:pPr>
      <w:r w:rsidRPr="00D159B4">
        <w:rPr>
          <w:rFonts w:asciiTheme="majorBidi" w:eastAsia="Calibri" w:hAnsiTheme="majorBidi" w:cstheme="majorBidi"/>
          <w:szCs w:val="22"/>
        </w:rPr>
        <w:tab/>
        <w:t xml:space="preserve">In their introduction to </w:t>
      </w:r>
      <w:r w:rsidRPr="00D159B4">
        <w:rPr>
          <w:rFonts w:asciiTheme="majorBidi" w:eastAsia="Calibri" w:hAnsiTheme="majorBidi" w:cstheme="majorBidi"/>
          <w:i/>
          <w:szCs w:val="22"/>
        </w:rPr>
        <w:t>The Cambridge Companion to Anthony Trollope</w:t>
      </w:r>
      <w:r w:rsidRPr="00D159B4">
        <w:rPr>
          <w:rFonts w:asciiTheme="majorBidi" w:eastAsia="Calibri" w:hAnsiTheme="majorBidi" w:cstheme="majorBidi"/>
          <w:szCs w:val="22"/>
        </w:rPr>
        <w:t xml:space="preserve"> (2011), Carolyn Dever and Lisa Niles assert that “in a modern world . . . the Victorians’ Anthony Trollope has never been more valuable in our efforts to explain ourselves to ourselves” (5). And yet we find “ourselves” limited in one rather critical respect; in forty-seven novels, Trollope generated only a small handful of characters with disabilities. In fact, much like animals and children, characters with disabilities are all but nonexistent in Trollope’s oeuvre. But in spite of Trollope’s own wooden engagement with disability—his apparent discomfort with where and how to place characters with physical disabilities—his depictions of augmented mobility (few and far between as they may be) elucidate the way in which prosthetics in the nineteenth century contributed to an evolving technology of self-performance and social circulation—but only to a point.</w:t>
      </w:r>
    </w:p>
    <w:p w14:paraId="37F7B36D" w14:textId="16CECF8A" w:rsidR="00D159B4" w:rsidRPr="00D159B4" w:rsidRDefault="00D159B4" w:rsidP="00D159B4">
      <w:pPr>
        <w:spacing w:line="480" w:lineRule="auto"/>
        <w:rPr>
          <w:rFonts w:asciiTheme="majorBidi" w:eastAsia="Calibri" w:hAnsiTheme="majorBidi" w:cstheme="majorBidi"/>
          <w:szCs w:val="22"/>
        </w:rPr>
      </w:pPr>
      <w:r w:rsidRPr="00D159B4">
        <w:rPr>
          <w:rFonts w:asciiTheme="majorBidi" w:eastAsia="Calibri" w:hAnsiTheme="majorBidi" w:cstheme="majorBidi"/>
          <w:szCs w:val="22"/>
        </w:rPr>
        <w:lastRenderedPageBreak/>
        <w:tab/>
      </w:r>
      <w:r w:rsidRPr="00D159B4">
        <w:rPr>
          <w:rFonts w:asciiTheme="majorBidi" w:eastAsia="Calibri" w:hAnsiTheme="majorBidi" w:cstheme="majorBidi"/>
          <w:i/>
          <w:szCs w:val="22"/>
        </w:rPr>
        <w:t>He Knew He Was Right</w:t>
      </w:r>
      <w:r w:rsidRPr="00D159B4">
        <w:rPr>
          <w:rFonts w:asciiTheme="majorBidi" w:eastAsia="Calibri" w:hAnsiTheme="majorBidi" w:cstheme="majorBidi"/>
          <w:szCs w:val="22"/>
        </w:rPr>
        <w:t xml:space="preserve">, </w:t>
      </w:r>
      <w:r w:rsidRPr="00D159B4">
        <w:rPr>
          <w:rFonts w:asciiTheme="majorBidi" w:eastAsia="Calibri" w:hAnsiTheme="majorBidi" w:cstheme="majorBidi"/>
          <w:i/>
          <w:szCs w:val="22"/>
        </w:rPr>
        <w:t>Barchester Towers</w:t>
      </w:r>
      <w:r w:rsidRPr="00D159B4">
        <w:rPr>
          <w:rFonts w:asciiTheme="majorBidi" w:eastAsia="Calibri" w:hAnsiTheme="majorBidi" w:cstheme="majorBidi"/>
          <w:szCs w:val="22"/>
        </w:rPr>
        <w:t xml:space="preserve">, and </w:t>
      </w:r>
      <w:r w:rsidRPr="00D159B4">
        <w:rPr>
          <w:rFonts w:asciiTheme="majorBidi" w:eastAsia="Calibri" w:hAnsiTheme="majorBidi" w:cstheme="majorBidi"/>
          <w:i/>
          <w:szCs w:val="22"/>
        </w:rPr>
        <w:t>The Belton Estate</w:t>
      </w:r>
      <w:r w:rsidRPr="00D159B4">
        <w:rPr>
          <w:rFonts w:asciiTheme="majorBidi" w:eastAsia="Calibri" w:hAnsiTheme="majorBidi" w:cstheme="majorBidi"/>
          <w:szCs w:val="22"/>
        </w:rPr>
        <w:t xml:space="preserve"> comprise the few novels by Trollope that do include characters with physical impairments.</w:t>
      </w:r>
      <w:r w:rsidRPr="00D159B4">
        <w:rPr>
          <w:rFonts w:asciiTheme="majorBidi" w:eastAsia="Calibri" w:hAnsiTheme="majorBidi" w:cstheme="majorBidi"/>
          <w:szCs w:val="22"/>
          <w:vertAlign w:val="superscript"/>
        </w:rPr>
        <w:footnoteReference w:id="94"/>
      </w:r>
      <w:r w:rsidRPr="00D159B4">
        <w:rPr>
          <w:rFonts w:asciiTheme="majorBidi" w:eastAsia="Calibri" w:hAnsiTheme="majorBidi" w:cstheme="majorBidi"/>
          <w:szCs w:val="22"/>
        </w:rPr>
        <w:t xml:space="preserve"> More often than not, the narrators of these novels relegate the disabled characters to the narrative periphery. They imbricate the characters’ inanimate prostheses with their animate bodies so prominently that they double as one among the cast of minor characters, and their users begin to look like pieces of the nonhuman scenery. (</w:t>
      </w:r>
      <w:r w:rsidRPr="00D159B4">
        <w:rPr>
          <w:rFonts w:asciiTheme="majorBidi" w:eastAsia="Calibri" w:hAnsiTheme="majorBidi" w:cstheme="majorBidi"/>
          <w:i/>
          <w:szCs w:val="22"/>
        </w:rPr>
        <w:t>He Knew He Was Right</w:t>
      </w:r>
      <w:r w:rsidRPr="00D159B4">
        <w:rPr>
          <w:rFonts w:asciiTheme="majorBidi" w:eastAsia="Calibri" w:hAnsiTheme="majorBidi" w:cstheme="majorBidi"/>
          <w:szCs w:val="22"/>
        </w:rPr>
        <w:t>’s wooden-legged postman merely “stumps” around the village at regular intervals.) But in other instances</w:t>
      </w:r>
      <w:r w:rsidR="00C92675">
        <w:rPr>
          <w:rFonts w:asciiTheme="majorBidi" w:eastAsia="Calibri" w:hAnsiTheme="majorBidi" w:cstheme="majorBidi"/>
          <w:szCs w:val="22"/>
        </w:rPr>
        <w:t>,</w:t>
      </w:r>
      <w:r w:rsidRPr="00D159B4">
        <w:rPr>
          <w:rFonts w:asciiTheme="majorBidi" w:eastAsia="Calibri" w:hAnsiTheme="majorBidi" w:cstheme="majorBidi"/>
          <w:szCs w:val="22"/>
        </w:rPr>
        <w:t xml:space="preserve"> Trollope’s </w:t>
      </w:r>
      <w:proofErr w:type="gramStart"/>
      <w:r w:rsidRPr="00D159B4">
        <w:rPr>
          <w:rFonts w:asciiTheme="majorBidi" w:eastAsia="Calibri" w:hAnsiTheme="majorBidi" w:cstheme="majorBidi"/>
          <w:szCs w:val="22"/>
        </w:rPr>
        <w:t>narrators</w:t>
      </w:r>
      <w:proofErr w:type="gramEnd"/>
      <w:r w:rsidRPr="00D159B4">
        <w:rPr>
          <w:rFonts w:asciiTheme="majorBidi" w:eastAsia="Calibri" w:hAnsiTheme="majorBidi" w:cstheme="majorBidi"/>
          <w:szCs w:val="22"/>
        </w:rPr>
        <w:t xml:space="preserve"> gesture toward the human agency of those characters, somewhat counterintuitively, by emphasizing the dynamic concatenation of prosthetic object and prosthetic user—</w:t>
      </w:r>
      <w:r w:rsidRPr="00D159B4">
        <w:rPr>
          <w:rFonts w:asciiTheme="majorBidi" w:eastAsia="Calibri" w:hAnsiTheme="majorBidi" w:cstheme="majorBidi"/>
          <w:i/>
          <w:szCs w:val="22"/>
        </w:rPr>
        <w:t>Barchester Towers</w:t>
      </w:r>
      <w:r w:rsidRPr="00D159B4">
        <w:rPr>
          <w:rFonts w:asciiTheme="majorBidi" w:eastAsia="Calibri" w:hAnsiTheme="majorBidi" w:cstheme="majorBidi"/>
          <w:szCs w:val="22"/>
        </w:rPr>
        <w:t xml:space="preserve">’s Signora Neroni positions herself seductively on her sofa, and </w:t>
      </w:r>
      <w:r w:rsidRPr="00D159B4">
        <w:rPr>
          <w:rFonts w:asciiTheme="majorBidi" w:eastAsia="Calibri" w:hAnsiTheme="majorBidi" w:cstheme="majorBidi"/>
          <w:i/>
          <w:szCs w:val="22"/>
        </w:rPr>
        <w:t>The Belton Estate</w:t>
      </w:r>
      <w:r w:rsidRPr="00D159B4">
        <w:rPr>
          <w:rFonts w:asciiTheme="majorBidi" w:eastAsia="Calibri" w:hAnsiTheme="majorBidi" w:cstheme="majorBidi"/>
          <w:szCs w:val="22"/>
        </w:rPr>
        <w:t xml:space="preserve">’s Mary Belton plays guidance counselor to her brother from her chair. The characters’ association with their chairs, couches, and artificial limbs, though, occasionally becomes something of a double-edged sword: the prosthetic object can aid or compete with the disabled character. These two currents of disability (in both the real and imagined worlds) reflect the messy, uneven way sociomedical responses to physical difference develop over the course of the nineteenth century. </w:t>
      </w:r>
    </w:p>
    <w:p w14:paraId="001F4A36" w14:textId="1D25D7BE" w:rsidR="00C92675" w:rsidRPr="000417F1" w:rsidRDefault="00D159B4" w:rsidP="000417F1">
      <w:pPr>
        <w:spacing w:line="480" w:lineRule="auto"/>
        <w:rPr>
          <w:rFonts w:asciiTheme="majorBidi" w:eastAsia="Calibri" w:hAnsiTheme="majorBidi" w:cstheme="majorBidi"/>
          <w:szCs w:val="22"/>
        </w:rPr>
      </w:pPr>
      <w:r w:rsidRPr="00D159B4">
        <w:rPr>
          <w:rFonts w:asciiTheme="majorBidi" w:eastAsia="Calibri" w:hAnsiTheme="majorBidi" w:cstheme="majorBidi"/>
          <w:szCs w:val="22"/>
        </w:rPr>
        <w:tab/>
        <w:t xml:space="preserve">To what degree does Trollope or </w:t>
      </w:r>
      <w:r w:rsidR="00C92675">
        <w:rPr>
          <w:rFonts w:asciiTheme="majorBidi" w:eastAsia="Calibri" w:hAnsiTheme="majorBidi" w:cstheme="majorBidi"/>
          <w:szCs w:val="22"/>
        </w:rPr>
        <w:t xml:space="preserve">the reader </w:t>
      </w:r>
      <w:r w:rsidRPr="00D159B4">
        <w:rPr>
          <w:rFonts w:asciiTheme="majorBidi" w:eastAsia="Calibri" w:hAnsiTheme="majorBidi" w:cstheme="majorBidi"/>
          <w:szCs w:val="22"/>
        </w:rPr>
        <w:t xml:space="preserve">project feeling or meaning onto the </w:t>
      </w:r>
      <w:r w:rsidRPr="00D159B4">
        <w:rPr>
          <w:rFonts w:asciiTheme="majorBidi" w:eastAsia="Calibri" w:hAnsiTheme="majorBidi" w:cstheme="majorBidi"/>
          <w:i/>
          <w:szCs w:val="22"/>
        </w:rPr>
        <w:t>inanimate</w:t>
      </w:r>
      <w:r w:rsidRPr="00D159B4">
        <w:rPr>
          <w:rFonts w:asciiTheme="majorBidi" w:eastAsia="Calibri" w:hAnsiTheme="majorBidi" w:cstheme="majorBidi"/>
          <w:szCs w:val="22"/>
        </w:rPr>
        <w:t xml:space="preserve"> slate—the “poor man’s stump” or the luxurious sofa? How do mobility aids encourage a collective reevaluation of </w:t>
      </w:r>
      <w:r w:rsidRPr="00D159B4">
        <w:rPr>
          <w:rFonts w:asciiTheme="majorBidi" w:eastAsia="Calibri" w:hAnsiTheme="majorBidi" w:cstheme="majorBidi"/>
          <w:i/>
          <w:szCs w:val="22"/>
        </w:rPr>
        <w:t>social</w:t>
      </w:r>
      <w:r w:rsidRPr="00D159B4">
        <w:rPr>
          <w:rFonts w:asciiTheme="majorBidi" w:eastAsia="Calibri" w:hAnsiTheme="majorBidi" w:cstheme="majorBidi"/>
          <w:szCs w:val="22"/>
        </w:rPr>
        <w:t xml:space="preserve"> mobility or disabled agency? What do the varying metaphoric, metonymic, literal, and relational representations of these prosthetics </w:t>
      </w:r>
      <w:r w:rsidR="00C92675">
        <w:rPr>
          <w:rFonts w:asciiTheme="majorBidi" w:eastAsia="Calibri" w:hAnsiTheme="majorBidi" w:cstheme="majorBidi"/>
          <w:szCs w:val="22"/>
        </w:rPr>
        <w:t>suggest</w:t>
      </w:r>
      <w:r w:rsidRPr="00D159B4">
        <w:rPr>
          <w:rFonts w:asciiTheme="majorBidi" w:eastAsia="Calibri" w:hAnsiTheme="majorBidi" w:cstheme="majorBidi"/>
          <w:szCs w:val="22"/>
        </w:rPr>
        <w:t xml:space="preserve"> about the Victorian </w:t>
      </w:r>
      <w:r w:rsidRPr="00D159B4">
        <w:rPr>
          <w:rFonts w:asciiTheme="majorBidi" w:eastAsia="Calibri" w:hAnsiTheme="majorBidi" w:cstheme="majorBidi"/>
          <w:szCs w:val="22"/>
        </w:rPr>
        <w:lastRenderedPageBreak/>
        <w:t xml:space="preserve">attitude toward bodily variation? And to what extent does the narrative attention paid to these characters’ prostheses or assistive devices detract from the characters themselves? </w:t>
      </w:r>
    </w:p>
    <w:p w14:paraId="286DEBB0" w14:textId="77833899" w:rsidR="00D159B4" w:rsidRPr="00D159B4" w:rsidRDefault="00D159B4" w:rsidP="00D159B4">
      <w:pPr>
        <w:spacing w:line="480" w:lineRule="auto"/>
        <w:rPr>
          <w:rFonts w:asciiTheme="majorBidi" w:eastAsia="Calibri" w:hAnsiTheme="majorBidi" w:cstheme="majorBidi"/>
          <w:b/>
          <w:szCs w:val="22"/>
        </w:rPr>
      </w:pPr>
      <w:r w:rsidRPr="00D159B4">
        <w:rPr>
          <w:rFonts w:asciiTheme="majorBidi" w:eastAsia="Calibri" w:hAnsiTheme="majorBidi" w:cstheme="majorBidi"/>
          <w:b/>
          <w:szCs w:val="22"/>
        </w:rPr>
        <w:t>The Human Prop</w:t>
      </w:r>
    </w:p>
    <w:p w14:paraId="6D581FA1" w14:textId="77777777" w:rsidR="00C92675" w:rsidRDefault="00D159B4" w:rsidP="00D159B4">
      <w:pPr>
        <w:spacing w:line="480" w:lineRule="auto"/>
        <w:rPr>
          <w:rFonts w:asciiTheme="majorBidi" w:eastAsia="Calibri" w:hAnsiTheme="majorBidi" w:cstheme="majorBidi"/>
          <w:color w:val="000000"/>
          <w:szCs w:val="22"/>
          <w:shd w:val="clear" w:color="auto" w:fill="FDFDFD"/>
        </w:rPr>
      </w:pPr>
      <w:r w:rsidRPr="00D159B4">
        <w:rPr>
          <w:rFonts w:asciiTheme="majorBidi" w:eastAsia="Calibri" w:hAnsiTheme="majorBidi" w:cstheme="majorBidi"/>
          <w:szCs w:val="22"/>
        </w:rPr>
        <w:tab/>
        <w:t xml:space="preserve">While portraits of disability are not regular features in Trollope’s work, instances of prosthesis in his novels nearly always collide and intersect with other elements of the character’s identity, typically the character’s socioeconomic position. It can be no accident, then, that Trollope’s amputee postman makes his first appearance in </w:t>
      </w:r>
      <w:r w:rsidRPr="00D159B4">
        <w:rPr>
          <w:rFonts w:asciiTheme="majorBidi" w:eastAsia="Calibri" w:hAnsiTheme="majorBidi" w:cstheme="majorBidi"/>
          <w:i/>
          <w:szCs w:val="22"/>
        </w:rPr>
        <w:t>He Knew He Was Right</w:t>
      </w:r>
      <w:r w:rsidRPr="00D159B4">
        <w:rPr>
          <w:rFonts w:asciiTheme="majorBidi" w:eastAsia="Calibri" w:hAnsiTheme="majorBidi" w:cstheme="majorBidi"/>
          <w:szCs w:val="22"/>
        </w:rPr>
        <w:t xml:space="preserve"> as the indirect object of an inanimate subject. The narrator explains, “The post used to come into Nuncombe Putney at about eight in the morning, carried thither by a wooden-legged man who rode a donkey” (68). The post itself takes precedence over the postman and the two mobility aids between which the narrator inserts his person: the wooden leg and the donkey. (See figure 5 below.) The potential social circulation of the postman remains confined to his occupation—further corroborated by the fact that he is never named or referred to by anything other than his professional title—as dictated by the constraints of his social class.</w:t>
      </w:r>
      <w:r w:rsidRPr="00D159B4">
        <w:rPr>
          <w:rFonts w:asciiTheme="majorBidi" w:eastAsia="Calibri" w:hAnsiTheme="majorBidi" w:cstheme="majorBidi"/>
          <w:szCs w:val="22"/>
          <w:vertAlign w:val="superscript"/>
        </w:rPr>
        <w:footnoteReference w:id="95"/>
      </w:r>
      <w:r w:rsidRPr="00D159B4">
        <w:rPr>
          <w:rFonts w:asciiTheme="majorBidi" w:eastAsia="Calibri" w:hAnsiTheme="majorBidi" w:cstheme="majorBidi"/>
          <w:szCs w:val="22"/>
        </w:rPr>
        <w:t xml:space="preserve"> Man, leg, and donkey in this scene are all parts of the postal machine; the postman occupies little more space than the other objects abutting his person. Rendered even more abstractly, the wooden leg and its geographical range of mobility also function as an informal standard unit of measurement. After leaving Exeter, Dorothy writes to Aunt Stanbury, and, as the narrator describes,</w:t>
      </w:r>
      <w:r w:rsidRPr="00D159B4">
        <w:rPr>
          <w:rFonts w:asciiTheme="majorBidi" w:eastAsia="Calibri" w:hAnsiTheme="majorBidi" w:cstheme="majorBidi"/>
          <w:color w:val="000000"/>
          <w:szCs w:val="22"/>
          <w:shd w:val="clear" w:color="auto" w:fill="FDFDFD"/>
        </w:rPr>
        <w:t xml:space="preserve"> “the correspondence took altogether another form. The cottage in which they now lived was supposed to be beyond the beat of the wooden-legged postman, and therefore it was necessary that they</w:t>
      </w:r>
    </w:p>
    <w:p w14:paraId="099191E6" w14:textId="77777777" w:rsidR="00C92675" w:rsidRPr="00D159B4" w:rsidRDefault="00C92675" w:rsidP="00C92675">
      <w:pPr>
        <w:jc w:val="center"/>
        <w:rPr>
          <w:rFonts w:asciiTheme="majorBidi" w:eastAsia="Calibri" w:hAnsiTheme="majorBidi" w:cstheme="majorBidi"/>
          <w:color w:val="000000"/>
          <w:szCs w:val="22"/>
          <w:shd w:val="clear" w:color="auto" w:fill="FDFDFD"/>
        </w:rPr>
      </w:pPr>
      <w:r w:rsidRPr="00D159B4">
        <w:rPr>
          <w:rFonts w:asciiTheme="majorBidi" w:eastAsia="Calibri" w:hAnsiTheme="majorBidi" w:cstheme="majorBidi"/>
          <w:noProof/>
          <w:szCs w:val="22"/>
        </w:rPr>
        <w:lastRenderedPageBreak/>
        <w:drawing>
          <wp:inline distT="0" distB="0" distL="0" distR="0" wp14:anchorId="27D8E656" wp14:editId="47093859">
            <wp:extent cx="5467007" cy="3487420"/>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19138" cy="3520674"/>
                    </a:xfrm>
                    <a:prstGeom prst="rect">
                      <a:avLst/>
                    </a:prstGeom>
                    <a:noFill/>
                    <a:ln>
                      <a:noFill/>
                    </a:ln>
                  </pic:spPr>
                </pic:pic>
              </a:graphicData>
            </a:graphic>
          </wp:inline>
        </w:drawing>
      </w:r>
      <w:r w:rsidRPr="00D159B4">
        <w:rPr>
          <w:rFonts w:asciiTheme="majorBidi" w:eastAsia="Calibri" w:hAnsiTheme="majorBidi" w:cstheme="majorBidi"/>
          <w:color w:val="000000"/>
          <w:szCs w:val="22"/>
          <w:shd w:val="clear" w:color="auto" w:fill="FDFDFD"/>
        </w:rPr>
        <w:br/>
      </w:r>
    </w:p>
    <w:p w14:paraId="3096E4EB" w14:textId="77777777" w:rsidR="00C92675" w:rsidRPr="00D159B4" w:rsidRDefault="00C92675" w:rsidP="00C92675">
      <w:pPr>
        <w:pStyle w:val="Caption"/>
        <w:jc w:val="center"/>
        <w:rPr>
          <w:rFonts w:asciiTheme="majorBidi" w:hAnsiTheme="majorBidi" w:cstheme="majorBidi"/>
          <w:b w:val="0"/>
          <w:bCs w:val="0"/>
        </w:rPr>
      </w:pPr>
      <w:bookmarkStart w:id="19" w:name="_Toc101797038"/>
      <w:r w:rsidRPr="002A5475">
        <w:rPr>
          <w:rFonts w:asciiTheme="majorBidi" w:hAnsiTheme="majorBidi" w:cstheme="majorBidi"/>
          <w:b w:val="0"/>
          <w:bCs w:val="0"/>
        </w:rPr>
        <w:t xml:space="preserve">Figure </w:t>
      </w:r>
      <w:r w:rsidRPr="002A5475">
        <w:rPr>
          <w:rFonts w:asciiTheme="majorBidi" w:hAnsiTheme="majorBidi" w:cstheme="majorBidi"/>
          <w:b w:val="0"/>
          <w:bCs w:val="0"/>
        </w:rPr>
        <w:fldChar w:fldCharType="begin"/>
      </w:r>
      <w:r w:rsidRPr="002A5475">
        <w:rPr>
          <w:rFonts w:asciiTheme="majorBidi" w:hAnsiTheme="majorBidi" w:cstheme="majorBidi"/>
          <w:b w:val="0"/>
          <w:bCs w:val="0"/>
        </w:rPr>
        <w:instrText xml:space="preserve"> SEQ Figure \* ARABIC </w:instrText>
      </w:r>
      <w:r w:rsidRPr="002A5475">
        <w:rPr>
          <w:rFonts w:asciiTheme="majorBidi" w:hAnsiTheme="majorBidi" w:cstheme="majorBidi"/>
          <w:b w:val="0"/>
          <w:bCs w:val="0"/>
        </w:rPr>
        <w:fldChar w:fldCharType="separate"/>
      </w:r>
      <w:r>
        <w:rPr>
          <w:rFonts w:asciiTheme="majorBidi" w:hAnsiTheme="majorBidi" w:cstheme="majorBidi"/>
          <w:b w:val="0"/>
          <w:bCs w:val="0"/>
          <w:noProof/>
        </w:rPr>
        <w:t>5</w:t>
      </w:r>
      <w:r w:rsidRPr="002A5475">
        <w:rPr>
          <w:rFonts w:asciiTheme="majorBidi" w:hAnsiTheme="majorBidi" w:cstheme="majorBidi"/>
          <w:b w:val="0"/>
          <w:bCs w:val="0"/>
        </w:rPr>
        <w:fldChar w:fldCharType="end"/>
      </w:r>
      <w:r w:rsidRPr="002A5475">
        <w:rPr>
          <w:rFonts w:asciiTheme="majorBidi" w:hAnsiTheme="majorBidi" w:cstheme="majorBidi"/>
          <w:b w:val="0"/>
          <w:bCs w:val="0"/>
        </w:rPr>
        <w:t>: The Wooden-Legged Postman</w:t>
      </w:r>
      <w:r w:rsidRPr="00D159B4">
        <w:rPr>
          <w:rFonts w:asciiTheme="majorBidi" w:eastAsia="Calibri" w:hAnsiTheme="majorBidi" w:cstheme="majorBidi"/>
          <w:b w:val="0"/>
          <w:bCs w:val="0"/>
          <w:color w:val="000000"/>
          <w:szCs w:val="22"/>
          <w:shd w:val="clear" w:color="auto" w:fill="FDFDFD"/>
        </w:rPr>
        <w:t xml:space="preserve">. “The wooden-legged postman of Nuncombe Putney.” Illustration from Vol. I of </w:t>
      </w:r>
      <w:r w:rsidRPr="00D159B4">
        <w:rPr>
          <w:rFonts w:asciiTheme="majorBidi" w:eastAsia="Calibri" w:hAnsiTheme="majorBidi" w:cstheme="majorBidi"/>
          <w:b w:val="0"/>
          <w:bCs w:val="0"/>
          <w:i/>
          <w:iCs/>
          <w:color w:val="000000"/>
          <w:szCs w:val="22"/>
          <w:shd w:val="clear" w:color="auto" w:fill="FDFDFD"/>
        </w:rPr>
        <w:t>He Knew He Was Right</w:t>
      </w:r>
      <w:r w:rsidRPr="00D159B4">
        <w:rPr>
          <w:rFonts w:asciiTheme="majorBidi" w:eastAsia="Calibri" w:hAnsiTheme="majorBidi" w:cstheme="majorBidi"/>
          <w:b w:val="0"/>
          <w:bCs w:val="0"/>
          <w:color w:val="000000"/>
          <w:szCs w:val="22"/>
          <w:shd w:val="clear" w:color="auto" w:fill="FDFDFD"/>
        </w:rPr>
        <w:t xml:space="preserve"> (Strahan and Co., 1869) by Marcus Stone.</w:t>
      </w:r>
      <w:bookmarkEnd w:id="19"/>
    </w:p>
    <w:p w14:paraId="0241089B" w14:textId="77777777" w:rsidR="00C92675" w:rsidRDefault="00C92675">
      <w:pPr>
        <w:rPr>
          <w:rFonts w:asciiTheme="majorBidi" w:eastAsia="Calibri" w:hAnsiTheme="majorBidi" w:cstheme="majorBidi"/>
          <w:color w:val="000000"/>
          <w:szCs w:val="22"/>
          <w:shd w:val="clear" w:color="auto" w:fill="FDFDFD"/>
        </w:rPr>
      </w:pPr>
      <w:r>
        <w:rPr>
          <w:rFonts w:asciiTheme="majorBidi" w:eastAsia="Calibri" w:hAnsiTheme="majorBidi" w:cstheme="majorBidi"/>
          <w:color w:val="000000"/>
          <w:szCs w:val="22"/>
          <w:shd w:val="clear" w:color="auto" w:fill="FDFDFD"/>
        </w:rPr>
        <w:br w:type="page"/>
      </w:r>
    </w:p>
    <w:p w14:paraId="1BF78419" w14:textId="13F3C321" w:rsidR="00D159B4" w:rsidRPr="00D159B4" w:rsidRDefault="00D159B4" w:rsidP="00D159B4">
      <w:pPr>
        <w:spacing w:line="480" w:lineRule="auto"/>
        <w:rPr>
          <w:rFonts w:asciiTheme="majorBidi" w:eastAsia="Calibri" w:hAnsiTheme="majorBidi" w:cstheme="majorBidi"/>
          <w:color w:val="000000"/>
          <w:szCs w:val="22"/>
          <w:shd w:val="clear" w:color="auto" w:fill="FDFDFD"/>
        </w:rPr>
      </w:pPr>
      <w:r w:rsidRPr="00D159B4">
        <w:rPr>
          <w:rFonts w:asciiTheme="majorBidi" w:eastAsia="Calibri" w:hAnsiTheme="majorBidi" w:cstheme="majorBidi"/>
          <w:color w:val="000000"/>
          <w:szCs w:val="22"/>
          <w:shd w:val="clear" w:color="auto" w:fill="FDFDFD"/>
        </w:rPr>
        <w:lastRenderedPageBreak/>
        <w:t>should call at the post-office for their letters” (202). The word “beat” extends the metaphorical fusion of human and object, simultaneously referring to the postman’s habitual route and evoking the rhythmic pounding of the postman’s wooden leg.</w:t>
      </w:r>
    </w:p>
    <w:p w14:paraId="01937FAA" w14:textId="16319549" w:rsidR="00D159B4" w:rsidRPr="002A5475" w:rsidRDefault="00D159B4" w:rsidP="00D159B4">
      <w:pPr>
        <w:spacing w:line="480" w:lineRule="auto"/>
        <w:rPr>
          <w:rFonts w:asciiTheme="majorBidi" w:eastAsia="Calibri" w:hAnsiTheme="majorBidi" w:cstheme="majorBidi"/>
          <w:szCs w:val="22"/>
        </w:rPr>
      </w:pPr>
      <w:r w:rsidRPr="00D159B4">
        <w:rPr>
          <w:rFonts w:asciiTheme="majorBidi" w:eastAsia="Calibri" w:hAnsiTheme="majorBidi" w:cstheme="majorBidi"/>
          <w:szCs w:val="22"/>
        </w:rPr>
        <w:tab/>
        <w:t>A sort of boilerplate prosthesis for working-class amputee, the postman’s prop reduces him to his putative occupational function.</w:t>
      </w:r>
      <w:r w:rsidRPr="00D159B4">
        <w:rPr>
          <w:rFonts w:asciiTheme="majorBidi" w:eastAsia="Calibri" w:hAnsiTheme="majorBidi" w:cstheme="majorBidi"/>
          <w:szCs w:val="22"/>
          <w:vertAlign w:val="superscript"/>
        </w:rPr>
        <w:footnoteReference w:id="96"/>
      </w:r>
      <w:r w:rsidRPr="00D159B4">
        <w:rPr>
          <w:rFonts w:asciiTheme="majorBidi" w:eastAsia="Calibri" w:hAnsiTheme="majorBidi" w:cstheme="majorBidi"/>
          <w:szCs w:val="22"/>
        </w:rPr>
        <w:t xml:space="preserve"> It provides him not total freedom of movement, but the requisite physical agility to carry out his postal route. Of course, the wooden-legged postman’s slow pace also enables Trollope to make a teasing jab at the postal service (and government work more generally) and disregard the postman himself:</w:t>
      </w:r>
    </w:p>
    <w:p w14:paraId="29A7C844" w14:textId="77777777" w:rsidR="00955D35" w:rsidRPr="00D159B4" w:rsidRDefault="00955D35" w:rsidP="00955D35">
      <w:pPr>
        <w:spacing w:line="480" w:lineRule="auto"/>
        <w:ind w:left="1440"/>
        <w:rPr>
          <w:rFonts w:asciiTheme="majorBidi" w:eastAsia="Calibri" w:hAnsiTheme="majorBidi" w:cstheme="majorBidi"/>
          <w:szCs w:val="22"/>
        </w:rPr>
      </w:pPr>
      <w:r w:rsidRPr="00D159B4">
        <w:rPr>
          <w:rFonts w:asciiTheme="majorBidi" w:eastAsia="Calibri" w:hAnsiTheme="majorBidi" w:cstheme="majorBidi"/>
          <w:szCs w:val="22"/>
        </w:rPr>
        <w:t>There is a general understanding that the wooden-legged men in country parishes should be employed as postmen, owing to the great steadiness of demeanour which a wooden leg is generally found to produce. It may be that such men are slower in their operations than would be biped postmen; but as all private employers of labour demand labourers with two legs, it is well that the lame and</w:t>
      </w:r>
      <w:r w:rsidRPr="002A5475">
        <w:rPr>
          <w:rFonts w:asciiTheme="majorBidi" w:eastAsia="Calibri" w:hAnsiTheme="majorBidi" w:cstheme="majorBidi"/>
          <w:szCs w:val="22"/>
        </w:rPr>
        <w:t xml:space="preserve"> </w:t>
      </w:r>
      <w:r w:rsidRPr="00D159B4">
        <w:rPr>
          <w:rFonts w:asciiTheme="majorBidi" w:eastAsia="Calibri" w:hAnsiTheme="majorBidi" w:cstheme="majorBidi"/>
          <w:szCs w:val="22"/>
        </w:rPr>
        <w:t>halt should find a refuge in the less exacting service of the government. The one-legged man who rode his donkey into Nuncombe Putney would reach his post-office not above half an hour after his proper time; but he was very slow in stumping round the village, and seldom reached the Clock House much before ten. (68)</w:t>
      </w:r>
    </w:p>
    <w:p w14:paraId="1791B12B" w14:textId="517266A5" w:rsidR="00D159B4" w:rsidRPr="00D159B4" w:rsidRDefault="00955D35" w:rsidP="00C92675">
      <w:pPr>
        <w:spacing w:line="480" w:lineRule="auto"/>
        <w:rPr>
          <w:rFonts w:asciiTheme="majorBidi" w:eastAsia="Calibri" w:hAnsiTheme="majorBidi" w:cstheme="majorBidi"/>
          <w:szCs w:val="22"/>
        </w:rPr>
      </w:pPr>
      <w:r w:rsidRPr="00D159B4">
        <w:rPr>
          <w:rFonts w:asciiTheme="majorBidi" w:eastAsia="Calibri" w:hAnsiTheme="majorBidi" w:cstheme="majorBidi"/>
          <w:szCs w:val="22"/>
        </w:rPr>
        <w:t>The one-legged postman and his crude wooden leg flatten to form the foundation for</w:t>
      </w:r>
      <w:r w:rsidR="000417F1">
        <w:rPr>
          <w:rFonts w:asciiTheme="majorBidi" w:eastAsia="Calibri" w:hAnsiTheme="majorBidi" w:cstheme="majorBidi"/>
          <w:szCs w:val="22"/>
        </w:rPr>
        <w:t xml:space="preserve"> </w:t>
      </w:r>
      <w:r w:rsidR="00D159B4" w:rsidRPr="00D159B4">
        <w:rPr>
          <w:rFonts w:asciiTheme="majorBidi" w:eastAsia="Calibri" w:hAnsiTheme="majorBidi" w:cstheme="majorBidi"/>
          <w:szCs w:val="22"/>
        </w:rPr>
        <w:t xml:space="preserve">Trollope’s joke and, subsequently, find themselves shoved into a conflated, nondescript collection of “the </w:t>
      </w:r>
      <w:r w:rsidR="00D159B4" w:rsidRPr="00D159B4">
        <w:rPr>
          <w:rFonts w:asciiTheme="majorBidi" w:eastAsia="Calibri" w:hAnsiTheme="majorBidi" w:cstheme="majorBidi"/>
          <w:szCs w:val="22"/>
        </w:rPr>
        <w:lastRenderedPageBreak/>
        <w:t xml:space="preserve">lame and halt.” O’Connor, too, has noted the way in which Trollope’s </w:t>
      </w:r>
      <w:r w:rsidR="00D159B4" w:rsidRPr="00D159B4">
        <w:rPr>
          <w:rFonts w:asciiTheme="majorBidi" w:eastAsia="Calibri" w:hAnsiTheme="majorBidi" w:cstheme="majorBidi"/>
          <w:color w:val="000000"/>
          <w:szCs w:val="22"/>
          <w:shd w:val="clear" w:color="auto" w:fill="FDFDFD"/>
        </w:rPr>
        <w:t xml:space="preserve">“postman with an old-fashioned wooden leg is categorically dismissed” insofar as, “Working about as smoothly as the postal system itself, the mailman’s body may be good enough for government work, but it is not much good for anything else” </w:t>
      </w:r>
      <w:r w:rsidR="00C92675" w:rsidRPr="00D159B4">
        <w:rPr>
          <w:rFonts w:asciiTheme="majorBidi" w:eastAsia="Calibri" w:hAnsiTheme="majorBidi" w:cstheme="majorBidi"/>
          <w:color w:val="000000"/>
          <w:szCs w:val="22"/>
          <w:shd w:val="clear" w:color="auto" w:fill="FDFDFD"/>
        </w:rPr>
        <w:t>(</w:t>
      </w:r>
      <w:r w:rsidR="00C92675" w:rsidRPr="00D159B4">
        <w:rPr>
          <w:rFonts w:asciiTheme="majorBidi" w:eastAsia="Calibri" w:hAnsiTheme="majorBidi" w:cstheme="majorBidi"/>
          <w:i/>
          <w:color w:val="000000"/>
          <w:szCs w:val="22"/>
          <w:shd w:val="clear" w:color="auto" w:fill="FDFDFD"/>
        </w:rPr>
        <w:t>Raw Material</w:t>
      </w:r>
      <w:r w:rsidR="00C92675" w:rsidRPr="00D159B4">
        <w:rPr>
          <w:rFonts w:asciiTheme="majorBidi" w:eastAsia="Calibri" w:hAnsiTheme="majorBidi" w:cstheme="majorBidi"/>
          <w:color w:val="000000"/>
          <w:szCs w:val="22"/>
          <w:shd w:val="clear" w:color="auto" w:fill="FDFDFD"/>
        </w:rPr>
        <w:t xml:space="preserve"> 130</w:t>
      </w:r>
      <w:r w:rsidR="00C92675">
        <w:rPr>
          <w:rFonts w:asciiTheme="majorBidi" w:eastAsia="Calibri" w:hAnsiTheme="majorBidi" w:cstheme="majorBidi"/>
          <w:color w:val="000000"/>
          <w:szCs w:val="22"/>
          <w:shd w:val="clear" w:color="auto" w:fill="FDFDFD"/>
        </w:rPr>
        <w:t>, 131</w:t>
      </w:r>
      <w:r w:rsidR="00C92675" w:rsidRPr="00D159B4">
        <w:rPr>
          <w:rFonts w:asciiTheme="majorBidi" w:eastAsia="Calibri" w:hAnsiTheme="majorBidi" w:cstheme="majorBidi"/>
          <w:color w:val="000000"/>
          <w:szCs w:val="22"/>
          <w:shd w:val="clear" w:color="auto" w:fill="FDFDFD"/>
        </w:rPr>
        <w:t>)</w:t>
      </w:r>
      <w:r w:rsidR="00D159B4" w:rsidRPr="00D159B4">
        <w:rPr>
          <w:rFonts w:asciiTheme="majorBidi" w:eastAsia="Calibri" w:hAnsiTheme="majorBidi" w:cstheme="majorBidi"/>
          <w:color w:val="000000"/>
          <w:szCs w:val="22"/>
          <w:shd w:val="clear" w:color="auto" w:fill="FDFDFD"/>
        </w:rPr>
        <w:t>. Moreover, the narrator credits the prosthetic object, not the postman himself, with “producing” the reliable deportment that the job calls for. He juxtaposes the “steady” prosthetic leg and the “slow” man and, in so doing, treats them as separate parts performing the same task as opposed to a single entity. From one angle, the postman becomes divided from and compared to his own limb; from another, the superficial indivisibility of man and prosthetic object renders him a type—a wooden-legged man—not altogether different from other characters identified almost exclusively in terms of their physical distinctions (e.g., someone who is unusually fat, thin, short, or tall).</w:t>
      </w:r>
      <w:r w:rsidR="00D159B4" w:rsidRPr="00D159B4">
        <w:rPr>
          <w:rFonts w:asciiTheme="majorBidi" w:eastAsia="Calibri" w:hAnsiTheme="majorBidi" w:cstheme="majorBidi"/>
          <w:color w:val="000000"/>
          <w:szCs w:val="22"/>
          <w:shd w:val="clear" w:color="auto" w:fill="FDFDFD"/>
          <w:vertAlign w:val="superscript"/>
        </w:rPr>
        <w:footnoteReference w:id="97"/>
      </w:r>
      <w:r w:rsidR="00D159B4" w:rsidRPr="00D159B4">
        <w:rPr>
          <w:rFonts w:asciiTheme="majorBidi" w:eastAsia="Calibri" w:hAnsiTheme="majorBidi" w:cstheme="majorBidi"/>
          <w:color w:val="000000"/>
          <w:szCs w:val="22"/>
          <w:shd w:val="clear" w:color="auto" w:fill="FDFDFD"/>
        </w:rPr>
        <w:t xml:space="preserve"> In either case, the unrelenting narrative attention paid to the postman’s wooden leg—his prosthetic embodiment—largely occludes his character and his narrative function as the courier of important correspondences between the novel’s major characters.</w:t>
      </w:r>
      <w:r w:rsidR="00D159B4" w:rsidRPr="00D159B4">
        <w:rPr>
          <w:rFonts w:asciiTheme="majorBidi" w:eastAsia="Calibri" w:hAnsiTheme="majorBidi" w:cstheme="majorBidi"/>
          <w:color w:val="000000"/>
          <w:szCs w:val="22"/>
          <w:shd w:val="clear" w:color="auto" w:fill="FDFDFD"/>
          <w:vertAlign w:val="superscript"/>
        </w:rPr>
        <w:footnoteReference w:id="98"/>
      </w:r>
      <w:r w:rsidR="00D159B4" w:rsidRPr="00D159B4">
        <w:rPr>
          <w:rFonts w:asciiTheme="majorBidi" w:eastAsia="Calibri" w:hAnsiTheme="majorBidi" w:cstheme="majorBidi"/>
          <w:color w:val="000000"/>
          <w:szCs w:val="22"/>
          <w:shd w:val="clear" w:color="auto" w:fill="FDFDFD"/>
        </w:rPr>
        <w:t xml:space="preserve"> </w:t>
      </w:r>
    </w:p>
    <w:p w14:paraId="4B4679D0" w14:textId="0F139833" w:rsidR="00D159B4" w:rsidRPr="00D159B4" w:rsidRDefault="00D159B4" w:rsidP="00D159B4">
      <w:pPr>
        <w:spacing w:line="480" w:lineRule="auto"/>
        <w:ind w:firstLine="720"/>
        <w:rPr>
          <w:rFonts w:asciiTheme="majorBidi" w:eastAsia="Calibri" w:hAnsiTheme="majorBidi" w:cstheme="majorBidi"/>
          <w:color w:val="000000"/>
          <w:szCs w:val="22"/>
          <w:shd w:val="clear" w:color="auto" w:fill="FDFDFD"/>
        </w:rPr>
      </w:pPr>
      <w:r w:rsidRPr="00D159B4">
        <w:rPr>
          <w:rFonts w:asciiTheme="majorBidi" w:eastAsia="Calibri" w:hAnsiTheme="majorBidi" w:cstheme="majorBidi"/>
          <w:color w:val="000000"/>
          <w:szCs w:val="22"/>
          <w:shd w:val="clear" w:color="auto" w:fill="FDFDFD"/>
        </w:rPr>
        <w:t>To that end, an emphasis on the “old-fashioned” quality of the postman’s wooden leg proves especially relevant in evaluating the potential social mobility afforded by prosthesis. Vanessa Warne’s cogent engagement with Dr. Stephen Smith’s 1865 essay denouncing the</w:t>
      </w:r>
      <w:r w:rsidR="000417F1">
        <w:rPr>
          <w:rFonts w:asciiTheme="majorBidi" w:eastAsia="Calibri" w:hAnsiTheme="majorBidi" w:cstheme="majorBidi"/>
          <w:color w:val="000000"/>
          <w:szCs w:val="22"/>
          <w:shd w:val="clear" w:color="auto" w:fill="FDFDFD"/>
        </w:rPr>
        <w:t xml:space="preserve"> </w:t>
      </w:r>
      <w:r w:rsidRPr="00D159B4">
        <w:rPr>
          <w:rFonts w:asciiTheme="majorBidi" w:eastAsia="Calibri" w:hAnsiTheme="majorBidi" w:cstheme="majorBidi"/>
          <w:color w:val="000000"/>
          <w:szCs w:val="22"/>
          <w:shd w:val="clear" w:color="auto" w:fill="FDFDFD"/>
        </w:rPr>
        <w:lastRenderedPageBreak/>
        <w:t xml:space="preserve">practice of </w:t>
      </w:r>
      <w:r w:rsidR="00984A13">
        <w:rPr>
          <w:rFonts w:asciiTheme="majorBidi" w:eastAsia="Calibri" w:hAnsiTheme="majorBidi" w:cstheme="majorBidi"/>
          <w:color w:val="000000"/>
          <w:szCs w:val="22"/>
          <w:shd w:val="clear" w:color="auto" w:fill="FDFDFD"/>
        </w:rPr>
        <w:t xml:space="preserve">performing different types of amputations </w:t>
      </w:r>
      <w:r w:rsidRPr="00D159B4">
        <w:rPr>
          <w:rFonts w:asciiTheme="majorBidi" w:eastAsia="Calibri" w:hAnsiTheme="majorBidi" w:cstheme="majorBidi"/>
          <w:color w:val="000000"/>
          <w:szCs w:val="22"/>
          <w:shd w:val="clear" w:color="auto" w:fill="FDFDFD"/>
        </w:rPr>
        <w:t xml:space="preserve">for members of different social classes provides evidence for the analysis of the postman’s prosthetic: </w:t>
      </w:r>
    </w:p>
    <w:p w14:paraId="69BC0D6E" w14:textId="2C998B46" w:rsidR="00D159B4" w:rsidRPr="00D159B4" w:rsidRDefault="00D159B4" w:rsidP="00801635">
      <w:pPr>
        <w:spacing w:line="480" w:lineRule="auto"/>
        <w:ind w:left="1440"/>
        <w:rPr>
          <w:rFonts w:asciiTheme="majorBidi" w:eastAsia="Calibri" w:hAnsiTheme="majorBidi" w:cstheme="majorBidi"/>
          <w:color w:val="000000"/>
          <w:szCs w:val="22"/>
          <w:shd w:val="clear" w:color="auto" w:fill="FDFDFD"/>
        </w:rPr>
      </w:pPr>
      <w:r w:rsidRPr="00D159B4">
        <w:rPr>
          <w:rFonts w:asciiTheme="majorBidi" w:eastAsia="Calibri" w:hAnsiTheme="majorBidi" w:cstheme="majorBidi"/>
          <w:color w:val="000000"/>
          <w:szCs w:val="22"/>
          <w:shd w:val="clear" w:color="auto" w:fill="FDFDFD"/>
        </w:rPr>
        <w:t>Noting that “the poor man’s and the rich man’s leg have long decided the point of amputation in the lower extremity,” he [Smith] criticized surgeons who acted on “the belief that the poor man will either have no artificial appliance to his stump,</w:t>
      </w:r>
      <w:r w:rsidR="00801635" w:rsidRPr="002A5475">
        <w:rPr>
          <w:rFonts w:asciiTheme="majorBidi" w:eastAsia="Calibri" w:hAnsiTheme="majorBidi" w:cstheme="majorBidi"/>
          <w:color w:val="000000"/>
          <w:szCs w:val="22"/>
          <w:shd w:val="clear" w:color="auto" w:fill="FDFDFD"/>
        </w:rPr>
        <w:t xml:space="preserve"> </w:t>
      </w:r>
      <w:r w:rsidRPr="00D159B4">
        <w:rPr>
          <w:rFonts w:asciiTheme="majorBidi" w:eastAsia="Calibri" w:hAnsiTheme="majorBidi" w:cstheme="majorBidi"/>
          <w:color w:val="000000"/>
          <w:szCs w:val="22"/>
          <w:shd w:val="clear" w:color="auto" w:fill="FDFDFD"/>
        </w:rPr>
        <w:t xml:space="preserve">or one of the rudest </w:t>
      </w:r>
      <w:proofErr w:type="gramStart"/>
      <w:r w:rsidRPr="00D159B4">
        <w:rPr>
          <w:rFonts w:asciiTheme="majorBidi" w:eastAsia="Calibri" w:hAnsiTheme="majorBidi" w:cstheme="majorBidi"/>
          <w:color w:val="000000"/>
          <w:szCs w:val="22"/>
          <w:shd w:val="clear" w:color="auto" w:fill="FDFDFD"/>
        </w:rPr>
        <w:t>character</w:t>
      </w:r>
      <w:proofErr w:type="gramEnd"/>
      <w:r w:rsidRPr="00D159B4">
        <w:rPr>
          <w:rFonts w:asciiTheme="majorBidi" w:eastAsia="Calibri" w:hAnsiTheme="majorBidi" w:cstheme="majorBidi"/>
          <w:color w:val="000000"/>
          <w:szCs w:val="22"/>
          <w:shd w:val="clear" w:color="auto" w:fill="FDFDFD"/>
        </w:rPr>
        <w:t>, while the rich man will avail himself of the highest degree of art to compensate his loss” (490-1). Smith warned colleagues that a poor patient might one day find himself able to afford a sophisticated prosthesis but barred from its use by a “poor man’s stump.” (“To Invest a Cripple with Peculiar Interest” 83)</w:t>
      </w:r>
    </w:p>
    <w:p w14:paraId="620042F9" w14:textId="1F3FD9C2" w:rsidR="00D159B4" w:rsidRPr="00606832" w:rsidRDefault="00D159B4" w:rsidP="00606832">
      <w:pPr>
        <w:spacing w:line="480" w:lineRule="auto"/>
        <w:rPr>
          <w:rFonts w:asciiTheme="majorBidi" w:eastAsia="Calibri" w:hAnsiTheme="majorBidi" w:cstheme="majorBidi"/>
          <w:color w:val="000000"/>
          <w:szCs w:val="22"/>
          <w:shd w:val="clear" w:color="auto" w:fill="FDFDFD"/>
        </w:rPr>
      </w:pPr>
      <w:r w:rsidRPr="00D159B4">
        <w:rPr>
          <w:rFonts w:asciiTheme="majorBidi" w:eastAsia="Calibri" w:hAnsiTheme="majorBidi" w:cstheme="majorBidi"/>
          <w:color w:val="000000"/>
          <w:szCs w:val="22"/>
          <w:shd w:val="clear" w:color="auto" w:fill="FDFDFD"/>
        </w:rPr>
        <w:t xml:space="preserve">Given the prohibitive expense of more sophisticated artificial legs, the hierarchy of manufactured prosthetics dictates that the working-class postman must embody his social class and condition. The postman’s manner of speech, which the narrator relates in a single sentence, reinforces the socioeconomic status implied by his rudimentary prosthetic: “‘Drat ’un,’ said the wooden-legged postman, still sitting on his donkey, to Mrs. Crocket’s ostler, ‘if there be’ant the chap as was here yesterday when I was a starting, and I zeed 'un in Lezbro' street thick very morning’” (78). Put another way, the narrative use of local color used to portray the postman’s vernacular confirms what his crude wooden leg has already suggested; the postman proves unimportant not only because of his disability but also because of his social class, which the leg ossifies and forces the postman to embody. The postman’s prosthetic serves only to flatten him. It facilitates his physical movement but does little to help him define himself. If anything, it constrains him to a (minor) role that has already been determined for him. </w:t>
      </w:r>
      <w:r w:rsidR="000417F1">
        <w:rPr>
          <w:rFonts w:asciiTheme="majorBidi" w:eastAsia="Calibri" w:hAnsiTheme="majorBidi" w:cstheme="majorBidi"/>
          <w:b/>
          <w:szCs w:val="22"/>
        </w:rPr>
        <w:br/>
      </w:r>
      <w:r w:rsidRPr="00D159B4">
        <w:rPr>
          <w:rFonts w:asciiTheme="majorBidi" w:eastAsia="Calibri" w:hAnsiTheme="majorBidi" w:cstheme="majorBidi"/>
          <w:b/>
          <w:szCs w:val="22"/>
        </w:rPr>
        <w:t>The Siren</w:t>
      </w:r>
    </w:p>
    <w:p w14:paraId="3F162B31" w14:textId="68395B3D" w:rsidR="00D159B4" w:rsidRPr="00D159B4" w:rsidRDefault="00D159B4" w:rsidP="00D159B4">
      <w:pPr>
        <w:spacing w:line="480" w:lineRule="auto"/>
        <w:rPr>
          <w:rFonts w:asciiTheme="majorBidi" w:eastAsia="Calibri" w:hAnsiTheme="majorBidi" w:cstheme="majorBidi"/>
          <w:szCs w:val="22"/>
        </w:rPr>
      </w:pPr>
      <w:r w:rsidRPr="00D159B4">
        <w:rPr>
          <w:rFonts w:asciiTheme="majorBidi" w:eastAsia="Calibri" w:hAnsiTheme="majorBidi" w:cstheme="majorBidi"/>
          <w:szCs w:val="22"/>
        </w:rPr>
        <w:lastRenderedPageBreak/>
        <w:tab/>
        <w:t xml:space="preserve">Unlike Trollope’s stumping postman, </w:t>
      </w:r>
      <w:r w:rsidRPr="00D159B4">
        <w:rPr>
          <w:rFonts w:asciiTheme="majorBidi" w:eastAsia="Calibri" w:hAnsiTheme="majorBidi" w:cstheme="majorBidi"/>
          <w:i/>
          <w:iCs/>
          <w:szCs w:val="22"/>
        </w:rPr>
        <w:t>Barchester Towers</w:t>
      </w:r>
      <w:r w:rsidRPr="00D159B4">
        <w:rPr>
          <w:rFonts w:asciiTheme="majorBidi" w:eastAsia="Calibri" w:hAnsiTheme="majorBidi" w:cstheme="majorBidi"/>
          <w:szCs w:val="22"/>
        </w:rPr>
        <w:t xml:space="preserve">’s Signora Neroni demonstrates the kind of performative (re)shaping of identity and disability occasioned by prosthesis. A minor character in the second book of the </w:t>
      </w:r>
      <w:r w:rsidRPr="00D159B4">
        <w:rPr>
          <w:rFonts w:asciiTheme="majorBidi" w:eastAsia="Calibri" w:hAnsiTheme="majorBidi" w:cstheme="majorBidi"/>
          <w:i/>
          <w:iCs/>
          <w:szCs w:val="22"/>
        </w:rPr>
        <w:t>Chronicles of Barsetshire</w:t>
      </w:r>
      <w:r w:rsidRPr="00D159B4">
        <w:rPr>
          <w:rFonts w:asciiTheme="majorBidi" w:eastAsia="Calibri" w:hAnsiTheme="majorBidi" w:cstheme="majorBidi"/>
          <w:szCs w:val="22"/>
        </w:rPr>
        <w:t xml:space="preserve">, the </w:t>
      </w:r>
      <w:r w:rsidR="00316CCB">
        <w:rPr>
          <w:rFonts w:asciiTheme="majorBidi" w:eastAsia="Calibri" w:hAnsiTheme="majorBidi" w:cstheme="majorBidi"/>
          <w:szCs w:val="22"/>
        </w:rPr>
        <w:t>s</w:t>
      </w:r>
      <w:r w:rsidRPr="00D159B4">
        <w:rPr>
          <w:rFonts w:asciiTheme="majorBidi" w:eastAsia="Calibri" w:hAnsiTheme="majorBidi" w:cstheme="majorBidi"/>
          <w:szCs w:val="22"/>
        </w:rPr>
        <w:t>ignora emerges as one of the novel’s most designing and influential characters. She undermines the calculating Obadiah Slope, facilitates Eleanor Bold’s marriage to Francis Arabin, and recreationally toys with many of the novel’s other characters in her spare time.</w:t>
      </w:r>
      <w:r w:rsidRPr="00D159B4">
        <w:rPr>
          <w:rFonts w:asciiTheme="majorBidi" w:eastAsia="Calibri" w:hAnsiTheme="majorBidi" w:cstheme="majorBidi"/>
          <w:szCs w:val="22"/>
          <w:vertAlign w:val="superscript"/>
        </w:rPr>
        <w:footnoteReference w:id="99"/>
      </w:r>
      <w:r w:rsidRPr="00D159B4">
        <w:rPr>
          <w:rFonts w:asciiTheme="majorBidi" w:eastAsia="Calibri" w:hAnsiTheme="majorBidi" w:cstheme="majorBidi"/>
          <w:szCs w:val="22"/>
        </w:rPr>
        <w:t xml:space="preserve"> The signora’s command of artistry and manipulation manifests most clearly in the elaborate aestheticization of her disabled body through the ornamentation of her prosthetic object. She reappropriates material culture—domestic objects—to fashion her own brand of a stylish, upper-class assistive device: a sofa. And in affixing herself to a modish commodity, she simultaneously hides and flaunts her deformed limbs and sexualizes her disabled body. </w:t>
      </w:r>
    </w:p>
    <w:p w14:paraId="5083BD62" w14:textId="77777777" w:rsidR="00D159B4" w:rsidRPr="00D159B4" w:rsidRDefault="00D159B4" w:rsidP="00D159B4">
      <w:pPr>
        <w:spacing w:line="480" w:lineRule="auto"/>
        <w:ind w:firstLine="720"/>
        <w:rPr>
          <w:rFonts w:asciiTheme="majorBidi" w:eastAsia="Calibri" w:hAnsiTheme="majorBidi" w:cstheme="majorBidi"/>
          <w:szCs w:val="22"/>
        </w:rPr>
      </w:pPr>
      <w:r w:rsidRPr="00D159B4">
        <w:rPr>
          <w:rFonts w:asciiTheme="majorBidi" w:eastAsia="Calibri" w:hAnsiTheme="majorBidi" w:cstheme="majorBidi"/>
          <w:szCs w:val="22"/>
        </w:rPr>
        <w:t xml:space="preserve">That Trollope should link Signora Neroni’s (formerly Madeline Stanhope) physical impairment to her sexual indiscretion in </w:t>
      </w:r>
      <w:r w:rsidRPr="00D159B4">
        <w:rPr>
          <w:rFonts w:asciiTheme="majorBidi" w:eastAsia="Calibri" w:hAnsiTheme="majorBidi" w:cstheme="majorBidi"/>
          <w:i/>
          <w:szCs w:val="22"/>
        </w:rPr>
        <w:t>Barchester Towers</w:t>
      </w:r>
      <w:r w:rsidRPr="00D159B4">
        <w:rPr>
          <w:rFonts w:asciiTheme="majorBidi" w:eastAsia="Calibri" w:hAnsiTheme="majorBidi" w:cstheme="majorBidi"/>
          <w:szCs w:val="22"/>
        </w:rPr>
        <w:t xml:space="preserve"> is largely unsurprising. Her injuries, as many critics of Trollope’s work have noted, literalize the downfall brought about by her sexual transgression.</w:t>
      </w:r>
      <w:r w:rsidRPr="00D159B4">
        <w:rPr>
          <w:rFonts w:asciiTheme="majorBidi" w:eastAsia="Calibri" w:hAnsiTheme="majorBidi" w:cstheme="majorBidi"/>
          <w:szCs w:val="22"/>
          <w:vertAlign w:val="superscript"/>
        </w:rPr>
        <w:footnoteReference w:id="100"/>
      </w:r>
      <w:r w:rsidRPr="00D159B4">
        <w:rPr>
          <w:rFonts w:asciiTheme="majorBidi" w:eastAsia="Calibri" w:hAnsiTheme="majorBidi" w:cstheme="majorBidi"/>
          <w:szCs w:val="22"/>
        </w:rPr>
        <w:t xml:space="preserve"> A notorious beauty, Madeline Stanhope runs away to Italy at seventeen, marries Paulo Neroni, “the very worst of those who sought her hand” (65-6), for the sole reason that, “When the moment for doing so came, she had probably no alternative” (66). She returns home six months after their honeymoon “a cripple, and a mother.” What </w:t>
      </w:r>
      <w:r w:rsidRPr="00D159B4">
        <w:rPr>
          <w:rFonts w:asciiTheme="majorBidi" w:eastAsia="Calibri" w:hAnsiTheme="majorBidi" w:cstheme="majorBidi"/>
          <w:i/>
          <w:szCs w:val="22"/>
        </w:rPr>
        <w:t>is</w:t>
      </w:r>
      <w:r w:rsidRPr="00D159B4">
        <w:rPr>
          <w:rFonts w:asciiTheme="majorBidi" w:eastAsia="Calibri" w:hAnsiTheme="majorBidi" w:cstheme="majorBidi"/>
          <w:szCs w:val="22"/>
        </w:rPr>
        <w:t xml:space="preserve"> surprising are the inanimate conduits for self-performance she adopts in the wake of her accident. </w:t>
      </w:r>
    </w:p>
    <w:p w14:paraId="6905367C" w14:textId="7CB76893" w:rsidR="00D159B4" w:rsidRPr="00D159B4" w:rsidRDefault="00D159B4" w:rsidP="00D159B4">
      <w:pPr>
        <w:spacing w:line="480" w:lineRule="auto"/>
        <w:rPr>
          <w:rFonts w:asciiTheme="majorBidi" w:eastAsia="Calibri" w:hAnsiTheme="majorBidi" w:cstheme="majorBidi"/>
          <w:szCs w:val="22"/>
        </w:rPr>
      </w:pPr>
      <w:r w:rsidRPr="00D159B4">
        <w:rPr>
          <w:rFonts w:asciiTheme="majorBidi" w:eastAsia="Calibri" w:hAnsiTheme="majorBidi" w:cstheme="majorBidi"/>
          <w:szCs w:val="22"/>
        </w:rPr>
        <w:lastRenderedPageBreak/>
        <w:tab/>
        <w:t>The narrator implies an act of domestic abuse caused Signora Neroni’s injury, and the novel’s other characters similarly speculate about the nature and origin of her disability.</w:t>
      </w:r>
      <w:r w:rsidRPr="00D159B4">
        <w:rPr>
          <w:rFonts w:asciiTheme="majorBidi" w:eastAsia="Calibri" w:hAnsiTheme="majorBidi" w:cstheme="majorBidi"/>
          <w:szCs w:val="22"/>
          <w:vertAlign w:val="superscript"/>
        </w:rPr>
        <w:footnoteReference w:id="101"/>
      </w:r>
      <w:r w:rsidRPr="00D159B4">
        <w:rPr>
          <w:rFonts w:asciiTheme="majorBidi" w:eastAsia="Calibri" w:hAnsiTheme="majorBidi" w:cstheme="majorBidi"/>
          <w:szCs w:val="22"/>
        </w:rPr>
        <w:t xml:space="preserve"> During one such exchange, Mrs. Proudie tells Lady De Courcy that the signora has only one leg and explains, “she had two. But that Signor Neroni beat her, I believe, till she was obliged to have one amputated. At any rate she entirely lost the use of it” (355).</w:t>
      </w:r>
      <w:r w:rsidRPr="00D159B4">
        <w:rPr>
          <w:rFonts w:asciiTheme="majorBidi" w:eastAsia="Calibri" w:hAnsiTheme="majorBidi" w:cstheme="majorBidi"/>
          <w:szCs w:val="22"/>
          <w:vertAlign w:val="superscript"/>
        </w:rPr>
        <w:footnoteReference w:id="102"/>
      </w:r>
      <w:r w:rsidRPr="00D159B4">
        <w:rPr>
          <w:rFonts w:asciiTheme="majorBidi" w:eastAsia="Calibri" w:hAnsiTheme="majorBidi" w:cstheme="majorBidi"/>
          <w:szCs w:val="22"/>
        </w:rPr>
        <w:t xml:space="preserve"> The young mother (</w:t>
      </w:r>
      <w:r w:rsidR="00984A13">
        <w:rPr>
          <w:rFonts w:asciiTheme="majorBidi" w:eastAsia="Calibri" w:hAnsiTheme="majorBidi" w:cstheme="majorBidi"/>
          <w:szCs w:val="22"/>
        </w:rPr>
        <w:t>after</w:t>
      </w:r>
      <w:r w:rsidRPr="00D159B4">
        <w:rPr>
          <w:rFonts w:asciiTheme="majorBidi" w:eastAsia="Calibri" w:hAnsiTheme="majorBidi" w:cstheme="majorBidi"/>
          <w:szCs w:val="22"/>
        </w:rPr>
        <w:t xml:space="preserve"> trad</w:t>
      </w:r>
      <w:r w:rsidR="00984A13">
        <w:rPr>
          <w:rFonts w:asciiTheme="majorBidi" w:eastAsia="Calibri" w:hAnsiTheme="majorBidi" w:cstheme="majorBidi"/>
          <w:szCs w:val="22"/>
        </w:rPr>
        <w:t>ing</w:t>
      </w:r>
      <w:r w:rsidRPr="00D159B4">
        <w:rPr>
          <w:rFonts w:asciiTheme="majorBidi" w:eastAsia="Calibri" w:hAnsiTheme="majorBidi" w:cstheme="majorBidi"/>
          <w:szCs w:val="22"/>
        </w:rPr>
        <w:t xml:space="preserve"> her baby for a maid in Milan), though, generates her own account of the incident and rewrites the scripted course of her life as a disabled, fallen (in the most literal sense) woman: </w:t>
      </w:r>
    </w:p>
    <w:p w14:paraId="080823BE" w14:textId="29966F7D" w:rsidR="00D159B4" w:rsidRPr="00D159B4" w:rsidRDefault="00D159B4" w:rsidP="00801635">
      <w:pPr>
        <w:spacing w:line="480" w:lineRule="auto"/>
        <w:ind w:left="1440"/>
        <w:rPr>
          <w:rFonts w:asciiTheme="majorBidi" w:eastAsia="Calibri" w:hAnsiTheme="majorBidi" w:cstheme="majorBidi"/>
          <w:szCs w:val="22"/>
        </w:rPr>
      </w:pPr>
      <w:r w:rsidRPr="00D159B4">
        <w:rPr>
          <w:rFonts w:asciiTheme="majorBidi" w:eastAsia="Calibri" w:hAnsiTheme="majorBidi" w:cstheme="majorBidi"/>
          <w:szCs w:val="22"/>
        </w:rPr>
        <w:t xml:space="preserve">She had fallen, she said, in ascending a ruin, and had fatally injured the sinews of her knee; so fatally, that when she </w:t>
      </w:r>
      <w:proofErr w:type="gramStart"/>
      <w:r w:rsidRPr="00D159B4">
        <w:rPr>
          <w:rFonts w:asciiTheme="majorBidi" w:eastAsia="Calibri" w:hAnsiTheme="majorBidi" w:cstheme="majorBidi"/>
          <w:szCs w:val="22"/>
        </w:rPr>
        <w:t>stood</w:t>
      </w:r>
      <w:proofErr w:type="gramEnd"/>
      <w:r w:rsidRPr="00D159B4">
        <w:rPr>
          <w:rFonts w:asciiTheme="majorBidi" w:eastAsia="Calibri" w:hAnsiTheme="majorBidi" w:cstheme="majorBidi"/>
          <w:szCs w:val="22"/>
        </w:rPr>
        <w:t xml:space="preserve"> she lost eight inches of her accustomed height; so fatally, that when she essayed to move, she could only drag herself painfully along, with protruded hip and extended foot, in a manner less graceful than that of a hunchback. She had consequently made up her mind, once and for ever, that she would never stand, and never attempt to move herself. (66)</w:t>
      </w:r>
    </w:p>
    <w:p w14:paraId="3B4FEAB1" w14:textId="4B766252" w:rsidR="00D159B4" w:rsidRPr="00D159B4" w:rsidRDefault="00D159B4" w:rsidP="00D159B4">
      <w:pPr>
        <w:spacing w:line="480" w:lineRule="auto"/>
        <w:rPr>
          <w:rFonts w:asciiTheme="majorBidi" w:eastAsia="Calibri" w:hAnsiTheme="majorBidi" w:cstheme="majorBidi"/>
          <w:szCs w:val="22"/>
        </w:rPr>
      </w:pPr>
      <w:r w:rsidRPr="00D159B4">
        <w:rPr>
          <w:rFonts w:asciiTheme="majorBidi" w:eastAsia="Calibri" w:hAnsiTheme="majorBidi" w:cstheme="majorBidi"/>
          <w:szCs w:val="22"/>
        </w:rPr>
        <w:t xml:space="preserve">While the </w:t>
      </w:r>
      <w:r w:rsidR="00316CCB">
        <w:rPr>
          <w:rFonts w:asciiTheme="majorBidi" w:eastAsia="Calibri" w:hAnsiTheme="majorBidi" w:cstheme="majorBidi"/>
          <w:szCs w:val="22"/>
        </w:rPr>
        <w:t>s</w:t>
      </w:r>
      <w:r w:rsidRPr="00D159B4">
        <w:rPr>
          <w:rFonts w:asciiTheme="majorBidi" w:eastAsia="Calibri" w:hAnsiTheme="majorBidi" w:cstheme="majorBidi"/>
          <w:szCs w:val="22"/>
        </w:rPr>
        <w:t>ignora technically retains her mobility, she electively exchanges it for graceful immobility and a striking prop.</w:t>
      </w:r>
      <w:r w:rsidRPr="00D159B4">
        <w:rPr>
          <w:rFonts w:asciiTheme="majorBidi" w:eastAsia="Calibri" w:hAnsiTheme="majorBidi" w:cstheme="majorBidi"/>
          <w:szCs w:val="22"/>
          <w:vertAlign w:val="superscript"/>
        </w:rPr>
        <w:footnoteReference w:id="103"/>
      </w:r>
      <w:r w:rsidRPr="00D159B4">
        <w:rPr>
          <w:rFonts w:asciiTheme="majorBidi" w:eastAsia="Calibri" w:hAnsiTheme="majorBidi" w:cstheme="majorBidi"/>
          <w:szCs w:val="22"/>
        </w:rPr>
        <w:t xml:space="preserve"> Rather than stand and painfully (both socially and physically) display her diminished stature, Signora Neroni enlists a small supporting cast (including her </w:t>
      </w:r>
      <w:r w:rsidRPr="00D159B4">
        <w:rPr>
          <w:rFonts w:asciiTheme="majorBidi" w:eastAsia="Calibri" w:hAnsiTheme="majorBidi" w:cstheme="majorBidi"/>
          <w:szCs w:val="22"/>
        </w:rPr>
        <w:lastRenderedPageBreak/>
        <w:t>sister, a maid, and a few manservants) to carry her from place to place, reclining on stationary chairs and couches when she reaches her destination. After all, “Madame Neroni, though forced to give up all motion in the world, had no intention whatever of giving up the world itself” (67). The sofa instantiates the capacity of prosthesis and commodity culture to titivate physical difference and affords Signora Neroni a means of defining her disability rather than letting it define her. It assists her in staging her still-imposing self in all its potent sexuality.</w:t>
      </w:r>
    </w:p>
    <w:p w14:paraId="03EB6AC3" w14:textId="77777777" w:rsidR="00D159B4" w:rsidRPr="00D159B4" w:rsidRDefault="00D159B4" w:rsidP="00D159B4">
      <w:pPr>
        <w:spacing w:line="480" w:lineRule="auto"/>
        <w:rPr>
          <w:rFonts w:asciiTheme="majorBidi" w:eastAsia="Calibri" w:hAnsiTheme="majorBidi" w:cstheme="majorBidi"/>
          <w:szCs w:val="22"/>
        </w:rPr>
      </w:pPr>
      <w:r w:rsidRPr="00D159B4">
        <w:rPr>
          <w:rFonts w:asciiTheme="majorBidi" w:eastAsia="Calibri" w:hAnsiTheme="majorBidi" w:cstheme="majorBidi"/>
          <w:szCs w:val="22"/>
        </w:rPr>
        <w:tab/>
        <w:t xml:space="preserve">Rather than concede to convention and assume timidity, Signora Neroni uses a sofa to make a spectacle of herself, effectively effacing even as she exhibits her need of it. As the narrator makes explicit after the Stanhopes receive an invitation to the bishop’s home, </w:t>
      </w:r>
    </w:p>
    <w:p w14:paraId="796B61E0" w14:textId="6C318A37" w:rsidR="00D159B4" w:rsidRPr="00D159B4" w:rsidRDefault="00D159B4" w:rsidP="00801635">
      <w:pPr>
        <w:spacing w:line="480" w:lineRule="auto"/>
        <w:ind w:left="1440"/>
        <w:rPr>
          <w:rFonts w:asciiTheme="majorBidi" w:eastAsia="Calibri" w:hAnsiTheme="majorBidi" w:cstheme="majorBidi"/>
          <w:szCs w:val="22"/>
        </w:rPr>
      </w:pPr>
      <w:r w:rsidRPr="00D159B4">
        <w:rPr>
          <w:rFonts w:asciiTheme="majorBidi" w:eastAsia="Calibri" w:hAnsiTheme="majorBidi" w:cstheme="majorBidi"/>
          <w:szCs w:val="22"/>
        </w:rPr>
        <w:t>La Signora Neroni had, at any rate, no fear that she would shock anybody. Her ambition was to create a sensation, to have parsons at her feet, seeing that the manhood of Barchester consisted mainly of parsons, and to send, if possible every parson’s wife home with a green fit of jealousy</w:t>
      </w:r>
      <w:proofErr w:type="gramStart"/>
      <w:r w:rsidRPr="00D159B4">
        <w:rPr>
          <w:rFonts w:asciiTheme="majorBidi" w:eastAsia="Calibri" w:hAnsiTheme="majorBidi" w:cstheme="majorBidi"/>
          <w:szCs w:val="22"/>
        </w:rPr>
        <w:t>. . . .</w:t>
      </w:r>
      <w:proofErr w:type="gramEnd"/>
      <w:r w:rsidRPr="00D159B4">
        <w:rPr>
          <w:rFonts w:asciiTheme="majorBidi" w:eastAsia="Calibri" w:hAnsiTheme="majorBidi" w:cstheme="majorBidi"/>
          <w:szCs w:val="22"/>
        </w:rPr>
        <w:t xml:space="preserve"> She did not doubt of success, for she had always succeeded; but one thing was absolutely necessary, she must secure the entire use of a sofa. (76-77) </w:t>
      </w:r>
    </w:p>
    <w:p w14:paraId="2796C091" w14:textId="10E8C8BB" w:rsidR="00D159B4" w:rsidRPr="00D159B4" w:rsidRDefault="00D159B4" w:rsidP="00D159B4">
      <w:pPr>
        <w:spacing w:line="480" w:lineRule="auto"/>
        <w:rPr>
          <w:rFonts w:asciiTheme="majorBidi" w:eastAsia="Calibri" w:hAnsiTheme="majorBidi" w:cstheme="majorBidi"/>
          <w:szCs w:val="22"/>
        </w:rPr>
      </w:pPr>
      <w:r w:rsidRPr="00D159B4">
        <w:rPr>
          <w:rFonts w:asciiTheme="majorBidi" w:eastAsia="Calibri" w:hAnsiTheme="majorBidi" w:cstheme="majorBidi"/>
          <w:szCs w:val="22"/>
        </w:rPr>
        <w:t>She transforms luxurious household objects into elaborate props at will in an effort to cast herself as the desirable leading lady at the Proudies’ reception. The whole sofa affair evinces the intensity of Signora Neroni’s commitment to keeping up appearances, to “resolv[ing] to be seen” in spite of the “deformity destroying her figure” (68).</w:t>
      </w:r>
      <w:r w:rsidRPr="00D159B4">
        <w:rPr>
          <w:rFonts w:asciiTheme="majorBidi" w:eastAsia="Calibri" w:hAnsiTheme="majorBidi" w:cstheme="majorBidi"/>
          <w:szCs w:val="22"/>
          <w:vertAlign w:val="superscript"/>
        </w:rPr>
        <w:footnoteReference w:id="104"/>
      </w:r>
      <w:r w:rsidRPr="00D159B4">
        <w:rPr>
          <w:rFonts w:asciiTheme="majorBidi" w:eastAsia="Calibri" w:hAnsiTheme="majorBidi" w:cstheme="majorBidi"/>
          <w:szCs w:val="22"/>
        </w:rPr>
        <w:t xml:space="preserve"> She sets the stage—writing ahead to </w:t>
      </w:r>
      <w:r w:rsidRPr="00D159B4">
        <w:rPr>
          <w:rFonts w:asciiTheme="majorBidi" w:eastAsia="Calibri" w:hAnsiTheme="majorBidi" w:cstheme="majorBidi"/>
          <w:szCs w:val="22"/>
        </w:rPr>
        <w:lastRenderedPageBreak/>
        <w:t>guarantee her use of a sofa, placed prominently in the drawing-room at the top of the stairs—and coordinates her costume in accordance with the couch-turned-prosthesis</w:t>
      </w:r>
      <w:r w:rsidR="00316CCB">
        <w:rPr>
          <w:rFonts w:asciiTheme="majorBidi" w:eastAsia="Calibri" w:hAnsiTheme="majorBidi" w:cstheme="majorBidi"/>
          <w:szCs w:val="22"/>
        </w:rPr>
        <w:t>. She even s</w:t>
      </w:r>
      <w:r w:rsidRPr="00D159B4">
        <w:rPr>
          <w:rFonts w:asciiTheme="majorBidi" w:eastAsia="Calibri" w:hAnsiTheme="majorBidi" w:cstheme="majorBidi"/>
          <w:szCs w:val="22"/>
        </w:rPr>
        <w:t>end</w:t>
      </w:r>
      <w:r w:rsidR="00316CCB">
        <w:rPr>
          <w:rFonts w:asciiTheme="majorBidi" w:eastAsia="Calibri" w:hAnsiTheme="majorBidi" w:cstheme="majorBidi"/>
          <w:szCs w:val="22"/>
        </w:rPr>
        <w:t>s</w:t>
      </w:r>
      <w:r w:rsidRPr="00D159B4">
        <w:rPr>
          <w:rFonts w:asciiTheme="majorBidi" w:eastAsia="Calibri" w:hAnsiTheme="majorBidi" w:cstheme="majorBidi"/>
          <w:szCs w:val="22"/>
        </w:rPr>
        <w:t xml:space="preserve"> a servant ahead to ascertain “whether it was a right- or left-hand sofa, for it required that she should dress accordingly, particularly as regarded her bracelets” (81). The sofa serves as both a functional </w:t>
      </w:r>
      <w:r w:rsidR="00316CCB">
        <w:rPr>
          <w:rFonts w:asciiTheme="majorBidi" w:eastAsia="Calibri" w:hAnsiTheme="majorBidi" w:cstheme="majorBidi"/>
          <w:szCs w:val="22"/>
        </w:rPr>
        <w:t>means of accommodation</w:t>
      </w:r>
      <w:r w:rsidRPr="00D159B4">
        <w:rPr>
          <w:rFonts w:asciiTheme="majorBidi" w:eastAsia="Calibri" w:hAnsiTheme="majorBidi" w:cstheme="majorBidi"/>
          <w:szCs w:val="22"/>
        </w:rPr>
        <w:t xml:space="preserve"> and a magnetic performance piece, drawing in an audience of those in attendance. </w:t>
      </w:r>
    </w:p>
    <w:p w14:paraId="5D664D9F" w14:textId="593537AF" w:rsidR="00D159B4" w:rsidRPr="00D159B4" w:rsidRDefault="00D159B4" w:rsidP="00D159B4">
      <w:pPr>
        <w:spacing w:line="480" w:lineRule="auto"/>
        <w:rPr>
          <w:rFonts w:asciiTheme="majorBidi" w:eastAsia="Calibri" w:hAnsiTheme="majorBidi" w:cstheme="majorBidi"/>
          <w:szCs w:val="22"/>
        </w:rPr>
      </w:pPr>
      <w:r w:rsidRPr="00D159B4">
        <w:rPr>
          <w:rFonts w:asciiTheme="majorBidi" w:eastAsia="Calibri" w:hAnsiTheme="majorBidi" w:cstheme="majorBidi"/>
          <w:szCs w:val="22"/>
        </w:rPr>
        <w:tab/>
        <w:t xml:space="preserve">The </w:t>
      </w:r>
      <w:r w:rsidR="00316CCB">
        <w:rPr>
          <w:rFonts w:asciiTheme="majorBidi" w:eastAsia="Calibri" w:hAnsiTheme="majorBidi" w:cstheme="majorBidi"/>
          <w:szCs w:val="22"/>
        </w:rPr>
        <w:t>s</w:t>
      </w:r>
      <w:r w:rsidRPr="00D159B4">
        <w:rPr>
          <w:rFonts w:asciiTheme="majorBidi" w:eastAsia="Calibri" w:hAnsiTheme="majorBidi" w:cstheme="majorBidi"/>
          <w:szCs w:val="22"/>
        </w:rPr>
        <w:t xml:space="preserve">ignora’s social mobility, then, paradoxically comes via </w:t>
      </w:r>
      <w:r w:rsidR="00316CCB">
        <w:rPr>
          <w:rFonts w:asciiTheme="majorBidi" w:eastAsia="Calibri" w:hAnsiTheme="majorBidi" w:cstheme="majorBidi"/>
          <w:szCs w:val="22"/>
        </w:rPr>
        <w:t>the</w:t>
      </w:r>
      <w:r w:rsidRPr="00D159B4">
        <w:rPr>
          <w:rFonts w:asciiTheme="majorBidi" w:eastAsia="Calibri" w:hAnsiTheme="majorBidi" w:cstheme="majorBidi"/>
          <w:szCs w:val="22"/>
        </w:rPr>
        <w:t xml:space="preserve"> dramatic, material exploitation of her immobility.</w:t>
      </w:r>
      <w:r w:rsidRPr="00D159B4">
        <w:rPr>
          <w:rFonts w:asciiTheme="majorBidi" w:eastAsia="Calibri" w:hAnsiTheme="majorBidi" w:cstheme="majorBidi"/>
          <w:szCs w:val="22"/>
          <w:vertAlign w:val="superscript"/>
        </w:rPr>
        <w:footnoteReference w:id="105"/>
      </w:r>
      <w:r w:rsidRPr="00D159B4">
        <w:rPr>
          <w:rFonts w:asciiTheme="majorBidi" w:eastAsia="Calibri" w:hAnsiTheme="majorBidi" w:cstheme="majorBidi"/>
          <w:szCs w:val="22"/>
        </w:rPr>
        <w:t xml:space="preserve"> The static sofa mobilizes the nondisabled guests and entangles them in a crowded web of bodies, impeding their own movement: “They had been crowded up behind the head of the sofa: the bishop in waiting to receive his guest, and the others in carrying her; and they now had hardly room to move themselves” (82). The sofa allows its user to dictate and direct the movements of others. She can achieve proximity to or distance from a person by </w:t>
      </w:r>
      <w:r w:rsidRPr="00D159B4">
        <w:rPr>
          <w:rFonts w:asciiTheme="majorBidi" w:eastAsia="Calibri" w:hAnsiTheme="majorBidi" w:cstheme="majorBidi"/>
          <w:szCs w:val="22"/>
        </w:rPr>
        <w:lastRenderedPageBreak/>
        <w:t>projecting preference onto the material constraints of the object. “Madeline,” the narrator knowingly divulges, “could always dispose herself so as to make room for a gentleman, though, as she declared, the crinoline of her lady friends was much too bulky to be so accommodated” (86). As an extension of her physical self, the sofa allows Madeline to project her preferences and to be more fully herself than she could, perhaps, if she were not disabled.</w:t>
      </w:r>
      <w:r w:rsidRPr="00D159B4">
        <w:rPr>
          <w:rFonts w:asciiTheme="majorBidi" w:eastAsia="Calibri" w:hAnsiTheme="majorBidi" w:cstheme="majorBidi"/>
          <w:szCs w:val="22"/>
          <w:vertAlign w:val="superscript"/>
        </w:rPr>
        <w:footnoteReference w:id="106"/>
      </w:r>
      <w:r w:rsidRPr="00D159B4">
        <w:rPr>
          <w:rFonts w:asciiTheme="majorBidi" w:eastAsia="Calibri" w:hAnsiTheme="majorBidi" w:cstheme="majorBidi"/>
          <w:szCs w:val="22"/>
        </w:rPr>
        <w:t xml:space="preserve"> The social rules of engagement for Barchester’s elite seem contingent on criteria other than social class; as the only disabled character among a cast of nondisabled people, Madeline is in a class all her own. And the prosthetic object’s function as a vehicle for self-assertion further manifests itself in Mrs. Proudie’s ineffectual attempts to spar with the signora and her sofa. When Bertie moves the couch to a less crowded location, it rends Mrs. Proudie’s lace trail. Enraged, Mrs. Proudie attempts to slight Signora Neroni</w:t>
      </w:r>
      <w:r w:rsidR="00F40A1F">
        <w:rPr>
          <w:rFonts w:asciiTheme="majorBidi" w:eastAsia="Calibri" w:hAnsiTheme="majorBidi" w:cstheme="majorBidi"/>
          <w:szCs w:val="22"/>
        </w:rPr>
        <w:t>;</w:t>
      </w:r>
      <w:r w:rsidRPr="00D159B4">
        <w:rPr>
          <w:rFonts w:asciiTheme="majorBidi" w:eastAsia="Calibri" w:hAnsiTheme="majorBidi" w:cstheme="majorBidi"/>
          <w:szCs w:val="22"/>
        </w:rPr>
        <w:t xml:space="preserve"> the physically immobile signora merely laughs loudly as Mrs. Proudie retreats, and, the narrator concludes, “Had she been as active as Grimaldi, she could probably have taken no better revenge” (94).</w:t>
      </w:r>
      <w:r w:rsidRPr="00D159B4">
        <w:rPr>
          <w:rFonts w:asciiTheme="majorBidi" w:eastAsia="Calibri" w:hAnsiTheme="majorBidi" w:cstheme="majorBidi"/>
          <w:szCs w:val="22"/>
          <w:vertAlign w:val="superscript"/>
        </w:rPr>
        <w:footnoteReference w:id="107"/>
      </w:r>
      <w:r w:rsidRPr="00D159B4">
        <w:rPr>
          <w:rFonts w:asciiTheme="majorBidi" w:eastAsia="Calibri" w:hAnsiTheme="majorBidi" w:cstheme="majorBidi"/>
          <w:szCs w:val="22"/>
        </w:rPr>
        <w:t xml:space="preserve"> Poised on what is, finally, a veritable seat of power, Signora Neroni secures wide social circulation without ever standing. She fortifies herself against open derision by acting out her own version of herself with the help of her fashionable prosthetic and male attendants, encoding her sexuality and authority in material expressions of grandeur and performative interrelationality.</w:t>
      </w:r>
      <w:r w:rsidRPr="00D159B4">
        <w:rPr>
          <w:rFonts w:asciiTheme="majorBidi" w:eastAsia="Calibri" w:hAnsiTheme="majorBidi" w:cstheme="majorBidi"/>
          <w:szCs w:val="22"/>
          <w:vertAlign w:val="superscript"/>
        </w:rPr>
        <w:footnoteReference w:id="108"/>
      </w:r>
      <w:r w:rsidRPr="00D159B4">
        <w:rPr>
          <w:rFonts w:asciiTheme="majorBidi" w:eastAsia="Calibri" w:hAnsiTheme="majorBidi" w:cstheme="majorBidi"/>
          <w:szCs w:val="22"/>
        </w:rPr>
        <w:t xml:space="preserve"> </w:t>
      </w:r>
    </w:p>
    <w:p w14:paraId="38C04E93" w14:textId="605B51D6" w:rsidR="00D159B4" w:rsidRPr="00D159B4" w:rsidRDefault="00D159B4" w:rsidP="00F40A1F">
      <w:pPr>
        <w:spacing w:line="480" w:lineRule="auto"/>
        <w:ind w:firstLine="720"/>
        <w:rPr>
          <w:rFonts w:asciiTheme="majorBidi" w:eastAsia="Calibri" w:hAnsiTheme="majorBidi" w:cstheme="majorBidi"/>
          <w:szCs w:val="22"/>
        </w:rPr>
      </w:pPr>
      <w:r w:rsidRPr="00D159B4">
        <w:rPr>
          <w:rFonts w:asciiTheme="majorBidi" w:eastAsia="Calibri" w:hAnsiTheme="majorBidi" w:cstheme="majorBidi"/>
          <w:szCs w:val="22"/>
        </w:rPr>
        <w:lastRenderedPageBreak/>
        <w:t>While there is, undeniably, ample narrative attention devoted to Madeline’s sofa, the descriptions take the form of synergic ekphrasis.</w:t>
      </w:r>
      <w:r w:rsidRPr="00D159B4">
        <w:rPr>
          <w:rFonts w:asciiTheme="majorBidi" w:eastAsia="Calibri" w:hAnsiTheme="majorBidi" w:cstheme="majorBidi"/>
          <w:szCs w:val="22"/>
          <w:vertAlign w:val="superscript"/>
        </w:rPr>
        <w:footnoteReference w:id="109"/>
      </w:r>
      <w:r w:rsidRPr="00D159B4">
        <w:rPr>
          <w:rFonts w:asciiTheme="majorBidi" w:eastAsia="Calibri" w:hAnsiTheme="majorBidi" w:cstheme="majorBidi"/>
          <w:szCs w:val="22"/>
        </w:rPr>
        <w:t xml:space="preserve"> The signora’s body blends seamlessly with her dress, couch, and bearers, creating an exquisite portrait rather than an awkward or uncomfortable assemblage of parts. The sofa complements and completes its user. Rather than flattening Madeline’s character, the sofa accommodates and augments it. The potency of her prosthetic object inheres, in large part, in its concurrent status as a fashion item. In the eighteenth and nineteenth centuries, sofas and similar upholstered furniture were regularly featured in fashion plates across women’s-interest publications. (See figures 6 and 7 below.) They existed as part of the period’s popular commodity culture alongside clothing, accessories, and other articles of aesthetic self-expression. The signora’s artistic positioning on her sofa also borrows from the heavily recurrent tope of the reclining female figure in Western painting and sculpture. The narrator describes Madeline as “a couchant goddess” (a clever pun) “as self-possessed as Venus must have been when courting Adonis” (243). The artistic representation of Madeline and her couch here participate in the visual tradition of recumbent goddesses who began to appear in Western paintings as early as Giorgione’s </w:t>
      </w:r>
      <w:r w:rsidRPr="00D159B4">
        <w:rPr>
          <w:rFonts w:asciiTheme="majorBidi" w:eastAsia="Calibri" w:hAnsiTheme="majorBidi" w:cstheme="majorBidi"/>
          <w:i/>
          <w:iCs/>
          <w:szCs w:val="22"/>
        </w:rPr>
        <w:t>The Sleeping Venus</w:t>
      </w:r>
      <w:r w:rsidRPr="00D159B4">
        <w:rPr>
          <w:rFonts w:asciiTheme="majorBidi" w:eastAsia="Calibri" w:hAnsiTheme="majorBidi" w:cstheme="majorBidi"/>
          <w:szCs w:val="22"/>
        </w:rPr>
        <w:t xml:space="preserve"> (c. 1510) and Titan’s </w:t>
      </w:r>
      <w:r w:rsidRPr="00D159B4">
        <w:rPr>
          <w:rFonts w:asciiTheme="majorBidi" w:eastAsia="Calibri" w:hAnsiTheme="majorBidi" w:cstheme="majorBidi"/>
          <w:i/>
          <w:iCs/>
          <w:szCs w:val="22"/>
        </w:rPr>
        <w:t xml:space="preserve">Venus of Urbino </w:t>
      </w:r>
      <w:r w:rsidRPr="00D159B4">
        <w:rPr>
          <w:rFonts w:asciiTheme="majorBidi" w:eastAsia="Calibri" w:hAnsiTheme="majorBidi" w:cstheme="majorBidi"/>
          <w:szCs w:val="22"/>
        </w:rPr>
        <w:t>(1538).</w:t>
      </w:r>
      <w:r w:rsidRPr="00D159B4">
        <w:rPr>
          <w:rFonts w:asciiTheme="majorBidi" w:eastAsia="Calibri" w:hAnsiTheme="majorBidi" w:cstheme="majorBidi"/>
          <w:szCs w:val="22"/>
          <w:vertAlign w:val="superscript"/>
        </w:rPr>
        <w:footnoteReference w:id="110"/>
      </w:r>
      <w:r w:rsidRPr="00D159B4">
        <w:rPr>
          <w:rFonts w:asciiTheme="majorBidi" w:eastAsia="Calibri" w:hAnsiTheme="majorBidi" w:cstheme="majorBidi"/>
          <w:szCs w:val="22"/>
        </w:rPr>
        <w:t xml:space="preserve"> Her powerful recumbency also seems modelled on depictions of Cleopatra in </w:t>
      </w:r>
      <w:r w:rsidR="00FD447A" w:rsidRPr="00D159B4">
        <w:rPr>
          <w:rFonts w:asciiTheme="majorBidi" w:eastAsia="Calibri" w:hAnsiTheme="majorBidi" w:cstheme="majorBidi"/>
          <w:szCs w:val="22"/>
        </w:rPr>
        <w:t xml:space="preserve">repose, as, for example, in William Etty’s </w:t>
      </w:r>
      <w:r w:rsidR="00FD447A" w:rsidRPr="00D159B4">
        <w:rPr>
          <w:rFonts w:asciiTheme="majorBidi" w:eastAsia="Calibri" w:hAnsiTheme="majorBidi" w:cstheme="majorBidi"/>
          <w:i/>
          <w:iCs/>
          <w:szCs w:val="22"/>
        </w:rPr>
        <w:t>The Triumph of Cleopatra</w:t>
      </w:r>
      <w:r w:rsidR="00FD447A" w:rsidRPr="00D159B4">
        <w:rPr>
          <w:rFonts w:asciiTheme="majorBidi" w:eastAsia="Calibri" w:hAnsiTheme="majorBidi" w:cstheme="majorBidi"/>
          <w:szCs w:val="22"/>
        </w:rPr>
        <w:t xml:space="preserve"> </w:t>
      </w:r>
      <w:r w:rsidRPr="00D159B4">
        <w:rPr>
          <w:rFonts w:asciiTheme="majorBidi" w:eastAsia="Calibri" w:hAnsiTheme="majorBidi" w:cstheme="majorBidi"/>
          <w:szCs w:val="22"/>
        </w:rPr>
        <w:br w:type="page"/>
      </w:r>
    </w:p>
    <w:p w14:paraId="44932F86" w14:textId="77777777" w:rsidR="00D159B4" w:rsidRPr="00D159B4" w:rsidRDefault="00D159B4" w:rsidP="00D159B4">
      <w:pPr>
        <w:jc w:val="center"/>
        <w:rPr>
          <w:rFonts w:asciiTheme="majorBidi" w:eastAsia="Calibri" w:hAnsiTheme="majorBidi" w:cstheme="majorBidi"/>
          <w:szCs w:val="22"/>
        </w:rPr>
      </w:pPr>
      <w:r w:rsidRPr="00D159B4">
        <w:rPr>
          <w:rFonts w:asciiTheme="majorBidi" w:eastAsia="Calibri" w:hAnsiTheme="majorBidi" w:cstheme="majorBidi"/>
          <w:noProof/>
          <w:szCs w:val="22"/>
        </w:rPr>
        <w:lastRenderedPageBreak/>
        <w:drawing>
          <wp:anchor distT="0" distB="0" distL="114300" distR="114300" simplePos="0" relativeHeight="251666432" behindDoc="1" locked="0" layoutInCell="1" allowOverlap="1" wp14:anchorId="5BD70473" wp14:editId="69BC253B">
            <wp:simplePos x="0" y="0"/>
            <wp:positionH relativeFrom="column">
              <wp:posOffset>1185545</wp:posOffset>
            </wp:positionH>
            <wp:positionV relativeFrom="paragraph">
              <wp:posOffset>0</wp:posOffset>
            </wp:positionV>
            <wp:extent cx="3435350" cy="2279650"/>
            <wp:effectExtent l="0" t="0" r="0" b="6350"/>
            <wp:wrapTight wrapText="bothSides">
              <wp:wrapPolygon edited="0">
                <wp:start x="0" y="0"/>
                <wp:lineTo x="0" y="21480"/>
                <wp:lineTo x="21440" y="21480"/>
                <wp:lineTo x="21440"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35350" cy="227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930484" w14:textId="77777777" w:rsidR="00D159B4" w:rsidRPr="00D159B4" w:rsidRDefault="00D159B4" w:rsidP="00D159B4">
      <w:pPr>
        <w:jc w:val="center"/>
        <w:rPr>
          <w:rFonts w:asciiTheme="majorBidi" w:eastAsia="Calibri" w:hAnsiTheme="majorBidi" w:cstheme="majorBidi"/>
          <w:szCs w:val="22"/>
        </w:rPr>
      </w:pPr>
    </w:p>
    <w:p w14:paraId="6C2117D0" w14:textId="77777777" w:rsidR="00D159B4" w:rsidRPr="00D159B4" w:rsidRDefault="00D159B4" w:rsidP="00D159B4">
      <w:pPr>
        <w:jc w:val="center"/>
        <w:rPr>
          <w:rFonts w:asciiTheme="majorBidi" w:eastAsia="Calibri" w:hAnsiTheme="majorBidi" w:cstheme="majorBidi"/>
          <w:szCs w:val="22"/>
        </w:rPr>
      </w:pPr>
    </w:p>
    <w:p w14:paraId="4C9B7AED" w14:textId="77777777" w:rsidR="00D159B4" w:rsidRPr="00D159B4" w:rsidRDefault="00D159B4" w:rsidP="00D159B4">
      <w:pPr>
        <w:jc w:val="center"/>
        <w:rPr>
          <w:rFonts w:asciiTheme="majorBidi" w:eastAsia="Calibri" w:hAnsiTheme="majorBidi" w:cstheme="majorBidi"/>
          <w:szCs w:val="22"/>
        </w:rPr>
      </w:pPr>
    </w:p>
    <w:p w14:paraId="03C7B363" w14:textId="77777777" w:rsidR="00D159B4" w:rsidRPr="00D159B4" w:rsidRDefault="00D159B4" w:rsidP="00D159B4">
      <w:pPr>
        <w:jc w:val="center"/>
        <w:rPr>
          <w:rFonts w:asciiTheme="majorBidi" w:eastAsia="Calibri" w:hAnsiTheme="majorBidi" w:cstheme="majorBidi"/>
          <w:szCs w:val="22"/>
        </w:rPr>
      </w:pPr>
    </w:p>
    <w:p w14:paraId="1F3995EA" w14:textId="77777777" w:rsidR="00D159B4" w:rsidRPr="00D159B4" w:rsidRDefault="00D159B4" w:rsidP="00D159B4">
      <w:pPr>
        <w:jc w:val="center"/>
        <w:rPr>
          <w:rFonts w:asciiTheme="majorBidi" w:eastAsia="Calibri" w:hAnsiTheme="majorBidi" w:cstheme="majorBidi"/>
          <w:szCs w:val="22"/>
        </w:rPr>
      </w:pPr>
    </w:p>
    <w:p w14:paraId="7F38E747" w14:textId="77777777" w:rsidR="00D159B4" w:rsidRPr="00D159B4" w:rsidRDefault="00D159B4" w:rsidP="00D159B4">
      <w:pPr>
        <w:jc w:val="center"/>
        <w:rPr>
          <w:rFonts w:asciiTheme="majorBidi" w:eastAsia="Calibri" w:hAnsiTheme="majorBidi" w:cstheme="majorBidi"/>
          <w:szCs w:val="22"/>
        </w:rPr>
      </w:pPr>
    </w:p>
    <w:p w14:paraId="450D949D" w14:textId="77777777" w:rsidR="00D159B4" w:rsidRPr="00D159B4" w:rsidRDefault="00D159B4" w:rsidP="00D159B4">
      <w:pPr>
        <w:jc w:val="center"/>
        <w:rPr>
          <w:rFonts w:asciiTheme="majorBidi" w:eastAsia="Calibri" w:hAnsiTheme="majorBidi" w:cstheme="majorBidi"/>
          <w:szCs w:val="22"/>
        </w:rPr>
      </w:pPr>
    </w:p>
    <w:p w14:paraId="350B34C3" w14:textId="77777777" w:rsidR="00D159B4" w:rsidRPr="00D159B4" w:rsidRDefault="00D159B4" w:rsidP="00D159B4">
      <w:pPr>
        <w:jc w:val="center"/>
        <w:rPr>
          <w:rFonts w:asciiTheme="majorBidi" w:eastAsia="Calibri" w:hAnsiTheme="majorBidi" w:cstheme="majorBidi"/>
          <w:szCs w:val="22"/>
        </w:rPr>
      </w:pPr>
    </w:p>
    <w:p w14:paraId="09F3DBA2" w14:textId="77777777" w:rsidR="00D159B4" w:rsidRPr="00D159B4" w:rsidRDefault="00D159B4" w:rsidP="00D159B4">
      <w:pPr>
        <w:jc w:val="center"/>
        <w:rPr>
          <w:rFonts w:asciiTheme="majorBidi" w:eastAsia="Calibri" w:hAnsiTheme="majorBidi" w:cstheme="majorBidi"/>
          <w:szCs w:val="22"/>
        </w:rPr>
      </w:pPr>
    </w:p>
    <w:p w14:paraId="6B3D9191" w14:textId="77777777" w:rsidR="00D159B4" w:rsidRPr="00D159B4" w:rsidRDefault="00D159B4" w:rsidP="00D159B4">
      <w:pPr>
        <w:jc w:val="center"/>
        <w:rPr>
          <w:rFonts w:asciiTheme="majorBidi" w:eastAsia="Calibri" w:hAnsiTheme="majorBidi" w:cstheme="majorBidi"/>
          <w:szCs w:val="22"/>
        </w:rPr>
      </w:pPr>
    </w:p>
    <w:p w14:paraId="34065EF6" w14:textId="77777777" w:rsidR="00D159B4" w:rsidRPr="00D159B4" w:rsidRDefault="00D159B4" w:rsidP="00D159B4">
      <w:pPr>
        <w:jc w:val="center"/>
        <w:rPr>
          <w:rFonts w:asciiTheme="majorBidi" w:eastAsia="Calibri" w:hAnsiTheme="majorBidi" w:cstheme="majorBidi"/>
          <w:szCs w:val="22"/>
        </w:rPr>
      </w:pPr>
    </w:p>
    <w:p w14:paraId="7375E3CC" w14:textId="77777777" w:rsidR="00D159B4" w:rsidRPr="00D159B4" w:rsidRDefault="00D159B4" w:rsidP="00D159B4">
      <w:pPr>
        <w:jc w:val="center"/>
        <w:rPr>
          <w:rFonts w:asciiTheme="majorBidi" w:eastAsia="Calibri" w:hAnsiTheme="majorBidi" w:cstheme="majorBidi"/>
          <w:szCs w:val="22"/>
        </w:rPr>
      </w:pPr>
    </w:p>
    <w:p w14:paraId="2C85165F" w14:textId="1B7E3EC5" w:rsidR="00D159B4" w:rsidRPr="00D159B4" w:rsidRDefault="00FD447A" w:rsidP="00FD447A">
      <w:pPr>
        <w:pStyle w:val="Caption"/>
        <w:jc w:val="center"/>
        <w:rPr>
          <w:rFonts w:asciiTheme="majorBidi" w:hAnsiTheme="majorBidi" w:cstheme="majorBidi"/>
          <w:b w:val="0"/>
          <w:bCs w:val="0"/>
        </w:rPr>
      </w:pPr>
      <w:bookmarkStart w:id="21" w:name="_Toc101797039"/>
      <w:r w:rsidRPr="002A5475">
        <w:rPr>
          <w:rFonts w:asciiTheme="majorBidi" w:hAnsiTheme="majorBidi" w:cstheme="majorBidi"/>
          <w:b w:val="0"/>
          <w:bCs w:val="0"/>
        </w:rPr>
        <w:t xml:space="preserve">Figure </w:t>
      </w:r>
      <w:r w:rsidRPr="002A5475">
        <w:rPr>
          <w:rFonts w:asciiTheme="majorBidi" w:hAnsiTheme="majorBidi" w:cstheme="majorBidi"/>
          <w:b w:val="0"/>
          <w:bCs w:val="0"/>
        </w:rPr>
        <w:fldChar w:fldCharType="begin"/>
      </w:r>
      <w:r w:rsidRPr="002A5475">
        <w:rPr>
          <w:rFonts w:asciiTheme="majorBidi" w:hAnsiTheme="majorBidi" w:cstheme="majorBidi"/>
          <w:b w:val="0"/>
          <w:bCs w:val="0"/>
        </w:rPr>
        <w:instrText xml:space="preserve"> SEQ Figure \* ARABIC </w:instrText>
      </w:r>
      <w:r w:rsidRPr="002A5475">
        <w:rPr>
          <w:rFonts w:asciiTheme="majorBidi" w:hAnsiTheme="majorBidi" w:cstheme="majorBidi"/>
          <w:b w:val="0"/>
          <w:bCs w:val="0"/>
        </w:rPr>
        <w:fldChar w:fldCharType="separate"/>
      </w:r>
      <w:r w:rsidR="00A90752">
        <w:rPr>
          <w:rFonts w:asciiTheme="majorBidi" w:hAnsiTheme="majorBidi" w:cstheme="majorBidi"/>
          <w:b w:val="0"/>
          <w:bCs w:val="0"/>
          <w:noProof/>
        </w:rPr>
        <w:t>6</w:t>
      </w:r>
      <w:r w:rsidRPr="002A5475">
        <w:rPr>
          <w:rFonts w:asciiTheme="majorBidi" w:hAnsiTheme="majorBidi" w:cstheme="majorBidi"/>
          <w:b w:val="0"/>
          <w:bCs w:val="0"/>
        </w:rPr>
        <w:fldChar w:fldCharType="end"/>
      </w:r>
      <w:r w:rsidRPr="002A5475">
        <w:rPr>
          <w:rFonts w:asciiTheme="majorBidi" w:hAnsiTheme="majorBidi" w:cstheme="majorBidi"/>
          <w:b w:val="0"/>
          <w:bCs w:val="0"/>
        </w:rPr>
        <w:t xml:space="preserve">: Fashion plate from </w:t>
      </w:r>
      <w:r w:rsidRPr="002A5475">
        <w:rPr>
          <w:rFonts w:asciiTheme="majorBidi" w:hAnsiTheme="majorBidi" w:cstheme="majorBidi"/>
          <w:b w:val="0"/>
          <w:bCs w:val="0"/>
          <w:i/>
          <w:iCs/>
        </w:rPr>
        <w:t xml:space="preserve">La Mode </w:t>
      </w:r>
      <w:r w:rsidR="00D159B4" w:rsidRPr="00D159B4">
        <w:rPr>
          <w:rFonts w:asciiTheme="majorBidi" w:eastAsia="Calibri" w:hAnsiTheme="majorBidi" w:cstheme="majorBidi"/>
          <w:b w:val="0"/>
          <w:bCs w:val="0"/>
          <w:szCs w:val="22"/>
        </w:rPr>
        <w:t xml:space="preserve">(23 May 1840). A </w:t>
      </w:r>
      <w:r w:rsidR="00F40A1F">
        <w:rPr>
          <w:rFonts w:asciiTheme="majorBidi" w:eastAsia="Calibri" w:hAnsiTheme="majorBidi" w:cstheme="majorBidi"/>
          <w:b w:val="0"/>
          <w:bCs w:val="0"/>
          <w:szCs w:val="22"/>
        </w:rPr>
        <w:t>w</w:t>
      </w:r>
      <w:r w:rsidR="00D159B4" w:rsidRPr="00D159B4">
        <w:rPr>
          <w:rFonts w:asciiTheme="majorBidi" w:eastAsia="Calibri" w:hAnsiTheme="majorBidi" w:cstheme="majorBidi"/>
          <w:b w:val="0"/>
          <w:bCs w:val="0"/>
          <w:szCs w:val="22"/>
        </w:rPr>
        <w:t xml:space="preserve">oman wearing a bonnet by M. Sehuin and dress by Mlle Moismont (Paris) </w:t>
      </w:r>
      <w:r w:rsidR="00F40A1F">
        <w:rPr>
          <w:rFonts w:asciiTheme="majorBidi" w:eastAsia="Calibri" w:hAnsiTheme="majorBidi" w:cstheme="majorBidi"/>
          <w:b w:val="0"/>
          <w:bCs w:val="0"/>
          <w:szCs w:val="22"/>
        </w:rPr>
        <w:t xml:space="preserve">is </w:t>
      </w:r>
      <w:r w:rsidR="00D159B4" w:rsidRPr="00D159B4">
        <w:rPr>
          <w:rFonts w:asciiTheme="majorBidi" w:eastAsia="Calibri" w:hAnsiTheme="majorBidi" w:cstheme="majorBidi"/>
          <w:b w:val="0"/>
          <w:bCs w:val="0"/>
          <w:szCs w:val="22"/>
        </w:rPr>
        <w:t>seated on a love-seat made by Maigret. Courtesy of the Victoria and Albert Museum (London).</w:t>
      </w:r>
      <w:bookmarkEnd w:id="21"/>
    </w:p>
    <w:p w14:paraId="25C55FAF" w14:textId="5124A3FA" w:rsidR="00FD447A" w:rsidRPr="002A5475" w:rsidRDefault="00FD447A" w:rsidP="00D159B4">
      <w:pPr>
        <w:rPr>
          <w:rFonts w:asciiTheme="majorBidi" w:eastAsia="Calibri" w:hAnsiTheme="majorBidi" w:cstheme="majorBidi"/>
          <w:szCs w:val="22"/>
        </w:rPr>
      </w:pPr>
    </w:p>
    <w:p w14:paraId="05B393E0" w14:textId="0DC3C732" w:rsidR="00571897" w:rsidRPr="002A5475" w:rsidRDefault="00571897" w:rsidP="00D159B4">
      <w:pPr>
        <w:rPr>
          <w:rFonts w:asciiTheme="majorBidi" w:eastAsia="Calibri" w:hAnsiTheme="majorBidi" w:cstheme="majorBidi"/>
          <w:szCs w:val="22"/>
        </w:rPr>
      </w:pPr>
    </w:p>
    <w:p w14:paraId="2ABD76F2" w14:textId="77777777" w:rsidR="00571897" w:rsidRPr="00D159B4" w:rsidRDefault="00571897" w:rsidP="00D159B4">
      <w:pPr>
        <w:rPr>
          <w:rFonts w:asciiTheme="majorBidi" w:eastAsia="Calibri" w:hAnsiTheme="majorBidi" w:cstheme="majorBidi"/>
          <w:szCs w:val="22"/>
        </w:rPr>
      </w:pPr>
    </w:p>
    <w:p w14:paraId="178A4289" w14:textId="77777777" w:rsidR="00D159B4" w:rsidRPr="00D159B4" w:rsidRDefault="00D159B4" w:rsidP="00D159B4">
      <w:pPr>
        <w:jc w:val="center"/>
        <w:rPr>
          <w:rFonts w:asciiTheme="majorBidi" w:eastAsia="Calibri" w:hAnsiTheme="majorBidi" w:cstheme="majorBidi"/>
          <w:szCs w:val="22"/>
        </w:rPr>
      </w:pPr>
    </w:p>
    <w:p w14:paraId="2E274535" w14:textId="77777777" w:rsidR="00D159B4" w:rsidRPr="00D159B4" w:rsidRDefault="00D159B4" w:rsidP="00D159B4">
      <w:pPr>
        <w:jc w:val="center"/>
        <w:rPr>
          <w:rFonts w:asciiTheme="majorBidi" w:eastAsia="Calibri" w:hAnsiTheme="majorBidi" w:cstheme="majorBidi"/>
          <w:szCs w:val="22"/>
        </w:rPr>
      </w:pPr>
      <w:r w:rsidRPr="00D159B4">
        <w:rPr>
          <w:rFonts w:asciiTheme="majorBidi" w:eastAsia="Calibri" w:hAnsiTheme="majorBidi" w:cstheme="majorBidi"/>
          <w:noProof/>
          <w:szCs w:val="22"/>
        </w:rPr>
        <w:drawing>
          <wp:anchor distT="0" distB="0" distL="114300" distR="114300" simplePos="0" relativeHeight="251667456" behindDoc="1" locked="0" layoutInCell="1" allowOverlap="1" wp14:anchorId="43FE8CAA" wp14:editId="0679E7F1">
            <wp:simplePos x="0" y="0"/>
            <wp:positionH relativeFrom="column">
              <wp:posOffset>2018665</wp:posOffset>
            </wp:positionH>
            <wp:positionV relativeFrom="paragraph">
              <wp:posOffset>123825</wp:posOffset>
            </wp:positionV>
            <wp:extent cx="1884680" cy="3034665"/>
            <wp:effectExtent l="0" t="0" r="1270" b="0"/>
            <wp:wrapTight wrapText="bothSides">
              <wp:wrapPolygon edited="0">
                <wp:start x="0" y="0"/>
                <wp:lineTo x="0" y="21424"/>
                <wp:lineTo x="21396" y="21424"/>
                <wp:lineTo x="21396"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84680" cy="30346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96C803" w14:textId="77777777" w:rsidR="00D159B4" w:rsidRPr="00D159B4" w:rsidRDefault="00D159B4" w:rsidP="00D159B4">
      <w:pPr>
        <w:jc w:val="center"/>
        <w:rPr>
          <w:rFonts w:asciiTheme="majorBidi" w:eastAsia="Calibri" w:hAnsiTheme="majorBidi" w:cstheme="majorBidi"/>
          <w:szCs w:val="22"/>
        </w:rPr>
      </w:pPr>
    </w:p>
    <w:p w14:paraId="3A83F90D" w14:textId="77777777" w:rsidR="00D159B4" w:rsidRPr="00D159B4" w:rsidRDefault="00D159B4" w:rsidP="00D159B4">
      <w:pPr>
        <w:jc w:val="center"/>
        <w:rPr>
          <w:rFonts w:asciiTheme="majorBidi" w:eastAsia="Calibri" w:hAnsiTheme="majorBidi" w:cstheme="majorBidi"/>
          <w:szCs w:val="22"/>
        </w:rPr>
      </w:pPr>
    </w:p>
    <w:p w14:paraId="73F63904" w14:textId="77777777" w:rsidR="00D159B4" w:rsidRPr="00D159B4" w:rsidRDefault="00D159B4" w:rsidP="00D159B4">
      <w:pPr>
        <w:jc w:val="center"/>
        <w:rPr>
          <w:rFonts w:asciiTheme="majorBidi" w:eastAsia="Calibri" w:hAnsiTheme="majorBidi" w:cstheme="majorBidi"/>
          <w:szCs w:val="22"/>
        </w:rPr>
      </w:pPr>
    </w:p>
    <w:p w14:paraId="47F651BA" w14:textId="77777777" w:rsidR="00D159B4" w:rsidRPr="00D159B4" w:rsidRDefault="00D159B4" w:rsidP="00D159B4">
      <w:pPr>
        <w:jc w:val="center"/>
        <w:rPr>
          <w:rFonts w:asciiTheme="majorBidi" w:eastAsia="Calibri" w:hAnsiTheme="majorBidi" w:cstheme="majorBidi"/>
          <w:szCs w:val="22"/>
        </w:rPr>
      </w:pPr>
    </w:p>
    <w:p w14:paraId="4FAA2F66" w14:textId="77777777" w:rsidR="00D159B4" w:rsidRPr="00D159B4" w:rsidRDefault="00D159B4" w:rsidP="00D159B4">
      <w:pPr>
        <w:jc w:val="center"/>
        <w:rPr>
          <w:rFonts w:asciiTheme="majorBidi" w:eastAsia="Calibri" w:hAnsiTheme="majorBidi" w:cstheme="majorBidi"/>
          <w:szCs w:val="22"/>
        </w:rPr>
      </w:pPr>
    </w:p>
    <w:p w14:paraId="4EE94C4C" w14:textId="77777777" w:rsidR="00D159B4" w:rsidRPr="00D159B4" w:rsidRDefault="00D159B4" w:rsidP="00D159B4">
      <w:pPr>
        <w:jc w:val="center"/>
        <w:rPr>
          <w:rFonts w:asciiTheme="majorBidi" w:eastAsia="Calibri" w:hAnsiTheme="majorBidi" w:cstheme="majorBidi"/>
          <w:szCs w:val="22"/>
        </w:rPr>
      </w:pPr>
    </w:p>
    <w:p w14:paraId="6720DD31" w14:textId="77777777" w:rsidR="00D159B4" w:rsidRPr="00D159B4" w:rsidRDefault="00D159B4" w:rsidP="00D159B4">
      <w:pPr>
        <w:jc w:val="center"/>
        <w:rPr>
          <w:rFonts w:asciiTheme="majorBidi" w:eastAsia="Calibri" w:hAnsiTheme="majorBidi" w:cstheme="majorBidi"/>
          <w:szCs w:val="22"/>
        </w:rPr>
      </w:pPr>
    </w:p>
    <w:p w14:paraId="72D29BFB" w14:textId="77777777" w:rsidR="00D159B4" w:rsidRPr="00D159B4" w:rsidRDefault="00D159B4" w:rsidP="00D159B4">
      <w:pPr>
        <w:jc w:val="center"/>
        <w:rPr>
          <w:rFonts w:asciiTheme="majorBidi" w:eastAsia="Calibri" w:hAnsiTheme="majorBidi" w:cstheme="majorBidi"/>
          <w:szCs w:val="22"/>
        </w:rPr>
      </w:pPr>
    </w:p>
    <w:p w14:paraId="14B6DDB4" w14:textId="77777777" w:rsidR="00D159B4" w:rsidRPr="00D159B4" w:rsidRDefault="00D159B4" w:rsidP="00D159B4">
      <w:pPr>
        <w:jc w:val="center"/>
        <w:rPr>
          <w:rFonts w:asciiTheme="majorBidi" w:eastAsia="Calibri" w:hAnsiTheme="majorBidi" w:cstheme="majorBidi"/>
          <w:szCs w:val="22"/>
        </w:rPr>
      </w:pPr>
    </w:p>
    <w:p w14:paraId="4663FD0F" w14:textId="77777777" w:rsidR="00D159B4" w:rsidRPr="00D159B4" w:rsidRDefault="00D159B4" w:rsidP="00D159B4">
      <w:pPr>
        <w:jc w:val="center"/>
        <w:rPr>
          <w:rFonts w:asciiTheme="majorBidi" w:eastAsia="Calibri" w:hAnsiTheme="majorBidi" w:cstheme="majorBidi"/>
          <w:szCs w:val="22"/>
        </w:rPr>
      </w:pPr>
    </w:p>
    <w:p w14:paraId="04F00AE9" w14:textId="77777777" w:rsidR="00D159B4" w:rsidRPr="00D159B4" w:rsidRDefault="00D159B4" w:rsidP="00D159B4">
      <w:pPr>
        <w:jc w:val="center"/>
        <w:rPr>
          <w:rFonts w:asciiTheme="majorBidi" w:eastAsia="Calibri" w:hAnsiTheme="majorBidi" w:cstheme="majorBidi"/>
          <w:szCs w:val="22"/>
        </w:rPr>
      </w:pPr>
    </w:p>
    <w:p w14:paraId="07DF33B0" w14:textId="77777777" w:rsidR="00D159B4" w:rsidRPr="00D159B4" w:rsidRDefault="00D159B4" w:rsidP="00D159B4">
      <w:pPr>
        <w:jc w:val="center"/>
        <w:rPr>
          <w:rFonts w:asciiTheme="majorBidi" w:eastAsia="Calibri" w:hAnsiTheme="majorBidi" w:cstheme="majorBidi"/>
          <w:szCs w:val="22"/>
        </w:rPr>
      </w:pPr>
    </w:p>
    <w:p w14:paraId="18CE8C68" w14:textId="77777777" w:rsidR="00D159B4" w:rsidRPr="00D159B4" w:rsidRDefault="00D159B4" w:rsidP="00D159B4">
      <w:pPr>
        <w:jc w:val="center"/>
        <w:rPr>
          <w:rFonts w:asciiTheme="majorBidi" w:eastAsia="Calibri" w:hAnsiTheme="majorBidi" w:cstheme="majorBidi"/>
          <w:szCs w:val="22"/>
        </w:rPr>
      </w:pPr>
    </w:p>
    <w:p w14:paraId="46ED1E5D" w14:textId="77777777" w:rsidR="00D159B4" w:rsidRPr="00D159B4" w:rsidRDefault="00D159B4" w:rsidP="00D159B4">
      <w:pPr>
        <w:jc w:val="center"/>
        <w:rPr>
          <w:rFonts w:asciiTheme="majorBidi" w:eastAsia="Calibri" w:hAnsiTheme="majorBidi" w:cstheme="majorBidi"/>
          <w:szCs w:val="22"/>
        </w:rPr>
      </w:pPr>
    </w:p>
    <w:p w14:paraId="11B2B28D" w14:textId="77777777" w:rsidR="00D159B4" w:rsidRPr="00D159B4" w:rsidRDefault="00D159B4" w:rsidP="00D159B4">
      <w:pPr>
        <w:jc w:val="center"/>
        <w:rPr>
          <w:rFonts w:asciiTheme="majorBidi" w:eastAsia="Calibri" w:hAnsiTheme="majorBidi" w:cstheme="majorBidi"/>
          <w:szCs w:val="22"/>
        </w:rPr>
      </w:pPr>
    </w:p>
    <w:p w14:paraId="0F7879C2" w14:textId="77777777" w:rsidR="00D159B4" w:rsidRPr="00D159B4" w:rsidRDefault="00D159B4" w:rsidP="00D159B4">
      <w:pPr>
        <w:jc w:val="center"/>
        <w:rPr>
          <w:rFonts w:asciiTheme="majorBidi" w:eastAsia="Calibri" w:hAnsiTheme="majorBidi" w:cstheme="majorBidi"/>
          <w:szCs w:val="22"/>
        </w:rPr>
      </w:pPr>
    </w:p>
    <w:p w14:paraId="7F163D7A" w14:textId="77777777" w:rsidR="00D159B4" w:rsidRPr="00D159B4" w:rsidRDefault="00D159B4" w:rsidP="00FD447A">
      <w:pPr>
        <w:rPr>
          <w:rFonts w:asciiTheme="majorBidi" w:eastAsia="Calibri" w:hAnsiTheme="majorBidi" w:cstheme="majorBidi"/>
          <w:szCs w:val="22"/>
        </w:rPr>
      </w:pPr>
    </w:p>
    <w:p w14:paraId="134174E6" w14:textId="39144BD7" w:rsidR="00D159B4" w:rsidRPr="002A5475" w:rsidRDefault="00FD447A" w:rsidP="00FD447A">
      <w:pPr>
        <w:pStyle w:val="Caption"/>
        <w:jc w:val="center"/>
        <w:rPr>
          <w:rFonts w:asciiTheme="majorBidi" w:eastAsia="Calibri" w:hAnsiTheme="majorBidi" w:cstheme="majorBidi"/>
          <w:b w:val="0"/>
          <w:bCs w:val="0"/>
          <w:szCs w:val="22"/>
        </w:rPr>
      </w:pPr>
      <w:bookmarkStart w:id="22" w:name="_Toc101797040"/>
      <w:r w:rsidRPr="002A5475">
        <w:rPr>
          <w:rFonts w:asciiTheme="majorBidi" w:hAnsiTheme="majorBidi" w:cstheme="majorBidi"/>
          <w:b w:val="0"/>
          <w:bCs w:val="0"/>
        </w:rPr>
        <w:t xml:space="preserve">Figure </w:t>
      </w:r>
      <w:r w:rsidRPr="002A5475">
        <w:rPr>
          <w:rFonts w:asciiTheme="majorBidi" w:hAnsiTheme="majorBidi" w:cstheme="majorBidi"/>
          <w:b w:val="0"/>
          <w:bCs w:val="0"/>
        </w:rPr>
        <w:fldChar w:fldCharType="begin"/>
      </w:r>
      <w:r w:rsidRPr="002A5475">
        <w:rPr>
          <w:rFonts w:asciiTheme="majorBidi" w:hAnsiTheme="majorBidi" w:cstheme="majorBidi"/>
          <w:b w:val="0"/>
          <w:bCs w:val="0"/>
        </w:rPr>
        <w:instrText xml:space="preserve"> SEQ Figure \* ARABIC </w:instrText>
      </w:r>
      <w:r w:rsidRPr="002A5475">
        <w:rPr>
          <w:rFonts w:asciiTheme="majorBidi" w:hAnsiTheme="majorBidi" w:cstheme="majorBidi"/>
          <w:b w:val="0"/>
          <w:bCs w:val="0"/>
        </w:rPr>
        <w:fldChar w:fldCharType="separate"/>
      </w:r>
      <w:r w:rsidR="00A90752">
        <w:rPr>
          <w:rFonts w:asciiTheme="majorBidi" w:hAnsiTheme="majorBidi" w:cstheme="majorBidi"/>
          <w:b w:val="0"/>
          <w:bCs w:val="0"/>
          <w:noProof/>
        </w:rPr>
        <w:t>7</w:t>
      </w:r>
      <w:r w:rsidRPr="002A5475">
        <w:rPr>
          <w:rFonts w:asciiTheme="majorBidi" w:hAnsiTheme="majorBidi" w:cstheme="majorBidi"/>
          <w:b w:val="0"/>
          <w:bCs w:val="0"/>
        </w:rPr>
        <w:fldChar w:fldCharType="end"/>
      </w:r>
      <w:r w:rsidRPr="002A5475">
        <w:rPr>
          <w:rFonts w:asciiTheme="majorBidi" w:hAnsiTheme="majorBidi" w:cstheme="majorBidi"/>
          <w:b w:val="0"/>
          <w:bCs w:val="0"/>
        </w:rPr>
        <w:t xml:space="preserve">: Fashion plate from </w:t>
      </w:r>
      <w:r w:rsidRPr="002A5475">
        <w:rPr>
          <w:rFonts w:asciiTheme="majorBidi" w:hAnsiTheme="majorBidi" w:cstheme="majorBidi"/>
          <w:b w:val="0"/>
          <w:bCs w:val="0"/>
          <w:i/>
          <w:iCs/>
        </w:rPr>
        <w:t xml:space="preserve">Le Conseiller des Dames </w:t>
      </w:r>
      <w:r w:rsidR="00D159B4" w:rsidRPr="00D159B4">
        <w:rPr>
          <w:rFonts w:asciiTheme="majorBidi" w:eastAsia="Calibri" w:hAnsiTheme="majorBidi" w:cstheme="majorBidi"/>
          <w:b w:val="0"/>
          <w:bCs w:val="0"/>
          <w:szCs w:val="22"/>
        </w:rPr>
        <w:t>(Paris, c. 1850). The plate, by Anaïs Toudouze, features a woman in a white lace gown trimmed with ivy leaves and a</w:t>
      </w:r>
      <w:r w:rsidRPr="002A5475">
        <w:rPr>
          <w:rFonts w:asciiTheme="majorBidi" w:eastAsia="Calibri" w:hAnsiTheme="majorBidi" w:cstheme="majorBidi"/>
          <w:b w:val="0"/>
          <w:bCs w:val="0"/>
          <w:szCs w:val="22"/>
        </w:rPr>
        <w:t xml:space="preserve"> </w:t>
      </w:r>
      <w:r w:rsidR="00D159B4" w:rsidRPr="00D159B4">
        <w:rPr>
          <w:rFonts w:asciiTheme="majorBidi" w:eastAsia="Calibri" w:hAnsiTheme="majorBidi" w:cstheme="majorBidi"/>
          <w:b w:val="0"/>
          <w:bCs w:val="0"/>
          <w:szCs w:val="22"/>
        </w:rPr>
        <w:t>woman in a black and yellow Spanish fancy dress costume seated on a green upholstered sofa. Courtesy of the Victoria and Albert Museum (London).</w:t>
      </w:r>
      <w:bookmarkEnd w:id="22"/>
    </w:p>
    <w:p w14:paraId="2C97A86A" w14:textId="77777777" w:rsidR="00571897" w:rsidRPr="00D159B4" w:rsidRDefault="00571897" w:rsidP="00571897">
      <w:pPr>
        <w:rPr>
          <w:rFonts w:asciiTheme="majorBidi" w:hAnsiTheme="majorBidi" w:cstheme="majorBidi"/>
        </w:rPr>
      </w:pPr>
    </w:p>
    <w:p w14:paraId="78613A29" w14:textId="458C701C" w:rsidR="00D159B4" w:rsidRPr="00D159B4" w:rsidRDefault="00FD447A" w:rsidP="00FD447A">
      <w:pPr>
        <w:spacing w:line="480" w:lineRule="auto"/>
        <w:rPr>
          <w:rFonts w:asciiTheme="majorBidi" w:eastAsia="Calibri" w:hAnsiTheme="majorBidi" w:cstheme="majorBidi"/>
          <w:szCs w:val="22"/>
        </w:rPr>
      </w:pPr>
      <w:r w:rsidRPr="00D159B4">
        <w:rPr>
          <w:rFonts w:asciiTheme="majorBidi" w:eastAsia="Calibri" w:hAnsiTheme="majorBidi" w:cstheme="majorBidi"/>
          <w:szCs w:val="22"/>
        </w:rPr>
        <w:lastRenderedPageBreak/>
        <w:t>(1821).</w:t>
      </w:r>
      <w:r w:rsidRPr="00D159B4">
        <w:rPr>
          <w:rFonts w:asciiTheme="majorBidi" w:eastAsia="Calibri" w:hAnsiTheme="majorBidi" w:cstheme="majorBidi"/>
          <w:szCs w:val="22"/>
          <w:vertAlign w:val="superscript"/>
        </w:rPr>
        <w:footnoteReference w:id="111"/>
      </w:r>
      <w:r w:rsidRPr="00D159B4">
        <w:rPr>
          <w:rFonts w:asciiTheme="majorBidi" w:eastAsia="Calibri" w:hAnsiTheme="majorBidi" w:cstheme="majorBidi"/>
          <w:szCs w:val="22"/>
        </w:rPr>
        <w:t xml:space="preserve"> The ekphrastic</w:t>
      </w:r>
      <w:r w:rsidRPr="002A5475">
        <w:rPr>
          <w:rFonts w:asciiTheme="majorBidi" w:eastAsia="Calibri" w:hAnsiTheme="majorBidi" w:cstheme="majorBidi"/>
          <w:szCs w:val="22"/>
        </w:rPr>
        <w:t xml:space="preserve"> </w:t>
      </w:r>
      <w:r w:rsidRPr="00D159B4">
        <w:rPr>
          <w:rFonts w:asciiTheme="majorBidi" w:eastAsia="Calibri" w:hAnsiTheme="majorBidi" w:cstheme="majorBidi"/>
          <w:szCs w:val="22"/>
        </w:rPr>
        <w:t>quality of Madeline’s prosthetic object—the convergence of medical</w:t>
      </w:r>
      <w:r w:rsidRPr="002A5475">
        <w:rPr>
          <w:rFonts w:asciiTheme="majorBidi" w:eastAsia="Calibri" w:hAnsiTheme="majorBidi" w:cstheme="majorBidi"/>
          <w:szCs w:val="22"/>
        </w:rPr>
        <w:t xml:space="preserve"> </w:t>
      </w:r>
      <w:r w:rsidR="00D159B4" w:rsidRPr="00D159B4">
        <w:rPr>
          <w:rFonts w:asciiTheme="majorBidi" w:eastAsia="Calibri" w:hAnsiTheme="majorBidi" w:cstheme="majorBidi"/>
          <w:szCs w:val="22"/>
        </w:rPr>
        <w:t xml:space="preserve">technology, art, and mythologized women of power—becomes one of the primary sources of disabled agency in the novel. It externalizes Madeline’s intimidating capacity for dominance in the narrative even from her physically static position. </w:t>
      </w:r>
    </w:p>
    <w:p w14:paraId="45013C58" w14:textId="77777777" w:rsidR="00D159B4" w:rsidRPr="00D159B4" w:rsidRDefault="00D159B4" w:rsidP="00D159B4">
      <w:pPr>
        <w:spacing w:line="480" w:lineRule="auto"/>
        <w:ind w:firstLine="720"/>
        <w:rPr>
          <w:rFonts w:asciiTheme="majorBidi" w:eastAsia="Calibri" w:hAnsiTheme="majorBidi" w:cstheme="majorBidi"/>
          <w:szCs w:val="22"/>
        </w:rPr>
      </w:pPr>
      <w:r w:rsidRPr="00D159B4">
        <w:rPr>
          <w:rFonts w:asciiTheme="majorBidi" w:eastAsia="Calibri" w:hAnsiTheme="majorBidi" w:cstheme="majorBidi"/>
          <w:szCs w:val="22"/>
        </w:rPr>
        <w:t xml:space="preserve">Madeline, of course, exists as a minor character in the narrative landscape of </w:t>
      </w:r>
      <w:r w:rsidRPr="00D159B4">
        <w:rPr>
          <w:rFonts w:asciiTheme="majorBidi" w:eastAsia="Calibri" w:hAnsiTheme="majorBidi" w:cstheme="majorBidi"/>
          <w:i/>
          <w:iCs/>
          <w:szCs w:val="22"/>
        </w:rPr>
        <w:t>Barchester Towers</w:t>
      </w:r>
      <w:r w:rsidRPr="00D159B4">
        <w:rPr>
          <w:rFonts w:asciiTheme="majorBidi" w:eastAsia="Calibri" w:hAnsiTheme="majorBidi" w:cstheme="majorBidi"/>
          <w:szCs w:val="22"/>
        </w:rPr>
        <w:t xml:space="preserve">, but she remains remarkable among the cast—more major-minor than truly minor—primarily because of her adoption of a mobility aid that is at once familiar (a common upper-class household object—domestic as opposed to strictly medical) and elegant (a lavish signifier of her well-to-do social status). For all her rebellious spirit and attention-seeking machinations, Madeline successfully resists the subordination so frequently experienced by disabled characters largely due to her election of a recognizable prosthetic that lacks the clinical trappings of medical devices, one that is accessible to all the novel’s well-to-do characters. (Presumably, the novel’s other characters make regular use of sofas; not everyone makes a habit of relaxing in a wheelchair or with the support of a crutch.) The signora derives much of her narrative power from her selection of a prosthetic object that is inherently inviting and, even in its more ordinary </w:t>
      </w:r>
      <w:r w:rsidRPr="00D159B4">
        <w:rPr>
          <w:rFonts w:asciiTheme="majorBidi" w:eastAsia="Calibri" w:hAnsiTheme="majorBidi" w:cstheme="majorBidi"/>
          <w:szCs w:val="22"/>
        </w:rPr>
        <w:lastRenderedPageBreak/>
        <w:t>forms (i.e., not remarkably ornate, like the one Madeline uses) a conventional staple in middle- and upper-class homes of many nondisabled people.</w:t>
      </w:r>
      <w:r w:rsidRPr="00D159B4">
        <w:rPr>
          <w:rFonts w:asciiTheme="majorBidi" w:eastAsia="Calibri" w:hAnsiTheme="majorBidi" w:cstheme="majorBidi"/>
          <w:szCs w:val="22"/>
          <w:vertAlign w:val="superscript"/>
        </w:rPr>
        <w:footnoteReference w:id="112"/>
      </w:r>
    </w:p>
    <w:p w14:paraId="5B74C2C6" w14:textId="77777777" w:rsidR="00D159B4" w:rsidRPr="00D159B4" w:rsidRDefault="00D159B4" w:rsidP="00D159B4">
      <w:pPr>
        <w:spacing w:line="480" w:lineRule="auto"/>
        <w:rPr>
          <w:rFonts w:asciiTheme="majorBidi" w:eastAsia="Calibri" w:hAnsiTheme="majorBidi" w:cstheme="majorBidi"/>
          <w:szCs w:val="22"/>
        </w:rPr>
      </w:pPr>
      <w:r w:rsidRPr="00D159B4">
        <w:rPr>
          <w:rFonts w:asciiTheme="majorBidi" w:eastAsia="Calibri" w:hAnsiTheme="majorBidi" w:cstheme="majorBidi"/>
          <w:b/>
          <w:szCs w:val="22"/>
        </w:rPr>
        <w:t xml:space="preserve">The Counselor </w:t>
      </w:r>
    </w:p>
    <w:p w14:paraId="296118B9" w14:textId="77777777" w:rsidR="00D159B4" w:rsidRPr="00D159B4" w:rsidRDefault="00D159B4" w:rsidP="00D159B4">
      <w:pPr>
        <w:spacing w:line="480" w:lineRule="auto"/>
        <w:rPr>
          <w:rFonts w:asciiTheme="majorBidi" w:eastAsia="Calibri" w:hAnsiTheme="majorBidi" w:cstheme="majorBidi"/>
          <w:szCs w:val="22"/>
        </w:rPr>
      </w:pPr>
      <w:r w:rsidRPr="00D159B4">
        <w:rPr>
          <w:rFonts w:asciiTheme="majorBidi" w:eastAsia="Calibri" w:hAnsiTheme="majorBidi" w:cstheme="majorBidi"/>
          <w:szCs w:val="22"/>
        </w:rPr>
        <w:tab/>
        <w:t xml:space="preserve">Unlike the headstrong Madeline Neroni, another of Trollope’s disabled female characters challenges normative notions about physical disability while strongly advocating for adherence to social convention. Speaking to her brother, William, </w:t>
      </w:r>
      <w:r w:rsidRPr="00D159B4">
        <w:rPr>
          <w:rFonts w:asciiTheme="majorBidi" w:eastAsia="Calibri" w:hAnsiTheme="majorBidi" w:cstheme="majorBidi"/>
          <w:i/>
          <w:iCs/>
          <w:szCs w:val="22"/>
        </w:rPr>
        <w:t>The Belton Estate</w:t>
      </w:r>
      <w:r w:rsidRPr="00D159B4">
        <w:rPr>
          <w:rFonts w:asciiTheme="majorBidi" w:eastAsia="Calibri" w:hAnsiTheme="majorBidi" w:cstheme="majorBidi"/>
          <w:szCs w:val="22"/>
        </w:rPr>
        <w:t xml:space="preserve">’s Mary Belton contends, “When any practice has become the fixed rule of the society in which we live, it is always wise to adhere to that rule, unless it </w:t>
      </w:r>
      <w:proofErr w:type="gramStart"/>
      <w:r w:rsidRPr="00D159B4">
        <w:rPr>
          <w:rFonts w:asciiTheme="majorBidi" w:eastAsia="Calibri" w:hAnsiTheme="majorBidi" w:cstheme="majorBidi"/>
          <w:szCs w:val="22"/>
        </w:rPr>
        <w:t>call</w:t>
      </w:r>
      <w:proofErr w:type="gramEnd"/>
      <w:r w:rsidRPr="00D159B4">
        <w:rPr>
          <w:rFonts w:asciiTheme="majorBidi" w:eastAsia="Calibri" w:hAnsiTheme="majorBidi" w:cstheme="majorBidi"/>
          <w:szCs w:val="22"/>
        </w:rPr>
        <w:t xml:space="preserve"> upon us to do something that is actually wrong. One should not offend the prejudices of the world, even if one is quite sure that they are prejudices” (257). Even so, Mary’s interactions with </w:t>
      </w:r>
      <w:r w:rsidRPr="00D159B4">
        <w:rPr>
          <w:rFonts w:asciiTheme="majorBidi" w:eastAsia="Calibri" w:hAnsiTheme="majorBidi" w:cstheme="majorBidi"/>
          <w:iCs/>
          <w:szCs w:val="22"/>
        </w:rPr>
        <w:t xml:space="preserve">novel’s </w:t>
      </w:r>
      <w:r w:rsidRPr="00D159B4">
        <w:rPr>
          <w:rFonts w:asciiTheme="majorBidi" w:eastAsia="Calibri" w:hAnsiTheme="majorBidi" w:cstheme="majorBidi"/>
          <w:szCs w:val="22"/>
        </w:rPr>
        <w:t xml:space="preserve">other characters and her realization of relative self-sufficiency through the use of prosthesis undercut the prejudices to which she apparently concedes. </w:t>
      </w:r>
    </w:p>
    <w:p w14:paraId="0CFE2F2D" w14:textId="77777777" w:rsidR="00D159B4" w:rsidRPr="00D159B4" w:rsidRDefault="00D159B4" w:rsidP="00D159B4">
      <w:pPr>
        <w:spacing w:line="480" w:lineRule="auto"/>
        <w:rPr>
          <w:rFonts w:asciiTheme="majorBidi" w:eastAsia="Calibri" w:hAnsiTheme="majorBidi" w:cstheme="majorBidi"/>
          <w:szCs w:val="22"/>
        </w:rPr>
      </w:pPr>
      <w:r w:rsidRPr="00D159B4">
        <w:rPr>
          <w:rFonts w:asciiTheme="majorBidi" w:eastAsia="Calibri" w:hAnsiTheme="majorBidi" w:cstheme="majorBidi"/>
          <w:szCs w:val="22"/>
        </w:rPr>
        <w:tab/>
        <w:t xml:space="preserve">As in Trollope’s </w:t>
      </w:r>
      <w:r w:rsidRPr="00D159B4">
        <w:rPr>
          <w:rFonts w:asciiTheme="majorBidi" w:eastAsia="Calibri" w:hAnsiTheme="majorBidi" w:cstheme="majorBidi"/>
          <w:i/>
          <w:iCs/>
          <w:szCs w:val="22"/>
        </w:rPr>
        <w:t>Can You Forgive Her?</w:t>
      </w:r>
      <w:r w:rsidRPr="00D159B4">
        <w:rPr>
          <w:rFonts w:asciiTheme="majorBidi" w:eastAsia="Calibri" w:hAnsiTheme="majorBidi" w:cstheme="majorBidi"/>
          <w:szCs w:val="22"/>
        </w:rPr>
        <w:t xml:space="preserve"> (1864-65), the main issue in </w:t>
      </w:r>
      <w:r w:rsidRPr="00D159B4">
        <w:rPr>
          <w:rFonts w:asciiTheme="majorBidi" w:eastAsia="Calibri" w:hAnsiTheme="majorBidi" w:cstheme="majorBidi"/>
          <w:i/>
          <w:iCs/>
          <w:szCs w:val="22"/>
        </w:rPr>
        <w:t>The Belton Estate</w:t>
      </w:r>
      <w:r w:rsidRPr="00D159B4">
        <w:rPr>
          <w:rFonts w:asciiTheme="majorBidi" w:eastAsia="Calibri" w:hAnsiTheme="majorBidi" w:cstheme="majorBidi"/>
          <w:szCs w:val="22"/>
        </w:rPr>
        <w:t xml:space="preserve"> involves a woman’s struggle to choose between two suitors. Following the suicide of her prodigal brother and the death of her feckless father, the unmarried Clara Amedroz finds herself in a state of financial ruin when the entail of the family’s titular Belton Estate passes to Clara’s cousin, Will Belton. Will proposes to Clara shortly after her arrival at the estate, but she rejects his offer in the hopes of receiving a proposal from Captain Frederic Aylmer. While Captain Aylmer does ultimately propose to Clara, she breaks off their engagement after being mistreated by her future mother-in-law, Lady Aylmer. Will still deeply loves Clara, but she harbors </w:t>
      </w:r>
      <w:r w:rsidRPr="00D159B4">
        <w:rPr>
          <w:rFonts w:asciiTheme="majorBidi" w:eastAsia="Calibri" w:hAnsiTheme="majorBidi" w:cstheme="majorBidi"/>
          <w:szCs w:val="22"/>
        </w:rPr>
        <w:lastRenderedPageBreak/>
        <w:t xml:space="preserve">reservations about “transfer[ring] her affections from one man to another” (402). It is finally Will’s disabled sister, Mary Belton, who facilitates the marriage between Clara and Will by interceding on her brother’s behalf and coaching Clara through her moral wrestling. The scope of </w:t>
      </w:r>
      <w:r w:rsidRPr="00D159B4">
        <w:rPr>
          <w:rFonts w:asciiTheme="majorBidi" w:eastAsia="Calibri" w:hAnsiTheme="majorBidi" w:cstheme="majorBidi"/>
          <w:i/>
          <w:iCs/>
          <w:szCs w:val="22"/>
        </w:rPr>
        <w:t>The Belton Estate</w:t>
      </w:r>
      <w:r w:rsidRPr="00D159B4">
        <w:rPr>
          <w:rFonts w:asciiTheme="majorBidi" w:eastAsia="Calibri" w:hAnsiTheme="majorBidi" w:cstheme="majorBidi"/>
          <w:szCs w:val="22"/>
        </w:rPr>
        <w:t xml:space="preserve"> is narrow (though it does include a parallel plot involving Clara’s friends, the Askertons) and the cast of characters similarly small, relative to Trollope’s other novels. Even within the reduced world of </w:t>
      </w:r>
      <w:r w:rsidRPr="00D159B4">
        <w:rPr>
          <w:rFonts w:asciiTheme="majorBidi" w:eastAsia="Calibri" w:hAnsiTheme="majorBidi" w:cstheme="majorBidi"/>
          <w:i/>
          <w:iCs/>
          <w:szCs w:val="22"/>
        </w:rPr>
        <w:t>The Belton Estate</w:t>
      </w:r>
      <w:r w:rsidRPr="00D159B4">
        <w:rPr>
          <w:rFonts w:asciiTheme="majorBidi" w:eastAsia="Calibri" w:hAnsiTheme="majorBidi" w:cstheme="majorBidi"/>
          <w:szCs w:val="22"/>
        </w:rPr>
        <w:t xml:space="preserve">, Mary, like so many other disabled characters, occupies a minor role—despite her integral function as a crucial supporting figure and the narrative importance of her part in bringing about the plot’s resolution. </w:t>
      </w:r>
    </w:p>
    <w:p w14:paraId="0E648D25" w14:textId="37B5C813" w:rsidR="00D159B4" w:rsidRPr="00D159B4" w:rsidRDefault="00D159B4" w:rsidP="00D159B4">
      <w:pPr>
        <w:spacing w:line="480" w:lineRule="auto"/>
        <w:rPr>
          <w:rFonts w:asciiTheme="majorBidi" w:eastAsia="Calibri" w:hAnsiTheme="majorBidi" w:cstheme="majorBidi"/>
          <w:szCs w:val="22"/>
        </w:rPr>
      </w:pPr>
      <w:r w:rsidRPr="00D159B4">
        <w:rPr>
          <w:rFonts w:asciiTheme="majorBidi" w:eastAsia="Calibri" w:hAnsiTheme="majorBidi" w:cstheme="majorBidi"/>
          <w:szCs w:val="22"/>
        </w:rPr>
        <w:tab/>
        <w:t xml:space="preserve">Early references to Mary prioritize her bodily variation and attendant immobility, metaphorically piecing her together through a catalogue of her impairments. During the first meeting with her cousin Will, Clara recalls “that there was a Miss Belton, a poor sickly creature, with a twisted spine and a hump back, as to whose welfare she ought to have made inquiries” (37). And Will’s continuation of their discussion generates a transition between the warped fences that delimit the landscape and his “twisted” sister: “Clara remarked . . . how invariably he noted any defect in the fences. But still he talked of his sister, swearing that she was as good as gold, and at last wiping away the tears from his eyes as he described her maladies” (38). Will’s habitual tendency to reinforce standards of normalcy lead him, seemingly unconsciously, to note “defect” wherever he finds it. He emphasizes Mary’s goodness but perpetually returns to her disability. The narrator’s contribution, too, fixates on a </w:t>
      </w:r>
      <w:proofErr w:type="gramStart"/>
      <w:r w:rsidRPr="00D159B4">
        <w:rPr>
          <w:rFonts w:asciiTheme="majorBidi" w:eastAsia="Calibri" w:hAnsiTheme="majorBidi" w:cstheme="majorBidi"/>
          <w:szCs w:val="22"/>
        </w:rPr>
        <w:t>human whose entire existence centers</w:t>
      </w:r>
      <w:proofErr w:type="gramEnd"/>
      <w:r w:rsidRPr="00D159B4">
        <w:rPr>
          <w:rFonts w:asciiTheme="majorBidi" w:eastAsia="Calibri" w:hAnsiTheme="majorBidi" w:cstheme="majorBidi"/>
          <w:szCs w:val="22"/>
        </w:rPr>
        <w:t xml:space="preserve"> on physical impairment. He notes, in a tone of sympathy, that Mary “was, indeed, a poor cripple, unable to walk beyond the limits of her own garden, feeble in health, dwarfed in stature, robbed of all the ordinary enjoyments of life by physical deficiencies, which made even the tasks of living a burden to her” (156). Like many minor characters with disabilities, Mary’s person is so </w:t>
      </w:r>
      <w:r w:rsidRPr="00D159B4">
        <w:rPr>
          <w:rFonts w:asciiTheme="majorBidi" w:eastAsia="Calibri" w:hAnsiTheme="majorBidi" w:cstheme="majorBidi"/>
          <w:szCs w:val="22"/>
        </w:rPr>
        <w:lastRenderedPageBreak/>
        <w:t>completely entwined with her disability that her character comes to depend on regular narrative references to it: an unusual mode of characterization</w:t>
      </w:r>
      <w:r w:rsidR="00F40A1F">
        <w:rPr>
          <w:rFonts w:asciiTheme="majorBidi" w:eastAsia="Calibri" w:hAnsiTheme="majorBidi" w:cstheme="majorBidi"/>
          <w:szCs w:val="22"/>
        </w:rPr>
        <w:t>,</w:t>
      </w:r>
      <w:r w:rsidRPr="00D159B4">
        <w:rPr>
          <w:rFonts w:asciiTheme="majorBidi" w:eastAsia="Calibri" w:hAnsiTheme="majorBidi" w:cstheme="majorBidi"/>
          <w:szCs w:val="22"/>
        </w:rPr>
        <w:t xml:space="preserve"> as obsessive attention to physical markers is not an especially Trollopian trait.</w:t>
      </w:r>
      <w:r w:rsidRPr="00D159B4">
        <w:rPr>
          <w:rFonts w:asciiTheme="majorBidi" w:eastAsia="Calibri" w:hAnsiTheme="majorBidi" w:cstheme="majorBidi"/>
          <w:szCs w:val="22"/>
          <w:vertAlign w:val="superscript"/>
        </w:rPr>
        <w:footnoteReference w:id="113"/>
      </w:r>
      <w:r w:rsidRPr="00D159B4">
        <w:rPr>
          <w:rFonts w:asciiTheme="majorBidi" w:eastAsia="Calibri" w:hAnsiTheme="majorBidi" w:cstheme="majorBidi"/>
          <w:szCs w:val="22"/>
        </w:rPr>
        <w:t xml:space="preserve"> The constant invocation of the pitiable “cripple” trope flattens Mary’s character, and this two-dimensional representation cements her minor status. Even Mary herself, painfully aware of her physical limitations, worries that her brother’s constant care for her has presented an impediment to his own personal pursuits (primarily, marriage). </w:t>
      </w:r>
    </w:p>
    <w:p w14:paraId="428775F8" w14:textId="725D6897" w:rsidR="00D159B4" w:rsidRPr="00D159B4" w:rsidRDefault="00D159B4" w:rsidP="00D159B4">
      <w:pPr>
        <w:spacing w:line="480" w:lineRule="auto"/>
        <w:rPr>
          <w:rFonts w:asciiTheme="majorBidi" w:eastAsia="Calibri" w:hAnsiTheme="majorBidi" w:cstheme="majorBidi"/>
          <w:szCs w:val="22"/>
        </w:rPr>
      </w:pPr>
      <w:r w:rsidRPr="00D159B4">
        <w:rPr>
          <w:rFonts w:asciiTheme="majorBidi" w:eastAsia="Calibri" w:hAnsiTheme="majorBidi" w:cstheme="majorBidi"/>
          <w:szCs w:val="22"/>
        </w:rPr>
        <w:tab/>
        <w:t>That Mary remains content to rely on a combination of her brother and a simple household chair to support and move her demonstrates an acceptance of her subservient role as both a woman and a person whose disability dictates that she must receive care from others. Strikingly, it is only when Mary abandons her accustomed aids and experiments with her mobility that she can assert her authority as the eldest Belton. Will urges his sister not to travel, and Mary complies with his directive until she sees the need to mediate in the increasingly tense matter of property (and, both ancillary and central to that matter, love) between Clara and Will. At that point, Mary abandons the chair and, hobbling awkwardly and painfully among other objects, sets off for Taunton. In the absence of her human, familial assistant and her accustomed mobility aid, Mary establishes an independent dimension of herself. Makeshift provisions are made—Clara takes care “to get a bedroom for an ‘invalid lady,’ close to the sitting-room” at the inn—that enable Mary to move into and through the public realm</w:t>
      </w:r>
      <w:r w:rsidR="00F40A1F">
        <w:rPr>
          <w:rFonts w:asciiTheme="majorBidi" w:eastAsia="Calibri" w:hAnsiTheme="majorBidi" w:cstheme="majorBidi"/>
          <w:szCs w:val="22"/>
        </w:rPr>
        <w:t xml:space="preserve"> (393)</w:t>
      </w:r>
      <w:r w:rsidRPr="00D159B4">
        <w:rPr>
          <w:rFonts w:asciiTheme="majorBidi" w:eastAsia="Calibri" w:hAnsiTheme="majorBidi" w:cstheme="majorBidi"/>
          <w:szCs w:val="22"/>
        </w:rPr>
        <w:t xml:space="preserve">. Entering a social world full of potential props (as Signora Neroni quickly discerned) frees Mary from the private </w:t>
      </w:r>
      <w:r w:rsidRPr="00D159B4">
        <w:rPr>
          <w:rFonts w:asciiTheme="majorBidi" w:eastAsia="Calibri" w:hAnsiTheme="majorBidi" w:cstheme="majorBidi"/>
          <w:szCs w:val="22"/>
        </w:rPr>
        <w:lastRenderedPageBreak/>
        <w:t xml:space="preserve">confines of the home and, to a large extent, liberates her from what Clara laments as the “miseries of female dependence” (392). The ability to fuse her physical self with any object she chooses (or none at all) provides Mary with some elasticity of character in the latter half of the novel. Mary’s case, though, reflects an inversion of the Signora’s. She achieves the capacity for social circulation when she quits her domestic prosthetic object in favor of adlibbed, painful, and sometimes awkward physical movement. </w:t>
      </w:r>
    </w:p>
    <w:p w14:paraId="61C58767" w14:textId="77777777" w:rsidR="00D159B4" w:rsidRPr="00D159B4" w:rsidRDefault="00D159B4" w:rsidP="00D159B4">
      <w:pPr>
        <w:spacing w:line="480" w:lineRule="auto"/>
        <w:rPr>
          <w:rFonts w:asciiTheme="majorBidi" w:eastAsia="Calibri" w:hAnsiTheme="majorBidi" w:cstheme="majorBidi"/>
          <w:szCs w:val="22"/>
        </w:rPr>
      </w:pPr>
      <w:r w:rsidRPr="00D159B4">
        <w:rPr>
          <w:rFonts w:asciiTheme="majorBidi" w:eastAsia="Calibri" w:hAnsiTheme="majorBidi" w:cstheme="majorBidi"/>
          <w:szCs w:val="22"/>
        </w:rPr>
        <w:tab/>
        <w:t>The narrative description of Mary’s performance of herself and her disability reaches its dramatic apex when it extends into the public, rather than private, sphere—when prosthetic objects form a variable retinue of accessories rather than a single aid that overwhelms the principal actress.</w:t>
      </w:r>
      <w:r w:rsidRPr="00D159B4">
        <w:rPr>
          <w:rFonts w:asciiTheme="majorBidi" w:eastAsia="Calibri" w:hAnsiTheme="majorBidi" w:cstheme="majorBidi"/>
          <w:szCs w:val="22"/>
          <w:vertAlign w:val="superscript"/>
        </w:rPr>
        <w:footnoteReference w:id="114"/>
      </w:r>
      <w:r w:rsidRPr="00D159B4">
        <w:rPr>
          <w:rFonts w:asciiTheme="majorBidi" w:eastAsia="Calibri" w:hAnsiTheme="majorBidi" w:cstheme="majorBidi"/>
          <w:szCs w:val="22"/>
        </w:rPr>
        <w:t xml:space="preserve"> Rumors, vague memories, and hearsay no longer shape Mary’s existence. Instead, literally conveyed by locomotive force, Mary exits the train in Taunton and steps onto a platform where she can display her full form in view of an anxious audience of one:</w:t>
      </w:r>
    </w:p>
    <w:p w14:paraId="71E8723A" w14:textId="1CEC7E43" w:rsidR="00D159B4" w:rsidRPr="00D159B4" w:rsidRDefault="00D159B4" w:rsidP="00D93B87">
      <w:pPr>
        <w:spacing w:line="480" w:lineRule="auto"/>
        <w:ind w:left="1440"/>
        <w:rPr>
          <w:rFonts w:asciiTheme="majorBidi" w:eastAsia="Calibri" w:hAnsiTheme="majorBidi" w:cstheme="majorBidi"/>
          <w:szCs w:val="22"/>
        </w:rPr>
      </w:pPr>
      <w:r w:rsidRPr="00D159B4">
        <w:rPr>
          <w:rFonts w:asciiTheme="majorBidi" w:eastAsia="Calibri" w:hAnsiTheme="majorBidi" w:cstheme="majorBidi"/>
          <w:szCs w:val="22"/>
        </w:rPr>
        <w:t>She [Clara] was very nervous as she stood upon the platform waiting for the newcomer</w:t>
      </w:r>
      <w:r w:rsidR="00664F5A">
        <w:rPr>
          <w:rFonts w:asciiTheme="majorBidi" w:eastAsia="Calibri" w:hAnsiTheme="majorBidi" w:cstheme="majorBidi"/>
          <w:szCs w:val="22"/>
        </w:rPr>
        <w:t xml:space="preserve"> </w:t>
      </w:r>
      <w:r w:rsidRPr="00D159B4">
        <w:rPr>
          <w:rFonts w:asciiTheme="majorBidi" w:eastAsia="Calibri" w:hAnsiTheme="majorBidi" w:cstheme="majorBidi"/>
          <w:szCs w:val="22"/>
        </w:rPr>
        <w:t xml:space="preserve">to show herself. She knew that Mary was a cripple, but did not know how far her cousin was disfigured by her infirmity; and when she saw a pale-faced little woman, somewhat melancholy but yet pretty withal, with soft, clear eyes, and only so much appearance of a stoop as to soften the hearts of those who </w:t>
      </w:r>
      <w:r w:rsidRPr="00D159B4">
        <w:rPr>
          <w:rFonts w:asciiTheme="majorBidi" w:eastAsia="Calibri" w:hAnsiTheme="majorBidi" w:cstheme="majorBidi"/>
          <w:szCs w:val="22"/>
        </w:rPr>
        <w:lastRenderedPageBreak/>
        <w:t xml:space="preserve">saw her, Clara was agreeably surprised, and felt herself to be suddenly relieved of an unpleasant weight. She could talk to the woman she saw there, as to any other woman, without the painful necessity of treating her always as an invalid. (394) </w:t>
      </w:r>
    </w:p>
    <w:p w14:paraId="7D7305EA" w14:textId="77777777" w:rsidR="00D159B4" w:rsidRPr="00D159B4" w:rsidRDefault="00D159B4" w:rsidP="00D159B4">
      <w:pPr>
        <w:spacing w:line="480" w:lineRule="auto"/>
        <w:rPr>
          <w:rFonts w:asciiTheme="majorBidi" w:eastAsia="Calibri" w:hAnsiTheme="majorBidi" w:cstheme="majorBidi"/>
          <w:szCs w:val="22"/>
        </w:rPr>
      </w:pPr>
      <w:r w:rsidRPr="00D159B4">
        <w:rPr>
          <w:rFonts w:asciiTheme="majorBidi" w:eastAsia="Calibri" w:hAnsiTheme="majorBidi" w:cstheme="majorBidi"/>
          <w:szCs w:val="22"/>
        </w:rPr>
        <w:t>In spite of the narrator’s saccharine notes of sympathy</w:t>
      </w:r>
      <w:proofErr w:type="gramStart"/>
      <w:r w:rsidRPr="00D159B4">
        <w:rPr>
          <w:rFonts w:asciiTheme="majorBidi" w:eastAsia="Calibri" w:hAnsiTheme="majorBidi" w:cstheme="majorBidi"/>
          <w:szCs w:val="22"/>
        </w:rPr>
        <w:t>—“</w:t>
      </w:r>
      <w:proofErr w:type="gramEnd"/>
      <w:r w:rsidRPr="00D159B4">
        <w:rPr>
          <w:rFonts w:asciiTheme="majorBidi" w:eastAsia="Calibri" w:hAnsiTheme="majorBidi" w:cstheme="majorBidi"/>
          <w:szCs w:val="22"/>
        </w:rPr>
        <w:t xml:space="preserve">only so much appearance of a stoop as to soften the hearts of those who saw her”—the scene lays bare Mary’s identity as a woman, unmitigated by her simultaneous status of a person with a disability. In this scene and those to follow, Mary demonstrates the way in which a physically disabled body is not merely contingent on its prosthesis, but (potentially) dramatically enhanced by it. The pliability of commonplace assistive devices (ordinary objects like chairs) allows for the upending of the domestic-public ideology that would have otherwise kept Mary doubly bound, as both an unmarried woman and a person with a disability, to the limited realm of the Belton Estate. </w:t>
      </w:r>
    </w:p>
    <w:p w14:paraId="40B6E31C" w14:textId="1E039EF9" w:rsidR="00D159B4" w:rsidRPr="00D159B4" w:rsidRDefault="00D159B4" w:rsidP="00D159B4">
      <w:pPr>
        <w:spacing w:line="480" w:lineRule="auto"/>
        <w:rPr>
          <w:rFonts w:asciiTheme="majorBidi" w:eastAsia="Calibri" w:hAnsiTheme="majorBidi" w:cstheme="majorBidi"/>
          <w:szCs w:val="22"/>
        </w:rPr>
      </w:pPr>
      <w:r w:rsidRPr="00D159B4">
        <w:rPr>
          <w:rFonts w:asciiTheme="majorBidi" w:eastAsia="Calibri" w:hAnsiTheme="majorBidi" w:cstheme="majorBidi"/>
          <w:szCs w:val="22"/>
        </w:rPr>
        <w:tab/>
        <w:t xml:space="preserve">As her subsequent movements indicate, Mary can assert her strength, intelligence, and authority by varying her physical position relative to her assistive devices. Her body language becomes the conduit for amplified emotional expression. When, for example, she consoles her cousin, Mary “rose slowly from the chair . . . and making her way painfully across to Clara, stood leaning on the weeping girl’s chair” (403). She embodies and performs self-sacrificing empathy in the otherwise unremarkable act of trading the support of one chair for another. In much the same way, her habitual use of household </w:t>
      </w:r>
      <w:r w:rsidR="00F40A1F">
        <w:rPr>
          <w:rFonts w:asciiTheme="majorBidi" w:eastAsia="Calibri" w:hAnsiTheme="majorBidi" w:cstheme="majorBidi"/>
          <w:szCs w:val="22"/>
        </w:rPr>
        <w:t>aids</w:t>
      </w:r>
      <w:r w:rsidRPr="00D159B4">
        <w:rPr>
          <w:rFonts w:asciiTheme="majorBidi" w:eastAsia="Calibri" w:hAnsiTheme="majorBidi" w:cstheme="majorBidi"/>
          <w:szCs w:val="22"/>
        </w:rPr>
        <w:t xml:space="preserve"> renders the instances in which she exchanges the security of supported stasis for excruciating mobility all the more spectacular; the deliberate and uncomfortable shift forces those around Mary to attend to and invest significance in her movements. Both Mrs. Askerton and Clara venerate Mary’s strong self-assurance, “the fire in the woman’s eye and . . . the force of her tone” (399). The narrative mutability of Mary’s prosthetic objects—her occasionally dispensable chairs—signals the complexity of their human </w:t>
      </w:r>
      <w:r w:rsidRPr="00D159B4">
        <w:rPr>
          <w:rFonts w:asciiTheme="majorBidi" w:eastAsia="Calibri" w:hAnsiTheme="majorBidi" w:cstheme="majorBidi"/>
          <w:szCs w:val="22"/>
        </w:rPr>
        <w:lastRenderedPageBreak/>
        <w:t xml:space="preserve">user. The moment when Mary takes advantage of the commonplace prop available on the public stage is the moment when she ceases to exist as a vaguely amorphous creature with a twisted spine interred behind garden walls. Her appropriation of ordinary objects as strategic prostheses allows her to emerge as an impressive female force to be reckoned with. </w:t>
      </w:r>
    </w:p>
    <w:p w14:paraId="433381D0" w14:textId="70955AF3" w:rsidR="00D159B4" w:rsidRPr="00D159B4" w:rsidRDefault="00D159B4" w:rsidP="00D159B4">
      <w:pPr>
        <w:spacing w:line="480" w:lineRule="auto"/>
        <w:rPr>
          <w:rFonts w:asciiTheme="majorBidi" w:eastAsia="Calibri" w:hAnsiTheme="majorBidi" w:cstheme="majorBidi"/>
          <w:szCs w:val="22"/>
        </w:rPr>
      </w:pPr>
      <w:r w:rsidRPr="00D159B4">
        <w:rPr>
          <w:rFonts w:asciiTheme="majorBidi" w:eastAsia="Calibri" w:hAnsiTheme="majorBidi" w:cstheme="majorBidi"/>
          <w:b/>
          <w:szCs w:val="22"/>
        </w:rPr>
        <w:tab/>
      </w:r>
      <w:r w:rsidRPr="00D159B4">
        <w:rPr>
          <w:rFonts w:asciiTheme="majorBidi" w:eastAsia="Calibri" w:hAnsiTheme="majorBidi" w:cstheme="majorBidi"/>
          <w:szCs w:val="22"/>
        </w:rPr>
        <w:t xml:space="preserve">Pathologizing the rationale for Trollope’s exclusion of disabled characters proves in many ways impracticable and may, in the end, turn out to be altogether beside the point. Perhaps it goes too far, for instance, to infer from </w:t>
      </w:r>
      <w:r w:rsidRPr="00D159B4">
        <w:rPr>
          <w:rFonts w:asciiTheme="majorBidi" w:eastAsia="Calibri" w:hAnsiTheme="majorBidi" w:cstheme="majorBidi"/>
          <w:i/>
          <w:szCs w:val="22"/>
        </w:rPr>
        <w:t>The Belton Estate</w:t>
      </w:r>
      <w:r w:rsidRPr="00D159B4">
        <w:rPr>
          <w:rFonts w:asciiTheme="majorBidi" w:eastAsia="Calibri" w:hAnsiTheme="majorBidi" w:cstheme="majorBidi"/>
          <w:szCs w:val="22"/>
        </w:rPr>
        <w:t>’s narrator that Trollope shared Clara’s anxiety about the “unpleasant weight” of disability or the vexing “necessity of treating [a disabled person] always as an invalid” (394). Instead, it suffices to say, I believe, that these elisions can be attributed, in part, to his authorial, stylistic tendencies—his predilection for finding a middle ground between sensational and realistic tacks in his novels.</w:t>
      </w:r>
      <w:r w:rsidRPr="00D159B4">
        <w:rPr>
          <w:rFonts w:asciiTheme="majorBidi" w:eastAsia="Calibri" w:hAnsiTheme="majorBidi" w:cstheme="majorBidi"/>
          <w:szCs w:val="22"/>
          <w:vertAlign w:val="superscript"/>
        </w:rPr>
        <w:footnoteReference w:id="115"/>
      </w:r>
      <w:r w:rsidRPr="00D159B4">
        <w:rPr>
          <w:rFonts w:asciiTheme="majorBidi" w:eastAsia="Calibri" w:hAnsiTheme="majorBidi" w:cstheme="majorBidi"/>
          <w:szCs w:val="22"/>
        </w:rPr>
        <w:t xml:space="preserve"> After all, the novel that affords a disabled character the most narrative attention (proportionally speaking)—</w:t>
      </w:r>
      <w:r w:rsidRPr="00D159B4">
        <w:rPr>
          <w:rFonts w:asciiTheme="majorBidi" w:eastAsia="Calibri" w:hAnsiTheme="majorBidi" w:cstheme="majorBidi"/>
          <w:i/>
          <w:szCs w:val="22"/>
        </w:rPr>
        <w:t>The Belton Estate</w:t>
      </w:r>
      <w:r w:rsidRPr="00D159B4">
        <w:rPr>
          <w:rFonts w:asciiTheme="majorBidi" w:eastAsia="Calibri" w:hAnsiTheme="majorBidi" w:cstheme="majorBidi"/>
          <w:szCs w:val="22"/>
        </w:rPr>
        <w:t>—is the same novel in which Trollope translates what might otherwise resonate as a dramatic suicide into a single dispassionate sentence: “Within a month of that time he had blown his brains out in his London lodgings, thus making over the entire property to Will Belton at his father’s death” (4).</w:t>
      </w:r>
      <w:r w:rsidRPr="00D159B4">
        <w:rPr>
          <w:rFonts w:asciiTheme="majorBidi" w:eastAsia="Calibri" w:hAnsiTheme="majorBidi" w:cstheme="majorBidi"/>
          <w:szCs w:val="22"/>
          <w:vertAlign w:val="superscript"/>
        </w:rPr>
        <w:footnoteReference w:id="116"/>
      </w:r>
      <w:r w:rsidRPr="00D159B4">
        <w:rPr>
          <w:rFonts w:asciiTheme="majorBidi" w:eastAsia="Calibri" w:hAnsiTheme="majorBidi" w:cstheme="majorBidi"/>
          <w:szCs w:val="22"/>
        </w:rPr>
        <w:t xml:space="preserve"> In short, and at the most basic level, Trollope keeps the sensation without the sensationalism, and, in so doing, he avoids the </w:t>
      </w:r>
      <w:r w:rsidR="00235E95">
        <w:rPr>
          <w:rFonts w:asciiTheme="majorBidi" w:eastAsia="Calibri" w:hAnsiTheme="majorBidi" w:cstheme="majorBidi"/>
          <w:szCs w:val="22"/>
        </w:rPr>
        <w:t>hyper</w:t>
      </w:r>
      <w:r w:rsidRPr="00D159B4">
        <w:rPr>
          <w:rFonts w:asciiTheme="majorBidi" w:eastAsia="Calibri" w:hAnsiTheme="majorBidi" w:cstheme="majorBidi"/>
          <w:szCs w:val="22"/>
        </w:rPr>
        <w:t xml:space="preserve">sensationalization of bodily </w:t>
      </w:r>
      <w:r w:rsidRPr="00D159B4">
        <w:rPr>
          <w:rFonts w:asciiTheme="majorBidi" w:eastAsia="Calibri" w:hAnsiTheme="majorBidi" w:cstheme="majorBidi"/>
          <w:szCs w:val="22"/>
        </w:rPr>
        <w:lastRenderedPageBreak/>
        <w:t>variation that his contemporaries (especially Wilkie Collins and Charles Dickens) sometimes capitalized on in their fiction.</w:t>
      </w:r>
      <w:r w:rsidRPr="00D159B4">
        <w:rPr>
          <w:rFonts w:asciiTheme="majorBidi" w:eastAsia="Calibri" w:hAnsiTheme="majorBidi" w:cstheme="majorBidi"/>
          <w:szCs w:val="22"/>
          <w:vertAlign w:val="superscript"/>
        </w:rPr>
        <w:t xml:space="preserve"> </w:t>
      </w:r>
      <w:r w:rsidRPr="00D159B4">
        <w:rPr>
          <w:rFonts w:asciiTheme="majorBidi" w:eastAsia="Calibri" w:hAnsiTheme="majorBidi" w:cstheme="majorBidi"/>
          <w:szCs w:val="22"/>
          <w:vertAlign w:val="superscript"/>
        </w:rPr>
        <w:footnoteReference w:id="117"/>
      </w:r>
      <w:r w:rsidRPr="00D159B4">
        <w:rPr>
          <w:rFonts w:asciiTheme="majorBidi" w:eastAsia="Calibri" w:hAnsiTheme="majorBidi" w:cstheme="majorBidi"/>
          <w:szCs w:val="22"/>
        </w:rPr>
        <w:t xml:space="preserve">  </w:t>
      </w:r>
    </w:p>
    <w:p w14:paraId="2A07DDD5" w14:textId="77777777" w:rsidR="00D159B4" w:rsidRPr="00D159B4" w:rsidRDefault="00D159B4" w:rsidP="00D159B4">
      <w:pPr>
        <w:spacing w:line="480" w:lineRule="auto"/>
        <w:rPr>
          <w:rFonts w:asciiTheme="majorBidi" w:eastAsia="Calibri" w:hAnsiTheme="majorBidi" w:cstheme="majorBidi"/>
          <w:szCs w:val="22"/>
        </w:rPr>
      </w:pPr>
      <w:r w:rsidRPr="00D159B4">
        <w:rPr>
          <w:rFonts w:asciiTheme="majorBidi" w:eastAsia="Calibri" w:hAnsiTheme="majorBidi" w:cstheme="majorBidi"/>
        </w:rPr>
        <w:tab/>
        <w:t>Regardless of his motivations, Trollope’s occasional inclusion of minor characters whose forms entail prosthesis provides insight into the alliance of social class and material culture as they relate to personal agency and social mobility. As Vanessa Warne asserts in her</w:t>
      </w:r>
      <w:r w:rsidRPr="00D159B4">
        <w:rPr>
          <w:rFonts w:asciiTheme="majorBidi" w:eastAsia="Calibri" w:hAnsiTheme="majorBidi" w:cstheme="majorBidi"/>
          <w:szCs w:val="22"/>
        </w:rPr>
        <w:t xml:space="preserve"> theorization of artificial legs, the presence of prosthetics in Victorian literature “remind[s] us that bodies were literally shaped and re-shaped by the material world they occupied. As such, they underscore the need for a history of the Victorian era that includes the material lives of disabled people and addresses their experiences of both bodily difference and prosthetic compensation” (“Artificial Leg” 33). Victorian lives and identities, much like our own, extend far beyond people’s corporeal beings. The prosthetic object in Trollope’s novels gestures to the reshaping and rehearsing potentials of material additions, the way in which people can actively mobilize and re-perform identity and redefine difference through the use of material commodities. The fixity or plasticity of prosthetics and assistive devices—the simultaneous and sometimes competing presence of medical, social, and dramatic technologies unified in a single object—in Trollope’s novels, though, also underscore the socioeconomic hierarchies and limits of the prosthetic object in Victorian literature and culture.</w:t>
      </w:r>
    </w:p>
    <w:p w14:paraId="0AD602FB" w14:textId="77777777" w:rsidR="00D159B4" w:rsidRPr="00D159B4" w:rsidRDefault="00D159B4" w:rsidP="00D159B4">
      <w:pPr>
        <w:spacing w:line="480" w:lineRule="auto"/>
        <w:ind w:firstLine="720"/>
        <w:rPr>
          <w:rFonts w:asciiTheme="majorBidi" w:eastAsia="Calibri" w:hAnsiTheme="majorBidi" w:cstheme="majorBidi"/>
          <w:szCs w:val="22"/>
        </w:rPr>
      </w:pPr>
      <w:r w:rsidRPr="00D159B4">
        <w:rPr>
          <w:rFonts w:asciiTheme="majorBidi" w:eastAsia="Calibri" w:hAnsiTheme="majorBidi" w:cstheme="majorBidi"/>
          <w:szCs w:val="22"/>
        </w:rPr>
        <w:t xml:space="preserve">Trollope’s commentary concerning prosthesis and potentials for physical mobility always reinforces class notions of limited social mobility, a static constant. Thus, while prostheses allow the wooden-legged postman, Signora Neroni, and Mary Belton alike to challenge or transcend </w:t>
      </w:r>
      <w:r w:rsidRPr="00D159B4">
        <w:rPr>
          <w:rFonts w:asciiTheme="majorBidi" w:eastAsia="Calibri" w:hAnsiTheme="majorBidi" w:cstheme="majorBidi"/>
          <w:szCs w:val="22"/>
        </w:rPr>
        <w:lastRenderedPageBreak/>
        <w:t xml:space="preserve">the normative bifurcation of disabled and nondisabled bodies, only the latter two characters can utilize their aids to effect social circulation and narrative power. Disability and “prosthetic compensation” in Trollope’s novels become, not so much, as one might expect, a comment on physical difference, but a magnifying glass for the rigidity of social class. In almost all cases, then, the flat-ness or round-ness of disabled minor characters in Trollope, tends to be reflected through—rather than the product of—the prosthetic object.     </w:t>
      </w:r>
    </w:p>
    <w:p w14:paraId="4F3D1F6A" w14:textId="77777777" w:rsidR="00D159B4" w:rsidRPr="00D159B4" w:rsidRDefault="00D159B4" w:rsidP="00D159B4">
      <w:pPr>
        <w:spacing w:line="480" w:lineRule="auto"/>
        <w:rPr>
          <w:rFonts w:asciiTheme="majorBidi" w:eastAsia="Calibri" w:hAnsiTheme="majorBidi" w:cstheme="majorBidi"/>
          <w:b/>
          <w:bCs/>
        </w:rPr>
      </w:pPr>
      <w:r w:rsidRPr="00D159B4">
        <w:rPr>
          <w:rFonts w:asciiTheme="majorBidi" w:eastAsia="Calibri" w:hAnsiTheme="majorBidi" w:cstheme="majorBidi"/>
          <w:b/>
          <w:bCs/>
        </w:rPr>
        <w:t>The Prosthetic Centaur</w:t>
      </w:r>
    </w:p>
    <w:p w14:paraId="76EB033D" w14:textId="77777777" w:rsidR="00D159B4" w:rsidRPr="00D159B4" w:rsidRDefault="00D159B4" w:rsidP="00D159B4">
      <w:pPr>
        <w:spacing w:line="480" w:lineRule="auto"/>
        <w:ind w:firstLine="720"/>
        <w:rPr>
          <w:rFonts w:asciiTheme="majorBidi" w:eastAsia="Calibri" w:hAnsiTheme="majorBidi" w:cstheme="majorBidi"/>
        </w:rPr>
      </w:pPr>
      <w:r w:rsidRPr="00D159B4">
        <w:rPr>
          <w:rFonts w:asciiTheme="majorBidi" w:eastAsia="Calibri" w:hAnsiTheme="majorBidi" w:cstheme="majorBidi"/>
        </w:rPr>
        <w:t>Wilkie Collins’s deployment of disability and prosthesis in his novels, too, raises issues of physical disability as it affects character space and as it intersects with other identity categories.</w:t>
      </w:r>
      <w:r w:rsidRPr="00D159B4">
        <w:rPr>
          <w:rFonts w:asciiTheme="majorBidi" w:eastAsia="Calibri" w:hAnsiTheme="majorBidi" w:cstheme="majorBidi"/>
          <w:i/>
          <w:iCs/>
        </w:rPr>
        <w:t xml:space="preserve"> The Law and the Lady</w:t>
      </w:r>
      <w:r w:rsidRPr="00D159B4">
        <w:rPr>
          <w:rFonts w:asciiTheme="majorBidi" w:eastAsia="Calibri" w:hAnsiTheme="majorBidi" w:cstheme="majorBidi"/>
        </w:rPr>
        <w:t xml:space="preserve">’s (1875) remarkable Miserrimus Dexter provides a tidy case study of the way in which metonymic representation often signals a contest for character space between a disabled character and their associated prosthetic-object. The novel’s heroine, </w:t>
      </w:r>
      <w:r w:rsidRPr="00D159B4">
        <w:rPr>
          <w:rFonts w:asciiTheme="majorBidi" w:eastAsia="Calibri" w:hAnsiTheme="majorBidi" w:cstheme="majorBidi"/>
          <w:color w:val="202122"/>
          <w:shd w:val="clear" w:color="auto" w:fill="FFFFFF"/>
        </w:rPr>
        <w:t xml:space="preserve">Valeria Woodville (née Brinton), marries Eustace Macallan only to find her husband has been accused of poisoning his first wife, Sara Macallan. Eustace was tried in a Scottish court and acquitted but received a verdict of “not proven” (i.e., the jury believed Eustace to be guilty of murder but lacked sufficient evidence to render a guilty verdict). Valeria works to discover the true nature of Sara’s poisoning and clear her husband’s name, and in the course of her investigation, Valeria turns to Eustace’s friend Miserrimus Dexter, an eccentric man with no legs, for information. Dexter vacillates wildly between assisting and misdirecting Valeria before lapsing into madness and entering an asylum. Valeria later learns that Dexter holds himself responsible for Sara’s death. Perpetually in love with and rejected by Sara, Dexter gives her access to Eustace’s diary, which furnishes evidence that he has never loved Sara and has married her out of obligation. </w:t>
      </w:r>
      <w:r w:rsidRPr="00D159B4">
        <w:rPr>
          <w:rFonts w:asciiTheme="majorBidi" w:eastAsia="Calibri" w:hAnsiTheme="majorBidi" w:cstheme="majorBidi"/>
          <w:color w:val="202122"/>
          <w:shd w:val="clear" w:color="auto" w:fill="FFFFFF"/>
        </w:rPr>
        <w:lastRenderedPageBreak/>
        <w:t>Utterly distraught, Sara kills herself by taking arsenic. Effectively, Dexter both manipulates and lies at the heart of the novel’s plot.</w:t>
      </w:r>
    </w:p>
    <w:p w14:paraId="44C4AEA4" w14:textId="77777777" w:rsidR="00664F5A" w:rsidRDefault="00D159B4" w:rsidP="00D159B4">
      <w:pPr>
        <w:spacing w:line="480" w:lineRule="auto"/>
        <w:ind w:firstLine="720"/>
        <w:rPr>
          <w:rFonts w:asciiTheme="majorBidi" w:eastAsia="Calibri" w:hAnsiTheme="majorBidi" w:cstheme="majorBidi"/>
        </w:rPr>
      </w:pPr>
      <w:r w:rsidRPr="00D159B4">
        <w:rPr>
          <w:rFonts w:asciiTheme="majorBidi" w:eastAsia="Calibri" w:hAnsiTheme="majorBidi" w:cstheme="majorBidi"/>
        </w:rPr>
        <w:t>Sensation and detective fiction, as I explained at the outset of the chapter, necessarily entail the instability of identity, and the centaur-like hybridity of Dexter and his wheelchair further confuses the boundaries of human identity.</w:t>
      </w:r>
      <w:r w:rsidRPr="00D159B4">
        <w:rPr>
          <w:rFonts w:asciiTheme="majorBidi" w:eastAsia="Calibri" w:hAnsiTheme="majorBidi" w:cstheme="majorBidi"/>
          <w:vertAlign w:val="superscript"/>
        </w:rPr>
        <w:footnoteReference w:id="118"/>
      </w:r>
      <w:r w:rsidRPr="00D159B4">
        <w:rPr>
          <w:rFonts w:asciiTheme="majorBidi" w:eastAsia="Calibri" w:hAnsiTheme="majorBidi" w:cstheme="majorBidi"/>
        </w:rPr>
        <w:t xml:space="preserve"> In the interpolated courtroom transcripts, Dexter and his chair appear first in Christina Ormsay’s testimony as a single entity. He is introduced as “a cripple” who “could only move himself about in a chair on wheels” (135). Isaiah Schoolcraft’s testimony follows suit. He describes Dexter, not, at first, by name, but as “a gentleman—a cripple—wheeling himself along in a chair” (144). It is Dexter’s objection to Schoolcraft’s attempt to move his chair away from Macallan’s bedside table that confirms his twinned, cyborg identity: “‘My chair is Me,’ he said: ‘how dare you lay hands on Me?’” (145). (See figure 8.) Aware that the world views him—as the courtroom report describes—as “literally . . . half of a man,” Dexter identifies the chair as his other half (173). He is not “half of a man” in</w:t>
      </w:r>
    </w:p>
    <w:p w14:paraId="0CD13A02" w14:textId="77777777" w:rsidR="00664F5A" w:rsidRDefault="00664F5A">
      <w:pPr>
        <w:rPr>
          <w:rFonts w:asciiTheme="majorBidi" w:eastAsia="Calibri" w:hAnsiTheme="majorBidi" w:cstheme="majorBidi"/>
        </w:rPr>
      </w:pPr>
      <w:r>
        <w:rPr>
          <w:rFonts w:asciiTheme="majorBidi" w:eastAsia="Calibri" w:hAnsiTheme="majorBidi" w:cstheme="majorBidi"/>
        </w:rPr>
        <w:br w:type="page"/>
      </w:r>
    </w:p>
    <w:p w14:paraId="685F6409" w14:textId="77777777" w:rsidR="00664F5A" w:rsidRPr="002A5475" w:rsidRDefault="00664F5A" w:rsidP="00664F5A">
      <w:pPr>
        <w:spacing w:line="480" w:lineRule="auto"/>
        <w:ind w:firstLine="720"/>
        <w:jc w:val="center"/>
        <w:rPr>
          <w:rFonts w:asciiTheme="majorBidi" w:eastAsia="Calibri" w:hAnsiTheme="majorBidi" w:cstheme="majorBidi"/>
        </w:rPr>
      </w:pPr>
      <w:r w:rsidRPr="00D159B4">
        <w:rPr>
          <w:rFonts w:asciiTheme="majorBidi" w:eastAsia="Calibri" w:hAnsiTheme="majorBidi" w:cstheme="majorBidi"/>
          <w:noProof/>
          <w:szCs w:val="22"/>
        </w:rPr>
        <w:lastRenderedPageBreak/>
        <w:drawing>
          <wp:inline distT="0" distB="0" distL="0" distR="0" wp14:anchorId="06EC8A31" wp14:editId="3B7E31EC">
            <wp:extent cx="4735315" cy="6319319"/>
            <wp:effectExtent l="0" t="0" r="8255" b="5715"/>
            <wp:docPr id="5" name="Picture 5" descr="A picture containing text, book, o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book, old&#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41166" cy="6327128"/>
                    </a:xfrm>
                    <a:prstGeom prst="rect">
                      <a:avLst/>
                    </a:prstGeom>
                    <a:noFill/>
                    <a:ln>
                      <a:noFill/>
                    </a:ln>
                  </pic:spPr>
                </pic:pic>
              </a:graphicData>
            </a:graphic>
          </wp:inline>
        </w:drawing>
      </w:r>
      <w:bookmarkStart w:id="23" w:name="_Toc96430429"/>
    </w:p>
    <w:p w14:paraId="2E8D89CF" w14:textId="77777777" w:rsidR="00664F5A" w:rsidRPr="00D159B4" w:rsidRDefault="00664F5A" w:rsidP="00664F5A">
      <w:pPr>
        <w:pStyle w:val="Caption"/>
        <w:jc w:val="center"/>
        <w:rPr>
          <w:rFonts w:asciiTheme="majorBidi" w:hAnsiTheme="majorBidi" w:cstheme="majorBidi"/>
          <w:b w:val="0"/>
          <w:bCs w:val="0"/>
        </w:rPr>
      </w:pPr>
      <w:bookmarkStart w:id="24" w:name="_Toc101797041"/>
      <w:r w:rsidRPr="002A5475">
        <w:rPr>
          <w:rFonts w:asciiTheme="majorBidi" w:hAnsiTheme="majorBidi" w:cstheme="majorBidi"/>
          <w:b w:val="0"/>
          <w:bCs w:val="0"/>
        </w:rPr>
        <w:t xml:space="preserve">Figure </w:t>
      </w:r>
      <w:r w:rsidRPr="002A5475">
        <w:rPr>
          <w:rFonts w:asciiTheme="majorBidi" w:hAnsiTheme="majorBidi" w:cstheme="majorBidi"/>
          <w:b w:val="0"/>
          <w:bCs w:val="0"/>
        </w:rPr>
        <w:fldChar w:fldCharType="begin"/>
      </w:r>
      <w:r w:rsidRPr="002A5475">
        <w:rPr>
          <w:rFonts w:asciiTheme="majorBidi" w:hAnsiTheme="majorBidi" w:cstheme="majorBidi"/>
          <w:b w:val="0"/>
          <w:bCs w:val="0"/>
        </w:rPr>
        <w:instrText xml:space="preserve"> SEQ Figure \* ARABIC </w:instrText>
      </w:r>
      <w:r w:rsidRPr="002A5475">
        <w:rPr>
          <w:rFonts w:asciiTheme="majorBidi" w:hAnsiTheme="majorBidi" w:cstheme="majorBidi"/>
          <w:b w:val="0"/>
          <w:bCs w:val="0"/>
        </w:rPr>
        <w:fldChar w:fldCharType="separate"/>
      </w:r>
      <w:r>
        <w:rPr>
          <w:rFonts w:asciiTheme="majorBidi" w:hAnsiTheme="majorBidi" w:cstheme="majorBidi"/>
          <w:b w:val="0"/>
          <w:bCs w:val="0"/>
          <w:noProof/>
        </w:rPr>
        <w:t>8</w:t>
      </w:r>
      <w:r w:rsidRPr="002A5475">
        <w:rPr>
          <w:rFonts w:asciiTheme="majorBidi" w:hAnsiTheme="majorBidi" w:cstheme="majorBidi"/>
          <w:b w:val="0"/>
          <w:bCs w:val="0"/>
        </w:rPr>
        <w:fldChar w:fldCharType="end"/>
      </w:r>
      <w:r w:rsidRPr="002A5475">
        <w:rPr>
          <w:rFonts w:asciiTheme="majorBidi" w:hAnsiTheme="majorBidi" w:cstheme="majorBidi"/>
          <w:b w:val="0"/>
          <w:bCs w:val="0"/>
        </w:rPr>
        <w:t>: Miserrimus Dexter</w:t>
      </w:r>
      <w:r w:rsidRPr="00D159B4">
        <w:rPr>
          <w:rFonts w:asciiTheme="majorBidi" w:hAnsiTheme="majorBidi" w:cstheme="majorBidi"/>
          <w:b w:val="0"/>
          <w:bCs w:val="0"/>
        </w:rPr>
        <w:t>. “</w:t>
      </w:r>
      <w:r w:rsidRPr="00D159B4">
        <w:rPr>
          <w:rFonts w:asciiTheme="majorBidi" w:eastAsia="Calibri" w:hAnsiTheme="majorBidi" w:cstheme="majorBidi"/>
          <w:b w:val="0"/>
          <w:bCs w:val="0"/>
        </w:rPr>
        <w:t xml:space="preserve">The crippled gentleman flew into a furious rage with me for presuming to touch his chair.” </w:t>
      </w:r>
      <w:r w:rsidRPr="00D159B4">
        <w:rPr>
          <w:rFonts w:asciiTheme="majorBidi" w:hAnsiTheme="majorBidi" w:cstheme="majorBidi"/>
          <w:b w:val="0"/>
          <w:bCs w:val="0"/>
        </w:rPr>
        <w:t xml:space="preserve">Illustration </w:t>
      </w:r>
      <w:r w:rsidRPr="00D159B4">
        <w:rPr>
          <w:rFonts w:asciiTheme="majorBidi" w:eastAsia="Calibri" w:hAnsiTheme="majorBidi" w:cstheme="majorBidi"/>
          <w:b w:val="0"/>
          <w:bCs w:val="0"/>
        </w:rPr>
        <w:t xml:space="preserve">from </w:t>
      </w:r>
      <w:r w:rsidRPr="00D159B4">
        <w:rPr>
          <w:rFonts w:asciiTheme="majorBidi" w:eastAsia="Calibri" w:hAnsiTheme="majorBidi" w:cstheme="majorBidi"/>
          <w:b w:val="0"/>
          <w:bCs w:val="0"/>
          <w:i/>
          <w:iCs/>
        </w:rPr>
        <w:t>The Graphic</w:t>
      </w:r>
      <w:r w:rsidRPr="00D159B4">
        <w:rPr>
          <w:rFonts w:asciiTheme="majorBidi" w:eastAsia="Calibri" w:hAnsiTheme="majorBidi" w:cstheme="majorBidi"/>
          <w:b w:val="0"/>
          <w:bCs w:val="0"/>
        </w:rPr>
        <w:t xml:space="preserve"> 10.260 (21 Nov. 1874, 493</w:t>
      </w:r>
      <w:bookmarkEnd w:id="23"/>
      <w:r w:rsidRPr="00D159B4">
        <w:rPr>
          <w:rFonts w:asciiTheme="majorBidi" w:eastAsia="Calibri" w:hAnsiTheme="majorBidi" w:cstheme="majorBidi"/>
          <w:b w:val="0"/>
          <w:bCs w:val="0"/>
        </w:rPr>
        <w:t>) by Sydney P. Hall.</w:t>
      </w:r>
      <w:bookmarkEnd w:id="24"/>
      <w:r w:rsidRPr="00D159B4">
        <w:rPr>
          <w:rFonts w:asciiTheme="majorBidi" w:eastAsia="Calibri" w:hAnsiTheme="majorBidi" w:cstheme="majorBidi"/>
          <w:b w:val="0"/>
          <w:bCs w:val="0"/>
        </w:rPr>
        <w:t xml:space="preserve"> </w:t>
      </w:r>
    </w:p>
    <w:p w14:paraId="57FEE336" w14:textId="77777777" w:rsidR="00664F5A" w:rsidRDefault="00664F5A">
      <w:pPr>
        <w:rPr>
          <w:rFonts w:asciiTheme="majorBidi" w:eastAsia="Calibri" w:hAnsiTheme="majorBidi" w:cstheme="majorBidi"/>
        </w:rPr>
      </w:pPr>
      <w:r>
        <w:rPr>
          <w:rFonts w:asciiTheme="majorBidi" w:eastAsia="Calibri" w:hAnsiTheme="majorBidi" w:cstheme="majorBidi"/>
        </w:rPr>
        <w:br w:type="page"/>
      </w:r>
    </w:p>
    <w:p w14:paraId="30E84448" w14:textId="2D6A0998" w:rsidR="00D159B4" w:rsidRPr="00D159B4" w:rsidRDefault="00D159B4" w:rsidP="00664F5A">
      <w:pPr>
        <w:spacing w:line="480" w:lineRule="auto"/>
        <w:rPr>
          <w:rFonts w:asciiTheme="majorBidi" w:eastAsia="Calibri" w:hAnsiTheme="majorBidi" w:cstheme="majorBidi"/>
        </w:rPr>
      </w:pPr>
      <w:r w:rsidRPr="00D159B4">
        <w:rPr>
          <w:rFonts w:asciiTheme="majorBidi" w:eastAsia="Calibri" w:hAnsiTheme="majorBidi" w:cstheme="majorBidi"/>
        </w:rPr>
        <w:lastRenderedPageBreak/>
        <w:t xml:space="preserve">a chair, but a single being, the ductile union of machine and flesh. In this assertion of identity, Dexter fuses himself with his prosthetic object, and in capitalizing “Me,” he transforms the pronoun into a proper noun, doubling down on the viability of this hybrid identity. </w:t>
      </w:r>
    </w:p>
    <w:p w14:paraId="75448110" w14:textId="1B3250D4" w:rsidR="00D159B4" w:rsidRPr="00D159B4" w:rsidRDefault="00D159B4" w:rsidP="00664F5A">
      <w:pPr>
        <w:spacing w:line="480" w:lineRule="auto"/>
        <w:rPr>
          <w:rFonts w:asciiTheme="majorBidi" w:eastAsia="Calibri" w:hAnsiTheme="majorBidi" w:cstheme="majorBidi"/>
        </w:rPr>
      </w:pPr>
      <w:r w:rsidRPr="00D159B4">
        <w:rPr>
          <w:rFonts w:asciiTheme="majorBidi" w:eastAsia="Calibri" w:hAnsiTheme="majorBidi" w:cstheme="majorBidi"/>
        </w:rPr>
        <w:t xml:space="preserve">But Schoolcraft immediately disrupts the equilibrium struck by Dexter, forcefully creating a hierarchy in which Dexter plays the subordinate role to the principal object. He takes up an inanimate object to intervene on his hand’s behalf and remove the offending chair—and its unyielding human half—from the room: “I . . . gave the chair a good push behind with my stick instead of my hand—and so sent </w:t>
      </w:r>
      <w:r w:rsidR="00664181">
        <w:rPr>
          <w:rFonts w:asciiTheme="majorBidi" w:eastAsia="Calibri" w:hAnsiTheme="majorBidi" w:cstheme="majorBidi"/>
        </w:rPr>
        <w:t>I</w:t>
      </w:r>
      <w:r w:rsidRPr="00D159B4">
        <w:rPr>
          <w:rFonts w:asciiTheme="majorBidi" w:eastAsia="Calibri" w:hAnsiTheme="majorBidi" w:cstheme="majorBidi"/>
        </w:rPr>
        <w:t>t, and him, safely and swiftly out of the room” (145). The physicality of this exchange proves notable in two ways. First, rather than acknowledge the unity of Dexter and his device, Schoolcraft reinforces the boundaries between human and object. He pairs like with like, effectively hijacking and dictating the terms of haptic exchange. He refuses to accept hybridity on Dexter’s terms and so declines to touch the chair with his human hand. He insists on strict taxonomy by raising one inanimate object to meet another inanimate object. The</w:t>
      </w:r>
      <w:r w:rsidR="00D93B87" w:rsidRPr="002A5475">
        <w:rPr>
          <w:rFonts w:asciiTheme="majorBidi" w:eastAsia="Calibri" w:hAnsiTheme="majorBidi" w:cstheme="majorBidi"/>
        </w:rPr>
        <w:t xml:space="preserve"> </w:t>
      </w:r>
      <w:r w:rsidR="00D93B87" w:rsidRPr="00D159B4">
        <w:rPr>
          <w:rFonts w:asciiTheme="majorBidi" w:eastAsia="Calibri" w:hAnsiTheme="majorBidi" w:cstheme="majorBidi"/>
        </w:rPr>
        <w:t>narrative result is a</w:t>
      </w:r>
      <w:r w:rsidR="00664F5A">
        <w:rPr>
          <w:rFonts w:asciiTheme="majorBidi" w:eastAsia="Calibri" w:hAnsiTheme="majorBidi" w:cstheme="majorBidi"/>
        </w:rPr>
        <w:t xml:space="preserve"> </w:t>
      </w:r>
      <w:r w:rsidR="00D93B87" w:rsidRPr="00D159B4">
        <w:rPr>
          <w:rFonts w:asciiTheme="majorBidi" w:eastAsia="Calibri" w:hAnsiTheme="majorBidi" w:cstheme="majorBidi"/>
        </w:rPr>
        <w:t>stark picture of two human men separated by (ostensibly equally) lifeless objects: one being no more personal, integral, or uniquely dynamic than the other.</w:t>
      </w:r>
      <w:r w:rsidR="00D93B87" w:rsidRPr="002A5475">
        <w:rPr>
          <w:rFonts w:asciiTheme="majorBidi" w:eastAsia="Calibri" w:hAnsiTheme="majorBidi" w:cstheme="majorBidi"/>
        </w:rPr>
        <w:t xml:space="preserve"> </w:t>
      </w:r>
      <w:r w:rsidR="00D93B87" w:rsidRPr="00D159B4">
        <w:rPr>
          <w:rFonts w:asciiTheme="majorBidi" w:eastAsia="Calibri" w:hAnsiTheme="majorBidi" w:cstheme="majorBidi"/>
        </w:rPr>
        <w:t>Second, while Schoolcraft flattens Dexter’s chair and insists upon their separate identities, he simultaneously recasts Dexter as inferior to the irritating object. Playing on Dexter’s own</w:t>
      </w:r>
      <w:r w:rsidR="00664F5A">
        <w:rPr>
          <w:rFonts w:asciiTheme="majorBidi" w:eastAsia="Calibri" w:hAnsiTheme="majorBidi" w:cstheme="majorBidi"/>
        </w:rPr>
        <w:t xml:space="preserve"> </w:t>
      </w:r>
      <w:r w:rsidR="00D93B87" w:rsidRPr="00D159B4">
        <w:rPr>
          <w:rFonts w:asciiTheme="majorBidi" w:eastAsia="Calibri" w:hAnsiTheme="majorBidi" w:cstheme="majorBidi"/>
        </w:rPr>
        <w:t>grammatical license, Schoolcraft capitalizes the chair’s pronoun, “It,” but not Dexter’s, “him.” The chair has literally taken up more space in the room than the man</w:t>
      </w:r>
      <w:r w:rsidR="00D93B87" w:rsidRPr="002A5475">
        <w:rPr>
          <w:rFonts w:asciiTheme="majorBidi" w:eastAsia="Calibri" w:hAnsiTheme="majorBidi" w:cstheme="majorBidi"/>
        </w:rPr>
        <w:t xml:space="preserve"> </w:t>
      </w:r>
      <w:r w:rsidRPr="00D159B4">
        <w:rPr>
          <w:rFonts w:asciiTheme="majorBidi" w:eastAsia="Calibri" w:hAnsiTheme="majorBidi" w:cstheme="majorBidi"/>
        </w:rPr>
        <w:t xml:space="preserve">sitting in it, and Schoolcraft’s narrative focus reflects the disproportionate occupation. Dexter’s body is divided from his chair and marginalized by it. The report of Eustace’s trial mimics Schoolcraft’s division-and-inversion at the conclusion of Dexter’s testimony: “The chair on wheels glided away, with the half-man in it, and was lost in a distant corner of the Court” (179). This synecdochic rendering furnishes the </w:t>
      </w:r>
      <w:r w:rsidRPr="00D159B4">
        <w:rPr>
          <w:rFonts w:asciiTheme="majorBidi" w:eastAsia="Calibri" w:hAnsiTheme="majorBidi" w:cstheme="majorBidi"/>
        </w:rPr>
        <w:lastRenderedPageBreak/>
        <w:t>sentence with an inanimate subject; the biotic half of Dexter becomes an animate subject buried in a technically superfluous prepositional phrase. The metonymy here, as elsewhere, again severs Dexter’s identity—on a nondisabled character’ terms—and places him in contest for narrative space against his chair.</w:t>
      </w:r>
    </w:p>
    <w:p w14:paraId="60182797" w14:textId="77777777" w:rsidR="00D159B4" w:rsidRPr="00D159B4" w:rsidRDefault="00D159B4" w:rsidP="00D159B4">
      <w:pPr>
        <w:spacing w:line="480" w:lineRule="auto"/>
        <w:ind w:firstLine="720"/>
        <w:rPr>
          <w:rFonts w:asciiTheme="majorBidi" w:eastAsia="Calibri" w:hAnsiTheme="majorBidi" w:cstheme="majorBidi"/>
        </w:rPr>
      </w:pPr>
      <w:r w:rsidRPr="00D159B4">
        <w:rPr>
          <w:rFonts w:asciiTheme="majorBidi" w:eastAsia="Calibri" w:hAnsiTheme="majorBidi" w:cstheme="majorBidi"/>
        </w:rPr>
        <w:t xml:space="preserve">The grammatical and substantive precedence of Dexter’s chair persists in Valeria’s description of their first meeting. Valeria enters an ill-lit room where she struggles to “judge of objects and distances” and sees Dexter first, not as a unified entity, but as a disjointed collection of parts: “A high chair on wheels . . . carrying a shadowy figure . . . and arms furiously raised and lowered, working the machinery that propelled the chair at its utmost rate of speed” (206). The chair itself comprises the subject while Dexter’s body—further divided into the main figure and the almost mechanical arms—falls into a series of participle phrases. He appears as “strident wheels” or an unsettling disintegrated set of “a head and body,” but rarely does he appear simply as himself when narrated by others (207). Synecdoche, like the obfuscating darkness of the room, hides the human subject and emphasizes the assistive device. Synecdoche subverts the personal relationship between the disabled character and his prosthetic object and, in so doing, furnishes a taxonomical ordering in which the user of the device is inferior to it. </w:t>
      </w:r>
    </w:p>
    <w:p w14:paraId="19B3B189" w14:textId="77777777" w:rsidR="00D159B4" w:rsidRPr="00D159B4" w:rsidRDefault="00D159B4" w:rsidP="00D159B4">
      <w:pPr>
        <w:spacing w:line="480" w:lineRule="auto"/>
        <w:ind w:firstLine="720"/>
        <w:rPr>
          <w:rFonts w:asciiTheme="majorBidi" w:eastAsia="Calibri" w:hAnsiTheme="majorBidi" w:cstheme="majorBidi"/>
        </w:rPr>
      </w:pPr>
      <w:r w:rsidRPr="00D159B4">
        <w:rPr>
          <w:rFonts w:asciiTheme="majorBidi" w:eastAsia="Calibri" w:hAnsiTheme="majorBidi" w:cstheme="majorBidi"/>
        </w:rPr>
        <w:t xml:space="preserve">Valeria hazily recognizes Dexter as a “blended” amalgam of “man and machinery,” but her descriptions identify the site of locomotion and, subsequently, autonomy as the machine, not the man: “The strident wheels turned . . . and came back” (206); “The wheelchair stopped . . . altered its course, and flew at us with the rush of a wild animal” (207); “The chair passed on, and burst aside the hanging tapestry.” Even before she meets Dexter, Valeria believes he is confined to the chair, utterly immobile without it. In synthesizing the testimony from her husband’s trial, she simply concludes that “The one other visitor at Gleninch is a cripple, who can only move in </w:t>
      </w:r>
      <w:r w:rsidRPr="00D159B4">
        <w:rPr>
          <w:rFonts w:asciiTheme="majorBidi" w:eastAsia="Calibri" w:hAnsiTheme="majorBidi" w:cstheme="majorBidi"/>
        </w:rPr>
        <w:lastRenderedPageBreak/>
        <w:t>his chair on wheels,” surmising that Dexter is limited, rather than enhanced, by his wheelchair (185). Of course, Dexter’s ability to move, well, dexterously attests to the symbiotic rather than dependent nature of his adoption of the chair, but the narrative’s repeated insistence on the chair as the primary subject, rather than a part of the hybrid whole, threatens to undermine the disabled character’s status as a viable subject on his own terms.</w:t>
      </w:r>
      <w:r w:rsidRPr="00D159B4">
        <w:rPr>
          <w:rFonts w:asciiTheme="majorBidi" w:eastAsia="Calibri" w:hAnsiTheme="majorBidi" w:cstheme="majorBidi"/>
          <w:vertAlign w:val="superscript"/>
        </w:rPr>
        <w:footnoteReference w:id="119"/>
      </w:r>
    </w:p>
    <w:p w14:paraId="1DAE9AE8" w14:textId="00BE85F4" w:rsidR="00D159B4" w:rsidRPr="00D159B4" w:rsidRDefault="00D159B4" w:rsidP="00D159B4">
      <w:pPr>
        <w:spacing w:line="480" w:lineRule="auto"/>
        <w:ind w:firstLine="720"/>
        <w:rPr>
          <w:rFonts w:asciiTheme="majorBidi" w:eastAsia="Calibri" w:hAnsiTheme="majorBidi" w:cstheme="majorBidi"/>
        </w:rPr>
      </w:pPr>
      <w:r w:rsidRPr="00D159B4">
        <w:rPr>
          <w:rFonts w:asciiTheme="majorBidi" w:eastAsia="Calibri" w:hAnsiTheme="majorBidi" w:cstheme="majorBidi"/>
        </w:rPr>
        <w:t>It isn’t until Valeria achieves a calmer “second view” of Dexter (in the chapter bearing that title) that she can look at him “as a whole” (214). Of course, the fact that he appears “unusually handsome” helps his case. (One wonders how long Valeria might have lingered, or how much sooner she might have left, if he were less fortunate looking.) Unlike Schoolcraft, Valeria bridges the flesh-machine divide. She approaches Dexter and lays her hand “as if by accident, on the wheel-chair to keep him near [her]” (216). Dexter’s surprised, skeptical reaction testifies to the rarity of such an action. Valeria realizes that he has sat transfixed, “looking at my hand, resting on the arm of his chair” until she resumes her interrogation</w:t>
      </w:r>
      <w:r w:rsidR="00664181">
        <w:rPr>
          <w:rFonts w:asciiTheme="majorBidi" w:eastAsia="Calibri" w:hAnsiTheme="majorBidi" w:cstheme="majorBidi"/>
        </w:rPr>
        <w:t xml:space="preserve"> (ibid.)</w:t>
      </w:r>
      <w:r w:rsidRPr="00D159B4">
        <w:rPr>
          <w:rFonts w:asciiTheme="majorBidi" w:eastAsia="Calibri" w:hAnsiTheme="majorBidi" w:cstheme="majorBidi"/>
        </w:rPr>
        <w:t xml:space="preserve">. Her willingness to look beyond his mechanical otherness attests to her dedication to unearthing the truth of the novel’s central mystery, her shrewd recognition that physical exchange with the Dexter’s assistive device gives her access to its user. </w:t>
      </w:r>
    </w:p>
    <w:p w14:paraId="4E796A5B" w14:textId="28259A37" w:rsidR="00D159B4" w:rsidRPr="00D159B4" w:rsidRDefault="00D159B4" w:rsidP="00D159B4">
      <w:pPr>
        <w:spacing w:line="480" w:lineRule="auto"/>
        <w:ind w:firstLine="720"/>
        <w:rPr>
          <w:rFonts w:asciiTheme="majorBidi" w:eastAsia="Calibri" w:hAnsiTheme="majorBidi" w:cstheme="majorBidi"/>
        </w:rPr>
      </w:pPr>
      <w:r w:rsidRPr="00D159B4">
        <w:rPr>
          <w:rFonts w:asciiTheme="majorBidi" w:eastAsia="Calibri" w:hAnsiTheme="majorBidi" w:cstheme="majorBidi"/>
        </w:rPr>
        <w:t xml:space="preserve">But outside of these exchanges with Valeria, the novel's metatextual rendering of Dexter’s body (primarily through the courtroom transcripts) repeatedly degenerates into a disjointed jumble of parts of speech. The textual objectification of his hybrid form reinforces its supposed abnormality. As Rosemarie Garland Thomson notes, “when the body becomes pure </w:t>
      </w:r>
      <w:r w:rsidRPr="00D159B4">
        <w:rPr>
          <w:rFonts w:asciiTheme="majorBidi" w:eastAsia="Calibri" w:hAnsiTheme="majorBidi" w:cstheme="majorBidi"/>
        </w:rPr>
        <w:lastRenderedPageBreak/>
        <w:t>text, a freak has been produced from a physically different human being” (</w:t>
      </w:r>
      <w:r w:rsidRPr="00D159B4">
        <w:rPr>
          <w:rFonts w:asciiTheme="majorBidi" w:eastAsia="Calibri" w:hAnsiTheme="majorBidi" w:cstheme="majorBidi"/>
          <w:i/>
          <w:iCs/>
        </w:rPr>
        <w:t>Extraordinary Bodies</w:t>
      </w:r>
      <w:r w:rsidRPr="00D159B4">
        <w:rPr>
          <w:rFonts w:asciiTheme="majorBidi" w:eastAsia="Calibri" w:hAnsiTheme="majorBidi" w:cstheme="majorBidi"/>
        </w:rPr>
        <w:t xml:space="preserve"> 59). Collins’s brand of sensation fiction is largely plot-driven, so the inordinate accumulation of physical detail devoted to Dexter’s embodiment always marks him as other, as an uncanny curiosity to be simultaneously marveled at and feared. Like Frankenstein’s Creature, Dexter’s abject form is cast as unsettlingly both human and nonhuman. In a bid to safeguard the integrity of their purely organic bodies, the novel’s nondisabled characters reduce Dexter’s body to a set of textual particulars so as to demarcate it as abnormal—to set it apart from themselves, as though his wheels were catching.</w:t>
      </w:r>
    </w:p>
    <w:p w14:paraId="22F2081E" w14:textId="4687BCE8" w:rsidR="00D159B4" w:rsidRPr="00D159B4" w:rsidRDefault="00D159B4" w:rsidP="00D159B4">
      <w:pPr>
        <w:spacing w:line="480" w:lineRule="auto"/>
        <w:rPr>
          <w:rFonts w:asciiTheme="majorBidi" w:eastAsia="Calibri" w:hAnsiTheme="majorBidi" w:cstheme="majorBidi"/>
        </w:rPr>
      </w:pPr>
      <w:r w:rsidRPr="00D159B4">
        <w:rPr>
          <w:rFonts w:asciiTheme="majorBidi" w:eastAsia="Calibri" w:hAnsiTheme="majorBidi" w:cstheme="majorBidi"/>
        </w:rPr>
        <w:tab/>
        <w:t xml:space="preserve">Crucially, as in other contemporaneous works (like Mary Elizabeth Braddon’s </w:t>
      </w:r>
      <w:r w:rsidRPr="00D159B4">
        <w:rPr>
          <w:rFonts w:asciiTheme="majorBidi" w:eastAsia="Calibri" w:hAnsiTheme="majorBidi" w:cstheme="majorBidi"/>
          <w:i/>
          <w:iCs/>
        </w:rPr>
        <w:t>Lady Audley’s Secret</w:t>
      </w:r>
      <w:r w:rsidRPr="00D159B4">
        <w:rPr>
          <w:rFonts w:asciiTheme="majorBidi" w:eastAsia="Calibri" w:hAnsiTheme="majorBidi" w:cstheme="majorBidi"/>
        </w:rPr>
        <w:t xml:space="preserve"> and Collins’s own </w:t>
      </w:r>
      <w:r w:rsidRPr="00D159B4">
        <w:rPr>
          <w:rFonts w:asciiTheme="majorBidi" w:eastAsia="Calibri" w:hAnsiTheme="majorBidi" w:cstheme="majorBidi"/>
          <w:i/>
          <w:iCs/>
        </w:rPr>
        <w:t>The Woman in White</w:t>
      </w:r>
      <w:r w:rsidRPr="00D159B4">
        <w:rPr>
          <w:rFonts w:asciiTheme="majorBidi" w:eastAsia="Calibri" w:hAnsiTheme="majorBidi" w:cstheme="majorBidi"/>
        </w:rPr>
        <w:t>), disability itself exists as a shapeless entity that threatens to encroach on the novel’s nondisabled characters.</w:t>
      </w:r>
      <w:r w:rsidRPr="00D159B4">
        <w:rPr>
          <w:rFonts w:asciiTheme="majorBidi" w:eastAsia="Calibri" w:hAnsiTheme="majorBidi" w:cstheme="majorBidi"/>
          <w:vertAlign w:val="superscript"/>
        </w:rPr>
        <w:footnoteReference w:id="120"/>
      </w:r>
      <w:r w:rsidRPr="00D159B4">
        <w:rPr>
          <w:rFonts w:asciiTheme="majorBidi" w:eastAsia="Calibri" w:hAnsiTheme="majorBidi" w:cstheme="majorBidi"/>
        </w:rPr>
        <w:t xml:space="preserve"> Valeria, for instance, wonders, upon reading Dexter’s sign, if she has “caught the infection of madness in the air of the house” (204). </w:t>
      </w:r>
      <w:r w:rsidR="00083490">
        <w:rPr>
          <w:rFonts w:asciiTheme="majorBidi" w:eastAsia="Calibri" w:hAnsiTheme="majorBidi" w:cstheme="majorBidi"/>
        </w:rPr>
        <w:t>T</w:t>
      </w:r>
      <w:r w:rsidRPr="00D159B4">
        <w:rPr>
          <w:rFonts w:asciiTheme="majorBidi" w:eastAsia="Calibri" w:hAnsiTheme="majorBidi" w:cstheme="majorBidi"/>
        </w:rPr>
        <w:t>he language of disability permeates the narrative. The Scotch Verdict in Eustace’s trail</w:t>
      </w:r>
      <w:proofErr w:type="gramStart"/>
      <w:r w:rsidRPr="00D159B4">
        <w:rPr>
          <w:rFonts w:asciiTheme="majorBidi" w:eastAsia="Calibri" w:hAnsiTheme="majorBidi" w:cstheme="majorBidi"/>
        </w:rPr>
        <w:t>—“</w:t>
      </w:r>
      <w:proofErr w:type="gramEnd"/>
      <w:r w:rsidRPr="00D159B4">
        <w:rPr>
          <w:rFonts w:asciiTheme="majorBidi" w:eastAsia="Calibri" w:hAnsiTheme="majorBidi" w:cstheme="majorBidi"/>
        </w:rPr>
        <w:t xml:space="preserve">Not Proven”—is described by Valeria as “lame and impotent” (182). Dexter’s cousin is variously described as “imperfectly-developed” (210) and “an idiot” (203, 211). The narrative continually returns to meditations on the matching of Dexter’s intermixed interior state to his blended physical one. When Mrs. Macallan describes “the mad side” of Dexter to Valeria, she warns of the way he “He mixed up sense and nonsense in the strangest confusion </w:t>
      </w:r>
      <w:proofErr w:type="gramStart"/>
      <w:r w:rsidRPr="00D159B4">
        <w:rPr>
          <w:rFonts w:asciiTheme="majorBidi" w:eastAsia="Calibri" w:hAnsiTheme="majorBidi" w:cstheme="majorBidi"/>
        </w:rPr>
        <w:t>. . . .</w:t>
      </w:r>
      <w:proofErr w:type="gramEnd"/>
      <w:r w:rsidRPr="00D159B4">
        <w:rPr>
          <w:rFonts w:asciiTheme="majorBidi" w:eastAsia="Calibri" w:hAnsiTheme="majorBidi" w:cstheme="majorBidi"/>
        </w:rPr>
        <w:t xml:space="preserve"> In </w:t>
      </w:r>
      <w:r w:rsidRPr="00D159B4">
        <w:rPr>
          <w:rFonts w:asciiTheme="majorBidi" w:eastAsia="Calibri" w:hAnsiTheme="majorBidi" w:cstheme="majorBidi"/>
        </w:rPr>
        <w:lastRenderedPageBreak/>
        <w:t xml:space="preserve">short, he was just like himself—a mixture of the strangest and the most opposite qualities” (199). Deviance and aberration, the narrative implies, can infiltrate any entity. Even the houses and shops in the northern suburb of London (en route to Dexter’s home) are “disfigured” (201). </w:t>
      </w:r>
    </w:p>
    <w:p w14:paraId="3A2E1F52" w14:textId="7ABD0232" w:rsidR="00D159B4" w:rsidRPr="00D159B4" w:rsidRDefault="00D159B4" w:rsidP="00D159B4">
      <w:pPr>
        <w:spacing w:line="480" w:lineRule="auto"/>
        <w:ind w:firstLine="720"/>
        <w:rPr>
          <w:rFonts w:asciiTheme="majorBidi" w:eastAsia="Calibri" w:hAnsiTheme="majorBidi" w:cstheme="majorBidi"/>
        </w:rPr>
      </w:pPr>
      <w:r w:rsidRPr="00D159B4">
        <w:rPr>
          <w:rFonts w:asciiTheme="majorBidi" w:eastAsia="Calibri" w:hAnsiTheme="majorBidi" w:cstheme="majorBidi"/>
        </w:rPr>
        <w:t>Just as the shifting Arctic provides the stage for Frankenstein’s Creature’s testimony (see Chapter I), so too does the dark, labyrinthian suburb of Dexter’s neighborhood accommodate his space of narrative dominion. Valeria describes her hours-long carriage ride though “a dingy brick labyrinth of streets, growing smaller and smaller, and dirtier and dirtier the further we went</w:t>
      </w:r>
      <w:proofErr w:type="gramStart"/>
      <w:r w:rsidRPr="00D159B4">
        <w:rPr>
          <w:rFonts w:asciiTheme="majorBidi" w:eastAsia="Calibri" w:hAnsiTheme="majorBidi" w:cstheme="majorBidi"/>
        </w:rPr>
        <w:t>. . . .</w:t>
      </w:r>
      <w:proofErr w:type="gramEnd"/>
      <w:r w:rsidRPr="00D159B4">
        <w:rPr>
          <w:rFonts w:asciiTheme="majorBidi" w:eastAsia="Calibri" w:hAnsiTheme="majorBidi" w:cstheme="majorBidi"/>
        </w:rPr>
        <w:t xml:space="preserve"> I noticed in the gathering darkness dismal patches of waste ground which seemed to be neither town nor country” (201). Again, as in </w:t>
      </w:r>
      <w:r w:rsidRPr="00D159B4">
        <w:rPr>
          <w:rFonts w:asciiTheme="majorBidi" w:eastAsia="Calibri" w:hAnsiTheme="majorBidi" w:cstheme="majorBidi"/>
          <w:i/>
          <w:iCs/>
        </w:rPr>
        <w:t>Frankenstein</w:t>
      </w:r>
      <w:r w:rsidRPr="00D159B4">
        <w:rPr>
          <w:rFonts w:asciiTheme="majorBidi" w:eastAsia="Calibri" w:hAnsiTheme="majorBidi" w:cstheme="majorBidi"/>
        </w:rPr>
        <w:t>, the disabled character finds his most robust platform in nebulous, liminal spaces: places that are neither here nor there, unrestricted by normative boundaries. When the party arrives, Valeria finds herself in a dizzying landscape</w:t>
      </w:r>
      <w:r w:rsidR="00083490">
        <w:rPr>
          <w:rFonts w:asciiTheme="majorBidi" w:eastAsia="Calibri" w:hAnsiTheme="majorBidi" w:cstheme="majorBidi"/>
        </w:rPr>
        <w:t xml:space="preserve"> of</w:t>
      </w:r>
      <w:r w:rsidRPr="00D159B4">
        <w:rPr>
          <w:rFonts w:asciiTheme="majorBidi" w:eastAsia="Calibri" w:hAnsiTheme="majorBidi" w:cstheme="majorBidi"/>
        </w:rPr>
        <w:t xml:space="preserve"> in-betweens and half-finished structures: </w:t>
      </w:r>
    </w:p>
    <w:p w14:paraId="16745E04" w14:textId="77777777" w:rsidR="00D159B4" w:rsidRPr="00D159B4" w:rsidRDefault="00D159B4" w:rsidP="00D159B4">
      <w:pPr>
        <w:spacing w:line="480" w:lineRule="auto"/>
        <w:ind w:left="2160"/>
        <w:rPr>
          <w:rFonts w:asciiTheme="majorBidi" w:eastAsia="Calibri" w:hAnsiTheme="majorBidi" w:cstheme="majorBidi"/>
        </w:rPr>
      </w:pPr>
      <w:r w:rsidRPr="00D159B4">
        <w:rPr>
          <w:rFonts w:asciiTheme="majorBidi" w:eastAsia="Calibri" w:hAnsiTheme="majorBidi" w:cstheme="majorBidi"/>
        </w:rPr>
        <w:t>we were standing on a rough half-made gravel path. Right and left of me, in the dim light, I saw the half-completed foundations of new houses in their first stage of existence. Boards and bricks were scattered about us. At places, gaunt scaffolding-poles rose like the branchless trees of the brick-desert</w:t>
      </w:r>
      <w:proofErr w:type="gramStart"/>
      <w:r w:rsidRPr="00D159B4">
        <w:rPr>
          <w:rFonts w:asciiTheme="majorBidi" w:eastAsia="Calibri" w:hAnsiTheme="majorBidi" w:cstheme="majorBidi"/>
        </w:rPr>
        <w:t>. . . .</w:t>
      </w:r>
      <w:proofErr w:type="gramEnd"/>
      <w:r w:rsidRPr="00D159B4">
        <w:rPr>
          <w:rFonts w:asciiTheme="majorBidi" w:eastAsia="Calibri" w:hAnsiTheme="majorBidi" w:cstheme="majorBidi"/>
        </w:rPr>
        <w:t xml:space="preserve"> The footman led the way towards the paling, through the boards and the bricks, the oyster-shells and the broken crockery, that strewed the ground. And this was “Prince Dexter’s Palace!” (202). </w:t>
      </w:r>
    </w:p>
    <w:p w14:paraId="09476F09" w14:textId="77777777" w:rsidR="00D159B4" w:rsidRPr="00D159B4" w:rsidRDefault="00D159B4" w:rsidP="00D159B4">
      <w:pPr>
        <w:spacing w:line="480" w:lineRule="auto"/>
        <w:rPr>
          <w:rFonts w:asciiTheme="majorBidi" w:eastAsia="Calibri" w:hAnsiTheme="majorBidi" w:cstheme="majorBidi"/>
        </w:rPr>
      </w:pPr>
      <w:r w:rsidRPr="00D159B4">
        <w:rPr>
          <w:rFonts w:asciiTheme="majorBidi" w:eastAsia="Calibri" w:hAnsiTheme="majorBidi" w:cstheme="majorBidi"/>
        </w:rPr>
        <w:t xml:space="preserve">The property leading to Dexter’s strange, ancient home echoes Dexter’s own “half-made” physicality, his own exposed scaffolding. </w:t>
      </w:r>
    </w:p>
    <w:p w14:paraId="147B6CDC" w14:textId="2ECB69EC" w:rsidR="00D159B4" w:rsidRPr="00D159B4" w:rsidRDefault="00D159B4" w:rsidP="00D159B4">
      <w:pPr>
        <w:spacing w:line="480" w:lineRule="auto"/>
        <w:ind w:firstLine="720"/>
        <w:rPr>
          <w:rFonts w:asciiTheme="majorBidi" w:eastAsia="Calibri" w:hAnsiTheme="majorBidi" w:cstheme="majorBidi"/>
        </w:rPr>
      </w:pPr>
      <w:proofErr w:type="gramStart"/>
      <w:r w:rsidRPr="00D159B4">
        <w:rPr>
          <w:rFonts w:asciiTheme="majorBidi" w:eastAsia="Calibri" w:hAnsiTheme="majorBidi" w:cstheme="majorBidi"/>
        </w:rPr>
        <w:t>So</w:t>
      </w:r>
      <w:proofErr w:type="gramEnd"/>
      <w:r w:rsidRPr="00D159B4">
        <w:rPr>
          <w:rFonts w:asciiTheme="majorBidi" w:eastAsia="Calibri" w:hAnsiTheme="majorBidi" w:cstheme="majorBidi"/>
        </w:rPr>
        <w:t xml:space="preserve"> while, in the midst of this mass construction, his refusal of speculators’ hefty financial bids to purchase the grounds strikes the novel’s nondisabled characters as “one of his </w:t>
      </w:r>
      <w:r w:rsidRPr="00D159B4">
        <w:rPr>
          <w:rFonts w:asciiTheme="majorBidi" w:eastAsia="Calibri" w:hAnsiTheme="majorBidi" w:cstheme="majorBidi"/>
        </w:rPr>
        <w:lastRenderedPageBreak/>
        <w:t>madnesses,” Dexter’s insistence on the house’s nonconformity proves a rather heavy-handed articulation of an ethics of hybridity and difference (202). “My house,” he states in a letter to the speculators, “is a standing monument of the picturesque and the beautiful, a</w:t>
      </w:r>
      <w:r w:rsidR="00083490">
        <w:rPr>
          <w:rFonts w:asciiTheme="majorBidi" w:eastAsia="Calibri" w:hAnsiTheme="majorBidi" w:cstheme="majorBidi"/>
        </w:rPr>
        <w:t>mid</w:t>
      </w:r>
      <w:r w:rsidRPr="00D159B4">
        <w:rPr>
          <w:rFonts w:asciiTheme="majorBidi" w:eastAsia="Calibri" w:hAnsiTheme="majorBidi" w:cstheme="majorBidi"/>
        </w:rPr>
        <w:t xml:space="preserve"> the mean, dishonest, and groveling constructions of a mean, dishonest, and groveling age. I keep my house, gentlemen, as a useful lesson to you. Look at it, while you are building round me—and blush, if you can, for your own work” (203). In declining their offer, Dexter literally refuses to sell out. He refuses to let his odd, crumbling home be steamrolled and rebuilt in a more modern fashion—as one of many uniform homes, each indistinguishable from the next—for the sake of architectural unity. </w:t>
      </w:r>
    </w:p>
    <w:p w14:paraId="5E0BFD6D" w14:textId="77777777" w:rsidR="00D159B4" w:rsidRPr="00D159B4" w:rsidRDefault="00D159B4" w:rsidP="00D159B4">
      <w:pPr>
        <w:spacing w:line="480" w:lineRule="auto"/>
        <w:ind w:firstLine="720"/>
        <w:rPr>
          <w:rFonts w:asciiTheme="majorBidi" w:eastAsia="Calibri" w:hAnsiTheme="majorBidi" w:cstheme="majorBidi"/>
        </w:rPr>
      </w:pPr>
      <w:r w:rsidRPr="00D159B4">
        <w:rPr>
          <w:rFonts w:asciiTheme="majorBidi" w:eastAsia="Calibri" w:hAnsiTheme="majorBidi" w:cstheme="majorBidi"/>
        </w:rPr>
        <w:t>Dexter’s deliberate choice of setting demonstrates his commitment to self-performance. His anachronistic surroundings perform a self-conscious gesture to the Gothic suppositions of perversion that accompany the aberrant body, and his penchant for drama and pastiche mirror his physical status as a cyborg. (When Valeria arrives, he is, from moment to moment and yet all at once, Nelson, Napoleon, Shakespeare.) He continually refuses to let the novel’s other characters cast him as impaired, incapacitated, or otherwise subhuman—unless he can play on those stereotypes or expectations to serve his own ends.</w:t>
      </w:r>
      <w:r w:rsidRPr="00D159B4">
        <w:rPr>
          <w:rFonts w:asciiTheme="majorBidi" w:eastAsia="Calibri" w:hAnsiTheme="majorBidi" w:cstheme="majorBidi"/>
          <w:vertAlign w:val="superscript"/>
        </w:rPr>
        <w:footnoteReference w:id="121"/>
      </w:r>
      <w:r w:rsidRPr="00D159B4">
        <w:rPr>
          <w:rFonts w:asciiTheme="majorBidi" w:eastAsia="Calibri" w:hAnsiTheme="majorBidi" w:cstheme="majorBidi"/>
        </w:rPr>
        <w:t xml:space="preserve"> During Valeria’s next visit, Dexter, who greets her in a pink silk outfit so outlandish and antiquated that it could pass as a costume, steers into the mode of feminine frailty frequently attributed to people with disabilities. He dramatizes </w:t>
      </w:r>
      <w:r w:rsidRPr="00D159B4">
        <w:rPr>
          <w:rFonts w:asciiTheme="majorBidi" w:eastAsia="Calibri" w:hAnsiTheme="majorBidi" w:cstheme="majorBidi"/>
        </w:rPr>
        <w:lastRenderedPageBreak/>
        <w:t xml:space="preserve">his pitiable state in order to demand performance from Valeria: “I sigh and sorrow over myself; I languish for pity. Just think of what I am! A poor solitary creature, cursed with a frightful deformity. How pitiable! how dreadful! My affectionate heart—wasted. My extraordinary talents—useless or misapplied. Sad! sad! sad! Please pity me” (232). Dexter then asks her to say that she pities him, and when she does, he continues to press her: “Go a little further. Pat my hand” (233). Dexter later capitalizes on this physical contact and stereotypes of fragility when he reacts to Valeria’s assertion of pity by ensnaring Valeria and kissing her against her will—a scene so shocking and sensational that the editors of the </w:t>
      </w:r>
      <w:r w:rsidRPr="00D159B4">
        <w:rPr>
          <w:rFonts w:asciiTheme="majorBidi" w:eastAsia="Calibri" w:hAnsiTheme="majorBidi" w:cstheme="majorBidi"/>
          <w:i/>
          <w:iCs/>
        </w:rPr>
        <w:t>Graphic</w:t>
      </w:r>
      <w:r w:rsidRPr="00D159B4">
        <w:rPr>
          <w:rFonts w:asciiTheme="majorBidi" w:eastAsia="Calibri" w:hAnsiTheme="majorBidi" w:cstheme="majorBidi"/>
        </w:rPr>
        <w:t xml:space="preserve"> cut it from the original serial publication: “He caught my hand in his, and devoured it with kisses. His lips burnt me like fire. He twisted himself suddenly in the chair, and wound his arm round my waist. In the terror and indignation of the moment, vainly struggling with him, I cried out for help” (299).</w:t>
      </w:r>
      <w:r w:rsidRPr="00D159B4">
        <w:rPr>
          <w:rFonts w:asciiTheme="majorBidi" w:eastAsia="Calibri" w:hAnsiTheme="majorBidi" w:cstheme="majorBidi"/>
          <w:vertAlign w:val="superscript"/>
        </w:rPr>
        <w:footnoteReference w:id="122"/>
      </w:r>
      <w:r w:rsidRPr="00D159B4">
        <w:rPr>
          <w:rFonts w:asciiTheme="majorBidi" w:eastAsia="Calibri" w:hAnsiTheme="majorBidi" w:cstheme="majorBidi"/>
        </w:rPr>
        <w:t xml:space="preserve"> Like Trollope’s Madeline Neroni (another notably attractive disabled minor character), Dexter exploits the normative assumption of disabled impotence to transgress conventional standards of physical distance and intimacy.</w:t>
      </w:r>
      <w:r w:rsidRPr="00D159B4">
        <w:rPr>
          <w:rFonts w:asciiTheme="majorBidi" w:eastAsia="Calibri" w:hAnsiTheme="majorBidi" w:cstheme="majorBidi"/>
          <w:vertAlign w:val="superscript"/>
        </w:rPr>
        <w:footnoteReference w:id="123"/>
      </w:r>
      <w:r w:rsidRPr="00D159B4">
        <w:rPr>
          <w:rFonts w:asciiTheme="majorBidi" w:eastAsia="Calibri" w:hAnsiTheme="majorBidi" w:cstheme="majorBidi"/>
        </w:rPr>
        <w:t xml:space="preserve"> The wheelchair that outwardly casts him as pitiable and innocuous superficially obscures his physical vigor and voracity.</w:t>
      </w:r>
      <w:r w:rsidRPr="00D159B4">
        <w:rPr>
          <w:rFonts w:asciiTheme="majorBidi" w:eastAsia="Calibri" w:hAnsiTheme="majorBidi" w:cstheme="majorBidi"/>
          <w:vertAlign w:val="superscript"/>
        </w:rPr>
        <w:footnoteReference w:id="124"/>
      </w:r>
      <w:r w:rsidRPr="00D159B4">
        <w:rPr>
          <w:rFonts w:asciiTheme="majorBidi" w:eastAsia="Calibri" w:hAnsiTheme="majorBidi" w:cstheme="majorBidi"/>
        </w:rPr>
        <w:t xml:space="preserve"> </w:t>
      </w:r>
    </w:p>
    <w:p w14:paraId="0D061FB5" w14:textId="77777777" w:rsidR="00D159B4" w:rsidRPr="00D159B4" w:rsidRDefault="00D159B4" w:rsidP="00D159B4">
      <w:pPr>
        <w:spacing w:line="480" w:lineRule="auto"/>
        <w:rPr>
          <w:rFonts w:asciiTheme="majorBidi" w:eastAsia="Calibri" w:hAnsiTheme="majorBidi" w:cstheme="majorBidi"/>
        </w:rPr>
      </w:pPr>
      <w:r w:rsidRPr="00D159B4">
        <w:rPr>
          <w:rFonts w:asciiTheme="majorBidi" w:eastAsia="Calibri" w:hAnsiTheme="majorBidi" w:cstheme="majorBidi"/>
        </w:rPr>
        <w:lastRenderedPageBreak/>
        <w:tab/>
        <w:t xml:space="preserve">Dexter’s subversion of his own objectification in the novel endows him with the power to challenge his status as a minor character. Grammatically, metaphorically, physically, he resists the generic characterization of himself as the flat, largely immobilized disabled minor figure by playing up his parts. In flaunting his hybrid status Dexter becomes a capable antagonist (working tenaciously to thwart Valeria’s effort to uncover the truth about Sara’s death), a sympathetic villain, a major minor character. He revels in his embodiment and, in so doing, rebels against narrative attempts to marginalize him by the nondisabled characters. He refuses to be sidelined by characters who occupy the narrative center. </w:t>
      </w:r>
    </w:p>
    <w:p w14:paraId="3EFB25D1" w14:textId="77777777" w:rsidR="00D159B4" w:rsidRPr="00D159B4" w:rsidRDefault="00D159B4" w:rsidP="00D159B4">
      <w:pPr>
        <w:spacing w:line="480" w:lineRule="auto"/>
        <w:rPr>
          <w:rFonts w:asciiTheme="majorBidi" w:eastAsia="Calibri" w:hAnsiTheme="majorBidi" w:cstheme="majorBidi"/>
        </w:rPr>
      </w:pPr>
      <w:r w:rsidRPr="00D159B4">
        <w:rPr>
          <w:rFonts w:asciiTheme="majorBidi" w:eastAsia="Calibri" w:hAnsiTheme="majorBidi" w:cstheme="majorBidi"/>
          <w:b/>
          <w:bCs/>
        </w:rPr>
        <w:t>Auditory Authority</w:t>
      </w:r>
    </w:p>
    <w:p w14:paraId="43E68C35" w14:textId="77777777" w:rsidR="00D159B4" w:rsidRPr="00D159B4" w:rsidRDefault="00D159B4" w:rsidP="00D159B4">
      <w:pPr>
        <w:spacing w:line="480" w:lineRule="auto"/>
        <w:rPr>
          <w:rFonts w:asciiTheme="majorBidi" w:eastAsia="Calibri" w:hAnsiTheme="majorBidi" w:cstheme="majorBidi"/>
        </w:rPr>
      </w:pPr>
      <w:r w:rsidRPr="00D159B4">
        <w:rPr>
          <w:rFonts w:asciiTheme="majorBidi" w:eastAsia="Calibri" w:hAnsiTheme="majorBidi" w:cstheme="majorBidi"/>
        </w:rPr>
        <w:tab/>
        <w:t xml:space="preserve">Collins’s development of his more minor minor characters with disabilities takes roughly the same shape as Dickens’s. They are described by the narrators and defined by the nondisabled characters almost exclusively in term of their physical differences and prosthetic objects. Take, for instance, </w:t>
      </w:r>
      <w:r w:rsidRPr="00D159B4">
        <w:rPr>
          <w:rFonts w:asciiTheme="majorBidi" w:eastAsia="Calibri" w:hAnsiTheme="majorBidi" w:cstheme="majorBidi"/>
          <w:i/>
          <w:iCs/>
        </w:rPr>
        <w:t xml:space="preserve">The Moonstone </w:t>
      </w:r>
      <w:r w:rsidRPr="00D159B4">
        <w:rPr>
          <w:rFonts w:asciiTheme="majorBidi" w:eastAsia="Calibri" w:hAnsiTheme="majorBidi" w:cstheme="majorBidi"/>
        </w:rPr>
        <w:t xml:space="preserve">(1868), another of Collins’s novels in which disabled characters hold evidence crucial to unlocking the narrative’s central mystery. </w:t>
      </w:r>
      <w:r w:rsidRPr="00D159B4">
        <w:rPr>
          <w:rFonts w:asciiTheme="majorBidi" w:eastAsia="Calibri" w:hAnsiTheme="majorBidi" w:cstheme="majorBidi"/>
          <w:szCs w:val="22"/>
        </w:rPr>
        <w:t>Lucy possesses and eventually delivers the letter Rosanna Spearman wrote to Franklin Blake before Rosanna committed suicide. Rosanna’s letter leads Blake to the place in the shivering sands where she has hidden Blake’s paint-stained nightgown, which would have served to incriminate him as the jewel thief during the initial investigation.</w:t>
      </w:r>
      <w:r w:rsidRPr="00D159B4">
        <w:rPr>
          <w:rFonts w:asciiTheme="majorBidi" w:eastAsia="Calibri" w:hAnsiTheme="majorBidi" w:cstheme="majorBidi"/>
          <w:szCs w:val="22"/>
          <w:vertAlign w:val="superscript"/>
        </w:rPr>
        <w:footnoteReference w:id="125"/>
      </w:r>
      <w:r w:rsidRPr="00D159B4">
        <w:rPr>
          <w:rFonts w:asciiTheme="majorBidi" w:eastAsia="Calibri" w:hAnsiTheme="majorBidi" w:cstheme="majorBidi"/>
          <w:szCs w:val="22"/>
        </w:rPr>
        <w:t xml:space="preserve"> Both women, then, confound and advance the </w:t>
      </w:r>
      <w:r w:rsidRPr="00D159B4">
        <w:rPr>
          <w:rFonts w:asciiTheme="majorBidi" w:eastAsia="Calibri" w:hAnsiTheme="majorBidi" w:cstheme="majorBidi"/>
          <w:szCs w:val="22"/>
        </w:rPr>
        <w:lastRenderedPageBreak/>
        <w:t>process of detection, temporarily wresting control of the narrative trajectory from the novel’s major characters.</w:t>
      </w:r>
      <w:r w:rsidRPr="00D159B4">
        <w:rPr>
          <w:rFonts w:asciiTheme="majorBidi" w:eastAsia="Calibri" w:hAnsiTheme="majorBidi" w:cstheme="majorBidi"/>
        </w:rPr>
        <w:t xml:space="preserve"> </w:t>
      </w:r>
    </w:p>
    <w:p w14:paraId="7E9D9974" w14:textId="10EAE1F7" w:rsidR="00D159B4" w:rsidRPr="00D159B4" w:rsidRDefault="00D159B4" w:rsidP="00D159B4">
      <w:pPr>
        <w:spacing w:line="480" w:lineRule="auto"/>
        <w:ind w:firstLine="720"/>
        <w:rPr>
          <w:rFonts w:asciiTheme="majorBidi" w:eastAsia="Calibri" w:hAnsiTheme="majorBidi" w:cstheme="majorBidi"/>
        </w:rPr>
      </w:pPr>
      <w:r w:rsidRPr="00D159B4">
        <w:rPr>
          <w:rFonts w:asciiTheme="majorBidi" w:eastAsia="Calibri" w:hAnsiTheme="majorBidi" w:cstheme="majorBidi"/>
        </w:rPr>
        <w:t xml:space="preserve">In the perpetually shifting and uncertain landscape of the novel, the two disabled characters, Rosanna Spearman and Lucy Yolland, are doubly “othered” by disability and class. Gabriel Betteredge (the house steward and part-time narrator) notes Rosanna’s “misfortune of having one shoulder bigger than the other” as soon as he introduces her (35). While she wears a grey cloak to “hide her deformed shoulder as much as might be” (36), her domestic camouflage, as Betterdge observes, fails to mask the shoulder, which “mark[s] her out pretty plainly” among the novel’s other characters (105). Marked out as she is in the community, Rosanna maintains a close friendship with a girl “afflicted with a misshapen foot,” known as “Limping Lucy” (133). As Betteredge, with all his trademark tact, surmises, “The two deformed girls had, I suppose, a kind of fellow-feeling for each other.” In fact, in the wake of Rosanna’s suicide, Lucy says, without reserve, that she loved Rosanna and that she had made arrangements for them to go to London and live together “like sisters” (191). In </w:t>
      </w:r>
      <w:r w:rsidRPr="00D159B4">
        <w:rPr>
          <w:rFonts w:asciiTheme="majorBidi" w:eastAsia="Calibri" w:hAnsiTheme="majorBidi" w:cstheme="majorBidi"/>
          <w:i/>
          <w:iCs/>
        </w:rPr>
        <w:t>The Moonstone</w:t>
      </w:r>
      <w:r w:rsidRPr="00D159B4">
        <w:rPr>
          <w:rFonts w:asciiTheme="majorBidi" w:eastAsia="Calibri" w:hAnsiTheme="majorBidi" w:cstheme="majorBidi"/>
        </w:rPr>
        <w:t xml:space="preserve">, as in </w:t>
      </w:r>
      <w:r w:rsidRPr="00D159B4">
        <w:rPr>
          <w:rFonts w:asciiTheme="majorBidi" w:eastAsia="Calibri" w:hAnsiTheme="majorBidi" w:cstheme="majorBidi"/>
          <w:i/>
          <w:iCs/>
        </w:rPr>
        <w:t>Frankenstein</w:t>
      </w:r>
      <w:r w:rsidRPr="00D159B4">
        <w:rPr>
          <w:rFonts w:asciiTheme="majorBidi" w:eastAsia="Calibri" w:hAnsiTheme="majorBidi" w:cstheme="majorBidi"/>
        </w:rPr>
        <w:t xml:space="preserve">, </w:t>
      </w:r>
      <w:r w:rsidRPr="00D159B4">
        <w:rPr>
          <w:rFonts w:asciiTheme="majorBidi" w:eastAsia="Calibri" w:hAnsiTheme="majorBidi" w:cstheme="majorBidi"/>
          <w:i/>
          <w:iCs/>
        </w:rPr>
        <w:t>Our Mutual Friend</w:t>
      </w:r>
      <w:r w:rsidRPr="00D159B4">
        <w:rPr>
          <w:rFonts w:asciiTheme="majorBidi" w:eastAsia="Calibri" w:hAnsiTheme="majorBidi" w:cstheme="majorBidi"/>
        </w:rPr>
        <w:t xml:space="preserve">, and other contemporaneous novels that include more than a single disabled character, these girls, unable to blend in and exist on equal terms with the novel’s nondisabled characters, establish a </w:t>
      </w:r>
      <w:proofErr w:type="gramStart"/>
      <w:r w:rsidR="00613350">
        <w:rPr>
          <w:rFonts w:asciiTheme="majorBidi" w:eastAsia="Calibri" w:hAnsiTheme="majorBidi" w:cstheme="majorBidi"/>
        </w:rPr>
        <w:t>D</w:t>
      </w:r>
      <w:r w:rsidRPr="00D159B4">
        <w:rPr>
          <w:rFonts w:asciiTheme="majorBidi" w:eastAsia="Calibri" w:hAnsiTheme="majorBidi" w:cstheme="majorBidi"/>
        </w:rPr>
        <w:t>isability</w:t>
      </w:r>
      <w:proofErr w:type="gramEnd"/>
      <w:r w:rsidRPr="00D159B4">
        <w:rPr>
          <w:rFonts w:asciiTheme="majorBidi" w:eastAsia="Calibri" w:hAnsiTheme="majorBidi" w:cstheme="majorBidi"/>
        </w:rPr>
        <w:t xml:space="preserve"> community of their own.</w:t>
      </w:r>
    </w:p>
    <w:p w14:paraId="5BFED555" w14:textId="77777777" w:rsidR="00AF7F5B" w:rsidRDefault="00D159B4" w:rsidP="00613350">
      <w:pPr>
        <w:spacing w:line="480" w:lineRule="auto"/>
        <w:ind w:firstLine="720"/>
        <w:rPr>
          <w:rFonts w:asciiTheme="majorBidi" w:eastAsia="Calibri" w:hAnsiTheme="majorBidi" w:cstheme="majorBidi"/>
        </w:rPr>
      </w:pPr>
      <w:r w:rsidRPr="00D159B4">
        <w:rPr>
          <w:rFonts w:asciiTheme="majorBidi" w:eastAsia="Calibri" w:hAnsiTheme="majorBidi" w:cstheme="majorBidi"/>
        </w:rPr>
        <w:t>Much like Dickens’s Jenny Wren—though lacking some of the theatric artistry—Collins’s Limping Lucy channels her emotions (chiefly anger) through her crutch. When Betteredge patronizingly dismisses Lucy’s allegation that Franklin Blake effectively murdered Rosanna, Lucy defiantly externalizes the ferocity of her indignation and rage by shifting her weight onto one foot and beating her crutch on the ground three times while doubling down on the accusation. (See figure 9.) And when, a moment later, she finds herself deflated by the</w:t>
      </w:r>
    </w:p>
    <w:p w14:paraId="13825FB1" w14:textId="77777777" w:rsidR="00AF7F5B" w:rsidRPr="00D159B4" w:rsidRDefault="00AF7F5B" w:rsidP="00AF7F5B">
      <w:pPr>
        <w:jc w:val="center"/>
        <w:rPr>
          <w:rFonts w:asciiTheme="majorBidi" w:eastAsia="Calibri" w:hAnsiTheme="majorBidi" w:cstheme="majorBidi"/>
        </w:rPr>
      </w:pPr>
      <w:r w:rsidRPr="00D159B4">
        <w:rPr>
          <w:rFonts w:asciiTheme="majorBidi" w:eastAsia="Calibri" w:hAnsiTheme="majorBidi" w:cstheme="majorBidi"/>
          <w:noProof/>
          <w:szCs w:val="22"/>
        </w:rPr>
        <w:lastRenderedPageBreak/>
        <w:drawing>
          <wp:inline distT="0" distB="0" distL="0" distR="0" wp14:anchorId="3BF8A022" wp14:editId="4C23FBC9">
            <wp:extent cx="4151928" cy="6178550"/>
            <wp:effectExtent l="0" t="0" r="127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52525" cy="6179438"/>
                    </a:xfrm>
                    <a:prstGeom prst="rect">
                      <a:avLst/>
                    </a:prstGeom>
                    <a:noFill/>
                    <a:ln>
                      <a:noFill/>
                    </a:ln>
                  </pic:spPr>
                </pic:pic>
              </a:graphicData>
            </a:graphic>
          </wp:inline>
        </w:drawing>
      </w:r>
    </w:p>
    <w:p w14:paraId="0B9DB36A" w14:textId="77777777" w:rsidR="00AF7F5B" w:rsidRPr="00D159B4" w:rsidRDefault="00AF7F5B" w:rsidP="00AF7F5B">
      <w:pPr>
        <w:pStyle w:val="Caption"/>
        <w:jc w:val="center"/>
        <w:rPr>
          <w:rFonts w:asciiTheme="majorBidi" w:hAnsiTheme="majorBidi" w:cstheme="majorBidi"/>
          <w:b w:val="0"/>
          <w:bCs w:val="0"/>
        </w:rPr>
      </w:pPr>
      <w:bookmarkStart w:id="25" w:name="_Toc101797042"/>
      <w:r w:rsidRPr="002A5475">
        <w:rPr>
          <w:rFonts w:asciiTheme="majorBidi" w:hAnsiTheme="majorBidi" w:cstheme="majorBidi"/>
          <w:b w:val="0"/>
          <w:bCs w:val="0"/>
        </w:rPr>
        <w:t xml:space="preserve">Figure </w:t>
      </w:r>
      <w:r w:rsidRPr="002A5475">
        <w:rPr>
          <w:rFonts w:asciiTheme="majorBidi" w:hAnsiTheme="majorBidi" w:cstheme="majorBidi"/>
          <w:b w:val="0"/>
          <w:bCs w:val="0"/>
        </w:rPr>
        <w:fldChar w:fldCharType="begin"/>
      </w:r>
      <w:r w:rsidRPr="002A5475">
        <w:rPr>
          <w:rFonts w:asciiTheme="majorBidi" w:hAnsiTheme="majorBidi" w:cstheme="majorBidi"/>
          <w:b w:val="0"/>
          <w:bCs w:val="0"/>
        </w:rPr>
        <w:instrText xml:space="preserve"> SEQ Figure \* ARABIC </w:instrText>
      </w:r>
      <w:r w:rsidRPr="002A5475">
        <w:rPr>
          <w:rFonts w:asciiTheme="majorBidi" w:hAnsiTheme="majorBidi" w:cstheme="majorBidi"/>
          <w:b w:val="0"/>
          <w:bCs w:val="0"/>
        </w:rPr>
        <w:fldChar w:fldCharType="separate"/>
      </w:r>
      <w:r>
        <w:rPr>
          <w:rFonts w:asciiTheme="majorBidi" w:hAnsiTheme="majorBidi" w:cstheme="majorBidi"/>
          <w:b w:val="0"/>
          <w:bCs w:val="0"/>
          <w:noProof/>
        </w:rPr>
        <w:t>9</w:t>
      </w:r>
      <w:r w:rsidRPr="002A5475">
        <w:rPr>
          <w:rFonts w:asciiTheme="majorBidi" w:hAnsiTheme="majorBidi" w:cstheme="majorBidi"/>
          <w:b w:val="0"/>
          <w:bCs w:val="0"/>
        </w:rPr>
        <w:fldChar w:fldCharType="end"/>
      </w:r>
      <w:r w:rsidRPr="002A5475">
        <w:rPr>
          <w:rFonts w:asciiTheme="majorBidi" w:hAnsiTheme="majorBidi" w:cstheme="majorBidi"/>
          <w:b w:val="0"/>
          <w:bCs w:val="0"/>
        </w:rPr>
        <w:t>: Limping Lucy</w:t>
      </w:r>
      <w:r w:rsidRPr="00D159B4">
        <w:rPr>
          <w:rFonts w:asciiTheme="majorBidi" w:eastAsia="Calibri" w:hAnsiTheme="majorBidi" w:cstheme="majorBidi"/>
          <w:b w:val="0"/>
          <w:bCs w:val="0"/>
        </w:rPr>
        <w:t xml:space="preserve">. “She limped a step nearer to me, and looked as if she could have eaten me alive. ‘Mr. Betteredge,’ she said, without taking her eyes off me, ‘mention his name again, if you please.’” Illustration for </w:t>
      </w:r>
      <w:r w:rsidRPr="00D159B4">
        <w:rPr>
          <w:rFonts w:asciiTheme="majorBidi" w:eastAsia="Calibri" w:hAnsiTheme="majorBidi" w:cstheme="majorBidi"/>
          <w:b w:val="0"/>
          <w:bCs w:val="0"/>
          <w:i/>
          <w:iCs/>
        </w:rPr>
        <w:t>The Moonstone</w:t>
      </w:r>
      <w:r w:rsidRPr="00D159B4">
        <w:rPr>
          <w:rFonts w:asciiTheme="majorBidi" w:eastAsia="Calibri" w:hAnsiTheme="majorBidi" w:cstheme="majorBidi"/>
          <w:b w:val="0"/>
          <w:bCs w:val="0"/>
        </w:rPr>
        <w:t xml:space="preserve"> (Harper and Bros., 1868) by C. G. B. </w:t>
      </w:r>
      <w:r w:rsidRPr="00D159B4">
        <w:rPr>
          <w:rFonts w:asciiTheme="majorBidi" w:eastAsia="Calibri" w:hAnsiTheme="majorBidi" w:cstheme="majorBidi"/>
          <w:b w:val="0"/>
          <w:bCs w:val="0"/>
          <w:shd w:val="clear" w:color="auto" w:fill="FFFFFF"/>
        </w:rPr>
        <w:t xml:space="preserve">Scanned image by </w:t>
      </w:r>
      <w:hyperlink r:id="rId19" w:history="1">
        <w:r w:rsidRPr="00D159B4">
          <w:rPr>
            <w:rFonts w:asciiTheme="majorBidi" w:eastAsia="Calibri" w:hAnsiTheme="majorBidi" w:cstheme="majorBidi"/>
            <w:b w:val="0"/>
            <w:bCs w:val="0"/>
            <w:shd w:val="clear" w:color="auto" w:fill="FFFFFF"/>
          </w:rPr>
          <w:t>Philip V. Allingham</w:t>
        </w:r>
      </w:hyperlink>
      <w:r w:rsidRPr="00D159B4">
        <w:rPr>
          <w:rFonts w:asciiTheme="majorBidi" w:eastAsia="Calibri" w:hAnsiTheme="majorBidi" w:cstheme="majorBidi"/>
          <w:b w:val="0"/>
          <w:bCs w:val="0"/>
          <w:shd w:val="clear" w:color="auto" w:fill="FFFFFF"/>
        </w:rPr>
        <w:t>.</w:t>
      </w:r>
      <w:bookmarkEnd w:id="25"/>
    </w:p>
    <w:p w14:paraId="091F5EBE" w14:textId="77777777" w:rsidR="00AF7F5B" w:rsidRDefault="00AF7F5B">
      <w:pPr>
        <w:rPr>
          <w:rFonts w:asciiTheme="majorBidi" w:eastAsia="Calibri" w:hAnsiTheme="majorBidi" w:cstheme="majorBidi"/>
        </w:rPr>
      </w:pPr>
      <w:r>
        <w:rPr>
          <w:rFonts w:asciiTheme="majorBidi" w:eastAsia="Calibri" w:hAnsiTheme="majorBidi" w:cstheme="majorBidi"/>
        </w:rPr>
        <w:br w:type="page"/>
      </w:r>
    </w:p>
    <w:p w14:paraId="2D6BE403" w14:textId="16FD834A" w:rsidR="00613350" w:rsidRDefault="00D93B87" w:rsidP="00AF7F5B">
      <w:pPr>
        <w:spacing w:line="480" w:lineRule="auto"/>
        <w:rPr>
          <w:rFonts w:asciiTheme="majorBidi" w:eastAsia="Calibri" w:hAnsiTheme="majorBidi" w:cstheme="majorBidi"/>
        </w:rPr>
      </w:pPr>
      <w:r w:rsidRPr="00D159B4">
        <w:rPr>
          <w:rFonts w:asciiTheme="majorBidi" w:eastAsia="Calibri" w:hAnsiTheme="majorBidi" w:cstheme="majorBidi"/>
        </w:rPr>
        <w:lastRenderedPageBreak/>
        <w:t>hopelessness of the situation, she sinks both physically and emotionally back onto the support of her prosthetic object: “She bent her head down, and laid it on the top of her crutch” (191). In fact, the crutch appears to provide both physical and psychological assistance. Whenever Lucy’s emotions threaten to overpower her, she rests her head on her crutch.</w:t>
      </w:r>
      <w:r w:rsidRPr="00D159B4">
        <w:rPr>
          <w:rFonts w:asciiTheme="majorBidi" w:eastAsia="Calibri" w:hAnsiTheme="majorBidi" w:cstheme="majorBidi"/>
          <w:vertAlign w:val="superscript"/>
        </w:rPr>
        <w:footnoteReference w:id="126"/>
      </w:r>
      <w:r w:rsidRPr="00D159B4">
        <w:rPr>
          <w:rFonts w:asciiTheme="majorBidi" w:eastAsia="Calibri" w:hAnsiTheme="majorBidi" w:cstheme="majorBidi"/>
        </w:rPr>
        <w:t xml:space="preserve"> In this way, Lucy’s crutch (like Jenny Wren’s crutch or Dexter’s chair) exists as an extension of herself that allows for an augmented mode of self-expression. </w:t>
      </w:r>
    </w:p>
    <w:p w14:paraId="13054D6D" w14:textId="4F481D89" w:rsidR="00D159B4" w:rsidRPr="00D159B4" w:rsidRDefault="00D93B87" w:rsidP="00613350">
      <w:pPr>
        <w:spacing w:line="480" w:lineRule="auto"/>
        <w:ind w:firstLine="720"/>
        <w:rPr>
          <w:rFonts w:asciiTheme="majorBidi" w:eastAsia="Calibri" w:hAnsiTheme="majorBidi" w:cstheme="majorBidi"/>
        </w:rPr>
      </w:pPr>
      <w:r w:rsidRPr="00D159B4">
        <w:rPr>
          <w:rFonts w:asciiTheme="majorBidi" w:eastAsia="Calibri" w:hAnsiTheme="majorBidi" w:cstheme="majorBidi"/>
        </w:rPr>
        <w:t>Still, already destined for minor-ness, Lucy must also contend with her lame foot and crutch for character space. Of course, both of these things are part of Lucy, but in the narrator’s attempt to quantify and measure her “misfortunes” against the rest of her person, they appear separate from her. If not adversarial, her disability and prosthetic device become sources of competition for narrative space, as Betteredge’s initial</w:t>
      </w:r>
      <w:r w:rsidR="00613350">
        <w:rPr>
          <w:rFonts w:asciiTheme="majorBidi" w:eastAsia="Calibri" w:hAnsiTheme="majorBidi" w:cstheme="majorBidi"/>
        </w:rPr>
        <w:t xml:space="preserve"> </w:t>
      </w:r>
      <w:r w:rsidR="00D159B4" w:rsidRPr="00D159B4">
        <w:rPr>
          <w:rFonts w:asciiTheme="majorBidi" w:eastAsia="Calibri" w:hAnsiTheme="majorBidi" w:cstheme="majorBidi"/>
        </w:rPr>
        <w:t xml:space="preserve">description of Lucy demonstrates: “Bating her lame foot and her leanness (this </w:t>
      </w:r>
      <w:proofErr w:type="gramStart"/>
      <w:r w:rsidR="00D159B4" w:rsidRPr="00D159B4">
        <w:rPr>
          <w:rFonts w:asciiTheme="majorBidi" w:eastAsia="Calibri" w:hAnsiTheme="majorBidi" w:cstheme="majorBidi"/>
        </w:rPr>
        <w:t>l</w:t>
      </w:r>
      <w:r w:rsidR="00613350">
        <w:rPr>
          <w:rFonts w:asciiTheme="majorBidi" w:eastAsia="Calibri" w:hAnsiTheme="majorBidi" w:cstheme="majorBidi"/>
        </w:rPr>
        <w:t>a</w:t>
      </w:r>
      <w:r w:rsidR="00D159B4" w:rsidRPr="00D159B4">
        <w:rPr>
          <w:rFonts w:asciiTheme="majorBidi" w:eastAsia="Calibri" w:hAnsiTheme="majorBidi" w:cstheme="majorBidi"/>
        </w:rPr>
        <w:t>st</w:t>
      </w:r>
      <w:proofErr w:type="gramEnd"/>
      <w:r w:rsidR="00D159B4" w:rsidRPr="00D159B4">
        <w:rPr>
          <w:rFonts w:asciiTheme="majorBidi" w:eastAsia="Calibri" w:hAnsiTheme="majorBidi" w:cstheme="majorBidi"/>
        </w:rPr>
        <w:t xml:space="preserve"> a horrid drawback to a woman, in my opinion), the girl had some pleasing qualities in the eye of a man. A dark, keen, clever face, and a nice clear voice, and a beautiful brown head of hair counted among her merits. A crutch appeared in the list of her misfortunes. And a temper reckoned high in the sum total of her defects” (190). Her foot and crutch cease to comprise parts of the whole and, instead, become “horrid drawback[s]” and odd items in a crude “list of her misfortunes.”</w:t>
      </w:r>
      <w:r w:rsidR="00D159B4" w:rsidRPr="00D159B4">
        <w:rPr>
          <w:rFonts w:asciiTheme="majorBidi" w:eastAsia="Calibri" w:hAnsiTheme="majorBidi" w:cstheme="majorBidi"/>
          <w:vertAlign w:val="superscript"/>
        </w:rPr>
        <w:footnoteReference w:id="127"/>
      </w:r>
      <w:r w:rsidR="00D159B4" w:rsidRPr="00D159B4">
        <w:rPr>
          <w:rFonts w:asciiTheme="majorBidi" w:eastAsia="Calibri" w:hAnsiTheme="majorBidi" w:cstheme="majorBidi"/>
        </w:rPr>
        <w:t xml:space="preserve"> They chip away at and challenge her wholeness as a person, and for much of the novel, Lucy exists as little more than an obstinate “lame girl with a crutch” (306).</w:t>
      </w:r>
    </w:p>
    <w:p w14:paraId="4D7805AB" w14:textId="77777777" w:rsidR="00D159B4" w:rsidRPr="00D159B4" w:rsidRDefault="00D159B4" w:rsidP="00D159B4">
      <w:pPr>
        <w:spacing w:line="480" w:lineRule="auto"/>
        <w:rPr>
          <w:rFonts w:asciiTheme="majorBidi" w:eastAsia="Calibri" w:hAnsiTheme="majorBidi" w:cstheme="majorBidi"/>
        </w:rPr>
      </w:pPr>
      <w:r w:rsidRPr="00D159B4">
        <w:rPr>
          <w:rFonts w:asciiTheme="majorBidi" w:eastAsia="Calibri" w:hAnsiTheme="majorBidi" w:cstheme="majorBidi"/>
        </w:rPr>
        <w:lastRenderedPageBreak/>
        <w:tab/>
        <w:t xml:space="preserve">The novel’s nondisabled characters also assign to Lucy a nickname that foregrounds her disability. Unlike Dickens’s Jenny Wren (who also operates under an assumed name), Lucy’s designation is not self-styled. The novel’s narrators refer to Lucy as Limping Lucy nearly a dozen times over the course of the narrative; only Rosanna mentions Lucy by her real name, Lucy Yodell. This nickname stresses her otherness and her minor-ness. In insisting on the primacy of her disability, it turns an otherwise fiercely determined woman into a caricature, into a two-dimensional trope of a pathetic, lonely woman whose disability precludes her from engaging on equal terms with the nondisabled inner-circle. </w:t>
      </w:r>
    </w:p>
    <w:p w14:paraId="107E5E5F" w14:textId="77777777" w:rsidR="00D159B4" w:rsidRPr="00D159B4" w:rsidRDefault="00D159B4" w:rsidP="00D159B4">
      <w:pPr>
        <w:spacing w:line="480" w:lineRule="auto"/>
        <w:rPr>
          <w:rFonts w:asciiTheme="majorBidi" w:eastAsia="Calibri" w:hAnsiTheme="majorBidi" w:cstheme="majorBidi"/>
        </w:rPr>
      </w:pPr>
      <w:r w:rsidRPr="00D159B4">
        <w:rPr>
          <w:rFonts w:asciiTheme="majorBidi" w:eastAsia="Calibri" w:hAnsiTheme="majorBidi" w:cstheme="majorBidi"/>
        </w:rPr>
        <w:tab/>
        <w:t>But for all the narrators’ attempts to splinter and diminish Lucy, she and her crutch succeed in turning an anatomizing gaze on at least one of the novel’s main characters. When Blake returns to collect Rosanna’s letter from Lucy, she approaches him as the aberrant, out-of-place party. Blake recalls in a state of agitation how Lucy “came limping up on a crutch to the table at which I was sitting, and looked at me as if I was an object of mingled interest and horror” (308). In staring at and object-ifying Blake, Lucy inverts the oppressive normative gaze that so often isolates and others the disabled subject. She commands</w:t>
      </w:r>
      <w:proofErr w:type="gramStart"/>
      <w:r w:rsidRPr="00D159B4">
        <w:rPr>
          <w:rFonts w:asciiTheme="majorBidi" w:eastAsia="Calibri" w:hAnsiTheme="majorBidi" w:cstheme="majorBidi"/>
        </w:rPr>
        <w:t>—“</w:t>
      </w:r>
      <w:proofErr w:type="gramEnd"/>
      <w:r w:rsidRPr="00D159B4">
        <w:rPr>
          <w:rFonts w:asciiTheme="majorBidi" w:eastAsia="Calibri" w:hAnsiTheme="majorBidi" w:cstheme="majorBidi"/>
        </w:rPr>
        <w:t xml:space="preserve">Stand there” (308), “Say that again” (309)—and he obeys “like a good child learning its lessons.” Lucy becomes the evaluating authority and source of judgment, and Blake who, by his own admission, has never had to suffer through such blatant and severe scrutiny, scrambles to extricate himself from this inverted power dynamic. Unaccustomed to this subordinate position, Blake “attempted to direct Limping Lucy’s attention to some less revolting object than my face” (ibid.). He feels his own object-ification under her gaze; the primary difference between them is that his experience is a momentary one-off. He regains control of the narrative, really, only after Lucy has finished </w:t>
      </w:r>
      <w:r w:rsidRPr="00D159B4">
        <w:rPr>
          <w:rFonts w:asciiTheme="majorBidi" w:eastAsia="Calibri" w:hAnsiTheme="majorBidi" w:cstheme="majorBidi"/>
        </w:rPr>
        <w:lastRenderedPageBreak/>
        <w:t xml:space="preserve">castigating him and exited the scene. Unsurprisingly, he dismisses her and reinforces dominance and normativity by invoking another stereotype, “suppos[ing] that she was mad” (ibid.). </w:t>
      </w:r>
    </w:p>
    <w:p w14:paraId="5AF70F8B" w14:textId="0C2D88F2" w:rsidR="00D159B4" w:rsidRPr="00D159B4" w:rsidRDefault="00D159B4" w:rsidP="00D159B4">
      <w:pPr>
        <w:spacing w:line="480" w:lineRule="auto"/>
        <w:ind w:firstLine="720"/>
        <w:rPr>
          <w:rFonts w:asciiTheme="majorBidi" w:eastAsia="Calibri" w:hAnsiTheme="majorBidi" w:cstheme="majorBidi"/>
        </w:rPr>
      </w:pPr>
      <w:r w:rsidRPr="00D159B4">
        <w:rPr>
          <w:rFonts w:asciiTheme="majorBidi" w:eastAsia="Calibri" w:hAnsiTheme="majorBidi" w:cstheme="majorBidi"/>
        </w:rPr>
        <w:t>Strikingly, though, the prosthetic object, not Lucy, temporarily becomes the controlling force during their meeting. Lucy turns her back on Blake, who, in his newly vulnerable state, finds himself wholly preoccupied with the auditory sensation of Lucy’s crutch. Distracted by the aural and physical vibrations of the crutch, Blake fails to attend to the conversation taking place right next to him. Instead, he says, “My attention was absorbed in following the sound of the girl’s crutch. Thump-thump, up the wooden stairs; thump-thump across the room above our heads; thump-thump down the stairs again—and there stood the apparition at the open door, with a letter in its hand” (308). As he follows the crutch’s trajectory, the object, as Blake perceives it, gains agency and a physicality all its own. The crutch becomes the concrete entity, and Lucy, in exchange, becomes disembodied, an ephemeral “apparition.” Lucy, after all, makes no perceptible noise, and the crutch does. In psychoacoustical terms, the crutch—imagined as separate from, rather than a part of, its user—masks Lucy’s out auditory output. As a result, the crutch, not its user, gives rise to auditory stimulus and sensation.</w:t>
      </w:r>
      <w:r w:rsidRPr="00D159B4">
        <w:rPr>
          <w:rFonts w:asciiTheme="majorBidi" w:eastAsia="Calibri" w:hAnsiTheme="majorBidi" w:cstheme="majorBidi"/>
          <w:vertAlign w:val="superscript"/>
        </w:rPr>
        <w:footnoteReference w:id="128"/>
      </w:r>
      <w:r w:rsidRPr="00D159B4">
        <w:rPr>
          <w:rFonts w:asciiTheme="majorBidi" w:eastAsia="Calibri" w:hAnsiTheme="majorBidi" w:cstheme="majorBidi"/>
        </w:rPr>
        <w:t xml:space="preserve"> It overwhelms his temporal lobe, simultaneously providing critical perceptual information and embedding its image in his memory—crucial, one might discern, in a detective novel obsessed with consciousness and recollection. It is only when Lucy, taking advantage of the veritable trance Blake finds himself in, begins browbeating Blake that she effectively rematerializes. As with Dexter and his chair, </w:t>
      </w:r>
      <w:r w:rsidRPr="00D159B4">
        <w:rPr>
          <w:rFonts w:asciiTheme="majorBidi" w:eastAsia="Calibri" w:hAnsiTheme="majorBidi" w:cstheme="majorBidi"/>
        </w:rPr>
        <w:lastRenderedPageBreak/>
        <w:t xml:space="preserve">the assistive device (especially when disintegrated from its user) has the potential to precede or eclipse its human user. </w:t>
      </w:r>
    </w:p>
    <w:p w14:paraId="531C27B4" w14:textId="77777777" w:rsidR="00D159B4" w:rsidRPr="00D159B4" w:rsidRDefault="00D159B4" w:rsidP="00D159B4">
      <w:pPr>
        <w:spacing w:line="480" w:lineRule="auto"/>
        <w:rPr>
          <w:rFonts w:asciiTheme="majorBidi" w:eastAsia="Calibri" w:hAnsiTheme="majorBidi" w:cstheme="majorBidi"/>
        </w:rPr>
      </w:pPr>
      <w:r w:rsidRPr="00D159B4">
        <w:rPr>
          <w:rFonts w:asciiTheme="majorBidi" w:eastAsia="Calibri" w:hAnsiTheme="majorBidi" w:cstheme="majorBidi"/>
        </w:rPr>
        <w:tab/>
        <w:t xml:space="preserve">From this vantage, the function of the prosthetic object as a narrative tool for representing disabled characters assumes virtually the same form in Collins and Trollope. It becomes a magnifying glass for intersecting identities—and especially social class—as they converge with disability. Where adopted by working-class minor characters with disabilities (e.g., Trollope’s wooden-legged postman, Collins’s Limping Lucy), crude prosthetics and assistive devices routinely serve to flatten, to reduce those characters to two-dimensional cast members. In direct contrast to what Woloch might claim of minor characters in general, these working-class characters with disabilities are not only “subordinate in terms of narrative structure”; they are also, quite clearly, “lesser as ‘people’” (“Minor Characters” 300). But where adopted by upper-class minor characters with disabilities (e.g., Trollope’s Madeline Neroni, Collins’s Miserrimus Dexter), sophisticated prosthetics and fashionable domestic assistive devices afford their users the potential to challenge (if never fully successfully) their minor status. One would be hard pressed to characterize these minor characters as “lesser people.” Casting them as “subordinate in terms of narrative structure” might also prove a stretch. Their prosthetic objects transect and explode binaries so forcefully in the novels they inhabit that one might also have to concede that they simultaneously explode the major-minor binary that would categorically classify them as lesser or subordinate characters. </w:t>
      </w:r>
    </w:p>
    <w:p w14:paraId="7A2C06EB" w14:textId="77777777" w:rsidR="00D159B4" w:rsidRPr="00D159B4" w:rsidRDefault="00D159B4" w:rsidP="00D159B4">
      <w:pPr>
        <w:spacing w:line="480" w:lineRule="auto"/>
        <w:ind w:firstLine="720"/>
        <w:rPr>
          <w:rFonts w:asciiTheme="majorBidi" w:eastAsia="Calibri" w:hAnsiTheme="majorBidi" w:cstheme="majorBidi"/>
        </w:rPr>
      </w:pPr>
      <w:r w:rsidRPr="00D159B4">
        <w:rPr>
          <w:rFonts w:asciiTheme="majorBidi" w:eastAsia="Calibri" w:hAnsiTheme="majorBidi" w:cstheme="majorBidi"/>
        </w:rPr>
        <w:t xml:space="preserve">Ato Quayson’s theorization of an aesthetic nervousness in texts that include an element of disability or a disabled character provides a mode of reading literary and sociocultural “refractions” of disability. It also suggests a framework for thinking through the aesthetic and </w:t>
      </w:r>
      <w:r w:rsidRPr="00D159B4">
        <w:rPr>
          <w:rFonts w:asciiTheme="majorBidi" w:eastAsia="Calibri" w:hAnsiTheme="majorBidi" w:cstheme="majorBidi"/>
        </w:rPr>
        <w:lastRenderedPageBreak/>
        <w:t>ethical tensions that inhere in the representation of disability.</w:t>
      </w:r>
      <w:r w:rsidRPr="00D159B4">
        <w:rPr>
          <w:rFonts w:asciiTheme="majorBidi" w:eastAsia="Calibri" w:hAnsiTheme="majorBidi" w:cstheme="majorBidi"/>
          <w:vertAlign w:val="superscript"/>
        </w:rPr>
        <w:footnoteReference w:id="129"/>
      </w:r>
      <w:r w:rsidRPr="00D159B4">
        <w:rPr>
          <w:rFonts w:asciiTheme="majorBidi" w:eastAsia="Calibri" w:hAnsiTheme="majorBidi" w:cstheme="majorBidi"/>
        </w:rPr>
        <w:t xml:space="preserve"> Quayson’s “aesthetic nervousness,” which he discusses primarily in the context of modern and postmodern texts, denotes the crisis of representation triggered by the presence of disability; it appears, he explains, “when the dominant protocols of representation within the literary text are short-circuited in relation to disability” (</w:t>
      </w:r>
      <w:r w:rsidRPr="00D159B4">
        <w:rPr>
          <w:rFonts w:asciiTheme="majorBidi" w:eastAsia="Calibri" w:hAnsiTheme="majorBidi" w:cstheme="majorBidi"/>
          <w:i/>
        </w:rPr>
        <w:t>Aesthetic Nervousness</w:t>
      </w:r>
      <w:r w:rsidRPr="00D159B4">
        <w:rPr>
          <w:rFonts w:asciiTheme="majorBidi" w:eastAsia="Calibri" w:hAnsiTheme="majorBidi" w:cstheme="majorBidi"/>
        </w:rPr>
        <w:t xml:space="preserve"> 15). </w:t>
      </w:r>
      <w:proofErr w:type="gramStart"/>
      <w:r w:rsidRPr="00D159B4">
        <w:rPr>
          <w:rFonts w:asciiTheme="majorBidi" w:eastAsia="Calibri" w:hAnsiTheme="majorBidi" w:cstheme="majorBidi"/>
        </w:rPr>
        <w:t>But,</w:t>
      </w:r>
      <w:proofErr w:type="gramEnd"/>
      <w:r w:rsidRPr="00D159B4">
        <w:rPr>
          <w:rFonts w:asciiTheme="majorBidi" w:eastAsia="Calibri" w:hAnsiTheme="majorBidi" w:cstheme="majorBidi"/>
        </w:rPr>
        <w:t xml:space="preserve"> I would add, especially where the “dominant protocols” of nineteenth-century literary genres had yet to achieve uniformity, as in the case of early iterations of Gothic or sensation fiction or in the realist novel, the aesthetic embodiment of “corporeal normativity” and the representation of its associated technologies constituted a dynamic dimension of (rather than an ex post facto response to) the prevailing sociomedical discourse of the period.</w:t>
      </w:r>
    </w:p>
    <w:p w14:paraId="0612601C" w14:textId="025402BB" w:rsidR="00D159B4" w:rsidRPr="00D159B4" w:rsidRDefault="00D159B4" w:rsidP="00D159B4">
      <w:pPr>
        <w:spacing w:line="480" w:lineRule="auto"/>
        <w:ind w:firstLine="720"/>
        <w:rPr>
          <w:rFonts w:asciiTheme="majorBidi" w:eastAsia="Calibri" w:hAnsiTheme="majorBidi" w:cstheme="majorBidi"/>
        </w:rPr>
      </w:pPr>
      <w:r w:rsidRPr="00D159B4">
        <w:rPr>
          <w:rFonts w:asciiTheme="majorBidi" w:eastAsia="Calibri" w:hAnsiTheme="majorBidi" w:cstheme="majorBidi"/>
        </w:rPr>
        <w:t xml:space="preserve">The disabled minor characters in Trollope and Collins thus reflects a larger shift in conceptions, quantifications, and qualifications of the human condition over the course of the nineteenth century. Concurrent experiments in the realms of science and literature in the Victorian era produced imaginative explorations of the abstraction of human value, and these representations of difference effected a literary, cultural, and pathological instantiation of disability through their reciprocal re-productions of it. Julia Miele Rodas contends that “the presence of disability in Victorian fiction indicates more than a mere reflection of actual disabled persons in the culture. It also points to an underlying anxiety and ambivalence regarding this </w:t>
      </w:r>
      <w:r w:rsidRPr="00D159B4">
        <w:rPr>
          <w:rFonts w:asciiTheme="majorBidi" w:eastAsia="Calibri" w:hAnsiTheme="majorBidi" w:cstheme="majorBidi"/>
        </w:rPr>
        <w:lastRenderedPageBreak/>
        <w:t>presence, a grappling with identity, a desire to experiment with places and roles” (“Mainstreaming” 372). True to form, the presence of monstrosity, disability, and prosthesis in these novels engage</w:t>
      </w:r>
      <w:r w:rsidR="00613350">
        <w:rPr>
          <w:rFonts w:asciiTheme="majorBidi" w:eastAsia="Calibri" w:hAnsiTheme="majorBidi" w:cstheme="majorBidi"/>
        </w:rPr>
        <w:t>s</w:t>
      </w:r>
      <w:r w:rsidRPr="00D159B4">
        <w:rPr>
          <w:rFonts w:asciiTheme="majorBidi" w:eastAsia="Calibri" w:hAnsiTheme="majorBidi" w:cstheme="majorBidi"/>
        </w:rPr>
        <w:t xml:space="preserve"> nineteenth-century sociomedical discourses while also forging new aesthetics of otherness that augment their respective generic modes of representation. At a glance, Gothic and sensation fiction often favor artistic exploitations of pathology and medical experimentation, reifying the apprehensions engendered by the prospect of physical and technological alteration to the human body. Realist novels frequently seem more concerned with the material translation of affects and boundary-crossing into physical terms that confront ontological differences and the formation of subjectivity and subject-object relations.</w:t>
      </w:r>
      <w:r w:rsidRPr="00D159B4">
        <w:rPr>
          <w:rFonts w:asciiTheme="majorBidi" w:eastAsia="Calibri" w:hAnsiTheme="majorBidi" w:cstheme="majorBidi"/>
          <w:vertAlign w:val="superscript"/>
        </w:rPr>
        <w:footnoteReference w:id="130"/>
      </w:r>
      <w:r w:rsidRPr="00D159B4">
        <w:rPr>
          <w:rFonts w:asciiTheme="majorBidi" w:eastAsia="Calibri" w:hAnsiTheme="majorBidi" w:cstheme="majorBidi"/>
        </w:rPr>
        <w:t xml:space="preserve"> But as the works of Trollope and Collins illustrate, the narrative interpretation of the disabled body as it intersects with the prosthetic object is not, as we might expect, dictated by genre. Instead, for all the stylistic hallmarks that would distinguish those genres, the representation of the relationship between minor characters with disabilities (a phrase that, as we have seen, rings redundant by now) and their prosthetic objects in the Victorian novel remains contingent on class and other intersecting identities. </w:t>
      </w:r>
    </w:p>
    <w:p w14:paraId="73A8ECA1" w14:textId="252DDB62" w:rsidR="0086481D" w:rsidRPr="002A5475" w:rsidRDefault="0086481D">
      <w:pPr>
        <w:rPr>
          <w:rFonts w:asciiTheme="majorBidi" w:hAnsiTheme="majorBidi" w:cstheme="majorBidi"/>
        </w:rPr>
      </w:pPr>
      <w:r w:rsidRPr="002A5475">
        <w:rPr>
          <w:rFonts w:asciiTheme="majorBidi" w:hAnsiTheme="majorBidi" w:cstheme="majorBidi"/>
        </w:rPr>
        <w:br w:type="page"/>
      </w:r>
    </w:p>
    <w:p w14:paraId="1DAFEA51" w14:textId="77777777" w:rsidR="0073481B" w:rsidRPr="002A5475" w:rsidRDefault="0086481D" w:rsidP="0073481B">
      <w:pPr>
        <w:pStyle w:val="Heading1"/>
        <w:rPr>
          <w:rFonts w:asciiTheme="majorBidi" w:hAnsiTheme="majorBidi" w:cstheme="majorBidi"/>
        </w:rPr>
      </w:pPr>
      <w:bookmarkStart w:id="26" w:name="_Toc96096595"/>
      <w:r w:rsidRPr="002A5475">
        <w:rPr>
          <w:rFonts w:asciiTheme="majorBidi" w:hAnsiTheme="majorBidi" w:cstheme="majorBidi"/>
        </w:rPr>
        <w:lastRenderedPageBreak/>
        <w:t>CODA</w:t>
      </w:r>
      <w:bookmarkEnd w:id="26"/>
    </w:p>
    <w:p w14:paraId="6BE9BE82" w14:textId="18E67F9D" w:rsidR="00ED1FDE" w:rsidRPr="002A5475" w:rsidRDefault="0073481B" w:rsidP="00ED1FDE">
      <w:pPr>
        <w:jc w:val="center"/>
        <w:rPr>
          <w:rFonts w:asciiTheme="majorBidi" w:hAnsiTheme="majorBidi" w:cstheme="majorBidi"/>
        </w:rPr>
      </w:pPr>
      <w:r w:rsidRPr="002A5475">
        <w:rPr>
          <w:rFonts w:asciiTheme="majorBidi" w:hAnsiTheme="majorBidi" w:cstheme="majorBidi"/>
        </w:rPr>
        <w:t>International Echoes</w:t>
      </w:r>
      <w:r w:rsidRPr="002A5475">
        <w:rPr>
          <w:rFonts w:asciiTheme="majorBidi" w:hAnsiTheme="majorBidi" w:cstheme="majorBidi"/>
        </w:rPr>
        <w:br/>
      </w:r>
      <w:r w:rsidR="0086481D" w:rsidRPr="002A5475">
        <w:rPr>
          <w:rFonts w:asciiTheme="majorBidi" w:hAnsiTheme="majorBidi" w:cstheme="majorBidi"/>
        </w:rPr>
        <w:br w:type="page"/>
      </w:r>
    </w:p>
    <w:p w14:paraId="0C3E154F" w14:textId="41B3FDB3" w:rsidR="007378FE" w:rsidRPr="007378FE" w:rsidRDefault="007378FE" w:rsidP="007378FE">
      <w:pPr>
        <w:spacing w:line="480" w:lineRule="auto"/>
        <w:ind w:firstLine="720"/>
        <w:rPr>
          <w:rFonts w:asciiTheme="majorBidi" w:eastAsia="Calibri" w:hAnsiTheme="majorBidi" w:cstheme="majorBidi"/>
          <w:szCs w:val="22"/>
        </w:rPr>
      </w:pPr>
      <w:r w:rsidRPr="007378FE">
        <w:rPr>
          <w:rFonts w:asciiTheme="majorBidi" w:eastAsia="Calibri" w:hAnsiTheme="majorBidi" w:cstheme="majorBidi"/>
          <w:szCs w:val="22"/>
        </w:rPr>
        <w:lastRenderedPageBreak/>
        <w:t xml:space="preserve">To this point, this dissertation has undertaken readings of disability and prosthesis in nineteenth-century British novels, but the artistic disaggregation and reconstitution of the human body in these novels did not unfold in literary isolation. Instead, it was continually acted out in texts across the Western world as clinical fervor spread rapidly across oceans and international borders. A brief study of nineteenth-century </w:t>
      </w:r>
      <w:r w:rsidR="001A3CB8">
        <w:rPr>
          <w:rFonts w:asciiTheme="majorBidi" w:eastAsia="Calibri" w:hAnsiTheme="majorBidi" w:cstheme="majorBidi"/>
          <w:szCs w:val="22"/>
        </w:rPr>
        <w:t>works of fiction</w:t>
      </w:r>
      <w:r w:rsidRPr="007378FE">
        <w:rPr>
          <w:rFonts w:asciiTheme="majorBidi" w:eastAsia="Calibri" w:hAnsiTheme="majorBidi" w:cstheme="majorBidi"/>
          <w:szCs w:val="22"/>
        </w:rPr>
        <w:t xml:space="preserve"> by non-British authors allows for a more comprehensive inquiry into the persistence of the interpretive predicament occasioned by the representation of prosthesis and disability that occurred on a larger historical scale.</w:t>
      </w:r>
      <w:r w:rsidRPr="007378FE">
        <w:rPr>
          <w:rFonts w:asciiTheme="majorBidi" w:eastAsia="Calibri" w:hAnsiTheme="majorBidi" w:cstheme="majorBidi"/>
          <w:szCs w:val="22"/>
          <w:vertAlign w:val="superscript"/>
        </w:rPr>
        <w:footnoteReference w:id="131"/>
      </w:r>
      <w:r w:rsidRPr="007378FE">
        <w:rPr>
          <w:rFonts w:asciiTheme="majorBidi" w:eastAsia="Calibri" w:hAnsiTheme="majorBidi" w:cstheme="majorBidi"/>
          <w:szCs w:val="22"/>
        </w:rPr>
        <w:t xml:space="preserve"> A consideration of other nineteenth-century </w:t>
      </w:r>
      <w:r w:rsidR="001A3CB8">
        <w:rPr>
          <w:rFonts w:asciiTheme="majorBidi" w:eastAsia="Calibri" w:hAnsiTheme="majorBidi" w:cstheme="majorBidi"/>
          <w:szCs w:val="22"/>
        </w:rPr>
        <w:t>texts</w:t>
      </w:r>
      <w:r w:rsidRPr="007378FE">
        <w:rPr>
          <w:rFonts w:asciiTheme="majorBidi" w:eastAsia="Calibri" w:hAnsiTheme="majorBidi" w:cstheme="majorBidi"/>
          <w:szCs w:val="22"/>
        </w:rPr>
        <w:t xml:space="preserve"> also frames my reading of disabled characters in the Victorian novel in the wider context of transnational influences that came to inform popular notions about disability and its engagement in literary fiction. </w:t>
      </w:r>
    </w:p>
    <w:p w14:paraId="44C44061" w14:textId="15968A34" w:rsidR="007378FE" w:rsidRPr="007378FE" w:rsidRDefault="007378FE" w:rsidP="007378FE">
      <w:pPr>
        <w:spacing w:line="480" w:lineRule="auto"/>
        <w:ind w:firstLine="720"/>
        <w:rPr>
          <w:rFonts w:asciiTheme="majorBidi" w:eastAsia="Calibri" w:hAnsiTheme="majorBidi" w:cstheme="majorBidi"/>
        </w:rPr>
      </w:pPr>
      <w:r w:rsidRPr="007378FE">
        <w:rPr>
          <w:rFonts w:asciiTheme="majorBidi" w:eastAsia="Calibri" w:hAnsiTheme="majorBidi" w:cstheme="majorBidi"/>
          <w:szCs w:val="22"/>
        </w:rPr>
        <w:t>As an American juxtaposition of Shelley’s Creature, take, for instance, Edgar All</w:t>
      </w:r>
      <w:r w:rsidR="001A3CB8">
        <w:rPr>
          <w:rFonts w:asciiTheme="majorBidi" w:eastAsia="Calibri" w:hAnsiTheme="majorBidi" w:cstheme="majorBidi"/>
          <w:szCs w:val="22"/>
        </w:rPr>
        <w:t>a</w:t>
      </w:r>
      <w:r w:rsidRPr="007378FE">
        <w:rPr>
          <w:rFonts w:asciiTheme="majorBidi" w:eastAsia="Calibri" w:hAnsiTheme="majorBidi" w:cstheme="majorBidi"/>
          <w:szCs w:val="22"/>
        </w:rPr>
        <w:t xml:space="preserve">n Poe’s own narrating prosthetic amalgam: Brevet Brigadier General John A. B. C. Smith in “The Man That Was Used Up: A Tale of the Late Bugaboo and Kickapoo Campaign” (1839). Published two decades after </w:t>
      </w:r>
      <w:r w:rsidRPr="007378FE">
        <w:rPr>
          <w:rFonts w:asciiTheme="majorBidi" w:eastAsia="Calibri" w:hAnsiTheme="majorBidi" w:cstheme="majorBidi"/>
          <w:i/>
          <w:iCs/>
          <w:szCs w:val="22"/>
        </w:rPr>
        <w:t>Frankenstein</w:t>
      </w:r>
      <w:r w:rsidRPr="007378FE">
        <w:rPr>
          <w:rFonts w:asciiTheme="majorBidi" w:eastAsia="Calibri" w:hAnsiTheme="majorBidi" w:cstheme="majorBidi"/>
          <w:szCs w:val="22"/>
        </w:rPr>
        <w:t xml:space="preserve">, Poe’s story fuses his characteristically gothic style with the mystery of industrial innovation and a cultural fixation on bodily integrity. More overtly than many of his contemporaries on the other side of the Atlantic, Poe exploits the increasingly uncanny properties of artificial human parts. The potential for object narration that begins in </w:t>
      </w:r>
      <w:r w:rsidRPr="007378FE">
        <w:rPr>
          <w:rFonts w:asciiTheme="majorBidi" w:eastAsia="Calibri" w:hAnsiTheme="majorBidi" w:cstheme="majorBidi"/>
          <w:i/>
          <w:szCs w:val="22"/>
        </w:rPr>
        <w:t>Frankenstein</w:t>
      </w:r>
      <w:r w:rsidRPr="007378FE">
        <w:rPr>
          <w:rFonts w:asciiTheme="majorBidi" w:eastAsia="Calibri" w:hAnsiTheme="majorBidi" w:cstheme="majorBidi"/>
          <w:szCs w:val="22"/>
        </w:rPr>
        <w:t xml:space="preserve"> and continues through the work of authors like Dickens, Collins, and Trollope </w:t>
      </w:r>
      <w:r w:rsidRPr="007378FE">
        <w:rPr>
          <w:rFonts w:asciiTheme="majorBidi" w:eastAsia="Calibri" w:hAnsiTheme="majorBidi" w:cstheme="majorBidi"/>
          <w:szCs w:val="22"/>
        </w:rPr>
        <w:lastRenderedPageBreak/>
        <w:t xml:space="preserve">finds a substantial platform when Poe’s unnamed, disembodied narrator details the assemblage of mechanical parts that daily transfigures “the nondescript” into the </w:t>
      </w:r>
      <w:r w:rsidRPr="007378FE">
        <w:rPr>
          <w:rFonts w:asciiTheme="majorBidi" w:eastAsia="Calibri" w:hAnsiTheme="majorBidi" w:cstheme="majorBidi"/>
        </w:rPr>
        <w:t>venerable</w:t>
      </w:r>
      <w:r w:rsidRPr="007378FE">
        <w:rPr>
          <w:rFonts w:asciiTheme="majorBidi" w:eastAsia="Calibri" w:hAnsiTheme="majorBidi" w:cstheme="majorBidi"/>
          <w:color w:val="000000"/>
        </w:rPr>
        <w:t> </w:t>
      </w:r>
      <w:r w:rsidRPr="007378FE">
        <w:rPr>
          <w:rFonts w:asciiTheme="majorBidi" w:eastAsia="Calibri" w:hAnsiTheme="majorBidi" w:cstheme="majorBidi"/>
        </w:rPr>
        <w:t>Brevet Brigadier General John A. B. C. Smith, a war hero of the fictional Bugaboo and Kickapoo campaign.</w:t>
      </w:r>
      <w:r w:rsidRPr="007378FE">
        <w:rPr>
          <w:rFonts w:asciiTheme="majorBidi" w:eastAsia="Calibri" w:hAnsiTheme="majorBidi" w:cstheme="majorBidi"/>
          <w:vertAlign w:val="superscript"/>
        </w:rPr>
        <w:footnoteReference w:id="132"/>
      </w:r>
    </w:p>
    <w:p w14:paraId="37E6AA6C" w14:textId="1742A607" w:rsidR="007378FE" w:rsidRPr="007378FE" w:rsidRDefault="007378FE" w:rsidP="007378FE">
      <w:pPr>
        <w:spacing w:line="480" w:lineRule="auto"/>
        <w:ind w:firstLine="720"/>
        <w:rPr>
          <w:rFonts w:asciiTheme="majorBidi" w:eastAsia="Calibri" w:hAnsiTheme="majorBidi" w:cstheme="majorBidi"/>
        </w:rPr>
      </w:pPr>
      <w:r w:rsidRPr="007378FE">
        <w:rPr>
          <w:rFonts w:asciiTheme="majorBidi" w:eastAsia="Calibri" w:hAnsiTheme="majorBidi" w:cstheme="majorBidi"/>
        </w:rPr>
        <w:t xml:space="preserve">Like Shelley’s Creature, Poe’s Brevet Brigadier General is wholly prosthetic; unlike, the </w:t>
      </w:r>
      <w:proofErr w:type="gramStart"/>
      <w:r w:rsidRPr="007378FE">
        <w:rPr>
          <w:rFonts w:asciiTheme="majorBidi" w:eastAsia="Calibri" w:hAnsiTheme="majorBidi" w:cstheme="majorBidi"/>
        </w:rPr>
        <w:t>Creature</w:t>
      </w:r>
      <w:proofErr w:type="gramEnd"/>
      <w:r w:rsidRPr="007378FE">
        <w:rPr>
          <w:rFonts w:asciiTheme="majorBidi" w:eastAsia="Calibri" w:hAnsiTheme="majorBidi" w:cstheme="majorBidi"/>
        </w:rPr>
        <w:t>, he possesses so perfect a physique (when assembled) that “For your life you could not have found a fault with its wonderful proportion” (1282).</w:t>
      </w:r>
      <w:r w:rsidRPr="007378FE">
        <w:rPr>
          <w:rFonts w:asciiTheme="majorBidi" w:eastAsia="Calibri" w:hAnsiTheme="majorBidi" w:cstheme="majorBidi"/>
          <w:vertAlign w:val="superscript"/>
        </w:rPr>
        <w:footnoteReference w:id="133"/>
      </w:r>
      <w:r w:rsidRPr="007378FE">
        <w:rPr>
          <w:rFonts w:asciiTheme="majorBidi" w:eastAsia="Calibri" w:hAnsiTheme="majorBidi" w:cstheme="majorBidi"/>
        </w:rPr>
        <w:t xml:space="preserve"> From his “most entirely even, and . . . most brilliantly white of all conceivable teeth” (1281) to “the </w:t>
      </w:r>
      <w:r w:rsidRPr="007378FE">
        <w:rPr>
          <w:rFonts w:asciiTheme="majorBidi" w:eastAsia="Calibri" w:hAnsiTheme="majorBidi" w:cstheme="majorBidi"/>
          <w:i/>
          <w:iCs/>
        </w:rPr>
        <w:t>ne plus ultra</w:t>
      </w:r>
      <w:r w:rsidRPr="007378FE">
        <w:rPr>
          <w:rFonts w:asciiTheme="majorBidi" w:eastAsia="Calibri" w:hAnsiTheme="majorBidi" w:cstheme="majorBidi"/>
        </w:rPr>
        <w:t xml:space="preserve"> of good legs” (1282), Smith seems divinely sculpted: so perfect as to hint at imperfection. Everyone, it seems, except the narrator, knows the grotesque ending to the “Tale of the Late Bugaboo and Kickapoo Campaign”—the way in which the battles embedded themselves on the general’s body. And, in fact, gestures to Smith’s disabilities are everywhere. Smith himself, openly applauds “the march of invention” and the “mechanical contrivances [that] are daily springing up” that, he imagines, will have an incalculable “influence upon social life- upon the arts- upon literature-” (1286). But in trying to get at the whole truth of Smith, the narrator repeatedly meets with descriptions of him that are, like Smith himself, cut off. On five separate occasions, the narrator interrogates one of Smith’s acquaintances about the general. Each begins, “he’s the man</w:t>
      </w:r>
      <w:r w:rsidR="00ED68FA">
        <w:rPr>
          <w:rFonts w:asciiTheme="majorBidi" w:eastAsia="Calibri" w:hAnsiTheme="majorBidi" w:cstheme="majorBidi"/>
        </w:rPr>
        <w:t>—</w:t>
      </w:r>
      <w:r w:rsidRPr="007378FE">
        <w:rPr>
          <w:rFonts w:asciiTheme="majorBidi" w:eastAsia="Calibri" w:hAnsiTheme="majorBidi" w:cstheme="majorBidi"/>
        </w:rPr>
        <w:t>” before finding themselves interrupted by someone else.</w:t>
      </w:r>
      <w:r w:rsidRPr="007378FE">
        <w:rPr>
          <w:rFonts w:asciiTheme="majorBidi" w:eastAsia="Calibri" w:hAnsiTheme="majorBidi" w:cstheme="majorBidi"/>
          <w:vertAlign w:val="superscript"/>
        </w:rPr>
        <w:footnoteReference w:id="134"/>
      </w:r>
      <w:r w:rsidRPr="007378FE">
        <w:rPr>
          <w:rFonts w:asciiTheme="majorBidi" w:eastAsia="Calibri" w:hAnsiTheme="majorBidi" w:cstheme="majorBidi"/>
        </w:rPr>
        <w:t xml:space="preserve"> Notably, as Vanessa Warne points out, </w:t>
      </w:r>
    </w:p>
    <w:p w14:paraId="2724BB44" w14:textId="77777777" w:rsidR="007378FE" w:rsidRPr="007378FE" w:rsidRDefault="007378FE" w:rsidP="007378FE">
      <w:pPr>
        <w:spacing w:line="480" w:lineRule="auto"/>
        <w:ind w:left="1440"/>
        <w:rPr>
          <w:rFonts w:asciiTheme="majorBidi" w:eastAsia="Calibri" w:hAnsiTheme="majorBidi" w:cstheme="majorBidi"/>
        </w:rPr>
      </w:pPr>
      <w:r w:rsidRPr="007378FE">
        <w:rPr>
          <w:rFonts w:asciiTheme="majorBidi" w:eastAsia="Calibri" w:hAnsiTheme="majorBidi" w:cstheme="majorBidi"/>
        </w:rPr>
        <w:lastRenderedPageBreak/>
        <w:t>these conversations are marked by a prosthetic quality of their own</w:t>
      </w:r>
      <w:proofErr w:type="gramStart"/>
      <w:r w:rsidRPr="007378FE">
        <w:rPr>
          <w:rFonts w:asciiTheme="majorBidi" w:eastAsia="Calibri" w:hAnsiTheme="majorBidi" w:cstheme="majorBidi"/>
        </w:rPr>
        <w:t>. . . .</w:t>
      </w:r>
      <w:proofErr w:type="gramEnd"/>
      <w:r w:rsidRPr="007378FE">
        <w:rPr>
          <w:rFonts w:asciiTheme="majorBidi" w:eastAsia="Calibri" w:hAnsiTheme="majorBidi" w:cstheme="majorBidi"/>
        </w:rPr>
        <w:t xml:space="preserve"> speakers who stop the exchange of information begin their interruptions with the word “man.” Echoing the last word of the speaker they interrupt, they rely upon part of another statement to make a statement of their own, and, through repetition, create the illusion of an organic whole. The fragmented conversations that result frustrate the narrator but hint at and parallel the injuries done to the General’s body. Linguistic equivalents of the amputated body, they manifest facts about the General that are not expressed in language. Defined by broken sentences, incomplete explanations, and competing discourses, the society Poe portrays is one in which disability is discussed with difficulty, if at all. (“Disability and Dependence” 98) </w:t>
      </w:r>
    </w:p>
    <w:p w14:paraId="4730E4DD" w14:textId="77777777" w:rsidR="007378FE" w:rsidRPr="007378FE" w:rsidRDefault="007378FE" w:rsidP="007378FE">
      <w:pPr>
        <w:spacing w:line="480" w:lineRule="auto"/>
        <w:rPr>
          <w:rFonts w:asciiTheme="majorBidi" w:eastAsia="Calibri" w:hAnsiTheme="majorBidi" w:cstheme="majorBidi"/>
        </w:rPr>
      </w:pPr>
      <w:r w:rsidRPr="007378FE">
        <w:rPr>
          <w:rFonts w:asciiTheme="majorBidi" w:eastAsia="Calibri" w:hAnsiTheme="majorBidi" w:cstheme="majorBidi"/>
        </w:rPr>
        <w:t xml:space="preserve">Here, as in </w:t>
      </w:r>
      <w:r w:rsidRPr="007378FE">
        <w:rPr>
          <w:rFonts w:asciiTheme="majorBidi" w:eastAsia="Calibri" w:hAnsiTheme="majorBidi" w:cstheme="majorBidi"/>
          <w:i/>
          <w:iCs/>
        </w:rPr>
        <w:t>Frankenstein</w:t>
      </w:r>
      <w:r w:rsidRPr="007378FE">
        <w:rPr>
          <w:rFonts w:asciiTheme="majorBidi" w:eastAsia="Calibri" w:hAnsiTheme="majorBidi" w:cstheme="majorBidi"/>
        </w:rPr>
        <w:t>, the text refracts the disabled body and alternately hints at and hides the prosthetic extensions of that body.</w:t>
      </w:r>
      <w:r w:rsidRPr="007378FE">
        <w:rPr>
          <w:rFonts w:asciiTheme="majorBidi" w:eastAsia="Calibri" w:hAnsiTheme="majorBidi" w:cstheme="majorBidi"/>
          <w:vertAlign w:val="superscript"/>
        </w:rPr>
        <w:footnoteReference w:id="135"/>
      </w:r>
    </w:p>
    <w:p w14:paraId="39C8BEDD" w14:textId="77777777" w:rsidR="007378FE" w:rsidRPr="007378FE" w:rsidRDefault="007378FE" w:rsidP="007378FE">
      <w:pPr>
        <w:spacing w:line="480" w:lineRule="auto"/>
        <w:ind w:firstLine="720"/>
        <w:rPr>
          <w:rFonts w:asciiTheme="majorBidi" w:eastAsia="Calibri" w:hAnsiTheme="majorBidi" w:cstheme="majorBidi"/>
        </w:rPr>
      </w:pPr>
      <w:r w:rsidRPr="007378FE">
        <w:rPr>
          <w:rFonts w:asciiTheme="majorBidi" w:eastAsia="Calibri" w:hAnsiTheme="majorBidi" w:cstheme="majorBidi"/>
        </w:rPr>
        <w:t xml:space="preserve">Paradoxically, inorganic supplementation is what makes Smith human. When the narrator goes to call on Smith at his home, the valet disappears, leaving him with “a large and exceedingly </w:t>
      </w:r>
      <w:proofErr w:type="gramStart"/>
      <w:r w:rsidRPr="007378FE">
        <w:rPr>
          <w:rFonts w:asciiTheme="majorBidi" w:eastAsia="Calibri" w:hAnsiTheme="majorBidi" w:cstheme="majorBidi"/>
        </w:rPr>
        <w:t>odd looking</w:t>
      </w:r>
      <w:proofErr w:type="gramEnd"/>
      <w:r w:rsidRPr="007378FE">
        <w:rPr>
          <w:rFonts w:asciiTheme="majorBidi" w:eastAsia="Calibri" w:hAnsiTheme="majorBidi" w:cstheme="majorBidi"/>
        </w:rPr>
        <w:t xml:space="preserve"> bundle of something which lay close by my feet on the floor,” which he proceeds to kick (1295).</w:t>
      </w:r>
      <w:r w:rsidRPr="007378FE">
        <w:rPr>
          <w:rFonts w:asciiTheme="majorBidi" w:eastAsia="Calibri" w:hAnsiTheme="majorBidi" w:cstheme="majorBidi"/>
          <w:vertAlign w:val="superscript"/>
        </w:rPr>
        <w:footnoteReference w:id="136"/>
      </w:r>
      <w:r w:rsidRPr="007378FE">
        <w:rPr>
          <w:rFonts w:asciiTheme="majorBidi" w:eastAsia="Calibri" w:hAnsiTheme="majorBidi" w:cstheme="majorBidi"/>
        </w:rPr>
        <w:t xml:space="preserve"> The narrator’s curiosity turns to terror when the supposed “bundle” speaks (or responds, at any rate, in something “between a squeak and a whistle”). The bundle is what remains of Smith’s war-torn body. In the absence of his prosthetics, Smith becomes, quite </w:t>
      </w:r>
      <w:r w:rsidRPr="007378FE">
        <w:rPr>
          <w:rFonts w:asciiTheme="majorBidi" w:eastAsia="Calibri" w:hAnsiTheme="majorBidi" w:cstheme="majorBidi"/>
        </w:rPr>
        <w:lastRenderedPageBreak/>
        <w:t>literally, object-ified by the narrator. He is, variously, “the bundle,” “the nondescript” (1295), “the thing” (1296), and “the object” (1297), a featureless quasi-body devoid of any real character. Smith only becomes recognizably human through a mechanical “evolution” of prosthesis (1295). As Smith’s black servant, Pompey, literally pieces together the speaking “nondescript” entity before the narrator’s eyes—cork leg, arms, shoulders, breast, teeth, an eye, and finally, the very palate that gilds and humanizes Smith’s articulation—one can no longer avoid questioning the emerging narrating voices in “this wonderfully inventive age” (1287): to whom or what should the reader attribute narrative agency where human characters merge with artificial parts and other bodies?</w:t>
      </w:r>
      <w:r w:rsidRPr="007378FE">
        <w:rPr>
          <w:rFonts w:asciiTheme="majorBidi" w:eastAsia="Calibri" w:hAnsiTheme="majorBidi" w:cstheme="majorBidi"/>
          <w:vertAlign w:val="superscript"/>
        </w:rPr>
        <w:t xml:space="preserve"> </w:t>
      </w:r>
      <w:r w:rsidRPr="007378FE">
        <w:rPr>
          <w:rFonts w:asciiTheme="majorBidi" w:eastAsia="Calibri" w:hAnsiTheme="majorBidi" w:cstheme="majorBidi"/>
          <w:vertAlign w:val="superscript"/>
        </w:rPr>
        <w:footnoteReference w:id="137"/>
      </w:r>
    </w:p>
    <w:p w14:paraId="654EF030" w14:textId="04036F7C" w:rsidR="007378FE" w:rsidRPr="007378FE" w:rsidRDefault="007378FE" w:rsidP="007378FE">
      <w:pPr>
        <w:spacing w:line="480" w:lineRule="auto"/>
        <w:rPr>
          <w:rFonts w:asciiTheme="majorBidi" w:eastAsia="Calibri" w:hAnsiTheme="majorBidi" w:cstheme="majorBidi"/>
          <w:szCs w:val="22"/>
        </w:rPr>
      </w:pPr>
      <w:r w:rsidRPr="007378FE">
        <w:rPr>
          <w:rFonts w:asciiTheme="majorBidi" w:eastAsia="Calibri" w:hAnsiTheme="majorBidi" w:cstheme="majorBidi"/>
          <w:szCs w:val="22"/>
        </w:rPr>
        <w:tab/>
        <w:t xml:space="preserve">While the origins of these two prosthetic protagonists (the Creature and the General) could not be more distinct—one is, at the risk of sounding terribly reductive, the product of a grave-robbing scientist’s secret experiment; the other, a distinguished, though satirized, war hero—the commodification of normalcy has also come into play in the intervening decades that separate the publication of these two texts. While the Creature’s parts represent a salvaged mix of vague miscellany, the general’s appendages represent an upper-class aesthetic. Ironically, it is the organic body that repels and the manufactured prosthetics that attract. Smith openly brags </w:t>
      </w:r>
      <w:r w:rsidRPr="007378FE">
        <w:rPr>
          <w:rFonts w:asciiTheme="majorBidi" w:eastAsia="Calibri" w:hAnsiTheme="majorBidi" w:cstheme="majorBidi"/>
          <w:szCs w:val="22"/>
        </w:rPr>
        <w:lastRenderedPageBreak/>
        <w:t>about the quality his prosthetics, even recommending the manufacturers of his bespoke prostheses by name to a narrator who has no</w:t>
      </w:r>
      <w:r w:rsidR="00ED68FA">
        <w:rPr>
          <w:rFonts w:asciiTheme="majorBidi" w:eastAsia="Calibri" w:hAnsiTheme="majorBidi" w:cstheme="majorBidi"/>
          <w:szCs w:val="22"/>
        </w:rPr>
        <w:t xml:space="preserve"> (current)</w:t>
      </w:r>
      <w:r w:rsidRPr="007378FE">
        <w:rPr>
          <w:rFonts w:asciiTheme="majorBidi" w:eastAsia="Calibri" w:hAnsiTheme="majorBidi" w:cstheme="majorBidi"/>
          <w:szCs w:val="22"/>
        </w:rPr>
        <w:t xml:space="preserve"> physical need of them: “if you should ever want an arm, my dear fellow, you must really let me recommend you to Bishop” (1296), “Pettitt makes the best shoulders, but for a bosom you will have to go to Ducrow,” “you can procure such capital scratch at De L’Orme’s,” “For a </w:t>
      </w:r>
      <w:r w:rsidRPr="007378FE">
        <w:rPr>
          <w:rFonts w:asciiTheme="majorBidi" w:eastAsia="Calibri" w:hAnsiTheme="majorBidi" w:cstheme="majorBidi"/>
          <w:i/>
          <w:iCs/>
          <w:szCs w:val="22"/>
        </w:rPr>
        <w:t>good</w:t>
      </w:r>
      <w:r w:rsidRPr="007378FE">
        <w:rPr>
          <w:rFonts w:asciiTheme="majorBidi" w:eastAsia="Calibri" w:hAnsiTheme="majorBidi" w:cstheme="majorBidi"/>
          <w:szCs w:val="22"/>
        </w:rPr>
        <w:t xml:space="preserve"> set of these [teeth] you had better go to Parmly’s at once; high prices but excellent work” (1297), “There isn’t Bonfanti’s equal [for tongues], however, in America, for really good articles of this description. I can recommend you to him with confidence” (1298). Smith’s body is enhanced as much by commodity culture as it is by medical technology. (White bodies, too, have entered the commercial market, though the luxury, à la carte buying and selling of their physical selves—the ability to recoup their losses—introduces yet another socioeconomic layer of separation between white and black bodies.) In this exchange, Poe blends fantastic elements of science fiction with the banality of the retail industry. The imbrication of bodies with inorganic material is simultaneously incredible and mundane. Disabled passing becomes a sort of status symbol: something that can be bought. And still, the gradual modulation of the nondescript’s voice as he is transformed into the General leaves Poe’s narrator, no less than Frankenstein, grappling to discern exactly what or who is speaking.</w:t>
      </w:r>
    </w:p>
    <w:p w14:paraId="20613B5B" w14:textId="77777777" w:rsidR="007378FE" w:rsidRPr="007378FE" w:rsidRDefault="007378FE" w:rsidP="007378FE">
      <w:pPr>
        <w:spacing w:line="480" w:lineRule="auto"/>
        <w:rPr>
          <w:rFonts w:asciiTheme="majorBidi" w:eastAsia="Calibri" w:hAnsiTheme="majorBidi" w:cstheme="majorBidi"/>
          <w:szCs w:val="22"/>
        </w:rPr>
      </w:pPr>
      <w:r w:rsidRPr="007378FE">
        <w:rPr>
          <w:rFonts w:asciiTheme="majorBidi" w:eastAsia="Calibri" w:hAnsiTheme="majorBidi" w:cstheme="majorBidi"/>
          <w:szCs w:val="22"/>
        </w:rPr>
        <w:tab/>
        <w:t xml:space="preserve">Poe picks up, in the context of colonialism and capitalism, what Shelley sets out in the context of social corporeality: the issue of how an engagement with the material world—the interface between an organic self and inorganic things—augments disabled agency. The transformative, exploratory potential afforded by the science fiction genre as it intersects with disability becomes all the more apparent in the work of later writers of speculative fiction like </w:t>
      </w:r>
      <w:r w:rsidRPr="007378FE">
        <w:rPr>
          <w:rFonts w:asciiTheme="majorBidi" w:eastAsia="Calibri" w:hAnsiTheme="majorBidi" w:cstheme="majorBidi"/>
          <w:szCs w:val="22"/>
        </w:rPr>
        <w:lastRenderedPageBreak/>
        <w:t>H.G. Wells and Guy de Maupassant, who take similar cues from their Romantic predecessor.</w:t>
      </w:r>
      <w:r w:rsidRPr="007378FE">
        <w:rPr>
          <w:rFonts w:asciiTheme="majorBidi" w:eastAsia="Calibri" w:hAnsiTheme="majorBidi" w:cstheme="majorBidi"/>
          <w:szCs w:val="22"/>
          <w:vertAlign w:val="superscript"/>
        </w:rPr>
        <w:footnoteReference w:id="138"/>
      </w:r>
      <w:r w:rsidRPr="007378FE">
        <w:rPr>
          <w:rFonts w:asciiTheme="majorBidi" w:eastAsia="Calibri" w:hAnsiTheme="majorBidi" w:cstheme="majorBidi"/>
          <w:szCs w:val="22"/>
        </w:rPr>
        <w:t xml:space="preserve"> Donna Haraway claims that “the boundary between science fiction and social reality is an optical illusion,” that the cyborg “is a matter of fiction and lived experience” (“A Cyborg Manifesto” 291). Surely, the same can be said of Shelley’s Creature and Poe’s General. The “matter” of both stories—the dizzying mix of materials, voices, and conditions at work in the narratives—forces the reader to confront the significance of disabled experience and the generative potentials of the prosthetic object. The wholeness achieved through fragmentation reminds us that the human body is no more stable or static than the world that it inhabits—and, troublingly, that physical integrity is often something that can be acquired only by those who can afford it. </w:t>
      </w:r>
    </w:p>
    <w:p w14:paraId="4D2EC456" w14:textId="77777777" w:rsidR="007378FE" w:rsidRPr="007378FE" w:rsidRDefault="007378FE" w:rsidP="007378FE">
      <w:pPr>
        <w:spacing w:line="480" w:lineRule="auto"/>
        <w:rPr>
          <w:rFonts w:asciiTheme="majorBidi" w:eastAsia="Calibri" w:hAnsiTheme="majorBidi" w:cstheme="majorBidi"/>
          <w:szCs w:val="22"/>
        </w:rPr>
      </w:pPr>
      <w:r w:rsidRPr="007378FE">
        <w:rPr>
          <w:rFonts w:asciiTheme="majorBidi" w:eastAsia="Calibri" w:hAnsiTheme="majorBidi" w:cstheme="majorBidi"/>
          <w:szCs w:val="22"/>
        </w:rPr>
        <w:tab/>
        <w:t xml:space="preserve">Similarly, the prosthetic objects that reinforce the works of Dickens, Trollope, and Collins find their doubles in nineteenth-century works of French realism, as seen, for example, in Gustave Flaubert’s </w:t>
      </w:r>
      <w:r w:rsidRPr="007378FE">
        <w:rPr>
          <w:rFonts w:asciiTheme="majorBidi" w:eastAsia="Calibri" w:hAnsiTheme="majorBidi" w:cstheme="majorBidi"/>
          <w:i/>
          <w:szCs w:val="22"/>
        </w:rPr>
        <w:t xml:space="preserve">Madame Bovary </w:t>
      </w:r>
      <w:r w:rsidRPr="007378FE">
        <w:rPr>
          <w:rFonts w:asciiTheme="majorBidi" w:eastAsia="Calibri" w:hAnsiTheme="majorBidi" w:cstheme="majorBidi"/>
          <w:iCs/>
          <w:szCs w:val="22"/>
        </w:rPr>
        <w:t xml:space="preserve">(1856). </w:t>
      </w:r>
      <w:r w:rsidRPr="007378FE">
        <w:rPr>
          <w:rFonts w:asciiTheme="majorBidi" w:eastAsia="Calibri" w:hAnsiTheme="majorBidi" w:cstheme="majorBidi"/>
          <w:i/>
          <w:iCs/>
          <w:szCs w:val="22"/>
        </w:rPr>
        <w:t>Madame Bovary</w:t>
      </w:r>
      <w:r w:rsidRPr="007378FE">
        <w:rPr>
          <w:rFonts w:asciiTheme="majorBidi" w:eastAsia="Calibri" w:hAnsiTheme="majorBidi" w:cstheme="majorBidi"/>
          <w:szCs w:val="22"/>
        </w:rPr>
        <w:t xml:space="preserve"> is a novel that hinges on material objects. Substantively and formally, the narrative grows out of mass production and the era’s burgeoning commodity culture. But among the dizzying catalogue of Emma Bovary’s luxury purchases—scarves, seals, riding-whips—one set of objects stands out (as it were) in the ever-expanding network of commodities that reinforces the text: Hippolyte’s prosthetic legs. The tension between Hippolyte’s upper-class leg and his peg leg—the way in which physical disability collides with socioeconomic status—I argue, underscores both the productive </w:t>
      </w:r>
      <w:r w:rsidRPr="007378FE">
        <w:rPr>
          <w:rFonts w:asciiTheme="majorBidi" w:eastAsia="Calibri" w:hAnsiTheme="majorBidi" w:cstheme="majorBidi"/>
          <w:szCs w:val="22"/>
        </w:rPr>
        <w:lastRenderedPageBreak/>
        <w:t xml:space="preserve">potentials and practical limitations of prosthesis in nineteenth-century literature and culture more generally. </w:t>
      </w:r>
    </w:p>
    <w:p w14:paraId="162EEC83" w14:textId="77777777" w:rsidR="007378FE" w:rsidRPr="007378FE" w:rsidRDefault="007378FE" w:rsidP="007378FE">
      <w:pPr>
        <w:spacing w:line="480" w:lineRule="auto"/>
        <w:ind w:firstLine="720"/>
        <w:rPr>
          <w:rFonts w:asciiTheme="majorBidi" w:eastAsia="Calibri" w:hAnsiTheme="majorBidi" w:cstheme="majorBidi"/>
          <w:szCs w:val="22"/>
        </w:rPr>
      </w:pPr>
      <w:r w:rsidRPr="007378FE">
        <w:rPr>
          <w:rFonts w:asciiTheme="majorBidi" w:eastAsia="Calibri" w:hAnsiTheme="majorBidi" w:cstheme="majorBidi"/>
          <w:szCs w:val="22"/>
        </w:rPr>
        <w:t>Flaubert’s novel</w:t>
      </w:r>
      <w:r w:rsidRPr="007378FE">
        <w:rPr>
          <w:rFonts w:asciiTheme="majorBidi" w:eastAsia="Calibri" w:hAnsiTheme="majorBidi" w:cstheme="majorBidi"/>
          <w:iCs/>
          <w:szCs w:val="22"/>
        </w:rPr>
        <w:t xml:space="preserve"> represents prosthesis as the consequence of a pernicious pathology of normativity and an unstable site of class conflict. Increasingly frustrated with her provincial existence and lackluster marriage, Emma Bovary persuades her husband, a second-rate “doctor,” to “cure” the local ostler, Hippolyte, of his supposed disability, a club foot.</w:t>
      </w:r>
      <w:r w:rsidRPr="007378FE">
        <w:rPr>
          <w:rFonts w:asciiTheme="majorBidi" w:eastAsia="Calibri" w:hAnsiTheme="majorBidi" w:cstheme="majorBidi"/>
          <w:iCs/>
          <w:szCs w:val="22"/>
          <w:vertAlign w:val="superscript"/>
        </w:rPr>
        <w:footnoteReference w:id="139"/>
      </w:r>
      <w:r w:rsidRPr="007378FE">
        <w:rPr>
          <w:rFonts w:asciiTheme="majorBidi" w:eastAsia="Calibri" w:hAnsiTheme="majorBidi" w:cstheme="majorBidi"/>
          <w:iCs/>
          <w:szCs w:val="22"/>
        </w:rPr>
        <w:t xml:space="preserve"> </w:t>
      </w:r>
      <w:r w:rsidRPr="007378FE">
        <w:rPr>
          <w:rFonts w:asciiTheme="majorBidi" w:eastAsia="Calibri" w:hAnsiTheme="majorBidi" w:cstheme="majorBidi"/>
          <w:szCs w:val="22"/>
        </w:rPr>
        <w:t>But Hippolyte’s club foot constitutes a disability only from a cultural, pathological perspective. Much like Frankenstein’s Creature’s grotesque but agile body, Hippolyte’s foot looks ungainly but is actually sturdier than his anatomically-typical foot:</w:t>
      </w:r>
    </w:p>
    <w:p w14:paraId="21342C31" w14:textId="77777777" w:rsidR="007378FE" w:rsidRPr="007378FE" w:rsidRDefault="007378FE" w:rsidP="007378FE">
      <w:pPr>
        <w:spacing w:line="480" w:lineRule="auto"/>
        <w:ind w:left="1440"/>
        <w:rPr>
          <w:rFonts w:asciiTheme="majorBidi" w:eastAsia="Calibri" w:hAnsiTheme="majorBidi" w:cstheme="majorBidi"/>
          <w:szCs w:val="22"/>
        </w:rPr>
      </w:pPr>
      <w:r w:rsidRPr="007378FE">
        <w:rPr>
          <w:rFonts w:asciiTheme="majorBidi" w:eastAsia="Calibri" w:hAnsiTheme="majorBidi" w:cstheme="majorBidi"/>
          <w:szCs w:val="22"/>
        </w:rPr>
        <w:t xml:space="preserve">He had a foot that almost made a straight line with the leg </w:t>
      </w:r>
      <w:proofErr w:type="gramStart"/>
      <w:r w:rsidRPr="007378FE">
        <w:rPr>
          <w:rFonts w:asciiTheme="majorBidi" w:eastAsia="Calibri" w:hAnsiTheme="majorBidi" w:cstheme="majorBidi"/>
          <w:szCs w:val="22"/>
        </w:rPr>
        <w:t>. . . .</w:t>
      </w:r>
      <w:proofErr w:type="gramEnd"/>
      <w:r w:rsidRPr="007378FE">
        <w:rPr>
          <w:rFonts w:asciiTheme="majorBidi" w:eastAsia="Calibri" w:hAnsiTheme="majorBidi" w:cstheme="majorBidi"/>
          <w:szCs w:val="22"/>
        </w:rPr>
        <w:t xml:space="preserve"> But on this </w:t>
      </w:r>
      <w:r w:rsidRPr="007378FE">
        <w:rPr>
          <w:rFonts w:asciiTheme="majorBidi" w:eastAsia="Calibri" w:hAnsiTheme="majorBidi" w:cstheme="majorBidi"/>
          <w:i/>
          <w:iCs/>
          <w:szCs w:val="22"/>
        </w:rPr>
        <w:t>equinus</w:t>
      </w:r>
      <w:r w:rsidRPr="007378FE">
        <w:rPr>
          <w:rFonts w:asciiTheme="majorBidi" w:eastAsia="Calibri" w:hAnsiTheme="majorBidi" w:cstheme="majorBidi"/>
          <w:szCs w:val="22"/>
        </w:rPr>
        <w:t>, actually as large as a horse’s hoof, with rough skin, stiff tendons, huge toes, and black nails just like the rivets on a horseshoe, on this foot the taliped, from morning till night, galloped about like a stag. He was regularly to be seen in the market-square, skipping all round the carts, with his odd foot out first. He actually seemed sturdier on this leg than on the other. After long service, it had acquired almost moral qualities of patience and energy, and when there was heavy work to be done, he propped himself on it. (163)</w:t>
      </w:r>
      <w:r w:rsidRPr="007378FE">
        <w:rPr>
          <w:rFonts w:asciiTheme="majorBidi" w:eastAsia="Calibri" w:hAnsiTheme="majorBidi" w:cstheme="majorBidi"/>
          <w:szCs w:val="22"/>
          <w:vertAlign w:val="superscript"/>
        </w:rPr>
        <w:footnoteReference w:id="140"/>
      </w:r>
    </w:p>
    <w:p w14:paraId="69901C08" w14:textId="310E30FB" w:rsidR="007378FE" w:rsidRPr="007378FE" w:rsidRDefault="007378FE" w:rsidP="007378FE">
      <w:pPr>
        <w:spacing w:line="480" w:lineRule="auto"/>
        <w:rPr>
          <w:rFonts w:asciiTheme="majorBidi" w:eastAsia="Calibri" w:hAnsiTheme="majorBidi" w:cstheme="majorBidi"/>
          <w:szCs w:val="22"/>
        </w:rPr>
      </w:pPr>
      <w:r w:rsidRPr="007378FE">
        <w:rPr>
          <w:rFonts w:asciiTheme="majorBidi" w:eastAsia="Calibri" w:hAnsiTheme="majorBidi" w:cstheme="majorBidi"/>
          <w:szCs w:val="22"/>
        </w:rPr>
        <w:lastRenderedPageBreak/>
        <w:t>The paradoxical description of Hippolyte’s foot as both animal-like and also morally astute (exercising patience and energy) reflects the essential conflict between physical alterity and the social interpretation of that state of otherness by the nondisabled community.</w:t>
      </w:r>
      <w:r w:rsidRPr="007378FE">
        <w:rPr>
          <w:rFonts w:asciiTheme="majorBidi" w:eastAsia="Calibri" w:hAnsiTheme="majorBidi" w:cstheme="majorBidi"/>
          <w:szCs w:val="22"/>
          <w:vertAlign w:val="superscript"/>
        </w:rPr>
        <w:t xml:space="preserve"> </w:t>
      </w:r>
      <w:r w:rsidR="00ED68FA">
        <w:rPr>
          <w:rFonts w:asciiTheme="majorBidi" w:eastAsia="Calibri" w:hAnsiTheme="majorBidi" w:cstheme="majorBidi"/>
          <w:szCs w:val="22"/>
        </w:rPr>
        <w:t>Moreover, r</w:t>
      </w:r>
      <w:r w:rsidRPr="007378FE">
        <w:rPr>
          <w:rFonts w:asciiTheme="majorBidi" w:eastAsia="Calibri" w:hAnsiTheme="majorBidi" w:cstheme="majorBidi"/>
          <w:szCs w:val="22"/>
        </w:rPr>
        <w:t>epeated ungulate comparisons reinforce the notion of the disabled character as subhuman.</w:t>
      </w:r>
      <w:r w:rsidRPr="007378FE">
        <w:rPr>
          <w:rFonts w:asciiTheme="majorBidi" w:eastAsia="Calibri" w:hAnsiTheme="majorBidi" w:cstheme="majorBidi"/>
          <w:szCs w:val="22"/>
          <w:vertAlign w:val="superscript"/>
        </w:rPr>
        <w:footnoteReference w:id="141"/>
      </w:r>
      <w:r w:rsidRPr="007378FE">
        <w:rPr>
          <w:rFonts w:asciiTheme="majorBidi" w:eastAsia="Calibri" w:hAnsiTheme="majorBidi" w:cstheme="majorBidi"/>
          <w:szCs w:val="22"/>
        </w:rPr>
        <w:t xml:space="preserve"> The narrator likens Hippolyte’s club foot to a horse’s hoof, his toenails to horseshoe rivets, his gait to a gallop; the disabled man, here, begins to resemble the animals with which he works more than he does his human neighbors. Hippolyte’s club foot constitutes his most reliable limb, but it fails to conform to the aesthetic standards of normativity. Thus, while Hippolyte initially rejects Charles Bovary’s offer to “fix” his foot, his resolve flags in the face of badgering that snowballs into a full-scale community effort to persuade the ostler to undergo surgery: a collective insistence on normativity and anatomical standardization.</w:t>
      </w:r>
      <w:r w:rsidRPr="007378FE">
        <w:rPr>
          <w:rFonts w:asciiTheme="majorBidi" w:eastAsia="Calibri" w:hAnsiTheme="majorBidi" w:cstheme="majorBidi"/>
          <w:szCs w:val="22"/>
          <w:vertAlign w:val="superscript"/>
        </w:rPr>
        <w:footnoteReference w:id="142"/>
      </w:r>
      <w:r w:rsidRPr="007378FE">
        <w:rPr>
          <w:rFonts w:asciiTheme="majorBidi" w:eastAsia="Calibri" w:hAnsiTheme="majorBidi" w:cstheme="majorBidi"/>
          <w:szCs w:val="22"/>
        </w:rPr>
        <w:t xml:space="preserve"> </w:t>
      </w:r>
    </w:p>
    <w:p w14:paraId="58903CA4" w14:textId="77777777" w:rsidR="007378FE" w:rsidRPr="007378FE" w:rsidRDefault="007378FE" w:rsidP="007378FE">
      <w:pPr>
        <w:spacing w:line="480" w:lineRule="auto"/>
        <w:ind w:firstLine="720"/>
        <w:rPr>
          <w:rFonts w:asciiTheme="majorBidi" w:eastAsia="Calibri" w:hAnsiTheme="majorBidi" w:cstheme="majorBidi"/>
          <w:szCs w:val="22"/>
        </w:rPr>
      </w:pPr>
      <w:r w:rsidRPr="007378FE">
        <w:rPr>
          <w:rFonts w:asciiTheme="majorBidi" w:eastAsia="Calibri" w:hAnsiTheme="majorBidi" w:cstheme="majorBidi"/>
          <w:szCs w:val="22"/>
        </w:rPr>
        <w:t>Beyond Emma Bovary’s tacit social aspirations, the rationales expressed for subjecting Hippolyte to this operation center largely on cultural ideals like scientific progress</w:t>
      </w:r>
      <w:proofErr w:type="gramStart"/>
      <w:r w:rsidRPr="007378FE">
        <w:rPr>
          <w:rFonts w:asciiTheme="majorBidi" w:eastAsia="Calibri" w:hAnsiTheme="majorBidi" w:cstheme="majorBidi"/>
          <w:szCs w:val="22"/>
        </w:rPr>
        <w:t>—“</w:t>
      </w:r>
      <w:proofErr w:type="gramEnd"/>
      <w:r w:rsidRPr="007378FE">
        <w:rPr>
          <w:rFonts w:asciiTheme="majorBidi" w:eastAsia="Calibri" w:hAnsiTheme="majorBidi" w:cstheme="majorBidi"/>
          <w:i/>
          <w:iCs/>
          <w:szCs w:val="22"/>
        </w:rPr>
        <w:t>to keep up with the times</w:t>
      </w:r>
      <w:r w:rsidRPr="007378FE">
        <w:rPr>
          <w:rFonts w:asciiTheme="majorBidi" w:eastAsia="Calibri" w:hAnsiTheme="majorBidi" w:cstheme="majorBidi"/>
          <w:szCs w:val="22"/>
        </w:rPr>
        <w:t>” (161), “the blessings of science” (162)—and patriotism—“Just suppose that you had been called up to go away and fight for the flag?” (162).</w:t>
      </w:r>
      <w:r w:rsidRPr="007378FE">
        <w:rPr>
          <w:rFonts w:asciiTheme="majorBidi" w:eastAsia="Calibri" w:hAnsiTheme="majorBidi" w:cstheme="majorBidi"/>
          <w:szCs w:val="22"/>
          <w:vertAlign w:val="superscript"/>
        </w:rPr>
        <w:footnoteReference w:id="143"/>
      </w:r>
      <w:r w:rsidRPr="007378FE">
        <w:rPr>
          <w:rFonts w:asciiTheme="majorBidi" w:eastAsia="Calibri" w:hAnsiTheme="majorBidi" w:cstheme="majorBidi"/>
          <w:szCs w:val="22"/>
        </w:rPr>
        <w:t xml:space="preserve"> Hippolyte, of course, registers no complaints about his foot and sees no reason to mend something that isn’t actually broken. In </w:t>
      </w:r>
      <w:r w:rsidRPr="007378FE">
        <w:rPr>
          <w:rFonts w:asciiTheme="majorBidi" w:eastAsia="Calibri" w:hAnsiTheme="majorBidi" w:cstheme="majorBidi"/>
          <w:szCs w:val="22"/>
        </w:rPr>
        <w:lastRenderedPageBreak/>
        <w:t xml:space="preserve">response to eye rolls, Homais, the conspiratorial pharmacist, invokes masculine principles of virility in his attempts to convince Hippolyte that such medical intervention will leave him feeling “more vigorous and </w:t>
      </w:r>
      <w:proofErr w:type="gramStart"/>
      <w:r w:rsidRPr="007378FE">
        <w:rPr>
          <w:rFonts w:asciiTheme="majorBidi" w:eastAsia="Calibri" w:hAnsiTheme="majorBidi" w:cstheme="majorBidi"/>
          <w:szCs w:val="22"/>
        </w:rPr>
        <w:t>more nimble</w:t>
      </w:r>
      <w:proofErr w:type="gramEnd"/>
      <w:r w:rsidRPr="007378FE">
        <w:rPr>
          <w:rFonts w:asciiTheme="majorBidi" w:eastAsia="Calibri" w:hAnsiTheme="majorBidi" w:cstheme="majorBidi"/>
          <w:szCs w:val="22"/>
        </w:rPr>
        <w:t>” and render him more successful with women (162).</w:t>
      </w:r>
      <w:r w:rsidRPr="007378FE">
        <w:rPr>
          <w:rFonts w:asciiTheme="majorBidi" w:eastAsia="Calibri" w:hAnsiTheme="majorBidi" w:cstheme="majorBidi"/>
          <w:szCs w:val="22"/>
          <w:vertAlign w:val="superscript"/>
        </w:rPr>
        <w:footnoteReference w:id="144"/>
      </w:r>
      <w:r w:rsidRPr="007378FE">
        <w:rPr>
          <w:rFonts w:asciiTheme="majorBidi" w:eastAsia="Calibri" w:hAnsiTheme="majorBidi" w:cstheme="majorBidi"/>
          <w:szCs w:val="22"/>
        </w:rPr>
        <w:t xml:space="preserve"> Between the growing social pressure and assurances that the surgery will not cost him anything, Hippolyte, the novel’s lone disabled character, capitulates and agrees to the ill-fated surgery. The community largely ignores Hippolyte’s complaints of pain during the five days that follow the surgery, and when Charles Bovary and Homais open the box and recognize the limb-threatening edema that has overtaken his foot, they still insist on forcing the pitiful limb back into the apparatus. Three days later, they remove the box again only to discover swelling (likely due to compartment syndrome) and gangrene spreading higher up Hippolyte’s leg. The gangrene continues to advance up toward his knee for days until a more reputable doctor comes to town and announces immediately that the leg cannot be saved.</w:t>
      </w:r>
      <w:r w:rsidRPr="007378FE">
        <w:rPr>
          <w:rFonts w:asciiTheme="majorBidi" w:eastAsia="Calibri" w:hAnsiTheme="majorBidi" w:cstheme="majorBidi"/>
          <w:szCs w:val="22"/>
          <w:vertAlign w:val="superscript"/>
        </w:rPr>
        <w:t xml:space="preserve"> </w:t>
      </w:r>
      <w:r w:rsidRPr="007378FE">
        <w:rPr>
          <w:rFonts w:asciiTheme="majorBidi" w:eastAsia="Calibri" w:hAnsiTheme="majorBidi" w:cstheme="majorBidi"/>
          <w:szCs w:val="22"/>
          <w:vertAlign w:val="superscript"/>
        </w:rPr>
        <w:footnoteReference w:id="145"/>
      </w:r>
      <w:r w:rsidRPr="007378FE">
        <w:rPr>
          <w:rFonts w:asciiTheme="majorBidi" w:eastAsia="Calibri" w:hAnsiTheme="majorBidi" w:cstheme="majorBidi"/>
          <w:szCs w:val="22"/>
        </w:rPr>
        <w:t xml:space="preserve"> Doctor Canivet derides the entire operation (“sound[s] off against the asses who could have reduced a poor man to such a state”) before performing a thigh-amputation on Hippolyte, finally severing the man from his originally superior leg (168).</w:t>
      </w:r>
      <w:r w:rsidRPr="007378FE">
        <w:rPr>
          <w:rFonts w:asciiTheme="majorBidi" w:eastAsia="Calibri" w:hAnsiTheme="majorBidi" w:cstheme="majorBidi"/>
          <w:szCs w:val="22"/>
          <w:vertAlign w:val="superscript"/>
        </w:rPr>
        <w:footnoteReference w:id="146"/>
      </w:r>
      <w:r w:rsidRPr="007378FE">
        <w:rPr>
          <w:rFonts w:asciiTheme="majorBidi" w:eastAsia="Calibri" w:hAnsiTheme="majorBidi" w:cstheme="majorBidi"/>
          <w:szCs w:val="22"/>
        </w:rPr>
        <w:t xml:space="preserve"> It is the nondisabled insistence that Hippolyte is disabled that ultimately makes him so, not his club foot. </w:t>
      </w:r>
    </w:p>
    <w:p w14:paraId="30734256" w14:textId="77777777" w:rsidR="007378FE" w:rsidRPr="007378FE" w:rsidRDefault="007378FE" w:rsidP="007378FE">
      <w:pPr>
        <w:spacing w:line="480" w:lineRule="auto"/>
        <w:ind w:firstLine="720"/>
        <w:rPr>
          <w:rFonts w:asciiTheme="majorBidi" w:eastAsia="Calibri" w:hAnsiTheme="majorBidi" w:cstheme="majorBidi"/>
          <w:szCs w:val="22"/>
        </w:rPr>
      </w:pPr>
      <w:r w:rsidRPr="007378FE">
        <w:rPr>
          <w:rFonts w:asciiTheme="majorBidi" w:eastAsia="Calibri" w:hAnsiTheme="majorBidi" w:cstheme="majorBidi"/>
          <w:szCs w:val="22"/>
        </w:rPr>
        <w:lastRenderedPageBreak/>
        <w:t>Hippolyte’s amputation introduces yet another part of him in need of “fixing.” Emma’s response is, predictably, materialistic. After musing on Emma’s meticulous obsession with her own boots, the narrator goes on to explain how she selects (and Charles pays 300 francs for) a high-end wooden leg, “which she reckoned appropriate as a gift for Hippolyte” (175). Of course, this prosthetic is wholly inappropriate for the working-class ostler’s day-to-day employment: “The socket was lined with cork, and it had spring-joints, a complicated device swathed in a black trouser-leg, with a polished boot on the end. But Hippolyte, not daring to use such a fine leg for everyday, begged Madame Bovary to procure him another more suitable.”</w:t>
      </w:r>
      <w:r w:rsidRPr="007378FE">
        <w:rPr>
          <w:rFonts w:asciiTheme="majorBidi" w:eastAsia="Calibri" w:hAnsiTheme="majorBidi" w:cstheme="majorBidi"/>
          <w:szCs w:val="22"/>
          <w:vertAlign w:val="superscript"/>
        </w:rPr>
        <w:t xml:space="preserve"> </w:t>
      </w:r>
      <w:r w:rsidRPr="007378FE">
        <w:rPr>
          <w:rFonts w:asciiTheme="majorBidi" w:eastAsia="Calibri" w:hAnsiTheme="majorBidi" w:cstheme="majorBidi"/>
          <w:szCs w:val="22"/>
          <w:vertAlign w:val="superscript"/>
        </w:rPr>
        <w:footnoteReference w:id="147"/>
      </w:r>
      <w:r w:rsidRPr="007378FE">
        <w:rPr>
          <w:rFonts w:asciiTheme="majorBidi" w:eastAsia="Calibri" w:hAnsiTheme="majorBidi" w:cstheme="majorBidi"/>
          <w:szCs w:val="22"/>
        </w:rPr>
        <w:t xml:space="preserve"> The narrator bypasses a similarly detailed description of the “more suitable” leg she buys to replace the uselessly elegant one, but the simple tapping sound it produces (not muffled by a polished boot) sketches out the less sophisticated, less expensive quality of the appendage: clearly, a poor man’s stump, a crude “peg-leg” (234). As in the case of Trollope’s wooden-legged postman, Hippolyte’s new leg is unremarkable—a modest and pragmatic selection.</w:t>
      </w:r>
      <w:r w:rsidRPr="007378FE">
        <w:rPr>
          <w:rFonts w:asciiTheme="majorBidi" w:eastAsia="Calibri" w:hAnsiTheme="majorBidi" w:cstheme="majorBidi"/>
          <w:szCs w:val="22"/>
          <w:vertAlign w:val="superscript"/>
        </w:rPr>
        <w:footnoteReference w:id="148"/>
      </w:r>
      <w:r w:rsidRPr="007378FE">
        <w:rPr>
          <w:rFonts w:asciiTheme="majorBidi" w:eastAsia="Calibri" w:hAnsiTheme="majorBidi" w:cstheme="majorBidi"/>
          <w:szCs w:val="22"/>
        </w:rPr>
        <w:t xml:space="preserve"> He adopts a functional, rather than fashionable, prosthetic that allows him to continue—and, really, constrains his body to—his physically-demanding work.</w:t>
      </w:r>
    </w:p>
    <w:p w14:paraId="50C4A027" w14:textId="77777777" w:rsidR="007378FE" w:rsidRPr="007378FE" w:rsidRDefault="007378FE" w:rsidP="007378FE">
      <w:pPr>
        <w:spacing w:line="480" w:lineRule="auto"/>
        <w:ind w:firstLine="720"/>
        <w:rPr>
          <w:rFonts w:asciiTheme="majorBidi" w:eastAsia="Calibri" w:hAnsiTheme="majorBidi" w:cstheme="majorBidi"/>
          <w:szCs w:val="22"/>
        </w:rPr>
      </w:pPr>
      <w:r w:rsidRPr="007378FE">
        <w:rPr>
          <w:rFonts w:asciiTheme="majorBidi" w:eastAsia="Calibri" w:hAnsiTheme="majorBidi" w:cstheme="majorBidi"/>
          <w:szCs w:val="22"/>
        </w:rPr>
        <w:t xml:space="preserve">The fact that Hippolyte undergoes a “thigh amputation” (i.e., an above-the-knee amputation) renders the use of his peg leg even more painful. Any time the ostler is not fully </w:t>
      </w:r>
      <w:r w:rsidRPr="007378FE">
        <w:rPr>
          <w:rFonts w:asciiTheme="majorBidi" w:eastAsia="Calibri" w:hAnsiTheme="majorBidi" w:cstheme="majorBidi"/>
          <w:szCs w:val="22"/>
        </w:rPr>
        <w:lastRenderedPageBreak/>
        <w:t>upright, the peg leg will protrude awkwardly in its unyielding rigidity at odd and uncomfortable angles. Like Poe’s General Smith’s prostheses, the aesthetic and practical discrepancies between the artificial leg and the peg leg highlight the commodification of normativity and socioeconomic privilege of disabled passing.</w:t>
      </w:r>
      <w:r w:rsidRPr="007378FE">
        <w:rPr>
          <w:rFonts w:asciiTheme="majorBidi" w:eastAsia="Calibri" w:hAnsiTheme="majorBidi" w:cstheme="majorBidi"/>
          <w:szCs w:val="22"/>
          <w:vertAlign w:val="superscript"/>
        </w:rPr>
        <w:footnoteReference w:id="149"/>
      </w:r>
      <w:r w:rsidRPr="007378FE">
        <w:rPr>
          <w:rFonts w:asciiTheme="majorBidi" w:eastAsia="Calibri" w:hAnsiTheme="majorBidi" w:cstheme="majorBidi"/>
          <w:szCs w:val="22"/>
        </w:rPr>
        <w:t xml:space="preserve"> Emma’s original selection is not only fashionable; it is also more ergonomic with its spring-joints. By the mid-nineteenth century, high-end prosthetic legs not only looked the part (mimicking the appearance of the original limb and often fitted with fashionable clothing), but they also began to assume a more anatomically functional design.</w:t>
      </w:r>
      <w:r w:rsidRPr="007378FE">
        <w:rPr>
          <w:rFonts w:asciiTheme="majorBidi" w:eastAsia="Calibri" w:hAnsiTheme="majorBidi" w:cstheme="majorBidi"/>
          <w:szCs w:val="22"/>
          <w:vertAlign w:val="superscript"/>
        </w:rPr>
        <w:footnoteReference w:id="150"/>
      </w:r>
      <w:r w:rsidRPr="007378FE">
        <w:rPr>
          <w:rFonts w:asciiTheme="majorBidi" w:eastAsia="Calibri" w:hAnsiTheme="majorBidi" w:cstheme="majorBidi"/>
          <w:szCs w:val="22"/>
        </w:rPr>
        <w:t xml:space="preserve"> Hippolyte’s humble refusal of the expensive leg thus emphasizes a narrative pattern of disabled characterization in the nineteenth-century novel: the choice of prosthetic object indexes the character’s most valuable trait. Recall, for instance, Trollope’s Signora Neroni and her selection of the couch, which, in all its sensual decadence, registers her potent sex appeal and masterful artistry. (Dickens’s social-climbing amputee Silas Wegg, no doubt, would have snatched the 300-franc leg before anyone could blink.) </w:t>
      </w:r>
    </w:p>
    <w:p w14:paraId="2240D9E0" w14:textId="6C8B8E32" w:rsidR="007378FE" w:rsidRPr="007378FE" w:rsidRDefault="007378FE" w:rsidP="007378FE">
      <w:pPr>
        <w:spacing w:line="480" w:lineRule="auto"/>
        <w:ind w:firstLine="720"/>
        <w:rPr>
          <w:rFonts w:asciiTheme="majorBidi" w:eastAsia="Calibri" w:hAnsiTheme="majorBidi" w:cstheme="majorBidi"/>
          <w:szCs w:val="22"/>
        </w:rPr>
      </w:pPr>
      <w:r w:rsidRPr="007378FE">
        <w:rPr>
          <w:rFonts w:asciiTheme="majorBidi" w:eastAsia="Calibri" w:hAnsiTheme="majorBidi" w:cstheme="majorBidi"/>
          <w:szCs w:val="22"/>
        </w:rPr>
        <w:t>In reading amputation and prosthesis as processes of identity-making, Erin O’Connor claims that artificial limbs, “installed a functional model of selfhood” in which “what a man was became synonymous with what he could do” (</w:t>
      </w:r>
      <w:r w:rsidRPr="007378FE">
        <w:rPr>
          <w:rFonts w:asciiTheme="majorBidi" w:eastAsia="Calibri" w:hAnsiTheme="majorBidi" w:cstheme="majorBidi"/>
          <w:i/>
          <w:iCs/>
          <w:szCs w:val="22"/>
        </w:rPr>
        <w:t>Raw Material</w:t>
      </w:r>
      <w:r w:rsidRPr="007378FE">
        <w:rPr>
          <w:rFonts w:asciiTheme="majorBidi" w:eastAsia="Calibri" w:hAnsiTheme="majorBidi" w:cstheme="majorBidi"/>
          <w:szCs w:val="22"/>
        </w:rPr>
        <w:t xml:space="preserve"> 105). Prosthetics, in other words, comprise the literal embodiment of one’s function and value. If identity is something that can be </w:t>
      </w:r>
      <w:r w:rsidRPr="007378FE">
        <w:rPr>
          <w:rFonts w:asciiTheme="majorBidi" w:eastAsia="Calibri" w:hAnsiTheme="majorBidi" w:cstheme="majorBidi"/>
          <w:szCs w:val="22"/>
        </w:rPr>
        <w:lastRenderedPageBreak/>
        <w:t xml:space="preserve">physically added or attached, the prosthetic object possesses the potential for the reconstruction of identity, </w:t>
      </w:r>
      <w:r w:rsidRPr="007378FE">
        <w:rPr>
          <w:rFonts w:asciiTheme="majorBidi" w:eastAsia="Calibri" w:hAnsiTheme="majorBidi" w:cstheme="majorBidi"/>
          <w:i/>
          <w:iCs/>
          <w:szCs w:val="22"/>
        </w:rPr>
        <w:t>but</w:t>
      </w:r>
      <w:r w:rsidRPr="007378FE">
        <w:rPr>
          <w:rFonts w:asciiTheme="majorBidi" w:eastAsia="Calibri" w:hAnsiTheme="majorBidi" w:cstheme="majorBidi"/>
          <w:szCs w:val="22"/>
        </w:rPr>
        <w:t>, crucially, that potential typically remained (de)limited by one’s socioeconomic position. Hippolyte’s case, though, nearly disrupts the typical social hierarchy of manufactured prosthetics.</w:t>
      </w:r>
      <w:r w:rsidRPr="007378FE">
        <w:rPr>
          <w:rFonts w:asciiTheme="majorBidi" w:eastAsia="Calibri" w:hAnsiTheme="majorBidi" w:cstheme="majorBidi"/>
          <w:szCs w:val="22"/>
          <w:vertAlign w:val="superscript"/>
        </w:rPr>
        <w:footnoteReference w:id="151"/>
      </w:r>
      <w:r w:rsidRPr="007378FE">
        <w:rPr>
          <w:rFonts w:asciiTheme="majorBidi" w:eastAsia="Calibri" w:hAnsiTheme="majorBidi" w:cstheme="majorBidi"/>
          <w:szCs w:val="22"/>
        </w:rPr>
        <w:t xml:space="preserve"> Gifted an upper-class prosthetic, Hippolyte could remake and reposition himself</w:t>
      </w:r>
      <w:r w:rsidR="00ED68FA">
        <w:rPr>
          <w:rFonts w:asciiTheme="majorBidi" w:eastAsia="Calibri" w:hAnsiTheme="majorBidi" w:cstheme="majorBidi"/>
          <w:szCs w:val="22"/>
        </w:rPr>
        <w:t xml:space="preserve"> (to an </w:t>
      </w:r>
      <w:r w:rsidR="00AE126F">
        <w:rPr>
          <w:rFonts w:asciiTheme="majorBidi" w:eastAsia="Calibri" w:hAnsiTheme="majorBidi" w:cstheme="majorBidi"/>
          <w:szCs w:val="22"/>
        </w:rPr>
        <w:t>extent</w:t>
      </w:r>
      <w:r w:rsidR="00ED68FA">
        <w:rPr>
          <w:rFonts w:asciiTheme="majorBidi" w:eastAsia="Calibri" w:hAnsiTheme="majorBidi" w:cstheme="majorBidi"/>
          <w:szCs w:val="22"/>
        </w:rPr>
        <w:t>)</w:t>
      </w:r>
      <w:r w:rsidRPr="007378FE">
        <w:rPr>
          <w:rFonts w:asciiTheme="majorBidi" w:eastAsia="Calibri" w:hAnsiTheme="majorBidi" w:cstheme="majorBidi"/>
          <w:szCs w:val="22"/>
        </w:rPr>
        <w:t>. The leg could facilitate, concurrently, his physical and social mobility. Hippolyte’s elective adoption of a poor man’s stump therefore marks his submission to the practical constraints of his social position. It hypostatizes the ostler’s cognizance of his commercial value, which inheres entirely in his physical industry and productivity.</w:t>
      </w:r>
    </w:p>
    <w:p w14:paraId="2CF33AD2" w14:textId="77777777" w:rsidR="007378FE" w:rsidRPr="007378FE" w:rsidRDefault="007378FE" w:rsidP="007378FE">
      <w:pPr>
        <w:spacing w:line="480" w:lineRule="auto"/>
        <w:ind w:firstLine="720"/>
        <w:rPr>
          <w:rFonts w:asciiTheme="majorBidi" w:eastAsia="Calibri" w:hAnsiTheme="majorBidi" w:cstheme="majorBidi"/>
          <w:szCs w:val="22"/>
        </w:rPr>
      </w:pPr>
      <w:r w:rsidRPr="007378FE">
        <w:rPr>
          <w:rFonts w:asciiTheme="majorBidi" w:eastAsia="Calibri" w:hAnsiTheme="majorBidi" w:cstheme="majorBidi"/>
          <w:szCs w:val="22"/>
        </w:rPr>
        <w:t xml:space="preserve">In addition to externalizing and object-ifying his social status, Hippolyte’s wooden leg also acts as a mirror for the other—major—characters’ psyches. For Charles, it becomes the prosthetic version of Poe’s tell-tale heart, haunting the failed officer of health in every corner of the village. Hippolyte resumes his work and his rounds about town on his new leg, and “whenever Charles caught the sound, in the distance, of that leg tapping along the pavement, he turned a corner rather quickly” (175). While Hippolyte’s prosthetic object stands as a manifestation of Charles’s guilt and failure, it fails to elicit the same feelings of remorse from Emma. When Emma returns to Yonville from Paris, Hippolyte retrieves her luggage from the carriage—the tapping of his wooden leg against the wooden floorboard announcing his entrance. </w:t>
      </w:r>
      <w:r w:rsidRPr="007378FE">
        <w:rPr>
          <w:rFonts w:asciiTheme="majorBidi" w:eastAsia="Calibri" w:hAnsiTheme="majorBidi" w:cstheme="majorBidi"/>
          <w:szCs w:val="22"/>
        </w:rPr>
        <w:lastRenderedPageBreak/>
        <w:t>In order to set down the baggage, the narrator explains, “he painfully made a quarter circle with his peg-leg” (234). Unbothered by the apparent discomfort the wooden leg causes him or by the fact that Hippolyte has to adapt his movement to its constraining rigidity, Emma refuses to accept the way in which her own self-interest has brought about his newfound disability. Instead, after a summary assessment, Emma decides, “It doesn’t bother him one bit!”</w:t>
      </w:r>
      <w:r w:rsidRPr="007378FE">
        <w:rPr>
          <w:rFonts w:asciiTheme="majorBidi" w:eastAsia="Calibri" w:hAnsiTheme="majorBidi" w:cstheme="majorBidi"/>
          <w:szCs w:val="22"/>
          <w:vertAlign w:val="superscript"/>
        </w:rPr>
        <w:footnoteReference w:id="152"/>
      </w:r>
      <w:r w:rsidRPr="007378FE">
        <w:rPr>
          <w:rFonts w:asciiTheme="majorBidi" w:eastAsia="Calibri" w:hAnsiTheme="majorBidi" w:cstheme="majorBidi"/>
          <w:szCs w:val="22"/>
        </w:rPr>
        <w:t xml:space="preserve"> Unwilling, as ever, to think beyond her own affairs and desires, Emma neglects to note, as the narrator underscores, the way in which the leg that reliably supported Hippolyte has been replaced with a prosthetic that must be accommodated, painfully, by the rest of his body.</w:t>
      </w:r>
    </w:p>
    <w:p w14:paraId="0A2458F8" w14:textId="77777777" w:rsidR="007378FE" w:rsidRPr="007378FE" w:rsidRDefault="007378FE" w:rsidP="007378FE">
      <w:pPr>
        <w:spacing w:line="480" w:lineRule="auto"/>
        <w:rPr>
          <w:rFonts w:asciiTheme="majorBidi" w:eastAsia="Calibri" w:hAnsiTheme="majorBidi" w:cstheme="majorBidi"/>
          <w:szCs w:val="22"/>
        </w:rPr>
      </w:pPr>
      <w:r w:rsidRPr="007378FE">
        <w:rPr>
          <w:rFonts w:asciiTheme="majorBidi" w:eastAsia="Calibri" w:hAnsiTheme="majorBidi" w:cstheme="majorBidi"/>
          <w:szCs w:val="22"/>
        </w:rPr>
        <w:tab/>
        <w:t>Hippolyte does don his 300-franc leg exactly once, though: at Emma’s funeral. Presumably out of reverence for the occasion mingled with respect for the deceased woman who gifted him the leg, Hippolyte appears at the back end of the church in blended form, the opulence of the fashionable prosthetic clashing with the rough-hewn texture of his jacket. As a regular matter of course, the attendees hear the trademark taping of Hippolyte’s prosthetic object before he comes fully into view: “Coming across the flagstones they heard the tap-tap-tap of a stick with an iron tip</w:t>
      </w:r>
      <w:proofErr w:type="gramStart"/>
      <w:r w:rsidRPr="007378FE">
        <w:rPr>
          <w:rFonts w:asciiTheme="majorBidi" w:eastAsia="Calibri" w:hAnsiTheme="majorBidi" w:cstheme="majorBidi"/>
          <w:szCs w:val="22"/>
        </w:rPr>
        <w:t>. . . .</w:t>
      </w:r>
      <w:proofErr w:type="gramEnd"/>
      <w:r w:rsidRPr="007378FE">
        <w:rPr>
          <w:rFonts w:asciiTheme="majorBidi" w:eastAsia="Calibri" w:hAnsiTheme="majorBidi" w:cstheme="majorBidi"/>
          <w:szCs w:val="22"/>
        </w:rPr>
        <w:t xml:space="preserve"> A man in a coarse brown jacket knelt down painfully. It was Hippolyte, the ostler form the Golden Lion. He had on his best new leg” (315).</w:t>
      </w:r>
      <w:r w:rsidRPr="007378FE">
        <w:rPr>
          <w:rFonts w:asciiTheme="majorBidi" w:eastAsia="Calibri" w:hAnsiTheme="majorBidi" w:cstheme="majorBidi"/>
          <w:szCs w:val="22"/>
          <w:vertAlign w:val="superscript"/>
        </w:rPr>
        <w:footnoteReference w:id="153"/>
      </w:r>
      <w:r w:rsidRPr="007378FE">
        <w:rPr>
          <w:rFonts w:asciiTheme="majorBidi" w:eastAsia="Calibri" w:hAnsiTheme="majorBidi" w:cstheme="majorBidi"/>
          <w:szCs w:val="22"/>
        </w:rPr>
        <w:t xml:space="preserve"> Like Jenny Wren’s and Limping Lucy’s crutches and the wooden-legged postman’s leg, Hippolyte’s prosthesis seems to assume an aural existence all its own, announcing the man and his disability always at once, </w:t>
      </w:r>
      <w:r w:rsidRPr="007378FE">
        <w:rPr>
          <w:rFonts w:asciiTheme="majorBidi" w:eastAsia="Calibri" w:hAnsiTheme="majorBidi" w:cstheme="majorBidi"/>
          <w:szCs w:val="22"/>
        </w:rPr>
        <w:lastRenderedPageBreak/>
        <w:t xml:space="preserve">cementing the now-inseparable identities. And as when first received, the extravagance of the leg exacerbates, rather than tempers, Hippolyte’s degraded status. Even the expensive prosthesis is a poor substitute for the thing it replaces. (Emma’s conspicuous consumption never does fill the void.) Regardless of appearance, refined or simple, both legs, paradoxically, impede the strong, easy mobility Hippolyte enjoyed before the “curative” operation and so condemn the normative standards that necessitated their existence. Flaubert’s representation of disability and prosthesis, then, is unique compared to those of his Anglophone peers. Hippolyte’s wooden leg demonstrates the way in which some medical technologies become crucial only when a medial model of disability insists upon adherence of all bodies to a uniform set of physical specifications and when aesthetic difference or deviation challenges those standards. </w:t>
      </w:r>
    </w:p>
    <w:p w14:paraId="2F75CAEE" w14:textId="77777777" w:rsidR="007378FE" w:rsidRPr="007378FE" w:rsidRDefault="007378FE" w:rsidP="007378FE">
      <w:pPr>
        <w:spacing w:line="480" w:lineRule="auto"/>
        <w:rPr>
          <w:rFonts w:asciiTheme="majorBidi" w:eastAsia="Calibri" w:hAnsiTheme="majorBidi" w:cstheme="majorBidi"/>
          <w:szCs w:val="22"/>
        </w:rPr>
      </w:pPr>
      <w:r w:rsidRPr="007378FE">
        <w:rPr>
          <w:rFonts w:asciiTheme="majorBidi" w:eastAsia="Calibri" w:hAnsiTheme="majorBidi" w:cstheme="majorBidi"/>
          <w:szCs w:val="22"/>
        </w:rPr>
        <w:tab/>
        <w:t xml:space="preserve"> In their fixation on physical disability and the myriad possible meanings and interpretations of the prosthetic object, these narratives gesture to the wide-ranging process of normative acculturation that reverberated through Western Europe and the United States in the nineteenth century. Like their British contemporaries, Poe’s and Flaubert’s artistic fascination with the convergence of medical technology, commodity culture, and the disabled body repeatedly raises—and never completely settles—questions of alterity and value. They discern, at once, the generative potentials and real limitations of prosthesis. The socioeconomic circulation and deployment of the prosthetic object in their work stresses the complexity of disabled characterization and representation within a wider context of intersectional identities. </w:t>
      </w:r>
    </w:p>
    <w:p w14:paraId="315CE802" w14:textId="054391D4" w:rsidR="0087493D" w:rsidRPr="002A5475" w:rsidRDefault="0087493D" w:rsidP="0087493D">
      <w:pPr>
        <w:spacing w:line="480" w:lineRule="auto"/>
        <w:rPr>
          <w:rFonts w:asciiTheme="majorBidi" w:hAnsiTheme="majorBidi" w:cstheme="majorBidi"/>
        </w:rPr>
      </w:pPr>
      <w:r w:rsidRPr="002A5475">
        <w:rPr>
          <w:rFonts w:asciiTheme="majorBidi" w:hAnsiTheme="majorBidi" w:cstheme="majorBidi"/>
        </w:rPr>
        <w:t xml:space="preserve"> </w:t>
      </w:r>
    </w:p>
    <w:p w14:paraId="543D6AF8" w14:textId="77777777" w:rsidR="0087493D" w:rsidRPr="002A5475" w:rsidRDefault="0087493D" w:rsidP="0087493D">
      <w:pPr>
        <w:rPr>
          <w:rFonts w:asciiTheme="majorBidi" w:hAnsiTheme="majorBidi" w:cstheme="majorBidi"/>
        </w:rPr>
      </w:pPr>
    </w:p>
    <w:p w14:paraId="017F4647" w14:textId="34507591" w:rsidR="0086481D" w:rsidRPr="00ED68FA" w:rsidRDefault="00ED1FDE" w:rsidP="00ED68FA">
      <w:pPr>
        <w:spacing w:line="480" w:lineRule="auto"/>
        <w:rPr>
          <w:rFonts w:asciiTheme="majorBidi" w:hAnsiTheme="majorBidi" w:cstheme="majorBidi"/>
        </w:rPr>
      </w:pPr>
      <w:r w:rsidRPr="002A5475">
        <w:rPr>
          <w:rFonts w:asciiTheme="majorBidi" w:hAnsiTheme="majorBidi" w:cstheme="majorBidi"/>
        </w:rPr>
        <w:t xml:space="preserve"> </w:t>
      </w:r>
    </w:p>
    <w:p w14:paraId="44909227" w14:textId="2FB71E7D" w:rsidR="00236E6D" w:rsidRPr="002A5475" w:rsidRDefault="004C2071" w:rsidP="00334400">
      <w:pPr>
        <w:pStyle w:val="Heading1"/>
        <w:rPr>
          <w:rFonts w:asciiTheme="majorBidi" w:hAnsiTheme="majorBidi" w:cstheme="majorBidi"/>
          <w:szCs w:val="28"/>
        </w:rPr>
      </w:pPr>
      <w:r w:rsidRPr="002A5475">
        <w:rPr>
          <w:rFonts w:asciiTheme="majorBidi" w:hAnsiTheme="majorBidi" w:cstheme="majorBidi"/>
          <w:sz w:val="24"/>
        </w:rPr>
        <w:br w:type="page"/>
      </w:r>
      <w:bookmarkStart w:id="27" w:name="_Toc289175843"/>
      <w:bookmarkStart w:id="28" w:name="_Toc96096596"/>
      <w:r w:rsidR="00526151" w:rsidRPr="002A5475">
        <w:rPr>
          <w:rFonts w:asciiTheme="majorBidi" w:hAnsiTheme="majorBidi" w:cstheme="majorBidi"/>
          <w:szCs w:val="28"/>
        </w:rPr>
        <w:lastRenderedPageBreak/>
        <w:t>CONCLUSION</w:t>
      </w:r>
      <w:bookmarkEnd w:id="27"/>
      <w:bookmarkEnd w:id="28"/>
    </w:p>
    <w:p w14:paraId="1F1969A5" w14:textId="37590D1B" w:rsidR="0073481B" w:rsidRPr="002A5475" w:rsidRDefault="0073481B" w:rsidP="0073481B">
      <w:pPr>
        <w:jc w:val="center"/>
        <w:rPr>
          <w:rFonts w:asciiTheme="majorBidi" w:hAnsiTheme="majorBidi" w:cstheme="majorBidi"/>
        </w:rPr>
      </w:pPr>
      <w:r w:rsidRPr="002A5475">
        <w:rPr>
          <w:rFonts w:asciiTheme="majorBidi" w:hAnsiTheme="majorBidi" w:cstheme="majorBidi"/>
        </w:rPr>
        <w:t>Towards an Objectified Realism</w:t>
      </w:r>
    </w:p>
    <w:p w14:paraId="6E589C8C" w14:textId="77777777" w:rsidR="00ED1FDE" w:rsidRPr="002A5475" w:rsidRDefault="00ED1FDE" w:rsidP="0073481B">
      <w:pPr>
        <w:jc w:val="center"/>
        <w:rPr>
          <w:rFonts w:asciiTheme="majorBidi" w:hAnsiTheme="majorBidi" w:cstheme="majorBidi"/>
        </w:rPr>
      </w:pPr>
    </w:p>
    <w:p w14:paraId="35B71BBD" w14:textId="77777777" w:rsidR="002A5475" w:rsidRPr="002A5475" w:rsidRDefault="002A5475" w:rsidP="002A5475">
      <w:pPr>
        <w:spacing w:before="60" w:after="60"/>
        <w:rPr>
          <w:rFonts w:asciiTheme="majorBidi" w:hAnsiTheme="majorBidi" w:cstheme="majorBidi"/>
          <w:color w:val="000000"/>
          <w:lang w:bidi="he-IL"/>
        </w:rPr>
      </w:pPr>
      <w:bookmarkStart w:id="29" w:name="_Hlk87274835"/>
      <w:r w:rsidRPr="002A5475">
        <w:rPr>
          <w:rFonts w:asciiTheme="majorBidi" w:hAnsiTheme="majorBidi" w:cstheme="majorBidi"/>
          <w:color w:val="000000"/>
          <w:lang w:bidi="he-IL"/>
        </w:rPr>
        <w:t>‘How did you get your wooden leg?’</w:t>
      </w:r>
    </w:p>
    <w:p w14:paraId="4CAFFE0C" w14:textId="77777777" w:rsidR="002A5475" w:rsidRPr="002A5475" w:rsidRDefault="002A5475" w:rsidP="002A5475">
      <w:pPr>
        <w:spacing w:before="60" w:after="60"/>
        <w:rPr>
          <w:rFonts w:asciiTheme="majorBidi" w:hAnsiTheme="majorBidi" w:cstheme="majorBidi"/>
          <w:color w:val="000000"/>
          <w:lang w:bidi="he-IL"/>
        </w:rPr>
      </w:pPr>
      <w:r w:rsidRPr="002A5475">
        <w:rPr>
          <w:rFonts w:asciiTheme="majorBidi" w:hAnsiTheme="majorBidi" w:cstheme="majorBidi"/>
          <w:color w:val="000000"/>
          <w:lang w:bidi="he-IL"/>
        </w:rPr>
        <w:t>Mr. Wegg replied, (tartly to this personal inquiry), ‘In an accident.’</w:t>
      </w:r>
    </w:p>
    <w:p w14:paraId="16B1EAC7" w14:textId="77777777" w:rsidR="002A5475" w:rsidRPr="002A5475" w:rsidRDefault="002A5475" w:rsidP="002A5475">
      <w:pPr>
        <w:spacing w:before="60" w:after="60"/>
        <w:rPr>
          <w:rFonts w:asciiTheme="majorBidi" w:hAnsiTheme="majorBidi" w:cstheme="majorBidi"/>
          <w:color w:val="000000"/>
          <w:lang w:bidi="he-IL"/>
        </w:rPr>
      </w:pPr>
      <w:r w:rsidRPr="002A5475">
        <w:rPr>
          <w:rFonts w:asciiTheme="majorBidi" w:hAnsiTheme="majorBidi" w:cstheme="majorBidi"/>
          <w:color w:val="000000"/>
          <w:lang w:bidi="he-IL"/>
        </w:rPr>
        <w:t>‘Do you like it?’</w:t>
      </w:r>
    </w:p>
    <w:p w14:paraId="428894A8" w14:textId="77777777" w:rsidR="002A5475" w:rsidRPr="002A5475" w:rsidRDefault="002A5475" w:rsidP="002A5475">
      <w:pPr>
        <w:spacing w:before="60" w:after="60"/>
        <w:rPr>
          <w:rFonts w:asciiTheme="majorBidi" w:hAnsiTheme="majorBidi" w:cstheme="majorBidi"/>
          <w:color w:val="000000"/>
          <w:lang w:bidi="he-IL"/>
        </w:rPr>
      </w:pPr>
      <w:r w:rsidRPr="002A5475">
        <w:rPr>
          <w:rFonts w:asciiTheme="majorBidi" w:hAnsiTheme="majorBidi" w:cstheme="majorBidi"/>
          <w:color w:val="000000"/>
          <w:lang w:bidi="he-IL"/>
        </w:rPr>
        <w:t>‘Well! I haven’t got to keep it warm,’ Mr. Wegg made answer, in a sort of desperation occasioned by the singularity of the question.</w:t>
      </w:r>
    </w:p>
    <w:p w14:paraId="0CBBCBFF" w14:textId="77777777" w:rsidR="002A5475" w:rsidRPr="002A5475" w:rsidRDefault="002A5475" w:rsidP="002A5475">
      <w:pPr>
        <w:spacing w:before="60" w:after="60"/>
        <w:jc w:val="right"/>
        <w:rPr>
          <w:rFonts w:asciiTheme="majorBidi" w:hAnsiTheme="majorBidi" w:cstheme="majorBidi"/>
          <w:color w:val="000000"/>
          <w:lang w:bidi="he-IL"/>
        </w:rPr>
      </w:pPr>
      <w:r w:rsidRPr="002A5475">
        <w:rPr>
          <w:rFonts w:asciiTheme="majorBidi" w:hAnsiTheme="majorBidi" w:cstheme="majorBidi"/>
          <w:color w:val="000000"/>
          <w:lang w:bidi="he-IL"/>
        </w:rPr>
        <w:t xml:space="preserve">Charles Dickens, </w:t>
      </w:r>
      <w:r w:rsidRPr="002A5475">
        <w:rPr>
          <w:rFonts w:asciiTheme="majorBidi" w:hAnsiTheme="majorBidi" w:cstheme="majorBidi"/>
          <w:i/>
          <w:iCs/>
          <w:color w:val="000000"/>
          <w:lang w:bidi="he-IL"/>
        </w:rPr>
        <w:t>Our Mutual Friend</w:t>
      </w:r>
    </w:p>
    <w:p w14:paraId="1B8DBCBF" w14:textId="77777777" w:rsidR="002A5475" w:rsidRPr="002A5475" w:rsidRDefault="002A5475" w:rsidP="002A5475">
      <w:pPr>
        <w:spacing w:before="60" w:after="60"/>
        <w:jc w:val="right"/>
        <w:rPr>
          <w:rFonts w:asciiTheme="majorBidi" w:hAnsiTheme="majorBidi" w:cstheme="majorBidi"/>
          <w:color w:val="000000"/>
          <w:lang w:bidi="he-IL"/>
        </w:rPr>
      </w:pPr>
    </w:p>
    <w:p w14:paraId="278EAD53" w14:textId="77777777" w:rsidR="002A5475" w:rsidRPr="002A5475" w:rsidRDefault="002A5475" w:rsidP="002A5475">
      <w:pPr>
        <w:spacing w:before="60" w:after="60"/>
        <w:jc w:val="right"/>
        <w:rPr>
          <w:rFonts w:asciiTheme="majorBidi" w:hAnsiTheme="majorBidi" w:cstheme="majorBidi"/>
          <w:color w:val="000000"/>
          <w:lang w:bidi="he-IL"/>
        </w:rPr>
      </w:pPr>
    </w:p>
    <w:p w14:paraId="279C1D00" w14:textId="13322980" w:rsidR="002A5475" w:rsidRPr="002A5475" w:rsidRDefault="002A5475" w:rsidP="002A5475">
      <w:pPr>
        <w:spacing w:line="480" w:lineRule="auto"/>
        <w:ind w:firstLine="720"/>
        <w:rPr>
          <w:rFonts w:asciiTheme="majorBidi" w:hAnsiTheme="majorBidi" w:cstheme="majorBidi"/>
          <w:color w:val="000000"/>
          <w:lang w:bidi="he-IL"/>
        </w:rPr>
      </w:pPr>
      <w:r w:rsidRPr="002A5475">
        <w:rPr>
          <w:rFonts w:asciiTheme="majorBidi" w:hAnsiTheme="majorBidi" w:cstheme="majorBidi"/>
          <w:color w:val="000000"/>
          <w:lang w:bidi="he-IL"/>
        </w:rPr>
        <w:t xml:space="preserve">When Silas Wegg enters Mr. Venus’s shop in Dickens’s </w:t>
      </w:r>
      <w:r w:rsidRPr="002A5475">
        <w:rPr>
          <w:rFonts w:asciiTheme="majorBidi" w:hAnsiTheme="majorBidi" w:cstheme="majorBidi"/>
          <w:i/>
          <w:iCs/>
          <w:color w:val="000000"/>
          <w:lang w:bidi="he-IL"/>
        </w:rPr>
        <w:t>Our Mutual Friend</w:t>
      </w:r>
      <w:r w:rsidRPr="002A5475">
        <w:rPr>
          <w:rFonts w:asciiTheme="majorBidi" w:hAnsiTheme="majorBidi" w:cstheme="majorBidi"/>
          <w:color w:val="000000"/>
          <w:lang w:bidi="he-IL"/>
        </w:rPr>
        <w:t>, Venus recognizes Wegg not by his face, but by the illumination of “the legs, natural and artificial” and by the surgery, “Hospital amputation,” that produced the stump resting on his trademark peg leg (78). Wegg has come, as the chapter’s title indicates, to “</w:t>
      </w:r>
      <w:proofErr w:type="gramStart"/>
      <w:r w:rsidRPr="002A5475">
        <w:rPr>
          <w:rFonts w:asciiTheme="majorBidi" w:hAnsiTheme="majorBidi" w:cstheme="majorBidi"/>
          <w:color w:val="000000"/>
          <w:lang w:bidi="he-IL"/>
        </w:rPr>
        <w:t>look[</w:t>
      </w:r>
      <w:proofErr w:type="gramEnd"/>
      <w:r w:rsidRPr="002A5475">
        <w:rPr>
          <w:rFonts w:asciiTheme="majorBidi" w:hAnsiTheme="majorBidi" w:cstheme="majorBidi"/>
          <w:color w:val="000000"/>
          <w:lang w:bidi="he-IL"/>
        </w:rPr>
        <w:t xml:space="preserve"> ] after himself”; he has come to check on, with the hope of purchasing, his amputated leg. Still attached, as it were, to his disembodied limb, Wegg refers to his amputated leg in the same way that Miserrimus Dexter refers to his wheelchair in </w:t>
      </w:r>
      <w:r w:rsidRPr="002A5475">
        <w:rPr>
          <w:rFonts w:asciiTheme="majorBidi" w:hAnsiTheme="majorBidi" w:cstheme="majorBidi"/>
          <w:i/>
          <w:iCs/>
          <w:color w:val="000000"/>
          <w:lang w:bidi="he-IL"/>
        </w:rPr>
        <w:t>The Law and the Lady</w:t>
      </w:r>
      <w:r w:rsidRPr="002A5475">
        <w:rPr>
          <w:rFonts w:asciiTheme="majorBidi" w:hAnsiTheme="majorBidi" w:cstheme="majorBidi"/>
          <w:color w:val="000000"/>
          <w:lang w:bidi="he-IL"/>
        </w:rPr>
        <w:t>: as “I” and “me.”</w:t>
      </w:r>
      <w:r w:rsidRPr="002A5475">
        <w:rPr>
          <w:rFonts w:asciiTheme="majorBidi" w:hAnsiTheme="majorBidi" w:cstheme="majorBidi"/>
          <w:color w:val="000000"/>
          <w:vertAlign w:val="superscript"/>
          <w:lang w:bidi="he-IL"/>
        </w:rPr>
        <w:footnoteReference w:id="154"/>
      </w:r>
      <w:r w:rsidRPr="002A5475">
        <w:rPr>
          <w:rFonts w:asciiTheme="majorBidi" w:hAnsiTheme="majorBidi" w:cstheme="majorBidi"/>
          <w:color w:val="000000"/>
          <w:lang w:bidi="he-IL"/>
        </w:rPr>
        <w:t xml:space="preserve"> “How have I been going on,” Wegg asks</w:t>
      </w:r>
      <w:proofErr w:type="gramStart"/>
      <w:r w:rsidRPr="002A5475">
        <w:rPr>
          <w:rFonts w:asciiTheme="majorBidi" w:hAnsiTheme="majorBidi" w:cstheme="majorBidi"/>
          <w:color w:val="000000"/>
          <w:lang w:bidi="he-IL"/>
        </w:rPr>
        <w:t>—“</w:t>
      </w:r>
      <w:proofErr w:type="gramEnd"/>
      <w:r w:rsidRPr="002A5475">
        <w:rPr>
          <w:rFonts w:asciiTheme="majorBidi" w:hAnsiTheme="majorBidi" w:cstheme="majorBidi"/>
          <w:color w:val="000000"/>
          <w:lang w:bidi="he-IL"/>
        </w:rPr>
        <w:t xml:space="preserve">Am I still at home?” (79). Venus, too, engages in this synecdochic personification while simultaneously underscoring the strange object-ification and commodification (in so far as it exists as one of myriad objects for sale in his shop) of Wegg’s twisted limb. “I wish I’d never bought you of the Hospital Porter,” he laments before speculating, “but you might turn out to be valuable yet, as a— . . . as a Monstrosity” (82). The </w:t>
      </w:r>
      <w:r w:rsidRPr="002A5475">
        <w:rPr>
          <w:rFonts w:asciiTheme="majorBidi" w:hAnsiTheme="majorBidi" w:cstheme="majorBidi"/>
          <w:color w:val="000000"/>
          <w:lang w:bidi="he-IL"/>
        </w:rPr>
        <w:lastRenderedPageBreak/>
        <w:t xml:space="preserve">chapter’s title (“Mr. Wegg Looks After Himself”), of course, also gestures to Wegg’s rapacious social climbing aims. Both Venus’s identification of Wegg’s amputated limb as a “Monstrosity” and Boffin’s invasive, probing queries about his peg leg and medical history underscore the way in which Wegg’s disability </w:t>
      </w:r>
      <w:r w:rsidR="009335FE">
        <w:rPr>
          <w:rFonts w:asciiTheme="majorBidi" w:hAnsiTheme="majorBidi" w:cstheme="majorBidi"/>
          <w:color w:val="000000"/>
          <w:lang w:bidi="he-IL"/>
        </w:rPr>
        <w:t xml:space="preserve">further </w:t>
      </w:r>
      <w:r w:rsidRPr="002A5475">
        <w:rPr>
          <w:rFonts w:asciiTheme="majorBidi" w:hAnsiTheme="majorBidi" w:cstheme="majorBidi"/>
          <w:color w:val="000000"/>
          <w:lang w:bidi="he-IL"/>
        </w:rPr>
        <w:t>debases his social position; the nondisabled characters’ intrusive commentary reveals their feelings of normative entitlement as they pose deeply personal questions about and musings on Wegg’s body.</w:t>
      </w:r>
      <w:r w:rsidRPr="002A5475">
        <w:rPr>
          <w:rFonts w:asciiTheme="majorBidi" w:hAnsiTheme="majorBidi" w:cstheme="majorBidi"/>
          <w:color w:val="000000"/>
          <w:vertAlign w:val="superscript"/>
          <w:lang w:bidi="he-IL"/>
        </w:rPr>
        <w:footnoteReference w:id="155"/>
      </w:r>
      <w:r w:rsidRPr="002A5475">
        <w:rPr>
          <w:rFonts w:asciiTheme="majorBidi" w:hAnsiTheme="majorBidi" w:cstheme="majorBidi"/>
          <w:color w:val="000000"/>
          <w:lang w:bidi="he-IL"/>
        </w:rPr>
        <w:t xml:space="preserve"> </w:t>
      </w:r>
    </w:p>
    <w:p w14:paraId="3C501D91" w14:textId="77777777" w:rsidR="0014555F" w:rsidRDefault="002A5475" w:rsidP="002A5475">
      <w:pPr>
        <w:spacing w:line="480" w:lineRule="auto"/>
        <w:ind w:firstLine="720"/>
        <w:rPr>
          <w:rFonts w:asciiTheme="majorBidi" w:hAnsiTheme="majorBidi" w:cstheme="majorBidi"/>
          <w:color w:val="000000"/>
          <w:lang w:bidi="he-IL"/>
        </w:rPr>
      </w:pPr>
      <w:r w:rsidRPr="002A5475">
        <w:rPr>
          <w:rFonts w:asciiTheme="majorBidi" w:hAnsiTheme="majorBidi" w:cstheme="majorBidi"/>
          <w:color w:val="000000"/>
          <w:lang w:bidi="he-IL"/>
        </w:rPr>
        <w:t xml:space="preserve">Moreover, while the obvious material fact of his crude peg-leg stands as the clear signifier of his social status, Wegg also recognizes the buying and selling of his original body as undignified: “I should </w:t>
      </w:r>
      <w:r w:rsidRPr="002A5475">
        <w:rPr>
          <w:rFonts w:asciiTheme="majorBidi" w:hAnsiTheme="majorBidi" w:cstheme="majorBidi"/>
          <w:i/>
          <w:iCs/>
          <w:color w:val="000000"/>
          <w:lang w:bidi="he-IL"/>
        </w:rPr>
        <w:t>not</w:t>
      </w:r>
      <w:r w:rsidRPr="002A5475">
        <w:rPr>
          <w:rFonts w:asciiTheme="majorBidi" w:hAnsiTheme="majorBidi" w:cstheme="majorBidi"/>
          <w:color w:val="000000"/>
          <w:lang w:bidi="he-IL"/>
        </w:rPr>
        <w:t xml:space="preserve"> like—under such circumstances, to be what I may call dispersed, a part of me here, and a part of me there, but should wish to collect myself like a genteel person” (82). Wegg’s prosthesis affords him physical and social mobility, but his miscellaneous parts (his “genuine,” artificial, and amputated legs) denote the unalterable fact of his otherness (331). In moving to “collect” himself, Wegg aspires to a literal state of self-possession.</w:t>
      </w:r>
      <w:r>
        <w:rPr>
          <w:rFonts w:asciiTheme="majorBidi" w:hAnsiTheme="majorBidi" w:cstheme="majorBidi"/>
          <w:color w:val="000000"/>
          <w:lang w:bidi="he-IL"/>
        </w:rPr>
        <w:t xml:space="preserve"> (See figure 10.)</w:t>
      </w:r>
      <w:r w:rsidRPr="002A5475">
        <w:rPr>
          <w:rFonts w:asciiTheme="majorBidi" w:hAnsiTheme="majorBidi" w:cstheme="majorBidi"/>
          <w:color w:val="000000"/>
          <w:lang w:bidi="he-IL"/>
        </w:rPr>
        <w:t xml:space="preserve"> In addition to the apparent punning—Wegg’s attempt to regain self-control both physically and mentally—the term “collect” encompasses additional colonial and capitalistic resonances that</w:t>
      </w:r>
    </w:p>
    <w:p w14:paraId="5B0E49AC" w14:textId="77777777" w:rsidR="0014555F" w:rsidRPr="002A5475" w:rsidRDefault="0014555F" w:rsidP="0014555F">
      <w:pPr>
        <w:spacing w:line="480" w:lineRule="auto"/>
        <w:ind w:firstLine="720"/>
        <w:jc w:val="center"/>
        <w:rPr>
          <w:rFonts w:asciiTheme="majorBidi" w:hAnsiTheme="majorBidi" w:cstheme="majorBidi"/>
          <w:color w:val="000000"/>
          <w:lang w:bidi="he-IL"/>
        </w:rPr>
      </w:pPr>
      <w:r w:rsidRPr="002A5475">
        <w:rPr>
          <w:rFonts w:asciiTheme="majorBidi" w:hAnsiTheme="majorBidi" w:cstheme="majorBidi"/>
          <w:noProof/>
          <w:lang w:bidi="he-IL"/>
        </w:rPr>
        <w:lastRenderedPageBreak/>
        <w:drawing>
          <wp:inline distT="0" distB="0" distL="0" distR="0" wp14:anchorId="341D7CEA" wp14:editId="6A4DDE91">
            <wp:extent cx="3808730" cy="5073039"/>
            <wp:effectExtent l="0" t="0" r="1270" b="0"/>
            <wp:docPr id="12" name="Picture 12" descr="Mr. Wegg and Mr. Venus in Consul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r. Wegg and Mr. Venus in Consultatio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45087" cy="5121464"/>
                    </a:xfrm>
                    <a:prstGeom prst="rect">
                      <a:avLst/>
                    </a:prstGeom>
                    <a:noFill/>
                    <a:ln>
                      <a:noFill/>
                    </a:ln>
                  </pic:spPr>
                </pic:pic>
              </a:graphicData>
            </a:graphic>
          </wp:inline>
        </w:drawing>
      </w:r>
    </w:p>
    <w:p w14:paraId="3CDE1848" w14:textId="4E2D1F7A" w:rsidR="0014555F" w:rsidRDefault="0014555F" w:rsidP="0014555F">
      <w:pPr>
        <w:rPr>
          <w:rFonts w:asciiTheme="majorBidi" w:hAnsiTheme="majorBidi" w:cstheme="majorBidi"/>
          <w:color w:val="000000"/>
          <w:lang w:bidi="he-IL"/>
        </w:rPr>
      </w:pPr>
      <w:bookmarkStart w:id="30" w:name="_Toc101797043"/>
      <w:r w:rsidRPr="002A5475">
        <w:rPr>
          <w:rFonts w:asciiTheme="majorBidi" w:hAnsiTheme="majorBidi" w:cstheme="majorBidi"/>
        </w:rPr>
        <w:t xml:space="preserve">Figure </w:t>
      </w:r>
      <w:r w:rsidRPr="002A5475">
        <w:rPr>
          <w:rFonts w:asciiTheme="majorBidi" w:hAnsiTheme="majorBidi" w:cstheme="majorBidi"/>
          <w:b/>
          <w:bCs/>
        </w:rPr>
        <w:fldChar w:fldCharType="begin"/>
      </w:r>
      <w:r w:rsidRPr="002A5475">
        <w:rPr>
          <w:rFonts w:asciiTheme="majorBidi" w:hAnsiTheme="majorBidi" w:cstheme="majorBidi"/>
        </w:rPr>
        <w:instrText xml:space="preserve"> SEQ Figure \* ARABIC </w:instrText>
      </w:r>
      <w:r w:rsidRPr="002A5475">
        <w:rPr>
          <w:rFonts w:asciiTheme="majorBidi" w:hAnsiTheme="majorBidi" w:cstheme="majorBidi"/>
          <w:b/>
          <w:bCs/>
        </w:rPr>
        <w:fldChar w:fldCharType="separate"/>
      </w:r>
      <w:r>
        <w:rPr>
          <w:rFonts w:asciiTheme="majorBidi" w:hAnsiTheme="majorBidi" w:cstheme="majorBidi"/>
          <w:noProof/>
        </w:rPr>
        <w:t>10</w:t>
      </w:r>
      <w:r w:rsidRPr="002A5475">
        <w:rPr>
          <w:rFonts w:asciiTheme="majorBidi" w:hAnsiTheme="majorBidi" w:cstheme="majorBidi"/>
          <w:b/>
          <w:bCs/>
        </w:rPr>
        <w:fldChar w:fldCharType="end"/>
      </w:r>
      <w:r w:rsidRPr="002A5475">
        <w:rPr>
          <w:rFonts w:asciiTheme="majorBidi" w:hAnsiTheme="majorBidi" w:cstheme="majorBidi"/>
        </w:rPr>
        <w:t>: Silas Wegg</w:t>
      </w:r>
      <w:r w:rsidRPr="002A5475">
        <w:rPr>
          <w:rFonts w:asciiTheme="majorBidi" w:eastAsia="Calibri" w:hAnsiTheme="majorBidi" w:cstheme="majorBidi"/>
        </w:rPr>
        <w:t>.</w:t>
      </w:r>
      <w:r w:rsidRPr="002A5475">
        <w:rPr>
          <w:rFonts w:asciiTheme="majorBidi" w:eastAsia="Calibri" w:hAnsiTheme="majorBidi" w:cstheme="majorBidi"/>
          <w:shd w:val="clear" w:color="auto" w:fill="FFFFFF"/>
        </w:rPr>
        <w:t> “Mr. Wegg and Mr. Venus in Consultation.” Wood engraving by Sol Eytinge for the Illustrated Household Edition of </w:t>
      </w:r>
      <w:r w:rsidRPr="002A5475">
        <w:rPr>
          <w:rFonts w:asciiTheme="majorBidi" w:eastAsia="Calibri" w:hAnsiTheme="majorBidi" w:cstheme="majorBidi"/>
          <w:i/>
          <w:iCs/>
          <w:shd w:val="clear" w:color="auto" w:fill="FFFFFF"/>
        </w:rPr>
        <w:t>Our Mutual Friend</w:t>
      </w:r>
      <w:r w:rsidRPr="002A5475">
        <w:rPr>
          <w:rFonts w:asciiTheme="majorBidi" w:eastAsia="Calibri" w:hAnsiTheme="majorBidi" w:cstheme="majorBidi"/>
          <w:shd w:val="clear" w:color="auto" w:fill="FFFFFF"/>
        </w:rPr>
        <w:t xml:space="preserve"> (Charles T. Dillingham, 1870). Image scanned by </w:t>
      </w:r>
      <w:hyperlink r:id="rId21" w:history="1">
        <w:r w:rsidRPr="002A5475">
          <w:rPr>
            <w:rFonts w:asciiTheme="majorBidi" w:eastAsia="Calibri" w:hAnsiTheme="majorBidi" w:cstheme="majorBidi"/>
            <w:shd w:val="clear" w:color="auto" w:fill="FFFFFF"/>
          </w:rPr>
          <w:t>Philip V. Allingham</w:t>
        </w:r>
      </w:hyperlink>
      <w:r w:rsidRPr="002A5475">
        <w:rPr>
          <w:rFonts w:asciiTheme="majorBidi" w:eastAsia="Calibri" w:hAnsiTheme="majorBidi" w:cstheme="majorBidi"/>
          <w:shd w:val="clear" w:color="auto" w:fill="FFFFFF"/>
        </w:rPr>
        <w:t>.</w:t>
      </w:r>
      <w:bookmarkEnd w:id="30"/>
      <w:r w:rsidRPr="002A5475">
        <w:rPr>
          <w:rFonts w:asciiTheme="majorBidi" w:eastAsia="Calibri" w:hAnsiTheme="majorBidi" w:cstheme="majorBidi"/>
          <w:shd w:val="clear" w:color="auto" w:fill="FFFFFF"/>
        </w:rPr>
        <w:t> </w:t>
      </w:r>
      <w:r>
        <w:rPr>
          <w:rFonts w:asciiTheme="majorBidi" w:hAnsiTheme="majorBidi" w:cstheme="majorBidi"/>
          <w:color w:val="000000"/>
          <w:lang w:bidi="he-IL"/>
        </w:rPr>
        <w:br w:type="page"/>
      </w:r>
    </w:p>
    <w:p w14:paraId="2B11464B" w14:textId="2F5644C5" w:rsidR="002A5475" w:rsidRDefault="002A5475" w:rsidP="0014555F">
      <w:pPr>
        <w:spacing w:line="480" w:lineRule="auto"/>
        <w:rPr>
          <w:rFonts w:asciiTheme="majorBidi" w:hAnsiTheme="majorBidi" w:cstheme="majorBidi"/>
          <w:color w:val="000000"/>
          <w:lang w:bidi="he-IL"/>
        </w:rPr>
      </w:pPr>
      <w:r w:rsidRPr="002A5475">
        <w:rPr>
          <w:rFonts w:asciiTheme="majorBidi" w:hAnsiTheme="majorBidi" w:cstheme="majorBidi"/>
          <w:color w:val="000000"/>
          <w:lang w:bidi="he-IL"/>
        </w:rPr>
        <w:lastRenderedPageBreak/>
        <w:t xml:space="preserve">informed Victorian Britain’s biopolitics. Like the court in </w:t>
      </w:r>
      <w:r w:rsidRPr="002A5475">
        <w:rPr>
          <w:rFonts w:asciiTheme="majorBidi" w:hAnsiTheme="majorBidi" w:cstheme="majorBidi"/>
          <w:i/>
          <w:iCs/>
          <w:color w:val="000000"/>
          <w:lang w:bidi="he-IL"/>
        </w:rPr>
        <w:t>Fisher v. Carrousel</w:t>
      </w:r>
      <w:r w:rsidRPr="002A5475">
        <w:rPr>
          <w:rFonts w:asciiTheme="majorBidi" w:hAnsiTheme="majorBidi" w:cstheme="majorBidi"/>
          <w:color w:val="000000"/>
          <w:lang w:bidi="he-IL"/>
        </w:rPr>
        <w:t xml:space="preserve">, Wegg regards certain objects extending or existing apart from his physical body as part of himself; more to the point, he feels the indignity of having parts of himself treated merely as parts—as objects not due respect or decency. </w:t>
      </w:r>
    </w:p>
    <w:p w14:paraId="05FAC6B3" w14:textId="770A23DA" w:rsidR="002A5475" w:rsidRPr="0014555F" w:rsidRDefault="002A5475" w:rsidP="0014555F">
      <w:pPr>
        <w:spacing w:line="480" w:lineRule="auto"/>
        <w:rPr>
          <w:rFonts w:asciiTheme="majorBidi" w:hAnsiTheme="majorBidi" w:cstheme="majorBidi"/>
          <w:color w:val="000000"/>
          <w:lang w:bidi="he-IL"/>
        </w:rPr>
      </w:pPr>
      <w:r w:rsidRPr="002A5475">
        <w:rPr>
          <w:rFonts w:asciiTheme="majorBidi" w:eastAsia="Calibri" w:hAnsiTheme="majorBidi" w:cstheme="majorBidi"/>
          <w:bCs/>
        </w:rPr>
        <w:tab/>
        <w:t>The paradox of Wegg’s wooden leg serves as a paradigm for the status of the prosthetic object across the nineteenth-century novel more generally: the knotty concurrence of stasis and mobility, natural and artificial, obscure and conspicuous, inanimate and autonomous, common and intensely personal. The novel’s narrator describes Wegg as “so wooden a man that he seemed to have taken his wooden leg naturally” (46). And during Wegg’s first exchange with Boffin, the narrator demonstrates the interchangeability and codependence of the person and the prosthetic via synecdoche: “The wooden leg looked at him with a meditative eye” (48); Boffin, too, notes the integral union of man and object in his repeated identification of Wegg as “a literary man—</w:t>
      </w:r>
      <w:r w:rsidRPr="002A5475">
        <w:rPr>
          <w:rFonts w:asciiTheme="majorBidi" w:eastAsia="Calibri" w:hAnsiTheme="majorBidi" w:cstheme="majorBidi"/>
          <w:bCs/>
          <w:i/>
          <w:iCs/>
        </w:rPr>
        <w:t>with</w:t>
      </w:r>
      <w:r w:rsidRPr="002A5475">
        <w:rPr>
          <w:rFonts w:asciiTheme="majorBidi" w:eastAsia="Calibri" w:hAnsiTheme="majorBidi" w:cstheme="majorBidi"/>
          <w:bCs/>
        </w:rPr>
        <w:t xml:space="preserve"> a wooden leg” (49).</w:t>
      </w:r>
      <w:r w:rsidRPr="002A5475">
        <w:rPr>
          <w:rFonts w:asciiTheme="majorBidi" w:eastAsia="Calibri" w:hAnsiTheme="majorBidi" w:cstheme="majorBidi"/>
          <w:bCs/>
          <w:vertAlign w:val="superscript"/>
        </w:rPr>
        <w:footnoteReference w:id="156"/>
      </w:r>
      <w:r w:rsidRPr="002A5475">
        <w:rPr>
          <w:rFonts w:asciiTheme="majorBidi" w:eastAsia="Calibri" w:hAnsiTheme="majorBidi" w:cstheme="majorBidi"/>
          <w:bCs/>
        </w:rPr>
        <w:t xml:space="preserve"> But for all the ways in which Wegg’s wooden leg appears to suit his wooden nature, it also tends to occlude him or to give him away (as when his leg telegraphs his excitement concerning the dust heap treasures: “Here Mr. Wegg’s wooden leg started forward under the table, and slowly elevated itself as he read on”) (482). It is plain but also theatrical (as when he executes a “triumphant pirouette” in a “stage-ballet manner” with it) (331). It is, in the strictest sense, insentient, but Wegg imagines his prosthetic as “self-willed” </w:t>
      </w:r>
      <w:r w:rsidRPr="002A5475">
        <w:rPr>
          <w:rFonts w:asciiTheme="majorBidi" w:eastAsia="Calibri" w:hAnsiTheme="majorBidi" w:cstheme="majorBidi"/>
          <w:bCs/>
        </w:rPr>
        <w:lastRenderedPageBreak/>
        <w:t>(488).</w:t>
      </w:r>
      <w:r w:rsidRPr="002A5475">
        <w:rPr>
          <w:rFonts w:asciiTheme="majorBidi" w:eastAsia="Calibri" w:hAnsiTheme="majorBidi" w:cstheme="majorBidi"/>
          <w:bCs/>
          <w:vertAlign w:val="superscript"/>
        </w:rPr>
        <w:footnoteReference w:id="157"/>
      </w:r>
      <w:r w:rsidRPr="002A5475">
        <w:rPr>
          <w:rFonts w:asciiTheme="majorBidi" w:eastAsia="Calibri" w:hAnsiTheme="majorBidi" w:cstheme="majorBidi"/>
          <w:bCs/>
        </w:rPr>
        <w:t xml:space="preserve"> In its liminality, the leg acts as a barometer, sensitive to the internal and external forces on its user’s body, and when Wegg complains to Venus about Boffin’s accumulation of money, he uses his leg to objectify the outer limits of his tolerance: “‘Flesh and blood can’t bear it. No,’ said Mr. Wegg, greatly exasperated, ‘and I’ll go further. A wooden leg can’t bear it!’” (581). The prosthetic object is not one thing but many. It resists distillation or reduction</w:t>
      </w:r>
      <w:r w:rsidR="009335FE">
        <w:rPr>
          <w:rFonts w:asciiTheme="majorBidi" w:eastAsia="Calibri" w:hAnsiTheme="majorBidi" w:cstheme="majorBidi"/>
          <w:bCs/>
        </w:rPr>
        <w:t>. I</w:t>
      </w:r>
      <w:r w:rsidRPr="002A5475">
        <w:rPr>
          <w:rFonts w:asciiTheme="majorBidi" w:eastAsia="Calibri" w:hAnsiTheme="majorBidi" w:cstheme="majorBidi"/>
          <w:bCs/>
        </w:rPr>
        <w:t xml:space="preserve">n parsing the prosthetic object’s role in the characterization of disabled bodies in the novel, I have sought not to pare down its potential meanings but to retain its polysemy and stress its plasticity. </w:t>
      </w:r>
    </w:p>
    <w:p w14:paraId="00A56466" w14:textId="77777777" w:rsidR="002A5475" w:rsidRPr="002A5475" w:rsidRDefault="002A5475" w:rsidP="002A5475">
      <w:pPr>
        <w:spacing w:line="480" w:lineRule="auto"/>
        <w:ind w:firstLine="720"/>
        <w:rPr>
          <w:rFonts w:asciiTheme="majorBidi" w:hAnsiTheme="majorBidi" w:cstheme="majorBidi"/>
          <w:color w:val="000000"/>
          <w:shd w:val="clear" w:color="auto" w:fill="FFFFFF"/>
          <w:lang w:bidi="he-IL"/>
        </w:rPr>
      </w:pPr>
      <w:r w:rsidRPr="002A5475">
        <w:rPr>
          <w:rFonts w:asciiTheme="majorBidi" w:hAnsiTheme="majorBidi" w:cstheme="majorBidi"/>
          <w:color w:val="000000"/>
          <w:shd w:val="clear" w:color="auto" w:fill="FFFFFF"/>
          <w:lang w:bidi="he-IL"/>
        </w:rPr>
        <w:t>I began this dissertation by inquiring into the function of prosthetics in the Victorian novel—an inquiry that, I imagined, prompted a reconsideration of how metonymic accessories can embody the user’s identity while comprising a subjectivity of their own. In charting the way in which nineteenth-century authors sketched the disabled body through things, I wondered whether and to what extent disabled characters might become flattened or trapped by their signifiers. There are, as Elaine Freedgood has posited, ideas in things, but people, surely, must also be more than the sum of their signifiers.</w:t>
      </w:r>
      <w:r w:rsidRPr="002A5475">
        <w:rPr>
          <w:rFonts w:asciiTheme="majorBidi" w:hAnsiTheme="majorBidi" w:cstheme="majorBidi"/>
          <w:color w:val="000000"/>
          <w:shd w:val="clear" w:color="auto" w:fill="FFFFFF"/>
          <w:vertAlign w:val="superscript"/>
          <w:lang w:bidi="he-IL"/>
        </w:rPr>
        <w:footnoteReference w:id="158"/>
      </w:r>
      <w:r w:rsidRPr="002A5475">
        <w:rPr>
          <w:rFonts w:asciiTheme="majorBidi" w:hAnsiTheme="majorBidi" w:cstheme="majorBidi"/>
          <w:color w:val="000000"/>
          <w:shd w:val="clear" w:color="auto" w:fill="FFFFFF"/>
          <w:lang w:bidi="he-IL"/>
        </w:rPr>
        <w:t xml:space="preserve"> I wondered how I might reconcile the extreme legibility of superficial signs (inanimate objects that theoretically should not, in their fixed state, resist interpretation) with composite figures of humans and prosthetics that prove totally inscrutable. Further alteration of the prosthetic object as novelists reproduced it in fiction rendered the object even more complex. But then, this complexity is the point. My focus on a small selection of authors across genres emphasizes how a repetition of character or type gains or </w:t>
      </w:r>
      <w:r w:rsidRPr="002A5475">
        <w:rPr>
          <w:rFonts w:asciiTheme="majorBidi" w:hAnsiTheme="majorBidi" w:cstheme="majorBidi"/>
          <w:color w:val="000000"/>
          <w:shd w:val="clear" w:color="auto" w:fill="FFFFFF"/>
          <w:lang w:bidi="he-IL"/>
        </w:rPr>
        <w:lastRenderedPageBreak/>
        <w:t xml:space="preserve">subverts significance based on a nuanced set of material differences. The metonymy inherent to the prosthetic object stands to make, confirm, or disrupt meaning at the level of physical description and character. One prosthetic, or even type of prosthetic, can possess multiple meanings from moment to moment, user to user. What remains, then, is to consider the legacies and contemporary resonances of the prosthetic object and physical disability as the product of medical technology and literary fiction. </w:t>
      </w:r>
    </w:p>
    <w:p w14:paraId="64094657" w14:textId="77777777" w:rsidR="002A5475" w:rsidRPr="002A5475" w:rsidRDefault="002A5475" w:rsidP="002A5475">
      <w:pPr>
        <w:spacing w:line="480" w:lineRule="auto"/>
        <w:ind w:firstLine="720"/>
        <w:rPr>
          <w:rFonts w:asciiTheme="majorBidi" w:eastAsia="Calibri" w:hAnsiTheme="majorBidi" w:cstheme="majorBidi"/>
          <w:szCs w:val="22"/>
        </w:rPr>
      </w:pPr>
      <w:r w:rsidRPr="002A5475">
        <w:rPr>
          <w:rFonts w:asciiTheme="majorBidi" w:eastAsia="Calibri" w:hAnsiTheme="majorBidi" w:cstheme="majorBidi"/>
          <w:bCs/>
        </w:rPr>
        <w:t xml:space="preserve">For all its signification, the prosthetic object as deployed in these nineteenth-century novels always marks alterity. It is coded by its very nature—a physical manifestation of absence, an indicator of difference. </w:t>
      </w:r>
      <w:proofErr w:type="gramStart"/>
      <w:r w:rsidRPr="002A5475">
        <w:rPr>
          <w:rFonts w:asciiTheme="majorBidi" w:eastAsia="Calibri" w:hAnsiTheme="majorBidi" w:cstheme="majorBidi"/>
          <w:bCs/>
        </w:rPr>
        <w:t>It</w:t>
      </w:r>
      <w:proofErr w:type="gramEnd"/>
      <w:r w:rsidRPr="002A5475">
        <w:rPr>
          <w:rFonts w:asciiTheme="majorBidi" w:eastAsia="Calibri" w:hAnsiTheme="majorBidi" w:cstheme="majorBidi"/>
          <w:bCs/>
        </w:rPr>
        <w:t xml:space="preserve"> others.</w:t>
      </w:r>
      <w:r w:rsidRPr="002A5475">
        <w:rPr>
          <w:rFonts w:asciiTheme="majorBidi" w:eastAsia="Calibri" w:hAnsiTheme="majorBidi" w:cstheme="majorBidi"/>
          <w:bCs/>
          <w:vertAlign w:val="superscript"/>
        </w:rPr>
        <w:footnoteReference w:id="159"/>
      </w:r>
      <w:r w:rsidRPr="002A5475">
        <w:rPr>
          <w:rFonts w:asciiTheme="majorBidi" w:eastAsia="Calibri" w:hAnsiTheme="majorBidi" w:cstheme="majorBidi"/>
          <w:bCs/>
        </w:rPr>
        <w:t xml:space="preserve"> </w:t>
      </w:r>
      <w:r w:rsidRPr="002A5475">
        <w:rPr>
          <w:rFonts w:asciiTheme="majorBidi" w:eastAsia="Calibri" w:hAnsiTheme="majorBidi" w:cstheme="majorBidi"/>
          <w:szCs w:val="22"/>
        </w:rPr>
        <w:t xml:space="preserve">The novels discussed in this dissertation all have in common (though to varying extents) a larger obsession with technology, the body, and our evolving co-existence with things. They all toy with the awareness of the human body and psyche as parts of a wider network of objects and parts—the </w:t>
      </w:r>
      <w:proofErr w:type="gramStart"/>
      <w:r w:rsidRPr="002A5475">
        <w:rPr>
          <w:rFonts w:asciiTheme="majorBidi" w:eastAsia="Calibri" w:hAnsiTheme="majorBidi" w:cstheme="majorBidi"/>
          <w:szCs w:val="22"/>
        </w:rPr>
        <w:t>often unsettling</w:t>
      </w:r>
      <w:proofErr w:type="gramEnd"/>
      <w:r w:rsidRPr="002A5475">
        <w:rPr>
          <w:rFonts w:asciiTheme="majorBidi" w:eastAsia="Calibri" w:hAnsiTheme="majorBidi" w:cstheme="majorBidi"/>
          <w:szCs w:val="22"/>
        </w:rPr>
        <w:t xml:space="preserve"> blending of taxonomical kingdoms—and seem to find ruminating on our liminal position easier when projecting that position onto </w:t>
      </w:r>
      <w:r w:rsidRPr="002A5475">
        <w:rPr>
          <w:rFonts w:asciiTheme="majorBidi" w:eastAsia="Calibri" w:hAnsiTheme="majorBidi" w:cstheme="majorBidi"/>
          <w:i/>
          <w:iCs/>
          <w:szCs w:val="22"/>
        </w:rPr>
        <w:t>other</w:t>
      </w:r>
      <w:r w:rsidRPr="002A5475">
        <w:rPr>
          <w:rFonts w:asciiTheme="majorBidi" w:eastAsia="Calibri" w:hAnsiTheme="majorBidi" w:cstheme="majorBidi"/>
          <w:szCs w:val="22"/>
        </w:rPr>
        <w:t xml:space="preserve"> bodies, when they can use certain objects to distinguish between states of normativity and alterity.</w:t>
      </w:r>
      <w:r w:rsidRPr="002A5475">
        <w:rPr>
          <w:rFonts w:asciiTheme="majorBidi" w:eastAsia="Calibri" w:hAnsiTheme="majorBidi" w:cstheme="majorBidi"/>
          <w:bCs/>
        </w:rPr>
        <w:t xml:space="preserve"> Even if, as in the case of Trollope’s Signora Neroni or Collins’s Miserrimus Dexter, the human user (re-)appropriates the prosthetic object to resist standard disability tropes, the object still sets that user apart from their nondisabled counterparts. But, over the course of the nineteenth century, the proliferating, expanded representation of characters with disabilities drew into focus the material networks that produced character more generally, and in so doing, it began to dramatize the way in which all people exist concomitantly </w:t>
      </w:r>
      <w:r w:rsidRPr="002A5475">
        <w:rPr>
          <w:rFonts w:asciiTheme="majorBidi" w:eastAsia="Calibri" w:hAnsiTheme="majorBidi" w:cstheme="majorBidi"/>
          <w:bCs/>
        </w:rPr>
        <w:lastRenderedPageBreak/>
        <w:t xml:space="preserve">with a larger material world. Recurrent experimentation with prosthetic ekphrasis in representing the disabled body, somewhat counterintuitively, revealed the ways in which the modern body is not insular but codependent. In attending more, at times, to the prosthetic object than the character using it, my aim has been not to work against anthropocentrism—to elevate the object over and above the person. Instead, I mean to demonstrate how the material network of things and bodies inherent to the representation of disabled characters calls for a constantly ongoing, recursive process of reevaluation of people’s dependence on assistive technologies more generally. </w:t>
      </w:r>
    </w:p>
    <w:p w14:paraId="52DC54AB" w14:textId="77777777" w:rsidR="002A5475" w:rsidRPr="002A5475" w:rsidRDefault="002A5475" w:rsidP="002A5475">
      <w:pPr>
        <w:spacing w:line="480" w:lineRule="auto"/>
        <w:ind w:firstLine="720"/>
        <w:rPr>
          <w:rFonts w:asciiTheme="majorBidi" w:eastAsia="Calibri" w:hAnsiTheme="majorBidi" w:cstheme="majorBidi"/>
          <w:bCs/>
        </w:rPr>
      </w:pPr>
      <w:r w:rsidRPr="002A5475">
        <w:rPr>
          <w:rFonts w:asciiTheme="majorBidi" w:eastAsia="Calibri" w:hAnsiTheme="majorBidi" w:cstheme="majorBidi"/>
          <w:bCs/>
        </w:rPr>
        <w:t xml:space="preserve">The Victorian novel’s mimetic aims and its constant state of evolution allow it to register and respond to the evolution of the prosthetic object as it intersects with the disabled body. And in reading prosthetics as dynamic, integral features of disabled characterization, as this present study has attempted to do, we can acknowledge the complex state of disunity, patchwork extension, and contingency that we all occupy as human bodies circulating though the world. The nineteenth-century novel that deals in disabled bodies and prosthetic objects also, whether intentionally or not, forces us to confront how something can be both a material commodity and a part of our physical selves. </w:t>
      </w:r>
    </w:p>
    <w:p w14:paraId="69A8F9FD" w14:textId="77777777" w:rsidR="002A5475" w:rsidRPr="002A5475" w:rsidRDefault="002A5475" w:rsidP="002A5475">
      <w:pPr>
        <w:spacing w:line="480" w:lineRule="auto"/>
        <w:ind w:firstLine="720"/>
        <w:rPr>
          <w:rFonts w:asciiTheme="majorBidi" w:eastAsia="Calibri" w:hAnsiTheme="majorBidi" w:cstheme="majorBidi"/>
          <w:bCs/>
        </w:rPr>
      </w:pPr>
      <w:r w:rsidRPr="002A5475">
        <w:rPr>
          <w:rFonts w:asciiTheme="majorBidi" w:eastAsia="Calibri" w:hAnsiTheme="majorBidi" w:cstheme="majorBidi"/>
          <w:bCs/>
        </w:rPr>
        <w:t xml:space="preserve">The primacy of the prosthetic object in the production of disability in nineteenth-century fiction also reveals how the novel is, in many ways, circumscribed by the material objects it depicts. Even Flaubert, whom Erich Auerbach labelled a precursor to the modernists, finds his disabled character, Hippolyte, enmeshed with the physicality of matter and the sociomedical </w:t>
      </w:r>
      <w:r w:rsidRPr="002A5475">
        <w:rPr>
          <w:rFonts w:asciiTheme="majorBidi" w:eastAsia="Calibri" w:hAnsiTheme="majorBidi" w:cstheme="majorBidi"/>
          <w:bCs/>
        </w:rPr>
        <w:lastRenderedPageBreak/>
        <w:t>nuances of diverse prosthetic objects.</w:t>
      </w:r>
      <w:r w:rsidRPr="002A5475">
        <w:rPr>
          <w:rFonts w:asciiTheme="majorBidi" w:eastAsia="Calibri" w:hAnsiTheme="majorBidi" w:cstheme="majorBidi"/>
          <w:bCs/>
          <w:vertAlign w:val="superscript"/>
        </w:rPr>
        <w:footnoteReference w:id="160"/>
      </w:r>
      <w:r w:rsidRPr="002A5475">
        <w:rPr>
          <w:rFonts w:asciiTheme="majorBidi" w:eastAsia="Calibri" w:hAnsiTheme="majorBidi" w:cstheme="majorBidi"/>
          <w:bCs/>
        </w:rPr>
        <w:t xml:space="preserve"> A deep interest in physicality and a devoted cataloguing of material things, indeed, are hallmarks of the nineteenth-century novel. And while concrete reproductions of material objects fade in the abstraction of Modernism, the nineteenth-century novel’s structural reliance on those objects remains such a constant fixture of our collective psyche that their preoccupation with appurtenances and prosthesis has endured well into our present moment.  </w:t>
      </w:r>
    </w:p>
    <w:p w14:paraId="128B3EE5" w14:textId="4FFD6DF9" w:rsidR="002A5475" w:rsidRPr="002A5475" w:rsidRDefault="002A5475" w:rsidP="002A5475">
      <w:pPr>
        <w:spacing w:line="480" w:lineRule="auto"/>
        <w:ind w:firstLine="720"/>
        <w:rPr>
          <w:rFonts w:asciiTheme="majorBidi" w:eastAsia="Calibri" w:hAnsiTheme="majorBidi" w:cstheme="majorBidi"/>
          <w:bCs/>
          <w:i/>
          <w:iCs/>
        </w:rPr>
      </w:pPr>
      <w:r w:rsidRPr="002A5475">
        <w:rPr>
          <w:rFonts w:asciiTheme="majorBidi" w:eastAsia="Calibri" w:hAnsiTheme="majorBidi" w:cstheme="majorBidi"/>
          <w:szCs w:val="22"/>
        </w:rPr>
        <w:t xml:space="preserve">In importing the prosthetic object into their own set of tools, these authors coopted medical technology in pursuit of a more authentic mode of representation. So, how is it that these novels, remote as they may seem now, continue to influence our meditations on the ways in which we are altered and shaped by the objects we bring into our orbit? Surely, part of the answer concerns an existential fixation on our physical selves as they intersect with the material world they inhabit. Given </w:t>
      </w:r>
      <w:r w:rsidRPr="002A5475">
        <w:rPr>
          <w:rFonts w:asciiTheme="majorBidi" w:eastAsia="Calibri" w:hAnsiTheme="majorBidi" w:cstheme="majorBidi"/>
          <w:i/>
          <w:iCs/>
          <w:szCs w:val="22"/>
        </w:rPr>
        <w:t>Frankenstein</w:t>
      </w:r>
      <w:r w:rsidRPr="002A5475">
        <w:rPr>
          <w:rFonts w:asciiTheme="majorBidi" w:eastAsia="Calibri" w:hAnsiTheme="majorBidi" w:cstheme="majorBidi"/>
          <w:szCs w:val="22"/>
        </w:rPr>
        <w:t xml:space="preserve">’s philosophical hypotheticals and experimental mode, it is really little wonder that Shelley’s story has continued to extend through twentieth- and twenty-first-century works of literature, television, and film. Consider, for instance, the anxiety surrounding the genetic integrity of humans in Philip K. Dick’s </w:t>
      </w:r>
      <w:r w:rsidRPr="002A5475">
        <w:rPr>
          <w:rFonts w:asciiTheme="majorBidi" w:eastAsia="Calibri" w:hAnsiTheme="majorBidi" w:cstheme="majorBidi"/>
          <w:i/>
          <w:iCs/>
          <w:szCs w:val="22"/>
        </w:rPr>
        <w:t>Do Androids Dream of Electric Sheep?</w:t>
      </w:r>
      <w:r w:rsidRPr="002A5475">
        <w:rPr>
          <w:rFonts w:asciiTheme="majorBidi" w:eastAsia="Calibri" w:hAnsiTheme="majorBidi" w:cstheme="majorBidi"/>
          <w:szCs w:val="22"/>
        </w:rPr>
        <w:t xml:space="preserve"> (1968); the bioengineering of synthetic humans in its adaptation to the big screen in Ridley Scott’s </w:t>
      </w:r>
      <w:r w:rsidRPr="002A5475">
        <w:rPr>
          <w:rFonts w:asciiTheme="majorBidi" w:eastAsia="Calibri" w:hAnsiTheme="majorBidi" w:cstheme="majorBidi"/>
          <w:i/>
          <w:iCs/>
          <w:szCs w:val="22"/>
        </w:rPr>
        <w:t>Blade Runner</w:t>
      </w:r>
      <w:r w:rsidRPr="002A5475">
        <w:rPr>
          <w:rFonts w:asciiTheme="majorBidi" w:eastAsia="Calibri" w:hAnsiTheme="majorBidi" w:cstheme="majorBidi"/>
          <w:szCs w:val="22"/>
        </w:rPr>
        <w:t xml:space="preserve"> (1982) and Denis Villeneuve’s </w:t>
      </w:r>
      <w:r w:rsidRPr="002A5475">
        <w:rPr>
          <w:rFonts w:asciiTheme="majorBidi" w:eastAsia="Calibri" w:hAnsiTheme="majorBidi" w:cstheme="majorBidi"/>
          <w:i/>
          <w:iCs/>
          <w:szCs w:val="22"/>
        </w:rPr>
        <w:t>Blade Runner 2049</w:t>
      </w:r>
      <w:r w:rsidRPr="002A5475">
        <w:rPr>
          <w:rFonts w:asciiTheme="majorBidi" w:eastAsia="Calibri" w:hAnsiTheme="majorBidi" w:cstheme="majorBidi"/>
          <w:szCs w:val="22"/>
        </w:rPr>
        <w:t xml:space="preserve"> (2017); the encroachment of assistive technology on the human body and mind in Lana and Lilly </w:t>
      </w:r>
      <w:r w:rsidRPr="002A5475">
        <w:rPr>
          <w:rFonts w:asciiTheme="majorBidi" w:eastAsia="Calibri" w:hAnsiTheme="majorBidi" w:cstheme="majorBidi"/>
          <w:szCs w:val="22"/>
        </w:rPr>
        <w:lastRenderedPageBreak/>
        <w:t xml:space="preserve">Wachowski’s </w:t>
      </w:r>
      <w:r w:rsidRPr="002A5475">
        <w:rPr>
          <w:rFonts w:asciiTheme="majorBidi" w:eastAsia="Calibri" w:hAnsiTheme="majorBidi" w:cstheme="majorBidi"/>
          <w:i/>
          <w:iCs/>
          <w:szCs w:val="22"/>
        </w:rPr>
        <w:t>The Matrix</w:t>
      </w:r>
      <w:r w:rsidRPr="002A5475">
        <w:rPr>
          <w:rFonts w:asciiTheme="majorBidi" w:eastAsia="Calibri" w:hAnsiTheme="majorBidi" w:cstheme="majorBidi"/>
          <w:szCs w:val="22"/>
        </w:rPr>
        <w:t xml:space="preserve"> trilogy (1999, 2003) and </w:t>
      </w:r>
      <w:r w:rsidRPr="002A5475">
        <w:rPr>
          <w:rFonts w:asciiTheme="majorBidi" w:eastAsia="Calibri" w:hAnsiTheme="majorBidi" w:cstheme="majorBidi"/>
          <w:i/>
          <w:iCs/>
          <w:szCs w:val="22"/>
        </w:rPr>
        <w:t xml:space="preserve">Resurrection </w:t>
      </w:r>
      <w:r w:rsidRPr="002A5475">
        <w:rPr>
          <w:rFonts w:asciiTheme="majorBidi" w:eastAsia="Calibri" w:hAnsiTheme="majorBidi" w:cstheme="majorBidi"/>
          <w:szCs w:val="22"/>
        </w:rPr>
        <w:t>(2021). These works of science fiction—in which artificial augmentation threatens</w:t>
      </w:r>
      <w:r w:rsidR="009335FE">
        <w:rPr>
          <w:rFonts w:asciiTheme="majorBidi" w:eastAsia="Calibri" w:hAnsiTheme="majorBidi" w:cstheme="majorBidi"/>
          <w:szCs w:val="22"/>
        </w:rPr>
        <w:t xml:space="preserve"> the</w:t>
      </w:r>
      <w:r w:rsidRPr="002A5475">
        <w:rPr>
          <w:rFonts w:asciiTheme="majorBidi" w:eastAsia="Calibri" w:hAnsiTheme="majorBidi" w:cstheme="majorBidi"/>
          <w:szCs w:val="22"/>
        </w:rPr>
        <w:t xml:space="preserve"> stability or purity of the organic body or subverts it entirely—dwell in a lingering unease about the influence a dependence on or acceptance of assistive technology could pose to the “integrity” of the human condition. This wary fascination with the body’s convergence with inanimate objects isn’t new now; it wasn’t even new during the Industrial Revolution.</w:t>
      </w:r>
      <w:r w:rsidRPr="002A5475">
        <w:rPr>
          <w:rFonts w:asciiTheme="majorBidi" w:eastAsia="Calibri" w:hAnsiTheme="majorBidi" w:cstheme="majorBidi"/>
          <w:szCs w:val="22"/>
          <w:vertAlign w:val="superscript"/>
        </w:rPr>
        <w:footnoteReference w:id="161"/>
      </w:r>
      <w:r w:rsidRPr="002A5475">
        <w:rPr>
          <w:rFonts w:asciiTheme="majorBidi" w:eastAsia="Calibri" w:hAnsiTheme="majorBidi" w:cstheme="majorBidi"/>
          <w:szCs w:val="22"/>
        </w:rPr>
        <w:t xml:space="preserve"> Even so, Shelley’s prosthetic Creature proved a particularly apt vehicle for probing the scientific possibilities of the human-object amalgam by mapping them onto an atypical, abnormal body: a maneuver that would influence the depiction of disabled characters in the novel through and beyond the nineteenth century.</w:t>
      </w:r>
      <w:r w:rsidRPr="002A5475">
        <w:rPr>
          <w:rFonts w:asciiTheme="majorBidi" w:eastAsia="Calibri" w:hAnsiTheme="majorBidi" w:cstheme="majorBidi"/>
          <w:szCs w:val="22"/>
          <w:vertAlign w:val="superscript"/>
        </w:rPr>
        <w:footnoteReference w:id="162"/>
      </w:r>
    </w:p>
    <w:p w14:paraId="02F8A4D2" w14:textId="77777777" w:rsidR="002A5475" w:rsidRPr="002A5475" w:rsidRDefault="002A5475" w:rsidP="002A5475">
      <w:pPr>
        <w:spacing w:line="480" w:lineRule="auto"/>
        <w:ind w:firstLine="720"/>
        <w:rPr>
          <w:rFonts w:asciiTheme="majorBidi" w:eastAsia="Calibri" w:hAnsiTheme="majorBidi" w:cstheme="majorBidi"/>
          <w:bCs/>
        </w:rPr>
      </w:pPr>
      <w:r w:rsidRPr="002A5475">
        <w:rPr>
          <w:rFonts w:asciiTheme="majorBidi" w:eastAsia="Calibri" w:hAnsiTheme="majorBidi" w:cstheme="majorBidi"/>
          <w:bCs/>
        </w:rPr>
        <w:t xml:space="preserve">The growing crowd of disabled characters and prosthetic objects in the novel—the expanded representation of different bodies—though, generated new performative potentials, new ways of being disabled or engaging the prosthetic object. Prosthesis in the Victorian novel others, but it never others in quite the same way. For as much as the prosthetic object could flatten or subvert its user, it could also endow them with dynamism and a singular kind of agency. The long-running American medical drama </w:t>
      </w:r>
      <w:r w:rsidRPr="002A5475">
        <w:rPr>
          <w:rFonts w:asciiTheme="majorBidi" w:eastAsia="Calibri" w:hAnsiTheme="majorBidi" w:cstheme="majorBidi"/>
          <w:bCs/>
          <w:i/>
          <w:iCs/>
        </w:rPr>
        <w:t>House, M.D.</w:t>
      </w:r>
      <w:r w:rsidRPr="002A5475">
        <w:rPr>
          <w:rFonts w:asciiTheme="majorBidi" w:eastAsia="Calibri" w:hAnsiTheme="majorBidi" w:cstheme="majorBidi"/>
          <w:bCs/>
        </w:rPr>
        <w:t xml:space="preserve"> (2004-2012) features a disabled protagonist, the misanthropic Dr. Gregory House (played by Hugh Laurie), who cycles through a series of canes that range from an unremarkable walnut model that House jokingly describes as “slimming” to a “bitchin’” black cane with flame decals that House quips “makes it </w:t>
      </w:r>
      <w:r w:rsidRPr="002A5475">
        <w:rPr>
          <w:rFonts w:asciiTheme="majorBidi" w:eastAsia="Calibri" w:hAnsiTheme="majorBidi" w:cstheme="majorBidi"/>
          <w:bCs/>
        </w:rPr>
        <w:lastRenderedPageBreak/>
        <w:t>look like [he’s] going fast.”</w:t>
      </w:r>
      <w:r w:rsidRPr="002A5475">
        <w:rPr>
          <w:rFonts w:asciiTheme="majorBidi" w:eastAsia="Calibri" w:hAnsiTheme="majorBidi" w:cstheme="majorBidi"/>
          <w:bCs/>
          <w:vertAlign w:val="superscript"/>
        </w:rPr>
        <w:footnoteReference w:id="163"/>
      </w:r>
      <w:r w:rsidRPr="002A5475">
        <w:rPr>
          <w:rFonts w:asciiTheme="majorBidi" w:eastAsia="Calibri" w:hAnsiTheme="majorBidi" w:cstheme="majorBidi"/>
          <w:bCs/>
        </w:rPr>
        <w:t xml:space="preserve"> While the show’s creator, David Shore, modelled the diagnostician, in part, after Arthur Conan Doyle’s Sherlock Holmes, House’s character could have emerged just as easily from the pages of Dickens, Collins, or Trollope. House strikes people with his cane; he uses it to open doors and privacy curtains; and, when feeling especially manipulative, he dramatizes its use to garner sympathy. Like Jenny Wren’s cane or Dexter’s chair, House’s crutch transcends its typical medical or symbolic function. The combination of cane and man create yet another “new Centaur.”</w:t>
      </w:r>
    </w:p>
    <w:p w14:paraId="17D7C6A9" w14:textId="26980CAC" w:rsidR="002A5475" w:rsidRPr="002A5475" w:rsidRDefault="002A5475" w:rsidP="002A5475">
      <w:pPr>
        <w:spacing w:line="480" w:lineRule="auto"/>
        <w:ind w:firstLine="720"/>
        <w:rPr>
          <w:rFonts w:asciiTheme="majorBidi" w:eastAsia="Calibri" w:hAnsiTheme="majorBidi" w:cstheme="majorBidi"/>
          <w:bCs/>
        </w:rPr>
      </w:pPr>
      <w:r w:rsidRPr="002A5475">
        <w:rPr>
          <w:rFonts w:asciiTheme="majorBidi" w:eastAsia="Calibri" w:hAnsiTheme="majorBidi" w:cstheme="majorBidi"/>
          <w:bCs/>
        </w:rPr>
        <w:t>At the same time, the translation of the prosthetic object into fiction effectively rendered those objects works of art in their own right. The not-infrequent juxtaposition (textual and visual) of prosthetic objects with aesthetic and cosmetic objects imbued the former with a new artistic dimension.</w:t>
      </w:r>
      <w:r w:rsidRPr="002A5475">
        <w:rPr>
          <w:rFonts w:asciiTheme="majorBidi" w:eastAsia="Calibri" w:hAnsiTheme="majorBidi" w:cstheme="majorBidi"/>
          <w:bCs/>
          <w:vertAlign w:val="superscript"/>
        </w:rPr>
        <w:footnoteReference w:id="164"/>
      </w:r>
      <w:r w:rsidRPr="002A5475">
        <w:rPr>
          <w:rFonts w:asciiTheme="majorBidi" w:eastAsia="Calibri" w:hAnsiTheme="majorBidi" w:cstheme="majorBidi"/>
          <w:bCs/>
        </w:rPr>
        <w:t xml:space="preserve"> Fictional reproductions of the prosthetic object reconfigured the aesthetic potentials of real-world prosthesis. Upper-class prosthetics in the nineteenth century already reflected a certain degree of artistry, but it was art that aimed to obscure or distract, to achieve a genteel disguise of “normalcy.” (Signora Neroni uses her couch to flaunt a lot of things, but she never exposes her physical disfigurement.) In August 2021, </w:t>
      </w:r>
      <w:r w:rsidRPr="002A5475">
        <w:rPr>
          <w:rFonts w:asciiTheme="majorBidi" w:eastAsia="Calibri" w:hAnsiTheme="majorBidi" w:cstheme="majorBidi"/>
          <w:bCs/>
          <w:i/>
          <w:iCs/>
        </w:rPr>
        <w:t>Vogue</w:t>
      </w:r>
      <w:r w:rsidRPr="002A5475">
        <w:rPr>
          <w:rFonts w:asciiTheme="majorBidi" w:eastAsia="Calibri" w:hAnsiTheme="majorBidi" w:cstheme="majorBidi"/>
          <w:bCs/>
        </w:rPr>
        <w:t xml:space="preserve"> profiled a Chinese jewelry brand, YVMIN, that designs avant-garde shells for prosthetic limbs. Amputee pop artist Viktoria </w:t>
      </w:r>
      <w:r w:rsidRPr="002A5475">
        <w:rPr>
          <w:rFonts w:asciiTheme="majorBidi" w:eastAsia="Calibri" w:hAnsiTheme="majorBidi" w:cstheme="majorBidi"/>
          <w:bCs/>
        </w:rPr>
        <w:lastRenderedPageBreak/>
        <w:t xml:space="preserve">Modesta won a Cannes Lion Award for her 2014 music video “Prototype” in which Modesta dons a series of futuristic prosthetic legs (an illuminated clear, plastic model; a crystal-encrusted piece; and an austere metallic cone that ends in an intimidating point) while acting as the subversive head of a disabled revolution. </w:t>
      </w:r>
      <w:r w:rsidR="009335FE">
        <w:rPr>
          <w:rFonts w:asciiTheme="majorBidi" w:eastAsia="Calibri" w:hAnsiTheme="majorBidi" w:cstheme="majorBidi"/>
          <w:bCs/>
        </w:rPr>
        <w:t xml:space="preserve">In addition to making realistic-looking limbs, </w:t>
      </w:r>
      <w:r w:rsidRPr="002A5475">
        <w:rPr>
          <w:rFonts w:asciiTheme="majorBidi" w:eastAsia="Calibri" w:hAnsiTheme="majorBidi" w:cstheme="majorBidi"/>
          <w:bCs/>
        </w:rPr>
        <w:t xml:space="preserve">Sophie de Oliveira Barata, the prosthetic specialist who fashioned Modesta’s prostheses after founding the Alternative Limb Project, </w:t>
      </w:r>
      <w:r w:rsidR="009335FE">
        <w:rPr>
          <w:rFonts w:asciiTheme="majorBidi" w:eastAsia="Calibri" w:hAnsiTheme="majorBidi" w:cstheme="majorBidi"/>
          <w:bCs/>
        </w:rPr>
        <w:t>has sought</w:t>
      </w:r>
      <w:r w:rsidRPr="002A5475">
        <w:rPr>
          <w:rFonts w:asciiTheme="majorBidi" w:eastAsia="Calibri" w:hAnsiTheme="majorBidi" w:cstheme="majorBidi"/>
          <w:bCs/>
        </w:rPr>
        <w:t xml:space="preserve"> “other ways of addressing the space” remaining after amputation.</w:t>
      </w:r>
      <w:r w:rsidRPr="002A5475">
        <w:rPr>
          <w:rFonts w:asciiTheme="majorBidi" w:eastAsia="Calibri" w:hAnsiTheme="majorBidi" w:cstheme="majorBidi"/>
          <w:bCs/>
          <w:vertAlign w:val="superscript"/>
        </w:rPr>
        <w:footnoteReference w:id="165"/>
      </w:r>
      <w:r w:rsidRPr="002A5475">
        <w:rPr>
          <w:rFonts w:asciiTheme="majorBidi" w:eastAsia="Calibri" w:hAnsiTheme="majorBidi" w:cstheme="majorBidi"/>
          <w:bCs/>
        </w:rPr>
        <w:t xml:space="preserve"> Rather than imitate the original limb, de Oliveira Barata envisions the artificial limb as a medium for self-expression, and the prostheses she creates exist as multimodal works for art, acting as the dynamic centerpieces in choreographed videos and short films. </w:t>
      </w:r>
    </w:p>
    <w:p w14:paraId="4BED07FB" w14:textId="54F2AE6F" w:rsidR="002A5475" w:rsidRPr="002A5475" w:rsidRDefault="002A5475" w:rsidP="002A5475">
      <w:pPr>
        <w:spacing w:line="480" w:lineRule="auto"/>
        <w:ind w:firstLine="720"/>
        <w:rPr>
          <w:rFonts w:asciiTheme="majorBidi" w:eastAsia="Calibri" w:hAnsiTheme="majorBidi" w:cstheme="majorBidi"/>
          <w:color w:val="000000"/>
          <w:szCs w:val="22"/>
          <w:shd w:val="clear" w:color="auto" w:fill="FFFFFF"/>
        </w:rPr>
      </w:pPr>
      <w:r w:rsidRPr="002A5475">
        <w:rPr>
          <w:rFonts w:asciiTheme="majorBidi" w:eastAsia="Calibri" w:hAnsiTheme="majorBidi" w:cstheme="majorBidi"/>
          <w:color w:val="000000"/>
          <w:szCs w:val="22"/>
          <w:shd w:val="clear" w:color="auto" w:fill="FFFFFF"/>
        </w:rPr>
        <w:t xml:space="preserve">The work of Alternative Limb Project stands as an example of the manifested potential for aesthetic (rather than merely "functional") prosthesis anticipated by the </w:t>
      </w:r>
      <w:r w:rsidR="009335FE">
        <w:rPr>
          <w:rFonts w:asciiTheme="majorBidi" w:eastAsia="Calibri" w:hAnsiTheme="majorBidi" w:cstheme="majorBidi"/>
          <w:color w:val="000000"/>
          <w:szCs w:val="22"/>
          <w:shd w:val="clear" w:color="auto" w:fill="FFFFFF"/>
        </w:rPr>
        <w:t>nineteenth</w:t>
      </w:r>
      <w:r w:rsidRPr="002A5475">
        <w:rPr>
          <w:rFonts w:asciiTheme="majorBidi" w:eastAsia="Calibri" w:hAnsiTheme="majorBidi" w:cstheme="majorBidi"/>
          <w:color w:val="000000"/>
          <w:szCs w:val="22"/>
          <w:shd w:val="clear" w:color="auto" w:fill="FFFFFF"/>
        </w:rPr>
        <w:t xml:space="preserve">-century novel. (See figures 11, 12, and 13 below.) And while these pieces represent the haute couture of prosthesis, prosthetic artistry is already widely available to the general public; with a few clicks, one can buy custom decals and covers for prosthetics on Etsy or download an affordable (or even free) open-source design for a 3D-printed prosthetic. Children with disabilities can print a prosthetic arm that resembles </w:t>
      </w:r>
      <w:r w:rsidR="001F6DCF" w:rsidRPr="002A5475">
        <w:rPr>
          <w:rFonts w:asciiTheme="majorBidi" w:eastAsia="Calibri" w:hAnsiTheme="majorBidi" w:cstheme="majorBidi"/>
          <w:color w:val="000000"/>
          <w:szCs w:val="22"/>
          <w:shd w:val="clear" w:color="auto" w:fill="FFFFFF"/>
        </w:rPr>
        <w:t>the Hulk’s arm or Iron Man’s at their local craft</w:t>
      </w:r>
      <w:r w:rsidR="001F6DCF">
        <w:rPr>
          <w:rFonts w:asciiTheme="majorBidi" w:eastAsia="Calibri" w:hAnsiTheme="majorBidi" w:cstheme="majorBidi"/>
          <w:color w:val="000000"/>
          <w:szCs w:val="22"/>
          <w:shd w:val="clear" w:color="auto" w:fill="FFFFFF"/>
        </w:rPr>
        <w:t xml:space="preserve"> </w:t>
      </w:r>
      <w:r w:rsidR="001F6DCF" w:rsidRPr="002A5475">
        <w:rPr>
          <w:rFonts w:asciiTheme="majorBidi" w:eastAsia="Calibri" w:hAnsiTheme="majorBidi" w:cstheme="majorBidi"/>
          <w:color w:val="000000"/>
          <w:szCs w:val="22"/>
          <w:shd w:val="clear" w:color="auto" w:fill="FFFFFF"/>
        </w:rPr>
        <w:t>store.</w:t>
      </w:r>
      <w:r w:rsidR="001F6DCF" w:rsidRPr="002A5475">
        <w:rPr>
          <w:rFonts w:asciiTheme="majorBidi" w:eastAsia="Calibri" w:hAnsiTheme="majorBidi" w:cstheme="majorBidi"/>
          <w:color w:val="000000"/>
          <w:szCs w:val="22"/>
          <w:shd w:val="clear" w:color="auto" w:fill="FFFFFF"/>
          <w:vertAlign w:val="superscript"/>
        </w:rPr>
        <w:footnoteReference w:id="166"/>
      </w:r>
      <w:r w:rsidR="001F6DCF" w:rsidRPr="002A5475">
        <w:rPr>
          <w:rFonts w:asciiTheme="majorBidi" w:eastAsia="Calibri" w:hAnsiTheme="majorBidi" w:cstheme="majorBidi"/>
          <w:color w:val="000000"/>
          <w:szCs w:val="22"/>
          <w:shd w:val="clear" w:color="auto" w:fill="FFFFFF"/>
        </w:rPr>
        <w:t xml:space="preserve"> This conception of</w:t>
      </w:r>
      <w:r w:rsidR="001F6DCF">
        <w:rPr>
          <w:rFonts w:asciiTheme="majorBidi" w:eastAsia="Calibri" w:hAnsiTheme="majorBidi" w:cstheme="majorBidi"/>
          <w:color w:val="000000"/>
          <w:szCs w:val="22"/>
          <w:shd w:val="clear" w:color="auto" w:fill="FFFFFF"/>
        </w:rPr>
        <w:t xml:space="preserve"> a</w:t>
      </w:r>
      <w:r w:rsidR="001F6DCF" w:rsidRPr="002A5475">
        <w:rPr>
          <w:rFonts w:asciiTheme="majorBidi" w:eastAsia="Calibri" w:hAnsiTheme="majorBidi" w:cstheme="majorBidi"/>
          <w:color w:val="000000"/>
          <w:szCs w:val="22"/>
          <w:shd w:val="clear" w:color="auto" w:fill="FFFFFF"/>
        </w:rPr>
        <w:t xml:space="preserve"> prosthetic as personalized, wearable art challenges some of the uncomfortable </w:t>
      </w:r>
    </w:p>
    <w:p w14:paraId="5F57F6B5" w14:textId="77777777" w:rsidR="002A5475" w:rsidRPr="002A5475" w:rsidRDefault="002A5475" w:rsidP="002A5475">
      <w:pPr>
        <w:jc w:val="center"/>
        <w:rPr>
          <w:rFonts w:asciiTheme="majorBidi" w:eastAsia="Calibri" w:hAnsiTheme="majorBidi" w:cstheme="majorBidi"/>
          <w:color w:val="000000"/>
          <w:szCs w:val="22"/>
          <w:shd w:val="clear" w:color="auto" w:fill="FFFFFF"/>
        </w:rPr>
      </w:pPr>
      <w:r w:rsidRPr="002A5475">
        <w:rPr>
          <w:rFonts w:asciiTheme="majorBidi" w:eastAsia="Calibri" w:hAnsiTheme="majorBidi" w:cstheme="majorBidi"/>
          <w:noProof/>
          <w:szCs w:val="22"/>
        </w:rPr>
        <w:lastRenderedPageBreak/>
        <w:drawing>
          <wp:inline distT="0" distB="0" distL="0" distR="0" wp14:anchorId="0FC57F09" wp14:editId="0D12C85A">
            <wp:extent cx="4692650" cy="3136889"/>
            <wp:effectExtent l="0" t="0" r="0" b="6985"/>
            <wp:docPr id="9" name="Picture 9" descr="A person holding a saxopho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erson holding a saxophone&#10;&#10;Description automatically generated with medium confidenc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05660" cy="3145586"/>
                    </a:xfrm>
                    <a:prstGeom prst="rect">
                      <a:avLst/>
                    </a:prstGeom>
                    <a:noFill/>
                    <a:ln>
                      <a:noFill/>
                    </a:ln>
                  </pic:spPr>
                </pic:pic>
              </a:graphicData>
            </a:graphic>
          </wp:inline>
        </w:drawing>
      </w:r>
    </w:p>
    <w:p w14:paraId="4CA06561" w14:textId="3A52F53B" w:rsidR="002A5475" w:rsidRPr="002A5475" w:rsidRDefault="00673511" w:rsidP="00673511">
      <w:pPr>
        <w:pStyle w:val="Caption"/>
        <w:jc w:val="center"/>
        <w:rPr>
          <w:rFonts w:asciiTheme="majorBidi" w:hAnsiTheme="majorBidi" w:cstheme="majorBidi"/>
          <w:b w:val="0"/>
          <w:bCs w:val="0"/>
        </w:rPr>
      </w:pPr>
      <w:bookmarkStart w:id="33" w:name="_Toc101797044"/>
      <w:r w:rsidRPr="00673511">
        <w:rPr>
          <w:rFonts w:asciiTheme="majorBidi" w:hAnsiTheme="majorBidi" w:cstheme="majorBidi"/>
          <w:b w:val="0"/>
          <w:bCs w:val="0"/>
        </w:rPr>
        <w:t xml:space="preserve">Figure </w:t>
      </w:r>
      <w:r w:rsidRPr="00673511">
        <w:rPr>
          <w:rFonts w:asciiTheme="majorBidi" w:hAnsiTheme="majorBidi" w:cstheme="majorBidi"/>
          <w:b w:val="0"/>
          <w:bCs w:val="0"/>
        </w:rPr>
        <w:fldChar w:fldCharType="begin"/>
      </w:r>
      <w:r w:rsidRPr="00673511">
        <w:rPr>
          <w:rFonts w:asciiTheme="majorBidi" w:hAnsiTheme="majorBidi" w:cstheme="majorBidi"/>
          <w:b w:val="0"/>
          <w:bCs w:val="0"/>
        </w:rPr>
        <w:instrText xml:space="preserve"> SEQ Figure \* ARABIC </w:instrText>
      </w:r>
      <w:r w:rsidRPr="00673511">
        <w:rPr>
          <w:rFonts w:asciiTheme="majorBidi" w:hAnsiTheme="majorBidi" w:cstheme="majorBidi"/>
          <w:b w:val="0"/>
          <w:bCs w:val="0"/>
        </w:rPr>
        <w:fldChar w:fldCharType="separate"/>
      </w:r>
      <w:r w:rsidR="00A90752">
        <w:rPr>
          <w:rFonts w:asciiTheme="majorBidi" w:hAnsiTheme="majorBidi" w:cstheme="majorBidi"/>
          <w:b w:val="0"/>
          <w:bCs w:val="0"/>
          <w:noProof/>
        </w:rPr>
        <w:t>11</w:t>
      </w:r>
      <w:r w:rsidRPr="00673511">
        <w:rPr>
          <w:rFonts w:asciiTheme="majorBidi" w:hAnsiTheme="majorBidi" w:cstheme="majorBidi"/>
          <w:b w:val="0"/>
          <w:bCs w:val="0"/>
        </w:rPr>
        <w:fldChar w:fldCharType="end"/>
      </w:r>
      <w:r w:rsidRPr="00673511">
        <w:rPr>
          <w:rFonts w:asciiTheme="majorBidi" w:hAnsiTheme="majorBidi" w:cstheme="majorBidi"/>
          <w:b w:val="0"/>
          <w:bCs w:val="0"/>
        </w:rPr>
        <w:t xml:space="preserve">: “Synchronised” </w:t>
      </w:r>
      <w:r w:rsidR="002A5475" w:rsidRPr="002A5475">
        <w:rPr>
          <w:rFonts w:asciiTheme="majorBidi" w:eastAsia="Calibri" w:hAnsiTheme="majorBidi" w:cstheme="majorBidi"/>
          <w:b w:val="0"/>
          <w:bCs w:val="0"/>
        </w:rPr>
        <w:t xml:space="preserve">(2017) by </w:t>
      </w:r>
      <w:hyperlink r:id="rId23" w:history="1">
        <w:r w:rsidR="002A5475" w:rsidRPr="002A5475">
          <w:rPr>
            <w:rStyle w:val="Hyperlink"/>
            <w:rFonts w:asciiTheme="majorBidi" w:eastAsia="Calibri" w:hAnsiTheme="majorBidi" w:cstheme="majorBidi"/>
            <w:b w:val="0"/>
            <w:bCs w:val="0"/>
            <w:color w:val="auto"/>
            <w:u w:val="none"/>
          </w:rPr>
          <w:t>Sophie de Oliveira Barata and Dani Clode</w:t>
        </w:r>
      </w:hyperlink>
      <w:r w:rsidR="002A5475" w:rsidRPr="002A5475">
        <w:rPr>
          <w:rFonts w:asciiTheme="majorBidi" w:eastAsia="Calibri" w:hAnsiTheme="majorBidi" w:cstheme="majorBidi"/>
          <w:b w:val="0"/>
          <w:bCs w:val="0"/>
        </w:rPr>
        <w:t xml:space="preserve"> of </w:t>
      </w:r>
      <w:r w:rsidR="002A5475" w:rsidRPr="002A5475">
        <w:rPr>
          <w:rFonts w:asciiTheme="majorBidi" w:eastAsia="Calibri" w:hAnsiTheme="majorBidi" w:cstheme="majorBidi"/>
          <w:b w:val="0"/>
          <w:bCs w:val="0"/>
          <w:i/>
          <w:iCs/>
        </w:rPr>
        <w:t>The Alternative Limb Project</w:t>
      </w:r>
      <w:r w:rsidR="002A5475" w:rsidRPr="002A5475">
        <w:rPr>
          <w:rFonts w:asciiTheme="majorBidi" w:eastAsia="Calibri" w:hAnsiTheme="majorBidi" w:cstheme="majorBidi"/>
          <w:b w:val="0"/>
          <w:bCs w:val="0"/>
        </w:rPr>
        <w:t>. The arm, made from electroplated gold carbon fiber with clear acrylic, includes internal electronics that record and tick in time with the user’s heartbeat.</w:t>
      </w:r>
      <w:bookmarkEnd w:id="33"/>
    </w:p>
    <w:p w14:paraId="3200CBEE" w14:textId="77777777" w:rsidR="00673511" w:rsidRDefault="00673511" w:rsidP="002A5475">
      <w:pPr>
        <w:rPr>
          <w:rFonts w:asciiTheme="majorBidi" w:eastAsia="Calibri" w:hAnsiTheme="majorBidi" w:cstheme="majorBidi"/>
          <w:color w:val="000000"/>
          <w:szCs w:val="22"/>
          <w:shd w:val="clear" w:color="auto" w:fill="FFFFFF"/>
        </w:rPr>
      </w:pPr>
    </w:p>
    <w:p w14:paraId="405E1C18" w14:textId="1B96A29D" w:rsidR="002A5475" w:rsidRDefault="002A5475" w:rsidP="002A5475">
      <w:pPr>
        <w:rPr>
          <w:rFonts w:asciiTheme="majorBidi" w:eastAsia="Calibri" w:hAnsiTheme="majorBidi" w:cstheme="majorBidi"/>
          <w:color w:val="000000"/>
          <w:szCs w:val="22"/>
          <w:shd w:val="clear" w:color="auto" w:fill="FFFFFF"/>
        </w:rPr>
      </w:pPr>
      <w:r w:rsidRPr="002A5475">
        <w:rPr>
          <w:rFonts w:asciiTheme="majorBidi" w:eastAsia="Calibri" w:hAnsiTheme="majorBidi" w:cstheme="majorBidi"/>
          <w:color w:val="000000"/>
          <w:szCs w:val="22"/>
          <w:shd w:val="clear" w:color="auto" w:fill="FFFFFF"/>
        </w:rPr>
        <w:br/>
      </w:r>
    </w:p>
    <w:p w14:paraId="7CE93421" w14:textId="77777777" w:rsidR="009335FE" w:rsidRPr="002A5475" w:rsidRDefault="009335FE" w:rsidP="002A5475">
      <w:pPr>
        <w:rPr>
          <w:rFonts w:asciiTheme="majorBidi" w:eastAsia="Calibri" w:hAnsiTheme="majorBidi" w:cstheme="majorBidi"/>
          <w:color w:val="000000"/>
          <w:szCs w:val="22"/>
          <w:shd w:val="clear" w:color="auto" w:fill="FFFFFF"/>
        </w:rPr>
      </w:pPr>
    </w:p>
    <w:p w14:paraId="7568A719" w14:textId="77777777" w:rsidR="002A5475" w:rsidRPr="002A5475" w:rsidRDefault="002A5475" w:rsidP="002A5475">
      <w:pPr>
        <w:rPr>
          <w:rFonts w:asciiTheme="majorBidi" w:eastAsia="Calibri" w:hAnsiTheme="majorBidi" w:cstheme="majorBidi"/>
          <w:color w:val="000000"/>
          <w:szCs w:val="22"/>
          <w:shd w:val="clear" w:color="auto" w:fill="FFFFFF"/>
        </w:rPr>
      </w:pPr>
    </w:p>
    <w:p w14:paraId="4ADF56E1" w14:textId="77777777" w:rsidR="002A5475" w:rsidRPr="002A5475" w:rsidRDefault="002A5475" w:rsidP="002A5475">
      <w:pPr>
        <w:rPr>
          <w:rFonts w:asciiTheme="majorBidi" w:eastAsia="Calibri" w:hAnsiTheme="majorBidi" w:cstheme="majorBidi"/>
          <w:color w:val="000000"/>
          <w:szCs w:val="22"/>
          <w:shd w:val="clear" w:color="auto" w:fill="FFFFFF"/>
        </w:rPr>
      </w:pPr>
    </w:p>
    <w:p w14:paraId="7514C5AF" w14:textId="77777777" w:rsidR="002A5475" w:rsidRPr="002A5475" w:rsidRDefault="002A5475" w:rsidP="002A5475">
      <w:pPr>
        <w:jc w:val="center"/>
        <w:rPr>
          <w:rFonts w:asciiTheme="majorBidi" w:eastAsia="Calibri" w:hAnsiTheme="majorBidi" w:cstheme="majorBidi"/>
          <w:color w:val="FFFFFF"/>
          <w:szCs w:val="22"/>
          <w:shd w:val="clear" w:color="auto" w:fill="333333"/>
        </w:rPr>
      </w:pPr>
      <w:r w:rsidRPr="002A5475">
        <w:rPr>
          <w:rFonts w:asciiTheme="majorBidi" w:eastAsia="Calibri" w:hAnsiTheme="majorBidi" w:cstheme="majorBidi"/>
          <w:noProof/>
          <w:szCs w:val="22"/>
        </w:rPr>
        <w:drawing>
          <wp:inline distT="0" distB="0" distL="0" distR="0" wp14:anchorId="7A99D91E" wp14:editId="7B2B6089">
            <wp:extent cx="3703551" cy="2459313"/>
            <wp:effectExtent l="0" t="0" r="0" b="0"/>
            <wp:docPr id="14" name="Picture 14"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person&#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05615" cy="2460683"/>
                    </a:xfrm>
                    <a:prstGeom prst="rect">
                      <a:avLst/>
                    </a:prstGeom>
                    <a:noFill/>
                    <a:ln>
                      <a:noFill/>
                    </a:ln>
                  </pic:spPr>
                </pic:pic>
              </a:graphicData>
            </a:graphic>
          </wp:inline>
        </w:drawing>
      </w:r>
    </w:p>
    <w:p w14:paraId="38F0C382" w14:textId="2DD191C6" w:rsidR="002A5475" w:rsidRPr="002A5475" w:rsidRDefault="00673511" w:rsidP="00673511">
      <w:pPr>
        <w:pStyle w:val="Caption"/>
        <w:spacing w:before="0" w:after="0"/>
        <w:jc w:val="center"/>
        <w:rPr>
          <w:rFonts w:asciiTheme="majorBidi" w:hAnsiTheme="majorBidi" w:cstheme="majorBidi"/>
          <w:b w:val="0"/>
          <w:bCs w:val="0"/>
        </w:rPr>
      </w:pPr>
      <w:bookmarkStart w:id="34" w:name="_Toc101797045"/>
      <w:bookmarkStart w:id="35" w:name="_Hlk94705705"/>
      <w:r w:rsidRPr="00673511">
        <w:rPr>
          <w:rFonts w:asciiTheme="majorBidi" w:hAnsiTheme="majorBidi" w:cstheme="majorBidi"/>
          <w:b w:val="0"/>
          <w:bCs w:val="0"/>
        </w:rPr>
        <w:t xml:space="preserve">Figure </w:t>
      </w:r>
      <w:r w:rsidRPr="00673511">
        <w:rPr>
          <w:rFonts w:asciiTheme="majorBidi" w:hAnsiTheme="majorBidi" w:cstheme="majorBidi"/>
          <w:b w:val="0"/>
          <w:bCs w:val="0"/>
        </w:rPr>
        <w:fldChar w:fldCharType="begin"/>
      </w:r>
      <w:r w:rsidRPr="00673511">
        <w:rPr>
          <w:rFonts w:asciiTheme="majorBidi" w:hAnsiTheme="majorBidi" w:cstheme="majorBidi"/>
          <w:b w:val="0"/>
          <w:bCs w:val="0"/>
        </w:rPr>
        <w:instrText xml:space="preserve"> SEQ Figure \* ARABIC </w:instrText>
      </w:r>
      <w:r w:rsidRPr="00673511">
        <w:rPr>
          <w:rFonts w:asciiTheme="majorBidi" w:hAnsiTheme="majorBidi" w:cstheme="majorBidi"/>
          <w:b w:val="0"/>
          <w:bCs w:val="0"/>
        </w:rPr>
        <w:fldChar w:fldCharType="separate"/>
      </w:r>
      <w:r w:rsidR="00A90752">
        <w:rPr>
          <w:rFonts w:asciiTheme="majorBidi" w:hAnsiTheme="majorBidi" w:cstheme="majorBidi"/>
          <w:b w:val="0"/>
          <w:bCs w:val="0"/>
          <w:noProof/>
        </w:rPr>
        <w:t>12</w:t>
      </w:r>
      <w:r w:rsidRPr="00673511">
        <w:rPr>
          <w:rFonts w:asciiTheme="majorBidi" w:hAnsiTheme="majorBidi" w:cstheme="majorBidi"/>
          <w:b w:val="0"/>
          <w:bCs w:val="0"/>
        </w:rPr>
        <w:fldChar w:fldCharType="end"/>
      </w:r>
      <w:r w:rsidRPr="00673511">
        <w:rPr>
          <w:rFonts w:asciiTheme="majorBidi" w:hAnsiTheme="majorBidi" w:cstheme="majorBidi"/>
          <w:b w:val="0"/>
          <w:bCs w:val="0"/>
        </w:rPr>
        <w:t xml:space="preserve">: </w:t>
      </w:r>
      <w:r w:rsidR="00B61CF6">
        <w:rPr>
          <w:rFonts w:asciiTheme="majorBidi" w:hAnsiTheme="majorBidi" w:cstheme="majorBidi"/>
          <w:b w:val="0"/>
          <w:bCs w:val="0"/>
        </w:rPr>
        <w:t>“</w:t>
      </w:r>
      <w:r w:rsidRPr="00673511">
        <w:rPr>
          <w:rFonts w:asciiTheme="majorBidi" w:hAnsiTheme="majorBidi" w:cstheme="majorBidi"/>
          <w:b w:val="0"/>
          <w:bCs w:val="0"/>
        </w:rPr>
        <w:t>Spike</w:t>
      </w:r>
      <w:r w:rsidR="00B61CF6">
        <w:rPr>
          <w:rFonts w:asciiTheme="majorBidi" w:hAnsiTheme="majorBidi" w:cstheme="majorBidi"/>
          <w:b w:val="0"/>
          <w:bCs w:val="0"/>
        </w:rPr>
        <w:t>”</w:t>
      </w:r>
      <w:r w:rsidRPr="00673511">
        <w:rPr>
          <w:rFonts w:asciiTheme="majorBidi" w:hAnsiTheme="majorBidi" w:cstheme="majorBidi"/>
          <w:b w:val="0"/>
          <w:bCs w:val="0"/>
        </w:rPr>
        <w:t xml:space="preserve"> </w:t>
      </w:r>
      <w:r w:rsidR="002A5475" w:rsidRPr="002A5475">
        <w:rPr>
          <w:rFonts w:asciiTheme="majorBidi" w:eastAsia="Calibri" w:hAnsiTheme="majorBidi" w:cstheme="majorBidi"/>
          <w:b w:val="0"/>
          <w:bCs w:val="0"/>
        </w:rPr>
        <w:t xml:space="preserve">(2014) by </w:t>
      </w:r>
      <w:bookmarkStart w:id="36" w:name="_Hlk94705607"/>
      <w:r w:rsidR="002000CA" w:rsidRPr="002000CA">
        <w:rPr>
          <w:rFonts w:asciiTheme="majorBidi" w:eastAsia="Calibri" w:hAnsiTheme="majorBidi" w:cstheme="majorBidi"/>
          <w:b w:val="0"/>
          <w:bCs w:val="0"/>
        </w:rPr>
        <w:fldChar w:fldCharType="begin"/>
      </w:r>
      <w:r w:rsidR="002000CA" w:rsidRPr="002000CA">
        <w:rPr>
          <w:rFonts w:asciiTheme="majorBidi" w:eastAsia="Calibri" w:hAnsiTheme="majorBidi" w:cstheme="majorBidi"/>
          <w:b w:val="0"/>
          <w:bCs w:val="0"/>
        </w:rPr>
        <w:instrText xml:space="preserve"> HYPERLINK "https://thealternativelimbproject.com/limbs/spike/" </w:instrText>
      </w:r>
      <w:r w:rsidR="002000CA" w:rsidRPr="002000CA">
        <w:rPr>
          <w:rFonts w:asciiTheme="majorBidi" w:eastAsia="Calibri" w:hAnsiTheme="majorBidi" w:cstheme="majorBidi"/>
          <w:b w:val="0"/>
          <w:bCs w:val="0"/>
        </w:rPr>
        <w:fldChar w:fldCharType="separate"/>
      </w:r>
      <w:r w:rsidR="002A5475" w:rsidRPr="002A5475">
        <w:rPr>
          <w:rStyle w:val="Hyperlink"/>
          <w:rFonts w:asciiTheme="majorBidi" w:eastAsia="Calibri" w:hAnsiTheme="majorBidi" w:cstheme="majorBidi"/>
          <w:b w:val="0"/>
          <w:bCs w:val="0"/>
          <w:color w:val="auto"/>
          <w:u w:val="none"/>
        </w:rPr>
        <w:t>Sophie de Oliveira Barat</w:t>
      </w:r>
      <w:bookmarkEnd w:id="36"/>
      <w:r w:rsidR="002A5475" w:rsidRPr="002A5475">
        <w:rPr>
          <w:rStyle w:val="Hyperlink"/>
          <w:rFonts w:asciiTheme="majorBidi" w:eastAsia="Calibri" w:hAnsiTheme="majorBidi" w:cstheme="majorBidi"/>
          <w:b w:val="0"/>
          <w:bCs w:val="0"/>
          <w:color w:val="auto"/>
          <w:u w:val="none"/>
        </w:rPr>
        <w:t>a and Viktoria Modesta</w:t>
      </w:r>
      <w:r w:rsidR="002000CA" w:rsidRPr="002000CA">
        <w:rPr>
          <w:rFonts w:asciiTheme="majorBidi" w:eastAsia="Calibri" w:hAnsiTheme="majorBidi" w:cstheme="majorBidi"/>
          <w:b w:val="0"/>
          <w:bCs w:val="0"/>
        </w:rPr>
        <w:fldChar w:fldCharType="end"/>
      </w:r>
      <w:r w:rsidR="002A5475" w:rsidRPr="002A5475">
        <w:rPr>
          <w:rFonts w:asciiTheme="majorBidi" w:eastAsia="Calibri" w:hAnsiTheme="majorBidi" w:cstheme="majorBidi"/>
          <w:b w:val="0"/>
          <w:bCs w:val="0"/>
        </w:rPr>
        <w:t>.</w:t>
      </w:r>
      <w:bookmarkEnd w:id="34"/>
    </w:p>
    <w:p w14:paraId="078932AA" w14:textId="77777777" w:rsidR="002A5475" w:rsidRPr="002A5475" w:rsidRDefault="002A5475" w:rsidP="00673511">
      <w:pPr>
        <w:jc w:val="center"/>
        <w:rPr>
          <w:rFonts w:asciiTheme="majorBidi" w:eastAsia="Calibri" w:hAnsiTheme="majorBidi" w:cstheme="majorBidi"/>
        </w:rPr>
      </w:pPr>
      <w:r w:rsidRPr="002A5475">
        <w:rPr>
          <w:rFonts w:asciiTheme="majorBidi" w:eastAsia="Calibri" w:hAnsiTheme="majorBidi" w:cstheme="majorBidi"/>
        </w:rPr>
        <w:t>Leg made from expandable hard foam, fiberglass, steel, and black lacquer.</w:t>
      </w:r>
      <w:bookmarkEnd w:id="35"/>
    </w:p>
    <w:p w14:paraId="35694E78" w14:textId="77777777" w:rsidR="002A5475" w:rsidRPr="002A5475" w:rsidRDefault="002A5475" w:rsidP="002A5475">
      <w:pPr>
        <w:jc w:val="center"/>
        <w:rPr>
          <w:rFonts w:asciiTheme="majorBidi" w:eastAsia="Calibri" w:hAnsiTheme="majorBidi" w:cstheme="majorBidi"/>
          <w:szCs w:val="22"/>
        </w:rPr>
      </w:pPr>
    </w:p>
    <w:p w14:paraId="23F4199A" w14:textId="77777777" w:rsidR="002A5475" w:rsidRPr="002A5475" w:rsidRDefault="002A5475" w:rsidP="002A5475">
      <w:pPr>
        <w:jc w:val="center"/>
        <w:rPr>
          <w:rFonts w:asciiTheme="majorBidi" w:eastAsia="Calibri" w:hAnsiTheme="majorBidi" w:cstheme="majorBidi"/>
          <w:sz w:val="20"/>
          <w:szCs w:val="20"/>
        </w:rPr>
      </w:pPr>
      <w:bookmarkStart w:id="37" w:name="_Hlk94704657"/>
    </w:p>
    <w:bookmarkEnd w:id="37"/>
    <w:p w14:paraId="6686F1C6" w14:textId="77777777" w:rsidR="002A5475" w:rsidRPr="002A5475" w:rsidRDefault="002A5475" w:rsidP="002A5475">
      <w:pPr>
        <w:jc w:val="center"/>
        <w:rPr>
          <w:rFonts w:asciiTheme="majorBidi" w:eastAsia="Calibri" w:hAnsiTheme="majorBidi" w:cstheme="majorBidi"/>
          <w:szCs w:val="22"/>
        </w:rPr>
      </w:pPr>
    </w:p>
    <w:p w14:paraId="7F3A56C5" w14:textId="00D7FA5C" w:rsidR="00673511" w:rsidRPr="00673511" w:rsidRDefault="002A5475" w:rsidP="00673511">
      <w:pPr>
        <w:jc w:val="center"/>
        <w:rPr>
          <w:rFonts w:asciiTheme="majorBidi" w:eastAsia="Calibri" w:hAnsiTheme="majorBidi" w:cstheme="majorBidi"/>
          <w:color w:val="FFFFFF"/>
          <w:shd w:val="clear" w:color="auto" w:fill="333333"/>
        </w:rPr>
      </w:pPr>
      <w:r w:rsidRPr="002A5475">
        <w:rPr>
          <w:rFonts w:asciiTheme="majorBidi" w:eastAsia="Calibri" w:hAnsiTheme="majorBidi" w:cstheme="majorBidi"/>
          <w:noProof/>
        </w:rPr>
        <w:lastRenderedPageBreak/>
        <w:drawing>
          <wp:inline distT="0" distB="0" distL="0" distR="0" wp14:anchorId="4A2365B9" wp14:editId="68AB59A8">
            <wp:extent cx="5269832" cy="3513221"/>
            <wp:effectExtent l="0" t="0" r="7620" b="0"/>
            <wp:docPr id="10" name="Picture 10" descr="The-Alternative-Limb-Project,-photography-by-Becky-Dann-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he-Alternative-Limb-Project,-photography-by-Becky-Dann-0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07121" cy="3538081"/>
                    </a:xfrm>
                    <a:prstGeom prst="rect">
                      <a:avLst/>
                    </a:prstGeom>
                    <a:noFill/>
                    <a:ln>
                      <a:noFill/>
                    </a:ln>
                  </pic:spPr>
                </pic:pic>
              </a:graphicData>
            </a:graphic>
          </wp:inline>
        </w:drawing>
      </w:r>
    </w:p>
    <w:p w14:paraId="3B6B3C83" w14:textId="369D79F1" w:rsidR="002A5475" w:rsidRPr="002A5475" w:rsidRDefault="00673511" w:rsidP="00673511">
      <w:pPr>
        <w:pStyle w:val="Caption"/>
        <w:jc w:val="center"/>
        <w:rPr>
          <w:rFonts w:asciiTheme="majorBidi" w:hAnsiTheme="majorBidi" w:cstheme="majorBidi"/>
          <w:b w:val="0"/>
          <w:bCs w:val="0"/>
        </w:rPr>
      </w:pPr>
      <w:bookmarkStart w:id="38" w:name="_Toc101797046"/>
      <w:r w:rsidRPr="00673511">
        <w:rPr>
          <w:rFonts w:asciiTheme="majorBidi" w:hAnsiTheme="majorBidi" w:cstheme="majorBidi"/>
          <w:b w:val="0"/>
          <w:bCs w:val="0"/>
        </w:rPr>
        <w:t xml:space="preserve">Figure </w:t>
      </w:r>
      <w:r w:rsidRPr="00673511">
        <w:rPr>
          <w:rFonts w:asciiTheme="majorBidi" w:hAnsiTheme="majorBidi" w:cstheme="majorBidi"/>
          <w:b w:val="0"/>
          <w:bCs w:val="0"/>
        </w:rPr>
        <w:fldChar w:fldCharType="begin"/>
      </w:r>
      <w:r w:rsidRPr="00673511">
        <w:rPr>
          <w:rFonts w:asciiTheme="majorBidi" w:hAnsiTheme="majorBidi" w:cstheme="majorBidi"/>
          <w:b w:val="0"/>
          <w:bCs w:val="0"/>
        </w:rPr>
        <w:instrText xml:space="preserve"> SEQ Figure \* ARABIC </w:instrText>
      </w:r>
      <w:r w:rsidRPr="00673511">
        <w:rPr>
          <w:rFonts w:asciiTheme="majorBidi" w:hAnsiTheme="majorBidi" w:cstheme="majorBidi"/>
          <w:b w:val="0"/>
          <w:bCs w:val="0"/>
        </w:rPr>
        <w:fldChar w:fldCharType="separate"/>
      </w:r>
      <w:r w:rsidR="00A90752">
        <w:rPr>
          <w:rFonts w:asciiTheme="majorBidi" w:hAnsiTheme="majorBidi" w:cstheme="majorBidi"/>
          <w:b w:val="0"/>
          <w:bCs w:val="0"/>
          <w:noProof/>
        </w:rPr>
        <w:t>13</w:t>
      </w:r>
      <w:r w:rsidRPr="00673511">
        <w:rPr>
          <w:rFonts w:asciiTheme="majorBidi" w:hAnsiTheme="majorBidi" w:cstheme="majorBidi"/>
          <w:b w:val="0"/>
          <w:bCs w:val="0"/>
        </w:rPr>
        <w:fldChar w:fldCharType="end"/>
      </w:r>
      <w:r w:rsidRPr="00673511">
        <w:rPr>
          <w:rFonts w:asciiTheme="majorBidi" w:hAnsiTheme="majorBidi" w:cstheme="majorBidi"/>
          <w:b w:val="0"/>
          <w:bCs w:val="0"/>
        </w:rPr>
        <w:t xml:space="preserve">: </w:t>
      </w:r>
      <w:r w:rsidR="00B61CF6">
        <w:rPr>
          <w:rFonts w:asciiTheme="majorBidi" w:hAnsiTheme="majorBidi" w:cstheme="majorBidi"/>
          <w:b w:val="0"/>
          <w:bCs w:val="0"/>
        </w:rPr>
        <w:t>“</w:t>
      </w:r>
      <w:r w:rsidRPr="00673511">
        <w:rPr>
          <w:rFonts w:asciiTheme="majorBidi" w:hAnsiTheme="majorBidi" w:cstheme="majorBidi"/>
          <w:b w:val="0"/>
          <w:bCs w:val="0"/>
        </w:rPr>
        <w:t>Cuckoo</w:t>
      </w:r>
      <w:r w:rsidR="00B61CF6">
        <w:rPr>
          <w:rFonts w:asciiTheme="majorBidi" w:hAnsiTheme="majorBidi" w:cstheme="majorBidi"/>
          <w:b w:val="0"/>
          <w:bCs w:val="0"/>
        </w:rPr>
        <w:t>”</w:t>
      </w:r>
      <w:r w:rsidRPr="00673511">
        <w:rPr>
          <w:rFonts w:asciiTheme="majorBidi" w:hAnsiTheme="majorBidi" w:cstheme="majorBidi"/>
          <w:b w:val="0"/>
          <w:bCs w:val="0"/>
        </w:rPr>
        <w:t xml:space="preserve"> </w:t>
      </w:r>
      <w:r w:rsidR="002A5475" w:rsidRPr="002A5475">
        <w:rPr>
          <w:rFonts w:asciiTheme="majorBidi" w:eastAsia="Calibri" w:hAnsiTheme="majorBidi" w:cstheme="majorBidi"/>
          <w:b w:val="0"/>
          <w:bCs w:val="0"/>
        </w:rPr>
        <w:t xml:space="preserve">(2020) by </w:t>
      </w:r>
      <w:hyperlink r:id="rId26" w:history="1">
        <w:r w:rsidR="002A5475" w:rsidRPr="002A5475">
          <w:rPr>
            <w:rStyle w:val="Hyperlink"/>
            <w:rFonts w:asciiTheme="majorBidi" w:eastAsia="Calibri" w:hAnsiTheme="majorBidi" w:cstheme="majorBidi"/>
            <w:b w:val="0"/>
            <w:bCs w:val="0"/>
            <w:color w:val="auto"/>
            <w:u w:val="none"/>
          </w:rPr>
          <w:t>Sophie de Oliveira Barata with Sam Rudman, Chris Parsons, Rory Thompson, and Sadie Clayton</w:t>
        </w:r>
      </w:hyperlink>
      <w:r w:rsidR="002A5475" w:rsidRPr="002A5475">
        <w:rPr>
          <w:rFonts w:asciiTheme="majorBidi" w:eastAsia="Calibri" w:hAnsiTheme="majorBidi" w:cstheme="majorBidi"/>
          <w:b w:val="0"/>
          <w:bCs w:val="0"/>
        </w:rPr>
        <w:t>. The leg’s internal electronics and battery, which operate the clock and pendulum, are housed inside of carved cherry wood.</w:t>
      </w:r>
      <w:bookmarkEnd w:id="38"/>
    </w:p>
    <w:p w14:paraId="1BFD3380" w14:textId="77777777" w:rsidR="002A5475" w:rsidRPr="002A5475" w:rsidRDefault="002A5475" w:rsidP="002A5475">
      <w:pPr>
        <w:jc w:val="center"/>
        <w:rPr>
          <w:rFonts w:asciiTheme="majorBidi" w:eastAsia="Calibri" w:hAnsiTheme="majorBidi" w:cstheme="majorBidi"/>
        </w:rPr>
      </w:pPr>
    </w:p>
    <w:p w14:paraId="5BAD7B08" w14:textId="77777777" w:rsidR="002A5475" w:rsidRPr="002A5475" w:rsidRDefault="002A5475" w:rsidP="002A5475">
      <w:pPr>
        <w:jc w:val="center"/>
        <w:rPr>
          <w:rFonts w:asciiTheme="majorBidi" w:eastAsia="Calibri" w:hAnsiTheme="majorBidi" w:cstheme="majorBidi"/>
        </w:rPr>
      </w:pPr>
    </w:p>
    <w:p w14:paraId="2955D154" w14:textId="77777777" w:rsidR="002A5475" w:rsidRPr="002A5475" w:rsidRDefault="002A5475" w:rsidP="002A5475">
      <w:pPr>
        <w:jc w:val="center"/>
        <w:rPr>
          <w:rFonts w:asciiTheme="majorBidi" w:eastAsia="Calibri" w:hAnsiTheme="majorBidi" w:cstheme="majorBidi"/>
        </w:rPr>
      </w:pPr>
    </w:p>
    <w:p w14:paraId="5C4C3AD0" w14:textId="77777777" w:rsidR="002A5475" w:rsidRPr="002A5475" w:rsidRDefault="002A5475" w:rsidP="002A5475">
      <w:pPr>
        <w:jc w:val="center"/>
        <w:rPr>
          <w:rFonts w:asciiTheme="majorBidi" w:eastAsia="Calibri" w:hAnsiTheme="majorBidi" w:cstheme="majorBidi"/>
        </w:rPr>
      </w:pPr>
    </w:p>
    <w:p w14:paraId="73791959" w14:textId="77777777" w:rsidR="002A5475" w:rsidRPr="002A5475" w:rsidRDefault="002A5475" w:rsidP="002A5475">
      <w:pPr>
        <w:rPr>
          <w:rFonts w:asciiTheme="majorBidi" w:eastAsia="Calibri" w:hAnsiTheme="majorBidi" w:cstheme="majorBidi"/>
          <w:color w:val="000000"/>
          <w:shd w:val="clear" w:color="auto" w:fill="FFFFFF"/>
        </w:rPr>
      </w:pPr>
      <w:r w:rsidRPr="002A5475">
        <w:rPr>
          <w:rFonts w:asciiTheme="majorBidi" w:eastAsia="Calibri" w:hAnsiTheme="majorBidi" w:cstheme="majorBidi"/>
          <w:color w:val="000000"/>
          <w:shd w:val="clear" w:color="auto" w:fill="FFFFFF"/>
        </w:rPr>
        <w:br w:type="page"/>
      </w:r>
    </w:p>
    <w:p w14:paraId="07CE58BB" w14:textId="0ADF7FFB" w:rsidR="002A5475" w:rsidRPr="002A5475" w:rsidRDefault="001F6DCF" w:rsidP="002A5475">
      <w:pPr>
        <w:spacing w:line="480" w:lineRule="auto"/>
        <w:rPr>
          <w:rFonts w:asciiTheme="majorBidi" w:eastAsia="Calibri" w:hAnsiTheme="majorBidi" w:cstheme="majorBidi"/>
          <w:color w:val="000000"/>
          <w:szCs w:val="22"/>
          <w:shd w:val="clear" w:color="auto" w:fill="FFFFFF"/>
        </w:rPr>
      </w:pPr>
      <w:r w:rsidRPr="002A5475">
        <w:rPr>
          <w:rFonts w:asciiTheme="majorBidi" w:eastAsia="Calibri" w:hAnsiTheme="majorBidi" w:cstheme="majorBidi"/>
          <w:color w:val="000000"/>
          <w:szCs w:val="22"/>
          <w:shd w:val="clear" w:color="auto" w:fill="FFFFFF"/>
        </w:rPr>
        <w:lastRenderedPageBreak/>
        <w:t xml:space="preserve">paradoxes identified by </w:t>
      </w:r>
      <w:r w:rsidR="002A5475" w:rsidRPr="002A5475">
        <w:rPr>
          <w:rFonts w:asciiTheme="majorBidi" w:eastAsia="Calibri" w:hAnsiTheme="majorBidi" w:cstheme="majorBidi"/>
          <w:color w:val="000000"/>
          <w:szCs w:val="22"/>
          <w:shd w:val="clear" w:color="auto" w:fill="FFFFFF"/>
        </w:rPr>
        <w:t>disability studies</w:t>
      </w:r>
      <w:r w:rsidR="00F65069">
        <w:rPr>
          <w:rFonts w:asciiTheme="majorBidi" w:eastAsia="Calibri" w:hAnsiTheme="majorBidi" w:cstheme="majorBidi"/>
          <w:color w:val="000000"/>
          <w:szCs w:val="22"/>
          <w:shd w:val="clear" w:color="auto" w:fill="FFFFFF"/>
        </w:rPr>
        <w:t xml:space="preserve"> </w:t>
      </w:r>
      <w:r w:rsidR="002A5475" w:rsidRPr="002A5475">
        <w:rPr>
          <w:rFonts w:asciiTheme="majorBidi" w:eastAsia="Calibri" w:hAnsiTheme="majorBidi" w:cstheme="majorBidi"/>
          <w:color w:val="000000"/>
          <w:szCs w:val="22"/>
          <w:shd w:val="clear" w:color="auto" w:fill="FFFFFF"/>
        </w:rPr>
        <w:t>scholars in recent decades.</w:t>
      </w:r>
      <w:r w:rsidR="002A5475" w:rsidRPr="002A5475">
        <w:rPr>
          <w:rFonts w:asciiTheme="majorBidi" w:eastAsia="Calibri" w:hAnsiTheme="majorBidi" w:cstheme="majorBidi"/>
          <w:color w:val="000000"/>
          <w:szCs w:val="22"/>
          <w:shd w:val="clear" w:color="auto" w:fill="FFFFFF"/>
          <w:vertAlign w:val="superscript"/>
        </w:rPr>
        <w:footnoteReference w:id="167"/>
      </w:r>
      <w:r w:rsidR="002A5475" w:rsidRPr="002A5475">
        <w:rPr>
          <w:rFonts w:asciiTheme="majorBidi" w:eastAsia="Calibri" w:hAnsiTheme="majorBidi" w:cstheme="majorBidi"/>
          <w:color w:val="000000"/>
          <w:szCs w:val="22"/>
          <w:shd w:val="clear" w:color="auto" w:fill="FFFFFF"/>
        </w:rPr>
        <w:t xml:space="preserve"> If the prosthetic ceases to mimic and, instead, exists as tangible extension of the user’s identity, it resists the tactical </w:t>
      </w:r>
      <w:r w:rsidR="00BE7942">
        <w:rPr>
          <w:rFonts w:asciiTheme="majorBidi" w:eastAsia="Calibri" w:hAnsiTheme="majorBidi" w:cstheme="majorBidi"/>
          <w:color w:val="000000"/>
          <w:szCs w:val="22"/>
          <w:shd w:val="clear" w:color="auto" w:fill="FFFFFF"/>
        </w:rPr>
        <w:t>normative aesthetic</w:t>
      </w:r>
      <w:r w:rsidR="002A5475" w:rsidRPr="002A5475">
        <w:rPr>
          <w:rFonts w:asciiTheme="majorBidi" w:eastAsia="Calibri" w:hAnsiTheme="majorBidi" w:cstheme="majorBidi"/>
          <w:color w:val="000000"/>
          <w:szCs w:val="22"/>
          <w:shd w:val="clear" w:color="auto" w:fill="FFFFFF"/>
        </w:rPr>
        <w:t xml:space="preserve"> the object originally sought to accomplish.  </w:t>
      </w:r>
    </w:p>
    <w:p w14:paraId="122EB8E8" w14:textId="3DAD375B" w:rsidR="002A5475" w:rsidRPr="002A5475" w:rsidRDefault="002A5475" w:rsidP="002A5475">
      <w:pPr>
        <w:spacing w:line="480" w:lineRule="auto"/>
        <w:ind w:firstLine="720"/>
        <w:rPr>
          <w:rFonts w:asciiTheme="majorBidi" w:eastAsia="Calibri" w:hAnsiTheme="majorBidi" w:cstheme="majorBidi"/>
          <w:color w:val="000000"/>
          <w:szCs w:val="22"/>
          <w:shd w:val="clear" w:color="auto" w:fill="FFFFFF"/>
        </w:rPr>
      </w:pPr>
      <w:r w:rsidRPr="002A5475">
        <w:rPr>
          <w:rFonts w:asciiTheme="majorBidi" w:eastAsia="Calibri" w:hAnsiTheme="majorBidi" w:cstheme="majorBidi"/>
          <w:color w:val="000000"/>
          <w:szCs w:val="22"/>
          <w:shd w:val="clear" w:color="auto" w:fill="FFFFFF"/>
        </w:rPr>
        <w:t xml:space="preserve">The same effect is achieved on the other end of the spectrum where the prosthetic impulse is sheerly functional. Prosthetics developed for elite athletes with disabilities may take some of their inspiration from typical human anatomy, but they do not aim for aesthetic imitation. </w:t>
      </w:r>
      <w:r w:rsidR="009335FE">
        <w:rPr>
          <w:rFonts w:asciiTheme="majorBidi" w:eastAsia="Calibri" w:hAnsiTheme="majorBidi" w:cstheme="majorBidi"/>
          <w:color w:val="000000"/>
          <w:szCs w:val="22"/>
          <w:shd w:val="clear" w:color="auto" w:fill="FFFFFF"/>
        </w:rPr>
        <w:t xml:space="preserve">In the late twentieth century, </w:t>
      </w:r>
      <w:r w:rsidRPr="002A5475">
        <w:rPr>
          <w:rFonts w:asciiTheme="majorBidi" w:eastAsia="Calibri" w:hAnsiTheme="majorBidi" w:cstheme="majorBidi"/>
          <w:color w:val="000000"/>
          <w:szCs w:val="22"/>
          <w:shd w:val="clear" w:color="auto" w:fill="FFFFFF"/>
        </w:rPr>
        <w:t>Van Phillips, the amputee creator of the first running blade, chose to forgo the then-common endeavor to recreate typical human bone structure; instead, he sought to mimic the biomechanics of tendons and ligaments and the C-shape of a cheetah’s legs. His prototypes in the 1990’s brought about yet another sea change in prosthetic technology and perspective: a focus on function over and above mimesis or camouflage.</w:t>
      </w:r>
      <w:r w:rsidRPr="002A5475">
        <w:rPr>
          <w:rFonts w:asciiTheme="majorBidi" w:eastAsia="Calibri" w:hAnsiTheme="majorBidi" w:cstheme="majorBidi"/>
          <w:color w:val="000000"/>
          <w:szCs w:val="22"/>
          <w:shd w:val="clear" w:color="auto" w:fill="FFFFFF"/>
          <w:vertAlign w:val="superscript"/>
        </w:rPr>
        <w:footnoteReference w:id="168"/>
      </w:r>
      <w:r w:rsidRPr="002A5475">
        <w:rPr>
          <w:rFonts w:asciiTheme="majorBidi" w:eastAsia="Calibri" w:hAnsiTheme="majorBidi" w:cstheme="majorBidi"/>
          <w:color w:val="000000"/>
          <w:szCs w:val="22"/>
          <w:shd w:val="clear" w:color="auto" w:fill="FFFFFF"/>
        </w:rPr>
        <w:t xml:space="preserve"> </w:t>
      </w:r>
      <w:bookmarkEnd w:id="29"/>
      <w:r w:rsidRPr="002A5475">
        <w:rPr>
          <w:rFonts w:asciiTheme="majorBidi" w:eastAsia="Calibri" w:hAnsiTheme="majorBidi" w:cstheme="majorBidi"/>
          <w:color w:val="000000"/>
          <w:szCs w:val="22"/>
          <w:shd w:val="clear" w:color="auto" w:fill="FFFFFF"/>
        </w:rPr>
        <w:t xml:space="preserve">Prosthesis that deviates from and so improves on the human form: what could sound more like Shelley? Mobility aids and prosthetics for outdoor adventure sports, too, often resemble machines or animals. Skiers with lower-body disabilities can fit skis and boards with outriggers; surfers with arm or hand differences can paddle out with hand fins; rock climbers can scale routes with appendages that resemble pitons. The staggering variety and interchangeability of </w:t>
      </w:r>
      <w:r w:rsidRPr="002A5475">
        <w:rPr>
          <w:rFonts w:asciiTheme="majorBidi" w:eastAsia="Calibri" w:hAnsiTheme="majorBidi" w:cstheme="majorBidi"/>
          <w:color w:val="000000"/>
          <w:szCs w:val="22"/>
          <w:shd w:val="clear" w:color="auto" w:fill="FFFFFF"/>
        </w:rPr>
        <w:lastRenderedPageBreak/>
        <w:t xml:space="preserve">prosthetic limbs attests to the seemingly infinite adaptability of the human body to its surroundings with the help of artificial supplement. </w:t>
      </w:r>
    </w:p>
    <w:p w14:paraId="7446612A" w14:textId="77777777" w:rsidR="00F93A29" w:rsidRPr="002A5475" w:rsidRDefault="002A5475" w:rsidP="00F93A29">
      <w:pPr>
        <w:spacing w:line="480" w:lineRule="auto"/>
        <w:rPr>
          <w:rFonts w:asciiTheme="majorBidi" w:eastAsia="Calibri" w:hAnsiTheme="majorBidi" w:cstheme="majorBidi"/>
          <w:color w:val="000000"/>
          <w:szCs w:val="22"/>
          <w:shd w:val="clear" w:color="auto" w:fill="FFFFFF"/>
        </w:rPr>
      </w:pPr>
      <w:r w:rsidRPr="002A5475">
        <w:rPr>
          <w:rFonts w:asciiTheme="majorBidi" w:eastAsia="Calibri" w:hAnsiTheme="majorBidi" w:cstheme="majorBidi"/>
          <w:color w:val="000000"/>
          <w:szCs w:val="22"/>
          <w:shd w:val="clear" w:color="auto" w:fill="FFFFFF"/>
        </w:rPr>
        <w:t>The artful production of bespoke, high-fashion prosthetics; the “superhuman”-granting potential of athletic prosthetics: it could only be a matter of time before the prosthetic object became a new kind of commodity, one that marked not physical otherness, but good taste, competitive edge, and social status.</w:t>
      </w:r>
      <w:r w:rsidRPr="002A5475">
        <w:rPr>
          <w:rFonts w:asciiTheme="majorBidi" w:eastAsia="Calibri" w:hAnsiTheme="majorBidi" w:cstheme="majorBidi"/>
          <w:color w:val="000000"/>
          <w:szCs w:val="22"/>
          <w:shd w:val="clear" w:color="auto" w:fill="FFFFFF"/>
          <w:vertAlign w:val="superscript"/>
        </w:rPr>
        <w:footnoteReference w:id="169"/>
      </w:r>
      <w:r w:rsidRPr="002A5475">
        <w:rPr>
          <w:rFonts w:asciiTheme="majorBidi" w:eastAsia="Calibri" w:hAnsiTheme="majorBidi" w:cstheme="majorBidi"/>
          <w:color w:val="000000"/>
          <w:szCs w:val="22"/>
          <w:shd w:val="clear" w:color="auto" w:fill="FFFFFF"/>
        </w:rPr>
        <w:t xml:space="preserve"> Consider, finally, experiments at the nexus of art and functionality: prosthetic objects that literally extend and “improve” the nondisabled body. </w:t>
      </w:r>
      <w:r w:rsidR="00141B0F">
        <w:rPr>
          <w:rFonts w:asciiTheme="majorBidi" w:eastAsia="Calibri" w:hAnsiTheme="majorBidi" w:cstheme="majorBidi"/>
          <w:color w:val="000000"/>
          <w:szCs w:val="22"/>
          <w:shd w:val="clear" w:color="auto" w:fill="FFFFFF"/>
        </w:rPr>
        <w:t>Take, for example, d</w:t>
      </w:r>
      <w:r w:rsidRPr="002A5475">
        <w:rPr>
          <w:rFonts w:asciiTheme="majorBidi" w:eastAsia="Calibri" w:hAnsiTheme="majorBidi" w:cstheme="majorBidi"/>
          <w:color w:val="000000"/>
          <w:szCs w:val="22"/>
          <w:shd w:val="clear" w:color="auto" w:fill="FFFFFF"/>
        </w:rPr>
        <w:t>esigner Dani Clode’s “The Third Thumb” (2021)</w:t>
      </w:r>
      <w:r w:rsidR="00141B0F">
        <w:rPr>
          <w:rFonts w:asciiTheme="majorBidi" w:eastAsia="Calibri" w:hAnsiTheme="majorBidi" w:cstheme="majorBidi"/>
          <w:color w:val="000000"/>
          <w:szCs w:val="22"/>
          <w:shd w:val="clear" w:color="auto" w:fill="FFFFFF"/>
        </w:rPr>
        <w:t>, which</w:t>
      </w:r>
      <w:r w:rsidRPr="002A5475">
        <w:rPr>
          <w:rFonts w:asciiTheme="majorBidi" w:eastAsia="Calibri" w:hAnsiTheme="majorBidi" w:cstheme="majorBidi"/>
          <w:color w:val="000000"/>
          <w:szCs w:val="22"/>
          <w:shd w:val="clear" w:color="auto" w:fill="FFFFFF"/>
        </w:rPr>
        <w:t xml:space="preserve"> fuses biomedical engineering, robotics, and art in an effort to reengineer some of our most basic anatomical architecture. (See</w:t>
      </w:r>
      <w:r w:rsidR="00141B0F">
        <w:rPr>
          <w:rFonts w:asciiTheme="majorBidi" w:eastAsia="Calibri" w:hAnsiTheme="majorBidi" w:cstheme="majorBidi"/>
          <w:color w:val="000000"/>
          <w:szCs w:val="22"/>
          <w:shd w:val="clear" w:color="auto" w:fill="FFFFFF"/>
        </w:rPr>
        <w:t xml:space="preserve"> her work in</w:t>
      </w:r>
      <w:r w:rsidRPr="002A5475">
        <w:rPr>
          <w:rFonts w:asciiTheme="majorBidi" w:eastAsia="Calibri" w:hAnsiTheme="majorBidi" w:cstheme="majorBidi"/>
          <w:color w:val="000000"/>
          <w:szCs w:val="22"/>
          <w:shd w:val="clear" w:color="auto" w:fill="FFFFFF"/>
        </w:rPr>
        <w:t xml:space="preserve"> figures 14 and 15.) Working with neuroscientists at University College London, Clode describes her 3D-printed thumb extension (which users controls with their feet) as “part tool, part experience . . . a model by which we </w:t>
      </w:r>
      <w:r w:rsidR="00A90752" w:rsidRPr="002A5475">
        <w:rPr>
          <w:rFonts w:asciiTheme="majorBidi" w:eastAsia="Calibri" w:hAnsiTheme="majorBidi" w:cstheme="majorBidi"/>
          <w:color w:val="000000"/>
          <w:szCs w:val="22"/>
          <w:shd w:val="clear" w:color="auto" w:fill="FFFFFF"/>
        </w:rPr>
        <w:t>better understand human response to artificial</w:t>
      </w:r>
      <w:r w:rsidR="00F93A29">
        <w:rPr>
          <w:rFonts w:asciiTheme="majorBidi" w:eastAsia="Calibri" w:hAnsiTheme="majorBidi" w:cstheme="majorBidi"/>
          <w:color w:val="000000"/>
          <w:szCs w:val="22"/>
          <w:shd w:val="clear" w:color="auto" w:fill="FFFFFF"/>
        </w:rPr>
        <w:t xml:space="preserve"> </w:t>
      </w:r>
      <w:r w:rsidR="00F93A29" w:rsidRPr="002A5475">
        <w:rPr>
          <w:rFonts w:asciiTheme="majorBidi" w:eastAsia="Calibri" w:hAnsiTheme="majorBidi" w:cstheme="majorBidi"/>
          <w:color w:val="000000"/>
          <w:szCs w:val="22"/>
          <w:shd w:val="clear" w:color="auto" w:fill="FFFFFF"/>
        </w:rPr>
        <w:t>extensions.”</w:t>
      </w:r>
      <w:r w:rsidR="00F93A29" w:rsidRPr="002A5475">
        <w:rPr>
          <w:rFonts w:asciiTheme="majorBidi" w:eastAsia="Calibri" w:hAnsiTheme="majorBidi" w:cstheme="majorBidi"/>
          <w:color w:val="000000"/>
          <w:szCs w:val="22"/>
          <w:shd w:val="clear" w:color="auto" w:fill="FFFFFF"/>
          <w:vertAlign w:val="superscript"/>
        </w:rPr>
        <w:footnoteReference w:id="170"/>
      </w:r>
      <w:r w:rsidR="00F93A29" w:rsidRPr="002A5475">
        <w:rPr>
          <w:rFonts w:asciiTheme="majorBidi" w:eastAsia="Calibri" w:hAnsiTheme="majorBidi" w:cstheme="majorBidi"/>
          <w:color w:val="000000"/>
          <w:szCs w:val="22"/>
          <w:shd w:val="clear" w:color="auto" w:fill="FFFFFF"/>
        </w:rPr>
        <w:t xml:space="preserve"> The wearable thumb sits</w:t>
      </w:r>
      <w:r w:rsidR="00F93A29">
        <w:rPr>
          <w:rFonts w:asciiTheme="majorBidi" w:eastAsia="Calibri" w:hAnsiTheme="majorBidi" w:cstheme="majorBidi"/>
          <w:color w:val="000000"/>
          <w:szCs w:val="22"/>
          <w:shd w:val="clear" w:color="auto" w:fill="FFFFFF"/>
        </w:rPr>
        <w:t xml:space="preserve"> </w:t>
      </w:r>
      <w:r w:rsidR="00F93A29" w:rsidRPr="002A5475">
        <w:rPr>
          <w:rFonts w:asciiTheme="majorBidi" w:eastAsia="Calibri" w:hAnsiTheme="majorBidi" w:cstheme="majorBidi"/>
          <w:color w:val="000000"/>
          <w:szCs w:val="22"/>
          <w:shd w:val="clear" w:color="auto" w:fill="FFFFFF"/>
        </w:rPr>
        <w:t>next to the pinky. It does not replace a missing part. It is,</w:t>
      </w:r>
      <w:r w:rsidR="00F93A29">
        <w:rPr>
          <w:rFonts w:asciiTheme="majorBidi" w:eastAsia="Calibri" w:hAnsiTheme="majorBidi" w:cstheme="majorBidi"/>
          <w:color w:val="000000"/>
          <w:szCs w:val="22"/>
          <w:shd w:val="clear" w:color="auto" w:fill="FFFFFF"/>
        </w:rPr>
        <w:t xml:space="preserve"> </w:t>
      </w:r>
      <w:r w:rsidR="00F93A29" w:rsidRPr="002A5475">
        <w:rPr>
          <w:rFonts w:asciiTheme="majorBidi" w:eastAsia="Calibri" w:hAnsiTheme="majorBidi" w:cstheme="majorBidi"/>
          <w:color w:val="000000"/>
          <w:szCs w:val="22"/>
          <w:shd w:val="clear" w:color="auto" w:fill="FFFFFF"/>
        </w:rPr>
        <w:t>in reality, completely unnecessary, but it also astounding in its practicality. It shows us what the body could be, gesturing (not terribly subtly) to the shortcomings of the normative anatomical blueprint and the seemingly boundless potentials</w:t>
      </w:r>
      <w:r w:rsidR="00F93A29">
        <w:rPr>
          <w:rFonts w:asciiTheme="majorBidi" w:eastAsia="Calibri" w:hAnsiTheme="majorBidi" w:cstheme="majorBidi"/>
          <w:color w:val="000000"/>
          <w:szCs w:val="22"/>
          <w:shd w:val="clear" w:color="auto" w:fill="FFFFFF"/>
        </w:rPr>
        <w:t xml:space="preserve"> for the human-object interface</w:t>
      </w:r>
      <w:r w:rsidR="00F93A29" w:rsidRPr="002A5475">
        <w:rPr>
          <w:rFonts w:asciiTheme="majorBidi" w:eastAsia="Calibri" w:hAnsiTheme="majorBidi" w:cstheme="majorBidi"/>
          <w:color w:val="000000"/>
          <w:szCs w:val="22"/>
          <w:shd w:val="clear" w:color="auto" w:fill="FFFFFF"/>
        </w:rPr>
        <w:t xml:space="preserve"> inherent to our brain’s neuroplasticity. </w:t>
      </w:r>
    </w:p>
    <w:p w14:paraId="02FD1E93" w14:textId="52D3945A" w:rsidR="00141B0F" w:rsidRDefault="002D420B" w:rsidP="00141B0F">
      <w:pPr>
        <w:spacing w:line="480" w:lineRule="auto"/>
        <w:ind w:firstLine="720"/>
        <w:rPr>
          <w:rFonts w:asciiTheme="majorBidi" w:eastAsia="Calibri" w:hAnsiTheme="majorBidi" w:cstheme="majorBidi"/>
          <w:color w:val="000000"/>
          <w:szCs w:val="22"/>
          <w:shd w:val="clear" w:color="auto" w:fill="FFFFFF"/>
        </w:rPr>
      </w:pPr>
      <w:r w:rsidRPr="002A5475">
        <w:rPr>
          <w:rFonts w:asciiTheme="majorBidi" w:eastAsia="Calibri" w:hAnsiTheme="majorBidi" w:cstheme="majorBidi"/>
          <w:color w:val="000000"/>
          <w:szCs w:val="22"/>
          <w:shd w:val="clear" w:color="auto" w:fill="FFFFFF"/>
        </w:rPr>
        <w:t>The inquiries posed in this dissertation mean to contribute to a larger contemplation of</w:t>
      </w:r>
    </w:p>
    <w:p w14:paraId="37D1EED8" w14:textId="13D5C8FD" w:rsidR="00141B0F" w:rsidRDefault="002D420B">
      <w:pPr>
        <w:rPr>
          <w:rFonts w:asciiTheme="majorBidi" w:eastAsia="Calibri" w:hAnsiTheme="majorBidi" w:cstheme="majorBidi"/>
          <w:color w:val="000000"/>
          <w:szCs w:val="22"/>
          <w:shd w:val="clear" w:color="auto" w:fill="FFFFFF"/>
        </w:rPr>
      </w:pPr>
      <w:r w:rsidRPr="002A5475">
        <w:rPr>
          <w:rFonts w:asciiTheme="majorBidi" w:eastAsia="Calibri" w:hAnsiTheme="majorBidi" w:cstheme="majorBidi"/>
          <w:color w:val="000000"/>
          <w:szCs w:val="22"/>
          <w:shd w:val="clear" w:color="auto" w:fill="FFFFFF"/>
        </w:rPr>
        <w:t xml:space="preserve">the material realities and repercussions of fiction—of how literature is not merely </w:t>
      </w:r>
      <w:r w:rsidRPr="002A5475">
        <w:rPr>
          <w:rFonts w:asciiTheme="majorBidi" w:eastAsia="Calibri" w:hAnsiTheme="majorBidi" w:cstheme="majorBidi"/>
          <w:szCs w:val="22"/>
        </w:rPr>
        <w:t xml:space="preserve">a reflection of </w:t>
      </w:r>
      <w:r w:rsidR="00141B0F">
        <w:rPr>
          <w:rFonts w:asciiTheme="majorBidi" w:eastAsia="Calibri" w:hAnsiTheme="majorBidi" w:cstheme="majorBidi"/>
          <w:color w:val="000000"/>
          <w:szCs w:val="22"/>
          <w:shd w:val="clear" w:color="auto" w:fill="FFFFFF"/>
        </w:rPr>
        <w:br w:type="page"/>
      </w:r>
    </w:p>
    <w:p w14:paraId="0BC4B222" w14:textId="77777777" w:rsidR="00141B0F" w:rsidRPr="002A5475" w:rsidRDefault="00141B0F" w:rsidP="00141B0F">
      <w:pPr>
        <w:jc w:val="center"/>
        <w:rPr>
          <w:rFonts w:asciiTheme="majorBidi" w:eastAsia="Calibri" w:hAnsiTheme="majorBidi" w:cstheme="majorBidi"/>
          <w:szCs w:val="22"/>
        </w:rPr>
      </w:pPr>
      <w:r w:rsidRPr="002A5475">
        <w:rPr>
          <w:rFonts w:asciiTheme="majorBidi" w:eastAsia="Calibri" w:hAnsiTheme="majorBidi" w:cstheme="majorBidi"/>
          <w:noProof/>
          <w:szCs w:val="22"/>
        </w:rPr>
        <w:lastRenderedPageBreak/>
        <w:drawing>
          <wp:inline distT="0" distB="0" distL="0" distR="0" wp14:anchorId="28E6818E" wp14:editId="6DDD9D45">
            <wp:extent cx="4339406" cy="2440452"/>
            <wp:effectExtent l="0" t="0" r="4445" b="0"/>
            <wp:docPr id="1" name="Picture 1" descr="A hand holding a cup of coffe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hand holding a cup of coffee&#10;&#10;Description automatically generated with medium confidenc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363470" cy="2453985"/>
                    </a:xfrm>
                    <a:prstGeom prst="rect">
                      <a:avLst/>
                    </a:prstGeom>
                    <a:noFill/>
                    <a:ln>
                      <a:noFill/>
                    </a:ln>
                  </pic:spPr>
                </pic:pic>
              </a:graphicData>
            </a:graphic>
          </wp:inline>
        </w:drawing>
      </w:r>
    </w:p>
    <w:p w14:paraId="13F277C7" w14:textId="77777777" w:rsidR="00141B0F" w:rsidRPr="002A5475" w:rsidRDefault="00141B0F" w:rsidP="00141B0F">
      <w:pPr>
        <w:pStyle w:val="Caption"/>
        <w:jc w:val="center"/>
        <w:rPr>
          <w:rFonts w:asciiTheme="majorBidi" w:hAnsiTheme="majorBidi" w:cstheme="majorBidi"/>
          <w:b w:val="0"/>
          <w:bCs w:val="0"/>
        </w:rPr>
      </w:pPr>
      <w:bookmarkStart w:id="39" w:name="_Toc101797047"/>
      <w:r w:rsidRPr="00A90752">
        <w:rPr>
          <w:rFonts w:asciiTheme="majorBidi" w:hAnsiTheme="majorBidi" w:cstheme="majorBidi"/>
          <w:b w:val="0"/>
          <w:bCs w:val="0"/>
        </w:rPr>
        <w:t xml:space="preserve">Figure </w:t>
      </w:r>
      <w:r w:rsidRPr="00A90752">
        <w:rPr>
          <w:rFonts w:asciiTheme="majorBidi" w:hAnsiTheme="majorBidi" w:cstheme="majorBidi"/>
          <w:b w:val="0"/>
          <w:bCs w:val="0"/>
        </w:rPr>
        <w:fldChar w:fldCharType="begin"/>
      </w:r>
      <w:r w:rsidRPr="00A90752">
        <w:rPr>
          <w:rFonts w:asciiTheme="majorBidi" w:hAnsiTheme="majorBidi" w:cstheme="majorBidi"/>
          <w:b w:val="0"/>
          <w:bCs w:val="0"/>
        </w:rPr>
        <w:instrText xml:space="preserve"> SEQ Figure \* ARABIC </w:instrText>
      </w:r>
      <w:r w:rsidRPr="00A90752">
        <w:rPr>
          <w:rFonts w:asciiTheme="majorBidi" w:hAnsiTheme="majorBidi" w:cstheme="majorBidi"/>
          <w:b w:val="0"/>
          <w:bCs w:val="0"/>
        </w:rPr>
        <w:fldChar w:fldCharType="separate"/>
      </w:r>
      <w:r>
        <w:rPr>
          <w:rFonts w:asciiTheme="majorBidi" w:hAnsiTheme="majorBidi" w:cstheme="majorBidi"/>
          <w:b w:val="0"/>
          <w:bCs w:val="0"/>
          <w:noProof/>
        </w:rPr>
        <w:t>14</w:t>
      </w:r>
      <w:r w:rsidRPr="00A90752">
        <w:rPr>
          <w:rFonts w:asciiTheme="majorBidi" w:hAnsiTheme="majorBidi" w:cstheme="majorBidi"/>
          <w:b w:val="0"/>
          <w:bCs w:val="0"/>
        </w:rPr>
        <w:fldChar w:fldCharType="end"/>
      </w:r>
      <w:r w:rsidRPr="00A90752">
        <w:rPr>
          <w:rFonts w:asciiTheme="majorBidi" w:hAnsiTheme="majorBidi" w:cstheme="majorBidi"/>
          <w:b w:val="0"/>
          <w:bCs w:val="0"/>
        </w:rPr>
        <w:t xml:space="preserve">: </w:t>
      </w:r>
      <w:r>
        <w:rPr>
          <w:rFonts w:asciiTheme="majorBidi" w:hAnsiTheme="majorBidi" w:cstheme="majorBidi"/>
          <w:b w:val="0"/>
          <w:bCs w:val="0"/>
        </w:rPr>
        <w:t>“</w:t>
      </w:r>
      <w:r w:rsidRPr="00A90752">
        <w:rPr>
          <w:rFonts w:asciiTheme="majorBidi" w:hAnsiTheme="majorBidi" w:cstheme="majorBidi"/>
          <w:b w:val="0"/>
          <w:bCs w:val="0"/>
        </w:rPr>
        <w:t>The Third Thumb</w:t>
      </w:r>
      <w:r>
        <w:rPr>
          <w:rFonts w:asciiTheme="majorBidi" w:hAnsiTheme="majorBidi" w:cstheme="majorBidi"/>
          <w:b w:val="0"/>
          <w:bCs w:val="0"/>
        </w:rPr>
        <w:t>”</w:t>
      </w:r>
      <w:r w:rsidRPr="00A90752">
        <w:rPr>
          <w:rFonts w:asciiTheme="majorBidi" w:hAnsiTheme="majorBidi" w:cstheme="majorBidi"/>
          <w:b w:val="0"/>
          <w:bCs w:val="0"/>
        </w:rPr>
        <w:t xml:space="preserve"> </w:t>
      </w:r>
      <w:r w:rsidRPr="002A5475">
        <w:rPr>
          <w:rFonts w:asciiTheme="majorBidi" w:eastAsia="Calibri" w:hAnsiTheme="majorBidi" w:cstheme="majorBidi"/>
          <w:b w:val="0"/>
          <w:bCs w:val="0"/>
          <w:szCs w:val="22"/>
        </w:rPr>
        <w:t xml:space="preserve">(2021) by </w:t>
      </w:r>
      <w:hyperlink r:id="rId28" w:history="1">
        <w:r w:rsidRPr="002A5475">
          <w:rPr>
            <w:rFonts w:asciiTheme="majorBidi" w:eastAsia="Calibri" w:hAnsiTheme="majorBidi" w:cstheme="majorBidi"/>
            <w:b w:val="0"/>
            <w:bCs w:val="0"/>
            <w:szCs w:val="22"/>
          </w:rPr>
          <w:t>Dani Clode</w:t>
        </w:r>
      </w:hyperlink>
      <w:r w:rsidRPr="002A5475">
        <w:rPr>
          <w:rFonts w:asciiTheme="majorBidi" w:eastAsia="Calibri" w:hAnsiTheme="majorBidi" w:cstheme="majorBidi"/>
          <w:b w:val="0"/>
          <w:bCs w:val="0"/>
          <w:szCs w:val="22"/>
        </w:rPr>
        <w:t>.</w:t>
      </w:r>
      <w:bookmarkEnd w:id="39"/>
    </w:p>
    <w:p w14:paraId="57E9D453" w14:textId="77777777" w:rsidR="00141B0F" w:rsidRPr="002A5475" w:rsidRDefault="00141B0F" w:rsidP="00141B0F">
      <w:pPr>
        <w:jc w:val="center"/>
        <w:rPr>
          <w:rFonts w:asciiTheme="majorBidi" w:eastAsia="Calibri" w:hAnsiTheme="majorBidi" w:cstheme="majorBidi"/>
          <w:szCs w:val="22"/>
        </w:rPr>
      </w:pPr>
    </w:p>
    <w:p w14:paraId="09734E04" w14:textId="77777777" w:rsidR="00141B0F" w:rsidRPr="002A5475" w:rsidRDefault="00141B0F" w:rsidP="00141B0F">
      <w:pPr>
        <w:rPr>
          <w:rFonts w:asciiTheme="majorBidi" w:eastAsia="Calibri" w:hAnsiTheme="majorBidi" w:cstheme="majorBidi"/>
          <w:szCs w:val="22"/>
        </w:rPr>
      </w:pPr>
    </w:p>
    <w:p w14:paraId="2784AC5F" w14:textId="1E5CB0E0" w:rsidR="00141B0F" w:rsidRDefault="00141B0F" w:rsidP="00141B0F">
      <w:pPr>
        <w:jc w:val="center"/>
        <w:rPr>
          <w:rFonts w:asciiTheme="majorBidi" w:eastAsia="Calibri" w:hAnsiTheme="majorBidi" w:cstheme="majorBidi"/>
          <w:szCs w:val="22"/>
        </w:rPr>
      </w:pPr>
    </w:p>
    <w:p w14:paraId="64FA4C27" w14:textId="77777777" w:rsidR="00141B0F" w:rsidRPr="002A5475" w:rsidRDefault="00141B0F" w:rsidP="00141B0F">
      <w:pPr>
        <w:jc w:val="center"/>
        <w:rPr>
          <w:rFonts w:asciiTheme="majorBidi" w:eastAsia="Calibri" w:hAnsiTheme="majorBidi" w:cstheme="majorBidi"/>
          <w:szCs w:val="22"/>
        </w:rPr>
      </w:pPr>
    </w:p>
    <w:p w14:paraId="27D585D7" w14:textId="77777777" w:rsidR="00141B0F" w:rsidRPr="002A5475" w:rsidRDefault="00141B0F" w:rsidP="00141B0F">
      <w:pPr>
        <w:jc w:val="center"/>
        <w:rPr>
          <w:rFonts w:asciiTheme="majorBidi" w:eastAsia="Calibri" w:hAnsiTheme="majorBidi" w:cstheme="majorBidi"/>
          <w:szCs w:val="22"/>
        </w:rPr>
      </w:pPr>
    </w:p>
    <w:p w14:paraId="457C4DF7" w14:textId="77777777" w:rsidR="00141B0F" w:rsidRPr="002A5475" w:rsidRDefault="00141B0F" w:rsidP="00141B0F">
      <w:pPr>
        <w:rPr>
          <w:rFonts w:asciiTheme="majorBidi" w:eastAsia="Calibri" w:hAnsiTheme="majorBidi" w:cstheme="majorBidi"/>
          <w:szCs w:val="22"/>
        </w:rPr>
      </w:pPr>
    </w:p>
    <w:p w14:paraId="4CC7D3CC" w14:textId="7F84C3C5" w:rsidR="00141B0F" w:rsidRDefault="00141B0F" w:rsidP="00141B0F">
      <w:pPr>
        <w:jc w:val="center"/>
        <w:rPr>
          <w:rFonts w:asciiTheme="majorBidi" w:eastAsia="Calibri" w:hAnsiTheme="majorBidi" w:cstheme="majorBidi"/>
          <w:color w:val="FFFFFF"/>
          <w:shd w:val="clear" w:color="auto" w:fill="333333"/>
        </w:rPr>
      </w:pPr>
      <w:r w:rsidRPr="002A5475">
        <w:rPr>
          <w:rFonts w:asciiTheme="majorBidi" w:eastAsia="Calibri" w:hAnsiTheme="majorBidi" w:cstheme="majorBidi"/>
          <w:noProof/>
          <w:szCs w:val="22"/>
        </w:rPr>
        <w:drawing>
          <wp:inline distT="0" distB="0" distL="0" distR="0" wp14:anchorId="0CD0193E" wp14:editId="266526A2">
            <wp:extent cx="4387500" cy="2917033"/>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402674" cy="2927122"/>
                    </a:xfrm>
                    <a:prstGeom prst="rect">
                      <a:avLst/>
                    </a:prstGeom>
                    <a:noFill/>
                    <a:ln>
                      <a:noFill/>
                    </a:ln>
                  </pic:spPr>
                </pic:pic>
              </a:graphicData>
            </a:graphic>
          </wp:inline>
        </w:drawing>
      </w:r>
    </w:p>
    <w:p w14:paraId="20E0F1CF" w14:textId="77777777" w:rsidR="00141B0F" w:rsidRPr="002A5475" w:rsidRDefault="00141B0F" w:rsidP="00141B0F">
      <w:pPr>
        <w:pStyle w:val="Caption"/>
        <w:jc w:val="center"/>
        <w:rPr>
          <w:rFonts w:asciiTheme="majorBidi" w:hAnsiTheme="majorBidi" w:cstheme="majorBidi"/>
          <w:b w:val="0"/>
          <w:bCs w:val="0"/>
        </w:rPr>
      </w:pPr>
      <w:bookmarkStart w:id="40" w:name="_Toc101797048"/>
      <w:r w:rsidRPr="00A90752">
        <w:rPr>
          <w:rFonts w:asciiTheme="majorBidi" w:hAnsiTheme="majorBidi" w:cstheme="majorBidi"/>
          <w:b w:val="0"/>
          <w:bCs w:val="0"/>
        </w:rPr>
        <w:t xml:space="preserve">Figure </w:t>
      </w:r>
      <w:r w:rsidRPr="00A90752">
        <w:rPr>
          <w:rFonts w:asciiTheme="majorBidi" w:hAnsiTheme="majorBidi" w:cstheme="majorBidi"/>
          <w:b w:val="0"/>
          <w:bCs w:val="0"/>
        </w:rPr>
        <w:fldChar w:fldCharType="begin"/>
      </w:r>
      <w:r w:rsidRPr="00A90752">
        <w:rPr>
          <w:rFonts w:asciiTheme="majorBidi" w:hAnsiTheme="majorBidi" w:cstheme="majorBidi"/>
          <w:b w:val="0"/>
          <w:bCs w:val="0"/>
        </w:rPr>
        <w:instrText xml:space="preserve"> SEQ Figure \* ARABIC </w:instrText>
      </w:r>
      <w:r w:rsidRPr="00A90752">
        <w:rPr>
          <w:rFonts w:asciiTheme="majorBidi" w:hAnsiTheme="majorBidi" w:cstheme="majorBidi"/>
          <w:b w:val="0"/>
          <w:bCs w:val="0"/>
        </w:rPr>
        <w:fldChar w:fldCharType="separate"/>
      </w:r>
      <w:r w:rsidRPr="00A90752">
        <w:rPr>
          <w:rFonts w:asciiTheme="majorBidi" w:hAnsiTheme="majorBidi" w:cstheme="majorBidi"/>
          <w:b w:val="0"/>
          <w:bCs w:val="0"/>
          <w:noProof/>
        </w:rPr>
        <w:t>15</w:t>
      </w:r>
      <w:r w:rsidRPr="00A90752">
        <w:rPr>
          <w:rFonts w:asciiTheme="majorBidi" w:hAnsiTheme="majorBidi" w:cstheme="majorBidi"/>
          <w:b w:val="0"/>
          <w:bCs w:val="0"/>
        </w:rPr>
        <w:fldChar w:fldCharType="end"/>
      </w:r>
      <w:r w:rsidRPr="00A90752">
        <w:rPr>
          <w:rFonts w:asciiTheme="majorBidi" w:hAnsiTheme="majorBidi" w:cstheme="majorBidi"/>
          <w:b w:val="0"/>
          <w:bCs w:val="0"/>
        </w:rPr>
        <w:t xml:space="preserve">: </w:t>
      </w:r>
      <w:hyperlink r:id="rId30" w:history="1">
        <w:r w:rsidRPr="001C1323">
          <w:rPr>
            <w:rStyle w:val="Hyperlink"/>
            <w:rFonts w:asciiTheme="majorBidi" w:hAnsiTheme="majorBidi" w:cstheme="majorBidi"/>
            <w:b w:val="0"/>
            <w:bCs w:val="0"/>
            <w:color w:val="auto"/>
            <w:u w:val="none"/>
          </w:rPr>
          <w:t>“Materialise Arm”</w:t>
        </w:r>
      </w:hyperlink>
      <w:r w:rsidRPr="001C1323">
        <w:rPr>
          <w:rFonts w:asciiTheme="majorBidi" w:hAnsiTheme="majorBidi" w:cstheme="majorBidi"/>
          <w:b w:val="0"/>
          <w:bCs w:val="0"/>
        </w:rPr>
        <w:t xml:space="preserve"> </w:t>
      </w:r>
      <w:r w:rsidRPr="002A5475">
        <w:rPr>
          <w:rFonts w:asciiTheme="majorBidi" w:eastAsia="Calibri" w:hAnsiTheme="majorBidi" w:cstheme="majorBidi"/>
          <w:b w:val="0"/>
          <w:bCs w:val="0"/>
        </w:rPr>
        <w:t xml:space="preserve">(2017) by </w:t>
      </w:r>
      <w:hyperlink r:id="rId31" w:history="1">
        <w:r w:rsidRPr="002A5475">
          <w:rPr>
            <w:rFonts w:asciiTheme="majorBidi" w:eastAsia="Calibri" w:hAnsiTheme="majorBidi" w:cstheme="majorBidi"/>
            <w:b w:val="0"/>
            <w:bCs w:val="0"/>
          </w:rPr>
          <w:t>Dani Clode</w:t>
        </w:r>
      </w:hyperlink>
      <w:r w:rsidRPr="002A5475">
        <w:rPr>
          <w:rFonts w:asciiTheme="majorBidi" w:eastAsia="Calibri" w:hAnsiTheme="majorBidi" w:cstheme="majorBidi"/>
          <w:b w:val="0"/>
          <w:bCs w:val="0"/>
        </w:rPr>
        <w:t>.</w:t>
      </w:r>
      <w:r w:rsidRPr="00A90752">
        <w:rPr>
          <w:rFonts w:asciiTheme="majorBidi" w:eastAsia="Calibri" w:hAnsiTheme="majorBidi" w:cstheme="majorBidi"/>
          <w:b w:val="0"/>
          <w:bCs w:val="0"/>
        </w:rPr>
        <w:t xml:space="preserve"> </w:t>
      </w:r>
      <w:r w:rsidRPr="00A90752">
        <w:rPr>
          <w:rFonts w:asciiTheme="majorBidi" w:hAnsiTheme="majorBidi" w:cstheme="majorBidi"/>
          <w:b w:val="0"/>
          <w:bCs w:val="0"/>
        </w:rPr>
        <w:t>The arm is half synthetic skin (resembling the model’s other arm) and half interchangeable materials that range from moss and wool to steel and gold.</w:t>
      </w:r>
      <w:bookmarkEnd w:id="40"/>
    </w:p>
    <w:p w14:paraId="23574E3C" w14:textId="77777777" w:rsidR="00141B0F" w:rsidRPr="002A5475" w:rsidRDefault="00141B0F" w:rsidP="00141B0F">
      <w:pPr>
        <w:jc w:val="center"/>
        <w:rPr>
          <w:rFonts w:asciiTheme="majorBidi" w:eastAsia="Calibri" w:hAnsiTheme="majorBidi" w:cstheme="majorBidi"/>
          <w:color w:val="FFFFFF"/>
          <w:shd w:val="clear" w:color="auto" w:fill="333333"/>
        </w:rPr>
      </w:pPr>
    </w:p>
    <w:p w14:paraId="590C9597" w14:textId="77777777" w:rsidR="002D420B" w:rsidRDefault="002D420B">
      <w:pPr>
        <w:rPr>
          <w:rFonts w:asciiTheme="majorBidi" w:eastAsia="Calibri" w:hAnsiTheme="majorBidi" w:cstheme="majorBidi"/>
          <w:color w:val="000000"/>
          <w:szCs w:val="22"/>
          <w:shd w:val="clear" w:color="auto" w:fill="FFFFFF"/>
        </w:rPr>
      </w:pPr>
      <w:r>
        <w:rPr>
          <w:rFonts w:asciiTheme="majorBidi" w:eastAsia="Calibri" w:hAnsiTheme="majorBidi" w:cstheme="majorBidi"/>
          <w:color w:val="000000"/>
          <w:szCs w:val="22"/>
          <w:shd w:val="clear" w:color="auto" w:fill="FFFFFF"/>
        </w:rPr>
        <w:br w:type="page"/>
      </w:r>
    </w:p>
    <w:p w14:paraId="2952C132" w14:textId="60400A3E" w:rsidR="002A5475" w:rsidRPr="002A5475" w:rsidRDefault="002A5475" w:rsidP="002D420B">
      <w:pPr>
        <w:spacing w:line="480" w:lineRule="auto"/>
        <w:rPr>
          <w:rFonts w:asciiTheme="majorBidi" w:eastAsia="Calibri" w:hAnsiTheme="majorBidi" w:cstheme="majorBidi"/>
          <w:szCs w:val="22"/>
        </w:rPr>
      </w:pPr>
      <w:r w:rsidRPr="002A5475">
        <w:rPr>
          <w:rFonts w:asciiTheme="majorBidi" w:eastAsia="Calibri" w:hAnsiTheme="majorBidi" w:cstheme="majorBidi"/>
          <w:szCs w:val="22"/>
        </w:rPr>
        <w:lastRenderedPageBreak/>
        <w:t xml:space="preserve">history but constitutive of it. In particular, I hope this reevaluation of how the subject-object relation extends to and through disabled characters in literature facilitates a more capacious reflection on how the Victorian novel redefined our notions of what it means to be human; to inhabit a “different” body; to explore, alter, and become ourselves. </w:t>
      </w:r>
    </w:p>
    <w:p w14:paraId="2B6473F9" w14:textId="77777777" w:rsidR="009E5F1A" w:rsidRPr="002A5475" w:rsidRDefault="009E5F1A" w:rsidP="009E5F1A">
      <w:pPr>
        <w:rPr>
          <w:rFonts w:asciiTheme="majorBidi" w:hAnsiTheme="majorBidi" w:cstheme="majorBidi"/>
        </w:rPr>
      </w:pPr>
    </w:p>
    <w:p w14:paraId="1055554E" w14:textId="34B64902" w:rsidR="0073481B" w:rsidRPr="002A5475" w:rsidRDefault="0073481B">
      <w:pPr>
        <w:rPr>
          <w:rFonts w:asciiTheme="majorBidi" w:hAnsiTheme="majorBidi" w:cstheme="majorBidi"/>
        </w:rPr>
      </w:pPr>
      <w:r w:rsidRPr="002A5475">
        <w:rPr>
          <w:rFonts w:asciiTheme="majorBidi" w:hAnsiTheme="majorBidi" w:cstheme="majorBidi"/>
        </w:rPr>
        <w:br w:type="page"/>
      </w:r>
    </w:p>
    <w:p w14:paraId="6404EEEC" w14:textId="75F633EE" w:rsidR="0073481B" w:rsidRPr="002A5475" w:rsidRDefault="0074756C" w:rsidP="0074756C">
      <w:pPr>
        <w:pStyle w:val="Heading1"/>
        <w:rPr>
          <w:rFonts w:asciiTheme="majorBidi" w:hAnsiTheme="majorBidi" w:cstheme="majorBidi"/>
        </w:rPr>
      </w:pPr>
      <w:bookmarkStart w:id="41" w:name="_Toc96096597"/>
      <w:r w:rsidRPr="002A5475">
        <w:rPr>
          <w:rFonts w:asciiTheme="majorBidi" w:hAnsiTheme="majorBidi" w:cstheme="majorBidi"/>
        </w:rPr>
        <w:lastRenderedPageBreak/>
        <w:t>BIBLIOGRAPHY</w:t>
      </w:r>
      <w:bookmarkEnd w:id="41"/>
    </w:p>
    <w:p w14:paraId="0133302B" w14:textId="77777777" w:rsidR="0074756C" w:rsidRPr="002A5475" w:rsidRDefault="0074756C" w:rsidP="0073481B">
      <w:pPr>
        <w:pStyle w:val="FootnoteText"/>
        <w:jc w:val="center"/>
        <w:rPr>
          <w:rFonts w:asciiTheme="majorBidi" w:hAnsiTheme="majorBidi" w:cstheme="majorBidi"/>
          <w:sz w:val="24"/>
          <w:szCs w:val="24"/>
        </w:rPr>
      </w:pPr>
    </w:p>
    <w:p w14:paraId="2C4EC960" w14:textId="77777777" w:rsidR="0073481B" w:rsidRPr="002A5475" w:rsidRDefault="0073481B" w:rsidP="0073481B">
      <w:pPr>
        <w:rPr>
          <w:rFonts w:asciiTheme="majorBidi" w:hAnsiTheme="majorBidi" w:cstheme="majorBidi"/>
        </w:rPr>
      </w:pPr>
      <w:r w:rsidRPr="002A5475">
        <w:rPr>
          <w:rFonts w:asciiTheme="majorBidi" w:hAnsiTheme="majorBidi" w:cstheme="majorBidi"/>
          <w:b/>
        </w:rPr>
        <w:t xml:space="preserve">PRIMARY </w:t>
      </w:r>
    </w:p>
    <w:p w14:paraId="5456D726" w14:textId="77777777" w:rsidR="00607780" w:rsidRDefault="00607780" w:rsidP="0073481B">
      <w:pPr>
        <w:rPr>
          <w:rFonts w:asciiTheme="majorBidi" w:hAnsiTheme="majorBidi" w:cstheme="majorBidi"/>
        </w:rPr>
      </w:pPr>
      <w:r w:rsidRPr="00F80C69">
        <w:rPr>
          <w:rFonts w:asciiTheme="majorBidi" w:hAnsiTheme="majorBidi" w:cstheme="majorBidi"/>
        </w:rPr>
        <w:t xml:space="preserve">Aldini, Giovanni. </w:t>
      </w:r>
      <w:r w:rsidRPr="00F80C69">
        <w:rPr>
          <w:rFonts w:asciiTheme="majorBidi" w:hAnsiTheme="majorBidi" w:cstheme="majorBidi"/>
          <w:i/>
          <w:iCs/>
        </w:rPr>
        <w:t>General Views on the Application of Galvanism to Medical Purposes</w:t>
      </w:r>
      <w:r w:rsidRPr="00F80C69">
        <w:rPr>
          <w:rFonts w:asciiTheme="majorBidi" w:hAnsiTheme="majorBidi" w:cstheme="majorBidi"/>
        </w:rPr>
        <w:t xml:space="preserve">. </w:t>
      </w:r>
    </w:p>
    <w:p w14:paraId="7ABD39CE" w14:textId="401DDA92" w:rsidR="00607780" w:rsidRDefault="00607780" w:rsidP="00607780">
      <w:pPr>
        <w:ind w:firstLine="720"/>
        <w:rPr>
          <w:rFonts w:asciiTheme="majorBidi" w:hAnsiTheme="majorBidi" w:cstheme="majorBidi"/>
        </w:rPr>
      </w:pPr>
      <w:r w:rsidRPr="00F80C69">
        <w:rPr>
          <w:rFonts w:asciiTheme="majorBidi" w:hAnsiTheme="majorBidi" w:cstheme="majorBidi"/>
        </w:rPr>
        <w:t>London: J. Callow</w:t>
      </w:r>
      <w:r>
        <w:rPr>
          <w:rFonts w:asciiTheme="majorBidi" w:hAnsiTheme="majorBidi" w:cstheme="majorBidi"/>
        </w:rPr>
        <w:t xml:space="preserve">, </w:t>
      </w:r>
      <w:r w:rsidRPr="00F80C69">
        <w:rPr>
          <w:rFonts w:asciiTheme="majorBidi" w:hAnsiTheme="majorBidi" w:cstheme="majorBidi"/>
        </w:rPr>
        <w:t>1819.</w:t>
      </w:r>
    </w:p>
    <w:p w14:paraId="6CADA453" w14:textId="7B68B38E" w:rsidR="0074756C" w:rsidRPr="002A5475" w:rsidRDefault="0073481B" w:rsidP="0073481B">
      <w:pPr>
        <w:rPr>
          <w:rFonts w:asciiTheme="majorBidi" w:hAnsiTheme="majorBidi" w:cstheme="majorBidi"/>
        </w:rPr>
      </w:pPr>
      <w:r w:rsidRPr="002A5475">
        <w:rPr>
          <w:rFonts w:asciiTheme="majorBidi" w:hAnsiTheme="majorBidi" w:cstheme="majorBidi"/>
        </w:rPr>
        <w:t xml:space="preserve">Bigg, Henry Heather. </w:t>
      </w:r>
      <w:r w:rsidRPr="002A5475">
        <w:rPr>
          <w:rFonts w:asciiTheme="majorBidi" w:hAnsiTheme="majorBidi" w:cstheme="majorBidi"/>
          <w:i/>
        </w:rPr>
        <w:t>On Artificial Limbs, their Construction and Application</w:t>
      </w:r>
      <w:r w:rsidRPr="002A5475">
        <w:rPr>
          <w:rFonts w:asciiTheme="majorBidi" w:hAnsiTheme="majorBidi" w:cstheme="majorBidi"/>
        </w:rPr>
        <w:t>. London,</w:t>
      </w:r>
      <w:r w:rsidR="0074756C" w:rsidRPr="002A5475">
        <w:rPr>
          <w:rFonts w:asciiTheme="majorBidi" w:hAnsiTheme="majorBidi" w:cstheme="majorBidi"/>
        </w:rPr>
        <w:t xml:space="preserve"> </w:t>
      </w:r>
    </w:p>
    <w:p w14:paraId="65902218" w14:textId="19910D08" w:rsidR="0073481B" w:rsidRPr="002A5475" w:rsidRDefault="0073481B" w:rsidP="0074756C">
      <w:pPr>
        <w:ind w:firstLine="720"/>
        <w:rPr>
          <w:rFonts w:asciiTheme="majorBidi" w:hAnsiTheme="majorBidi" w:cstheme="majorBidi"/>
        </w:rPr>
      </w:pPr>
      <w:r w:rsidRPr="002A5475">
        <w:rPr>
          <w:rFonts w:asciiTheme="majorBidi" w:hAnsiTheme="majorBidi" w:cstheme="majorBidi"/>
        </w:rPr>
        <w:t>1855.</w:t>
      </w:r>
    </w:p>
    <w:p w14:paraId="698895E5" w14:textId="77777777" w:rsidR="0074756C" w:rsidRPr="002A5475" w:rsidRDefault="0073481B" w:rsidP="0073481B">
      <w:pPr>
        <w:rPr>
          <w:rFonts w:asciiTheme="majorBidi" w:hAnsiTheme="majorBidi" w:cstheme="majorBidi"/>
        </w:rPr>
      </w:pPr>
      <w:r w:rsidRPr="002A5475">
        <w:rPr>
          <w:rFonts w:asciiTheme="majorBidi" w:hAnsiTheme="majorBidi" w:cstheme="majorBidi"/>
        </w:rPr>
        <w:t xml:space="preserve">Braddon, Mary Elizabeth. </w:t>
      </w:r>
      <w:r w:rsidRPr="002A5475">
        <w:rPr>
          <w:rFonts w:asciiTheme="majorBidi" w:hAnsiTheme="majorBidi" w:cstheme="majorBidi"/>
          <w:i/>
        </w:rPr>
        <w:t>Lady Audley’s Secret</w:t>
      </w:r>
      <w:r w:rsidRPr="002A5475">
        <w:rPr>
          <w:rFonts w:asciiTheme="majorBidi" w:hAnsiTheme="majorBidi" w:cstheme="majorBidi"/>
        </w:rPr>
        <w:t xml:space="preserve">. Ed. Lyn Pykett. New York: Oxford UP, </w:t>
      </w:r>
    </w:p>
    <w:p w14:paraId="73DD8C28" w14:textId="77777777" w:rsidR="00F92853" w:rsidRPr="002A5475" w:rsidRDefault="0073481B" w:rsidP="00F92853">
      <w:pPr>
        <w:ind w:firstLine="720"/>
        <w:rPr>
          <w:rFonts w:asciiTheme="majorBidi" w:hAnsiTheme="majorBidi" w:cstheme="majorBidi"/>
        </w:rPr>
      </w:pPr>
      <w:r w:rsidRPr="002A5475">
        <w:rPr>
          <w:rFonts w:asciiTheme="majorBidi" w:hAnsiTheme="majorBidi" w:cstheme="majorBidi"/>
        </w:rPr>
        <w:t xml:space="preserve">2012. </w:t>
      </w:r>
    </w:p>
    <w:p w14:paraId="2F015F7D" w14:textId="58D8A5C2" w:rsidR="00F92853" w:rsidRPr="002A5475" w:rsidRDefault="00F92853" w:rsidP="00F92853">
      <w:pPr>
        <w:rPr>
          <w:rFonts w:asciiTheme="majorBidi" w:hAnsiTheme="majorBidi" w:cstheme="majorBidi"/>
        </w:rPr>
      </w:pPr>
      <w:r w:rsidRPr="002A5475">
        <w:rPr>
          <w:rFonts w:asciiTheme="majorBidi" w:hAnsiTheme="majorBidi" w:cstheme="majorBidi"/>
        </w:rPr>
        <w:t xml:space="preserve">Brontë, Charlotte. </w:t>
      </w:r>
      <w:r w:rsidRPr="002A5475">
        <w:rPr>
          <w:rFonts w:asciiTheme="majorBidi" w:hAnsiTheme="majorBidi" w:cstheme="majorBidi"/>
          <w:i/>
          <w:iCs/>
        </w:rPr>
        <w:t>Jane Eyre</w:t>
      </w:r>
      <w:r w:rsidRPr="002A5475">
        <w:rPr>
          <w:rFonts w:asciiTheme="majorBidi" w:hAnsiTheme="majorBidi" w:cstheme="majorBidi"/>
        </w:rPr>
        <w:t xml:space="preserve">. Ed. Stevie Davies. New York: Penguin, 2006. </w:t>
      </w:r>
    </w:p>
    <w:p w14:paraId="1769E2DD" w14:textId="45F651F9" w:rsidR="00AA47B9" w:rsidRPr="00AA47B9" w:rsidRDefault="00AA47B9" w:rsidP="0073481B">
      <w:pPr>
        <w:rPr>
          <w:rFonts w:asciiTheme="majorBidi" w:hAnsiTheme="majorBidi" w:cstheme="majorBidi"/>
        </w:rPr>
      </w:pPr>
      <w:r w:rsidRPr="002A5475">
        <w:rPr>
          <w:rFonts w:asciiTheme="majorBidi" w:hAnsiTheme="majorBidi" w:cstheme="majorBidi"/>
        </w:rPr>
        <w:t>___</w:t>
      </w:r>
      <w:r w:rsidR="00AB7940">
        <w:rPr>
          <w:rFonts w:asciiTheme="majorBidi" w:hAnsiTheme="majorBidi" w:cstheme="majorBidi"/>
        </w:rPr>
        <w:t>_</w:t>
      </w:r>
      <w:r w:rsidRPr="002A5475">
        <w:rPr>
          <w:rFonts w:asciiTheme="majorBidi" w:hAnsiTheme="majorBidi" w:cstheme="majorBidi"/>
        </w:rPr>
        <w:t>___.</w:t>
      </w:r>
      <w:r>
        <w:rPr>
          <w:rFonts w:asciiTheme="majorBidi" w:hAnsiTheme="majorBidi" w:cstheme="majorBidi"/>
        </w:rPr>
        <w:t xml:space="preserve"> </w:t>
      </w:r>
      <w:r>
        <w:rPr>
          <w:rFonts w:asciiTheme="majorBidi" w:hAnsiTheme="majorBidi" w:cstheme="majorBidi"/>
          <w:i/>
          <w:iCs/>
        </w:rPr>
        <w:t>Villette</w:t>
      </w:r>
      <w:r>
        <w:rPr>
          <w:rFonts w:asciiTheme="majorBidi" w:hAnsiTheme="majorBidi" w:cstheme="majorBidi"/>
        </w:rPr>
        <w:t xml:space="preserve">. Ed. Helen M. Cooper. New York: Penguin, 2004. </w:t>
      </w:r>
    </w:p>
    <w:p w14:paraId="3254A75A" w14:textId="622097BC" w:rsidR="0074756C" w:rsidRPr="002A5475" w:rsidRDefault="0073481B" w:rsidP="0073481B">
      <w:pPr>
        <w:rPr>
          <w:rFonts w:asciiTheme="majorBidi" w:hAnsiTheme="majorBidi" w:cstheme="majorBidi"/>
        </w:rPr>
      </w:pPr>
      <w:r w:rsidRPr="002A5475">
        <w:rPr>
          <w:rFonts w:asciiTheme="majorBidi" w:hAnsiTheme="majorBidi" w:cstheme="majorBidi"/>
        </w:rPr>
        <w:t xml:space="preserve">Collins, Wilkie. </w:t>
      </w:r>
      <w:r w:rsidRPr="002A5475">
        <w:rPr>
          <w:rFonts w:asciiTheme="majorBidi" w:hAnsiTheme="majorBidi" w:cstheme="majorBidi"/>
          <w:i/>
        </w:rPr>
        <w:t>The Law and the Lady</w:t>
      </w:r>
      <w:r w:rsidRPr="002A5475">
        <w:rPr>
          <w:rFonts w:asciiTheme="majorBidi" w:hAnsiTheme="majorBidi" w:cstheme="majorBidi"/>
        </w:rPr>
        <w:t xml:space="preserve">. Ed. Jenny Bourne Taylor. New York: Oxford UP, </w:t>
      </w:r>
    </w:p>
    <w:p w14:paraId="6712B2B2" w14:textId="6D11ABED" w:rsidR="0073481B" w:rsidRPr="002A5475" w:rsidRDefault="0073481B" w:rsidP="0074756C">
      <w:pPr>
        <w:ind w:firstLine="720"/>
        <w:rPr>
          <w:rFonts w:asciiTheme="majorBidi" w:hAnsiTheme="majorBidi" w:cstheme="majorBidi"/>
        </w:rPr>
      </w:pPr>
      <w:r w:rsidRPr="002A5475">
        <w:rPr>
          <w:rFonts w:asciiTheme="majorBidi" w:hAnsiTheme="majorBidi" w:cstheme="majorBidi"/>
        </w:rPr>
        <w:t xml:space="preserve">2008. </w:t>
      </w:r>
    </w:p>
    <w:p w14:paraId="535E469B" w14:textId="7CD0BBDC" w:rsidR="0073481B" w:rsidRPr="002A5475" w:rsidRDefault="00FD5E7C" w:rsidP="0073481B">
      <w:pPr>
        <w:rPr>
          <w:rFonts w:asciiTheme="majorBidi" w:hAnsiTheme="majorBidi" w:cstheme="majorBidi"/>
        </w:rPr>
      </w:pPr>
      <w:r w:rsidRPr="002A5475">
        <w:rPr>
          <w:rFonts w:asciiTheme="majorBidi" w:hAnsiTheme="majorBidi" w:cstheme="majorBidi"/>
        </w:rPr>
        <w:t>_______.</w:t>
      </w:r>
      <w:r w:rsidR="0073481B" w:rsidRPr="002A5475">
        <w:rPr>
          <w:rFonts w:asciiTheme="majorBidi" w:hAnsiTheme="majorBidi" w:cstheme="majorBidi"/>
        </w:rPr>
        <w:t xml:space="preserve"> </w:t>
      </w:r>
      <w:r w:rsidR="0073481B" w:rsidRPr="002A5475">
        <w:rPr>
          <w:rFonts w:asciiTheme="majorBidi" w:hAnsiTheme="majorBidi" w:cstheme="majorBidi"/>
          <w:i/>
        </w:rPr>
        <w:t>The Moonstone</w:t>
      </w:r>
      <w:r w:rsidR="0073481B" w:rsidRPr="002A5475">
        <w:rPr>
          <w:rFonts w:asciiTheme="majorBidi" w:hAnsiTheme="majorBidi" w:cstheme="majorBidi"/>
        </w:rPr>
        <w:t xml:space="preserve">. Ed. Sandra Kemp. New York: Penguin, 1999. </w:t>
      </w:r>
    </w:p>
    <w:p w14:paraId="1CFAE4E8" w14:textId="49D2E600" w:rsidR="0073481B" w:rsidRPr="002A5475" w:rsidRDefault="0073481B" w:rsidP="00E36AA8">
      <w:pPr>
        <w:rPr>
          <w:rFonts w:asciiTheme="majorBidi" w:hAnsiTheme="majorBidi" w:cstheme="majorBidi"/>
        </w:rPr>
      </w:pPr>
      <w:r w:rsidRPr="002A5475">
        <w:rPr>
          <w:rFonts w:asciiTheme="majorBidi" w:hAnsiTheme="majorBidi" w:cstheme="majorBidi"/>
        </w:rPr>
        <w:t xml:space="preserve">_______. </w:t>
      </w:r>
      <w:r w:rsidRPr="002A5475">
        <w:rPr>
          <w:rFonts w:asciiTheme="majorBidi" w:hAnsiTheme="majorBidi" w:cstheme="majorBidi"/>
          <w:i/>
        </w:rPr>
        <w:t>The Woman in White</w:t>
      </w:r>
      <w:r w:rsidRPr="002A5475">
        <w:rPr>
          <w:rFonts w:asciiTheme="majorBidi" w:hAnsiTheme="majorBidi" w:cstheme="majorBidi"/>
        </w:rPr>
        <w:t xml:space="preserve">. Ed. Matthew Sweet. New York: Penguin, 2003. </w:t>
      </w:r>
      <w:r w:rsidR="0074756C" w:rsidRPr="002A5475">
        <w:rPr>
          <w:rFonts w:asciiTheme="majorBidi" w:hAnsiTheme="majorBidi" w:cstheme="majorBidi"/>
        </w:rPr>
        <w:t xml:space="preserve"> </w:t>
      </w:r>
    </w:p>
    <w:p w14:paraId="0CE0ED97" w14:textId="77777777" w:rsidR="0074756C" w:rsidRPr="002A5475" w:rsidRDefault="0073481B" w:rsidP="0073481B">
      <w:pPr>
        <w:rPr>
          <w:rFonts w:asciiTheme="majorBidi" w:hAnsiTheme="majorBidi" w:cstheme="majorBidi"/>
          <w:i/>
        </w:rPr>
      </w:pPr>
      <w:r w:rsidRPr="002A5475">
        <w:rPr>
          <w:rFonts w:asciiTheme="majorBidi" w:hAnsiTheme="majorBidi" w:cstheme="majorBidi"/>
        </w:rPr>
        <w:t xml:space="preserve">Darwin, Charles. </w:t>
      </w:r>
      <w:r w:rsidRPr="002A5475">
        <w:rPr>
          <w:rFonts w:asciiTheme="majorBidi" w:hAnsiTheme="majorBidi" w:cstheme="majorBidi"/>
          <w:i/>
        </w:rPr>
        <w:t>On the Origin of Species by Means of Natural Selection, of the</w:t>
      </w:r>
      <w:r w:rsidR="0074756C" w:rsidRPr="002A5475">
        <w:rPr>
          <w:rFonts w:asciiTheme="majorBidi" w:hAnsiTheme="majorBidi" w:cstheme="majorBidi"/>
          <w:i/>
        </w:rPr>
        <w:t xml:space="preserve"> </w:t>
      </w:r>
    </w:p>
    <w:p w14:paraId="328BBCE5" w14:textId="77777777" w:rsidR="0074756C" w:rsidRPr="002A5475" w:rsidRDefault="0073481B" w:rsidP="0074756C">
      <w:pPr>
        <w:ind w:firstLine="720"/>
        <w:rPr>
          <w:rFonts w:asciiTheme="majorBidi" w:hAnsiTheme="majorBidi" w:cstheme="majorBidi"/>
        </w:rPr>
      </w:pPr>
      <w:r w:rsidRPr="002A5475">
        <w:rPr>
          <w:rFonts w:asciiTheme="majorBidi" w:hAnsiTheme="majorBidi" w:cstheme="majorBidi"/>
          <w:i/>
        </w:rPr>
        <w:t>Preservation of Favoured Races in the Struggle for Life</w:t>
      </w:r>
      <w:r w:rsidRPr="002A5475">
        <w:rPr>
          <w:rFonts w:asciiTheme="majorBidi" w:hAnsiTheme="majorBidi" w:cstheme="majorBidi"/>
        </w:rPr>
        <w:t>. Ed. Philip Appleman. 3</w:t>
      </w:r>
      <w:r w:rsidRPr="002A5475">
        <w:rPr>
          <w:rFonts w:asciiTheme="majorBidi" w:hAnsiTheme="majorBidi" w:cstheme="majorBidi"/>
          <w:vertAlign w:val="superscript"/>
        </w:rPr>
        <w:t>rd</w:t>
      </w:r>
      <w:r w:rsidRPr="002A5475">
        <w:rPr>
          <w:rFonts w:asciiTheme="majorBidi" w:hAnsiTheme="majorBidi" w:cstheme="majorBidi"/>
        </w:rPr>
        <w:t xml:space="preserve"> </w:t>
      </w:r>
    </w:p>
    <w:p w14:paraId="602C61EF" w14:textId="606AB4E4" w:rsidR="0073481B" w:rsidRPr="002A5475" w:rsidRDefault="0073481B" w:rsidP="0074756C">
      <w:pPr>
        <w:ind w:firstLine="720"/>
        <w:rPr>
          <w:rFonts w:asciiTheme="majorBidi" w:hAnsiTheme="majorBidi" w:cstheme="majorBidi"/>
        </w:rPr>
      </w:pPr>
      <w:r w:rsidRPr="002A5475">
        <w:rPr>
          <w:rFonts w:asciiTheme="majorBidi" w:hAnsiTheme="majorBidi" w:cstheme="majorBidi"/>
        </w:rPr>
        <w:t>Ed. New York: W. W. Norton &amp; Co., 2001</w:t>
      </w:r>
      <w:r w:rsidR="00647ED7" w:rsidRPr="002A5475">
        <w:rPr>
          <w:rFonts w:asciiTheme="majorBidi" w:hAnsiTheme="majorBidi" w:cstheme="majorBidi"/>
        </w:rPr>
        <w:t>.</w:t>
      </w:r>
    </w:p>
    <w:p w14:paraId="21B5FCDF" w14:textId="7010D780" w:rsidR="0073481B" w:rsidRPr="002A5475" w:rsidRDefault="0073481B" w:rsidP="00647ED7">
      <w:pPr>
        <w:rPr>
          <w:rFonts w:asciiTheme="majorBidi" w:hAnsiTheme="majorBidi" w:cstheme="majorBidi"/>
        </w:rPr>
      </w:pPr>
      <w:r w:rsidRPr="002A5475">
        <w:rPr>
          <w:rFonts w:asciiTheme="majorBidi" w:hAnsiTheme="majorBidi" w:cstheme="majorBidi"/>
        </w:rPr>
        <w:t xml:space="preserve">Dickens, Charles. </w:t>
      </w:r>
      <w:r w:rsidRPr="002A5475">
        <w:rPr>
          <w:rFonts w:asciiTheme="majorBidi" w:hAnsiTheme="majorBidi" w:cstheme="majorBidi"/>
          <w:i/>
        </w:rPr>
        <w:t>Barnaby Rudge.</w:t>
      </w:r>
      <w:r w:rsidRPr="002A5475">
        <w:rPr>
          <w:rFonts w:asciiTheme="majorBidi" w:hAnsiTheme="majorBidi" w:cstheme="majorBidi"/>
        </w:rPr>
        <w:t xml:space="preserve"> Ed. Clive Hurst. New York: Oxford UP, 2008</w:t>
      </w:r>
      <w:r w:rsidR="00647ED7" w:rsidRPr="002A5475">
        <w:rPr>
          <w:rFonts w:asciiTheme="majorBidi" w:hAnsiTheme="majorBidi" w:cstheme="majorBidi"/>
        </w:rPr>
        <w:t>.</w:t>
      </w:r>
    </w:p>
    <w:p w14:paraId="5DB2B1D4" w14:textId="223BC116" w:rsidR="0073481B" w:rsidRPr="002A5475" w:rsidRDefault="0073481B" w:rsidP="0073481B">
      <w:pPr>
        <w:rPr>
          <w:rFonts w:asciiTheme="majorBidi" w:hAnsiTheme="majorBidi" w:cstheme="majorBidi"/>
        </w:rPr>
      </w:pPr>
      <w:r w:rsidRPr="002A5475">
        <w:rPr>
          <w:rFonts w:asciiTheme="majorBidi" w:hAnsiTheme="majorBidi" w:cstheme="majorBidi"/>
        </w:rPr>
        <w:t xml:space="preserve">_______. </w:t>
      </w:r>
      <w:r w:rsidRPr="002A5475">
        <w:rPr>
          <w:rFonts w:asciiTheme="majorBidi" w:hAnsiTheme="majorBidi" w:cstheme="majorBidi"/>
          <w:i/>
        </w:rPr>
        <w:t>A Christmas Carol</w:t>
      </w:r>
      <w:r w:rsidRPr="002A5475">
        <w:rPr>
          <w:rFonts w:asciiTheme="majorBidi" w:hAnsiTheme="majorBidi" w:cstheme="majorBidi"/>
        </w:rPr>
        <w:t xml:space="preserve">. Ed. Michael Slater. New York: Penguin, 2003. </w:t>
      </w:r>
    </w:p>
    <w:p w14:paraId="78E6A355" w14:textId="7EA3025F" w:rsidR="00C340F4" w:rsidRPr="002A5475" w:rsidRDefault="00FD5E7C" w:rsidP="0073481B">
      <w:pPr>
        <w:rPr>
          <w:rFonts w:asciiTheme="majorBidi" w:hAnsiTheme="majorBidi" w:cstheme="majorBidi"/>
        </w:rPr>
      </w:pPr>
      <w:r>
        <w:rPr>
          <w:rFonts w:asciiTheme="majorBidi" w:hAnsiTheme="majorBidi" w:cstheme="majorBidi"/>
        </w:rPr>
        <w:t>_______.</w:t>
      </w:r>
      <w:r w:rsidR="00C340F4" w:rsidRPr="002A5475">
        <w:rPr>
          <w:rFonts w:asciiTheme="majorBidi" w:hAnsiTheme="majorBidi" w:cstheme="majorBidi"/>
        </w:rPr>
        <w:t xml:space="preserve"> </w:t>
      </w:r>
      <w:r w:rsidR="00C340F4" w:rsidRPr="002A5475">
        <w:rPr>
          <w:rFonts w:asciiTheme="majorBidi" w:hAnsiTheme="majorBidi" w:cstheme="majorBidi"/>
          <w:i/>
          <w:iCs/>
        </w:rPr>
        <w:t>David Copperfield</w:t>
      </w:r>
      <w:r w:rsidR="00C340F4" w:rsidRPr="002A5475">
        <w:rPr>
          <w:rFonts w:asciiTheme="majorBidi" w:hAnsiTheme="majorBidi" w:cstheme="majorBidi"/>
        </w:rPr>
        <w:t xml:space="preserve">. Ed. Nina Burgis. New York: Oxford UP, 2008. </w:t>
      </w:r>
    </w:p>
    <w:p w14:paraId="2B5D0269" w14:textId="28978805" w:rsidR="0073481B" w:rsidRPr="002A5475" w:rsidRDefault="0073481B" w:rsidP="0073481B">
      <w:pPr>
        <w:rPr>
          <w:rFonts w:asciiTheme="majorBidi" w:hAnsiTheme="majorBidi" w:cstheme="majorBidi"/>
        </w:rPr>
      </w:pPr>
      <w:r w:rsidRPr="002A5475">
        <w:rPr>
          <w:rFonts w:asciiTheme="majorBidi" w:hAnsiTheme="majorBidi" w:cstheme="majorBidi"/>
        </w:rPr>
        <w:t xml:space="preserve">_______. </w:t>
      </w:r>
      <w:r w:rsidRPr="002A5475">
        <w:rPr>
          <w:rFonts w:asciiTheme="majorBidi" w:hAnsiTheme="majorBidi" w:cstheme="majorBidi"/>
          <w:i/>
        </w:rPr>
        <w:t>Dombey and Son</w:t>
      </w:r>
      <w:r w:rsidRPr="002A5475">
        <w:rPr>
          <w:rFonts w:asciiTheme="majorBidi" w:hAnsiTheme="majorBidi" w:cstheme="majorBidi"/>
        </w:rPr>
        <w:t xml:space="preserve">. Ed. Alan Horsman. New York: Oxford UP, 2008. </w:t>
      </w:r>
    </w:p>
    <w:p w14:paraId="2A323B4E" w14:textId="3F1D17BD" w:rsidR="0073481B" w:rsidRPr="002A5475" w:rsidRDefault="0073481B" w:rsidP="00647ED7">
      <w:pPr>
        <w:rPr>
          <w:rFonts w:asciiTheme="majorBidi" w:hAnsiTheme="majorBidi" w:cstheme="majorBidi"/>
        </w:rPr>
      </w:pPr>
      <w:r w:rsidRPr="002A5475">
        <w:rPr>
          <w:rFonts w:asciiTheme="majorBidi" w:hAnsiTheme="majorBidi" w:cstheme="majorBidi"/>
        </w:rPr>
        <w:t xml:space="preserve">_______. </w:t>
      </w:r>
      <w:r w:rsidRPr="002A5475">
        <w:rPr>
          <w:rFonts w:asciiTheme="majorBidi" w:hAnsiTheme="majorBidi" w:cstheme="majorBidi"/>
          <w:i/>
        </w:rPr>
        <w:t>Little Dorrit</w:t>
      </w:r>
      <w:r w:rsidRPr="002A5475">
        <w:rPr>
          <w:rFonts w:asciiTheme="majorBidi" w:hAnsiTheme="majorBidi" w:cstheme="majorBidi"/>
        </w:rPr>
        <w:t>. Ed. Harvey Peter Sucksmith. New York: Oxford UP, 2012.</w:t>
      </w:r>
    </w:p>
    <w:p w14:paraId="7F7B4563" w14:textId="5014258F" w:rsidR="000161CD" w:rsidRDefault="00FD5E7C" w:rsidP="00647ED7">
      <w:pPr>
        <w:rPr>
          <w:rFonts w:asciiTheme="majorBidi" w:hAnsiTheme="majorBidi" w:cstheme="majorBidi"/>
        </w:rPr>
      </w:pPr>
      <w:r w:rsidRPr="00FD5E7C">
        <w:rPr>
          <w:rFonts w:asciiTheme="majorBidi" w:hAnsiTheme="majorBidi" w:cstheme="majorBidi"/>
        </w:rPr>
        <w:t>_______</w:t>
      </w:r>
      <w:r w:rsidR="0073481B" w:rsidRPr="00FD5E7C">
        <w:rPr>
          <w:rFonts w:asciiTheme="majorBidi" w:hAnsiTheme="majorBidi" w:cstheme="majorBidi"/>
        </w:rPr>
        <w:t>.</w:t>
      </w:r>
      <w:r w:rsidR="0073481B" w:rsidRPr="002A5475">
        <w:rPr>
          <w:rFonts w:asciiTheme="majorBidi" w:hAnsiTheme="majorBidi" w:cstheme="majorBidi"/>
        </w:rPr>
        <w:t xml:space="preserve"> </w:t>
      </w:r>
      <w:r w:rsidR="0073481B" w:rsidRPr="002A5475">
        <w:rPr>
          <w:rFonts w:asciiTheme="majorBidi" w:hAnsiTheme="majorBidi" w:cstheme="majorBidi"/>
          <w:i/>
        </w:rPr>
        <w:t>Our Mutual Friend</w:t>
      </w:r>
      <w:r w:rsidR="0073481B" w:rsidRPr="002A5475">
        <w:rPr>
          <w:rFonts w:asciiTheme="majorBidi" w:hAnsiTheme="majorBidi" w:cstheme="majorBidi"/>
        </w:rPr>
        <w:t>. Ed. Michael Cotsell. New York: Oxford UP, 2008.</w:t>
      </w:r>
    </w:p>
    <w:p w14:paraId="6419EBE9" w14:textId="4354B2D7" w:rsidR="0073481B" w:rsidRPr="002A5475" w:rsidRDefault="000161CD" w:rsidP="00647ED7">
      <w:pPr>
        <w:rPr>
          <w:rFonts w:asciiTheme="majorBidi" w:hAnsiTheme="majorBidi" w:cstheme="majorBidi"/>
        </w:rPr>
      </w:pPr>
      <w:r w:rsidRPr="002A5475">
        <w:rPr>
          <w:rFonts w:asciiTheme="majorBidi" w:hAnsiTheme="majorBidi" w:cstheme="majorBidi"/>
        </w:rPr>
        <w:t>_______.</w:t>
      </w:r>
      <w:r>
        <w:rPr>
          <w:rFonts w:asciiTheme="majorBidi" w:hAnsiTheme="majorBidi" w:cstheme="majorBidi"/>
        </w:rPr>
        <w:t xml:space="preserve"> </w:t>
      </w:r>
      <w:r>
        <w:rPr>
          <w:rFonts w:asciiTheme="majorBidi" w:hAnsiTheme="majorBidi" w:cstheme="majorBidi"/>
          <w:i/>
          <w:iCs/>
        </w:rPr>
        <w:t>The Pickwick Papers</w:t>
      </w:r>
      <w:r>
        <w:rPr>
          <w:rFonts w:asciiTheme="majorBidi" w:hAnsiTheme="majorBidi" w:cstheme="majorBidi"/>
        </w:rPr>
        <w:t xml:space="preserve">. Ed. James Kinsley. New York: Oxford UP, 2008. </w:t>
      </w:r>
      <w:r w:rsidR="0073481B" w:rsidRPr="002A5475">
        <w:rPr>
          <w:rFonts w:asciiTheme="majorBidi" w:hAnsiTheme="majorBidi" w:cstheme="majorBidi"/>
        </w:rPr>
        <w:t xml:space="preserve"> </w:t>
      </w:r>
    </w:p>
    <w:p w14:paraId="4801EFC3" w14:textId="77777777" w:rsidR="0074756C" w:rsidRPr="002A5475" w:rsidRDefault="0073481B" w:rsidP="0073481B">
      <w:pPr>
        <w:rPr>
          <w:rFonts w:asciiTheme="majorBidi" w:hAnsiTheme="majorBidi" w:cstheme="majorBidi"/>
          <w:iCs/>
          <w:bdr w:val="none" w:sz="0" w:space="0" w:color="auto" w:frame="1"/>
          <w:shd w:val="clear" w:color="auto" w:fill="FFFFFF"/>
        </w:rPr>
      </w:pPr>
      <w:r w:rsidRPr="002A5475">
        <w:rPr>
          <w:rStyle w:val="Emphasis"/>
          <w:rFonts w:asciiTheme="majorBidi" w:hAnsiTheme="majorBidi" w:cstheme="majorBidi"/>
          <w:shd w:val="clear" w:color="auto" w:fill="FFFFFF"/>
        </w:rPr>
        <w:t xml:space="preserve">Dionis, Pierre. </w:t>
      </w:r>
      <w:r w:rsidRPr="002A5475">
        <w:rPr>
          <w:rFonts w:asciiTheme="majorBidi" w:hAnsiTheme="majorBidi" w:cstheme="majorBidi"/>
          <w:shd w:val="clear" w:color="auto" w:fill="FFFFFF"/>
        </w:rPr>
        <w:t>“</w:t>
      </w:r>
      <w:r w:rsidRPr="002A5475">
        <w:rPr>
          <w:rFonts w:asciiTheme="majorBidi" w:hAnsiTheme="majorBidi" w:cstheme="majorBidi"/>
          <w:iCs/>
          <w:bdr w:val="none" w:sz="0" w:space="0" w:color="auto" w:frame="1"/>
          <w:shd w:val="clear" w:color="auto" w:fill="FFFFFF"/>
        </w:rPr>
        <w:t xml:space="preserve">A Course of Chirurgical Operations, Demonstrated in the Royal Garden </w:t>
      </w:r>
    </w:p>
    <w:p w14:paraId="3A53E8CD" w14:textId="77777777" w:rsidR="0074756C" w:rsidRPr="002A5475" w:rsidRDefault="0073481B" w:rsidP="0074756C">
      <w:pPr>
        <w:ind w:firstLine="720"/>
        <w:rPr>
          <w:rFonts w:asciiTheme="majorBidi" w:hAnsiTheme="majorBidi" w:cstheme="majorBidi"/>
          <w:shd w:val="clear" w:color="auto" w:fill="FFFFFF"/>
        </w:rPr>
      </w:pPr>
      <w:r w:rsidRPr="002A5475">
        <w:rPr>
          <w:rFonts w:asciiTheme="majorBidi" w:hAnsiTheme="majorBidi" w:cstheme="majorBidi"/>
          <w:iCs/>
          <w:bdr w:val="none" w:sz="0" w:space="0" w:color="auto" w:frame="1"/>
          <w:shd w:val="clear" w:color="auto" w:fill="FFFFFF"/>
        </w:rPr>
        <w:t>at Paris. By Monsieur Dionis, ... Translated from the Paris Edition</w:t>
      </w:r>
      <w:r w:rsidRPr="002A5475">
        <w:rPr>
          <w:rFonts w:asciiTheme="majorBidi" w:hAnsiTheme="majorBidi" w:cstheme="majorBidi"/>
          <w:shd w:val="clear" w:color="auto" w:fill="FFFFFF"/>
        </w:rPr>
        <w:t>.” 2</w:t>
      </w:r>
      <w:r w:rsidRPr="002A5475">
        <w:rPr>
          <w:rFonts w:asciiTheme="majorBidi" w:hAnsiTheme="majorBidi" w:cstheme="majorBidi"/>
          <w:shd w:val="clear" w:color="auto" w:fill="FFFFFF"/>
          <w:vertAlign w:val="superscript"/>
        </w:rPr>
        <w:t>nd</w:t>
      </w:r>
      <w:r w:rsidRPr="002A5475">
        <w:rPr>
          <w:rFonts w:asciiTheme="majorBidi" w:hAnsiTheme="majorBidi" w:cstheme="majorBidi"/>
          <w:shd w:val="clear" w:color="auto" w:fill="FFFFFF"/>
        </w:rPr>
        <w:t xml:space="preserve"> ed. </w:t>
      </w:r>
    </w:p>
    <w:p w14:paraId="517C3BE9" w14:textId="6242C1C5" w:rsidR="0073481B" w:rsidRPr="002A5475" w:rsidRDefault="0073481B" w:rsidP="00DE125E">
      <w:pPr>
        <w:ind w:firstLine="720"/>
        <w:rPr>
          <w:rFonts w:asciiTheme="majorBidi" w:hAnsiTheme="majorBidi" w:cstheme="majorBidi"/>
          <w:shd w:val="clear" w:color="auto" w:fill="FFFFFF"/>
        </w:rPr>
      </w:pPr>
      <w:r w:rsidRPr="002A5475">
        <w:rPr>
          <w:rFonts w:asciiTheme="majorBidi" w:hAnsiTheme="majorBidi" w:cstheme="majorBidi"/>
          <w:shd w:val="clear" w:color="auto" w:fill="FFFFFF"/>
        </w:rPr>
        <w:t>London: J. Tonson, 1733.</w:t>
      </w:r>
    </w:p>
    <w:p w14:paraId="492CAE09" w14:textId="77777777" w:rsidR="00DE125E" w:rsidRPr="002A5475" w:rsidRDefault="00DE125E" w:rsidP="00DE125E">
      <w:pPr>
        <w:rPr>
          <w:rFonts w:asciiTheme="majorBidi" w:hAnsiTheme="majorBidi" w:cstheme="majorBidi"/>
          <w:i/>
          <w:iCs/>
          <w:shd w:val="clear" w:color="auto" w:fill="FFFFFF"/>
        </w:rPr>
      </w:pPr>
      <w:r w:rsidRPr="002A5475">
        <w:rPr>
          <w:rFonts w:asciiTheme="majorBidi" w:hAnsiTheme="majorBidi" w:cstheme="majorBidi"/>
          <w:shd w:val="clear" w:color="auto" w:fill="FFFFFF"/>
        </w:rPr>
        <w:t xml:space="preserve">Dodd, William. </w:t>
      </w:r>
      <w:r w:rsidRPr="002A5475">
        <w:rPr>
          <w:rFonts w:asciiTheme="majorBidi" w:hAnsiTheme="majorBidi" w:cstheme="majorBidi"/>
          <w:i/>
          <w:iCs/>
          <w:shd w:val="clear" w:color="auto" w:fill="FFFFFF"/>
        </w:rPr>
        <w:t xml:space="preserve">A Narrative of the Experience and Sufferings of William Dodd, a Factory </w:t>
      </w:r>
    </w:p>
    <w:p w14:paraId="36108CE4" w14:textId="5966B4DD" w:rsidR="00DE125E" w:rsidRDefault="00DE125E" w:rsidP="00DE125E">
      <w:pPr>
        <w:ind w:firstLine="720"/>
        <w:rPr>
          <w:rFonts w:asciiTheme="majorBidi" w:hAnsiTheme="majorBidi" w:cstheme="majorBidi"/>
          <w:shd w:val="clear" w:color="auto" w:fill="FFFFFF"/>
        </w:rPr>
      </w:pPr>
      <w:r w:rsidRPr="002A5475">
        <w:rPr>
          <w:rFonts w:asciiTheme="majorBidi" w:hAnsiTheme="majorBidi" w:cstheme="majorBidi"/>
          <w:i/>
          <w:iCs/>
          <w:shd w:val="clear" w:color="auto" w:fill="FFFFFF"/>
        </w:rPr>
        <w:t>Cripple</w:t>
      </w:r>
      <w:r w:rsidRPr="002A5475">
        <w:rPr>
          <w:rFonts w:asciiTheme="majorBidi" w:hAnsiTheme="majorBidi" w:cstheme="majorBidi"/>
          <w:shd w:val="clear" w:color="auto" w:fill="FFFFFF"/>
        </w:rPr>
        <w:t>. 2</w:t>
      </w:r>
      <w:r w:rsidRPr="002A5475">
        <w:rPr>
          <w:rFonts w:asciiTheme="majorBidi" w:hAnsiTheme="majorBidi" w:cstheme="majorBidi"/>
          <w:shd w:val="clear" w:color="auto" w:fill="FFFFFF"/>
          <w:vertAlign w:val="superscript"/>
        </w:rPr>
        <w:t>nd</w:t>
      </w:r>
      <w:r w:rsidRPr="002A5475">
        <w:rPr>
          <w:rFonts w:asciiTheme="majorBidi" w:hAnsiTheme="majorBidi" w:cstheme="majorBidi"/>
          <w:shd w:val="clear" w:color="auto" w:fill="FFFFFF"/>
        </w:rPr>
        <w:t xml:space="preserve"> Ed. London: L. &amp; G. Seeley, 1841.</w:t>
      </w:r>
    </w:p>
    <w:p w14:paraId="543558D4" w14:textId="2587A2D9" w:rsidR="00E36AA8" w:rsidRPr="00E36AA8" w:rsidRDefault="00E36AA8" w:rsidP="00E36AA8">
      <w:pPr>
        <w:rPr>
          <w:rFonts w:asciiTheme="majorBidi" w:hAnsiTheme="majorBidi" w:cstheme="majorBidi"/>
        </w:rPr>
      </w:pPr>
      <w:r>
        <w:rPr>
          <w:rFonts w:asciiTheme="majorBidi" w:hAnsiTheme="majorBidi" w:cstheme="majorBidi"/>
          <w:shd w:val="clear" w:color="auto" w:fill="FFFFFF"/>
        </w:rPr>
        <w:t xml:space="preserve">Eliot, George. </w:t>
      </w:r>
      <w:r>
        <w:rPr>
          <w:rFonts w:asciiTheme="majorBidi" w:hAnsiTheme="majorBidi" w:cstheme="majorBidi"/>
          <w:i/>
          <w:iCs/>
          <w:shd w:val="clear" w:color="auto" w:fill="FFFFFF"/>
        </w:rPr>
        <w:t xml:space="preserve">Middlemarch. </w:t>
      </w:r>
      <w:r w:rsidR="004366F4">
        <w:rPr>
          <w:rFonts w:asciiTheme="majorBidi" w:hAnsiTheme="majorBidi" w:cstheme="majorBidi"/>
          <w:shd w:val="clear" w:color="auto" w:fill="FFFFFF"/>
        </w:rPr>
        <w:t xml:space="preserve">Ed. David Carroll. New York: Oxford UP, 2008. </w:t>
      </w:r>
    </w:p>
    <w:p w14:paraId="2613338F" w14:textId="663671DA" w:rsidR="0073481B" w:rsidRPr="002A5475" w:rsidRDefault="0073481B" w:rsidP="00647ED7">
      <w:pPr>
        <w:rPr>
          <w:rFonts w:asciiTheme="majorBidi" w:hAnsiTheme="majorBidi" w:cstheme="majorBidi"/>
        </w:rPr>
      </w:pPr>
      <w:r w:rsidRPr="002A5475">
        <w:rPr>
          <w:rFonts w:asciiTheme="majorBidi" w:hAnsiTheme="majorBidi" w:cstheme="majorBidi"/>
        </w:rPr>
        <w:t xml:space="preserve">Flaubert, Gustave. </w:t>
      </w:r>
      <w:r w:rsidRPr="002A5475">
        <w:rPr>
          <w:rFonts w:asciiTheme="majorBidi" w:hAnsiTheme="majorBidi" w:cstheme="majorBidi"/>
          <w:i/>
        </w:rPr>
        <w:t>Madame Bovary</w:t>
      </w:r>
      <w:r w:rsidRPr="002A5475">
        <w:rPr>
          <w:rFonts w:asciiTheme="majorBidi" w:hAnsiTheme="majorBidi" w:cstheme="majorBidi"/>
        </w:rPr>
        <w:t>. Trans. Geoffrey Wall. New York: Penguin, 2003.</w:t>
      </w:r>
      <w:r w:rsidR="0074756C" w:rsidRPr="002A5475">
        <w:rPr>
          <w:rFonts w:asciiTheme="majorBidi" w:hAnsiTheme="majorBidi" w:cstheme="majorBidi"/>
        </w:rPr>
        <w:t xml:space="preserve"> </w:t>
      </w:r>
    </w:p>
    <w:p w14:paraId="6DD4C577" w14:textId="77777777" w:rsidR="00DE125E" w:rsidRPr="002A5475" w:rsidRDefault="0073481B" w:rsidP="0074756C">
      <w:pPr>
        <w:rPr>
          <w:rFonts w:asciiTheme="majorBidi" w:hAnsiTheme="majorBidi" w:cstheme="majorBidi"/>
        </w:rPr>
      </w:pPr>
      <w:r w:rsidRPr="002A5475">
        <w:rPr>
          <w:rFonts w:asciiTheme="majorBidi" w:hAnsiTheme="majorBidi" w:cstheme="majorBidi"/>
        </w:rPr>
        <w:t xml:space="preserve">Galton, Sir Francis. </w:t>
      </w:r>
      <w:r w:rsidRPr="002A5475">
        <w:rPr>
          <w:rFonts w:asciiTheme="majorBidi" w:hAnsiTheme="majorBidi" w:cstheme="majorBidi"/>
          <w:i/>
          <w:iCs/>
        </w:rPr>
        <w:t>Hereditary Genius: An Inquiry into its Laws and Consequences</w:t>
      </w:r>
      <w:r w:rsidRPr="002A5475">
        <w:rPr>
          <w:rFonts w:asciiTheme="majorBidi" w:hAnsiTheme="majorBidi" w:cstheme="majorBidi"/>
        </w:rPr>
        <w:t xml:space="preserve">. New </w:t>
      </w:r>
    </w:p>
    <w:p w14:paraId="57466D39" w14:textId="1DFEF76C" w:rsidR="0073481B" w:rsidRPr="002A5475" w:rsidRDefault="0073481B" w:rsidP="00E36AA8">
      <w:pPr>
        <w:ind w:firstLine="720"/>
        <w:rPr>
          <w:rFonts w:asciiTheme="majorBidi" w:hAnsiTheme="majorBidi" w:cstheme="majorBidi"/>
        </w:rPr>
      </w:pPr>
      <w:r w:rsidRPr="002A5475">
        <w:rPr>
          <w:rFonts w:asciiTheme="majorBidi" w:hAnsiTheme="majorBidi" w:cstheme="majorBidi"/>
        </w:rPr>
        <w:t>York: Macmillan and Co., 1862.</w:t>
      </w:r>
    </w:p>
    <w:p w14:paraId="799FF1B4" w14:textId="77777777" w:rsidR="0073481B" w:rsidRPr="002A5475" w:rsidRDefault="0073481B" w:rsidP="0073481B">
      <w:pPr>
        <w:rPr>
          <w:rFonts w:asciiTheme="majorBidi" w:hAnsiTheme="majorBidi" w:cstheme="majorBidi"/>
        </w:rPr>
      </w:pPr>
      <w:r w:rsidRPr="002A5475">
        <w:rPr>
          <w:rFonts w:asciiTheme="majorBidi" w:hAnsiTheme="majorBidi" w:cstheme="majorBidi"/>
        </w:rPr>
        <w:t xml:space="preserve">Mayhew, Henry. </w:t>
      </w:r>
      <w:r w:rsidRPr="002A5475">
        <w:rPr>
          <w:rFonts w:asciiTheme="majorBidi" w:hAnsiTheme="majorBidi" w:cstheme="majorBidi"/>
          <w:i/>
          <w:iCs/>
        </w:rPr>
        <w:t>London Labour and the London Poor</w:t>
      </w:r>
      <w:r w:rsidRPr="002A5475">
        <w:rPr>
          <w:rFonts w:asciiTheme="majorBidi" w:hAnsiTheme="majorBidi" w:cstheme="majorBidi"/>
        </w:rPr>
        <w:t xml:space="preserve">. 4 vols. New York: Dover, 1969. </w:t>
      </w:r>
    </w:p>
    <w:p w14:paraId="7C9EF939" w14:textId="77777777" w:rsidR="001C3308" w:rsidRDefault="0073481B" w:rsidP="001C3308">
      <w:pPr>
        <w:rPr>
          <w:rFonts w:asciiTheme="majorBidi" w:hAnsiTheme="majorBidi" w:cstheme="majorBidi"/>
        </w:rPr>
      </w:pPr>
      <w:r w:rsidRPr="002A5475">
        <w:rPr>
          <w:rFonts w:asciiTheme="majorBidi" w:hAnsiTheme="majorBidi" w:cstheme="majorBidi"/>
        </w:rPr>
        <w:t>Poe, Edgar Allan. “The Man that Was Used Up: A Tale of the Late Bugaboo and</w:t>
      </w:r>
      <w:r w:rsidR="0074756C" w:rsidRPr="002A5475">
        <w:rPr>
          <w:rFonts w:asciiTheme="majorBidi" w:hAnsiTheme="majorBidi" w:cstheme="majorBidi"/>
        </w:rPr>
        <w:t xml:space="preserve"> </w:t>
      </w:r>
    </w:p>
    <w:p w14:paraId="4B7657A6" w14:textId="25DCEB7C" w:rsidR="0073481B" w:rsidRPr="002A5475" w:rsidRDefault="0073481B" w:rsidP="001C3308">
      <w:pPr>
        <w:ind w:left="720"/>
        <w:rPr>
          <w:rFonts w:asciiTheme="majorBidi" w:hAnsiTheme="majorBidi" w:cstheme="majorBidi"/>
        </w:rPr>
      </w:pPr>
      <w:r w:rsidRPr="002A5475">
        <w:rPr>
          <w:rFonts w:asciiTheme="majorBidi" w:hAnsiTheme="majorBidi" w:cstheme="majorBidi"/>
        </w:rPr>
        <w:t xml:space="preserve">Kickapoo Campaign.” </w:t>
      </w:r>
      <w:r w:rsidRPr="002A5475">
        <w:rPr>
          <w:rFonts w:asciiTheme="majorBidi" w:hAnsiTheme="majorBidi" w:cstheme="majorBidi"/>
          <w:i/>
          <w:iCs/>
        </w:rPr>
        <w:t>The Complete Short Stories</w:t>
      </w:r>
      <w:r w:rsidRPr="002A5475">
        <w:rPr>
          <w:rFonts w:asciiTheme="majorBidi" w:hAnsiTheme="majorBidi" w:cstheme="majorBidi"/>
        </w:rPr>
        <w:t>. Open Road, 2014: 1280-1299.</w:t>
      </w:r>
    </w:p>
    <w:p w14:paraId="01270B9B" w14:textId="77777777" w:rsidR="0074756C" w:rsidRPr="002A5475" w:rsidRDefault="0073481B" w:rsidP="0073481B">
      <w:pPr>
        <w:rPr>
          <w:rFonts w:asciiTheme="majorBidi" w:hAnsiTheme="majorBidi" w:cstheme="majorBidi"/>
        </w:rPr>
      </w:pPr>
      <w:r w:rsidRPr="002A5475">
        <w:rPr>
          <w:rFonts w:asciiTheme="majorBidi" w:hAnsiTheme="majorBidi" w:cstheme="majorBidi"/>
        </w:rPr>
        <w:t xml:space="preserve">Shelley, Mary Wollstonecraft. </w:t>
      </w:r>
      <w:r w:rsidRPr="002A5475">
        <w:rPr>
          <w:rFonts w:asciiTheme="majorBidi" w:hAnsiTheme="majorBidi" w:cstheme="majorBidi"/>
          <w:i/>
        </w:rPr>
        <w:t>Frankenstein</w:t>
      </w:r>
      <w:r w:rsidRPr="002A5475">
        <w:rPr>
          <w:rFonts w:asciiTheme="majorBidi" w:hAnsiTheme="majorBidi" w:cstheme="majorBidi"/>
        </w:rPr>
        <w:t xml:space="preserve">. Ed. J. Paul Hunter. New York: W. W. </w:t>
      </w:r>
    </w:p>
    <w:p w14:paraId="160D6AF3" w14:textId="587BD204" w:rsidR="0073481B" w:rsidRDefault="0073481B" w:rsidP="0074756C">
      <w:pPr>
        <w:ind w:firstLine="720"/>
        <w:rPr>
          <w:rFonts w:asciiTheme="majorBidi" w:hAnsiTheme="majorBidi" w:cstheme="majorBidi"/>
        </w:rPr>
      </w:pPr>
      <w:r w:rsidRPr="002A5475">
        <w:rPr>
          <w:rFonts w:asciiTheme="majorBidi" w:hAnsiTheme="majorBidi" w:cstheme="majorBidi"/>
        </w:rPr>
        <w:t xml:space="preserve">Norton &amp; Co., 2012. </w:t>
      </w:r>
    </w:p>
    <w:p w14:paraId="66D105AB" w14:textId="77777777" w:rsidR="00654283" w:rsidRDefault="00654283" w:rsidP="00654283">
      <w:pPr>
        <w:rPr>
          <w:rFonts w:asciiTheme="majorBidi" w:hAnsiTheme="majorBidi" w:cstheme="majorBidi"/>
          <w:i/>
          <w:iCs/>
        </w:rPr>
      </w:pPr>
      <w:r w:rsidRPr="00654283">
        <w:rPr>
          <w:rFonts w:asciiTheme="majorBidi" w:hAnsiTheme="majorBidi" w:cstheme="majorBidi"/>
        </w:rPr>
        <w:t xml:space="preserve">Smith, Stephen. "Amputations." </w:t>
      </w:r>
      <w:r w:rsidRPr="00654283">
        <w:rPr>
          <w:rFonts w:asciiTheme="majorBidi" w:hAnsiTheme="majorBidi" w:cstheme="majorBidi"/>
          <w:i/>
          <w:iCs/>
        </w:rPr>
        <w:t xml:space="preserve">Military Medical and Surgical Essays: Prepared for the </w:t>
      </w:r>
    </w:p>
    <w:p w14:paraId="798CD05F" w14:textId="77777777" w:rsidR="00654283" w:rsidRDefault="00654283" w:rsidP="00654283">
      <w:pPr>
        <w:ind w:firstLine="720"/>
        <w:rPr>
          <w:rFonts w:asciiTheme="majorBidi" w:hAnsiTheme="majorBidi" w:cstheme="majorBidi"/>
        </w:rPr>
      </w:pPr>
      <w:r w:rsidRPr="00654283">
        <w:rPr>
          <w:rFonts w:asciiTheme="majorBidi" w:hAnsiTheme="majorBidi" w:cstheme="majorBidi"/>
          <w:i/>
          <w:iCs/>
        </w:rPr>
        <w:t>United States Sanitary Commission.</w:t>
      </w:r>
      <w:r w:rsidRPr="00654283">
        <w:rPr>
          <w:rFonts w:asciiTheme="majorBidi" w:hAnsiTheme="majorBidi" w:cstheme="majorBidi"/>
        </w:rPr>
        <w:t xml:space="preserve"> Ed. William Alexander Hammond. </w:t>
      </w:r>
    </w:p>
    <w:p w14:paraId="2134C649" w14:textId="7BD3706C" w:rsidR="00654283" w:rsidRPr="002A5475" w:rsidRDefault="00654283" w:rsidP="00654283">
      <w:pPr>
        <w:ind w:firstLine="720"/>
        <w:rPr>
          <w:rFonts w:asciiTheme="majorBidi" w:hAnsiTheme="majorBidi" w:cstheme="majorBidi"/>
        </w:rPr>
      </w:pPr>
      <w:r w:rsidRPr="00654283">
        <w:rPr>
          <w:rFonts w:asciiTheme="majorBidi" w:hAnsiTheme="majorBidi" w:cstheme="majorBidi"/>
        </w:rPr>
        <w:t>Philadelphia: J.B. Lippincott &amp; Co., 1864. 459-500.</w:t>
      </w:r>
    </w:p>
    <w:p w14:paraId="1BCCB87B" w14:textId="564C7F8D" w:rsidR="0073481B" w:rsidRPr="002A5475" w:rsidRDefault="0073481B" w:rsidP="0073481B">
      <w:pPr>
        <w:rPr>
          <w:rFonts w:asciiTheme="majorBidi" w:hAnsiTheme="majorBidi" w:cstheme="majorBidi"/>
        </w:rPr>
      </w:pPr>
      <w:r w:rsidRPr="002A5475">
        <w:rPr>
          <w:rFonts w:asciiTheme="majorBidi" w:hAnsiTheme="majorBidi" w:cstheme="majorBidi"/>
        </w:rPr>
        <w:t xml:space="preserve">Spencer, Herbert. </w:t>
      </w:r>
      <w:r w:rsidRPr="002A5475">
        <w:rPr>
          <w:rFonts w:asciiTheme="majorBidi" w:hAnsiTheme="majorBidi" w:cstheme="majorBidi"/>
          <w:i/>
        </w:rPr>
        <w:t>Principles of Biology</w:t>
      </w:r>
      <w:r w:rsidRPr="002A5475">
        <w:rPr>
          <w:rFonts w:asciiTheme="majorBidi" w:hAnsiTheme="majorBidi" w:cstheme="majorBidi"/>
        </w:rPr>
        <w:t>.</w:t>
      </w:r>
      <w:r w:rsidR="00647ED7" w:rsidRPr="002A5475">
        <w:rPr>
          <w:rFonts w:asciiTheme="majorBidi" w:hAnsiTheme="majorBidi" w:cstheme="majorBidi"/>
        </w:rPr>
        <w:t xml:space="preserve"> New York: D. Appleton and Co.,</w:t>
      </w:r>
      <w:r w:rsidRPr="002A5475">
        <w:rPr>
          <w:rFonts w:asciiTheme="majorBidi" w:hAnsiTheme="majorBidi" w:cstheme="majorBidi"/>
        </w:rPr>
        <w:t xml:space="preserve"> 1864.</w:t>
      </w:r>
    </w:p>
    <w:p w14:paraId="52644481" w14:textId="77777777" w:rsidR="00053DF3" w:rsidRPr="002A5475" w:rsidRDefault="00053DF3" w:rsidP="00053DF3">
      <w:pPr>
        <w:rPr>
          <w:rFonts w:asciiTheme="majorBidi" w:hAnsiTheme="majorBidi" w:cstheme="majorBidi"/>
        </w:rPr>
      </w:pPr>
      <w:r w:rsidRPr="002A5475">
        <w:rPr>
          <w:rFonts w:asciiTheme="majorBidi" w:hAnsiTheme="majorBidi" w:cstheme="majorBidi"/>
        </w:rPr>
        <w:t xml:space="preserve">Supreme Court of Texas. </w:t>
      </w:r>
      <w:r w:rsidRPr="002A5475">
        <w:rPr>
          <w:rFonts w:asciiTheme="majorBidi" w:hAnsiTheme="majorBidi" w:cstheme="majorBidi"/>
          <w:i/>
          <w:iCs/>
        </w:rPr>
        <w:t>Emmit E. Fisher v. Carrousel Motor Hotel, Inc., et al.</w:t>
      </w:r>
      <w:r w:rsidRPr="002A5475">
        <w:rPr>
          <w:rFonts w:asciiTheme="majorBidi" w:hAnsiTheme="majorBidi" w:cstheme="majorBidi"/>
        </w:rPr>
        <w:t xml:space="preserve"> 424 </w:t>
      </w:r>
    </w:p>
    <w:p w14:paraId="62DCC6C5" w14:textId="6BA4DC7B" w:rsidR="00053DF3" w:rsidRPr="002A5475" w:rsidRDefault="00053DF3" w:rsidP="00053DF3">
      <w:pPr>
        <w:ind w:firstLine="720"/>
        <w:rPr>
          <w:rFonts w:asciiTheme="majorBidi" w:hAnsiTheme="majorBidi" w:cstheme="majorBidi"/>
        </w:rPr>
      </w:pPr>
      <w:r w:rsidRPr="002A5475">
        <w:rPr>
          <w:rFonts w:asciiTheme="majorBidi" w:hAnsiTheme="majorBidi" w:cstheme="majorBidi"/>
        </w:rPr>
        <w:t>S.W.2d 627. 27 Dec. 1967.</w:t>
      </w:r>
    </w:p>
    <w:p w14:paraId="4C6DFFA2" w14:textId="68984306" w:rsidR="0074756C" w:rsidRPr="002A5475" w:rsidRDefault="0073481B" w:rsidP="0073481B">
      <w:pPr>
        <w:rPr>
          <w:rFonts w:asciiTheme="majorBidi" w:hAnsiTheme="majorBidi" w:cstheme="majorBidi"/>
        </w:rPr>
      </w:pPr>
      <w:r w:rsidRPr="002A5475">
        <w:rPr>
          <w:rFonts w:asciiTheme="majorBidi" w:hAnsiTheme="majorBidi" w:cstheme="majorBidi"/>
        </w:rPr>
        <w:t xml:space="preserve">Trollope, Anthony. </w:t>
      </w:r>
      <w:r w:rsidRPr="002A5475">
        <w:rPr>
          <w:rFonts w:asciiTheme="majorBidi" w:hAnsiTheme="majorBidi" w:cstheme="majorBidi"/>
          <w:i/>
        </w:rPr>
        <w:t>An Autobiography</w:t>
      </w:r>
      <w:r w:rsidRPr="002A5475">
        <w:rPr>
          <w:rFonts w:asciiTheme="majorBidi" w:hAnsiTheme="majorBidi" w:cstheme="majorBidi"/>
        </w:rPr>
        <w:t>. Eds. Michael Sadleir and F</w:t>
      </w:r>
      <w:r w:rsidR="00451A76">
        <w:rPr>
          <w:rFonts w:asciiTheme="majorBidi" w:hAnsiTheme="majorBidi" w:cstheme="majorBidi"/>
        </w:rPr>
        <w:t>r</w:t>
      </w:r>
      <w:r w:rsidRPr="002A5475">
        <w:rPr>
          <w:rFonts w:asciiTheme="majorBidi" w:hAnsiTheme="majorBidi" w:cstheme="majorBidi"/>
        </w:rPr>
        <w:t xml:space="preserve">ederick Page. New </w:t>
      </w:r>
    </w:p>
    <w:p w14:paraId="17CE161C" w14:textId="6CC53B75" w:rsidR="0073481B" w:rsidRPr="002A5475" w:rsidRDefault="0073481B" w:rsidP="0074756C">
      <w:pPr>
        <w:ind w:firstLine="720"/>
        <w:rPr>
          <w:rFonts w:asciiTheme="majorBidi" w:hAnsiTheme="majorBidi" w:cstheme="majorBidi"/>
        </w:rPr>
      </w:pPr>
      <w:r w:rsidRPr="002A5475">
        <w:rPr>
          <w:rFonts w:asciiTheme="majorBidi" w:hAnsiTheme="majorBidi" w:cstheme="majorBidi"/>
        </w:rPr>
        <w:lastRenderedPageBreak/>
        <w:t xml:space="preserve">York: Oxford UP, 2009. </w:t>
      </w:r>
    </w:p>
    <w:p w14:paraId="5832F854" w14:textId="19C61422" w:rsidR="0073481B" w:rsidRPr="002A5475" w:rsidRDefault="0073481B" w:rsidP="0073481B">
      <w:pPr>
        <w:rPr>
          <w:rFonts w:asciiTheme="majorBidi" w:hAnsiTheme="majorBidi" w:cstheme="majorBidi"/>
        </w:rPr>
      </w:pPr>
      <w:bookmarkStart w:id="42" w:name="_Hlk45043786"/>
      <w:r w:rsidRPr="002A5475">
        <w:rPr>
          <w:rFonts w:asciiTheme="majorBidi" w:hAnsiTheme="majorBidi" w:cstheme="majorBidi"/>
        </w:rPr>
        <w:t>_______.</w:t>
      </w:r>
      <w:bookmarkEnd w:id="42"/>
      <w:r w:rsidRPr="002A5475">
        <w:rPr>
          <w:rFonts w:asciiTheme="majorBidi" w:hAnsiTheme="majorBidi" w:cstheme="majorBidi"/>
        </w:rPr>
        <w:t xml:space="preserve"> </w:t>
      </w:r>
      <w:r w:rsidRPr="002A5475">
        <w:rPr>
          <w:rFonts w:asciiTheme="majorBidi" w:hAnsiTheme="majorBidi" w:cstheme="majorBidi"/>
          <w:i/>
        </w:rPr>
        <w:t>Barchester Towers</w:t>
      </w:r>
      <w:r w:rsidRPr="002A5475">
        <w:rPr>
          <w:rFonts w:asciiTheme="majorBidi" w:hAnsiTheme="majorBidi" w:cstheme="majorBidi"/>
        </w:rPr>
        <w:t xml:space="preserve">. Ed. Robin Gilmour. New York: Penguin, 1994. </w:t>
      </w:r>
    </w:p>
    <w:p w14:paraId="366D8549" w14:textId="777D3318" w:rsidR="0073481B" w:rsidRPr="002A5475" w:rsidRDefault="0073481B" w:rsidP="0073481B">
      <w:pPr>
        <w:rPr>
          <w:rFonts w:asciiTheme="majorBidi" w:hAnsiTheme="majorBidi" w:cstheme="majorBidi"/>
        </w:rPr>
      </w:pPr>
      <w:r w:rsidRPr="002A5475">
        <w:rPr>
          <w:rFonts w:asciiTheme="majorBidi" w:hAnsiTheme="majorBidi" w:cstheme="majorBidi"/>
        </w:rPr>
        <w:t xml:space="preserve">_______. </w:t>
      </w:r>
      <w:r w:rsidRPr="002A5475">
        <w:rPr>
          <w:rFonts w:asciiTheme="majorBidi" w:hAnsiTheme="majorBidi" w:cstheme="majorBidi"/>
          <w:i/>
        </w:rPr>
        <w:t>The Belton Estate</w:t>
      </w:r>
      <w:r w:rsidRPr="002A5475">
        <w:rPr>
          <w:rFonts w:asciiTheme="majorBidi" w:hAnsiTheme="majorBidi" w:cstheme="majorBidi"/>
        </w:rPr>
        <w:t xml:space="preserve">. Ed. John Halperin. New York: Oxford UP, 1991. </w:t>
      </w:r>
    </w:p>
    <w:p w14:paraId="229F0209" w14:textId="1CDD72B3" w:rsidR="0073481B" w:rsidRDefault="0073481B" w:rsidP="0073481B">
      <w:pPr>
        <w:rPr>
          <w:rFonts w:asciiTheme="majorBidi" w:hAnsiTheme="majorBidi" w:cstheme="majorBidi"/>
        </w:rPr>
      </w:pPr>
      <w:r w:rsidRPr="002A5475">
        <w:rPr>
          <w:rFonts w:asciiTheme="majorBidi" w:hAnsiTheme="majorBidi" w:cstheme="majorBidi"/>
        </w:rPr>
        <w:t xml:space="preserve">_______. </w:t>
      </w:r>
      <w:r w:rsidRPr="002A5475">
        <w:rPr>
          <w:rFonts w:asciiTheme="majorBidi" w:hAnsiTheme="majorBidi" w:cstheme="majorBidi"/>
          <w:i/>
        </w:rPr>
        <w:t>The Bertrams</w:t>
      </w:r>
      <w:r w:rsidRPr="002A5475">
        <w:rPr>
          <w:rFonts w:asciiTheme="majorBidi" w:hAnsiTheme="majorBidi" w:cstheme="majorBidi"/>
        </w:rPr>
        <w:t>.</w:t>
      </w:r>
      <w:r w:rsidR="00E36AA8">
        <w:rPr>
          <w:rFonts w:asciiTheme="majorBidi" w:hAnsiTheme="majorBidi" w:cstheme="majorBidi"/>
        </w:rPr>
        <w:t xml:space="preserve"> Ed. Geoffrey Harvey. New York: Oxford UP, 1991.</w:t>
      </w:r>
      <w:r w:rsidRPr="002A5475">
        <w:rPr>
          <w:rFonts w:asciiTheme="majorBidi" w:hAnsiTheme="majorBidi" w:cstheme="majorBidi"/>
        </w:rPr>
        <w:t xml:space="preserve"> </w:t>
      </w:r>
    </w:p>
    <w:p w14:paraId="76860AE0" w14:textId="579B53B8" w:rsidR="00E36AA8" w:rsidRPr="00E36AA8" w:rsidRDefault="00E36AA8" w:rsidP="0073481B">
      <w:pPr>
        <w:rPr>
          <w:rFonts w:asciiTheme="majorBidi" w:hAnsiTheme="majorBidi" w:cstheme="majorBidi"/>
        </w:rPr>
      </w:pPr>
      <w:r w:rsidRPr="002A5475">
        <w:rPr>
          <w:rFonts w:asciiTheme="majorBidi" w:hAnsiTheme="majorBidi" w:cstheme="majorBidi"/>
        </w:rPr>
        <w:t>_______.</w:t>
      </w:r>
      <w:r>
        <w:rPr>
          <w:rFonts w:asciiTheme="majorBidi" w:hAnsiTheme="majorBidi" w:cstheme="majorBidi"/>
        </w:rPr>
        <w:t xml:space="preserve"> </w:t>
      </w:r>
      <w:r>
        <w:rPr>
          <w:rFonts w:asciiTheme="majorBidi" w:hAnsiTheme="majorBidi" w:cstheme="majorBidi"/>
          <w:i/>
          <w:iCs/>
        </w:rPr>
        <w:t>Can You Forgive Her?</w:t>
      </w:r>
      <w:r>
        <w:rPr>
          <w:rFonts w:asciiTheme="majorBidi" w:hAnsiTheme="majorBidi" w:cstheme="majorBidi"/>
        </w:rPr>
        <w:t xml:space="preserve"> Ed. Stephen Wall. New York: Penguin, 1975. </w:t>
      </w:r>
    </w:p>
    <w:p w14:paraId="491DD5CE" w14:textId="41A1D8E2" w:rsidR="0073481B" w:rsidRDefault="0073481B" w:rsidP="00647ED7">
      <w:pPr>
        <w:rPr>
          <w:rFonts w:asciiTheme="majorBidi" w:hAnsiTheme="majorBidi" w:cstheme="majorBidi"/>
        </w:rPr>
      </w:pPr>
      <w:r w:rsidRPr="002A5475">
        <w:rPr>
          <w:rFonts w:asciiTheme="majorBidi" w:hAnsiTheme="majorBidi" w:cstheme="majorBidi"/>
        </w:rPr>
        <w:t xml:space="preserve">_______. </w:t>
      </w:r>
      <w:r w:rsidRPr="002A5475">
        <w:rPr>
          <w:rFonts w:asciiTheme="majorBidi" w:hAnsiTheme="majorBidi" w:cstheme="majorBidi"/>
          <w:i/>
        </w:rPr>
        <w:t>He Knew He Was Right</w:t>
      </w:r>
      <w:r w:rsidRPr="002A5475">
        <w:rPr>
          <w:rFonts w:asciiTheme="majorBidi" w:hAnsiTheme="majorBidi" w:cstheme="majorBidi"/>
        </w:rPr>
        <w:t xml:space="preserve">. Ed. John Sutherland. New York: Oxford UP, 2009. </w:t>
      </w:r>
    </w:p>
    <w:p w14:paraId="790A1C9B" w14:textId="7C9936EF" w:rsidR="00E36AA8" w:rsidRPr="00E36AA8" w:rsidRDefault="00E36AA8" w:rsidP="00647ED7">
      <w:pPr>
        <w:rPr>
          <w:rFonts w:asciiTheme="majorBidi" w:hAnsiTheme="majorBidi" w:cstheme="majorBidi"/>
        </w:rPr>
      </w:pPr>
      <w:r w:rsidRPr="002A5475">
        <w:rPr>
          <w:rFonts w:asciiTheme="majorBidi" w:hAnsiTheme="majorBidi" w:cstheme="majorBidi"/>
        </w:rPr>
        <w:t>_______.</w:t>
      </w:r>
      <w:r>
        <w:rPr>
          <w:rFonts w:asciiTheme="majorBidi" w:hAnsiTheme="majorBidi" w:cstheme="majorBidi"/>
        </w:rPr>
        <w:t xml:space="preserve"> </w:t>
      </w:r>
      <w:r>
        <w:rPr>
          <w:rFonts w:asciiTheme="majorBidi" w:hAnsiTheme="majorBidi" w:cstheme="majorBidi"/>
          <w:i/>
          <w:iCs/>
        </w:rPr>
        <w:t>The Last Chronicle of Barset</w:t>
      </w:r>
      <w:r>
        <w:rPr>
          <w:rFonts w:asciiTheme="majorBidi" w:hAnsiTheme="majorBidi" w:cstheme="majorBidi"/>
        </w:rPr>
        <w:t>. Ed. Helen Small. New York: Oxford UP, 2015.</w:t>
      </w:r>
    </w:p>
    <w:p w14:paraId="18A02511" w14:textId="4BA9C2D8" w:rsidR="0073481B" w:rsidRPr="002A5475" w:rsidRDefault="0073481B" w:rsidP="00647ED7">
      <w:pPr>
        <w:rPr>
          <w:rFonts w:asciiTheme="majorBidi" w:hAnsiTheme="majorBidi" w:cstheme="majorBidi"/>
        </w:rPr>
      </w:pPr>
      <w:r w:rsidRPr="002A5475">
        <w:rPr>
          <w:rFonts w:asciiTheme="majorBidi" w:hAnsiTheme="majorBidi" w:cstheme="majorBidi"/>
        </w:rPr>
        <w:t xml:space="preserve">_______. </w:t>
      </w:r>
      <w:r w:rsidRPr="002A5475">
        <w:rPr>
          <w:rFonts w:asciiTheme="majorBidi" w:hAnsiTheme="majorBidi" w:cstheme="majorBidi"/>
          <w:i/>
        </w:rPr>
        <w:t>The Prime Minister</w:t>
      </w:r>
      <w:r w:rsidRPr="002A5475">
        <w:rPr>
          <w:rFonts w:asciiTheme="majorBidi" w:hAnsiTheme="majorBidi" w:cstheme="majorBidi"/>
        </w:rPr>
        <w:t xml:space="preserve">. Ed. Nicholas Shrimpton. New York: Oxford UP, 2011. </w:t>
      </w:r>
    </w:p>
    <w:p w14:paraId="791757EA" w14:textId="77777777" w:rsidR="0074756C" w:rsidRPr="002A5475" w:rsidRDefault="0073481B" w:rsidP="0073481B">
      <w:pPr>
        <w:rPr>
          <w:rFonts w:asciiTheme="majorBidi" w:hAnsiTheme="majorBidi" w:cstheme="majorBidi"/>
        </w:rPr>
      </w:pPr>
      <w:r w:rsidRPr="002A5475">
        <w:rPr>
          <w:rFonts w:asciiTheme="majorBidi" w:hAnsiTheme="majorBidi" w:cstheme="majorBidi"/>
        </w:rPr>
        <w:t xml:space="preserve">Wells, H. G. “The Country of the Blind.” </w:t>
      </w:r>
      <w:r w:rsidRPr="002A5475">
        <w:rPr>
          <w:rFonts w:asciiTheme="majorBidi" w:hAnsiTheme="majorBidi" w:cstheme="majorBidi"/>
          <w:i/>
        </w:rPr>
        <w:t>The Country of the Blind, and Other Stories</w:t>
      </w:r>
      <w:r w:rsidRPr="002A5475">
        <w:rPr>
          <w:rFonts w:asciiTheme="majorBidi" w:hAnsiTheme="majorBidi" w:cstheme="majorBidi"/>
        </w:rPr>
        <w:t>.</w:t>
      </w:r>
    </w:p>
    <w:p w14:paraId="615F4E16" w14:textId="7D844E31" w:rsidR="0073481B" w:rsidRPr="002A5475" w:rsidRDefault="0073481B" w:rsidP="00AA47B9">
      <w:pPr>
        <w:ind w:firstLine="720"/>
        <w:rPr>
          <w:rFonts w:asciiTheme="majorBidi" w:hAnsiTheme="majorBidi" w:cstheme="majorBidi"/>
        </w:rPr>
      </w:pPr>
      <w:r w:rsidRPr="002A5475">
        <w:rPr>
          <w:rFonts w:asciiTheme="majorBidi" w:hAnsiTheme="majorBidi" w:cstheme="majorBidi"/>
        </w:rPr>
        <w:t xml:space="preserve">Ed. Michael Sherborne. New York: Oxford UP, 1996. </w:t>
      </w:r>
      <w:r w:rsidRPr="002A5475">
        <w:rPr>
          <w:rFonts w:asciiTheme="majorBidi" w:hAnsiTheme="majorBidi" w:cstheme="majorBidi"/>
        </w:rPr>
        <w:tab/>
      </w:r>
    </w:p>
    <w:p w14:paraId="204382CD" w14:textId="77777777" w:rsidR="0073481B" w:rsidRPr="002A5475" w:rsidRDefault="0073481B" w:rsidP="0073481B">
      <w:pPr>
        <w:rPr>
          <w:rFonts w:asciiTheme="majorBidi" w:hAnsiTheme="majorBidi" w:cstheme="majorBidi"/>
        </w:rPr>
      </w:pPr>
    </w:p>
    <w:p w14:paraId="19BC7FF2" w14:textId="5C5A3715" w:rsidR="0073481B" w:rsidRPr="002A5475" w:rsidRDefault="0073481B" w:rsidP="00CB2025">
      <w:pPr>
        <w:rPr>
          <w:rFonts w:asciiTheme="majorBidi" w:hAnsiTheme="majorBidi" w:cstheme="majorBidi"/>
          <w:b/>
        </w:rPr>
      </w:pPr>
      <w:r w:rsidRPr="002A5475">
        <w:rPr>
          <w:rFonts w:asciiTheme="majorBidi" w:hAnsiTheme="majorBidi" w:cstheme="majorBidi"/>
          <w:b/>
        </w:rPr>
        <w:t>THEORY</w:t>
      </w:r>
    </w:p>
    <w:p w14:paraId="7235BE99" w14:textId="77777777" w:rsidR="00C91179" w:rsidRDefault="0073481B" w:rsidP="00C91179">
      <w:pPr>
        <w:rPr>
          <w:rFonts w:asciiTheme="majorBidi" w:hAnsiTheme="majorBidi" w:cstheme="majorBidi"/>
        </w:rPr>
      </w:pPr>
      <w:r w:rsidRPr="002A5475">
        <w:rPr>
          <w:rFonts w:asciiTheme="majorBidi" w:hAnsiTheme="majorBidi" w:cstheme="majorBidi"/>
        </w:rPr>
        <w:t xml:space="preserve">Alaimo, Stacy. </w:t>
      </w:r>
      <w:r w:rsidRPr="002A5475">
        <w:rPr>
          <w:rFonts w:asciiTheme="majorBidi" w:hAnsiTheme="majorBidi" w:cstheme="majorBidi"/>
          <w:i/>
          <w:iCs/>
        </w:rPr>
        <w:t>Bodily Natures: Science, Environment, and the Material Self</w:t>
      </w:r>
      <w:r w:rsidRPr="002A5475">
        <w:rPr>
          <w:rFonts w:asciiTheme="majorBidi" w:hAnsiTheme="majorBidi" w:cstheme="majorBidi"/>
        </w:rPr>
        <w:t>.</w:t>
      </w:r>
      <w:r w:rsidR="00CB2025" w:rsidRPr="002A5475">
        <w:rPr>
          <w:rFonts w:asciiTheme="majorBidi" w:hAnsiTheme="majorBidi" w:cstheme="majorBidi"/>
        </w:rPr>
        <w:t xml:space="preserve"> </w:t>
      </w:r>
      <w:r w:rsidRPr="002A5475">
        <w:rPr>
          <w:rFonts w:asciiTheme="majorBidi" w:hAnsiTheme="majorBidi" w:cstheme="majorBidi"/>
        </w:rPr>
        <w:t xml:space="preserve">Bloomington: </w:t>
      </w:r>
    </w:p>
    <w:p w14:paraId="63CD57E8" w14:textId="52CF351F" w:rsidR="0073481B" w:rsidRPr="002A5475" w:rsidRDefault="00CB2025" w:rsidP="00C91179">
      <w:pPr>
        <w:ind w:firstLine="720"/>
        <w:rPr>
          <w:rFonts w:asciiTheme="majorBidi" w:hAnsiTheme="majorBidi" w:cstheme="majorBidi"/>
        </w:rPr>
      </w:pPr>
      <w:r w:rsidRPr="002A5475">
        <w:rPr>
          <w:rFonts w:asciiTheme="majorBidi" w:hAnsiTheme="majorBidi" w:cstheme="majorBidi"/>
        </w:rPr>
        <w:t>U</w:t>
      </w:r>
      <w:r w:rsidR="0073481B" w:rsidRPr="002A5475">
        <w:rPr>
          <w:rFonts w:asciiTheme="majorBidi" w:hAnsiTheme="majorBidi" w:cstheme="majorBidi"/>
        </w:rPr>
        <w:t>niversity of Indiana Press, 2010.</w:t>
      </w:r>
    </w:p>
    <w:p w14:paraId="0E2AFD22" w14:textId="2EDB9B72" w:rsidR="00CB2025" w:rsidRPr="002A5475" w:rsidRDefault="0073481B" w:rsidP="00CB2025">
      <w:pPr>
        <w:rPr>
          <w:rFonts w:asciiTheme="majorBidi" w:hAnsiTheme="majorBidi" w:cstheme="majorBidi"/>
        </w:rPr>
      </w:pPr>
      <w:r w:rsidRPr="002A5475">
        <w:rPr>
          <w:rFonts w:asciiTheme="majorBidi" w:hAnsiTheme="majorBidi" w:cstheme="majorBidi"/>
        </w:rPr>
        <w:t xml:space="preserve">Aldiss, Brian W. </w:t>
      </w:r>
      <w:r w:rsidRPr="002A5475">
        <w:rPr>
          <w:rFonts w:asciiTheme="majorBidi" w:hAnsiTheme="majorBidi" w:cstheme="majorBidi"/>
          <w:i/>
          <w:iCs/>
        </w:rPr>
        <w:t>Billion Year Spree</w:t>
      </w:r>
      <w:r w:rsidR="00ED68FA">
        <w:rPr>
          <w:rFonts w:asciiTheme="majorBidi" w:hAnsiTheme="majorBidi" w:cstheme="majorBidi"/>
          <w:i/>
          <w:iCs/>
        </w:rPr>
        <w:t>:</w:t>
      </w:r>
      <w:r w:rsidRPr="002A5475">
        <w:rPr>
          <w:rFonts w:asciiTheme="majorBidi" w:hAnsiTheme="majorBidi" w:cstheme="majorBidi"/>
          <w:i/>
          <w:iCs/>
        </w:rPr>
        <w:t xml:space="preserve"> </w:t>
      </w:r>
      <w:r w:rsidR="00386452">
        <w:rPr>
          <w:rFonts w:asciiTheme="majorBidi" w:hAnsiTheme="majorBidi" w:cstheme="majorBidi"/>
          <w:i/>
          <w:iCs/>
        </w:rPr>
        <w:t>T</w:t>
      </w:r>
      <w:r w:rsidRPr="002A5475">
        <w:rPr>
          <w:rFonts w:asciiTheme="majorBidi" w:hAnsiTheme="majorBidi" w:cstheme="majorBidi"/>
          <w:i/>
          <w:iCs/>
        </w:rPr>
        <w:t>he True History of Science Fiction</w:t>
      </w:r>
      <w:r w:rsidRPr="002A5475">
        <w:rPr>
          <w:rFonts w:asciiTheme="majorBidi" w:hAnsiTheme="majorBidi" w:cstheme="majorBidi"/>
        </w:rPr>
        <w:t xml:space="preserve">. New York: </w:t>
      </w:r>
    </w:p>
    <w:p w14:paraId="6F39FE69" w14:textId="0F7D3F63" w:rsidR="0073481B" w:rsidRPr="002A5475" w:rsidRDefault="0073481B" w:rsidP="00CB2025">
      <w:pPr>
        <w:ind w:firstLine="720"/>
        <w:rPr>
          <w:rFonts w:asciiTheme="majorBidi" w:hAnsiTheme="majorBidi" w:cstheme="majorBidi"/>
        </w:rPr>
      </w:pPr>
      <w:r w:rsidRPr="002A5475">
        <w:rPr>
          <w:rFonts w:asciiTheme="majorBidi" w:hAnsiTheme="majorBidi" w:cstheme="majorBidi"/>
        </w:rPr>
        <w:t>Schocken Books, 1974.</w:t>
      </w:r>
    </w:p>
    <w:p w14:paraId="52F56971" w14:textId="6ED1A730" w:rsidR="00182BAC" w:rsidRPr="002A5475" w:rsidRDefault="00182BAC" w:rsidP="00182BAC">
      <w:pPr>
        <w:rPr>
          <w:rFonts w:asciiTheme="majorBidi" w:hAnsiTheme="majorBidi" w:cstheme="majorBidi"/>
        </w:rPr>
      </w:pPr>
      <w:r w:rsidRPr="002A5475">
        <w:rPr>
          <w:rFonts w:asciiTheme="majorBidi" w:hAnsiTheme="majorBidi" w:cstheme="majorBidi"/>
        </w:rPr>
        <w:t xml:space="preserve">Anderson, Amanda. “Trollope's Modernity.” </w:t>
      </w:r>
      <w:r w:rsidRPr="002A5475">
        <w:rPr>
          <w:rFonts w:asciiTheme="majorBidi" w:hAnsiTheme="majorBidi" w:cstheme="majorBidi"/>
          <w:i/>
          <w:iCs/>
        </w:rPr>
        <w:t>ELH</w:t>
      </w:r>
      <w:r w:rsidRPr="002A5475">
        <w:rPr>
          <w:rFonts w:asciiTheme="majorBidi" w:hAnsiTheme="majorBidi" w:cstheme="majorBidi"/>
        </w:rPr>
        <w:t xml:space="preserve"> 74. 3 (2007): 509-534.</w:t>
      </w:r>
    </w:p>
    <w:p w14:paraId="494C78BB" w14:textId="77777777" w:rsidR="00CB2025" w:rsidRPr="002A5475" w:rsidRDefault="0073481B" w:rsidP="0073481B">
      <w:pPr>
        <w:rPr>
          <w:rFonts w:asciiTheme="majorBidi" w:hAnsiTheme="majorBidi" w:cstheme="majorBidi"/>
        </w:rPr>
      </w:pPr>
      <w:r w:rsidRPr="002A5475">
        <w:rPr>
          <w:rFonts w:asciiTheme="majorBidi" w:hAnsiTheme="majorBidi" w:cstheme="majorBidi"/>
        </w:rPr>
        <w:t xml:space="preserve">Appadurai, Arjun. </w:t>
      </w:r>
      <w:r w:rsidRPr="002A5475">
        <w:rPr>
          <w:rFonts w:asciiTheme="majorBidi" w:hAnsiTheme="majorBidi" w:cstheme="majorBidi"/>
          <w:i/>
        </w:rPr>
        <w:t>The Social Life of Things: Commodities in Cultural Perspective</w:t>
      </w:r>
      <w:r w:rsidRPr="002A5475">
        <w:rPr>
          <w:rFonts w:asciiTheme="majorBidi" w:hAnsiTheme="majorBidi" w:cstheme="majorBidi"/>
        </w:rPr>
        <w:t xml:space="preserve">. New </w:t>
      </w:r>
    </w:p>
    <w:p w14:paraId="1EE1E2BB" w14:textId="3357C5D0" w:rsidR="0073481B" w:rsidRPr="002A5475" w:rsidRDefault="0073481B" w:rsidP="00CB2025">
      <w:pPr>
        <w:ind w:firstLine="720"/>
        <w:rPr>
          <w:rFonts w:asciiTheme="majorBidi" w:hAnsiTheme="majorBidi" w:cstheme="majorBidi"/>
        </w:rPr>
      </w:pPr>
      <w:r w:rsidRPr="002A5475">
        <w:rPr>
          <w:rFonts w:asciiTheme="majorBidi" w:hAnsiTheme="majorBidi" w:cstheme="majorBidi"/>
        </w:rPr>
        <w:t xml:space="preserve">York: Cambridge UP, 1986. </w:t>
      </w:r>
    </w:p>
    <w:p w14:paraId="5AC3D8A7" w14:textId="12DDF9B5" w:rsidR="0073481B" w:rsidRPr="002A5475" w:rsidRDefault="0073481B" w:rsidP="00C91179">
      <w:pPr>
        <w:rPr>
          <w:rFonts w:asciiTheme="majorBidi" w:hAnsiTheme="majorBidi" w:cstheme="majorBidi"/>
        </w:rPr>
      </w:pPr>
      <w:r w:rsidRPr="002A5475">
        <w:rPr>
          <w:rFonts w:asciiTheme="majorBidi" w:hAnsiTheme="majorBidi" w:cstheme="majorBidi"/>
        </w:rPr>
        <w:t xml:space="preserve">Apter, Emily, and William Pietz. </w:t>
      </w:r>
      <w:r w:rsidRPr="002A5475">
        <w:rPr>
          <w:rFonts w:asciiTheme="majorBidi" w:hAnsiTheme="majorBidi" w:cstheme="majorBidi"/>
          <w:i/>
        </w:rPr>
        <w:t>Fetishism as Cultural Discourse</w:t>
      </w:r>
      <w:r w:rsidRPr="002A5475">
        <w:rPr>
          <w:rFonts w:asciiTheme="majorBidi" w:hAnsiTheme="majorBidi" w:cstheme="majorBidi"/>
        </w:rPr>
        <w:t xml:space="preserve">. Ithaca: Cornell UP, 1993. </w:t>
      </w:r>
    </w:p>
    <w:p w14:paraId="56BC9A53" w14:textId="77777777" w:rsidR="00C91179" w:rsidRDefault="0073481B" w:rsidP="00C91179">
      <w:pPr>
        <w:rPr>
          <w:rFonts w:asciiTheme="majorBidi" w:hAnsiTheme="majorBidi" w:cstheme="majorBidi"/>
        </w:rPr>
      </w:pPr>
      <w:r w:rsidRPr="002A5475">
        <w:rPr>
          <w:rFonts w:asciiTheme="majorBidi" w:hAnsiTheme="majorBidi" w:cstheme="majorBidi"/>
        </w:rPr>
        <w:t xml:space="preserve">Armstrong, Nancy. </w:t>
      </w:r>
      <w:r w:rsidRPr="002A5475">
        <w:rPr>
          <w:rFonts w:asciiTheme="majorBidi" w:hAnsiTheme="majorBidi" w:cstheme="majorBidi"/>
          <w:i/>
        </w:rPr>
        <w:t>How Novels Think: The Limits of Individualism 1719-1900</w:t>
      </w:r>
      <w:r w:rsidRPr="002A5475">
        <w:rPr>
          <w:rFonts w:asciiTheme="majorBidi" w:hAnsiTheme="majorBidi" w:cstheme="majorBidi"/>
        </w:rPr>
        <w:t xml:space="preserve">. New York: </w:t>
      </w:r>
    </w:p>
    <w:p w14:paraId="265B6BC4" w14:textId="5ACBC7CB" w:rsidR="0073481B" w:rsidRPr="002A5475" w:rsidRDefault="0073481B" w:rsidP="00C91179">
      <w:pPr>
        <w:ind w:firstLine="720"/>
        <w:rPr>
          <w:rFonts w:asciiTheme="majorBidi" w:hAnsiTheme="majorBidi" w:cstheme="majorBidi"/>
        </w:rPr>
      </w:pPr>
      <w:r w:rsidRPr="002A5475">
        <w:rPr>
          <w:rFonts w:asciiTheme="majorBidi" w:hAnsiTheme="majorBidi" w:cstheme="majorBidi"/>
        </w:rPr>
        <w:t xml:space="preserve">Columbia UP, 2006. </w:t>
      </w:r>
    </w:p>
    <w:p w14:paraId="49625FDD" w14:textId="77777777" w:rsidR="00946F33" w:rsidRDefault="0073481B" w:rsidP="00946F33">
      <w:pPr>
        <w:rPr>
          <w:rFonts w:asciiTheme="majorBidi" w:hAnsiTheme="majorBidi" w:cstheme="majorBidi"/>
        </w:rPr>
      </w:pPr>
      <w:r w:rsidRPr="002A5475">
        <w:rPr>
          <w:rFonts w:asciiTheme="majorBidi" w:hAnsiTheme="majorBidi" w:cstheme="majorBidi"/>
          <w:i/>
        </w:rPr>
        <w:t>Artificial Parts, Practical Lives: Modern Histories of Prosthetics</w:t>
      </w:r>
      <w:r w:rsidRPr="002A5475">
        <w:rPr>
          <w:rFonts w:asciiTheme="majorBidi" w:hAnsiTheme="majorBidi" w:cstheme="majorBidi"/>
        </w:rPr>
        <w:t>. Eds. Katherine Ott, David</w:t>
      </w:r>
      <w:r w:rsidR="00C91179">
        <w:rPr>
          <w:rFonts w:asciiTheme="majorBidi" w:hAnsiTheme="majorBidi" w:cstheme="majorBidi"/>
        </w:rPr>
        <w:t xml:space="preserve"> </w:t>
      </w:r>
    </w:p>
    <w:p w14:paraId="1C4203AA" w14:textId="5E85AD9E" w:rsidR="0073481B" w:rsidRPr="002A5475" w:rsidRDefault="0073481B" w:rsidP="00946F33">
      <w:pPr>
        <w:ind w:firstLine="720"/>
        <w:rPr>
          <w:rFonts w:asciiTheme="majorBidi" w:hAnsiTheme="majorBidi" w:cstheme="majorBidi"/>
        </w:rPr>
      </w:pPr>
      <w:r w:rsidRPr="002A5475">
        <w:rPr>
          <w:rFonts w:asciiTheme="majorBidi" w:hAnsiTheme="majorBidi" w:cstheme="majorBidi"/>
        </w:rPr>
        <w:t xml:space="preserve">Serlin, and Stephen Mihm. New York: New York </w:t>
      </w:r>
      <w:r w:rsidR="00386452">
        <w:rPr>
          <w:rFonts w:asciiTheme="majorBidi" w:hAnsiTheme="majorBidi" w:cstheme="majorBidi"/>
        </w:rPr>
        <w:t>UP</w:t>
      </w:r>
      <w:r w:rsidRPr="002A5475">
        <w:rPr>
          <w:rFonts w:asciiTheme="majorBidi" w:hAnsiTheme="majorBidi" w:cstheme="majorBidi"/>
        </w:rPr>
        <w:t>, 2002.</w:t>
      </w:r>
    </w:p>
    <w:p w14:paraId="3E1233C7" w14:textId="77777777" w:rsidR="00946F33" w:rsidRDefault="00806701" w:rsidP="00946F33">
      <w:pPr>
        <w:rPr>
          <w:rFonts w:asciiTheme="majorBidi" w:hAnsiTheme="majorBidi" w:cstheme="majorBidi"/>
        </w:rPr>
      </w:pPr>
      <w:r w:rsidRPr="002A5475">
        <w:rPr>
          <w:rFonts w:asciiTheme="majorBidi" w:hAnsiTheme="majorBidi" w:cstheme="majorBidi"/>
        </w:rPr>
        <w:t xml:space="preserve">Auerbach, Erich. </w:t>
      </w:r>
      <w:r w:rsidRPr="002A5475">
        <w:rPr>
          <w:rFonts w:asciiTheme="majorBidi" w:hAnsiTheme="majorBidi" w:cstheme="majorBidi"/>
          <w:i/>
          <w:iCs/>
        </w:rPr>
        <w:t>Mimesis: The Representation of Reality in Western Literature</w:t>
      </w:r>
      <w:r w:rsidRPr="002A5475">
        <w:rPr>
          <w:rFonts w:asciiTheme="majorBidi" w:hAnsiTheme="majorBidi" w:cstheme="majorBidi"/>
        </w:rPr>
        <w:t xml:space="preserve">. Trans. Willard </w:t>
      </w:r>
    </w:p>
    <w:p w14:paraId="3D7882BE" w14:textId="6C421450" w:rsidR="00806701" w:rsidRPr="002A5475" w:rsidRDefault="00806701" w:rsidP="00946F33">
      <w:pPr>
        <w:ind w:firstLine="720"/>
        <w:rPr>
          <w:rFonts w:asciiTheme="majorBidi" w:hAnsiTheme="majorBidi" w:cstheme="majorBidi"/>
        </w:rPr>
      </w:pPr>
      <w:r w:rsidRPr="002A5475">
        <w:rPr>
          <w:rFonts w:asciiTheme="majorBidi" w:hAnsiTheme="majorBidi" w:cstheme="majorBidi"/>
        </w:rPr>
        <w:t>R. Trask. Princeton: Princeton UP, 2013.</w:t>
      </w:r>
    </w:p>
    <w:p w14:paraId="672FA752" w14:textId="77777777" w:rsidR="00946F33" w:rsidRDefault="0073481B" w:rsidP="00946F33">
      <w:pPr>
        <w:rPr>
          <w:rFonts w:asciiTheme="majorBidi" w:hAnsiTheme="majorBidi" w:cstheme="majorBidi"/>
        </w:rPr>
      </w:pPr>
      <w:r w:rsidRPr="002A5475">
        <w:rPr>
          <w:rFonts w:asciiTheme="majorBidi" w:hAnsiTheme="majorBidi" w:cstheme="majorBidi"/>
        </w:rPr>
        <w:t xml:space="preserve">Auerbach, Nina. </w:t>
      </w:r>
      <w:r w:rsidRPr="002A5475">
        <w:rPr>
          <w:rFonts w:asciiTheme="majorBidi" w:hAnsiTheme="majorBidi" w:cstheme="majorBidi"/>
          <w:i/>
        </w:rPr>
        <w:t>Woman and the Demon: The Life of a Victorian Myth</w:t>
      </w:r>
      <w:r w:rsidRPr="002A5475">
        <w:rPr>
          <w:rFonts w:asciiTheme="majorBidi" w:hAnsiTheme="majorBidi" w:cstheme="majorBidi"/>
        </w:rPr>
        <w:t>. Cambridge:</w:t>
      </w:r>
      <w:r w:rsidR="00CB2025" w:rsidRPr="002A5475">
        <w:rPr>
          <w:rFonts w:asciiTheme="majorBidi" w:hAnsiTheme="majorBidi" w:cstheme="majorBidi"/>
        </w:rPr>
        <w:t xml:space="preserve"> </w:t>
      </w:r>
      <w:r w:rsidRPr="002A5475">
        <w:rPr>
          <w:rFonts w:asciiTheme="majorBidi" w:hAnsiTheme="majorBidi" w:cstheme="majorBidi"/>
        </w:rPr>
        <w:t xml:space="preserve">Harvard UP, </w:t>
      </w:r>
    </w:p>
    <w:p w14:paraId="2B9352D9" w14:textId="08956AD2" w:rsidR="0073481B" w:rsidRPr="002A5475" w:rsidRDefault="0073481B" w:rsidP="00946F33">
      <w:pPr>
        <w:ind w:firstLine="720"/>
        <w:rPr>
          <w:rFonts w:asciiTheme="majorBidi" w:hAnsiTheme="majorBidi" w:cstheme="majorBidi"/>
        </w:rPr>
      </w:pPr>
      <w:r w:rsidRPr="002A5475">
        <w:rPr>
          <w:rFonts w:asciiTheme="majorBidi" w:hAnsiTheme="majorBidi" w:cstheme="majorBidi"/>
        </w:rPr>
        <w:t>1982.</w:t>
      </w:r>
    </w:p>
    <w:p w14:paraId="4DDE0A40" w14:textId="550182E8" w:rsidR="0073481B" w:rsidRPr="002A5475" w:rsidRDefault="0073481B" w:rsidP="003D5505">
      <w:pPr>
        <w:rPr>
          <w:rFonts w:asciiTheme="majorBidi" w:hAnsiTheme="majorBidi" w:cstheme="majorBidi"/>
        </w:rPr>
      </w:pPr>
      <w:r w:rsidRPr="002A5475">
        <w:rPr>
          <w:rFonts w:asciiTheme="majorBidi" w:hAnsiTheme="majorBidi" w:cstheme="majorBidi"/>
        </w:rPr>
        <w:t xml:space="preserve">_____. </w:t>
      </w:r>
      <w:r w:rsidRPr="002A5475">
        <w:rPr>
          <w:rFonts w:asciiTheme="majorBidi" w:hAnsiTheme="majorBidi" w:cstheme="majorBidi"/>
          <w:i/>
        </w:rPr>
        <w:t>Private Theatricals: The Lives of the Victorians</w:t>
      </w:r>
      <w:r w:rsidRPr="002A5475">
        <w:rPr>
          <w:rFonts w:asciiTheme="majorBidi" w:hAnsiTheme="majorBidi" w:cstheme="majorBidi"/>
        </w:rPr>
        <w:t>. Cambridge: Harvard UP, 1990.</w:t>
      </w:r>
      <w:r w:rsidRPr="002A5475">
        <w:rPr>
          <w:rFonts w:asciiTheme="majorBidi" w:hAnsiTheme="majorBidi" w:cstheme="majorBidi"/>
        </w:rPr>
        <w:br/>
        <w:t xml:space="preserve">Babb, Genie. “The Prosthetic Body.” </w:t>
      </w:r>
      <w:r w:rsidRPr="002A5475">
        <w:rPr>
          <w:rFonts w:asciiTheme="majorBidi" w:hAnsiTheme="majorBidi" w:cstheme="majorBidi"/>
          <w:i/>
        </w:rPr>
        <w:t>Victorian Review</w:t>
      </w:r>
      <w:r w:rsidRPr="002A5475">
        <w:rPr>
          <w:rFonts w:asciiTheme="majorBidi" w:hAnsiTheme="majorBidi" w:cstheme="majorBidi"/>
        </w:rPr>
        <w:t xml:space="preserve"> 35.2 (Fall 2009): 9-13.</w:t>
      </w:r>
    </w:p>
    <w:p w14:paraId="74FF093E" w14:textId="77777777" w:rsidR="00946F33" w:rsidRDefault="00C65504" w:rsidP="00946F33">
      <w:pPr>
        <w:rPr>
          <w:rFonts w:asciiTheme="majorBidi" w:hAnsiTheme="majorBidi" w:cstheme="majorBidi"/>
          <w:i/>
          <w:iCs/>
        </w:rPr>
      </w:pPr>
      <w:r w:rsidRPr="002A5475">
        <w:rPr>
          <w:rFonts w:asciiTheme="majorBidi" w:hAnsiTheme="majorBidi" w:cstheme="majorBidi"/>
        </w:rPr>
        <w:t xml:space="preserve">Bartrip, P.W.J., and S.B. Burnam. </w:t>
      </w:r>
      <w:r w:rsidRPr="002A5475">
        <w:rPr>
          <w:rFonts w:asciiTheme="majorBidi" w:hAnsiTheme="majorBidi" w:cstheme="majorBidi"/>
          <w:i/>
          <w:iCs/>
        </w:rPr>
        <w:t>The Wounded Soldiers of Industry: Industrial</w:t>
      </w:r>
      <w:r w:rsidR="00946F33">
        <w:rPr>
          <w:rFonts w:asciiTheme="majorBidi" w:hAnsiTheme="majorBidi" w:cstheme="majorBidi"/>
          <w:i/>
          <w:iCs/>
        </w:rPr>
        <w:t xml:space="preserve"> </w:t>
      </w:r>
      <w:r w:rsidRPr="002A5475">
        <w:rPr>
          <w:rFonts w:asciiTheme="majorBidi" w:hAnsiTheme="majorBidi" w:cstheme="majorBidi"/>
          <w:i/>
          <w:iCs/>
        </w:rPr>
        <w:t xml:space="preserve">Compensation </w:t>
      </w:r>
    </w:p>
    <w:p w14:paraId="3607D443" w14:textId="4DA2AE21" w:rsidR="00C65504" w:rsidRPr="002A5475" w:rsidRDefault="00C65504" w:rsidP="00946F33">
      <w:pPr>
        <w:ind w:firstLine="720"/>
        <w:rPr>
          <w:rFonts w:asciiTheme="majorBidi" w:hAnsiTheme="majorBidi" w:cstheme="majorBidi"/>
          <w:i/>
          <w:iCs/>
        </w:rPr>
      </w:pPr>
      <w:r w:rsidRPr="002A5475">
        <w:rPr>
          <w:rFonts w:asciiTheme="majorBidi" w:hAnsiTheme="majorBidi" w:cstheme="majorBidi"/>
          <w:i/>
          <w:iCs/>
        </w:rPr>
        <w:t>Policy 1833-1897</w:t>
      </w:r>
      <w:r w:rsidRPr="002A5475">
        <w:rPr>
          <w:rFonts w:asciiTheme="majorBidi" w:hAnsiTheme="majorBidi" w:cstheme="majorBidi"/>
        </w:rPr>
        <w:t>. Oxford: Clarendon Press, 1983.</w:t>
      </w:r>
    </w:p>
    <w:p w14:paraId="10D7C8C3" w14:textId="77777777" w:rsidR="00946F33" w:rsidRDefault="0073481B" w:rsidP="00946F33">
      <w:pPr>
        <w:rPr>
          <w:rFonts w:asciiTheme="majorBidi" w:hAnsiTheme="majorBidi" w:cstheme="majorBidi"/>
        </w:rPr>
      </w:pPr>
      <w:r w:rsidRPr="002A5475">
        <w:rPr>
          <w:rFonts w:asciiTheme="majorBidi" w:hAnsiTheme="majorBidi" w:cstheme="majorBidi"/>
        </w:rPr>
        <w:t>Bate, Jonathan. “</w:t>
      </w:r>
      <w:r w:rsidRPr="002A5475">
        <w:rPr>
          <w:rFonts w:asciiTheme="majorBidi" w:hAnsiTheme="majorBidi" w:cstheme="majorBidi"/>
          <w:i/>
        </w:rPr>
        <w:t>Frankenstein</w:t>
      </w:r>
      <w:r w:rsidRPr="002A5475">
        <w:rPr>
          <w:rFonts w:asciiTheme="majorBidi" w:hAnsiTheme="majorBidi" w:cstheme="majorBidi"/>
        </w:rPr>
        <w:t xml:space="preserve"> and the State of Nature.” </w:t>
      </w:r>
      <w:r w:rsidRPr="002A5475">
        <w:rPr>
          <w:rFonts w:asciiTheme="majorBidi" w:hAnsiTheme="majorBidi" w:cstheme="majorBidi"/>
          <w:i/>
        </w:rPr>
        <w:t>The Song of the Earth</w:t>
      </w:r>
      <w:r w:rsidRPr="002A5475">
        <w:rPr>
          <w:rFonts w:asciiTheme="majorBidi" w:hAnsiTheme="majorBidi" w:cstheme="majorBidi"/>
        </w:rPr>
        <w:t xml:space="preserve">. Cambridge: </w:t>
      </w:r>
    </w:p>
    <w:p w14:paraId="5A3C14A9" w14:textId="1CCD7394" w:rsidR="0073481B" w:rsidRPr="002A5475" w:rsidRDefault="0073481B" w:rsidP="00946F33">
      <w:pPr>
        <w:ind w:firstLine="720"/>
        <w:rPr>
          <w:rFonts w:asciiTheme="majorBidi" w:hAnsiTheme="majorBidi" w:cstheme="majorBidi"/>
        </w:rPr>
      </w:pPr>
      <w:r w:rsidRPr="002A5475">
        <w:rPr>
          <w:rFonts w:asciiTheme="majorBidi" w:hAnsiTheme="majorBidi" w:cstheme="majorBidi"/>
        </w:rPr>
        <w:t>Harvard UP, 2000</w:t>
      </w:r>
      <w:r w:rsidR="00386452">
        <w:rPr>
          <w:rFonts w:asciiTheme="majorBidi" w:hAnsiTheme="majorBidi" w:cstheme="majorBidi"/>
        </w:rPr>
        <w:t>:</w:t>
      </w:r>
      <w:r w:rsidRPr="002A5475">
        <w:rPr>
          <w:rFonts w:asciiTheme="majorBidi" w:hAnsiTheme="majorBidi" w:cstheme="majorBidi"/>
        </w:rPr>
        <w:t xml:space="preserve"> 49-55.</w:t>
      </w:r>
    </w:p>
    <w:p w14:paraId="3B8842E7" w14:textId="413DAC11" w:rsidR="0075388C" w:rsidRPr="00946F33" w:rsidRDefault="0075388C" w:rsidP="00946F33">
      <w:pPr>
        <w:rPr>
          <w:rFonts w:asciiTheme="majorBidi" w:hAnsiTheme="majorBidi" w:cstheme="majorBidi"/>
          <w:shd w:val="clear" w:color="auto" w:fill="FFFFFF"/>
        </w:rPr>
      </w:pPr>
      <w:r w:rsidRPr="002A5475">
        <w:rPr>
          <w:rFonts w:asciiTheme="majorBidi" w:hAnsiTheme="majorBidi" w:cstheme="majorBidi"/>
          <w:shd w:val="clear" w:color="auto" w:fill="FFFFFF"/>
        </w:rPr>
        <w:t>Battersby, Christine. </w:t>
      </w:r>
      <w:r w:rsidRPr="002A5475">
        <w:rPr>
          <w:rFonts w:asciiTheme="majorBidi" w:hAnsiTheme="majorBidi" w:cstheme="majorBidi"/>
          <w:i/>
          <w:iCs/>
          <w:shd w:val="clear" w:color="auto" w:fill="FFFFFF"/>
        </w:rPr>
        <w:t>The Sublime, Terror and Human Difference</w:t>
      </w:r>
      <w:r w:rsidRPr="002A5475">
        <w:rPr>
          <w:rFonts w:asciiTheme="majorBidi" w:hAnsiTheme="majorBidi" w:cstheme="majorBidi"/>
          <w:shd w:val="clear" w:color="auto" w:fill="FFFFFF"/>
        </w:rPr>
        <w:t>. London: Routledge, 2007.</w:t>
      </w:r>
      <w:r w:rsidRPr="002A5475">
        <w:rPr>
          <w:rFonts w:asciiTheme="majorBidi" w:hAnsiTheme="majorBidi" w:cstheme="majorBidi"/>
        </w:rPr>
        <w:t> </w:t>
      </w:r>
    </w:p>
    <w:p w14:paraId="0513D4BB" w14:textId="77777777" w:rsidR="00CB2025" w:rsidRPr="002A5475" w:rsidRDefault="0073481B" w:rsidP="0073481B">
      <w:pPr>
        <w:rPr>
          <w:rFonts w:asciiTheme="majorBidi" w:hAnsiTheme="majorBidi" w:cstheme="majorBidi"/>
          <w:i/>
        </w:rPr>
      </w:pPr>
      <w:r w:rsidRPr="002A5475">
        <w:rPr>
          <w:rFonts w:asciiTheme="majorBidi" w:hAnsiTheme="majorBidi" w:cstheme="majorBidi"/>
        </w:rPr>
        <w:t xml:space="preserve">Beer, Gillian. </w:t>
      </w:r>
      <w:r w:rsidRPr="002A5475">
        <w:rPr>
          <w:rFonts w:asciiTheme="majorBidi" w:hAnsiTheme="majorBidi" w:cstheme="majorBidi"/>
          <w:i/>
        </w:rPr>
        <w:t xml:space="preserve">Darwin’s Plots: Evolutionary Narrative in Darwin, George Eliot and </w:t>
      </w:r>
    </w:p>
    <w:p w14:paraId="4DF18850" w14:textId="079BF507" w:rsidR="0073481B" w:rsidRPr="002A5475" w:rsidRDefault="0073481B" w:rsidP="00CB2025">
      <w:pPr>
        <w:ind w:firstLine="720"/>
        <w:rPr>
          <w:rFonts w:asciiTheme="majorBidi" w:hAnsiTheme="majorBidi" w:cstheme="majorBidi"/>
        </w:rPr>
      </w:pPr>
      <w:r w:rsidRPr="002A5475">
        <w:rPr>
          <w:rFonts w:asciiTheme="majorBidi" w:hAnsiTheme="majorBidi" w:cstheme="majorBidi"/>
          <w:i/>
        </w:rPr>
        <w:t>Nineteenth-Century Fiction</w:t>
      </w:r>
      <w:r w:rsidRPr="002A5475">
        <w:rPr>
          <w:rFonts w:asciiTheme="majorBidi" w:hAnsiTheme="majorBidi" w:cstheme="majorBidi"/>
        </w:rPr>
        <w:t>. 3</w:t>
      </w:r>
      <w:r w:rsidRPr="002A5475">
        <w:rPr>
          <w:rFonts w:asciiTheme="majorBidi" w:hAnsiTheme="majorBidi" w:cstheme="majorBidi"/>
          <w:vertAlign w:val="superscript"/>
        </w:rPr>
        <w:t>rd</w:t>
      </w:r>
      <w:r w:rsidRPr="002A5475">
        <w:rPr>
          <w:rFonts w:asciiTheme="majorBidi" w:hAnsiTheme="majorBidi" w:cstheme="majorBidi"/>
        </w:rPr>
        <w:t xml:space="preserve"> ed. New York: Cambridge UP, 2009.</w:t>
      </w:r>
    </w:p>
    <w:p w14:paraId="5882B99C" w14:textId="77777777" w:rsidR="00946F33" w:rsidRDefault="0073481B" w:rsidP="00946F33">
      <w:pPr>
        <w:rPr>
          <w:rFonts w:asciiTheme="majorBidi" w:hAnsiTheme="majorBidi" w:cstheme="majorBidi"/>
        </w:rPr>
      </w:pPr>
      <w:r w:rsidRPr="002A5475">
        <w:rPr>
          <w:rFonts w:asciiTheme="majorBidi" w:hAnsiTheme="majorBidi" w:cstheme="majorBidi"/>
        </w:rPr>
        <w:t xml:space="preserve">Bending, Lucy. “From Stunted Child to ‘New Woman’: The Significance of Physical Growth in </w:t>
      </w:r>
    </w:p>
    <w:p w14:paraId="1CB7E587" w14:textId="77777777" w:rsidR="00946F33" w:rsidRDefault="0073481B" w:rsidP="00946F33">
      <w:pPr>
        <w:ind w:firstLine="720"/>
        <w:rPr>
          <w:rFonts w:asciiTheme="majorBidi" w:hAnsiTheme="majorBidi" w:cstheme="majorBidi"/>
        </w:rPr>
      </w:pPr>
      <w:r w:rsidRPr="002A5475">
        <w:rPr>
          <w:rFonts w:asciiTheme="majorBidi" w:hAnsiTheme="majorBidi" w:cstheme="majorBidi"/>
        </w:rPr>
        <w:t xml:space="preserve">Late-Nineteenth-Century Medicine and Fiction.” </w:t>
      </w:r>
      <w:r w:rsidRPr="002A5475">
        <w:rPr>
          <w:rFonts w:asciiTheme="majorBidi" w:hAnsiTheme="majorBidi" w:cstheme="majorBidi"/>
          <w:i/>
        </w:rPr>
        <w:t>Yearbook of English Studies</w:t>
      </w:r>
      <w:r w:rsidRPr="002A5475">
        <w:rPr>
          <w:rFonts w:asciiTheme="majorBidi" w:hAnsiTheme="majorBidi" w:cstheme="majorBidi"/>
        </w:rPr>
        <w:t xml:space="preserve"> 32 (2002): </w:t>
      </w:r>
    </w:p>
    <w:p w14:paraId="1D7B274F" w14:textId="5F856D1D" w:rsidR="0073481B" w:rsidRDefault="0073481B" w:rsidP="00946F33">
      <w:pPr>
        <w:ind w:left="720"/>
        <w:rPr>
          <w:rFonts w:asciiTheme="majorBidi" w:hAnsiTheme="majorBidi" w:cstheme="majorBidi"/>
        </w:rPr>
      </w:pPr>
      <w:r w:rsidRPr="002A5475">
        <w:rPr>
          <w:rFonts w:asciiTheme="majorBidi" w:hAnsiTheme="majorBidi" w:cstheme="majorBidi"/>
        </w:rPr>
        <w:t>205-216.</w:t>
      </w:r>
    </w:p>
    <w:p w14:paraId="01BDE663" w14:textId="55ED2669" w:rsidR="00386452" w:rsidRPr="002A5475" w:rsidRDefault="00386452" w:rsidP="00946F33">
      <w:pPr>
        <w:rPr>
          <w:rFonts w:asciiTheme="majorBidi" w:hAnsiTheme="majorBidi" w:cstheme="majorBidi"/>
        </w:rPr>
      </w:pPr>
      <w:r w:rsidRPr="002A5475">
        <w:rPr>
          <w:rFonts w:asciiTheme="majorBidi" w:hAnsiTheme="majorBidi" w:cstheme="majorBidi"/>
        </w:rPr>
        <w:t xml:space="preserve">Berger, Ronald J. </w:t>
      </w:r>
      <w:r w:rsidRPr="002A5475">
        <w:rPr>
          <w:rFonts w:asciiTheme="majorBidi" w:hAnsiTheme="majorBidi" w:cstheme="majorBidi"/>
          <w:i/>
        </w:rPr>
        <w:t>Introducing Disability Studies</w:t>
      </w:r>
      <w:r w:rsidRPr="002A5475">
        <w:rPr>
          <w:rFonts w:asciiTheme="majorBidi" w:hAnsiTheme="majorBidi" w:cstheme="majorBidi"/>
        </w:rPr>
        <w:t>. Boulder: Lynne Rienner Publishers, 2013.</w:t>
      </w:r>
    </w:p>
    <w:p w14:paraId="676B1695" w14:textId="77777777" w:rsidR="00CB2025" w:rsidRPr="002A5475" w:rsidRDefault="0073481B" w:rsidP="00CB2025">
      <w:pPr>
        <w:rPr>
          <w:rFonts w:asciiTheme="majorBidi" w:hAnsiTheme="majorBidi" w:cstheme="majorBidi"/>
          <w:i/>
          <w:iCs/>
        </w:rPr>
      </w:pPr>
      <w:r w:rsidRPr="002A5475">
        <w:rPr>
          <w:rFonts w:asciiTheme="majorBidi" w:hAnsiTheme="majorBidi" w:cstheme="majorBidi"/>
        </w:rPr>
        <w:t xml:space="preserve">Blackwell, Mark. </w:t>
      </w:r>
      <w:r w:rsidRPr="002A5475">
        <w:rPr>
          <w:rFonts w:asciiTheme="majorBidi" w:hAnsiTheme="majorBidi" w:cstheme="majorBidi"/>
          <w:i/>
          <w:iCs/>
        </w:rPr>
        <w:t xml:space="preserve">The Secret Life of Things: Animals, Objects, and It-Narratives in </w:t>
      </w:r>
    </w:p>
    <w:p w14:paraId="46040255" w14:textId="05E77718" w:rsidR="0073481B" w:rsidRPr="00946F33" w:rsidRDefault="0073481B" w:rsidP="00946F33">
      <w:pPr>
        <w:ind w:firstLine="720"/>
        <w:rPr>
          <w:rFonts w:asciiTheme="majorBidi" w:hAnsiTheme="majorBidi" w:cstheme="majorBidi"/>
        </w:rPr>
      </w:pPr>
      <w:r w:rsidRPr="002A5475">
        <w:rPr>
          <w:rFonts w:asciiTheme="majorBidi" w:hAnsiTheme="majorBidi" w:cstheme="majorBidi"/>
          <w:i/>
          <w:iCs/>
        </w:rPr>
        <w:t>Eighteenth-Century England</w:t>
      </w:r>
      <w:r w:rsidRPr="002A5475">
        <w:rPr>
          <w:rFonts w:asciiTheme="majorBidi" w:hAnsiTheme="majorBidi" w:cstheme="majorBidi"/>
        </w:rPr>
        <w:t>. Ed. Mark Blackwell. Lewisburg: Bucknell UP, 2007.</w:t>
      </w:r>
    </w:p>
    <w:p w14:paraId="22DA58BD" w14:textId="1078E21D" w:rsidR="0073481B" w:rsidRPr="002A5475" w:rsidRDefault="0073481B" w:rsidP="0073481B">
      <w:pPr>
        <w:rPr>
          <w:rFonts w:asciiTheme="majorBidi" w:hAnsiTheme="majorBidi" w:cstheme="majorBidi"/>
        </w:rPr>
      </w:pPr>
      <w:r w:rsidRPr="002A5475">
        <w:rPr>
          <w:rFonts w:asciiTheme="majorBidi" w:hAnsiTheme="majorBidi" w:cstheme="majorBidi"/>
        </w:rPr>
        <w:t xml:space="preserve">Bodenheimer, Rosemarie. </w:t>
      </w:r>
      <w:r w:rsidRPr="002A5475">
        <w:rPr>
          <w:rFonts w:asciiTheme="majorBidi" w:hAnsiTheme="majorBidi" w:cstheme="majorBidi"/>
          <w:i/>
          <w:iCs/>
        </w:rPr>
        <w:t>Knowing Dickens</w:t>
      </w:r>
      <w:r w:rsidRPr="002A5475">
        <w:rPr>
          <w:rFonts w:asciiTheme="majorBidi" w:hAnsiTheme="majorBidi" w:cstheme="majorBidi"/>
        </w:rPr>
        <w:t>. Ith</w:t>
      </w:r>
      <w:r w:rsidR="00D66DD4" w:rsidRPr="002A5475">
        <w:rPr>
          <w:rFonts w:asciiTheme="majorBidi" w:hAnsiTheme="majorBidi" w:cstheme="majorBidi"/>
        </w:rPr>
        <w:t>a</w:t>
      </w:r>
      <w:r w:rsidRPr="002A5475">
        <w:rPr>
          <w:rFonts w:asciiTheme="majorBidi" w:hAnsiTheme="majorBidi" w:cstheme="majorBidi"/>
        </w:rPr>
        <w:t xml:space="preserve">ca: Cornell UP, 2007. </w:t>
      </w:r>
    </w:p>
    <w:p w14:paraId="3B86F33A" w14:textId="77777777" w:rsidR="00946F33" w:rsidRDefault="0073481B" w:rsidP="00946F33">
      <w:pPr>
        <w:rPr>
          <w:rFonts w:asciiTheme="majorBidi" w:hAnsiTheme="majorBidi" w:cstheme="majorBidi"/>
        </w:rPr>
      </w:pPr>
      <w:r w:rsidRPr="002A5475">
        <w:rPr>
          <w:rFonts w:asciiTheme="majorBidi" w:hAnsiTheme="majorBidi" w:cstheme="majorBidi"/>
        </w:rPr>
        <w:t xml:space="preserve">Boehm, Katharina. “‘A Place for More than the Healing of Bodily Sickness’: Charles Dickens, </w:t>
      </w:r>
    </w:p>
    <w:p w14:paraId="1C3FF33E" w14:textId="77777777" w:rsidR="00946F33" w:rsidRDefault="0073481B" w:rsidP="00946F33">
      <w:pPr>
        <w:ind w:firstLine="720"/>
        <w:rPr>
          <w:rFonts w:asciiTheme="majorBidi" w:hAnsiTheme="majorBidi" w:cstheme="majorBidi"/>
        </w:rPr>
      </w:pPr>
      <w:r w:rsidRPr="002A5475">
        <w:rPr>
          <w:rFonts w:asciiTheme="majorBidi" w:hAnsiTheme="majorBidi" w:cstheme="majorBidi"/>
        </w:rPr>
        <w:t xml:space="preserve">the Social Mission of Nineteenth-Century Pediatrics, and the Great Ormond Street </w:t>
      </w:r>
    </w:p>
    <w:p w14:paraId="2D8B06AE" w14:textId="51253A71" w:rsidR="0073481B" w:rsidRPr="002A5475" w:rsidRDefault="0073481B" w:rsidP="00946F33">
      <w:pPr>
        <w:ind w:firstLine="720"/>
        <w:rPr>
          <w:rFonts w:asciiTheme="majorBidi" w:hAnsiTheme="majorBidi" w:cstheme="majorBidi"/>
        </w:rPr>
      </w:pPr>
      <w:r w:rsidRPr="002A5475">
        <w:rPr>
          <w:rFonts w:asciiTheme="majorBidi" w:hAnsiTheme="majorBidi" w:cstheme="majorBidi"/>
        </w:rPr>
        <w:lastRenderedPageBreak/>
        <w:t xml:space="preserve">Hospital for Sick Children.” </w:t>
      </w:r>
      <w:r w:rsidRPr="002A5475">
        <w:rPr>
          <w:rFonts w:asciiTheme="majorBidi" w:hAnsiTheme="majorBidi" w:cstheme="majorBidi"/>
          <w:i/>
        </w:rPr>
        <w:t>Victorian Review</w:t>
      </w:r>
      <w:r w:rsidRPr="002A5475">
        <w:rPr>
          <w:rFonts w:asciiTheme="majorBidi" w:hAnsiTheme="majorBidi" w:cstheme="majorBidi"/>
        </w:rPr>
        <w:t xml:space="preserve"> 35.1 (Spring 2009): 153-174.</w:t>
      </w:r>
    </w:p>
    <w:p w14:paraId="30E76F60" w14:textId="77777777" w:rsidR="0021244A" w:rsidRDefault="0073481B" w:rsidP="0021244A">
      <w:pPr>
        <w:rPr>
          <w:rStyle w:val="Emphasis"/>
          <w:rFonts w:asciiTheme="majorBidi" w:hAnsiTheme="majorBidi" w:cstheme="majorBidi"/>
        </w:rPr>
      </w:pPr>
      <w:r w:rsidRPr="002A5475">
        <w:rPr>
          <w:rFonts w:asciiTheme="majorBidi" w:hAnsiTheme="majorBidi" w:cstheme="majorBidi"/>
        </w:rPr>
        <w:t xml:space="preserve">Bourrier, Karen. </w:t>
      </w:r>
      <w:r w:rsidRPr="002A5475">
        <w:rPr>
          <w:rStyle w:val="Emphasis"/>
          <w:rFonts w:asciiTheme="majorBidi" w:hAnsiTheme="majorBidi" w:cstheme="majorBidi"/>
        </w:rPr>
        <w:t xml:space="preserve">The Measure of Manliness: Disability and Masculinity in the Mid-Victorian </w:t>
      </w:r>
    </w:p>
    <w:p w14:paraId="498C07A5" w14:textId="3C33F915" w:rsidR="0073481B" w:rsidRPr="002A5475" w:rsidRDefault="0073481B" w:rsidP="0021244A">
      <w:pPr>
        <w:ind w:firstLine="720"/>
        <w:rPr>
          <w:rStyle w:val="Emphasis"/>
          <w:rFonts w:asciiTheme="majorBidi" w:hAnsiTheme="majorBidi" w:cstheme="majorBidi"/>
        </w:rPr>
      </w:pPr>
      <w:r w:rsidRPr="002A5475">
        <w:rPr>
          <w:rStyle w:val="Emphasis"/>
          <w:rFonts w:asciiTheme="majorBidi" w:hAnsiTheme="majorBidi" w:cstheme="majorBidi"/>
        </w:rPr>
        <w:t xml:space="preserve">Novel. </w:t>
      </w:r>
      <w:r w:rsidRPr="002A5475">
        <w:rPr>
          <w:rStyle w:val="Emphasis"/>
          <w:rFonts w:asciiTheme="majorBidi" w:hAnsiTheme="majorBidi" w:cstheme="majorBidi"/>
          <w:i w:val="0"/>
          <w:iCs w:val="0"/>
        </w:rPr>
        <w:t>Ann Arbor: University of Michigan Press, 2015.</w:t>
      </w:r>
      <w:r w:rsidRPr="002A5475">
        <w:rPr>
          <w:rStyle w:val="Emphasis"/>
          <w:rFonts w:asciiTheme="majorBidi" w:hAnsiTheme="majorBidi" w:cstheme="majorBidi"/>
        </w:rPr>
        <w:t xml:space="preserve"> </w:t>
      </w:r>
    </w:p>
    <w:p w14:paraId="5C52F428" w14:textId="77777777" w:rsidR="0021244A" w:rsidRDefault="002C698A" w:rsidP="0021244A">
      <w:pPr>
        <w:rPr>
          <w:rFonts w:asciiTheme="majorBidi" w:hAnsiTheme="majorBidi" w:cstheme="majorBidi"/>
          <w:shd w:val="clear" w:color="auto" w:fill="FFFFFF"/>
        </w:rPr>
      </w:pPr>
      <w:r w:rsidRPr="002A5475">
        <w:rPr>
          <w:rFonts w:asciiTheme="majorBidi" w:hAnsiTheme="majorBidi" w:cstheme="majorBidi"/>
          <w:shd w:val="clear" w:color="auto" w:fill="FFFFFF"/>
        </w:rPr>
        <w:t>Boxall, Peter. </w:t>
      </w:r>
      <w:r w:rsidRPr="002A5475">
        <w:rPr>
          <w:rFonts w:asciiTheme="majorBidi" w:hAnsiTheme="majorBidi" w:cstheme="majorBidi"/>
          <w:i/>
          <w:iCs/>
          <w:shd w:val="clear" w:color="auto" w:fill="FFFFFF"/>
        </w:rPr>
        <w:t>The Prosthetic Imagination: A History of the Novel as Artificial Life</w:t>
      </w:r>
      <w:r w:rsidRPr="002A5475">
        <w:rPr>
          <w:rFonts w:asciiTheme="majorBidi" w:hAnsiTheme="majorBidi" w:cstheme="majorBidi"/>
          <w:shd w:val="clear" w:color="auto" w:fill="FFFFFF"/>
        </w:rPr>
        <w:t xml:space="preserve">. Cambridge: </w:t>
      </w:r>
    </w:p>
    <w:p w14:paraId="0FEF1D2E" w14:textId="0F5F7688" w:rsidR="0080234D" w:rsidRDefault="002C698A" w:rsidP="0021244A">
      <w:pPr>
        <w:ind w:firstLine="720"/>
        <w:rPr>
          <w:rFonts w:asciiTheme="majorBidi" w:hAnsiTheme="majorBidi" w:cstheme="majorBidi"/>
          <w:shd w:val="clear" w:color="auto" w:fill="FFFFFF"/>
        </w:rPr>
      </w:pPr>
      <w:r w:rsidRPr="002A5475">
        <w:rPr>
          <w:rFonts w:asciiTheme="majorBidi" w:hAnsiTheme="majorBidi" w:cstheme="majorBidi"/>
          <w:shd w:val="clear" w:color="auto" w:fill="FFFFFF"/>
        </w:rPr>
        <w:t xml:space="preserve">Cambridge </w:t>
      </w:r>
      <w:r w:rsidR="00833C42">
        <w:rPr>
          <w:rFonts w:asciiTheme="majorBidi" w:hAnsiTheme="majorBidi" w:cstheme="majorBidi"/>
          <w:shd w:val="clear" w:color="auto" w:fill="FFFFFF"/>
        </w:rPr>
        <w:t>UP</w:t>
      </w:r>
      <w:r w:rsidRPr="002A5475">
        <w:rPr>
          <w:rFonts w:asciiTheme="majorBidi" w:hAnsiTheme="majorBidi" w:cstheme="majorBidi"/>
          <w:shd w:val="clear" w:color="auto" w:fill="FFFFFF"/>
        </w:rPr>
        <w:t>, 2020.</w:t>
      </w:r>
    </w:p>
    <w:p w14:paraId="583CF1FD" w14:textId="20F2DB48" w:rsidR="002C698A" w:rsidRPr="0080234D" w:rsidRDefault="0080234D" w:rsidP="0080234D">
      <w:pPr>
        <w:rPr>
          <w:rFonts w:asciiTheme="majorBidi" w:hAnsiTheme="majorBidi" w:cstheme="majorBidi"/>
        </w:rPr>
      </w:pPr>
      <w:r w:rsidRPr="002A5475">
        <w:rPr>
          <w:rFonts w:asciiTheme="majorBidi" w:hAnsiTheme="majorBidi" w:cstheme="majorBidi"/>
        </w:rPr>
        <w:t xml:space="preserve">Bronstein, Jamie L. </w:t>
      </w:r>
      <w:r w:rsidRPr="002A5475">
        <w:rPr>
          <w:rFonts w:asciiTheme="majorBidi" w:hAnsiTheme="majorBidi" w:cstheme="majorBidi"/>
          <w:i/>
          <w:iCs/>
        </w:rPr>
        <w:t>Caught in the Machinery</w:t>
      </w:r>
      <w:r w:rsidRPr="002A5475">
        <w:rPr>
          <w:rFonts w:asciiTheme="majorBidi" w:hAnsiTheme="majorBidi" w:cstheme="majorBidi"/>
        </w:rPr>
        <w:t>. Stanford: Stanford UP, 2007.</w:t>
      </w:r>
      <w:r w:rsidR="002C698A" w:rsidRPr="002A5475">
        <w:rPr>
          <w:rFonts w:asciiTheme="majorBidi" w:hAnsiTheme="majorBidi" w:cstheme="majorBidi"/>
          <w:shd w:val="clear" w:color="auto" w:fill="FFFFFF"/>
        </w:rPr>
        <w:t> </w:t>
      </w:r>
    </w:p>
    <w:p w14:paraId="71E3DD9C" w14:textId="77777777" w:rsidR="0021244A" w:rsidRDefault="0080234D" w:rsidP="0021244A">
      <w:pPr>
        <w:rPr>
          <w:rFonts w:asciiTheme="majorBidi" w:hAnsiTheme="majorBidi" w:cstheme="majorBidi"/>
        </w:rPr>
      </w:pPr>
      <w:r w:rsidRPr="002A5475">
        <w:rPr>
          <w:rFonts w:asciiTheme="majorBidi" w:hAnsiTheme="majorBidi" w:cstheme="majorBidi"/>
        </w:rPr>
        <w:t xml:space="preserve">Brooks, Peter. </w:t>
      </w:r>
      <w:r w:rsidRPr="002A5475">
        <w:rPr>
          <w:rFonts w:asciiTheme="majorBidi" w:hAnsiTheme="majorBidi" w:cstheme="majorBidi"/>
          <w:i/>
        </w:rPr>
        <w:t>Reading for the Plot: Design and Intention in Narrative</w:t>
      </w:r>
      <w:r w:rsidRPr="002A5475">
        <w:rPr>
          <w:rFonts w:asciiTheme="majorBidi" w:hAnsiTheme="majorBidi" w:cstheme="majorBidi"/>
        </w:rPr>
        <w:t xml:space="preserve">. New York: Alfred A. </w:t>
      </w:r>
    </w:p>
    <w:p w14:paraId="6E3898DF" w14:textId="03912277" w:rsidR="0080234D" w:rsidRDefault="0080234D" w:rsidP="0021244A">
      <w:pPr>
        <w:ind w:firstLine="720"/>
        <w:rPr>
          <w:rFonts w:asciiTheme="majorBidi" w:hAnsiTheme="majorBidi" w:cstheme="majorBidi"/>
        </w:rPr>
      </w:pPr>
      <w:r w:rsidRPr="002A5475">
        <w:rPr>
          <w:rFonts w:asciiTheme="majorBidi" w:hAnsiTheme="majorBidi" w:cstheme="majorBidi"/>
        </w:rPr>
        <w:t xml:space="preserve">Knopf, 1984. </w:t>
      </w:r>
    </w:p>
    <w:p w14:paraId="1C0E14E4" w14:textId="33DCA072" w:rsidR="0073481B" w:rsidRPr="002A5475" w:rsidRDefault="0073481B" w:rsidP="0073481B">
      <w:pPr>
        <w:rPr>
          <w:rFonts w:asciiTheme="majorBidi" w:hAnsiTheme="majorBidi" w:cstheme="majorBidi"/>
        </w:rPr>
      </w:pPr>
      <w:r w:rsidRPr="002A5475">
        <w:rPr>
          <w:rFonts w:asciiTheme="majorBidi" w:hAnsiTheme="majorBidi" w:cstheme="majorBidi"/>
        </w:rPr>
        <w:t xml:space="preserve">Brown, Bill. </w:t>
      </w:r>
      <w:r w:rsidRPr="002A5475">
        <w:rPr>
          <w:rFonts w:asciiTheme="majorBidi" w:hAnsiTheme="majorBidi" w:cstheme="majorBidi"/>
          <w:i/>
        </w:rPr>
        <w:t>Other Things</w:t>
      </w:r>
      <w:r w:rsidRPr="002A5475">
        <w:rPr>
          <w:rFonts w:asciiTheme="majorBidi" w:hAnsiTheme="majorBidi" w:cstheme="majorBidi"/>
        </w:rPr>
        <w:t xml:space="preserve">. Chicago: University of Chicago Press, 2015. </w:t>
      </w:r>
    </w:p>
    <w:p w14:paraId="63444166" w14:textId="19942292" w:rsidR="0073481B" w:rsidRPr="002A5475" w:rsidRDefault="0073481B" w:rsidP="003D5505">
      <w:pPr>
        <w:rPr>
          <w:rFonts w:asciiTheme="majorBidi" w:hAnsiTheme="majorBidi" w:cstheme="majorBidi"/>
        </w:rPr>
      </w:pPr>
      <w:r w:rsidRPr="002A5475">
        <w:rPr>
          <w:rFonts w:asciiTheme="majorBidi" w:hAnsiTheme="majorBidi" w:cstheme="majorBidi"/>
        </w:rPr>
        <w:t xml:space="preserve">______. </w:t>
      </w:r>
      <w:r w:rsidRPr="002A5475">
        <w:rPr>
          <w:rFonts w:asciiTheme="majorBidi" w:hAnsiTheme="majorBidi" w:cstheme="majorBidi"/>
          <w:i/>
        </w:rPr>
        <w:t>Things</w:t>
      </w:r>
      <w:r w:rsidRPr="002A5475">
        <w:rPr>
          <w:rFonts w:asciiTheme="majorBidi" w:hAnsiTheme="majorBidi" w:cstheme="majorBidi"/>
        </w:rPr>
        <w:t xml:space="preserve">. Chicago: University of Chicago Press, 2004. </w:t>
      </w:r>
    </w:p>
    <w:p w14:paraId="62FF0388" w14:textId="71511427" w:rsidR="003D5505" w:rsidRPr="002A5475" w:rsidRDefault="003D5505" w:rsidP="003D5505">
      <w:pPr>
        <w:rPr>
          <w:rFonts w:asciiTheme="majorBidi" w:hAnsiTheme="majorBidi" w:cstheme="majorBidi"/>
        </w:rPr>
      </w:pPr>
      <w:r w:rsidRPr="002A5475">
        <w:rPr>
          <w:rFonts w:asciiTheme="majorBidi" w:hAnsiTheme="majorBidi" w:cstheme="majorBidi"/>
        </w:rPr>
        <w:t xml:space="preserve">______. “Thing Theory.” </w:t>
      </w:r>
      <w:r w:rsidRPr="002A5475">
        <w:rPr>
          <w:rFonts w:asciiTheme="majorBidi" w:hAnsiTheme="majorBidi" w:cstheme="majorBidi"/>
          <w:i/>
          <w:iCs/>
          <w:color w:val="000000"/>
          <w:spacing w:val="-5"/>
          <w:shd w:val="clear" w:color="auto" w:fill="FFFFFF"/>
        </w:rPr>
        <w:t>Critical Inquiry</w:t>
      </w:r>
      <w:r w:rsidRPr="002A5475">
        <w:rPr>
          <w:rFonts w:asciiTheme="majorBidi" w:hAnsiTheme="majorBidi" w:cstheme="majorBidi"/>
          <w:color w:val="000000"/>
          <w:spacing w:val="-5"/>
          <w:shd w:val="clear" w:color="auto" w:fill="FFFFFF"/>
        </w:rPr>
        <w:t xml:space="preserve"> 28. 1 (Autumn 2001): 1–22.</w:t>
      </w:r>
    </w:p>
    <w:p w14:paraId="0FAD8318" w14:textId="77777777" w:rsidR="0021244A" w:rsidRDefault="003402D7" w:rsidP="0021244A">
      <w:pPr>
        <w:rPr>
          <w:rFonts w:asciiTheme="majorBidi" w:hAnsiTheme="majorBidi" w:cstheme="majorBidi"/>
          <w:shd w:val="clear" w:color="auto" w:fill="FFFFFF"/>
        </w:rPr>
      </w:pPr>
      <w:r w:rsidRPr="002A5475">
        <w:rPr>
          <w:rFonts w:asciiTheme="majorBidi" w:hAnsiTheme="majorBidi" w:cstheme="majorBidi"/>
        </w:rPr>
        <w:t xml:space="preserve">Burke, Edmund. </w:t>
      </w:r>
      <w:r w:rsidRPr="002A5475">
        <w:rPr>
          <w:rFonts w:asciiTheme="majorBidi" w:hAnsiTheme="majorBidi" w:cstheme="majorBidi"/>
          <w:i/>
          <w:iCs/>
          <w:shd w:val="clear" w:color="auto" w:fill="FFFFFF"/>
        </w:rPr>
        <w:t>A Philosophical Enquiry into the Sublime and Beautiful</w:t>
      </w:r>
      <w:r w:rsidRPr="002A5475">
        <w:rPr>
          <w:rFonts w:asciiTheme="majorBidi" w:hAnsiTheme="majorBidi" w:cstheme="majorBidi"/>
          <w:shd w:val="clear" w:color="auto" w:fill="FFFFFF"/>
        </w:rPr>
        <w:t xml:space="preserve">. Ed. James T. Boulton. </w:t>
      </w:r>
    </w:p>
    <w:p w14:paraId="7F45DED9" w14:textId="63780D92" w:rsidR="003402D7" w:rsidRPr="002A5475" w:rsidRDefault="003402D7" w:rsidP="0021244A">
      <w:pPr>
        <w:ind w:firstLine="720"/>
        <w:rPr>
          <w:rFonts w:asciiTheme="majorBidi" w:hAnsiTheme="majorBidi" w:cstheme="majorBidi"/>
          <w:shd w:val="clear" w:color="auto" w:fill="FFFFFF"/>
        </w:rPr>
      </w:pPr>
      <w:r w:rsidRPr="002A5475">
        <w:rPr>
          <w:rFonts w:asciiTheme="majorBidi" w:hAnsiTheme="majorBidi" w:cstheme="majorBidi"/>
          <w:shd w:val="clear" w:color="auto" w:fill="FFFFFF"/>
        </w:rPr>
        <w:t>2</w:t>
      </w:r>
      <w:r w:rsidRPr="002A5475">
        <w:rPr>
          <w:rFonts w:asciiTheme="majorBidi" w:hAnsiTheme="majorBidi" w:cstheme="majorBidi"/>
          <w:shd w:val="clear" w:color="auto" w:fill="FFFFFF"/>
          <w:vertAlign w:val="superscript"/>
        </w:rPr>
        <w:t>nd</w:t>
      </w:r>
      <w:r w:rsidRPr="002A5475">
        <w:rPr>
          <w:rFonts w:asciiTheme="majorBidi" w:hAnsiTheme="majorBidi" w:cstheme="majorBidi"/>
          <w:shd w:val="clear" w:color="auto" w:fill="FFFFFF"/>
        </w:rPr>
        <w:t xml:space="preserve"> ed. London: Routledge Classics, 2008.</w:t>
      </w:r>
    </w:p>
    <w:p w14:paraId="530EE028" w14:textId="77777777" w:rsidR="0021244A" w:rsidRDefault="0073481B" w:rsidP="0021244A">
      <w:pPr>
        <w:rPr>
          <w:rFonts w:asciiTheme="majorBidi" w:hAnsiTheme="majorBidi" w:cstheme="majorBidi"/>
        </w:rPr>
      </w:pPr>
      <w:r w:rsidRPr="002A5475">
        <w:rPr>
          <w:rFonts w:asciiTheme="majorBidi" w:hAnsiTheme="majorBidi" w:cstheme="majorBidi"/>
        </w:rPr>
        <w:t xml:space="preserve">Butler, Judith. </w:t>
      </w:r>
      <w:r w:rsidRPr="002A5475">
        <w:rPr>
          <w:rFonts w:asciiTheme="majorBidi" w:hAnsiTheme="majorBidi" w:cstheme="majorBidi"/>
          <w:i/>
        </w:rPr>
        <w:t>Bodies that Matter: on the Discursive Limits of “Sex.”</w:t>
      </w:r>
      <w:r w:rsidRPr="002A5475">
        <w:rPr>
          <w:rFonts w:asciiTheme="majorBidi" w:hAnsiTheme="majorBidi" w:cstheme="majorBidi"/>
        </w:rPr>
        <w:t xml:space="preserve"> New York: Routledge, </w:t>
      </w:r>
    </w:p>
    <w:p w14:paraId="75FEBABD" w14:textId="7F469D56" w:rsidR="0073481B" w:rsidRPr="002A5475" w:rsidRDefault="0073481B" w:rsidP="0021244A">
      <w:pPr>
        <w:ind w:firstLine="720"/>
        <w:rPr>
          <w:rFonts w:asciiTheme="majorBidi" w:hAnsiTheme="majorBidi" w:cstheme="majorBidi"/>
        </w:rPr>
      </w:pPr>
      <w:r w:rsidRPr="002A5475">
        <w:rPr>
          <w:rFonts w:asciiTheme="majorBidi" w:hAnsiTheme="majorBidi" w:cstheme="majorBidi"/>
        </w:rPr>
        <w:t xml:space="preserve">1993. </w:t>
      </w:r>
    </w:p>
    <w:p w14:paraId="2989F29D" w14:textId="77777777" w:rsidR="0021244A" w:rsidRDefault="0073481B" w:rsidP="0021244A">
      <w:pPr>
        <w:rPr>
          <w:rFonts w:asciiTheme="majorBidi" w:hAnsiTheme="majorBidi" w:cstheme="majorBidi"/>
        </w:rPr>
      </w:pPr>
      <w:r w:rsidRPr="002A5475">
        <w:rPr>
          <w:rFonts w:asciiTheme="majorBidi" w:hAnsiTheme="majorBidi" w:cstheme="majorBidi"/>
          <w:i/>
        </w:rPr>
        <w:t>The Cambridge Companion to Anthony Trollope</w:t>
      </w:r>
      <w:r w:rsidRPr="002A5475">
        <w:rPr>
          <w:rFonts w:asciiTheme="majorBidi" w:hAnsiTheme="majorBidi" w:cstheme="majorBidi"/>
        </w:rPr>
        <w:t xml:space="preserve">. Eds. Carolyn Dever and Lisa Niles. New York: </w:t>
      </w:r>
    </w:p>
    <w:p w14:paraId="484EDB45" w14:textId="0F116630" w:rsidR="0073481B" w:rsidRPr="002A5475" w:rsidRDefault="0073481B" w:rsidP="0021244A">
      <w:pPr>
        <w:ind w:firstLine="720"/>
        <w:rPr>
          <w:rFonts w:asciiTheme="majorBidi" w:hAnsiTheme="majorBidi" w:cstheme="majorBidi"/>
        </w:rPr>
      </w:pPr>
      <w:r w:rsidRPr="002A5475">
        <w:rPr>
          <w:rFonts w:asciiTheme="majorBidi" w:hAnsiTheme="majorBidi" w:cstheme="majorBidi"/>
        </w:rPr>
        <w:t>Cambridge UP: 2011.</w:t>
      </w:r>
    </w:p>
    <w:p w14:paraId="143ED497" w14:textId="77777777" w:rsidR="0073481B" w:rsidRPr="002A5475" w:rsidRDefault="0073481B" w:rsidP="0073481B">
      <w:pPr>
        <w:rPr>
          <w:rFonts w:asciiTheme="majorBidi" w:hAnsiTheme="majorBidi" w:cstheme="majorBidi"/>
        </w:rPr>
      </w:pPr>
      <w:r w:rsidRPr="002A5475">
        <w:rPr>
          <w:rFonts w:asciiTheme="majorBidi" w:hAnsiTheme="majorBidi" w:cstheme="majorBidi"/>
        </w:rPr>
        <w:t xml:space="preserve">Capuano, Peter J. </w:t>
      </w:r>
      <w:r w:rsidRPr="002A5475">
        <w:rPr>
          <w:rFonts w:asciiTheme="majorBidi" w:hAnsiTheme="majorBidi" w:cstheme="majorBidi"/>
          <w:i/>
        </w:rPr>
        <w:t xml:space="preserve">Changing Hands: Industry, Evolution, and the Reconfiguration of the </w:t>
      </w:r>
      <w:r w:rsidRPr="002A5475">
        <w:rPr>
          <w:rFonts w:asciiTheme="majorBidi" w:hAnsiTheme="majorBidi" w:cstheme="majorBidi"/>
          <w:i/>
        </w:rPr>
        <w:tab/>
        <w:t>Victorian Body</w:t>
      </w:r>
      <w:r w:rsidRPr="002A5475">
        <w:rPr>
          <w:rFonts w:asciiTheme="majorBidi" w:hAnsiTheme="majorBidi" w:cstheme="majorBidi"/>
        </w:rPr>
        <w:t xml:space="preserve">. Ann Arbor: University of Michigan Press, 2015. </w:t>
      </w:r>
    </w:p>
    <w:p w14:paraId="30942BEF" w14:textId="77777777" w:rsidR="0021244A" w:rsidRDefault="0073481B" w:rsidP="0021244A">
      <w:pPr>
        <w:rPr>
          <w:rFonts w:asciiTheme="majorBidi" w:hAnsiTheme="majorBidi" w:cstheme="majorBidi"/>
        </w:rPr>
      </w:pPr>
      <w:r w:rsidRPr="002A5475">
        <w:rPr>
          <w:rFonts w:asciiTheme="majorBidi" w:hAnsiTheme="majorBidi" w:cstheme="majorBidi"/>
        </w:rPr>
        <w:t xml:space="preserve">Caruth, Cathy. </w:t>
      </w:r>
      <w:r w:rsidRPr="002A5475">
        <w:rPr>
          <w:rFonts w:asciiTheme="majorBidi" w:hAnsiTheme="majorBidi" w:cstheme="majorBidi"/>
          <w:i/>
        </w:rPr>
        <w:t>Unclaimed Experience: Trauma, Narrative, History</w:t>
      </w:r>
      <w:r w:rsidRPr="002A5475">
        <w:rPr>
          <w:rFonts w:asciiTheme="majorBidi" w:hAnsiTheme="majorBidi" w:cstheme="majorBidi"/>
        </w:rPr>
        <w:t xml:space="preserve">. Baltimore: Johns Hopkins </w:t>
      </w:r>
    </w:p>
    <w:p w14:paraId="496E5542" w14:textId="0F725784" w:rsidR="0073481B" w:rsidRPr="002A5475" w:rsidRDefault="0073481B" w:rsidP="0021244A">
      <w:pPr>
        <w:ind w:firstLine="720"/>
        <w:rPr>
          <w:rFonts w:asciiTheme="majorBidi" w:hAnsiTheme="majorBidi" w:cstheme="majorBidi"/>
        </w:rPr>
      </w:pPr>
      <w:r w:rsidRPr="002A5475">
        <w:rPr>
          <w:rFonts w:asciiTheme="majorBidi" w:hAnsiTheme="majorBidi" w:cstheme="majorBidi"/>
        </w:rPr>
        <w:t>UP, 1996.</w:t>
      </w:r>
    </w:p>
    <w:p w14:paraId="28C9ABDB" w14:textId="17377451" w:rsidR="0073481B" w:rsidRPr="002A5475" w:rsidRDefault="0073481B" w:rsidP="0073481B">
      <w:pPr>
        <w:rPr>
          <w:rFonts w:asciiTheme="majorBidi" w:hAnsiTheme="majorBidi" w:cstheme="majorBidi"/>
        </w:rPr>
      </w:pPr>
      <w:r w:rsidRPr="002A5475">
        <w:rPr>
          <w:rFonts w:asciiTheme="majorBidi" w:hAnsiTheme="majorBidi" w:cstheme="majorBidi"/>
        </w:rPr>
        <w:t xml:space="preserve">Cavaliero, Glen. </w:t>
      </w:r>
      <w:r w:rsidRPr="002A5475">
        <w:rPr>
          <w:rFonts w:asciiTheme="majorBidi" w:hAnsiTheme="majorBidi" w:cstheme="majorBidi"/>
          <w:i/>
          <w:iCs/>
        </w:rPr>
        <w:t>The Supernatural and English Fiction</w:t>
      </w:r>
      <w:r w:rsidRPr="002A5475">
        <w:rPr>
          <w:rFonts w:asciiTheme="majorBidi" w:hAnsiTheme="majorBidi" w:cstheme="majorBidi"/>
        </w:rPr>
        <w:t>. New York: Oxford UP, 1995.</w:t>
      </w:r>
    </w:p>
    <w:p w14:paraId="75130A0B" w14:textId="77777777" w:rsidR="0037190C" w:rsidRPr="002A5475" w:rsidRDefault="0037190C" w:rsidP="0037190C">
      <w:pPr>
        <w:rPr>
          <w:rFonts w:asciiTheme="majorBidi" w:hAnsiTheme="majorBidi" w:cstheme="majorBidi"/>
          <w:i/>
          <w:iCs/>
        </w:rPr>
      </w:pPr>
      <w:r w:rsidRPr="002A5475">
        <w:rPr>
          <w:rFonts w:asciiTheme="majorBidi" w:hAnsiTheme="majorBidi" w:cstheme="majorBidi"/>
        </w:rPr>
        <w:t xml:space="preserve">Cawthon, Elisabeth A. </w:t>
      </w:r>
      <w:r w:rsidRPr="002A5475">
        <w:rPr>
          <w:rFonts w:asciiTheme="majorBidi" w:hAnsiTheme="majorBidi" w:cstheme="majorBidi"/>
          <w:i/>
          <w:iCs/>
        </w:rPr>
        <w:t xml:space="preserve">Accidents and the Law in England’s Early Railway Age: Origins </w:t>
      </w:r>
    </w:p>
    <w:p w14:paraId="4575FB6D" w14:textId="27DAEC42" w:rsidR="0037190C" w:rsidRPr="002A5475" w:rsidRDefault="0037190C" w:rsidP="0037190C">
      <w:pPr>
        <w:ind w:left="720"/>
        <w:rPr>
          <w:rFonts w:asciiTheme="majorBidi" w:hAnsiTheme="majorBidi" w:cstheme="majorBidi"/>
        </w:rPr>
      </w:pPr>
      <w:r w:rsidRPr="002A5475">
        <w:rPr>
          <w:rFonts w:asciiTheme="majorBidi" w:hAnsiTheme="majorBidi" w:cstheme="majorBidi"/>
          <w:i/>
          <w:iCs/>
        </w:rPr>
        <w:t>of Employer Liability and Workmen’s Compensation</w:t>
      </w:r>
      <w:r w:rsidRPr="002A5475">
        <w:rPr>
          <w:rFonts w:asciiTheme="majorBidi" w:hAnsiTheme="majorBidi" w:cstheme="majorBidi"/>
        </w:rPr>
        <w:t xml:space="preserve">. Lewiston: Edwin Mellen Press, 1997. </w:t>
      </w:r>
    </w:p>
    <w:p w14:paraId="2CD83674" w14:textId="77777777" w:rsidR="00AE4A04" w:rsidRPr="002A5475" w:rsidRDefault="00AE4A04" w:rsidP="00AE4A04">
      <w:pPr>
        <w:rPr>
          <w:rFonts w:asciiTheme="majorBidi" w:hAnsiTheme="majorBidi" w:cstheme="majorBidi"/>
          <w:i/>
          <w:iCs/>
        </w:rPr>
      </w:pPr>
      <w:r w:rsidRPr="002A5475">
        <w:rPr>
          <w:rFonts w:asciiTheme="majorBidi" w:hAnsiTheme="majorBidi" w:cstheme="majorBidi"/>
        </w:rPr>
        <w:t xml:space="preserve">Chez, Keridiana W. </w:t>
      </w:r>
      <w:r w:rsidRPr="002A5475">
        <w:rPr>
          <w:rFonts w:asciiTheme="majorBidi" w:hAnsiTheme="majorBidi" w:cstheme="majorBidi"/>
          <w:i/>
          <w:iCs/>
        </w:rPr>
        <w:t>Victorian Dogs, Victorian Men: Affect and Animals in Nineteenth-</w:t>
      </w:r>
    </w:p>
    <w:p w14:paraId="14A673AD" w14:textId="14BCDF89" w:rsidR="00AE4A04" w:rsidRPr="002A5475" w:rsidRDefault="00AE4A04" w:rsidP="00AE4A04">
      <w:pPr>
        <w:ind w:firstLine="720"/>
        <w:rPr>
          <w:rFonts w:asciiTheme="majorBidi" w:hAnsiTheme="majorBidi" w:cstheme="majorBidi"/>
        </w:rPr>
      </w:pPr>
      <w:r w:rsidRPr="002A5475">
        <w:rPr>
          <w:rFonts w:asciiTheme="majorBidi" w:hAnsiTheme="majorBidi" w:cstheme="majorBidi"/>
          <w:i/>
          <w:iCs/>
        </w:rPr>
        <w:t>Century Literature and Culture</w:t>
      </w:r>
      <w:r w:rsidRPr="002A5475">
        <w:rPr>
          <w:rFonts w:asciiTheme="majorBidi" w:hAnsiTheme="majorBidi" w:cstheme="majorBidi"/>
        </w:rPr>
        <w:t xml:space="preserve">. Columbus: Ohio State UP, 2017.  </w:t>
      </w:r>
    </w:p>
    <w:p w14:paraId="5BD2B318" w14:textId="77777777" w:rsidR="0073481B" w:rsidRPr="002A5475" w:rsidRDefault="0073481B" w:rsidP="0073481B">
      <w:pPr>
        <w:rPr>
          <w:rFonts w:asciiTheme="majorBidi" w:hAnsiTheme="majorBidi" w:cstheme="majorBidi"/>
        </w:rPr>
      </w:pPr>
      <w:r w:rsidRPr="002A5475">
        <w:rPr>
          <w:rFonts w:asciiTheme="majorBidi" w:hAnsiTheme="majorBidi" w:cstheme="majorBidi"/>
        </w:rPr>
        <w:t xml:space="preserve">Clark, J. W. </w:t>
      </w:r>
      <w:r w:rsidRPr="002A5475">
        <w:rPr>
          <w:rFonts w:asciiTheme="majorBidi" w:hAnsiTheme="majorBidi" w:cstheme="majorBidi"/>
          <w:i/>
          <w:iCs/>
        </w:rPr>
        <w:t>The Language and Style of Anthony Trollope</w:t>
      </w:r>
      <w:r w:rsidRPr="002A5475">
        <w:rPr>
          <w:rFonts w:asciiTheme="majorBidi" w:hAnsiTheme="majorBidi" w:cstheme="majorBidi"/>
        </w:rPr>
        <w:t>. London: André Deutsch, 1975.</w:t>
      </w:r>
    </w:p>
    <w:p w14:paraId="51CF85F1" w14:textId="77777777" w:rsidR="0021244A" w:rsidRDefault="0073481B" w:rsidP="0021244A">
      <w:pPr>
        <w:rPr>
          <w:rFonts w:asciiTheme="majorBidi" w:hAnsiTheme="majorBidi" w:cstheme="majorBidi"/>
          <w:i/>
          <w:iCs/>
          <w:color w:val="333333"/>
          <w:shd w:val="clear" w:color="auto" w:fill="FFFFFF"/>
        </w:rPr>
      </w:pPr>
      <w:r w:rsidRPr="002A5475">
        <w:rPr>
          <w:rFonts w:asciiTheme="majorBidi" w:hAnsiTheme="majorBidi" w:cstheme="majorBidi"/>
          <w:color w:val="333333"/>
          <w:shd w:val="clear" w:color="auto" w:fill="FFFFFF"/>
        </w:rPr>
        <w:t>Clayton, Jay. “Concealed Circuits: Frankenstein’s Monster, the Medusa, and the Cyborg.”</w:t>
      </w:r>
      <w:r w:rsidR="00CB2025" w:rsidRPr="002A5475">
        <w:rPr>
          <w:rFonts w:asciiTheme="majorBidi" w:hAnsiTheme="majorBidi" w:cstheme="majorBidi"/>
          <w:i/>
          <w:iCs/>
          <w:color w:val="333333"/>
          <w:shd w:val="clear" w:color="auto" w:fill="FFFFFF"/>
        </w:rPr>
        <w:t xml:space="preserve"> </w:t>
      </w:r>
    </w:p>
    <w:p w14:paraId="165220F7" w14:textId="51AC15DC" w:rsidR="0073481B" w:rsidRPr="0021244A" w:rsidRDefault="0073481B" w:rsidP="0021244A">
      <w:pPr>
        <w:ind w:firstLine="720"/>
        <w:rPr>
          <w:rFonts w:asciiTheme="majorBidi" w:hAnsiTheme="majorBidi" w:cstheme="majorBidi"/>
          <w:color w:val="333333"/>
          <w:shd w:val="clear" w:color="auto" w:fill="FFFFFF"/>
        </w:rPr>
      </w:pPr>
      <w:r w:rsidRPr="002A5475">
        <w:rPr>
          <w:rStyle w:val="Emphasis"/>
          <w:rFonts w:asciiTheme="majorBidi" w:hAnsiTheme="majorBidi" w:cstheme="majorBidi"/>
          <w:color w:val="333333"/>
          <w:shd w:val="clear" w:color="auto" w:fill="FFFFFF"/>
        </w:rPr>
        <w:t>Raritan: A Quarterly Review</w:t>
      </w:r>
      <w:r w:rsidRPr="002A5475">
        <w:rPr>
          <w:rFonts w:asciiTheme="majorBidi" w:hAnsiTheme="majorBidi" w:cstheme="majorBidi"/>
          <w:color w:val="333333"/>
          <w:shd w:val="clear" w:color="auto" w:fill="FFFFFF"/>
        </w:rPr>
        <w:t> 15.4 (1996): 53–69.</w:t>
      </w:r>
    </w:p>
    <w:p w14:paraId="67C77088" w14:textId="77777777" w:rsidR="0073481B" w:rsidRPr="002A5475" w:rsidRDefault="0073481B" w:rsidP="0073481B">
      <w:pPr>
        <w:rPr>
          <w:rFonts w:asciiTheme="majorBidi" w:hAnsiTheme="majorBidi" w:cstheme="majorBidi"/>
          <w:color w:val="333333"/>
          <w:shd w:val="clear" w:color="auto" w:fill="FFFFFF"/>
        </w:rPr>
      </w:pPr>
      <w:r w:rsidRPr="002A5475">
        <w:rPr>
          <w:rFonts w:asciiTheme="majorBidi" w:hAnsiTheme="majorBidi" w:cstheme="majorBidi"/>
          <w:color w:val="333333"/>
          <w:shd w:val="clear" w:color="auto" w:fill="FFFFFF"/>
        </w:rPr>
        <w:t xml:space="preserve">Cockshut, A. O. J. </w:t>
      </w:r>
      <w:r w:rsidRPr="002A5475">
        <w:rPr>
          <w:rFonts w:asciiTheme="majorBidi" w:hAnsiTheme="majorBidi" w:cstheme="majorBidi"/>
          <w:i/>
          <w:iCs/>
          <w:color w:val="333333"/>
          <w:shd w:val="clear" w:color="auto" w:fill="FFFFFF"/>
        </w:rPr>
        <w:t>Anthony Trollope: A Critical Study</w:t>
      </w:r>
      <w:r w:rsidRPr="002A5475">
        <w:rPr>
          <w:rFonts w:asciiTheme="majorBidi" w:hAnsiTheme="majorBidi" w:cstheme="majorBidi"/>
          <w:color w:val="333333"/>
          <w:shd w:val="clear" w:color="auto" w:fill="FFFFFF"/>
        </w:rPr>
        <w:t>. London: Collins, 1955.</w:t>
      </w:r>
    </w:p>
    <w:p w14:paraId="090D77E4" w14:textId="77777777" w:rsidR="00CB2025" w:rsidRPr="002A5475" w:rsidRDefault="0073481B" w:rsidP="0073481B">
      <w:pPr>
        <w:rPr>
          <w:rFonts w:asciiTheme="majorBidi" w:hAnsiTheme="majorBidi" w:cstheme="majorBidi"/>
        </w:rPr>
      </w:pPr>
      <w:r w:rsidRPr="002A5475">
        <w:rPr>
          <w:rFonts w:asciiTheme="majorBidi" w:hAnsiTheme="majorBidi" w:cstheme="majorBidi"/>
        </w:rPr>
        <w:t xml:space="preserve">Codr, Dwight. “Arresting Monstrosity: Polio, </w:t>
      </w:r>
      <w:r w:rsidRPr="002A5475">
        <w:rPr>
          <w:rFonts w:asciiTheme="majorBidi" w:hAnsiTheme="majorBidi" w:cstheme="majorBidi"/>
          <w:i/>
        </w:rPr>
        <w:t>Frankenstein</w:t>
      </w:r>
      <w:r w:rsidRPr="002A5475">
        <w:rPr>
          <w:rFonts w:asciiTheme="majorBidi" w:hAnsiTheme="majorBidi" w:cstheme="majorBidi"/>
        </w:rPr>
        <w:t xml:space="preserve">, and the Horror Film.” </w:t>
      </w:r>
      <w:r w:rsidRPr="002A5475">
        <w:rPr>
          <w:rFonts w:asciiTheme="majorBidi" w:hAnsiTheme="majorBidi" w:cstheme="majorBidi"/>
          <w:i/>
        </w:rPr>
        <w:t>PMLA</w:t>
      </w:r>
      <w:r w:rsidRPr="002A5475">
        <w:rPr>
          <w:rFonts w:asciiTheme="majorBidi" w:hAnsiTheme="majorBidi" w:cstheme="majorBidi"/>
        </w:rPr>
        <w:t xml:space="preserve"> </w:t>
      </w:r>
    </w:p>
    <w:p w14:paraId="2F3CF588" w14:textId="46890B1C" w:rsidR="0073481B" w:rsidRPr="002A5475" w:rsidRDefault="0073481B" w:rsidP="00CB2025">
      <w:pPr>
        <w:ind w:firstLine="720"/>
        <w:rPr>
          <w:rFonts w:asciiTheme="majorBidi" w:hAnsiTheme="majorBidi" w:cstheme="majorBidi"/>
        </w:rPr>
      </w:pPr>
      <w:r w:rsidRPr="002A5475">
        <w:rPr>
          <w:rFonts w:asciiTheme="majorBidi" w:hAnsiTheme="majorBidi" w:cstheme="majorBidi"/>
        </w:rPr>
        <w:t>129.2 (Mar. 2014): 171-187.</w:t>
      </w:r>
    </w:p>
    <w:p w14:paraId="13FA9F99" w14:textId="77777777" w:rsidR="007C4E62" w:rsidRDefault="0073481B" w:rsidP="007C4E62">
      <w:pPr>
        <w:rPr>
          <w:rFonts w:asciiTheme="majorBidi" w:hAnsiTheme="majorBidi" w:cstheme="majorBidi"/>
        </w:rPr>
      </w:pPr>
      <w:r w:rsidRPr="002A5475">
        <w:rPr>
          <w:rFonts w:asciiTheme="majorBidi" w:hAnsiTheme="majorBidi" w:cstheme="majorBidi"/>
        </w:rPr>
        <w:t xml:space="preserve">Cohen, William A. </w:t>
      </w:r>
      <w:r w:rsidRPr="002A5475">
        <w:rPr>
          <w:rFonts w:asciiTheme="majorBidi" w:hAnsiTheme="majorBidi" w:cstheme="majorBidi"/>
          <w:i/>
        </w:rPr>
        <w:t>Embodied: Victorian Literature and the Senses</w:t>
      </w:r>
      <w:r w:rsidRPr="002A5475">
        <w:rPr>
          <w:rFonts w:asciiTheme="majorBidi" w:hAnsiTheme="majorBidi" w:cstheme="majorBidi"/>
        </w:rPr>
        <w:t xml:space="preserve">. Minneapolis: University of </w:t>
      </w:r>
    </w:p>
    <w:p w14:paraId="50A43C2B" w14:textId="4A07454E" w:rsidR="0073481B" w:rsidRPr="002A5475" w:rsidRDefault="0073481B" w:rsidP="007C4E62">
      <w:pPr>
        <w:ind w:firstLine="720"/>
        <w:rPr>
          <w:rFonts w:asciiTheme="majorBidi" w:hAnsiTheme="majorBidi" w:cstheme="majorBidi"/>
        </w:rPr>
      </w:pPr>
      <w:r w:rsidRPr="002A5475">
        <w:rPr>
          <w:rFonts w:asciiTheme="majorBidi" w:hAnsiTheme="majorBidi" w:cstheme="majorBidi"/>
        </w:rPr>
        <w:t>Minnesota Press, 2009.</w:t>
      </w:r>
    </w:p>
    <w:p w14:paraId="47FAE771" w14:textId="77777777" w:rsidR="007C4E62" w:rsidRDefault="0073481B" w:rsidP="007C4E62">
      <w:pPr>
        <w:rPr>
          <w:rFonts w:asciiTheme="majorBidi" w:hAnsiTheme="majorBidi" w:cstheme="majorBidi"/>
        </w:rPr>
      </w:pPr>
      <w:r w:rsidRPr="002A5475">
        <w:rPr>
          <w:rFonts w:asciiTheme="majorBidi" w:hAnsiTheme="majorBidi" w:cstheme="majorBidi"/>
        </w:rPr>
        <w:t xml:space="preserve">Conley, Shannon N. “An Age of </w:t>
      </w:r>
      <w:r w:rsidRPr="002A5475">
        <w:rPr>
          <w:rFonts w:asciiTheme="majorBidi" w:hAnsiTheme="majorBidi" w:cstheme="majorBidi"/>
          <w:i/>
          <w:iCs/>
        </w:rPr>
        <w:t>Frankenstein</w:t>
      </w:r>
      <w:r w:rsidRPr="002A5475">
        <w:rPr>
          <w:rFonts w:asciiTheme="majorBidi" w:hAnsiTheme="majorBidi" w:cstheme="majorBidi"/>
        </w:rPr>
        <w:t xml:space="preserve">: Monstrous Motifs, Imaginative Capacities, and </w:t>
      </w:r>
    </w:p>
    <w:p w14:paraId="158A08D5" w14:textId="77777777" w:rsidR="007C4E62" w:rsidRDefault="0073481B" w:rsidP="007C4E62">
      <w:pPr>
        <w:ind w:firstLine="720"/>
        <w:rPr>
          <w:rFonts w:asciiTheme="majorBidi" w:hAnsiTheme="majorBidi" w:cstheme="majorBidi"/>
        </w:rPr>
      </w:pPr>
      <w:r w:rsidRPr="002A5475">
        <w:rPr>
          <w:rFonts w:asciiTheme="majorBidi" w:hAnsiTheme="majorBidi" w:cstheme="majorBidi"/>
        </w:rPr>
        <w:t xml:space="preserve">Assisted Reproductive Technologies.” </w:t>
      </w:r>
      <w:r w:rsidRPr="002A5475">
        <w:rPr>
          <w:rFonts w:asciiTheme="majorBidi" w:hAnsiTheme="majorBidi" w:cstheme="majorBidi"/>
          <w:i/>
          <w:iCs/>
        </w:rPr>
        <w:t>Science Fiction Studies</w:t>
      </w:r>
      <w:r w:rsidRPr="002A5475">
        <w:rPr>
          <w:rFonts w:asciiTheme="majorBidi" w:hAnsiTheme="majorBidi" w:cstheme="majorBidi"/>
        </w:rPr>
        <w:t>, 45.2 (July 2018): 244-</w:t>
      </w:r>
    </w:p>
    <w:p w14:paraId="511450A1" w14:textId="7B7A1524" w:rsidR="0073481B" w:rsidRPr="002A5475" w:rsidRDefault="0073481B" w:rsidP="007C4E62">
      <w:pPr>
        <w:ind w:left="720"/>
        <w:rPr>
          <w:rFonts w:asciiTheme="majorBidi" w:hAnsiTheme="majorBidi" w:cstheme="majorBidi"/>
        </w:rPr>
      </w:pPr>
      <w:r w:rsidRPr="002A5475">
        <w:rPr>
          <w:rFonts w:asciiTheme="majorBidi" w:hAnsiTheme="majorBidi" w:cstheme="majorBidi"/>
        </w:rPr>
        <w:t>259.</w:t>
      </w:r>
    </w:p>
    <w:p w14:paraId="0288ABCC" w14:textId="77777777" w:rsidR="007C4E62" w:rsidRDefault="0073481B" w:rsidP="007C4E62">
      <w:pPr>
        <w:rPr>
          <w:rFonts w:asciiTheme="majorBidi" w:hAnsiTheme="majorBidi" w:cstheme="majorBidi"/>
          <w:i/>
        </w:rPr>
      </w:pPr>
      <w:r w:rsidRPr="002A5475">
        <w:rPr>
          <w:rFonts w:asciiTheme="majorBidi" w:hAnsiTheme="majorBidi" w:cstheme="majorBidi"/>
        </w:rPr>
        <w:t xml:space="preserve">Corbett, Mary Jean. </w:t>
      </w:r>
      <w:r w:rsidRPr="002A5475">
        <w:rPr>
          <w:rFonts w:asciiTheme="majorBidi" w:hAnsiTheme="majorBidi" w:cstheme="majorBidi"/>
          <w:i/>
        </w:rPr>
        <w:t xml:space="preserve">Family Likeness: Sex, Marriage, and Incest from Jane Austen to Virginia </w:t>
      </w:r>
    </w:p>
    <w:p w14:paraId="1365FFC4" w14:textId="62EB938E" w:rsidR="0073481B" w:rsidRPr="007C4E62" w:rsidRDefault="0073481B" w:rsidP="007C4E62">
      <w:pPr>
        <w:ind w:firstLine="720"/>
        <w:rPr>
          <w:rFonts w:asciiTheme="majorBidi" w:hAnsiTheme="majorBidi" w:cstheme="majorBidi"/>
          <w:i/>
        </w:rPr>
      </w:pPr>
      <w:r w:rsidRPr="002A5475">
        <w:rPr>
          <w:rFonts w:asciiTheme="majorBidi" w:hAnsiTheme="majorBidi" w:cstheme="majorBidi"/>
          <w:i/>
        </w:rPr>
        <w:t>Woolf</w:t>
      </w:r>
      <w:r w:rsidRPr="002A5475">
        <w:rPr>
          <w:rFonts w:asciiTheme="majorBidi" w:hAnsiTheme="majorBidi" w:cstheme="majorBidi"/>
        </w:rPr>
        <w:t>. Ithaca: Cornell UP 2008.</w:t>
      </w:r>
    </w:p>
    <w:p w14:paraId="2FF80470" w14:textId="77777777" w:rsidR="007C4E62" w:rsidRDefault="0073481B" w:rsidP="007C4E62">
      <w:pPr>
        <w:rPr>
          <w:rFonts w:asciiTheme="majorBidi" w:hAnsiTheme="majorBidi" w:cstheme="majorBidi"/>
          <w:i/>
        </w:rPr>
      </w:pPr>
      <w:r w:rsidRPr="002A5475">
        <w:rPr>
          <w:rFonts w:asciiTheme="majorBidi" w:hAnsiTheme="majorBidi" w:cstheme="majorBidi"/>
        </w:rPr>
        <w:t>Corker, Mairian, and Tom Shakespeare. “Mapping the Terrain.”</w:t>
      </w:r>
      <w:r w:rsidR="000021D2" w:rsidRPr="002A5475">
        <w:rPr>
          <w:rFonts w:asciiTheme="majorBidi" w:hAnsiTheme="majorBidi" w:cstheme="majorBidi"/>
        </w:rPr>
        <w:t xml:space="preserve"> </w:t>
      </w:r>
      <w:r w:rsidRPr="002A5475">
        <w:rPr>
          <w:rFonts w:asciiTheme="majorBidi" w:hAnsiTheme="majorBidi" w:cstheme="majorBidi"/>
          <w:i/>
        </w:rPr>
        <w:t>Disability/Postmodernity:</w:t>
      </w:r>
      <w:r w:rsidR="000021D2" w:rsidRPr="002A5475">
        <w:rPr>
          <w:rFonts w:asciiTheme="majorBidi" w:hAnsiTheme="majorBidi" w:cstheme="majorBidi"/>
          <w:i/>
        </w:rPr>
        <w:t xml:space="preserve"> </w:t>
      </w:r>
    </w:p>
    <w:p w14:paraId="7968620A" w14:textId="77777777" w:rsidR="007C4E62" w:rsidRDefault="0073481B" w:rsidP="007C4E62">
      <w:pPr>
        <w:ind w:firstLine="720"/>
        <w:rPr>
          <w:rFonts w:asciiTheme="majorBidi" w:hAnsiTheme="majorBidi" w:cstheme="majorBidi"/>
        </w:rPr>
      </w:pPr>
      <w:r w:rsidRPr="002A5475">
        <w:rPr>
          <w:rFonts w:asciiTheme="majorBidi" w:hAnsiTheme="majorBidi" w:cstheme="majorBidi"/>
          <w:i/>
        </w:rPr>
        <w:t>Embodying Disability Theory</w:t>
      </w:r>
      <w:r w:rsidRPr="002A5475">
        <w:rPr>
          <w:rFonts w:asciiTheme="majorBidi" w:hAnsiTheme="majorBidi" w:cstheme="majorBidi"/>
        </w:rPr>
        <w:t xml:space="preserve">. Eds. Mairian Corker and Tom Shakespeare. London: </w:t>
      </w:r>
    </w:p>
    <w:p w14:paraId="4B11BC6C" w14:textId="1C04A631" w:rsidR="0073481B" w:rsidRPr="002A5475" w:rsidRDefault="0073481B" w:rsidP="007C4E62">
      <w:pPr>
        <w:ind w:left="720"/>
        <w:rPr>
          <w:rFonts w:asciiTheme="majorBidi" w:hAnsiTheme="majorBidi" w:cstheme="majorBidi"/>
        </w:rPr>
      </w:pPr>
      <w:r w:rsidRPr="002A5475">
        <w:rPr>
          <w:rFonts w:asciiTheme="majorBidi" w:hAnsiTheme="majorBidi" w:cstheme="majorBidi"/>
        </w:rPr>
        <w:t>Continuum, 2002</w:t>
      </w:r>
      <w:r w:rsidR="0080234D">
        <w:rPr>
          <w:rFonts w:asciiTheme="majorBidi" w:hAnsiTheme="majorBidi" w:cstheme="majorBidi"/>
        </w:rPr>
        <w:t>.</w:t>
      </w:r>
      <w:r w:rsidRPr="002A5475">
        <w:rPr>
          <w:rFonts w:asciiTheme="majorBidi" w:hAnsiTheme="majorBidi" w:cstheme="majorBidi"/>
        </w:rPr>
        <w:t xml:space="preserve"> 1-18. </w:t>
      </w:r>
    </w:p>
    <w:p w14:paraId="265EF995" w14:textId="77777777" w:rsidR="007C4E62" w:rsidRDefault="0073481B" w:rsidP="007C4E62">
      <w:pPr>
        <w:rPr>
          <w:rFonts w:asciiTheme="majorBidi" w:hAnsiTheme="majorBidi" w:cstheme="majorBidi"/>
          <w:i/>
          <w:iCs/>
        </w:rPr>
      </w:pPr>
      <w:r w:rsidRPr="002A5475">
        <w:rPr>
          <w:rFonts w:asciiTheme="majorBidi" w:hAnsiTheme="majorBidi" w:cstheme="majorBidi"/>
        </w:rPr>
        <w:t xml:space="preserve">Couser, G. Thomas. “Disability and Autobiography: Enabling Discourse.” </w:t>
      </w:r>
      <w:r w:rsidRPr="002A5475">
        <w:rPr>
          <w:rFonts w:asciiTheme="majorBidi" w:hAnsiTheme="majorBidi" w:cstheme="majorBidi"/>
          <w:i/>
          <w:iCs/>
        </w:rPr>
        <w:t xml:space="preserve">Disability Studies </w:t>
      </w:r>
    </w:p>
    <w:p w14:paraId="1170E2A7" w14:textId="17D375E8" w:rsidR="0073481B" w:rsidRPr="007C4E62" w:rsidRDefault="0073481B" w:rsidP="007C4E62">
      <w:pPr>
        <w:ind w:firstLine="720"/>
        <w:rPr>
          <w:rFonts w:asciiTheme="majorBidi" w:hAnsiTheme="majorBidi" w:cstheme="majorBidi"/>
          <w:i/>
          <w:iCs/>
        </w:rPr>
      </w:pPr>
      <w:r w:rsidRPr="002A5475">
        <w:rPr>
          <w:rFonts w:asciiTheme="majorBidi" w:hAnsiTheme="majorBidi" w:cstheme="majorBidi"/>
          <w:i/>
          <w:iCs/>
        </w:rPr>
        <w:t>Quarterly</w:t>
      </w:r>
      <w:r w:rsidRPr="002A5475">
        <w:rPr>
          <w:rFonts w:asciiTheme="majorBidi" w:hAnsiTheme="majorBidi" w:cstheme="majorBidi"/>
        </w:rPr>
        <w:t xml:space="preserve"> 17.4 (1997): 292-296.</w:t>
      </w:r>
    </w:p>
    <w:p w14:paraId="42CE40F1" w14:textId="0C8D19A0" w:rsidR="003222A0" w:rsidRPr="002A5475" w:rsidRDefault="003222A0" w:rsidP="007C4E62">
      <w:pPr>
        <w:rPr>
          <w:rFonts w:asciiTheme="majorBidi" w:hAnsiTheme="majorBidi" w:cstheme="majorBidi"/>
        </w:rPr>
      </w:pPr>
      <w:r w:rsidRPr="002A5475">
        <w:rPr>
          <w:rFonts w:asciiTheme="majorBidi" w:hAnsiTheme="majorBidi" w:cstheme="majorBidi"/>
        </w:rPr>
        <w:t xml:space="preserve">Crowell, Ellen. “Queer.” </w:t>
      </w:r>
      <w:r w:rsidRPr="002A5475">
        <w:rPr>
          <w:rFonts w:asciiTheme="majorBidi" w:hAnsiTheme="majorBidi" w:cstheme="majorBidi"/>
          <w:i/>
          <w:iCs/>
        </w:rPr>
        <w:t>Victorian Literature and Culture</w:t>
      </w:r>
      <w:r w:rsidRPr="002A5475">
        <w:rPr>
          <w:rFonts w:asciiTheme="majorBidi" w:hAnsiTheme="majorBidi" w:cstheme="majorBidi"/>
        </w:rPr>
        <w:t xml:space="preserve"> 46. 3-4 (Fall/Winter 2018):</w:t>
      </w:r>
      <w:r w:rsidR="007C4E62">
        <w:rPr>
          <w:rFonts w:asciiTheme="majorBidi" w:hAnsiTheme="majorBidi" w:cstheme="majorBidi"/>
        </w:rPr>
        <w:t xml:space="preserve"> </w:t>
      </w:r>
      <w:r w:rsidRPr="002A5475">
        <w:rPr>
          <w:rFonts w:asciiTheme="majorBidi" w:hAnsiTheme="majorBidi" w:cstheme="majorBidi"/>
        </w:rPr>
        <w:t>816-820.</w:t>
      </w:r>
    </w:p>
    <w:p w14:paraId="33E534E4" w14:textId="77777777" w:rsidR="007C4E62" w:rsidRDefault="0073481B" w:rsidP="007C4E62">
      <w:pPr>
        <w:rPr>
          <w:rFonts w:asciiTheme="majorBidi" w:hAnsiTheme="majorBidi" w:cstheme="majorBidi"/>
          <w:i/>
        </w:rPr>
      </w:pPr>
      <w:r w:rsidRPr="002A5475">
        <w:rPr>
          <w:rFonts w:asciiTheme="majorBidi" w:hAnsiTheme="majorBidi" w:cstheme="majorBidi"/>
        </w:rPr>
        <w:lastRenderedPageBreak/>
        <w:t xml:space="preserve">Davis, Lennard J. </w:t>
      </w:r>
      <w:r w:rsidR="0080234D" w:rsidRPr="002A5475">
        <w:rPr>
          <w:rFonts w:asciiTheme="majorBidi" w:hAnsiTheme="majorBidi" w:cstheme="majorBidi"/>
          <w:i/>
        </w:rPr>
        <w:t>Bending Over Backwards: Disability, Dismodernism, and Other Difficult</w:t>
      </w:r>
      <w:r w:rsidR="0080234D">
        <w:rPr>
          <w:rFonts w:asciiTheme="majorBidi" w:hAnsiTheme="majorBidi" w:cstheme="majorBidi"/>
          <w:i/>
        </w:rPr>
        <w:t xml:space="preserve"> </w:t>
      </w:r>
    </w:p>
    <w:p w14:paraId="3A0DB973" w14:textId="14379894" w:rsidR="0080234D" w:rsidRPr="002A5475" w:rsidRDefault="0080234D" w:rsidP="007C4E62">
      <w:pPr>
        <w:ind w:firstLine="720"/>
        <w:rPr>
          <w:rFonts w:asciiTheme="majorBidi" w:hAnsiTheme="majorBidi" w:cstheme="majorBidi"/>
          <w:i/>
        </w:rPr>
      </w:pPr>
      <w:r w:rsidRPr="002A5475">
        <w:rPr>
          <w:rFonts w:asciiTheme="majorBidi" w:hAnsiTheme="majorBidi" w:cstheme="majorBidi"/>
          <w:i/>
        </w:rPr>
        <w:t>Positions</w:t>
      </w:r>
      <w:r w:rsidRPr="002A5475">
        <w:rPr>
          <w:rFonts w:asciiTheme="majorBidi" w:hAnsiTheme="majorBidi" w:cstheme="majorBidi"/>
        </w:rPr>
        <w:t>. New York: New York UP, 2002.</w:t>
      </w:r>
    </w:p>
    <w:p w14:paraId="3B2E71F7" w14:textId="68EDB362" w:rsidR="0073481B" w:rsidRPr="0080234D" w:rsidRDefault="0080234D" w:rsidP="007C4E62">
      <w:pPr>
        <w:rPr>
          <w:rFonts w:asciiTheme="majorBidi" w:hAnsiTheme="majorBidi" w:cstheme="majorBidi"/>
        </w:rPr>
      </w:pPr>
      <w:r w:rsidRPr="002A5475">
        <w:rPr>
          <w:rFonts w:asciiTheme="majorBidi" w:hAnsiTheme="majorBidi" w:cstheme="majorBidi"/>
        </w:rPr>
        <w:t xml:space="preserve">______. </w:t>
      </w:r>
      <w:r w:rsidR="0073481B" w:rsidRPr="002A5475">
        <w:rPr>
          <w:rFonts w:asciiTheme="majorBidi" w:hAnsiTheme="majorBidi" w:cstheme="majorBidi"/>
        </w:rPr>
        <w:t xml:space="preserve"> </w:t>
      </w:r>
      <w:r w:rsidRPr="002A5475">
        <w:rPr>
          <w:rFonts w:asciiTheme="majorBidi" w:hAnsiTheme="majorBidi" w:cstheme="majorBidi"/>
          <w:i/>
        </w:rPr>
        <w:t>Enforcing Normalcy: Disability, Deafness, and the Body</w:t>
      </w:r>
      <w:r w:rsidRPr="002A5475">
        <w:rPr>
          <w:rFonts w:asciiTheme="majorBidi" w:hAnsiTheme="majorBidi" w:cstheme="majorBidi"/>
        </w:rPr>
        <w:t>. London: Verso,</w:t>
      </w:r>
      <w:r w:rsidR="007C4E62">
        <w:rPr>
          <w:rFonts w:asciiTheme="majorBidi" w:hAnsiTheme="majorBidi" w:cstheme="majorBidi"/>
        </w:rPr>
        <w:t xml:space="preserve"> </w:t>
      </w:r>
      <w:r w:rsidRPr="002A5475">
        <w:rPr>
          <w:rFonts w:asciiTheme="majorBidi" w:hAnsiTheme="majorBidi" w:cstheme="majorBidi"/>
        </w:rPr>
        <w:t>1995.</w:t>
      </w:r>
    </w:p>
    <w:p w14:paraId="2B800287" w14:textId="77777777" w:rsidR="007C4E62" w:rsidRDefault="0073481B" w:rsidP="007C4E62">
      <w:pPr>
        <w:rPr>
          <w:rFonts w:asciiTheme="majorBidi" w:hAnsiTheme="majorBidi" w:cstheme="majorBidi"/>
          <w:i/>
          <w:iCs/>
        </w:rPr>
      </w:pPr>
      <w:r w:rsidRPr="002A5475">
        <w:rPr>
          <w:rFonts w:asciiTheme="majorBidi" w:hAnsiTheme="majorBidi" w:cstheme="majorBidi"/>
        </w:rPr>
        <w:t xml:space="preserve">Dayan, Joan. “Amorous Bondage: Poe, Ladies and Slaves.” </w:t>
      </w:r>
      <w:r w:rsidRPr="002A5475">
        <w:rPr>
          <w:rFonts w:asciiTheme="majorBidi" w:hAnsiTheme="majorBidi" w:cstheme="majorBidi"/>
          <w:i/>
          <w:iCs/>
        </w:rPr>
        <w:t>The American Face of Edgar</w:t>
      </w:r>
      <w:r w:rsidR="007C4E62">
        <w:rPr>
          <w:rFonts w:asciiTheme="majorBidi" w:hAnsiTheme="majorBidi" w:cstheme="majorBidi"/>
          <w:i/>
          <w:iCs/>
        </w:rPr>
        <w:t xml:space="preserve"> </w:t>
      </w:r>
      <w:r w:rsidRPr="002A5475">
        <w:rPr>
          <w:rFonts w:asciiTheme="majorBidi" w:hAnsiTheme="majorBidi" w:cstheme="majorBidi"/>
          <w:i/>
          <w:iCs/>
        </w:rPr>
        <w:t xml:space="preserve">Allan </w:t>
      </w:r>
    </w:p>
    <w:p w14:paraId="734DB092" w14:textId="0AC10F98" w:rsidR="0073481B" w:rsidRPr="002A5475" w:rsidRDefault="0073481B" w:rsidP="007C4E62">
      <w:pPr>
        <w:ind w:firstLine="720"/>
        <w:rPr>
          <w:rFonts w:asciiTheme="majorBidi" w:hAnsiTheme="majorBidi" w:cstheme="majorBidi"/>
          <w:i/>
          <w:iCs/>
        </w:rPr>
      </w:pPr>
      <w:r w:rsidRPr="002A5475">
        <w:rPr>
          <w:rFonts w:asciiTheme="majorBidi" w:hAnsiTheme="majorBidi" w:cstheme="majorBidi"/>
          <w:i/>
          <w:iCs/>
        </w:rPr>
        <w:t>Poe.</w:t>
      </w:r>
      <w:r w:rsidRPr="002A5475">
        <w:rPr>
          <w:rFonts w:asciiTheme="majorBidi" w:hAnsiTheme="majorBidi" w:cstheme="majorBidi"/>
        </w:rPr>
        <w:t xml:space="preserve"> Baltimore: John Hopkins UP, 1995</w:t>
      </w:r>
      <w:r w:rsidR="0080234D">
        <w:rPr>
          <w:rFonts w:asciiTheme="majorBidi" w:hAnsiTheme="majorBidi" w:cstheme="majorBidi"/>
        </w:rPr>
        <w:t>.</w:t>
      </w:r>
      <w:r w:rsidRPr="002A5475">
        <w:rPr>
          <w:rFonts w:asciiTheme="majorBidi" w:hAnsiTheme="majorBidi" w:cstheme="majorBidi"/>
        </w:rPr>
        <w:t xml:space="preserve"> 179-209.</w:t>
      </w:r>
    </w:p>
    <w:p w14:paraId="067BC029" w14:textId="0207953D" w:rsidR="0073481B" w:rsidRPr="002A5475" w:rsidRDefault="0073481B" w:rsidP="0073481B">
      <w:pPr>
        <w:rPr>
          <w:rFonts w:asciiTheme="majorBidi" w:hAnsiTheme="majorBidi" w:cstheme="majorBidi"/>
        </w:rPr>
      </w:pPr>
      <w:r w:rsidRPr="002A5475">
        <w:rPr>
          <w:rFonts w:asciiTheme="majorBidi" w:hAnsiTheme="majorBidi" w:cstheme="majorBidi"/>
        </w:rPr>
        <w:t xml:space="preserve">______. “Poe, Persons and Property.” </w:t>
      </w:r>
      <w:r w:rsidRPr="002A5475">
        <w:rPr>
          <w:rFonts w:asciiTheme="majorBidi" w:hAnsiTheme="majorBidi" w:cstheme="majorBidi"/>
          <w:i/>
          <w:iCs/>
        </w:rPr>
        <w:t>American Literary History</w:t>
      </w:r>
      <w:r w:rsidRPr="002A5475">
        <w:rPr>
          <w:rFonts w:asciiTheme="majorBidi" w:hAnsiTheme="majorBidi" w:cstheme="majorBidi"/>
        </w:rPr>
        <w:t xml:space="preserve"> 11.3 (1999): 405-425.</w:t>
      </w:r>
    </w:p>
    <w:p w14:paraId="58505373" w14:textId="77777777" w:rsidR="005925A8" w:rsidRPr="002A5475" w:rsidRDefault="00A04D6A" w:rsidP="0073481B">
      <w:pPr>
        <w:rPr>
          <w:rFonts w:asciiTheme="majorBidi" w:hAnsiTheme="majorBidi" w:cstheme="majorBidi"/>
        </w:rPr>
      </w:pPr>
      <w:r w:rsidRPr="002A5475">
        <w:rPr>
          <w:rFonts w:asciiTheme="majorBidi" w:hAnsiTheme="majorBidi" w:cstheme="majorBidi"/>
        </w:rPr>
        <w:t xml:space="preserve">Deleuze, Gilles, and Félix Guatarri. </w:t>
      </w:r>
      <w:r w:rsidRPr="002A5475">
        <w:rPr>
          <w:rFonts w:asciiTheme="majorBidi" w:hAnsiTheme="majorBidi" w:cstheme="majorBidi"/>
          <w:i/>
          <w:iCs/>
        </w:rPr>
        <w:t>A Thousand Plateaus: Capitalism and Schizophrenia</w:t>
      </w:r>
      <w:r w:rsidRPr="002A5475">
        <w:rPr>
          <w:rFonts w:asciiTheme="majorBidi" w:hAnsiTheme="majorBidi" w:cstheme="majorBidi"/>
        </w:rPr>
        <w:t xml:space="preserve">. </w:t>
      </w:r>
    </w:p>
    <w:p w14:paraId="506C1D3C" w14:textId="5057EDF3" w:rsidR="00A04D6A" w:rsidRPr="002A5475" w:rsidRDefault="005925A8" w:rsidP="005925A8">
      <w:pPr>
        <w:ind w:firstLine="720"/>
        <w:rPr>
          <w:rFonts w:asciiTheme="majorBidi" w:hAnsiTheme="majorBidi" w:cstheme="majorBidi"/>
        </w:rPr>
      </w:pPr>
      <w:r w:rsidRPr="002A5475">
        <w:rPr>
          <w:rFonts w:asciiTheme="majorBidi" w:hAnsiTheme="majorBidi" w:cstheme="majorBidi"/>
        </w:rPr>
        <w:t>Minneapolis: University of Minnesota Press, 1987.</w:t>
      </w:r>
    </w:p>
    <w:p w14:paraId="041DB3B0" w14:textId="77777777" w:rsidR="007C4E62" w:rsidRDefault="0073481B" w:rsidP="007C4E62">
      <w:pPr>
        <w:rPr>
          <w:rFonts w:asciiTheme="majorBidi" w:hAnsiTheme="majorBidi" w:cstheme="majorBidi"/>
        </w:rPr>
      </w:pPr>
      <w:r w:rsidRPr="002A5475">
        <w:rPr>
          <w:rFonts w:asciiTheme="majorBidi" w:hAnsiTheme="majorBidi" w:cstheme="majorBidi"/>
        </w:rPr>
        <w:t xml:space="preserve">Dollimore, Jonathan. </w:t>
      </w:r>
      <w:r w:rsidRPr="002A5475">
        <w:rPr>
          <w:rFonts w:asciiTheme="majorBidi" w:hAnsiTheme="majorBidi" w:cstheme="majorBidi"/>
          <w:i/>
          <w:iCs/>
        </w:rPr>
        <w:t>Sexual Dissidence: Augustine to Wilde, Freud to Foucault</w:t>
      </w:r>
      <w:r w:rsidRPr="002A5475">
        <w:rPr>
          <w:rFonts w:asciiTheme="majorBidi" w:hAnsiTheme="majorBidi" w:cstheme="majorBidi"/>
        </w:rPr>
        <w:t xml:space="preserve">. New York: </w:t>
      </w:r>
    </w:p>
    <w:p w14:paraId="73152D5A" w14:textId="55ADB5A1" w:rsidR="0073481B" w:rsidRPr="002A5475" w:rsidRDefault="0073481B" w:rsidP="007C4E62">
      <w:pPr>
        <w:ind w:firstLine="720"/>
        <w:rPr>
          <w:rFonts w:asciiTheme="majorBidi" w:hAnsiTheme="majorBidi" w:cstheme="majorBidi"/>
        </w:rPr>
      </w:pPr>
      <w:r w:rsidRPr="002A5475">
        <w:rPr>
          <w:rFonts w:asciiTheme="majorBidi" w:hAnsiTheme="majorBidi" w:cstheme="majorBidi"/>
        </w:rPr>
        <w:t>Oxford UP, 1991.</w:t>
      </w:r>
    </w:p>
    <w:p w14:paraId="0E79BD79" w14:textId="77777777" w:rsidR="0073481B" w:rsidRPr="002A5475" w:rsidRDefault="0073481B" w:rsidP="0073481B">
      <w:pPr>
        <w:rPr>
          <w:rFonts w:asciiTheme="majorBidi" w:hAnsiTheme="majorBidi" w:cstheme="majorBidi"/>
        </w:rPr>
      </w:pPr>
      <w:r w:rsidRPr="002A5475">
        <w:rPr>
          <w:rFonts w:asciiTheme="majorBidi" w:hAnsiTheme="majorBidi" w:cstheme="majorBidi"/>
        </w:rPr>
        <w:t xml:space="preserve">Edwards, P. D. </w:t>
      </w:r>
      <w:r w:rsidRPr="002A5475">
        <w:rPr>
          <w:rFonts w:asciiTheme="majorBidi" w:hAnsiTheme="majorBidi" w:cstheme="majorBidi"/>
          <w:i/>
          <w:iCs/>
        </w:rPr>
        <w:t>Anthony Trollope: His Art and Scope</w:t>
      </w:r>
      <w:r w:rsidRPr="002A5475">
        <w:rPr>
          <w:rFonts w:asciiTheme="majorBidi" w:hAnsiTheme="majorBidi" w:cstheme="majorBidi"/>
        </w:rPr>
        <w:t>. Brighton: Harvester Press, 1978.</w:t>
      </w:r>
    </w:p>
    <w:p w14:paraId="2AEF8F90" w14:textId="77777777" w:rsidR="007C4E62" w:rsidRDefault="0073481B" w:rsidP="007C4E62">
      <w:pPr>
        <w:rPr>
          <w:rFonts w:asciiTheme="majorBidi" w:hAnsiTheme="majorBidi" w:cstheme="majorBidi"/>
        </w:rPr>
      </w:pPr>
      <w:r w:rsidRPr="002A5475">
        <w:rPr>
          <w:rFonts w:asciiTheme="majorBidi" w:hAnsiTheme="majorBidi" w:cstheme="majorBidi"/>
        </w:rPr>
        <w:t xml:space="preserve">Esmail, Jennifer, and Christopher Keep. “Victorian Disability: Introduction.” </w:t>
      </w:r>
      <w:r w:rsidRPr="002A5475">
        <w:rPr>
          <w:rFonts w:asciiTheme="majorBidi" w:hAnsiTheme="majorBidi" w:cstheme="majorBidi"/>
          <w:i/>
        </w:rPr>
        <w:t>Victorian Review</w:t>
      </w:r>
      <w:r w:rsidRPr="002A5475">
        <w:rPr>
          <w:rFonts w:asciiTheme="majorBidi" w:hAnsiTheme="majorBidi" w:cstheme="majorBidi"/>
        </w:rPr>
        <w:t xml:space="preserve"> </w:t>
      </w:r>
    </w:p>
    <w:p w14:paraId="6F669476" w14:textId="7C1774FA" w:rsidR="0073481B" w:rsidRPr="007C4E62" w:rsidRDefault="0073481B" w:rsidP="007C4E62">
      <w:pPr>
        <w:ind w:firstLine="720"/>
        <w:rPr>
          <w:rFonts w:asciiTheme="majorBidi" w:hAnsiTheme="majorBidi" w:cstheme="majorBidi"/>
          <w:i/>
        </w:rPr>
      </w:pPr>
      <w:r w:rsidRPr="002A5475">
        <w:rPr>
          <w:rFonts w:asciiTheme="majorBidi" w:hAnsiTheme="majorBidi" w:cstheme="majorBidi"/>
        </w:rPr>
        <w:t>35.2 (Fall 2009): 45-51.</w:t>
      </w:r>
    </w:p>
    <w:p w14:paraId="6C89D96D" w14:textId="4EE34A77" w:rsidR="00801E2D" w:rsidRPr="002A5475" w:rsidRDefault="00801E2D" w:rsidP="00801E2D">
      <w:pPr>
        <w:rPr>
          <w:rFonts w:asciiTheme="majorBidi" w:hAnsiTheme="majorBidi" w:cstheme="majorBidi"/>
        </w:rPr>
      </w:pPr>
      <w:r w:rsidRPr="002A5475">
        <w:rPr>
          <w:rFonts w:asciiTheme="majorBidi" w:hAnsiTheme="majorBidi" w:cstheme="majorBidi"/>
        </w:rPr>
        <w:t xml:space="preserve">Fish, Stanley. “Interpreting the ‘Variorum.’” </w:t>
      </w:r>
      <w:r w:rsidRPr="002A5475">
        <w:rPr>
          <w:rFonts w:asciiTheme="majorBidi" w:hAnsiTheme="majorBidi" w:cstheme="majorBidi"/>
          <w:i/>
          <w:iCs/>
        </w:rPr>
        <w:t>Critical Inquiry</w:t>
      </w:r>
      <w:r w:rsidRPr="002A5475">
        <w:rPr>
          <w:rFonts w:asciiTheme="majorBidi" w:hAnsiTheme="majorBidi" w:cstheme="majorBidi"/>
        </w:rPr>
        <w:t xml:space="preserve"> 2.3 (Spring 1976): 465-485. </w:t>
      </w:r>
    </w:p>
    <w:p w14:paraId="756279C9" w14:textId="77777777" w:rsidR="007C4E62" w:rsidRDefault="0073481B" w:rsidP="007C4E62">
      <w:pPr>
        <w:rPr>
          <w:rFonts w:asciiTheme="majorBidi" w:hAnsiTheme="majorBidi" w:cstheme="majorBidi"/>
        </w:rPr>
      </w:pPr>
      <w:r w:rsidRPr="002A5475">
        <w:rPr>
          <w:rFonts w:asciiTheme="majorBidi" w:hAnsiTheme="majorBidi" w:cstheme="majorBidi"/>
        </w:rPr>
        <w:t xml:space="preserve">Flint, Christopher. “Speaking Objects: The Circulation of Stories in Eighteenth-Century Prose </w:t>
      </w:r>
    </w:p>
    <w:p w14:paraId="1D5460E2" w14:textId="0E51DB9B" w:rsidR="0073481B" w:rsidRPr="002A5475" w:rsidRDefault="0073481B" w:rsidP="007C4E62">
      <w:pPr>
        <w:ind w:firstLine="720"/>
        <w:rPr>
          <w:rFonts w:asciiTheme="majorBidi" w:hAnsiTheme="majorBidi" w:cstheme="majorBidi"/>
        </w:rPr>
      </w:pPr>
      <w:r w:rsidRPr="002A5475">
        <w:rPr>
          <w:rFonts w:asciiTheme="majorBidi" w:hAnsiTheme="majorBidi" w:cstheme="majorBidi"/>
        </w:rPr>
        <w:t xml:space="preserve">Fiction.” </w:t>
      </w:r>
      <w:r w:rsidRPr="002A5475">
        <w:rPr>
          <w:rFonts w:asciiTheme="majorBidi" w:hAnsiTheme="majorBidi" w:cstheme="majorBidi"/>
          <w:i/>
          <w:iCs/>
        </w:rPr>
        <w:t xml:space="preserve">PMLA </w:t>
      </w:r>
      <w:r w:rsidRPr="002A5475">
        <w:rPr>
          <w:rFonts w:asciiTheme="majorBidi" w:hAnsiTheme="majorBidi" w:cstheme="majorBidi"/>
        </w:rPr>
        <w:t>11.2 (Mar., 1998): 212-226.</w:t>
      </w:r>
    </w:p>
    <w:p w14:paraId="545AEB28" w14:textId="77777777" w:rsidR="007C4E62" w:rsidRDefault="0073481B" w:rsidP="007C4E62">
      <w:pPr>
        <w:rPr>
          <w:rFonts w:asciiTheme="majorBidi" w:hAnsiTheme="majorBidi" w:cstheme="majorBidi"/>
        </w:rPr>
      </w:pPr>
      <w:r w:rsidRPr="002A5475">
        <w:rPr>
          <w:rFonts w:asciiTheme="majorBidi" w:hAnsiTheme="majorBidi" w:cstheme="majorBidi"/>
        </w:rPr>
        <w:t xml:space="preserve">Foucault, Michel. </w:t>
      </w:r>
      <w:r w:rsidR="0080234D" w:rsidRPr="002A5475">
        <w:rPr>
          <w:rFonts w:asciiTheme="majorBidi" w:hAnsiTheme="majorBidi" w:cstheme="majorBidi"/>
          <w:i/>
        </w:rPr>
        <w:t>The Birth of the Clinic: An Archaeology of Medical Perception</w:t>
      </w:r>
      <w:r w:rsidR="0080234D" w:rsidRPr="002A5475">
        <w:rPr>
          <w:rFonts w:asciiTheme="majorBidi" w:hAnsiTheme="majorBidi" w:cstheme="majorBidi"/>
        </w:rPr>
        <w:t xml:space="preserve">. New York: </w:t>
      </w:r>
    </w:p>
    <w:p w14:paraId="49158762" w14:textId="023F6038" w:rsidR="0073481B" w:rsidRPr="002A5475" w:rsidRDefault="0080234D" w:rsidP="007C4E62">
      <w:pPr>
        <w:ind w:firstLine="720"/>
        <w:rPr>
          <w:rFonts w:asciiTheme="majorBidi" w:hAnsiTheme="majorBidi" w:cstheme="majorBidi"/>
        </w:rPr>
      </w:pPr>
      <w:r w:rsidRPr="002A5475">
        <w:rPr>
          <w:rFonts w:asciiTheme="majorBidi" w:hAnsiTheme="majorBidi" w:cstheme="majorBidi"/>
        </w:rPr>
        <w:t xml:space="preserve">Pantheon Books, 1973. </w:t>
      </w:r>
    </w:p>
    <w:p w14:paraId="7DB7A8BA" w14:textId="77777777" w:rsidR="007C4E62" w:rsidRDefault="0073481B" w:rsidP="007C4E62">
      <w:pPr>
        <w:rPr>
          <w:rFonts w:asciiTheme="majorBidi" w:hAnsiTheme="majorBidi" w:cstheme="majorBidi"/>
        </w:rPr>
      </w:pPr>
      <w:r w:rsidRPr="002A5475">
        <w:rPr>
          <w:rFonts w:asciiTheme="majorBidi" w:hAnsiTheme="majorBidi" w:cstheme="majorBidi"/>
        </w:rPr>
        <w:t xml:space="preserve">______. </w:t>
      </w:r>
      <w:r w:rsidR="0080234D" w:rsidRPr="002A5475">
        <w:rPr>
          <w:rFonts w:asciiTheme="majorBidi" w:hAnsiTheme="majorBidi" w:cstheme="majorBidi"/>
          <w:i/>
        </w:rPr>
        <w:t>Madness and Civilization: A History of Insanity in the Age of Reason</w:t>
      </w:r>
      <w:r w:rsidR="0080234D" w:rsidRPr="002A5475">
        <w:rPr>
          <w:rFonts w:asciiTheme="majorBidi" w:hAnsiTheme="majorBidi" w:cstheme="majorBidi"/>
        </w:rPr>
        <w:t xml:space="preserve">. New York: </w:t>
      </w:r>
    </w:p>
    <w:p w14:paraId="4C84107A" w14:textId="6D695A3C" w:rsidR="0080234D" w:rsidRPr="002A5475" w:rsidRDefault="0080234D" w:rsidP="007C4E62">
      <w:pPr>
        <w:ind w:firstLine="720"/>
        <w:rPr>
          <w:rFonts w:asciiTheme="majorBidi" w:hAnsiTheme="majorBidi" w:cstheme="majorBidi"/>
        </w:rPr>
      </w:pPr>
      <w:r w:rsidRPr="002A5475">
        <w:rPr>
          <w:rFonts w:asciiTheme="majorBidi" w:hAnsiTheme="majorBidi" w:cstheme="majorBidi"/>
        </w:rPr>
        <w:t>Pantheon Books, 1965.</w:t>
      </w:r>
    </w:p>
    <w:p w14:paraId="78E8FB95" w14:textId="77777777" w:rsidR="007C4E62" w:rsidRDefault="0073481B" w:rsidP="007C4E62">
      <w:pPr>
        <w:rPr>
          <w:rFonts w:asciiTheme="majorBidi" w:hAnsiTheme="majorBidi" w:cstheme="majorBidi"/>
        </w:rPr>
      </w:pPr>
      <w:r w:rsidRPr="002A5475">
        <w:rPr>
          <w:rFonts w:asciiTheme="majorBidi" w:hAnsiTheme="majorBidi" w:cstheme="majorBidi"/>
        </w:rPr>
        <w:t xml:space="preserve">Freedgood, Elaine. </w:t>
      </w:r>
      <w:r w:rsidRPr="002A5475">
        <w:rPr>
          <w:rFonts w:asciiTheme="majorBidi" w:hAnsiTheme="majorBidi" w:cstheme="majorBidi"/>
          <w:i/>
        </w:rPr>
        <w:t>Ideas in Things: Fugitive Meaning in the Victorian Novel</w:t>
      </w:r>
      <w:r w:rsidRPr="002A5475">
        <w:rPr>
          <w:rFonts w:asciiTheme="majorBidi" w:hAnsiTheme="majorBidi" w:cstheme="majorBidi"/>
        </w:rPr>
        <w:t xml:space="preserve">. Chicago: The </w:t>
      </w:r>
    </w:p>
    <w:p w14:paraId="07FB5C44" w14:textId="2F555D4C" w:rsidR="0073481B" w:rsidRPr="002A5475" w:rsidRDefault="0073481B" w:rsidP="007C4E62">
      <w:pPr>
        <w:ind w:firstLine="720"/>
        <w:rPr>
          <w:rFonts w:asciiTheme="majorBidi" w:hAnsiTheme="majorBidi" w:cstheme="majorBidi"/>
        </w:rPr>
      </w:pPr>
      <w:r w:rsidRPr="002A5475">
        <w:rPr>
          <w:rFonts w:asciiTheme="majorBidi" w:hAnsiTheme="majorBidi" w:cstheme="majorBidi"/>
        </w:rPr>
        <w:t>University of Chicago Press, 2006.</w:t>
      </w:r>
    </w:p>
    <w:p w14:paraId="1656A652" w14:textId="77777777" w:rsidR="007C4E62" w:rsidRDefault="0073481B" w:rsidP="007C4E62">
      <w:pPr>
        <w:rPr>
          <w:rFonts w:asciiTheme="majorBidi" w:hAnsiTheme="majorBidi" w:cstheme="majorBidi"/>
          <w:i/>
        </w:rPr>
      </w:pPr>
      <w:r w:rsidRPr="002A5475">
        <w:rPr>
          <w:rFonts w:asciiTheme="majorBidi" w:hAnsiTheme="majorBidi" w:cstheme="majorBidi"/>
        </w:rPr>
        <w:t xml:space="preserve">Frye, Northrop. From </w:t>
      </w:r>
      <w:r w:rsidRPr="002A5475">
        <w:rPr>
          <w:rFonts w:asciiTheme="majorBidi" w:hAnsiTheme="majorBidi" w:cstheme="majorBidi"/>
          <w:i/>
          <w:iCs/>
        </w:rPr>
        <w:t>Anatomy and Criticism: Four Essays</w:t>
      </w:r>
      <w:r w:rsidRPr="002A5475">
        <w:rPr>
          <w:rFonts w:asciiTheme="majorBidi" w:hAnsiTheme="majorBidi" w:cstheme="majorBidi"/>
        </w:rPr>
        <w:t xml:space="preserve">. </w:t>
      </w:r>
      <w:r w:rsidRPr="002A5475">
        <w:rPr>
          <w:rFonts w:asciiTheme="majorBidi" w:hAnsiTheme="majorBidi" w:cstheme="majorBidi"/>
          <w:i/>
        </w:rPr>
        <w:t xml:space="preserve">Theory of the Novel: A Historical </w:t>
      </w:r>
    </w:p>
    <w:p w14:paraId="5874D8CB" w14:textId="153744F9" w:rsidR="0073481B" w:rsidRPr="002A5475" w:rsidRDefault="0073481B" w:rsidP="007C4E62">
      <w:pPr>
        <w:ind w:firstLine="720"/>
        <w:rPr>
          <w:rFonts w:asciiTheme="majorBidi" w:hAnsiTheme="majorBidi" w:cstheme="majorBidi"/>
          <w:i/>
        </w:rPr>
      </w:pPr>
      <w:r w:rsidRPr="002A5475">
        <w:rPr>
          <w:rFonts w:asciiTheme="majorBidi" w:hAnsiTheme="majorBidi" w:cstheme="majorBidi"/>
          <w:i/>
        </w:rPr>
        <w:t>Approach</w:t>
      </w:r>
      <w:r w:rsidRPr="002A5475">
        <w:rPr>
          <w:rFonts w:asciiTheme="majorBidi" w:hAnsiTheme="majorBidi" w:cstheme="majorBidi"/>
        </w:rPr>
        <w:t xml:space="preserve">. Ed. Michael McKeon. Baltimore: The Johns Hopkins </w:t>
      </w:r>
      <w:r w:rsidR="00833C42">
        <w:rPr>
          <w:rFonts w:asciiTheme="majorBidi" w:hAnsiTheme="majorBidi" w:cstheme="majorBidi"/>
        </w:rPr>
        <w:t>UP</w:t>
      </w:r>
      <w:r w:rsidRPr="002A5475">
        <w:rPr>
          <w:rFonts w:asciiTheme="majorBidi" w:hAnsiTheme="majorBidi" w:cstheme="majorBidi"/>
        </w:rPr>
        <w:t>, 2000. 5-13.</w:t>
      </w:r>
    </w:p>
    <w:p w14:paraId="15ADCCA6" w14:textId="77777777" w:rsidR="0073481B" w:rsidRPr="002A5475" w:rsidRDefault="0073481B" w:rsidP="0073481B">
      <w:pPr>
        <w:rPr>
          <w:rFonts w:asciiTheme="majorBidi" w:hAnsiTheme="majorBidi" w:cstheme="majorBidi"/>
        </w:rPr>
      </w:pPr>
      <w:r w:rsidRPr="002A5475">
        <w:rPr>
          <w:rFonts w:asciiTheme="majorBidi" w:hAnsiTheme="majorBidi" w:cstheme="majorBidi"/>
          <w:shd w:val="clear" w:color="auto" w:fill="FFFFFF"/>
        </w:rPr>
        <w:t>Gard, Roger. </w:t>
      </w:r>
      <w:r w:rsidRPr="002A5475">
        <w:rPr>
          <w:rFonts w:asciiTheme="majorBidi" w:hAnsiTheme="majorBidi" w:cstheme="majorBidi"/>
          <w:i/>
          <w:iCs/>
          <w:shd w:val="clear" w:color="auto" w:fill="FFFFFF"/>
        </w:rPr>
        <w:t>Henry James: The Critical Heritage.</w:t>
      </w:r>
      <w:r w:rsidRPr="002A5475">
        <w:rPr>
          <w:rFonts w:asciiTheme="majorBidi" w:hAnsiTheme="majorBidi" w:cstheme="majorBidi"/>
          <w:shd w:val="clear" w:color="auto" w:fill="FFFFFF"/>
        </w:rPr>
        <w:t> London: Routledge &amp; K. Paul, 1968.</w:t>
      </w:r>
    </w:p>
    <w:p w14:paraId="171082E6" w14:textId="77777777" w:rsidR="007C4E62" w:rsidRDefault="0073481B" w:rsidP="007C4E62">
      <w:pPr>
        <w:rPr>
          <w:rFonts w:asciiTheme="majorBidi" w:hAnsiTheme="majorBidi" w:cstheme="majorBidi"/>
          <w:i/>
        </w:rPr>
      </w:pPr>
      <w:r w:rsidRPr="002A5475">
        <w:rPr>
          <w:rFonts w:asciiTheme="majorBidi" w:hAnsiTheme="majorBidi" w:cstheme="majorBidi"/>
        </w:rPr>
        <w:t xml:space="preserve">Gilbert, Sandra M. and Susan Gubar. </w:t>
      </w:r>
      <w:r w:rsidRPr="002A5475">
        <w:rPr>
          <w:rFonts w:asciiTheme="majorBidi" w:hAnsiTheme="majorBidi" w:cstheme="majorBidi"/>
          <w:i/>
        </w:rPr>
        <w:t xml:space="preserve">The Madwoman in the Attic: The Woman Writer and the </w:t>
      </w:r>
    </w:p>
    <w:p w14:paraId="4790BB2B" w14:textId="1D711A74" w:rsidR="0073481B" w:rsidRPr="007C4E62" w:rsidRDefault="0073481B" w:rsidP="007C4E62">
      <w:pPr>
        <w:ind w:firstLine="720"/>
        <w:rPr>
          <w:rFonts w:asciiTheme="majorBidi" w:hAnsiTheme="majorBidi" w:cstheme="majorBidi"/>
          <w:i/>
        </w:rPr>
      </w:pPr>
      <w:r w:rsidRPr="002A5475">
        <w:rPr>
          <w:rFonts w:asciiTheme="majorBidi" w:hAnsiTheme="majorBidi" w:cstheme="majorBidi"/>
          <w:i/>
        </w:rPr>
        <w:t>Nineteenth-Century Literary Imagination</w:t>
      </w:r>
      <w:r w:rsidRPr="002A5475">
        <w:rPr>
          <w:rFonts w:asciiTheme="majorBidi" w:hAnsiTheme="majorBidi" w:cstheme="majorBidi"/>
        </w:rPr>
        <w:t>. New Haven: Yale UP, 1979.</w:t>
      </w:r>
    </w:p>
    <w:p w14:paraId="12E59511" w14:textId="77777777" w:rsidR="007C4E62" w:rsidRDefault="00B16570" w:rsidP="007C4E62">
      <w:pPr>
        <w:rPr>
          <w:rFonts w:asciiTheme="majorBidi" w:hAnsiTheme="majorBidi" w:cstheme="majorBidi"/>
        </w:rPr>
      </w:pPr>
      <w:r w:rsidRPr="002A5475">
        <w:rPr>
          <w:rFonts w:asciiTheme="majorBidi" w:hAnsiTheme="majorBidi" w:cstheme="majorBidi"/>
        </w:rPr>
        <w:t xml:space="preserve">Goodlad, Lauren M. E. “Introduction: Worlding Realisms Now.” </w:t>
      </w:r>
      <w:r w:rsidRPr="002A5475">
        <w:rPr>
          <w:rFonts w:asciiTheme="majorBidi" w:hAnsiTheme="majorBidi" w:cstheme="majorBidi"/>
          <w:i/>
          <w:iCs/>
        </w:rPr>
        <w:t>NOVEL: A Forum on Fiction</w:t>
      </w:r>
      <w:r w:rsidRPr="002A5475">
        <w:rPr>
          <w:rFonts w:asciiTheme="majorBidi" w:hAnsiTheme="majorBidi" w:cstheme="majorBidi"/>
        </w:rPr>
        <w:t xml:space="preserve"> </w:t>
      </w:r>
    </w:p>
    <w:p w14:paraId="5171CCFF" w14:textId="477C9ED1" w:rsidR="00B16570" w:rsidRPr="007C4E62" w:rsidRDefault="00B16570" w:rsidP="007C4E62">
      <w:pPr>
        <w:ind w:firstLine="720"/>
        <w:rPr>
          <w:rFonts w:asciiTheme="majorBidi" w:hAnsiTheme="majorBidi" w:cstheme="majorBidi"/>
          <w:i/>
          <w:iCs/>
        </w:rPr>
      </w:pPr>
      <w:r w:rsidRPr="002A5475">
        <w:rPr>
          <w:rFonts w:asciiTheme="majorBidi" w:hAnsiTheme="majorBidi" w:cstheme="majorBidi"/>
        </w:rPr>
        <w:t>49. 2 (2016): 183–201.</w:t>
      </w:r>
    </w:p>
    <w:p w14:paraId="603C1849" w14:textId="0C945830" w:rsidR="0073481B" w:rsidRPr="002A5475" w:rsidRDefault="0073481B" w:rsidP="007C4E62">
      <w:pPr>
        <w:rPr>
          <w:rFonts w:asciiTheme="majorBidi" w:hAnsiTheme="majorBidi" w:cstheme="majorBidi"/>
          <w:shd w:val="clear" w:color="auto" w:fill="FFFFFF"/>
        </w:rPr>
      </w:pPr>
      <w:r w:rsidRPr="002A5475">
        <w:rPr>
          <w:rFonts w:asciiTheme="majorBidi" w:hAnsiTheme="majorBidi" w:cstheme="majorBidi"/>
          <w:shd w:val="clear" w:color="auto" w:fill="FFFFFF"/>
        </w:rPr>
        <w:t>Gore, Clare Walker. </w:t>
      </w:r>
      <w:r w:rsidRPr="002A5475">
        <w:rPr>
          <w:rFonts w:asciiTheme="majorBidi" w:hAnsiTheme="majorBidi" w:cstheme="majorBidi"/>
          <w:i/>
          <w:iCs/>
          <w:shd w:val="clear" w:color="auto" w:fill="FFFFFF"/>
        </w:rPr>
        <w:t>Plotting Disability in the Nineteenth-Century Novel</w:t>
      </w:r>
      <w:r w:rsidRPr="002A5475">
        <w:rPr>
          <w:rFonts w:asciiTheme="majorBidi" w:hAnsiTheme="majorBidi" w:cstheme="majorBidi"/>
          <w:shd w:val="clear" w:color="auto" w:fill="FFFFFF"/>
        </w:rPr>
        <w:t xml:space="preserve">. Edinburgh </w:t>
      </w:r>
      <w:r w:rsidR="00833C42">
        <w:rPr>
          <w:rFonts w:asciiTheme="majorBidi" w:hAnsiTheme="majorBidi" w:cstheme="majorBidi"/>
          <w:shd w:val="clear" w:color="auto" w:fill="FFFFFF"/>
        </w:rPr>
        <w:t>UP</w:t>
      </w:r>
      <w:r w:rsidRPr="002A5475">
        <w:rPr>
          <w:rFonts w:asciiTheme="majorBidi" w:hAnsiTheme="majorBidi" w:cstheme="majorBidi"/>
          <w:shd w:val="clear" w:color="auto" w:fill="FFFFFF"/>
        </w:rPr>
        <w:t>, 2020.</w:t>
      </w:r>
    </w:p>
    <w:p w14:paraId="098B2FF4" w14:textId="77777777" w:rsidR="007C4E62" w:rsidRDefault="0073481B" w:rsidP="007C4E62">
      <w:pPr>
        <w:rPr>
          <w:rFonts w:asciiTheme="majorBidi" w:hAnsiTheme="majorBidi" w:cstheme="majorBidi"/>
          <w:i/>
          <w:iCs/>
          <w:shd w:val="clear" w:color="auto" w:fill="FFFFFF"/>
        </w:rPr>
      </w:pPr>
      <w:r w:rsidRPr="002A5475">
        <w:rPr>
          <w:rFonts w:asciiTheme="majorBidi" w:hAnsiTheme="majorBidi" w:cstheme="majorBidi"/>
          <w:shd w:val="clear" w:color="auto" w:fill="FFFFFF"/>
        </w:rPr>
        <w:t>Griffin, Michael and Nicole Lobdell. “Mary Shelley's </w:t>
      </w:r>
      <w:r w:rsidRPr="002A5475">
        <w:rPr>
          <w:rStyle w:val="Emphasis"/>
          <w:rFonts w:asciiTheme="majorBidi" w:hAnsiTheme="majorBidi" w:cstheme="majorBidi"/>
          <w:shd w:val="clear" w:color="auto" w:fill="FFFFFF"/>
        </w:rPr>
        <w:t xml:space="preserve">Frankenstein </w:t>
      </w:r>
      <w:r w:rsidRPr="002A5475">
        <w:rPr>
          <w:rFonts w:asciiTheme="majorBidi" w:hAnsiTheme="majorBidi" w:cstheme="majorBidi"/>
          <w:shd w:val="clear" w:color="auto" w:fill="FFFFFF"/>
        </w:rPr>
        <w:t>at 200.” </w:t>
      </w:r>
      <w:r w:rsidRPr="002A5475">
        <w:rPr>
          <w:rFonts w:asciiTheme="majorBidi" w:hAnsiTheme="majorBidi" w:cstheme="majorBidi"/>
          <w:i/>
          <w:iCs/>
          <w:shd w:val="clear" w:color="auto" w:fill="FFFFFF"/>
        </w:rPr>
        <w:t xml:space="preserve">Science Fiction </w:t>
      </w:r>
    </w:p>
    <w:p w14:paraId="08EAA195" w14:textId="7433FD59" w:rsidR="00B16570" w:rsidRPr="007C4E62" w:rsidRDefault="0073481B" w:rsidP="007C4E62">
      <w:pPr>
        <w:ind w:firstLine="720"/>
        <w:rPr>
          <w:rFonts w:asciiTheme="majorBidi" w:hAnsiTheme="majorBidi" w:cstheme="majorBidi"/>
          <w:i/>
          <w:iCs/>
          <w:shd w:val="clear" w:color="auto" w:fill="FFFFFF"/>
        </w:rPr>
      </w:pPr>
      <w:r w:rsidRPr="002A5475">
        <w:rPr>
          <w:rFonts w:asciiTheme="majorBidi" w:hAnsiTheme="majorBidi" w:cstheme="majorBidi"/>
          <w:i/>
          <w:iCs/>
          <w:shd w:val="clear" w:color="auto" w:fill="FFFFFF"/>
        </w:rPr>
        <w:t>Studies</w:t>
      </w:r>
      <w:r w:rsidRPr="002A5475">
        <w:rPr>
          <w:rFonts w:asciiTheme="majorBidi" w:hAnsiTheme="majorBidi" w:cstheme="majorBidi"/>
          <w:shd w:val="clear" w:color="auto" w:fill="FFFFFF"/>
        </w:rPr>
        <w:t xml:space="preserve"> 45.2 (2018): 225–228</w:t>
      </w:r>
      <w:r w:rsidR="00B16570" w:rsidRPr="002A5475">
        <w:rPr>
          <w:rFonts w:asciiTheme="majorBidi" w:hAnsiTheme="majorBidi" w:cstheme="majorBidi"/>
          <w:shd w:val="clear" w:color="auto" w:fill="FFFFFF"/>
        </w:rPr>
        <w:t>.</w:t>
      </w:r>
    </w:p>
    <w:p w14:paraId="59B8C0FD" w14:textId="77777777" w:rsidR="007C4E62" w:rsidRDefault="0073481B" w:rsidP="007C4E62">
      <w:pPr>
        <w:rPr>
          <w:rFonts w:asciiTheme="majorBidi" w:hAnsiTheme="majorBidi" w:cstheme="majorBidi"/>
        </w:rPr>
      </w:pPr>
      <w:r w:rsidRPr="002A5475">
        <w:rPr>
          <w:rFonts w:asciiTheme="majorBidi" w:hAnsiTheme="majorBidi" w:cstheme="majorBidi"/>
        </w:rPr>
        <w:t xml:space="preserve">Halberstam, Judith. </w:t>
      </w:r>
      <w:r w:rsidRPr="002A5475">
        <w:rPr>
          <w:rFonts w:asciiTheme="majorBidi" w:hAnsiTheme="majorBidi" w:cstheme="majorBidi"/>
          <w:i/>
        </w:rPr>
        <w:t>Skin Shows: Gothic Horror and the Technology of Monsters</w:t>
      </w:r>
      <w:r w:rsidRPr="002A5475">
        <w:rPr>
          <w:rFonts w:asciiTheme="majorBidi" w:hAnsiTheme="majorBidi" w:cstheme="majorBidi"/>
        </w:rPr>
        <w:t xml:space="preserve">. Durham: Duke </w:t>
      </w:r>
    </w:p>
    <w:p w14:paraId="1E0D4B04" w14:textId="1D156B0E" w:rsidR="0073481B" w:rsidRPr="002A5475" w:rsidRDefault="0073481B" w:rsidP="007C4E62">
      <w:pPr>
        <w:ind w:firstLine="720"/>
        <w:rPr>
          <w:rFonts w:asciiTheme="majorBidi" w:hAnsiTheme="majorBidi" w:cstheme="majorBidi"/>
        </w:rPr>
      </w:pPr>
      <w:r w:rsidRPr="002A5475">
        <w:rPr>
          <w:rFonts w:asciiTheme="majorBidi" w:hAnsiTheme="majorBidi" w:cstheme="majorBidi"/>
        </w:rPr>
        <w:t>UP, 1997.</w:t>
      </w:r>
    </w:p>
    <w:p w14:paraId="196F4890" w14:textId="77777777" w:rsidR="007C4E62" w:rsidRDefault="00AA3D69" w:rsidP="007C4E62">
      <w:pPr>
        <w:rPr>
          <w:rFonts w:asciiTheme="majorBidi" w:hAnsiTheme="majorBidi" w:cstheme="majorBidi"/>
        </w:rPr>
      </w:pPr>
      <w:r w:rsidRPr="002A5475">
        <w:rPr>
          <w:rFonts w:asciiTheme="majorBidi" w:hAnsiTheme="majorBidi" w:cstheme="majorBidi"/>
        </w:rPr>
        <w:t xml:space="preserve">Hammond, Kim. “Monsters of Modernity: </w:t>
      </w:r>
      <w:r w:rsidRPr="002A5475">
        <w:rPr>
          <w:rFonts w:asciiTheme="majorBidi" w:hAnsiTheme="majorBidi" w:cstheme="majorBidi"/>
          <w:i/>
          <w:iCs/>
        </w:rPr>
        <w:t>Frankenstein</w:t>
      </w:r>
      <w:r w:rsidRPr="002A5475">
        <w:rPr>
          <w:rFonts w:asciiTheme="majorBidi" w:hAnsiTheme="majorBidi" w:cstheme="majorBidi"/>
        </w:rPr>
        <w:t xml:space="preserve"> and Modern Environmentalism.”</w:t>
      </w:r>
      <w:r w:rsidR="007C4E62">
        <w:rPr>
          <w:rFonts w:asciiTheme="majorBidi" w:hAnsiTheme="majorBidi" w:cstheme="majorBidi"/>
        </w:rPr>
        <w:t xml:space="preserve"> </w:t>
      </w:r>
    </w:p>
    <w:p w14:paraId="21BABF73" w14:textId="4ECFEACB" w:rsidR="00AA3D69" w:rsidRPr="002A5475" w:rsidRDefault="00AA3D69" w:rsidP="007C4E62">
      <w:pPr>
        <w:ind w:firstLine="720"/>
        <w:rPr>
          <w:rFonts w:asciiTheme="majorBidi" w:hAnsiTheme="majorBidi" w:cstheme="majorBidi"/>
        </w:rPr>
      </w:pPr>
      <w:r w:rsidRPr="002A5475">
        <w:rPr>
          <w:rFonts w:asciiTheme="majorBidi" w:hAnsiTheme="majorBidi" w:cstheme="majorBidi"/>
          <w:i/>
          <w:iCs/>
        </w:rPr>
        <w:t>Cultural Geographies</w:t>
      </w:r>
      <w:r w:rsidRPr="002A5475">
        <w:rPr>
          <w:rFonts w:asciiTheme="majorBidi" w:hAnsiTheme="majorBidi" w:cstheme="majorBidi"/>
        </w:rPr>
        <w:t xml:space="preserve"> 11.2 (2004): 181–198.</w:t>
      </w:r>
    </w:p>
    <w:p w14:paraId="78C8E42A" w14:textId="77777777" w:rsidR="007C4E62" w:rsidRDefault="0073481B" w:rsidP="007C4E62">
      <w:pPr>
        <w:rPr>
          <w:rFonts w:asciiTheme="majorBidi" w:hAnsiTheme="majorBidi" w:cstheme="majorBidi"/>
        </w:rPr>
      </w:pPr>
      <w:bookmarkStart w:id="43" w:name="_Hlk44350170"/>
      <w:r w:rsidRPr="002A5475">
        <w:rPr>
          <w:rFonts w:asciiTheme="majorBidi" w:hAnsiTheme="majorBidi" w:cstheme="majorBidi"/>
        </w:rPr>
        <w:t xml:space="preserve">Haraway, Donna. “A Cyborg Manifesto: Science, Technology and Social-Feminism in the Late </w:t>
      </w:r>
    </w:p>
    <w:p w14:paraId="0AD6A7E8" w14:textId="77777777" w:rsidR="007C4E62" w:rsidRDefault="0073481B" w:rsidP="007C4E62">
      <w:pPr>
        <w:ind w:firstLine="720"/>
        <w:rPr>
          <w:rFonts w:asciiTheme="majorBidi" w:hAnsiTheme="majorBidi" w:cstheme="majorBidi"/>
        </w:rPr>
      </w:pPr>
      <w:r w:rsidRPr="002A5475">
        <w:rPr>
          <w:rFonts w:asciiTheme="majorBidi" w:hAnsiTheme="majorBidi" w:cstheme="majorBidi"/>
        </w:rPr>
        <w:t xml:space="preserve">Twentieth Century.” </w:t>
      </w:r>
      <w:r w:rsidRPr="002A5475">
        <w:rPr>
          <w:rFonts w:asciiTheme="majorBidi" w:hAnsiTheme="majorBidi" w:cstheme="majorBidi"/>
          <w:i/>
        </w:rPr>
        <w:t>The Cybercultures Reader</w:t>
      </w:r>
      <w:r w:rsidRPr="002A5475">
        <w:rPr>
          <w:rFonts w:asciiTheme="majorBidi" w:hAnsiTheme="majorBidi" w:cstheme="majorBidi"/>
        </w:rPr>
        <w:t>. Eds. David Bell and Barbara M.</w:t>
      </w:r>
      <w:r w:rsidR="000021D2" w:rsidRPr="002A5475">
        <w:rPr>
          <w:rFonts w:asciiTheme="majorBidi" w:hAnsiTheme="majorBidi" w:cstheme="majorBidi"/>
        </w:rPr>
        <w:t xml:space="preserve"> </w:t>
      </w:r>
    </w:p>
    <w:p w14:paraId="7F03AA1F" w14:textId="0D18C8A9" w:rsidR="0073481B" w:rsidRPr="002A5475" w:rsidRDefault="0073481B" w:rsidP="007C4E62">
      <w:pPr>
        <w:ind w:firstLine="720"/>
        <w:rPr>
          <w:rFonts w:asciiTheme="majorBidi" w:hAnsiTheme="majorBidi" w:cstheme="majorBidi"/>
        </w:rPr>
      </w:pPr>
      <w:r w:rsidRPr="002A5475">
        <w:rPr>
          <w:rFonts w:asciiTheme="majorBidi" w:hAnsiTheme="majorBidi" w:cstheme="majorBidi"/>
        </w:rPr>
        <w:t xml:space="preserve">Kennedy. New York: Routledge, 2001. 291-324. </w:t>
      </w:r>
    </w:p>
    <w:p w14:paraId="3BF34F28" w14:textId="77777777" w:rsidR="007C4E62" w:rsidRDefault="0073481B" w:rsidP="007C4E62">
      <w:pPr>
        <w:rPr>
          <w:rFonts w:asciiTheme="majorBidi" w:hAnsiTheme="majorBidi" w:cstheme="majorBidi"/>
          <w:i/>
        </w:rPr>
      </w:pPr>
      <w:r w:rsidRPr="002A5475">
        <w:rPr>
          <w:rFonts w:asciiTheme="majorBidi" w:hAnsiTheme="majorBidi" w:cstheme="majorBidi"/>
        </w:rPr>
        <w:t xml:space="preserve">Hayles, N. Katherine. </w:t>
      </w:r>
      <w:r w:rsidRPr="002A5475">
        <w:rPr>
          <w:rFonts w:asciiTheme="majorBidi" w:hAnsiTheme="majorBidi" w:cstheme="majorBidi"/>
          <w:i/>
        </w:rPr>
        <w:t xml:space="preserve">How We Became Posthuman: Virtual Bodies in Cybernetics, Literature, </w:t>
      </w:r>
    </w:p>
    <w:p w14:paraId="4AA26704" w14:textId="24E68E71" w:rsidR="0073481B" w:rsidRPr="007C4E62" w:rsidRDefault="0073481B" w:rsidP="007C4E62">
      <w:pPr>
        <w:ind w:firstLine="720"/>
        <w:rPr>
          <w:rFonts w:asciiTheme="majorBidi" w:hAnsiTheme="majorBidi" w:cstheme="majorBidi"/>
          <w:i/>
        </w:rPr>
      </w:pPr>
      <w:r w:rsidRPr="002A5475">
        <w:rPr>
          <w:rFonts w:asciiTheme="majorBidi" w:hAnsiTheme="majorBidi" w:cstheme="majorBidi"/>
          <w:i/>
        </w:rPr>
        <w:t>and Informatics</w:t>
      </w:r>
      <w:r w:rsidRPr="002A5475">
        <w:rPr>
          <w:rFonts w:asciiTheme="majorBidi" w:hAnsiTheme="majorBidi" w:cstheme="majorBidi"/>
        </w:rPr>
        <w:t xml:space="preserve">. Chicago: University of Chicago Press, 2000. </w:t>
      </w:r>
    </w:p>
    <w:bookmarkEnd w:id="43"/>
    <w:p w14:paraId="55626B79" w14:textId="77777777" w:rsidR="007C4E62" w:rsidRDefault="0073481B" w:rsidP="007C4E62">
      <w:pPr>
        <w:rPr>
          <w:rFonts w:asciiTheme="majorBidi" w:hAnsiTheme="majorBidi" w:cstheme="majorBidi"/>
        </w:rPr>
      </w:pPr>
      <w:r w:rsidRPr="002A5475">
        <w:rPr>
          <w:rFonts w:asciiTheme="majorBidi" w:hAnsiTheme="majorBidi" w:cstheme="majorBidi"/>
        </w:rPr>
        <w:t xml:space="preserve">Held, Virginia. </w:t>
      </w:r>
      <w:r w:rsidRPr="002A5475">
        <w:rPr>
          <w:rFonts w:asciiTheme="majorBidi" w:hAnsiTheme="majorBidi" w:cstheme="majorBidi"/>
          <w:i/>
        </w:rPr>
        <w:t>The Ethics of Care: Personal, Political, and Global</w:t>
      </w:r>
      <w:r w:rsidRPr="002A5475">
        <w:rPr>
          <w:rFonts w:asciiTheme="majorBidi" w:hAnsiTheme="majorBidi" w:cstheme="majorBidi"/>
        </w:rPr>
        <w:t xml:space="preserve">. New York: Oxford UP, </w:t>
      </w:r>
    </w:p>
    <w:p w14:paraId="5356D2C1" w14:textId="5F5184D9" w:rsidR="0073481B" w:rsidRPr="002A5475" w:rsidRDefault="0073481B" w:rsidP="007C4E62">
      <w:pPr>
        <w:ind w:firstLine="720"/>
        <w:rPr>
          <w:rFonts w:asciiTheme="majorBidi" w:hAnsiTheme="majorBidi" w:cstheme="majorBidi"/>
        </w:rPr>
      </w:pPr>
      <w:r w:rsidRPr="002A5475">
        <w:rPr>
          <w:rFonts w:asciiTheme="majorBidi" w:hAnsiTheme="majorBidi" w:cstheme="majorBidi"/>
        </w:rPr>
        <w:t>2006.</w:t>
      </w:r>
    </w:p>
    <w:p w14:paraId="7DEE5714" w14:textId="77777777" w:rsidR="007C4E62" w:rsidRDefault="00E75184" w:rsidP="007C4E62">
      <w:pPr>
        <w:rPr>
          <w:rFonts w:asciiTheme="majorBidi" w:hAnsiTheme="majorBidi" w:cstheme="majorBidi"/>
        </w:rPr>
      </w:pPr>
      <w:r w:rsidRPr="002A5475">
        <w:rPr>
          <w:rFonts w:asciiTheme="majorBidi" w:hAnsiTheme="majorBidi" w:cstheme="majorBidi"/>
        </w:rPr>
        <w:t xml:space="preserve">Hill, Jen. </w:t>
      </w:r>
      <w:r w:rsidRPr="002A5475">
        <w:rPr>
          <w:rFonts w:asciiTheme="majorBidi" w:hAnsiTheme="majorBidi" w:cstheme="majorBidi"/>
          <w:i/>
          <w:iCs/>
        </w:rPr>
        <w:t>White Horizon: The Arctic in the Nineteenth-Century British Imagination</w:t>
      </w:r>
      <w:r w:rsidRPr="002A5475">
        <w:rPr>
          <w:rFonts w:asciiTheme="majorBidi" w:hAnsiTheme="majorBidi" w:cstheme="majorBidi"/>
        </w:rPr>
        <w:t xml:space="preserve">. Albany: </w:t>
      </w:r>
    </w:p>
    <w:p w14:paraId="31AD3C44" w14:textId="189742E7" w:rsidR="00E75184" w:rsidRDefault="00E75184" w:rsidP="007C4E62">
      <w:pPr>
        <w:ind w:firstLine="720"/>
        <w:rPr>
          <w:rFonts w:asciiTheme="majorBidi" w:hAnsiTheme="majorBidi" w:cstheme="majorBidi"/>
        </w:rPr>
      </w:pPr>
      <w:r w:rsidRPr="002A5475">
        <w:rPr>
          <w:rFonts w:asciiTheme="majorBidi" w:hAnsiTheme="majorBidi" w:cstheme="majorBidi"/>
        </w:rPr>
        <w:t>SUNY Press, 2008.</w:t>
      </w:r>
    </w:p>
    <w:p w14:paraId="7AE55351" w14:textId="77777777" w:rsidR="007C4E62" w:rsidRDefault="007C4E62" w:rsidP="007C4E62">
      <w:pPr>
        <w:rPr>
          <w:rFonts w:asciiTheme="majorBidi" w:hAnsiTheme="majorBidi" w:cstheme="majorBidi"/>
        </w:rPr>
      </w:pPr>
    </w:p>
    <w:p w14:paraId="59813BF2" w14:textId="4DE59080" w:rsidR="007C4E62" w:rsidRDefault="0080234D" w:rsidP="007C4E62">
      <w:pPr>
        <w:rPr>
          <w:rFonts w:asciiTheme="majorBidi" w:hAnsiTheme="majorBidi" w:cstheme="majorBidi"/>
        </w:rPr>
      </w:pPr>
      <w:r w:rsidRPr="002A5475">
        <w:rPr>
          <w:rFonts w:asciiTheme="majorBidi" w:hAnsiTheme="majorBidi" w:cstheme="majorBidi"/>
        </w:rPr>
        <w:lastRenderedPageBreak/>
        <w:t xml:space="preserve">Hitchcock, Susan Tyler. “The Monster Lives On.” Frankenstein: </w:t>
      </w:r>
      <w:r w:rsidRPr="002A5475">
        <w:rPr>
          <w:rFonts w:asciiTheme="majorBidi" w:hAnsiTheme="majorBidi" w:cstheme="majorBidi"/>
          <w:i/>
        </w:rPr>
        <w:t>A Cultural History</w:t>
      </w:r>
      <w:r w:rsidRPr="002A5475">
        <w:rPr>
          <w:rFonts w:asciiTheme="majorBidi" w:hAnsiTheme="majorBidi" w:cstheme="majorBidi"/>
        </w:rPr>
        <w:t xml:space="preserve">. New York: </w:t>
      </w:r>
    </w:p>
    <w:p w14:paraId="3F0118B0" w14:textId="0FDAD745" w:rsidR="0080234D" w:rsidRPr="002A5475" w:rsidRDefault="0080234D" w:rsidP="007C4E62">
      <w:pPr>
        <w:ind w:firstLine="720"/>
        <w:rPr>
          <w:rFonts w:asciiTheme="majorBidi" w:hAnsiTheme="majorBidi" w:cstheme="majorBidi"/>
        </w:rPr>
      </w:pPr>
      <w:r w:rsidRPr="002A5475">
        <w:rPr>
          <w:rFonts w:asciiTheme="majorBidi" w:hAnsiTheme="majorBidi" w:cstheme="majorBidi"/>
        </w:rPr>
        <w:t>Norton, 2007. 106-16.</w:t>
      </w:r>
    </w:p>
    <w:p w14:paraId="37B51F99" w14:textId="77777777" w:rsidR="00676114" w:rsidRDefault="0073481B" w:rsidP="007C4E62">
      <w:pPr>
        <w:rPr>
          <w:rFonts w:asciiTheme="majorBidi" w:hAnsiTheme="majorBidi" w:cstheme="majorBidi"/>
        </w:rPr>
      </w:pPr>
      <w:r w:rsidRPr="002A5475">
        <w:rPr>
          <w:rFonts w:asciiTheme="majorBidi" w:hAnsiTheme="majorBidi" w:cstheme="majorBidi"/>
        </w:rPr>
        <w:t xml:space="preserve">Holmes, Martha Stoddard. </w:t>
      </w:r>
      <w:r w:rsidRPr="002A5475">
        <w:rPr>
          <w:rFonts w:asciiTheme="majorBidi" w:hAnsiTheme="majorBidi" w:cstheme="majorBidi"/>
          <w:i/>
        </w:rPr>
        <w:t>Fictions of Affliction: Physical Disability in Victorian Culture</w:t>
      </w:r>
      <w:r w:rsidRPr="002A5475">
        <w:rPr>
          <w:rFonts w:asciiTheme="majorBidi" w:hAnsiTheme="majorBidi" w:cstheme="majorBidi"/>
        </w:rPr>
        <w:t xml:space="preserve">. Ann </w:t>
      </w:r>
    </w:p>
    <w:p w14:paraId="61BFC199" w14:textId="1820A70B" w:rsidR="0073481B" w:rsidRPr="002A5475" w:rsidRDefault="0073481B" w:rsidP="00676114">
      <w:pPr>
        <w:ind w:firstLine="720"/>
        <w:rPr>
          <w:rFonts w:asciiTheme="majorBidi" w:hAnsiTheme="majorBidi" w:cstheme="majorBidi"/>
        </w:rPr>
      </w:pPr>
      <w:r w:rsidRPr="002A5475">
        <w:rPr>
          <w:rFonts w:asciiTheme="majorBidi" w:hAnsiTheme="majorBidi" w:cstheme="majorBidi"/>
        </w:rPr>
        <w:t>Arbor: University of Michigan Press, 2004.</w:t>
      </w:r>
    </w:p>
    <w:p w14:paraId="5DD9435D" w14:textId="77777777" w:rsidR="00676114" w:rsidRDefault="0073481B" w:rsidP="00676114">
      <w:pPr>
        <w:rPr>
          <w:rFonts w:asciiTheme="majorBidi" w:hAnsiTheme="majorBidi" w:cstheme="majorBidi"/>
          <w:i/>
        </w:rPr>
      </w:pPr>
      <w:r w:rsidRPr="002A5475">
        <w:rPr>
          <w:rFonts w:asciiTheme="majorBidi" w:hAnsiTheme="majorBidi" w:cstheme="majorBidi"/>
        </w:rPr>
        <w:t xml:space="preserve">______. “Victorian Fictions of Interdependency: Gaskell, Craik, and Yonge.” </w:t>
      </w:r>
      <w:r w:rsidRPr="002A5475">
        <w:rPr>
          <w:rFonts w:asciiTheme="majorBidi" w:hAnsiTheme="majorBidi" w:cstheme="majorBidi"/>
          <w:i/>
        </w:rPr>
        <w:t xml:space="preserve">Journal of Literary </w:t>
      </w:r>
    </w:p>
    <w:p w14:paraId="1472EBD8" w14:textId="5A1B214C" w:rsidR="0073481B" w:rsidRPr="00676114" w:rsidRDefault="0073481B" w:rsidP="00676114">
      <w:pPr>
        <w:ind w:firstLine="720"/>
        <w:rPr>
          <w:rFonts w:asciiTheme="majorBidi" w:hAnsiTheme="majorBidi" w:cstheme="majorBidi"/>
          <w:i/>
        </w:rPr>
      </w:pPr>
      <w:r w:rsidRPr="002A5475">
        <w:rPr>
          <w:rFonts w:asciiTheme="majorBidi" w:hAnsiTheme="majorBidi" w:cstheme="majorBidi"/>
          <w:i/>
        </w:rPr>
        <w:t>&amp; Cultural Disability Studies</w:t>
      </w:r>
      <w:r w:rsidRPr="002A5475">
        <w:rPr>
          <w:rFonts w:asciiTheme="majorBidi" w:hAnsiTheme="majorBidi" w:cstheme="majorBidi"/>
        </w:rPr>
        <w:t xml:space="preserve"> 1.2 (Oct. 2007): 29-41.</w:t>
      </w:r>
    </w:p>
    <w:p w14:paraId="7A577FF9" w14:textId="77777777" w:rsidR="00676114" w:rsidRDefault="0073481B" w:rsidP="00676114">
      <w:pPr>
        <w:rPr>
          <w:rFonts w:asciiTheme="majorBidi" w:hAnsiTheme="majorBidi" w:cstheme="majorBidi"/>
          <w:i/>
        </w:rPr>
      </w:pPr>
      <w:r w:rsidRPr="002A5475">
        <w:rPr>
          <w:rFonts w:asciiTheme="majorBidi" w:hAnsiTheme="majorBidi" w:cstheme="majorBidi"/>
        </w:rPr>
        <w:t xml:space="preserve">Holmes, Richard. “Mary Shelley and the Power of Contemporary Science.” </w:t>
      </w:r>
      <w:r w:rsidRPr="002A5475">
        <w:rPr>
          <w:rFonts w:asciiTheme="majorBidi" w:hAnsiTheme="majorBidi" w:cstheme="majorBidi"/>
          <w:i/>
        </w:rPr>
        <w:t xml:space="preserve">The Age of Wonder: </w:t>
      </w:r>
    </w:p>
    <w:p w14:paraId="1160D807" w14:textId="77777777" w:rsidR="00676114" w:rsidRDefault="0073481B" w:rsidP="00676114">
      <w:pPr>
        <w:ind w:firstLine="720"/>
        <w:rPr>
          <w:rFonts w:asciiTheme="majorBidi" w:hAnsiTheme="majorBidi" w:cstheme="majorBidi"/>
        </w:rPr>
      </w:pPr>
      <w:r w:rsidRPr="002A5475">
        <w:rPr>
          <w:rFonts w:asciiTheme="majorBidi" w:hAnsiTheme="majorBidi" w:cstheme="majorBidi"/>
          <w:i/>
        </w:rPr>
        <w:t>How the Romantic Generation Discovered the Beauty and Terror of Science</w:t>
      </w:r>
      <w:r w:rsidRPr="002A5475">
        <w:rPr>
          <w:rFonts w:asciiTheme="majorBidi" w:hAnsiTheme="majorBidi" w:cstheme="majorBidi"/>
        </w:rPr>
        <w:t xml:space="preserve">. London: </w:t>
      </w:r>
    </w:p>
    <w:p w14:paraId="17CE681B" w14:textId="5B16B66A" w:rsidR="0073481B" w:rsidRPr="00676114" w:rsidRDefault="0073481B" w:rsidP="00676114">
      <w:pPr>
        <w:ind w:firstLine="720"/>
        <w:rPr>
          <w:rFonts w:asciiTheme="majorBidi" w:hAnsiTheme="majorBidi" w:cstheme="majorBidi"/>
          <w:i/>
        </w:rPr>
      </w:pPr>
      <w:r w:rsidRPr="002A5475">
        <w:rPr>
          <w:rFonts w:asciiTheme="majorBidi" w:hAnsiTheme="majorBidi" w:cstheme="majorBidi"/>
        </w:rPr>
        <w:t>Harper Press, 2008. 325-36.</w:t>
      </w:r>
    </w:p>
    <w:p w14:paraId="14C4510E" w14:textId="77777777" w:rsidR="00676114" w:rsidRDefault="0073481B" w:rsidP="00676114">
      <w:pPr>
        <w:rPr>
          <w:rFonts w:asciiTheme="majorBidi" w:hAnsiTheme="majorBidi" w:cstheme="majorBidi"/>
        </w:rPr>
      </w:pPr>
      <w:r w:rsidRPr="002A5475">
        <w:rPr>
          <w:rFonts w:asciiTheme="majorBidi" w:hAnsiTheme="majorBidi" w:cstheme="majorBidi"/>
        </w:rPr>
        <w:t xml:space="preserve">Howe, Irving. From </w:t>
      </w:r>
      <w:r w:rsidRPr="002A5475">
        <w:rPr>
          <w:rFonts w:asciiTheme="majorBidi" w:hAnsiTheme="majorBidi" w:cstheme="majorBidi"/>
          <w:i/>
          <w:iCs/>
        </w:rPr>
        <w:t>History and the Novel</w:t>
      </w:r>
      <w:r w:rsidRPr="002A5475">
        <w:rPr>
          <w:rFonts w:asciiTheme="majorBidi" w:hAnsiTheme="majorBidi" w:cstheme="majorBidi"/>
        </w:rPr>
        <w:t xml:space="preserve">. </w:t>
      </w:r>
      <w:r w:rsidRPr="002A5475">
        <w:rPr>
          <w:rFonts w:asciiTheme="majorBidi" w:hAnsiTheme="majorBidi" w:cstheme="majorBidi"/>
          <w:i/>
          <w:iCs/>
        </w:rPr>
        <w:t>The Norton Anthology of Theory and Criticism</w:t>
      </w:r>
      <w:r w:rsidRPr="002A5475">
        <w:rPr>
          <w:rFonts w:asciiTheme="majorBidi" w:hAnsiTheme="majorBidi" w:cstheme="majorBidi"/>
        </w:rPr>
        <w:t xml:space="preserve">. Ed. </w:t>
      </w:r>
    </w:p>
    <w:p w14:paraId="1A6715C9" w14:textId="4A664BEB" w:rsidR="0073481B" w:rsidRPr="00676114" w:rsidRDefault="0073481B" w:rsidP="00676114">
      <w:pPr>
        <w:ind w:firstLine="720"/>
        <w:rPr>
          <w:rFonts w:asciiTheme="majorBidi" w:hAnsiTheme="majorBidi" w:cstheme="majorBidi"/>
          <w:i/>
          <w:iCs/>
        </w:rPr>
      </w:pPr>
      <w:r w:rsidRPr="002A5475">
        <w:rPr>
          <w:rFonts w:asciiTheme="majorBidi" w:hAnsiTheme="majorBidi" w:cstheme="majorBidi"/>
        </w:rPr>
        <w:t>Vincent B. Letch et al., 2</w:t>
      </w:r>
      <w:r w:rsidRPr="002A5475">
        <w:rPr>
          <w:rFonts w:asciiTheme="majorBidi" w:hAnsiTheme="majorBidi" w:cstheme="majorBidi"/>
          <w:vertAlign w:val="superscript"/>
        </w:rPr>
        <w:t>nd</w:t>
      </w:r>
      <w:r w:rsidRPr="002A5475">
        <w:rPr>
          <w:rFonts w:asciiTheme="majorBidi" w:hAnsiTheme="majorBidi" w:cstheme="majorBidi"/>
        </w:rPr>
        <w:t xml:space="preserve"> ed. New York: Norton, 2010. 1391-1402. </w:t>
      </w:r>
    </w:p>
    <w:p w14:paraId="00DD9D18" w14:textId="77777777" w:rsidR="00676114" w:rsidRDefault="0073481B" w:rsidP="00676114">
      <w:pPr>
        <w:rPr>
          <w:rFonts w:asciiTheme="majorBidi" w:hAnsiTheme="majorBidi" w:cstheme="majorBidi"/>
          <w:i/>
        </w:rPr>
      </w:pPr>
      <w:r w:rsidRPr="002A5475">
        <w:rPr>
          <w:rFonts w:asciiTheme="majorBidi" w:hAnsiTheme="majorBidi" w:cstheme="majorBidi"/>
        </w:rPr>
        <w:t xml:space="preserve">Hutter, Albert. “Dismemberment and Articulation in </w:t>
      </w:r>
      <w:r w:rsidRPr="002A5475">
        <w:rPr>
          <w:rFonts w:asciiTheme="majorBidi" w:hAnsiTheme="majorBidi" w:cstheme="majorBidi"/>
          <w:i/>
        </w:rPr>
        <w:t>Our Mutual Friend</w:t>
      </w:r>
      <w:r w:rsidRPr="002A5475">
        <w:rPr>
          <w:rFonts w:asciiTheme="majorBidi" w:hAnsiTheme="majorBidi" w:cstheme="majorBidi"/>
        </w:rPr>
        <w:t xml:space="preserve">.” </w:t>
      </w:r>
      <w:r w:rsidRPr="002A5475">
        <w:rPr>
          <w:rFonts w:asciiTheme="majorBidi" w:hAnsiTheme="majorBidi" w:cstheme="majorBidi"/>
          <w:i/>
        </w:rPr>
        <w:t xml:space="preserve">Dickens Studies </w:t>
      </w:r>
    </w:p>
    <w:p w14:paraId="7FBB8866" w14:textId="046A6627" w:rsidR="0073481B" w:rsidRPr="00676114" w:rsidRDefault="0073481B" w:rsidP="00676114">
      <w:pPr>
        <w:ind w:firstLine="720"/>
        <w:rPr>
          <w:rFonts w:asciiTheme="majorBidi" w:hAnsiTheme="majorBidi" w:cstheme="majorBidi"/>
          <w:i/>
        </w:rPr>
      </w:pPr>
      <w:r w:rsidRPr="002A5475">
        <w:rPr>
          <w:rFonts w:asciiTheme="majorBidi" w:hAnsiTheme="majorBidi" w:cstheme="majorBidi"/>
          <w:i/>
        </w:rPr>
        <w:t>Annual</w:t>
      </w:r>
      <w:r w:rsidRPr="002A5475">
        <w:rPr>
          <w:rFonts w:asciiTheme="majorBidi" w:hAnsiTheme="majorBidi" w:cstheme="majorBidi"/>
        </w:rPr>
        <w:t xml:space="preserve"> 11 (1983): 135-175.</w:t>
      </w:r>
    </w:p>
    <w:p w14:paraId="586C9CBA" w14:textId="50E05AAA" w:rsidR="0073481B" w:rsidRPr="002A5475" w:rsidRDefault="0073481B" w:rsidP="00676114">
      <w:pPr>
        <w:rPr>
          <w:rFonts w:asciiTheme="majorBidi" w:hAnsiTheme="majorBidi" w:cstheme="majorBidi"/>
        </w:rPr>
      </w:pPr>
      <w:r w:rsidRPr="002A5475">
        <w:rPr>
          <w:rFonts w:asciiTheme="majorBidi" w:hAnsiTheme="majorBidi" w:cstheme="majorBidi"/>
        </w:rPr>
        <w:t xml:space="preserve">Ingstad, Benedicte, and Susan Reynolds Whyte. </w:t>
      </w:r>
      <w:r w:rsidRPr="002A5475">
        <w:rPr>
          <w:rFonts w:asciiTheme="majorBidi" w:hAnsiTheme="majorBidi" w:cstheme="majorBidi"/>
          <w:i/>
        </w:rPr>
        <w:t>Disability and Culture</w:t>
      </w:r>
      <w:r w:rsidRPr="002A5475">
        <w:rPr>
          <w:rFonts w:asciiTheme="majorBidi" w:hAnsiTheme="majorBidi" w:cstheme="majorBidi"/>
        </w:rPr>
        <w:t xml:space="preserve">. Berkeley: University of </w:t>
      </w:r>
      <w:r w:rsidRPr="002A5475">
        <w:rPr>
          <w:rFonts w:asciiTheme="majorBidi" w:hAnsiTheme="majorBidi" w:cstheme="majorBidi"/>
        </w:rPr>
        <w:tab/>
        <w:t xml:space="preserve">California Press, 1995. </w:t>
      </w:r>
    </w:p>
    <w:p w14:paraId="2FCEA098" w14:textId="77777777" w:rsidR="00676114" w:rsidRDefault="00A05EE8" w:rsidP="00676114">
      <w:pPr>
        <w:rPr>
          <w:rFonts w:asciiTheme="majorBidi" w:hAnsiTheme="majorBidi" w:cstheme="majorBidi"/>
        </w:rPr>
      </w:pPr>
      <w:r w:rsidRPr="002A5475">
        <w:rPr>
          <w:rFonts w:asciiTheme="majorBidi" w:hAnsiTheme="majorBidi" w:cstheme="majorBidi"/>
        </w:rPr>
        <w:t xml:space="preserve">Jones, Claire L. </w:t>
      </w:r>
      <w:r w:rsidRPr="002A5475">
        <w:rPr>
          <w:rFonts w:asciiTheme="majorBidi" w:hAnsiTheme="majorBidi" w:cstheme="majorBidi"/>
          <w:i/>
          <w:iCs/>
        </w:rPr>
        <w:t>The Medical Trade Catalogue, 1870-1914</w:t>
      </w:r>
      <w:r w:rsidRPr="002A5475">
        <w:rPr>
          <w:rFonts w:asciiTheme="majorBidi" w:hAnsiTheme="majorBidi" w:cstheme="majorBidi"/>
        </w:rPr>
        <w:t xml:space="preserve">. Pittsburgh: University of Pittsburgh </w:t>
      </w:r>
    </w:p>
    <w:p w14:paraId="695E76C1" w14:textId="713F989D" w:rsidR="00A05EE8" w:rsidRPr="002A5475" w:rsidRDefault="00A05EE8" w:rsidP="00676114">
      <w:pPr>
        <w:ind w:firstLine="720"/>
        <w:rPr>
          <w:rFonts w:asciiTheme="majorBidi" w:hAnsiTheme="majorBidi" w:cstheme="majorBidi"/>
        </w:rPr>
      </w:pPr>
      <w:r w:rsidRPr="002A5475">
        <w:rPr>
          <w:rFonts w:asciiTheme="majorBidi" w:hAnsiTheme="majorBidi" w:cstheme="majorBidi"/>
        </w:rPr>
        <w:t xml:space="preserve">Press, 2013. </w:t>
      </w:r>
    </w:p>
    <w:p w14:paraId="67FEB70F" w14:textId="77777777" w:rsidR="00A05EE8" w:rsidRPr="002A5475" w:rsidRDefault="00A05EE8" w:rsidP="00A05EE8">
      <w:pPr>
        <w:rPr>
          <w:rFonts w:asciiTheme="majorBidi" w:hAnsiTheme="majorBidi" w:cstheme="majorBidi"/>
          <w:i/>
          <w:iCs/>
        </w:rPr>
      </w:pPr>
      <w:r w:rsidRPr="002A5475">
        <w:rPr>
          <w:rFonts w:asciiTheme="majorBidi" w:hAnsiTheme="majorBidi" w:cstheme="majorBidi"/>
        </w:rPr>
        <w:t xml:space="preserve">Jones, Claire L., and Julie Anderson. </w:t>
      </w:r>
      <w:r w:rsidRPr="002A5475">
        <w:rPr>
          <w:rFonts w:asciiTheme="majorBidi" w:hAnsiTheme="majorBidi" w:cstheme="majorBidi"/>
          <w:i/>
          <w:iCs/>
        </w:rPr>
        <w:t xml:space="preserve">Rethinking Modern Prostheses in Anglo-American </w:t>
      </w:r>
    </w:p>
    <w:p w14:paraId="73EB95C6" w14:textId="4C5B3BC2" w:rsidR="00A05EE8" w:rsidRPr="002A5475" w:rsidRDefault="00A05EE8" w:rsidP="00A05EE8">
      <w:pPr>
        <w:ind w:firstLine="720"/>
        <w:rPr>
          <w:rFonts w:asciiTheme="majorBidi" w:hAnsiTheme="majorBidi" w:cstheme="majorBidi"/>
        </w:rPr>
      </w:pPr>
      <w:r w:rsidRPr="002A5475">
        <w:rPr>
          <w:rFonts w:asciiTheme="majorBidi" w:hAnsiTheme="majorBidi" w:cstheme="majorBidi"/>
          <w:i/>
          <w:iCs/>
        </w:rPr>
        <w:t>Commodity Cultures, 1820-1839</w:t>
      </w:r>
      <w:r w:rsidRPr="002A5475">
        <w:rPr>
          <w:rFonts w:asciiTheme="majorBidi" w:hAnsiTheme="majorBidi" w:cstheme="majorBidi"/>
        </w:rPr>
        <w:t>. Manchester: Manchester UP, 2017.</w:t>
      </w:r>
    </w:p>
    <w:p w14:paraId="5D8650A4" w14:textId="77777777" w:rsidR="00676114" w:rsidRDefault="006023F8" w:rsidP="00676114">
      <w:pPr>
        <w:rPr>
          <w:rFonts w:asciiTheme="majorBidi" w:hAnsiTheme="majorBidi" w:cstheme="majorBidi"/>
          <w:i/>
          <w:iCs/>
        </w:rPr>
      </w:pPr>
      <w:r w:rsidRPr="002A5475">
        <w:rPr>
          <w:rFonts w:asciiTheme="majorBidi" w:hAnsiTheme="majorBidi" w:cstheme="majorBidi"/>
        </w:rPr>
        <w:t xml:space="preserve">Kahan, Benjamin. </w:t>
      </w:r>
      <w:r w:rsidRPr="002A5475">
        <w:rPr>
          <w:rFonts w:asciiTheme="majorBidi" w:hAnsiTheme="majorBidi" w:cstheme="majorBidi"/>
          <w:i/>
          <w:iCs/>
        </w:rPr>
        <w:t xml:space="preserve">The Book of Minor Perverts: Sexology, Etiology, and the </w:t>
      </w:r>
      <w:proofErr w:type="gramStart"/>
      <w:r w:rsidRPr="002A5475">
        <w:rPr>
          <w:rFonts w:asciiTheme="majorBidi" w:hAnsiTheme="majorBidi" w:cstheme="majorBidi"/>
          <w:i/>
          <w:iCs/>
        </w:rPr>
        <w:t>Emergences</w:t>
      </w:r>
      <w:proofErr w:type="gramEnd"/>
      <w:r w:rsidRPr="002A5475">
        <w:rPr>
          <w:rFonts w:asciiTheme="majorBidi" w:hAnsiTheme="majorBidi" w:cstheme="majorBidi"/>
          <w:i/>
          <w:iCs/>
        </w:rPr>
        <w:t xml:space="preserve"> of </w:t>
      </w:r>
    </w:p>
    <w:p w14:paraId="7284A155" w14:textId="33624F3B" w:rsidR="006023F8" w:rsidRPr="00676114" w:rsidRDefault="006023F8" w:rsidP="00676114">
      <w:pPr>
        <w:ind w:firstLine="720"/>
        <w:rPr>
          <w:rFonts w:asciiTheme="majorBidi" w:hAnsiTheme="majorBidi" w:cstheme="majorBidi"/>
          <w:i/>
          <w:iCs/>
        </w:rPr>
      </w:pPr>
      <w:r w:rsidRPr="002A5475">
        <w:rPr>
          <w:rFonts w:asciiTheme="majorBidi" w:hAnsiTheme="majorBidi" w:cstheme="majorBidi"/>
          <w:i/>
          <w:iCs/>
        </w:rPr>
        <w:t>Sexuality</w:t>
      </w:r>
      <w:r w:rsidRPr="002A5475">
        <w:rPr>
          <w:rFonts w:asciiTheme="majorBidi" w:hAnsiTheme="majorBidi" w:cstheme="majorBidi"/>
        </w:rPr>
        <w:t>. Chicago: University of Chicago Press, 2019.</w:t>
      </w:r>
    </w:p>
    <w:p w14:paraId="7955B852" w14:textId="77777777" w:rsidR="00676114" w:rsidRDefault="00903A0A" w:rsidP="00676114">
      <w:pPr>
        <w:rPr>
          <w:rFonts w:asciiTheme="majorBidi" w:hAnsiTheme="majorBidi" w:cstheme="majorBidi"/>
        </w:rPr>
      </w:pPr>
      <w:r w:rsidRPr="002A5475">
        <w:rPr>
          <w:rFonts w:asciiTheme="majorBidi" w:hAnsiTheme="majorBidi" w:cstheme="majorBidi"/>
        </w:rPr>
        <w:t xml:space="preserve">Kean, Hilda. </w:t>
      </w:r>
      <w:r w:rsidRPr="002A5475">
        <w:rPr>
          <w:rFonts w:asciiTheme="majorBidi" w:hAnsiTheme="majorBidi" w:cstheme="majorBidi"/>
          <w:i/>
          <w:iCs/>
        </w:rPr>
        <w:t>Animal Rights: Political and Social Change in Britain Since 1800</w:t>
      </w:r>
      <w:r w:rsidRPr="002A5475">
        <w:rPr>
          <w:rFonts w:asciiTheme="majorBidi" w:hAnsiTheme="majorBidi" w:cstheme="majorBidi"/>
        </w:rPr>
        <w:t>. London:</w:t>
      </w:r>
      <w:r w:rsidR="00676114">
        <w:rPr>
          <w:rFonts w:asciiTheme="majorBidi" w:hAnsiTheme="majorBidi" w:cstheme="majorBidi"/>
        </w:rPr>
        <w:t xml:space="preserve"> </w:t>
      </w:r>
    </w:p>
    <w:p w14:paraId="694F037E" w14:textId="0087EB2C" w:rsidR="00903A0A" w:rsidRPr="002A5475" w:rsidRDefault="00903A0A" w:rsidP="00676114">
      <w:pPr>
        <w:ind w:firstLine="720"/>
        <w:rPr>
          <w:rFonts w:asciiTheme="majorBidi" w:hAnsiTheme="majorBidi" w:cstheme="majorBidi"/>
        </w:rPr>
      </w:pPr>
      <w:r w:rsidRPr="002A5475">
        <w:rPr>
          <w:rFonts w:asciiTheme="majorBidi" w:hAnsiTheme="majorBidi" w:cstheme="majorBidi"/>
        </w:rPr>
        <w:t>Reaktion, 1998.</w:t>
      </w:r>
    </w:p>
    <w:p w14:paraId="59C56628" w14:textId="69510D45" w:rsidR="0073481B" w:rsidRPr="002A5475" w:rsidRDefault="0073481B" w:rsidP="0073481B">
      <w:pPr>
        <w:rPr>
          <w:rFonts w:asciiTheme="majorBidi" w:hAnsiTheme="majorBidi" w:cstheme="majorBidi"/>
        </w:rPr>
      </w:pPr>
      <w:r w:rsidRPr="002A5475">
        <w:rPr>
          <w:rFonts w:asciiTheme="majorBidi" w:hAnsiTheme="majorBidi" w:cstheme="majorBidi"/>
        </w:rPr>
        <w:t xml:space="preserve">Kincaid, James R. </w:t>
      </w:r>
      <w:r w:rsidRPr="002A5475">
        <w:rPr>
          <w:rFonts w:asciiTheme="majorBidi" w:hAnsiTheme="majorBidi" w:cstheme="majorBidi"/>
          <w:i/>
          <w:iCs/>
        </w:rPr>
        <w:t>The Novels of Anthony Trollope</w:t>
      </w:r>
      <w:r w:rsidRPr="002A5475">
        <w:rPr>
          <w:rFonts w:asciiTheme="majorBidi" w:hAnsiTheme="majorBidi" w:cstheme="majorBidi"/>
        </w:rPr>
        <w:t>. Oxford: Clarendon Press, 1977.</w:t>
      </w:r>
    </w:p>
    <w:p w14:paraId="6576FAC3" w14:textId="207EFDDB" w:rsidR="000A3AD2" w:rsidRPr="002A5475" w:rsidRDefault="000A3AD2" w:rsidP="0073481B">
      <w:pPr>
        <w:rPr>
          <w:rFonts w:asciiTheme="majorBidi" w:hAnsiTheme="majorBidi" w:cstheme="majorBidi"/>
        </w:rPr>
      </w:pPr>
      <w:r w:rsidRPr="002A5475">
        <w:rPr>
          <w:rFonts w:asciiTheme="majorBidi" w:hAnsiTheme="majorBidi" w:cstheme="majorBidi"/>
          <w:color w:val="000000"/>
          <w:spacing w:val="-5"/>
          <w:shd w:val="clear" w:color="auto" w:fill="FFFFFF"/>
        </w:rPr>
        <w:t>Kirkham, Pat. “The London Furniture Trade 1700-1870.” </w:t>
      </w:r>
      <w:r w:rsidRPr="002A5475">
        <w:rPr>
          <w:rFonts w:asciiTheme="majorBidi" w:hAnsiTheme="majorBidi" w:cstheme="majorBidi"/>
          <w:i/>
          <w:iCs/>
          <w:color w:val="000000"/>
          <w:spacing w:val="-5"/>
          <w:shd w:val="clear" w:color="auto" w:fill="FFFFFF"/>
        </w:rPr>
        <w:t>Furniture History</w:t>
      </w:r>
      <w:r w:rsidRPr="002A5475">
        <w:rPr>
          <w:rFonts w:asciiTheme="majorBidi" w:hAnsiTheme="majorBidi" w:cstheme="majorBidi"/>
          <w:color w:val="000000"/>
          <w:spacing w:val="-5"/>
          <w:shd w:val="clear" w:color="auto" w:fill="FFFFFF"/>
        </w:rPr>
        <w:t xml:space="preserve"> 24 (1988): i–219.</w:t>
      </w:r>
    </w:p>
    <w:p w14:paraId="0D2B4160" w14:textId="77777777" w:rsidR="00676114" w:rsidRDefault="00FF3A5B" w:rsidP="00676114">
      <w:pPr>
        <w:rPr>
          <w:rFonts w:asciiTheme="majorBidi" w:hAnsiTheme="majorBidi" w:cstheme="majorBidi"/>
        </w:rPr>
      </w:pPr>
      <w:r w:rsidRPr="002A5475">
        <w:rPr>
          <w:rFonts w:asciiTheme="majorBidi" w:hAnsiTheme="majorBidi" w:cstheme="majorBidi"/>
        </w:rPr>
        <w:t xml:space="preserve">Knight, Stephen. </w:t>
      </w:r>
      <w:r w:rsidRPr="002A5475">
        <w:rPr>
          <w:rFonts w:asciiTheme="majorBidi" w:hAnsiTheme="majorBidi" w:cstheme="majorBidi"/>
          <w:i/>
          <w:iCs/>
        </w:rPr>
        <w:t>Crime Fiction Since 1800: Detectives, Death, Diversity</w:t>
      </w:r>
      <w:r w:rsidRPr="002A5475">
        <w:rPr>
          <w:rFonts w:asciiTheme="majorBidi" w:hAnsiTheme="majorBidi" w:cstheme="majorBidi"/>
        </w:rPr>
        <w:t>. New York: Palgrave</w:t>
      </w:r>
    </w:p>
    <w:p w14:paraId="51778A4B" w14:textId="4F77B35A" w:rsidR="00FF3A5B" w:rsidRPr="002A5475" w:rsidRDefault="00FF3A5B" w:rsidP="00676114">
      <w:pPr>
        <w:ind w:firstLine="720"/>
        <w:rPr>
          <w:rFonts w:asciiTheme="majorBidi" w:hAnsiTheme="majorBidi" w:cstheme="majorBidi"/>
        </w:rPr>
      </w:pPr>
      <w:r w:rsidRPr="002A5475">
        <w:rPr>
          <w:rFonts w:asciiTheme="majorBidi" w:hAnsiTheme="majorBidi" w:cstheme="majorBidi"/>
        </w:rPr>
        <w:t>Macmillan, 2010.</w:t>
      </w:r>
    </w:p>
    <w:p w14:paraId="180F1767" w14:textId="77777777" w:rsidR="00676114" w:rsidRDefault="0044271F" w:rsidP="00676114">
      <w:pPr>
        <w:rPr>
          <w:rFonts w:asciiTheme="majorBidi" w:hAnsiTheme="majorBidi" w:cstheme="majorBidi"/>
          <w:i/>
        </w:rPr>
      </w:pPr>
      <w:r w:rsidRPr="002A5475">
        <w:rPr>
          <w:rFonts w:asciiTheme="majorBidi" w:hAnsiTheme="majorBidi" w:cstheme="majorBidi"/>
        </w:rPr>
        <w:t xml:space="preserve">Kreilkam, Ivan. “Dying Like a Dog in </w:t>
      </w:r>
      <w:r w:rsidRPr="002A5475">
        <w:rPr>
          <w:rFonts w:asciiTheme="majorBidi" w:hAnsiTheme="majorBidi" w:cstheme="majorBidi"/>
          <w:i/>
          <w:iCs/>
        </w:rPr>
        <w:t>Great Expectations</w:t>
      </w:r>
      <w:r w:rsidRPr="002A5475">
        <w:rPr>
          <w:rFonts w:asciiTheme="majorBidi" w:hAnsiTheme="majorBidi" w:cstheme="majorBidi"/>
        </w:rPr>
        <w:t xml:space="preserve">.” </w:t>
      </w:r>
      <w:r w:rsidRPr="002A5475">
        <w:rPr>
          <w:rFonts w:asciiTheme="majorBidi" w:hAnsiTheme="majorBidi" w:cstheme="majorBidi"/>
          <w:i/>
        </w:rPr>
        <w:t>Victorian Animal Dreams:</w:t>
      </w:r>
      <w:r w:rsidR="00676114">
        <w:rPr>
          <w:rFonts w:asciiTheme="majorBidi" w:hAnsiTheme="majorBidi" w:cstheme="majorBidi"/>
          <w:i/>
        </w:rPr>
        <w:t xml:space="preserve"> </w:t>
      </w:r>
    </w:p>
    <w:p w14:paraId="2B3CD03B" w14:textId="77777777" w:rsidR="00676114" w:rsidRDefault="0044271F" w:rsidP="00676114">
      <w:pPr>
        <w:ind w:firstLine="720"/>
        <w:rPr>
          <w:rFonts w:asciiTheme="majorBidi" w:hAnsiTheme="majorBidi" w:cstheme="majorBidi"/>
        </w:rPr>
      </w:pPr>
      <w:r w:rsidRPr="002A5475">
        <w:rPr>
          <w:rFonts w:asciiTheme="majorBidi" w:hAnsiTheme="majorBidi" w:cstheme="majorBidi"/>
          <w:i/>
        </w:rPr>
        <w:t>Representations of Animals in Victorian Literature and Culture</w:t>
      </w:r>
      <w:r w:rsidRPr="002A5475">
        <w:rPr>
          <w:rFonts w:asciiTheme="majorBidi" w:hAnsiTheme="majorBidi" w:cstheme="majorBidi"/>
        </w:rPr>
        <w:t xml:space="preserve">. Eds. Deborah Deneholz </w:t>
      </w:r>
    </w:p>
    <w:p w14:paraId="31DFA8EA" w14:textId="546113AE" w:rsidR="0044271F" w:rsidRPr="00676114" w:rsidRDefault="0044271F" w:rsidP="00676114">
      <w:pPr>
        <w:ind w:left="720"/>
        <w:rPr>
          <w:rFonts w:asciiTheme="majorBidi" w:hAnsiTheme="majorBidi" w:cstheme="majorBidi"/>
          <w:i/>
        </w:rPr>
      </w:pPr>
      <w:r w:rsidRPr="002A5475">
        <w:rPr>
          <w:rFonts w:asciiTheme="majorBidi" w:hAnsiTheme="majorBidi" w:cstheme="majorBidi"/>
        </w:rPr>
        <w:t>Morse and Martin A. Danahay. Burlington: Ashgate, 2007: 80-94</w:t>
      </w:r>
      <w:r w:rsidR="00833C42">
        <w:rPr>
          <w:rFonts w:asciiTheme="majorBidi" w:hAnsiTheme="majorBidi" w:cstheme="majorBidi"/>
        </w:rPr>
        <w:t>.</w:t>
      </w:r>
    </w:p>
    <w:p w14:paraId="6E8A8D83" w14:textId="77777777" w:rsidR="00676114" w:rsidRDefault="0044271F" w:rsidP="00676114">
      <w:pPr>
        <w:rPr>
          <w:rFonts w:asciiTheme="majorBidi" w:hAnsiTheme="majorBidi" w:cstheme="majorBidi"/>
          <w:color w:val="0A0A0A"/>
          <w:shd w:val="clear" w:color="auto" w:fill="FFFFFF"/>
        </w:rPr>
      </w:pPr>
      <w:r w:rsidRPr="002A5475">
        <w:rPr>
          <w:rFonts w:asciiTheme="majorBidi" w:hAnsiTheme="majorBidi" w:cstheme="majorBidi"/>
        </w:rPr>
        <w:t xml:space="preserve">______. </w:t>
      </w:r>
      <w:r w:rsidRPr="002A5475">
        <w:rPr>
          <w:rStyle w:val="Emphasis"/>
          <w:rFonts w:asciiTheme="majorBidi" w:hAnsiTheme="majorBidi" w:cstheme="majorBidi"/>
          <w:color w:val="0A0A0A"/>
          <w:shd w:val="clear" w:color="auto" w:fill="FFFFFF"/>
        </w:rPr>
        <w:t>Minor Creatures: Persons, Animals, and the Victorian Novel</w:t>
      </w:r>
      <w:r w:rsidRPr="002A5475">
        <w:rPr>
          <w:rFonts w:asciiTheme="majorBidi" w:hAnsiTheme="majorBidi" w:cstheme="majorBidi"/>
          <w:color w:val="0A0A0A"/>
          <w:shd w:val="clear" w:color="auto" w:fill="FFFFFF"/>
        </w:rPr>
        <w:t xml:space="preserve">. Chicago: University of </w:t>
      </w:r>
    </w:p>
    <w:p w14:paraId="375BE75C" w14:textId="2FD08BA9" w:rsidR="0044271F" w:rsidRPr="002A5475" w:rsidRDefault="0044271F" w:rsidP="00676114">
      <w:pPr>
        <w:ind w:firstLine="720"/>
        <w:rPr>
          <w:rFonts w:asciiTheme="majorBidi" w:hAnsiTheme="majorBidi" w:cstheme="majorBidi"/>
          <w:color w:val="0A0A0A"/>
          <w:shd w:val="clear" w:color="auto" w:fill="FFFFFF"/>
        </w:rPr>
      </w:pPr>
      <w:r w:rsidRPr="002A5475">
        <w:rPr>
          <w:rFonts w:asciiTheme="majorBidi" w:hAnsiTheme="majorBidi" w:cstheme="majorBidi"/>
          <w:color w:val="0A0A0A"/>
          <w:shd w:val="clear" w:color="auto" w:fill="FFFFFF"/>
        </w:rPr>
        <w:t>Chicago Press, 2018.</w:t>
      </w:r>
    </w:p>
    <w:p w14:paraId="52AD05A3" w14:textId="77777777" w:rsidR="00676114" w:rsidRDefault="00AD461E" w:rsidP="00676114">
      <w:pPr>
        <w:rPr>
          <w:rFonts w:asciiTheme="majorBidi" w:hAnsiTheme="majorBidi" w:cstheme="majorBidi"/>
          <w:shd w:val="clear" w:color="auto" w:fill="FFFFFF"/>
        </w:rPr>
      </w:pPr>
      <w:r w:rsidRPr="002A5475">
        <w:rPr>
          <w:rFonts w:asciiTheme="majorBidi" w:hAnsiTheme="majorBidi" w:cstheme="majorBidi"/>
          <w:shd w:val="clear" w:color="auto" w:fill="FFFFFF"/>
        </w:rPr>
        <w:t xml:space="preserve">Kucich, John. “The Unfinished Historicist Project: In Praise of Suspicion.” </w:t>
      </w:r>
      <w:r w:rsidRPr="002A5475">
        <w:rPr>
          <w:rFonts w:asciiTheme="majorBidi" w:hAnsiTheme="majorBidi" w:cstheme="majorBidi"/>
          <w:i/>
          <w:iCs/>
          <w:shd w:val="clear" w:color="auto" w:fill="FFFFFF"/>
        </w:rPr>
        <w:t>Victoriographies </w:t>
      </w:r>
      <w:r w:rsidRPr="002A5475">
        <w:rPr>
          <w:rFonts w:asciiTheme="majorBidi" w:hAnsiTheme="majorBidi" w:cstheme="majorBidi"/>
          <w:shd w:val="clear" w:color="auto" w:fill="FFFFFF"/>
        </w:rPr>
        <w:t xml:space="preserve">1.1 </w:t>
      </w:r>
    </w:p>
    <w:p w14:paraId="6EF65EC5" w14:textId="11DC7CD1" w:rsidR="00AD461E" w:rsidRPr="00676114" w:rsidRDefault="00AD461E" w:rsidP="00676114">
      <w:pPr>
        <w:ind w:firstLine="720"/>
        <w:rPr>
          <w:rFonts w:asciiTheme="majorBidi" w:hAnsiTheme="majorBidi" w:cstheme="majorBidi"/>
          <w:i/>
          <w:iCs/>
          <w:shd w:val="clear" w:color="auto" w:fill="FFFFFF"/>
        </w:rPr>
      </w:pPr>
      <w:r w:rsidRPr="002A5475">
        <w:rPr>
          <w:rFonts w:asciiTheme="majorBidi" w:hAnsiTheme="majorBidi" w:cstheme="majorBidi"/>
          <w:shd w:val="clear" w:color="auto" w:fill="FFFFFF"/>
        </w:rPr>
        <w:t>(2011): 58-78.</w:t>
      </w:r>
    </w:p>
    <w:p w14:paraId="4F3EDAC7" w14:textId="77777777" w:rsidR="00676114" w:rsidRDefault="0073481B" w:rsidP="00676114">
      <w:pPr>
        <w:rPr>
          <w:rFonts w:asciiTheme="majorBidi" w:hAnsiTheme="majorBidi" w:cstheme="majorBidi"/>
        </w:rPr>
      </w:pPr>
      <w:r w:rsidRPr="002A5475">
        <w:rPr>
          <w:rFonts w:asciiTheme="majorBidi" w:hAnsiTheme="majorBidi" w:cstheme="majorBidi"/>
        </w:rPr>
        <w:t xml:space="preserve">LaCom, Cindy. “‘Time Is Sick and Out of Joint’: Physical Disability in Victorian England.” </w:t>
      </w:r>
    </w:p>
    <w:p w14:paraId="04ECFD87" w14:textId="633A50E9" w:rsidR="0073481B" w:rsidRPr="002A5475" w:rsidRDefault="0073481B" w:rsidP="00676114">
      <w:pPr>
        <w:ind w:firstLine="720"/>
        <w:rPr>
          <w:rFonts w:asciiTheme="majorBidi" w:hAnsiTheme="majorBidi" w:cstheme="majorBidi"/>
        </w:rPr>
      </w:pPr>
      <w:r w:rsidRPr="002A5475">
        <w:rPr>
          <w:rFonts w:asciiTheme="majorBidi" w:hAnsiTheme="majorBidi" w:cstheme="majorBidi"/>
          <w:i/>
        </w:rPr>
        <w:t>PMLA</w:t>
      </w:r>
      <w:r w:rsidRPr="002A5475">
        <w:rPr>
          <w:rFonts w:asciiTheme="majorBidi" w:hAnsiTheme="majorBidi" w:cstheme="majorBidi"/>
        </w:rPr>
        <w:t xml:space="preserve"> 120.2 (Mar. 2005): 325-36.</w:t>
      </w:r>
    </w:p>
    <w:p w14:paraId="7FA6930D" w14:textId="77777777" w:rsidR="00676114" w:rsidRDefault="0073481B" w:rsidP="00676114">
      <w:pPr>
        <w:rPr>
          <w:rFonts w:asciiTheme="majorBidi" w:hAnsiTheme="majorBidi" w:cstheme="majorBidi"/>
        </w:rPr>
      </w:pPr>
      <w:r w:rsidRPr="002A5475">
        <w:rPr>
          <w:rFonts w:asciiTheme="majorBidi" w:hAnsiTheme="majorBidi" w:cstheme="majorBidi"/>
        </w:rPr>
        <w:t xml:space="preserve">Latour, Bruno. </w:t>
      </w:r>
      <w:r w:rsidRPr="002A5475">
        <w:rPr>
          <w:rFonts w:asciiTheme="majorBidi" w:hAnsiTheme="majorBidi" w:cstheme="majorBidi"/>
          <w:i/>
          <w:iCs/>
        </w:rPr>
        <w:t>Pandora’s Hope: Essays on the Reality of Science Studies</w:t>
      </w:r>
      <w:r w:rsidRPr="002A5475">
        <w:rPr>
          <w:rFonts w:asciiTheme="majorBidi" w:hAnsiTheme="majorBidi" w:cstheme="majorBidi"/>
        </w:rPr>
        <w:t xml:space="preserve">. Cambridge: Harvard </w:t>
      </w:r>
    </w:p>
    <w:p w14:paraId="70C860AD" w14:textId="14A7AD0D" w:rsidR="0073481B" w:rsidRPr="002A5475" w:rsidRDefault="0073481B" w:rsidP="00676114">
      <w:pPr>
        <w:ind w:firstLine="720"/>
        <w:rPr>
          <w:rFonts w:asciiTheme="majorBidi" w:hAnsiTheme="majorBidi" w:cstheme="majorBidi"/>
        </w:rPr>
      </w:pPr>
      <w:r w:rsidRPr="002A5475">
        <w:rPr>
          <w:rFonts w:asciiTheme="majorBidi" w:hAnsiTheme="majorBidi" w:cstheme="majorBidi"/>
        </w:rPr>
        <w:t>UP, 1999.</w:t>
      </w:r>
    </w:p>
    <w:p w14:paraId="0CD87534" w14:textId="77777777" w:rsidR="00676114" w:rsidRDefault="0073481B" w:rsidP="00676114">
      <w:pPr>
        <w:rPr>
          <w:rFonts w:asciiTheme="majorBidi" w:hAnsiTheme="majorBidi" w:cstheme="majorBidi"/>
        </w:rPr>
      </w:pPr>
      <w:r w:rsidRPr="002A5475">
        <w:rPr>
          <w:rFonts w:asciiTheme="majorBidi" w:hAnsiTheme="majorBidi" w:cstheme="majorBidi"/>
        </w:rPr>
        <w:t xml:space="preserve">______. </w:t>
      </w:r>
      <w:r w:rsidRPr="002A5475">
        <w:rPr>
          <w:rFonts w:asciiTheme="majorBidi" w:hAnsiTheme="majorBidi" w:cstheme="majorBidi"/>
          <w:i/>
          <w:iCs/>
        </w:rPr>
        <w:t>Reassembling the Social: An Introduction to Actor-Network-Theory</w:t>
      </w:r>
      <w:r w:rsidRPr="002A5475">
        <w:rPr>
          <w:rFonts w:asciiTheme="majorBidi" w:hAnsiTheme="majorBidi" w:cstheme="majorBidi"/>
        </w:rPr>
        <w:t xml:space="preserve">. New York: Oxford </w:t>
      </w:r>
    </w:p>
    <w:p w14:paraId="59F0905A" w14:textId="0867B005" w:rsidR="0073481B" w:rsidRPr="002A5475" w:rsidRDefault="0073481B" w:rsidP="00676114">
      <w:pPr>
        <w:ind w:firstLine="720"/>
        <w:rPr>
          <w:rFonts w:asciiTheme="majorBidi" w:hAnsiTheme="majorBidi" w:cstheme="majorBidi"/>
        </w:rPr>
      </w:pPr>
      <w:r w:rsidRPr="002A5475">
        <w:rPr>
          <w:rFonts w:asciiTheme="majorBidi" w:hAnsiTheme="majorBidi" w:cstheme="majorBidi"/>
        </w:rPr>
        <w:t xml:space="preserve">UP, 2005. </w:t>
      </w:r>
    </w:p>
    <w:p w14:paraId="1309A487" w14:textId="77777777" w:rsidR="00676114" w:rsidRDefault="00660170" w:rsidP="00676114">
      <w:pPr>
        <w:rPr>
          <w:rFonts w:asciiTheme="majorBidi" w:hAnsiTheme="majorBidi" w:cstheme="majorBidi"/>
          <w:i/>
          <w:iCs/>
          <w:shd w:val="clear" w:color="auto" w:fill="FFFFFF"/>
        </w:rPr>
      </w:pPr>
      <w:r w:rsidRPr="002A5475">
        <w:rPr>
          <w:rFonts w:asciiTheme="majorBidi" w:hAnsiTheme="majorBidi" w:cstheme="majorBidi"/>
          <w:shd w:val="clear" w:color="auto" w:fill="FFFFFF"/>
        </w:rPr>
        <w:t>Lawson, Kate, and Lynn Shakinovsky. </w:t>
      </w:r>
      <w:r w:rsidRPr="002A5475">
        <w:rPr>
          <w:rFonts w:asciiTheme="majorBidi" w:hAnsiTheme="majorBidi" w:cstheme="majorBidi"/>
          <w:i/>
          <w:iCs/>
          <w:shd w:val="clear" w:color="auto" w:fill="FFFFFF"/>
        </w:rPr>
        <w:t>The Marked Body: Domestic Violence in Mid-Nineteenth-</w:t>
      </w:r>
    </w:p>
    <w:p w14:paraId="5D12EBD6" w14:textId="73F99D1E" w:rsidR="00660170" w:rsidRPr="00676114" w:rsidRDefault="00660170" w:rsidP="00676114">
      <w:pPr>
        <w:ind w:firstLine="720"/>
        <w:rPr>
          <w:rFonts w:asciiTheme="majorBidi" w:hAnsiTheme="majorBidi" w:cstheme="majorBidi"/>
          <w:i/>
          <w:iCs/>
          <w:shd w:val="clear" w:color="auto" w:fill="FFFFFF"/>
        </w:rPr>
      </w:pPr>
      <w:r w:rsidRPr="002A5475">
        <w:rPr>
          <w:rFonts w:asciiTheme="majorBidi" w:hAnsiTheme="majorBidi" w:cstheme="majorBidi"/>
          <w:i/>
          <w:iCs/>
          <w:shd w:val="clear" w:color="auto" w:fill="FFFFFF"/>
        </w:rPr>
        <w:t>Century Literature</w:t>
      </w:r>
      <w:r w:rsidRPr="002A5475">
        <w:rPr>
          <w:rFonts w:asciiTheme="majorBidi" w:hAnsiTheme="majorBidi" w:cstheme="majorBidi"/>
          <w:shd w:val="clear" w:color="auto" w:fill="FFFFFF"/>
        </w:rPr>
        <w:t>. Albany: State University of New York Press, 2002.</w:t>
      </w:r>
    </w:p>
    <w:p w14:paraId="6A79C80C" w14:textId="77777777" w:rsidR="00676114" w:rsidRDefault="0073481B" w:rsidP="00676114">
      <w:pPr>
        <w:rPr>
          <w:rFonts w:asciiTheme="majorBidi" w:hAnsiTheme="majorBidi" w:cstheme="majorBidi"/>
          <w:i/>
          <w:iCs/>
        </w:rPr>
      </w:pPr>
      <w:r w:rsidRPr="002A5475">
        <w:rPr>
          <w:rFonts w:asciiTheme="majorBidi" w:hAnsiTheme="majorBidi" w:cstheme="majorBidi"/>
        </w:rPr>
        <w:t xml:space="preserve">Leverenz, David. “Spanking the Master: Mind-Body Crossing in Poe’s Sensationalism.” </w:t>
      </w:r>
      <w:r w:rsidRPr="002A5475">
        <w:rPr>
          <w:rFonts w:asciiTheme="majorBidi" w:hAnsiTheme="majorBidi" w:cstheme="majorBidi"/>
          <w:i/>
          <w:iCs/>
        </w:rPr>
        <w:t xml:space="preserve">A </w:t>
      </w:r>
    </w:p>
    <w:p w14:paraId="38BD2570" w14:textId="77777777" w:rsidR="00676114" w:rsidRDefault="0073481B" w:rsidP="00676114">
      <w:pPr>
        <w:ind w:firstLine="720"/>
        <w:rPr>
          <w:rFonts w:asciiTheme="majorBidi" w:hAnsiTheme="majorBidi" w:cstheme="majorBidi"/>
        </w:rPr>
      </w:pPr>
      <w:r w:rsidRPr="002A5475">
        <w:rPr>
          <w:rFonts w:asciiTheme="majorBidi" w:hAnsiTheme="majorBidi" w:cstheme="majorBidi"/>
          <w:i/>
          <w:iCs/>
        </w:rPr>
        <w:t>Historical Guide to Edgar Allan Poe</w:t>
      </w:r>
      <w:r w:rsidRPr="002A5475">
        <w:rPr>
          <w:rFonts w:asciiTheme="majorBidi" w:hAnsiTheme="majorBidi" w:cstheme="majorBidi"/>
        </w:rPr>
        <w:t xml:space="preserve">. Ed. J Gerald Kennedy. New York: Oxford UP, </w:t>
      </w:r>
    </w:p>
    <w:p w14:paraId="602E6DB7" w14:textId="5BB48E1F" w:rsidR="0073481B" w:rsidRPr="00676114" w:rsidRDefault="0073481B" w:rsidP="00676114">
      <w:pPr>
        <w:ind w:left="720"/>
        <w:rPr>
          <w:rFonts w:asciiTheme="majorBidi" w:hAnsiTheme="majorBidi" w:cstheme="majorBidi"/>
        </w:rPr>
      </w:pPr>
      <w:r w:rsidRPr="002A5475">
        <w:rPr>
          <w:rFonts w:asciiTheme="majorBidi" w:hAnsiTheme="majorBidi" w:cstheme="majorBidi"/>
        </w:rPr>
        <w:t>2001: 95-128.</w:t>
      </w:r>
    </w:p>
    <w:p w14:paraId="7033E4F0" w14:textId="5B780B9C" w:rsidR="0073481B" w:rsidRPr="002A5475" w:rsidRDefault="0073481B" w:rsidP="0073481B">
      <w:pPr>
        <w:rPr>
          <w:rFonts w:asciiTheme="majorBidi" w:hAnsiTheme="majorBidi" w:cstheme="majorBidi"/>
        </w:rPr>
      </w:pPr>
      <w:r w:rsidRPr="002A5475">
        <w:rPr>
          <w:rFonts w:asciiTheme="majorBidi" w:hAnsiTheme="majorBidi" w:cstheme="majorBidi"/>
        </w:rPr>
        <w:lastRenderedPageBreak/>
        <w:t xml:space="preserve">Levine, George. </w:t>
      </w:r>
      <w:r w:rsidRPr="002A5475">
        <w:rPr>
          <w:rFonts w:asciiTheme="majorBidi" w:hAnsiTheme="majorBidi" w:cstheme="majorBidi"/>
          <w:i/>
        </w:rPr>
        <w:t xml:space="preserve">The Realistic Imagination: English Fiction from </w:t>
      </w:r>
      <w:r w:rsidRPr="002A5475">
        <w:rPr>
          <w:rFonts w:asciiTheme="majorBidi" w:hAnsiTheme="majorBidi" w:cstheme="majorBidi"/>
        </w:rPr>
        <w:t>Frankenstein</w:t>
      </w:r>
      <w:r w:rsidRPr="002A5475">
        <w:rPr>
          <w:rFonts w:asciiTheme="majorBidi" w:hAnsiTheme="majorBidi" w:cstheme="majorBidi"/>
          <w:i/>
        </w:rPr>
        <w:t xml:space="preserve"> to </w:t>
      </w:r>
      <w:r w:rsidRPr="002A5475">
        <w:rPr>
          <w:rFonts w:asciiTheme="majorBidi" w:hAnsiTheme="majorBidi" w:cstheme="majorBidi"/>
        </w:rPr>
        <w:t xml:space="preserve">Lady </w:t>
      </w:r>
      <w:r w:rsidRPr="002A5475">
        <w:rPr>
          <w:rFonts w:asciiTheme="majorBidi" w:hAnsiTheme="majorBidi" w:cstheme="majorBidi"/>
        </w:rPr>
        <w:tab/>
        <w:t xml:space="preserve">Chatterley. Chicago: University of Chicago Press, 1981. </w:t>
      </w:r>
    </w:p>
    <w:p w14:paraId="2886B2B1" w14:textId="77777777" w:rsidR="00676114" w:rsidRDefault="00D81D8D" w:rsidP="00676114">
      <w:pPr>
        <w:rPr>
          <w:rFonts w:asciiTheme="majorBidi" w:hAnsiTheme="majorBidi" w:cstheme="majorBidi"/>
          <w:color w:val="3A3A3A"/>
          <w:shd w:val="clear" w:color="auto" w:fill="FFFFFF"/>
        </w:rPr>
      </w:pPr>
      <w:r w:rsidRPr="002A5475">
        <w:rPr>
          <w:rFonts w:asciiTheme="majorBidi" w:hAnsiTheme="majorBidi" w:cstheme="majorBidi"/>
          <w:color w:val="3A3A3A"/>
          <w:shd w:val="clear" w:color="auto" w:fill="FFFFFF"/>
        </w:rPr>
        <w:t>Lindquist, Ruth, et al. </w:t>
      </w:r>
      <w:r w:rsidRPr="002A5475">
        <w:rPr>
          <w:rFonts w:asciiTheme="majorBidi" w:hAnsiTheme="majorBidi" w:cstheme="majorBidi"/>
          <w:i/>
          <w:iCs/>
          <w:color w:val="3A3A3A"/>
          <w:shd w:val="clear" w:color="auto" w:fill="FFFFFF"/>
        </w:rPr>
        <w:t>Complementary &amp; Alternative Therapies in Nursing</w:t>
      </w:r>
      <w:r w:rsidRPr="002A5475">
        <w:rPr>
          <w:rFonts w:asciiTheme="majorBidi" w:hAnsiTheme="majorBidi" w:cstheme="majorBidi"/>
          <w:color w:val="3A3A3A"/>
          <w:shd w:val="clear" w:color="auto" w:fill="FFFFFF"/>
        </w:rPr>
        <w:t>. 7</w:t>
      </w:r>
      <w:r w:rsidRPr="002A5475">
        <w:rPr>
          <w:rFonts w:asciiTheme="majorBidi" w:hAnsiTheme="majorBidi" w:cstheme="majorBidi"/>
          <w:color w:val="3A3A3A"/>
          <w:shd w:val="clear" w:color="auto" w:fill="FFFFFF"/>
          <w:vertAlign w:val="superscript"/>
        </w:rPr>
        <w:t>th</w:t>
      </w:r>
      <w:r w:rsidRPr="002A5475">
        <w:rPr>
          <w:rFonts w:asciiTheme="majorBidi" w:hAnsiTheme="majorBidi" w:cstheme="majorBidi"/>
          <w:color w:val="3A3A3A"/>
          <w:shd w:val="clear" w:color="auto" w:fill="FFFFFF"/>
        </w:rPr>
        <w:t xml:space="preserve"> ed. New York: </w:t>
      </w:r>
    </w:p>
    <w:p w14:paraId="2762493F" w14:textId="5E66CB00" w:rsidR="00D81D8D" w:rsidRPr="00676114" w:rsidRDefault="00D81D8D" w:rsidP="00676114">
      <w:pPr>
        <w:ind w:firstLine="720"/>
        <w:rPr>
          <w:rFonts w:asciiTheme="majorBidi" w:hAnsiTheme="majorBidi" w:cstheme="majorBidi"/>
          <w:color w:val="3A3A3A"/>
          <w:shd w:val="clear" w:color="auto" w:fill="FFFFFF"/>
        </w:rPr>
      </w:pPr>
      <w:r w:rsidRPr="002A5475">
        <w:rPr>
          <w:rFonts w:asciiTheme="majorBidi" w:hAnsiTheme="majorBidi" w:cstheme="majorBidi"/>
          <w:color w:val="3A3A3A"/>
          <w:shd w:val="clear" w:color="auto" w:fill="FFFFFF"/>
        </w:rPr>
        <w:t>Springer Publishing, 2014.</w:t>
      </w:r>
    </w:p>
    <w:p w14:paraId="11E2B4C4" w14:textId="5281F529" w:rsidR="0073481B" w:rsidRPr="002A5475" w:rsidRDefault="0073481B" w:rsidP="00676114">
      <w:pPr>
        <w:rPr>
          <w:rFonts w:asciiTheme="majorBidi" w:hAnsiTheme="majorBidi" w:cstheme="majorBidi"/>
        </w:rPr>
      </w:pPr>
      <w:bookmarkStart w:id="44" w:name="_Hlk97108978"/>
      <w:r w:rsidRPr="002A5475">
        <w:rPr>
          <w:rFonts w:asciiTheme="majorBidi" w:hAnsiTheme="majorBidi" w:cstheme="majorBidi"/>
        </w:rPr>
        <w:t xml:space="preserve">Linton, Simi. </w:t>
      </w:r>
      <w:r w:rsidRPr="002A5475">
        <w:rPr>
          <w:rFonts w:asciiTheme="majorBidi" w:hAnsiTheme="majorBidi" w:cstheme="majorBidi"/>
          <w:i/>
        </w:rPr>
        <w:t>Claiming Disability: Knowledge and Identity</w:t>
      </w:r>
      <w:r w:rsidRPr="002A5475">
        <w:rPr>
          <w:rFonts w:asciiTheme="majorBidi" w:hAnsiTheme="majorBidi" w:cstheme="majorBidi"/>
        </w:rPr>
        <w:t>. New York: New York UP, 1998.</w:t>
      </w:r>
    </w:p>
    <w:bookmarkEnd w:id="44"/>
    <w:p w14:paraId="17D09A9B" w14:textId="77777777" w:rsidR="00676114" w:rsidRDefault="00DD6896" w:rsidP="00676114">
      <w:pPr>
        <w:rPr>
          <w:rFonts w:asciiTheme="majorBidi" w:hAnsiTheme="majorBidi" w:cstheme="majorBidi"/>
        </w:rPr>
      </w:pPr>
      <w:r w:rsidRPr="002A5475">
        <w:rPr>
          <w:rFonts w:asciiTheme="majorBidi" w:hAnsiTheme="majorBidi" w:cstheme="majorBidi"/>
        </w:rPr>
        <w:t xml:space="preserve">Logan, Heidi. </w:t>
      </w:r>
      <w:r w:rsidRPr="002A5475">
        <w:rPr>
          <w:rFonts w:asciiTheme="majorBidi" w:hAnsiTheme="majorBidi" w:cstheme="majorBidi"/>
          <w:i/>
          <w:iCs/>
        </w:rPr>
        <w:t>Sensational Deviance: Disability in Nineteenth-Century Sensation Fiction</w:t>
      </w:r>
      <w:r w:rsidRPr="002A5475">
        <w:rPr>
          <w:rFonts w:asciiTheme="majorBidi" w:hAnsiTheme="majorBidi" w:cstheme="majorBidi"/>
        </w:rPr>
        <w:t xml:space="preserve">. New </w:t>
      </w:r>
    </w:p>
    <w:p w14:paraId="5F71558C" w14:textId="452782C5" w:rsidR="00DD6896" w:rsidRPr="002A5475" w:rsidRDefault="00DD6896" w:rsidP="00676114">
      <w:pPr>
        <w:ind w:firstLine="720"/>
        <w:rPr>
          <w:rFonts w:asciiTheme="majorBidi" w:hAnsiTheme="majorBidi" w:cstheme="majorBidi"/>
        </w:rPr>
      </w:pPr>
      <w:r w:rsidRPr="002A5475">
        <w:rPr>
          <w:rFonts w:asciiTheme="majorBidi" w:hAnsiTheme="majorBidi" w:cstheme="majorBidi"/>
        </w:rPr>
        <w:t>York: Routledge, 2019.</w:t>
      </w:r>
    </w:p>
    <w:p w14:paraId="413D7422" w14:textId="77777777" w:rsidR="0073481B" w:rsidRPr="002A5475" w:rsidRDefault="0073481B" w:rsidP="0073481B">
      <w:pPr>
        <w:rPr>
          <w:rFonts w:asciiTheme="majorBidi" w:hAnsiTheme="majorBidi" w:cstheme="majorBidi"/>
        </w:rPr>
      </w:pPr>
      <w:r w:rsidRPr="002A5475">
        <w:rPr>
          <w:rFonts w:asciiTheme="majorBidi" w:hAnsiTheme="majorBidi" w:cstheme="majorBidi"/>
        </w:rPr>
        <w:t xml:space="preserve">Lupton, Christina. “The Knowing Book: Authors, It-Narratives, and Objectification in the </w:t>
      </w:r>
    </w:p>
    <w:p w14:paraId="6D9D0747" w14:textId="4A964C75" w:rsidR="0073481B" w:rsidRPr="002A5475" w:rsidRDefault="0073481B" w:rsidP="00676114">
      <w:pPr>
        <w:ind w:firstLine="720"/>
        <w:rPr>
          <w:rFonts w:asciiTheme="majorBidi" w:hAnsiTheme="majorBidi" w:cstheme="majorBidi"/>
        </w:rPr>
      </w:pPr>
      <w:r w:rsidRPr="002A5475">
        <w:rPr>
          <w:rFonts w:asciiTheme="majorBidi" w:hAnsiTheme="majorBidi" w:cstheme="majorBidi"/>
        </w:rPr>
        <w:t xml:space="preserve">Eighteenth Century.” </w:t>
      </w:r>
      <w:r w:rsidRPr="002A5475">
        <w:rPr>
          <w:rFonts w:asciiTheme="majorBidi" w:hAnsiTheme="majorBidi" w:cstheme="majorBidi"/>
          <w:i/>
          <w:iCs/>
        </w:rPr>
        <w:t>NOVEL: A Forum on Fiction</w:t>
      </w:r>
      <w:r w:rsidRPr="002A5475">
        <w:rPr>
          <w:rFonts w:asciiTheme="majorBidi" w:hAnsiTheme="majorBidi" w:cstheme="majorBidi"/>
        </w:rPr>
        <w:t xml:space="preserve"> 39.3 (Summer 2006): 402-420.</w:t>
      </w:r>
    </w:p>
    <w:p w14:paraId="5E2ABEE9" w14:textId="77777777" w:rsidR="00676114" w:rsidRDefault="0073481B" w:rsidP="00676114">
      <w:pPr>
        <w:rPr>
          <w:rFonts w:asciiTheme="majorBidi" w:hAnsiTheme="majorBidi" w:cstheme="majorBidi"/>
        </w:rPr>
      </w:pPr>
      <w:r w:rsidRPr="002A5475">
        <w:rPr>
          <w:rFonts w:asciiTheme="majorBidi" w:hAnsiTheme="majorBidi" w:cstheme="majorBidi"/>
        </w:rPr>
        <w:t xml:space="preserve">Machann, Clinton. </w:t>
      </w:r>
      <w:r w:rsidRPr="002A5475">
        <w:rPr>
          <w:rFonts w:asciiTheme="majorBidi" w:hAnsiTheme="majorBidi" w:cstheme="majorBidi"/>
          <w:i/>
          <w:iCs/>
        </w:rPr>
        <w:t>The Genre of Autobiography in Victorian Literature</w:t>
      </w:r>
      <w:r w:rsidRPr="002A5475">
        <w:rPr>
          <w:rFonts w:asciiTheme="majorBidi" w:hAnsiTheme="majorBidi" w:cstheme="majorBidi"/>
        </w:rPr>
        <w:t xml:space="preserve">. Ann Arbor: University </w:t>
      </w:r>
    </w:p>
    <w:p w14:paraId="5A651F60" w14:textId="338DB378" w:rsidR="00FC6B66" w:rsidRPr="002A5475" w:rsidRDefault="0073481B" w:rsidP="00676114">
      <w:pPr>
        <w:ind w:firstLine="720"/>
        <w:rPr>
          <w:rFonts w:asciiTheme="majorBidi" w:hAnsiTheme="majorBidi" w:cstheme="majorBidi"/>
        </w:rPr>
      </w:pPr>
      <w:r w:rsidRPr="002A5475">
        <w:rPr>
          <w:rFonts w:asciiTheme="majorBidi" w:hAnsiTheme="majorBidi" w:cstheme="majorBidi"/>
        </w:rPr>
        <w:t>of Michigan Press, 1994.</w:t>
      </w:r>
    </w:p>
    <w:p w14:paraId="37B4CE50" w14:textId="77777777" w:rsidR="00676114" w:rsidRDefault="00FC6B66" w:rsidP="00676114">
      <w:pPr>
        <w:rPr>
          <w:rFonts w:asciiTheme="majorBidi" w:hAnsiTheme="majorBidi" w:cstheme="majorBidi"/>
        </w:rPr>
      </w:pPr>
      <w:r w:rsidRPr="002A5475">
        <w:rPr>
          <w:rFonts w:asciiTheme="majorBidi" w:hAnsiTheme="majorBidi" w:cstheme="majorBidi"/>
        </w:rPr>
        <w:t xml:space="preserve">Marcus, Laura. “Detection and Literary Fiction.” </w:t>
      </w:r>
      <w:r w:rsidRPr="002A5475">
        <w:rPr>
          <w:rFonts w:asciiTheme="majorBidi" w:hAnsiTheme="majorBidi" w:cstheme="majorBidi"/>
          <w:i/>
          <w:iCs/>
        </w:rPr>
        <w:t>The Cambridge Companion to Crime Fiction</w:t>
      </w:r>
      <w:r w:rsidRPr="002A5475">
        <w:rPr>
          <w:rFonts w:asciiTheme="majorBidi" w:hAnsiTheme="majorBidi" w:cstheme="majorBidi"/>
        </w:rPr>
        <w:t xml:space="preserve">. </w:t>
      </w:r>
    </w:p>
    <w:p w14:paraId="2A5FD62E" w14:textId="571E1267" w:rsidR="0073481B" w:rsidRPr="00676114" w:rsidRDefault="00FC6B66" w:rsidP="00676114">
      <w:pPr>
        <w:ind w:firstLine="720"/>
        <w:rPr>
          <w:rFonts w:asciiTheme="majorBidi" w:hAnsiTheme="majorBidi" w:cstheme="majorBidi"/>
          <w:i/>
          <w:iCs/>
        </w:rPr>
      </w:pPr>
      <w:r w:rsidRPr="002A5475">
        <w:rPr>
          <w:rFonts w:asciiTheme="majorBidi" w:hAnsiTheme="majorBidi" w:cstheme="majorBidi"/>
        </w:rPr>
        <w:t>Ed. Martin Priestman. Cambridge: Cambridge UP, 2003: 245–268.</w:t>
      </w:r>
      <w:r w:rsidR="0073481B" w:rsidRPr="002A5475">
        <w:rPr>
          <w:rFonts w:asciiTheme="majorBidi" w:hAnsiTheme="majorBidi" w:cstheme="majorBidi"/>
        </w:rPr>
        <w:t xml:space="preserve"> </w:t>
      </w:r>
    </w:p>
    <w:p w14:paraId="0F7A3E83" w14:textId="77777777" w:rsidR="00676114" w:rsidRDefault="008E743E" w:rsidP="00676114">
      <w:pPr>
        <w:rPr>
          <w:rFonts w:asciiTheme="majorBidi" w:hAnsiTheme="majorBidi" w:cstheme="majorBidi"/>
          <w:i/>
          <w:iCs/>
        </w:rPr>
      </w:pPr>
      <w:r w:rsidRPr="002A5475">
        <w:rPr>
          <w:rFonts w:asciiTheme="majorBidi" w:hAnsiTheme="majorBidi" w:cstheme="majorBidi"/>
        </w:rPr>
        <w:t xml:space="preserve">Marsh, Sarah. “Romantic Medicine, the British Constitution, and </w:t>
      </w:r>
      <w:r w:rsidRPr="002A5475">
        <w:rPr>
          <w:rFonts w:asciiTheme="majorBidi" w:hAnsiTheme="majorBidi" w:cstheme="majorBidi"/>
          <w:i/>
          <w:iCs/>
        </w:rPr>
        <w:t>Frankenstein</w:t>
      </w:r>
      <w:r w:rsidRPr="002A5475">
        <w:rPr>
          <w:rFonts w:asciiTheme="majorBidi" w:hAnsiTheme="majorBidi" w:cstheme="majorBidi"/>
        </w:rPr>
        <w:t xml:space="preserve">.” </w:t>
      </w:r>
      <w:r w:rsidRPr="002A5475">
        <w:rPr>
          <w:rFonts w:asciiTheme="majorBidi" w:hAnsiTheme="majorBidi" w:cstheme="majorBidi"/>
          <w:i/>
          <w:iCs/>
        </w:rPr>
        <w:t xml:space="preserve">Keats-Shelley </w:t>
      </w:r>
    </w:p>
    <w:p w14:paraId="272C9792" w14:textId="0CDCD8EA" w:rsidR="008E743E" w:rsidRPr="00676114" w:rsidRDefault="008E743E" w:rsidP="00676114">
      <w:pPr>
        <w:ind w:firstLine="720"/>
        <w:rPr>
          <w:rFonts w:asciiTheme="majorBidi" w:hAnsiTheme="majorBidi" w:cstheme="majorBidi"/>
          <w:i/>
          <w:iCs/>
        </w:rPr>
      </w:pPr>
      <w:r w:rsidRPr="002A5475">
        <w:rPr>
          <w:rFonts w:asciiTheme="majorBidi" w:hAnsiTheme="majorBidi" w:cstheme="majorBidi"/>
          <w:i/>
          <w:iCs/>
        </w:rPr>
        <w:t xml:space="preserve">Journal </w:t>
      </w:r>
      <w:r w:rsidRPr="002A5475">
        <w:rPr>
          <w:rFonts w:asciiTheme="majorBidi" w:hAnsiTheme="majorBidi" w:cstheme="majorBidi"/>
        </w:rPr>
        <w:t>64 (2015): 105–122.</w:t>
      </w:r>
    </w:p>
    <w:p w14:paraId="2611BF80" w14:textId="77777777" w:rsidR="00676114" w:rsidRDefault="00B31725" w:rsidP="00676114">
      <w:pPr>
        <w:rPr>
          <w:rFonts w:asciiTheme="majorBidi" w:hAnsiTheme="majorBidi" w:cstheme="majorBidi"/>
          <w:i/>
        </w:rPr>
      </w:pPr>
      <w:r w:rsidRPr="002A5475">
        <w:rPr>
          <w:rFonts w:asciiTheme="majorBidi" w:hAnsiTheme="majorBidi" w:cstheme="majorBidi"/>
        </w:rPr>
        <w:t xml:space="preserve">Mayer, Jed. “Ways of Reading Animals in Victorian Literature, Culture and Science.” </w:t>
      </w:r>
      <w:r w:rsidRPr="002A5475">
        <w:rPr>
          <w:rFonts w:asciiTheme="majorBidi" w:hAnsiTheme="majorBidi" w:cstheme="majorBidi"/>
          <w:i/>
        </w:rPr>
        <w:t xml:space="preserve">Literature </w:t>
      </w:r>
    </w:p>
    <w:p w14:paraId="4838E6C0" w14:textId="6966C147" w:rsidR="00B31725" w:rsidRPr="002A5475" w:rsidRDefault="00B31725" w:rsidP="00676114">
      <w:pPr>
        <w:ind w:firstLine="720"/>
        <w:rPr>
          <w:rFonts w:asciiTheme="majorBidi" w:hAnsiTheme="majorBidi" w:cstheme="majorBidi"/>
        </w:rPr>
      </w:pPr>
      <w:r w:rsidRPr="002A5475">
        <w:rPr>
          <w:rFonts w:asciiTheme="majorBidi" w:hAnsiTheme="majorBidi" w:cstheme="majorBidi"/>
          <w:i/>
        </w:rPr>
        <w:t>Compass</w:t>
      </w:r>
      <w:r w:rsidRPr="002A5475">
        <w:rPr>
          <w:rFonts w:asciiTheme="majorBidi" w:hAnsiTheme="majorBidi" w:cstheme="majorBidi"/>
        </w:rPr>
        <w:t xml:space="preserve"> 7.5 (2010): 347-57.</w:t>
      </w:r>
    </w:p>
    <w:p w14:paraId="5369FFC1" w14:textId="77777777" w:rsidR="00DA2B39" w:rsidRDefault="00B31725" w:rsidP="00DA2B39">
      <w:pPr>
        <w:rPr>
          <w:rFonts w:asciiTheme="majorBidi" w:hAnsiTheme="majorBidi" w:cstheme="majorBidi"/>
        </w:rPr>
      </w:pPr>
      <w:r w:rsidRPr="002A5475">
        <w:rPr>
          <w:rFonts w:asciiTheme="majorBidi" w:hAnsiTheme="majorBidi" w:cstheme="majorBidi"/>
        </w:rPr>
        <w:t xml:space="preserve">______ . “The Weird Ecologies of Mary Shelley’s </w:t>
      </w:r>
      <w:r w:rsidRPr="002A5475">
        <w:rPr>
          <w:rFonts w:asciiTheme="majorBidi" w:hAnsiTheme="majorBidi" w:cstheme="majorBidi"/>
          <w:i/>
          <w:iCs/>
        </w:rPr>
        <w:t>Frankenstein</w:t>
      </w:r>
      <w:r w:rsidRPr="002A5475">
        <w:rPr>
          <w:rFonts w:asciiTheme="majorBidi" w:hAnsiTheme="majorBidi" w:cstheme="majorBidi"/>
        </w:rPr>
        <w:t xml:space="preserve">.” </w:t>
      </w:r>
      <w:r w:rsidRPr="002A5475">
        <w:rPr>
          <w:rFonts w:asciiTheme="majorBidi" w:hAnsiTheme="majorBidi" w:cstheme="majorBidi"/>
          <w:i/>
          <w:iCs/>
        </w:rPr>
        <w:t>Science Fiction Studies</w:t>
      </w:r>
      <w:r w:rsidRPr="002A5475">
        <w:rPr>
          <w:rFonts w:asciiTheme="majorBidi" w:hAnsiTheme="majorBidi" w:cstheme="majorBidi"/>
        </w:rPr>
        <w:t xml:space="preserve"> 45.2 </w:t>
      </w:r>
    </w:p>
    <w:p w14:paraId="7A1FAB74" w14:textId="6C7158D6" w:rsidR="00B31725" w:rsidRPr="002A5475" w:rsidRDefault="00B31725" w:rsidP="00DA2B39">
      <w:pPr>
        <w:ind w:firstLine="720"/>
        <w:rPr>
          <w:rFonts w:asciiTheme="majorBidi" w:hAnsiTheme="majorBidi" w:cstheme="majorBidi"/>
        </w:rPr>
      </w:pPr>
      <w:r w:rsidRPr="002A5475">
        <w:rPr>
          <w:rFonts w:asciiTheme="majorBidi" w:hAnsiTheme="majorBidi" w:cstheme="majorBidi"/>
        </w:rPr>
        <w:t>(July 2018): 229-243.</w:t>
      </w:r>
    </w:p>
    <w:p w14:paraId="07364BA5" w14:textId="77777777" w:rsidR="00DA2B39" w:rsidRDefault="0073481B" w:rsidP="00DA2B39">
      <w:pPr>
        <w:rPr>
          <w:rFonts w:asciiTheme="majorBidi" w:hAnsiTheme="majorBidi" w:cstheme="majorBidi"/>
        </w:rPr>
      </w:pPr>
      <w:r w:rsidRPr="002A5475">
        <w:rPr>
          <w:rFonts w:asciiTheme="majorBidi" w:hAnsiTheme="majorBidi" w:cstheme="majorBidi"/>
        </w:rPr>
        <w:t xml:space="preserve">McRuer, Robert. </w:t>
      </w:r>
      <w:r w:rsidRPr="002A5475">
        <w:rPr>
          <w:rFonts w:asciiTheme="majorBidi" w:hAnsiTheme="majorBidi" w:cstheme="majorBidi"/>
          <w:i/>
        </w:rPr>
        <w:t>Crip Theory: Cultural Signs of Queerness and Disability</w:t>
      </w:r>
      <w:r w:rsidRPr="002A5475">
        <w:rPr>
          <w:rFonts w:asciiTheme="majorBidi" w:hAnsiTheme="majorBidi" w:cstheme="majorBidi"/>
        </w:rPr>
        <w:t xml:space="preserve">. New York: New </w:t>
      </w:r>
    </w:p>
    <w:p w14:paraId="7631CA30" w14:textId="2D96A4A0" w:rsidR="0073481B" w:rsidRPr="002A5475" w:rsidRDefault="0073481B" w:rsidP="00DA2B39">
      <w:pPr>
        <w:ind w:firstLine="720"/>
        <w:rPr>
          <w:rFonts w:asciiTheme="majorBidi" w:hAnsiTheme="majorBidi" w:cstheme="majorBidi"/>
        </w:rPr>
      </w:pPr>
      <w:r w:rsidRPr="002A5475">
        <w:rPr>
          <w:rFonts w:asciiTheme="majorBidi" w:hAnsiTheme="majorBidi" w:cstheme="majorBidi"/>
        </w:rPr>
        <w:t xml:space="preserve">York </w:t>
      </w:r>
      <w:r w:rsidR="00833C42">
        <w:rPr>
          <w:rFonts w:asciiTheme="majorBidi" w:hAnsiTheme="majorBidi" w:cstheme="majorBidi"/>
        </w:rPr>
        <w:t>UP</w:t>
      </w:r>
      <w:r w:rsidRPr="002A5475">
        <w:rPr>
          <w:rFonts w:asciiTheme="majorBidi" w:hAnsiTheme="majorBidi" w:cstheme="majorBidi"/>
        </w:rPr>
        <w:t xml:space="preserve">, 2006. </w:t>
      </w:r>
    </w:p>
    <w:p w14:paraId="78F6CE09" w14:textId="77777777" w:rsidR="00DA2B39" w:rsidRDefault="0073481B" w:rsidP="0073481B">
      <w:pPr>
        <w:rPr>
          <w:rFonts w:asciiTheme="majorBidi" w:hAnsiTheme="majorBidi" w:cstheme="majorBidi"/>
          <w:i/>
        </w:rPr>
      </w:pPr>
      <w:r w:rsidRPr="002A5475">
        <w:rPr>
          <w:rFonts w:asciiTheme="majorBidi" w:hAnsiTheme="majorBidi" w:cstheme="majorBidi"/>
        </w:rPr>
        <w:t>Mellor, Anne K. “</w:t>
      </w:r>
      <w:r w:rsidRPr="002A5475">
        <w:rPr>
          <w:rFonts w:asciiTheme="majorBidi" w:hAnsiTheme="majorBidi" w:cstheme="majorBidi"/>
          <w:i/>
        </w:rPr>
        <w:t>Frankenstein</w:t>
      </w:r>
      <w:r w:rsidRPr="002A5475">
        <w:rPr>
          <w:rFonts w:asciiTheme="majorBidi" w:hAnsiTheme="majorBidi" w:cstheme="majorBidi"/>
        </w:rPr>
        <w:t xml:space="preserve">: A Feminist Critique of Science.” </w:t>
      </w:r>
      <w:r w:rsidRPr="002A5475">
        <w:rPr>
          <w:rFonts w:asciiTheme="majorBidi" w:hAnsiTheme="majorBidi" w:cstheme="majorBidi"/>
          <w:i/>
        </w:rPr>
        <w:t>One Culture: Essays in</w:t>
      </w:r>
      <w:r w:rsidR="00DA2B39">
        <w:rPr>
          <w:rFonts w:asciiTheme="majorBidi" w:hAnsiTheme="majorBidi" w:cstheme="majorBidi"/>
          <w:i/>
        </w:rPr>
        <w:t xml:space="preserve"> </w:t>
      </w:r>
    </w:p>
    <w:p w14:paraId="73B11F0E" w14:textId="77777777" w:rsidR="00DA2B39" w:rsidRDefault="0073481B" w:rsidP="00DA2B39">
      <w:pPr>
        <w:ind w:firstLine="720"/>
        <w:rPr>
          <w:rFonts w:asciiTheme="majorBidi" w:hAnsiTheme="majorBidi" w:cstheme="majorBidi"/>
        </w:rPr>
      </w:pPr>
      <w:r w:rsidRPr="002A5475">
        <w:rPr>
          <w:rFonts w:asciiTheme="majorBidi" w:hAnsiTheme="majorBidi" w:cstheme="majorBidi"/>
          <w:i/>
        </w:rPr>
        <w:t>Science and Literature</w:t>
      </w:r>
      <w:r w:rsidRPr="002A5475">
        <w:rPr>
          <w:rFonts w:asciiTheme="majorBidi" w:hAnsiTheme="majorBidi" w:cstheme="majorBidi"/>
        </w:rPr>
        <w:t xml:space="preserve">. Ed George Levine. Madison: University of Wisconsin Press, </w:t>
      </w:r>
    </w:p>
    <w:p w14:paraId="6F267BA9" w14:textId="70D698CF" w:rsidR="0073481B" w:rsidRPr="002A5475" w:rsidRDefault="0073481B" w:rsidP="00DA2B39">
      <w:pPr>
        <w:ind w:left="720"/>
        <w:rPr>
          <w:rFonts w:asciiTheme="majorBidi" w:hAnsiTheme="majorBidi" w:cstheme="majorBidi"/>
        </w:rPr>
      </w:pPr>
      <w:r w:rsidRPr="002A5475">
        <w:rPr>
          <w:rFonts w:asciiTheme="majorBidi" w:hAnsiTheme="majorBidi" w:cstheme="majorBidi"/>
        </w:rPr>
        <w:t>1987. 287-312.</w:t>
      </w:r>
    </w:p>
    <w:p w14:paraId="2555B838" w14:textId="77777777" w:rsidR="00DA2B39" w:rsidRDefault="0073481B" w:rsidP="00DA2B39">
      <w:pPr>
        <w:rPr>
          <w:rFonts w:asciiTheme="majorBidi" w:hAnsiTheme="majorBidi" w:cstheme="majorBidi"/>
        </w:rPr>
      </w:pPr>
      <w:r w:rsidRPr="002A5475">
        <w:rPr>
          <w:rFonts w:asciiTheme="majorBidi" w:hAnsiTheme="majorBidi" w:cstheme="majorBidi"/>
        </w:rPr>
        <w:t>______. “</w:t>
      </w:r>
      <w:r w:rsidRPr="002A5475">
        <w:rPr>
          <w:rFonts w:asciiTheme="majorBidi" w:hAnsiTheme="majorBidi" w:cstheme="majorBidi"/>
          <w:i/>
        </w:rPr>
        <w:t>Frankenstein</w:t>
      </w:r>
      <w:r w:rsidRPr="002A5475">
        <w:rPr>
          <w:rFonts w:asciiTheme="majorBidi" w:hAnsiTheme="majorBidi" w:cstheme="majorBidi"/>
        </w:rPr>
        <w:t xml:space="preserve">, Racial Science, and the Yellow Peril.” </w:t>
      </w:r>
      <w:r w:rsidRPr="002A5475">
        <w:rPr>
          <w:rFonts w:asciiTheme="majorBidi" w:hAnsiTheme="majorBidi" w:cstheme="majorBidi"/>
          <w:i/>
        </w:rPr>
        <w:t>Nineteenth-Century Contexts</w:t>
      </w:r>
      <w:r w:rsidRPr="002A5475">
        <w:rPr>
          <w:rFonts w:asciiTheme="majorBidi" w:hAnsiTheme="majorBidi" w:cstheme="majorBidi"/>
        </w:rPr>
        <w:t xml:space="preserve"> 23.1 </w:t>
      </w:r>
    </w:p>
    <w:p w14:paraId="3262F5B6" w14:textId="63CC07D7" w:rsidR="0073481B" w:rsidRPr="002A5475" w:rsidRDefault="0073481B" w:rsidP="00DA2B39">
      <w:pPr>
        <w:ind w:firstLine="720"/>
        <w:rPr>
          <w:rFonts w:asciiTheme="majorBidi" w:hAnsiTheme="majorBidi" w:cstheme="majorBidi"/>
          <w:i/>
        </w:rPr>
      </w:pPr>
      <w:r w:rsidRPr="002A5475">
        <w:rPr>
          <w:rFonts w:asciiTheme="majorBidi" w:hAnsiTheme="majorBidi" w:cstheme="majorBidi"/>
        </w:rPr>
        <w:t>(2001): 1-28.</w:t>
      </w:r>
    </w:p>
    <w:p w14:paraId="576E6622" w14:textId="77777777" w:rsidR="00DA2B39" w:rsidRDefault="0073481B" w:rsidP="00DA2B39">
      <w:pPr>
        <w:rPr>
          <w:rFonts w:asciiTheme="majorBidi" w:hAnsiTheme="majorBidi" w:cstheme="majorBidi"/>
          <w:i/>
        </w:rPr>
      </w:pPr>
      <w:r w:rsidRPr="002A5475">
        <w:rPr>
          <w:rFonts w:asciiTheme="majorBidi" w:hAnsiTheme="majorBidi" w:cstheme="majorBidi"/>
        </w:rPr>
        <w:t xml:space="preserve">Merleau-Ponty, Maurice. “Eye and Mind.” Trans. Carleton Dallery. </w:t>
      </w:r>
      <w:r w:rsidRPr="002A5475">
        <w:rPr>
          <w:rFonts w:asciiTheme="majorBidi" w:hAnsiTheme="majorBidi" w:cstheme="majorBidi"/>
          <w:i/>
        </w:rPr>
        <w:t xml:space="preserve">The Primacy of Perception </w:t>
      </w:r>
    </w:p>
    <w:p w14:paraId="43EF341A" w14:textId="77777777" w:rsidR="00DA2B39" w:rsidRDefault="0073481B" w:rsidP="00DA2B39">
      <w:pPr>
        <w:ind w:firstLine="720"/>
        <w:rPr>
          <w:rFonts w:asciiTheme="majorBidi" w:hAnsiTheme="majorBidi" w:cstheme="majorBidi"/>
          <w:i/>
        </w:rPr>
      </w:pPr>
      <w:r w:rsidRPr="002A5475">
        <w:rPr>
          <w:rFonts w:asciiTheme="majorBidi" w:hAnsiTheme="majorBidi" w:cstheme="majorBidi"/>
          <w:i/>
        </w:rPr>
        <w:t xml:space="preserve">and Other Essays on Phenomenological Psychology, the Philosophy of Art, History and </w:t>
      </w:r>
    </w:p>
    <w:p w14:paraId="19790F93" w14:textId="4AAE9B44" w:rsidR="0073481B" w:rsidRPr="00DA2B39" w:rsidRDefault="0073481B" w:rsidP="00DA2B39">
      <w:pPr>
        <w:ind w:firstLine="720"/>
        <w:rPr>
          <w:rFonts w:asciiTheme="majorBidi" w:hAnsiTheme="majorBidi" w:cstheme="majorBidi"/>
          <w:i/>
        </w:rPr>
      </w:pPr>
      <w:r w:rsidRPr="002A5475">
        <w:rPr>
          <w:rFonts w:asciiTheme="majorBidi" w:hAnsiTheme="majorBidi" w:cstheme="majorBidi"/>
          <w:i/>
        </w:rPr>
        <w:t>Politics</w:t>
      </w:r>
      <w:r w:rsidRPr="002A5475">
        <w:rPr>
          <w:rFonts w:asciiTheme="majorBidi" w:hAnsiTheme="majorBidi" w:cstheme="majorBidi"/>
        </w:rPr>
        <w:t xml:space="preserve">. Eds. James M. Edie, et al. Evanston: Northwestern UP, 1964. </w:t>
      </w:r>
    </w:p>
    <w:p w14:paraId="5B6CEE54" w14:textId="77777777" w:rsidR="00DA2B39" w:rsidRDefault="0073481B" w:rsidP="00DA2B39">
      <w:pPr>
        <w:rPr>
          <w:rFonts w:asciiTheme="majorBidi" w:hAnsiTheme="majorBidi" w:cstheme="majorBidi"/>
          <w:i/>
        </w:rPr>
      </w:pPr>
      <w:r w:rsidRPr="002A5475">
        <w:rPr>
          <w:rFonts w:asciiTheme="majorBidi" w:hAnsiTheme="majorBidi" w:cstheme="majorBidi"/>
        </w:rPr>
        <w:t xml:space="preserve">Michie, Helena. “‘Who Is This in Pain?’: Scarring Disfigurement, and Female Identity in </w:t>
      </w:r>
      <w:r w:rsidRPr="002A5475">
        <w:rPr>
          <w:rFonts w:asciiTheme="majorBidi" w:hAnsiTheme="majorBidi" w:cstheme="majorBidi"/>
          <w:i/>
        </w:rPr>
        <w:t xml:space="preserve">Bleak </w:t>
      </w:r>
    </w:p>
    <w:p w14:paraId="545746AE" w14:textId="108863E4" w:rsidR="0073481B" w:rsidRPr="002A5475" w:rsidRDefault="0073481B" w:rsidP="00DA2B39">
      <w:pPr>
        <w:ind w:firstLine="720"/>
        <w:rPr>
          <w:rFonts w:asciiTheme="majorBidi" w:hAnsiTheme="majorBidi" w:cstheme="majorBidi"/>
        </w:rPr>
      </w:pPr>
      <w:r w:rsidRPr="002A5475">
        <w:rPr>
          <w:rFonts w:asciiTheme="majorBidi" w:hAnsiTheme="majorBidi" w:cstheme="majorBidi"/>
          <w:i/>
        </w:rPr>
        <w:t xml:space="preserve">House </w:t>
      </w:r>
      <w:r w:rsidRPr="002A5475">
        <w:rPr>
          <w:rFonts w:asciiTheme="majorBidi" w:hAnsiTheme="majorBidi" w:cstheme="majorBidi"/>
        </w:rPr>
        <w:t xml:space="preserve">and </w:t>
      </w:r>
      <w:r w:rsidRPr="002A5475">
        <w:rPr>
          <w:rFonts w:asciiTheme="majorBidi" w:hAnsiTheme="majorBidi" w:cstheme="majorBidi"/>
          <w:i/>
        </w:rPr>
        <w:t>Our Mutual Friend</w:t>
      </w:r>
      <w:r w:rsidRPr="002A5475">
        <w:rPr>
          <w:rFonts w:asciiTheme="majorBidi" w:hAnsiTheme="majorBidi" w:cstheme="majorBidi"/>
        </w:rPr>
        <w:t xml:space="preserve">.” </w:t>
      </w:r>
      <w:r w:rsidRPr="002A5475">
        <w:rPr>
          <w:rFonts w:asciiTheme="majorBidi" w:hAnsiTheme="majorBidi" w:cstheme="majorBidi"/>
          <w:i/>
        </w:rPr>
        <w:t>Novel</w:t>
      </w:r>
      <w:r w:rsidRPr="002A5475">
        <w:rPr>
          <w:rFonts w:asciiTheme="majorBidi" w:hAnsiTheme="majorBidi" w:cstheme="majorBidi"/>
        </w:rPr>
        <w:t xml:space="preserve"> 22 (1989): 199-212</w:t>
      </w:r>
      <w:r w:rsidR="008F65F8" w:rsidRPr="002A5475">
        <w:rPr>
          <w:rFonts w:asciiTheme="majorBidi" w:hAnsiTheme="majorBidi" w:cstheme="majorBidi"/>
        </w:rPr>
        <w:t>.</w:t>
      </w:r>
    </w:p>
    <w:p w14:paraId="72A77DA6" w14:textId="77777777" w:rsidR="008F65F8" w:rsidRPr="002A5475" w:rsidRDefault="008F65F8" w:rsidP="008F65F8">
      <w:pPr>
        <w:rPr>
          <w:rFonts w:asciiTheme="majorBidi" w:hAnsiTheme="majorBidi" w:cstheme="majorBidi"/>
          <w:color w:val="333333"/>
          <w:spacing w:val="2"/>
          <w:shd w:val="clear" w:color="auto" w:fill="FCFCFC"/>
        </w:rPr>
      </w:pPr>
      <w:r w:rsidRPr="002A5475">
        <w:rPr>
          <w:rFonts w:asciiTheme="majorBidi" w:hAnsiTheme="majorBidi" w:cstheme="majorBidi"/>
          <w:color w:val="333333"/>
          <w:spacing w:val="2"/>
          <w:shd w:val="clear" w:color="auto" w:fill="FCFCFC"/>
        </w:rPr>
        <w:t xml:space="preserve">Mihm, Stephen. “‘A Limb Which Shall Be Presentable in Polite Society’: Prosthetic </w:t>
      </w:r>
    </w:p>
    <w:p w14:paraId="793F73BD" w14:textId="77777777" w:rsidR="00DA2B39" w:rsidRDefault="008F65F8" w:rsidP="00DA2B39">
      <w:pPr>
        <w:ind w:firstLine="720"/>
        <w:rPr>
          <w:rStyle w:val="Emphasis"/>
          <w:rFonts w:asciiTheme="majorBidi" w:hAnsiTheme="majorBidi" w:cstheme="majorBidi"/>
          <w:color w:val="333333"/>
          <w:spacing w:val="2"/>
          <w:shd w:val="clear" w:color="auto" w:fill="FCFCFC"/>
        </w:rPr>
      </w:pPr>
      <w:r w:rsidRPr="002A5475">
        <w:rPr>
          <w:rFonts w:asciiTheme="majorBidi" w:hAnsiTheme="majorBidi" w:cstheme="majorBidi"/>
          <w:color w:val="333333"/>
          <w:spacing w:val="2"/>
          <w:shd w:val="clear" w:color="auto" w:fill="FCFCFC"/>
        </w:rPr>
        <w:t>Technologies in the Nineteenth Century.” </w:t>
      </w:r>
      <w:r w:rsidRPr="002A5475">
        <w:rPr>
          <w:rStyle w:val="Emphasis"/>
          <w:rFonts w:asciiTheme="majorBidi" w:hAnsiTheme="majorBidi" w:cstheme="majorBidi"/>
          <w:color w:val="333333"/>
          <w:spacing w:val="2"/>
          <w:shd w:val="clear" w:color="auto" w:fill="FCFCFC"/>
        </w:rPr>
        <w:t xml:space="preserve">Artificial Parts, Practical Lives: Modern </w:t>
      </w:r>
    </w:p>
    <w:p w14:paraId="7EAE35BA" w14:textId="77777777" w:rsidR="00DA2B39" w:rsidRDefault="008F65F8" w:rsidP="00DA2B39">
      <w:pPr>
        <w:ind w:firstLine="720"/>
        <w:rPr>
          <w:rFonts w:asciiTheme="majorBidi" w:hAnsiTheme="majorBidi" w:cstheme="majorBidi"/>
          <w:color w:val="333333"/>
          <w:spacing w:val="2"/>
          <w:shd w:val="clear" w:color="auto" w:fill="FCFCFC"/>
        </w:rPr>
      </w:pPr>
      <w:r w:rsidRPr="002A5475">
        <w:rPr>
          <w:rStyle w:val="Emphasis"/>
          <w:rFonts w:asciiTheme="majorBidi" w:hAnsiTheme="majorBidi" w:cstheme="majorBidi"/>
          <w:color w:val="333333"/>
          <w:spacing w:val="2"/>
          <w:shd w:val="clear" w:color="auto" w:fill="FCFCFC"/>
        </w:rPr>
        <w:t>Histories of Prosthetics</w:t>
      </w:r>
      <w:r w:rsidRPr="002A5475">
        <w:rPr>
          <w:rFonts w:asciiTheme="majorBidi" w:hAnsiTheme="majorBidi" w:cstheme="majorBidi"/>
          <w:color w:val="333333"/>
          <w:spacing w:val="2"/>
          <w:shd w:val="clear" w:color="auto" w:fill="FCFCFC"/>
        </w:rPr>
        <w:t xml:space="preserve">. Eds. Katherine Ott, David Serlin, and Stephen Mihm. New </w:t>
      </w:r>
    </w:p>
    <w:p w14:paraId="3121A443" w14:textId="299B96F4" w:rsidR="008F65F8" w:rsidRPr="002A5475" w:rsidRDefault="008F65F8" w:rsidP="00DA2B39">
      <w:pPr>
        <w:ind w:firstLine="720"/>
        <w:rPr>
          <w:rFonts w:asciiTheme="majorBidi" w:hAnsiTheme="majorBidi" w:cstheme="majorBidi"/>
          <w:i/>
          <w:iCs/>
          <w:color w:val="333333"/>
          <w:spacing w:val="2"/>
          <w:shd w:val="clear" w:color="auto" w:fill="FCFCFC"/>
        </w:rPr>
      </w:pPr>
      <w:r w:rsidRPr="002A5475">
        <w:rPr>
          <w:rFonts w:asciiTheme="majorBidi" w:hAnsiTheme="majorBidi" w:cstheme="majorBidi"/>
          <w:color w:val="333333"/>
          <w:spacing w:val="2"/>
          <w:shd w:val="clear" w:color="auto" w:fill="FCFCFC"/>
        </w:rPr>
        <w:t>York: New York UP, 2002</w:t>
      </w:r>
      <w:r w:rsidR="00DA2B39">
        <w:rPr>
          <w:rFonts w:asciiTheme="majorBidi" w:hAnsiTheme="majorBidi" w:cstheme="majorBidi"/>
          <w:color w:val="333333"/>
          <w:spacing w:val="2"/>
          <w:shd w:val="clear" w:color="auto" w:fill="FCFCFC"/>
        </w:rPr>
        <w:t>.</w:t>
      </w:r>
      <w:r w:rsidRPr="002A5475">
        <w:rPr>
          <w:rFonts w:asciiTheme="majorBidi" w:hAnsiTheme="majorBidi" w:cstheme="majorBidi"/>
          <w:color w:val="333333"/>
          <w:spacing w:val="2"/>
          <w:shd w:val="clear" w:color="auto" w:fill="FCFCFC"/>
        </w:rPr>
        <w:t xml:space="preserve"> 282-299.</w:t>
      </w:r>
    </w:p>
    <w:p w14:paraId="333F579B" w14:textId="77777777" w:rsidR="0073481B" w:rsidRPr="002A5475" w:rsidRDefault="0073481B" w:rsidP="0073481B">
      <w:pPr>
        <w:rPr>
          <w:rFonts w:asciiTheme="majorBidi" w:hAnsiTheme="majorBidi" w:cstheme="majorBidi"/>
        </w:rPr>
      </w:pPr>
      <w:r w:rsidRPr="002A5475">
        <w:rPr>
          <w:rFonts w:asciiTheme="majorBidi" w:hAnsiTheme="majorBidi" w:cstheme="majorBidi"/>
        </w:rPr>
        <w:t xml:space="preserve">Miller, Daniel. </w:t>
      </w:r>
      <w:r w:rsidRPr="002A5475">
        <w:rPr>
          <w:rFonts w:asciiTheme="majorBidi" w:hAnsiTheme="majorBidi" w:cstheme="majorBidi"/>
          <w:i/>
          <w:iCs/>
        </w:rPr>
        <w:t>Material Culture and Mass Consumption</w:t>
      </w:r>
      <w:r w:rsidRPr="002A5475">
        <w:rPr>
          <w:rFonts w:asciiTheme="majorBidi" w:hAnsiTheme="majorBidi" w:cstheme="majorBidi"/>
        </w:rPr>
        <w:t xml:space="preserve">. New York: Blackwell, 1987. </w:t>
      </w:r>
    </w:p>
    <w:p w14:paraId="20109959" w14:textId="77777777" w:rsidR="0073481B" w:rsidRPr="002A5475" w:rsidRDefault="0073481B" w:rsidP="0073481B">
      <w:pPr>
        <w:rPr>
          <w:rFonts w:asciiTheme="majorBidi" w:hAnsiTheme="majorBidi" w:cstheme="majorBidi"/>
        </w:rPr>
      </w:pPr>
      <w:r w:rsidRPr="002A5475">
        <w:rPr>
          <w:rFonts w:asciiTheme="majorBidi" w:hAnsiTheme="majorBidi" w:cstheme="majorBidi"/>
        </w:rPr>
        <w:t xml:space="preserve">Mitchell, David T., and Sharon L. Snyder. </w:t>
      </w:r>
      <w:r w:rsidRPr="002A5475">
        <w:rPr>
          <w:rFonts w:asciiTheme="majorBidi" w:hAnsiTheme="majorBidi" w:cstheme="majorBidi"/>
          <w:i/>
        </w:rPr>
        <w:t xml:space="preserve">Narrative Prosthesis: Disability and the </w:t>
      </w:r>
      <w:r w:rsidRPr="002A5475">
        <w:rPr>
          <w:rFonts w:asciiTheme="majorBidi" w:hAnsiTheme="majorBidi" w:cstheme="majorBidi"/>
          <w:i/>
        </w:rPr>
        <w:tab/>
        <w:t>Dependencies of Discourse</w:t>
      </w:r>
      <w:r w:rsidRPr="002A5475">
        <w:rPr>
          <w:rFonts w:asciiTheme="majorBidi" w:hAnsiTheme="majorBidi" w:cstheme="majorBidi"/>
        </w:rPr>
        <w:t>. Ann Arbor: University of Michigan Press, 2000.</w:t>
      </w:r>
    </w:p>
    <w:p w14:paraId="1B570339" w14:textId="38243667" w:rsidR="00D323FD" w:rsidRPr="002A5475" w:rsidRDefault="00D323FD" w:rsidP="00D323FD">
      <w:pPr>
        <w:rPr>
          <w:rFonts w:asciiTheme="majorBidi" w:hAnsiTheme="majorBidi" w:cstheme="majorBidi"/>
        </w:rPr>
      </w:pPr>
      <w:r w:rsidRPr="002A5475">
        <w:rPr>
          <w:rFonts w:asciiTheme="majorBidi" w:hAnsiTheme="majorBidi" w:cstheme="majorBidi"/>
          <w:shd w:val="clear" w:color="auto" w:fill="FFFFFF"/>
        </w:rPr>
        <w:t>Morley, Simon. </w:t>
      </w:r>
      <w:r w:rsidRPr="002A5475">
        <w:rPr>
          <w:rFonts w:asciiTheme="majorBidi" w:hAnsiTheme="majorBidi" w:cstheme="majorBidi"/>
          <w:i/>
          <w:iCs/>
          <w:shd w:val="clear" w:color="auto" w:fill="FFFFFF"/>
        </w:rPr>
        <w:t>The Sublime</w:t>
      </w:r>
      <w:r w:rsidRPr="002A5475">
        <w:rPr>
          <w:rFonts w:asciiTheme="majorBidi" w:hAnsiTheme="majorBidi" w:cstheme="majorBidi"/>
          <w:shd w:val="clear" w:color="auto" w:fill="FFFFFF"/>
        </w:rPr>
        <w:t>. Cambridge: MIT Press, 2010.</w:t>
      </w:r>
    </w:p>
    <w:p w14:paraId="658CC186" w14:textId="77777777" w:rsidR="0073481B" w:rsidRPr="002A5475" w:rsidRDefault="0073481B" w:rsidP="0073481B">
      <w:pPr>
        <w:rPr>
          <w:rFonts w:asciiTheme="majorBidi" w:hAnsiTheme="majorBidi" w:cstheme="majorBidi"/>
        </w:rPr>
      </w:pPr>
      <w:r w:rsidRPr="002A5475">
        <w:rPr>
          <w:rFonts w:asciiTheme="majorBidi" w:hAnsiTheme="majorBidi" w:cstheme="majorBidi"/>
        </w:rPr>
        <w:t xml:space="preserve">Morton, Timothy. </w:t>
      </w:r>
      <w:r w:rsidRPr="002A5475">
        <w:rPr>
          <w:rFonts w:asciiTheme="majorBidi" w:hAnsiTheme="majorBidi" w:cstheme="majorBidi"/>
          <w:i/>
        </w:rPr>
        <w:t>Hyperobjects: Philosophy and Ecology After the End of the World</w:t>
      </w:r>
      <w:r w:rsidRPr="002A5475">
        <w:rPr>
          <w:rFonts w:asciiTheme="majorBidi" w:hAnsiTheme="majorBidi" w:cstheme="majorBidi"/>
        </w:rPr>
        <w:t xml:space="preserve">. </w:t>
      </w:r>
      <w:r w:rsidRPr="002A5475">
        <w:rPr>
          <w:rFonts w:asciiTheme="majorBidi" w:hAnsiTheme="majorBidi" w:cstheme="majorBidi"/>
        </w:rPr>
        <w:tab/>
        <w:t>Minneapolis: University of Minnesota Press, 2013.</w:t>
      </w:r>
    </w:p>
    <w:p w14:paraId="63E92C56" w14:textId="56DDAA1E" w:rsidR="0073481B" w:rsidRPr="002A5475" w:rsidRDefault="0073481B" w:rsidP="00DA2B39">
      <w:pPr>
        <w:rPr>
          <w:rFonts w:asciiTheme="majorBidi" w:hAnsiTheme="majorBidi" w:cstheme="majorBidi"/>
        </w:rPr>
      </w:pPr>
      <w:r w:rsidRPr="002A5475">
        <w:rPr>
          <w:rFonts w:asciiTheme="majorBidi" w:hAnsiTheme="majorBidi" w:cstheme="majorBidi"/>
        </w:rPr>
        <w:t xml:space="preserve">______. </w:t>
      </w:r>
      <w:r w:rsidRPr="002A5475">
        <w:rPr>
          <w:rFonts w:asciiTheme="majorBidi" w:hAnsiTheme="majorBidi" w:cstheme="majorBidi"/>
          <w:i/>
        </w:rPr>
        <w:t>Realist Magic: Objects, Ontology, Causality</w:t>
      </w:r>
      <w:r w:rsidRPr="002A5475">
        <w:rPr>
          <w:rFonts w:asciiTheme="majorBidi" w:hAnsiTheme="majorBidi" w:cstheme="majorBidi"/>
        </w:rPr>
        <w:t>. Ann Arbor: Open Humanities, 2013.</w:t>
      </w:r>
    </w:p>
    <w:p w14:paraId="2EA9D0CC" w14:textId="77777777" w:rsidR="00DA2B39" w:rsidRDefault="0073481B" w:rsidP="00DA2B39">
      <w:pPr>
        <w:rPr>
          <w:rFonts w:asciiTheme="majorBidi" w:hAnsiTheme="majorBidi" w:cstheme="majorBidi"/>
        </w:rPr>
      </w:pPr>
      <w:r w:rsidRPr="002A5475">
        <w:rPr>
          <w:rFonts w:asciiTheme="majorBidi" w:hAnsiTheme="majorBidi" w:cstheme="majorBidi"/>
        </w:rPr>
        <w:t xml:space="preserve">______. </w:t>
      </w:r>
      <w:r w:rsidRPr="002A5475">
        <w:rPr>
          <w:rFonts w:asciiTheme="majorBidi" w:hAnsiTheme="majorBidi" w:cstheme="majorBidi"/>
          <w:i/>
        </w:rPr>
        <w:t>Shelley and the Revolution in Taste: The Body and the Natural World</w:t>
      </w:r>
      <w:r w:rsidRPr="002A5475">
        <w:rPr>
          <w:rFonts w:asciiTheme="majorBidi" w:hAnsiTheme="majorBidi" w:cstheme="majorBidi"/>
        </w:rPr>
        <w:t xml:space="preserve">. New York: </w:t>
      </w:r>
    </w:p>
    <w:p w14:paraId="0356C659" w14:textId="3332606C" w:rsidR="0073481B" w:rsidRPr="002A5475" w:rsidRDefault="0073481B" w:rsidP="00DA2B39">
      <w:pPr>
        <w:ind w:firstLine="720"/>
        <w:rPr>
          <w:rFonts w:asciiTheme="majorBidi" w:hAnsiTheme="majorBidi" w:cstheme="majorBidi"/>
        </w:rPr>
      </w:pPr>
      <w:r w:rsidRPr="002A5475">
        <w:rPr>
          <w:rFonts w:asciiTheme="majorBidi" w:hAnsiTheme="majorBidi" w:cstheme="majorBidi"/>
        </w:rPr>
        <w:t xml:space="preserve">Cambridge UP, 1994. </w:t>
      </w:r>
    </w:p>
    <w:p w14:paraId="4FA91F46" w14:textId="77777777" w:rsidR="00DA2B39" w:rsidRDefault="0073481B" w:rsidP="00DA2B39">
      <w:pPr>
        <w:rPr>
          <w:rFonts w:asciiTheme="majorBidi" w:hAnsiTheme="majorBidi" w:cstheme="majorBidi"/>
        </w:rPr>
      </w:pPr>
      <w:r w:rsidRPr="002A5475">
        <w:rPr>
          <w:rFonts w:asciiTheme="majorBidi" w:hAnsiTheme="majorBidi" w:cstheme="majorBidi"/>
        </w:rPr>
        <w:t xml:space="preserve">Mossman, Mark and Martha Stoddard Holmes. “Critical Transformations: Disability and the </w:t>
      </w:r>
    </w:p>
    <w:p w14:paraId="3C66090F" w14:textId="77777777" w:rsidR="00DA2B39" w:rsidRDefault="0073481B" w:rsidP="00DA2B39">
      <w:pPr>
        <w:ind w:firstLine="720"/>
        <w:rPr>
          <w:rFonts w:asciiTheme="majorBidi" w:hAnsiTheme="majorBidi" w:cstheme="majorBidi"/>
        </w:rPr>
      </w:pPr>
      <w:r w:rsidRPr="002A5475">
        <w:rPr>
          <w:rFonts w:asciiTheme="majorBidi" w:hAnsiTheme="majorBidi" w:cstheme="majorBidi"/>
        </w:rPr>
        <w:t xml:space="preserve">Body in Nineteenth-Century Britain.” </w:t>
      </w:r>
      <w:r w:rsidRPr="002A5475">
        <w:rPr>
          <w:rFonts w:asciiTheme="majorBidi" w:hAnsiTheme="majorBidi" w:cstheme="majorBidi"/>
          <w:i/>
        </w:rPr>
        <w:t>Nineteenth-Century Gender Studies</w:t>
      </w:r>
      <w:r w:rsidRPr="002A5475">
        <w:rPr>
          <w:rFonts w:asciiTheme="majorBidi" w:hAnsiTheme="majorBidi" w:cstheme="majorBidi"/>
        </w:rPr>
        <w:t xml:space="preserve"> 4.2 (Summer </w:t>
      </w:r>
    </w:p>
    <w:p w14:paraId="3303F569" w14:textId="745001E8" w:rsidR="0073481B" w:rsidRPr="002A5475" w:rsidRDefault="0073481B" w:rsidP="00DA2B39">
      <w:pPr>
        <w:ind w:left="720"/>
        <w:rPr>
          <w:rFonts w:asciiTheme="majorBidi" w:hAnsiTheme="majorBidi" w:cstheme="majorBidi"/>
        </w:rPr>
      </w:pPr>
      <w:r w:rsidRPr="002A5475">
        <w:rPr>
          <w:rFonts w:asciiTheme="majorBidi" w:hAnsiTheme="majorBidi" w:cstheme="majorBidi"/>
        </w:rPr>
        <w:lastRenderedPageBreak/>
        <w:t>2008).</w:t>
      </w:r>
    </w:p>
    <w:p w14:paraId="72A10ACF" w14:textId="77777777" w:rsidR="00DA2B39" w:rsidRDefault="0073481B" w:rsidP="00DA2B39">
      <w:pPr>
        <w:rPr>
          <w:rFonts w:asciiTheme="majorBidi" w:hAnsiTheme="majorBidi" w:cstheme="majorBidi"/>
          <w:color w:val="000000" w:themeColor="text1"/>
          <w:shd w:val="clear" w:color="auto" w:fill="FFFFFF"/>
        </w:rPr>
      </w:pPr>
      <w:r w:rsidRPr="002A5475">
        <w:rPr>
          <w:rFonts w:asciiTheme="majorBidi" w:hAnsiTheme="majorBidi" w:cstheme="majorBidi"/>
        </w:rPr>
        <w:t>Mossman, Mark.</w:t>
      </w:r>
      <w:r w:rsidR="00833C42">
        <w:rPr>
          <w:rFonts w:asciiTheme="majorBidi" w:hAnsiTheme="majorBidi" w:cstheme="majorBidi"/>
        </w:rPr>
        <w:t xml:space="preserve"> </w:t>
      </w:r>
      <w:r w:rsidR="00833C42" w:rsidRPr="002A5475">
        <w:rPr>
          <w:rFonts w:asciiTheme="majorBidi" w:hAnsiTheme="majorBidi" w:cstheme="majorBidi"/>
          <w:color w:val="000000" w:themeColor="text1"/>
          <w:shd w:val="clear" w:color="auto" w:fill="FFFFFF"/>
        </w:rPr>
        <w:t xml:space="preserve">“Acts of Becoming: Autobiography, </w:t>
      </w:r>
      <w:r w:rsidR="00833C42" w:rsidRPr="002A5475">
        <w:rPr>
          <w:rFonts w:asciiTheme="majorBidi" w:hAnsiTheme="majorBidi" w:cstheme="majorBidi"/>
          <w:i/>
          <w:iCs/>
          <w:color w:val="000000" w:themeColor="text1"/>
          <w:shd w:val="clear" w:color="auto" w:fill="FFFFFF"/>
        </w:rPr>
        <w:t>Frankenstein</w:t>
      </w:r>
      <w:r w:rsidR="00833C42" w:rsidRPr="002A5475">
        <w:rPr>
          <w:rFonts w:asciiTheme="majorBidi" w:hAnsiTheme="majorBidi" w:cstheme="majorBidi"/>
          <w:color w:val="000000" w:themeColor="text1"/>
          <w:shd w:val="clear" w:color="auto" w:fill="FFFFFF"/>
        </w:rPr>
        <w:t xml:space="preserve">, and the Postmodern Body.” </w:t>
      </w:r>
    </w:p>
    <w:p w14:paraId="2F47254F" w14:textId="22996AC0" w:rsidR="00833C42" w:rsidRPr="002A5475" w:rsidRDefault="00833C42" w:rsidP="00DA2B39">
      <w:pPr>
        <w:ind w:firstLine="720"/>
        <w:rPr>
          <w:rFonts w:asciiTheme="majorBidi" w:hAnsiTheme="majorBidi" w:cstheme="majorBidi"/>
          <w:color w:val="000000" w:themeColor="text1"/>
          <w:shd w:val="clear" w:color="auto" w:fill="FFFFFF"/>
        </w:rPr>
      </w:pPr>
      <w:r w:rsidRPr="002A5475">
        <w:rPr>
          <w:rFonts w:asciiTheme="majorBidi" w:hAnsiTheme="majorBidi" w:cstheme="majorBidi"/>
          <w:i/>
          <w:iCs/>
          <w:color w:val="000000" w:themeColor="text1"/>
          <w:shd w:val="clear" w:color="auto" w:fill="FFFFFF"/>
        </w:rPr>
        <w:t>Postmodern Culture</w:t>
      </w:r>
      <w:r w:rsidRPr="002A5475">
        <w:rPr>
          <w:rFonts w:asciiTheme="majorBidi" w:hAnsiTheme="majorBidi" w:cstheme="majorBidi"/>
          <w:color w:val="000000" w:themeColor="text1"/>
          <w:shd w:val="clear" w:color="auto" w:fill="FFFFFF"/>
        </w:rPr>
        <w:t xml:space="preserve"> 11.3 (May 2001).</w:t>
      </w:r>
    </w:p>
    <w:p w14:paraId="4E6C5DA6" w14:textId="77777777" w:rsidR="00DA2B39" w:rsidRDefault="00833C42" w:rsidP="00DA2B39">
      <w:pPr>
        <w:rPr>
          <w:rFonts w:asciiTheme="majorBidi" w:hAnsiTheme="majorBidi" w:cstheme="majorBidi"/>
          <w:i/>
        </w:rPr>
      </w:pPr>
      <w:r w:rsidRPr="002A5475">
        <w:rPr>
          <w:rFonts w:asciiTheme="majorBidi" w:hAnsiTheme="majorBidi" w:cstheme="majorBidi"/>
        </w:rPr>
        <w:t xml:space="preserve">______. “Representations of the Abnormal Body in </w:t>
      </w:r>
      <w:r w:rsidRPr="002A5475">
        <w:rPr>
          <w:rFonts w:asciiTheme="majorBidi" w:hAnsiTheme="majorBidi" w:cstheme="majorBidi"/>
          <w:i/>
        </w:rPr>
        <w:t>The Moonstone</w:t>
      </w:r>
      <w:r w:rsidRPr="002A5475">
        <w:rPr>
          <w:rFonts w:asciiTheme="majorBidi" w:hAnsiTheme="majorBidi" w:cstheme="majorBidi"/>
        </w:rPr>
        <w:t xml:space="preserve">.” </w:t>
      </w:r>
      <w:r w:rsidRPr="002A5475">
        <w:rPr>
          <w:rFonts w:asciiTheme="majorBidi" w:hAnsiTheme="majorBidi" w:cstheme="majorBidi"/>
          <w:i/>
        </w:rPr>
        <w:t xml:space="preserve">Victorian Literature and </w:t>
      </w:r>
    </w:p>
    <w:p w14:paraId="548AFBE3" w14:textId="5B2FA8D2" w:rsidR="0073481B" w:rsidRPr="00DA2B39" w:rsidRDefault="00833C42" w:rsidP="00DA2B39">
      <w:pPr>
        <w:ind w:firstLine="720"/>
        <w:rPr>
          <w:rFonts w:asciiTheme="majorBidi" w:hAnsiTheme="majorBidi" w:cstheme="majorBidi"/>
          <w:i/>
        </w:rPr>
      </w:pPr>
      <w:r w:rsidRPr="002A5475">
        <w:rPr>
          <w:rFonts w:asciiTheme="majorBidi" w:hAnsiTheme="majorBidi" w:cstheme="majorBidi"/>
          <w:i/>
        </w:rPr>
        <w:t>Culture</w:t>
      </w:r>
      <w:r w:rsidRPr="002A5475">
        <w:rPr>
          <w:rFonts w:asciiTheme="majorBidi" w:hAnsiTheme="majorBidi" w:cstheme="majorBidi"/>
        </w:rPr>
        <w:t xml:space="preserve"> 37.2 (2009): 483-500.</w:t>
      </w:r>
    </w:p>
    <w:p w14:paraId="74EA7FC6" w14:textId="77777777" w:rsidR="00DA2B39" w:rsidRDefault="00752237" w:rsidP="00DA2B39">
      <w:pPr>
        <w:rPr>
          <w:rFonts w:asciiTheme="majorBidi" w:hAnsiTheme="majorBidi" w:cstheme="majorBidi"/>
          <w:spacing w:val="2"/>
        </w:rPr>
      </w:pPr>
      <w:r w:rsidRPr="002A5475">
        <w:rPr>
          <w:rFonts w:asciiTheme="majorBidi" w:hAnsiTheme="majorBidi" w:cstheme="majorBidi"/>
          <w:spacing w:val="2"/>
        </w:rPr>
        <w:t xml:space="preserve">Murray, </w:t>
      </w:r>
      <w:r w:rsidRPr="002A5475">
        <w:rPr>
          <w:rFonts w:asciiTheme="majorBidi" w:hAnsiTheme="majorBidi" w:cstheme="majorBidi"/>
        </w:rPr>
        <w:t>Stuart.</w:t>
      </w:r>
      <w:r w:rsidRPr="002A5475">
        <w:rPr>
          <w:rFonts w:asciiTheme="majorBidi" w:hAnsiTheme="majorBidi" w:cstheme="majorBidi"/>
          <w:spacing w:val="2"/>
        </w:rPr>
        <w:t xml:space="preserve"> </w:t>
      </w:r>
      <w:r w:rsidRPr="002A5475">
        <w:rPr>
          <w:rFonts w:asciiTheme="majorBidi" w:hAnsiTheme="majorBidi" w:cstheme="majorBidi"/>
          <w:i/>
          <w:spacing w:val="2"/>
        </w:rPr>
        <w:t>Representing Autism: Culture, Narrative, Fascination</w:t>
      </w:r>
      <w:r w:rsidRPr="002A5475">
        <w:rPr>
          <w:rFonts w:asciiTheme="majorBidi" w:hAnsiTheme="majorBidi" w:cstheme="majorBidi"/>
          <w:spacing w:val="2"/>
        </w:rPr>
        <w:t xml:space="preserve">. Liverpool: Liverpool </w:t>
      </w:r>
    </w:p>
    <w:p w14:paraId="5410091E" w14:textId="09FE1EA6" w:rsidR="00752237" w:rsidRPr="002A5475" w:rsidRDefault="00752237" w:rsidP="00DA2B39">
      <w:pPr>
        <w:ind w:firstLine="720"/>
        <w:rPr>
          <w:rFonts w:asciiTheme="majorBidi" w:hAnsiTheme="majorBidi" w:cstheme="majorBidi"/>
          <w:spacing w:val="2"/>
        </w:rPr>
      </w:pPr>
      <w:r w:rsidRPr="002A5475">
        <w:rPr>
          <w:rFonts w:asciiTheme="majorBidi" w:hAnsiTheme="majorBidi" w:cstheme="majorBidi"/>
          <w:spacing w:val="2"/>
        </w:rPr>
        <w:t xml:space="preserve">UP, </w:t>
      </w:r>
      <w:r w:rsidRPr="002A5475">
        <w:rPr>
          <w:rFonts w:asciiTheme="majorBidi" w:hAnsiTheme="majorBidi" w:cstheme="majorBidi"/>
        </w:rPr>
        <w:t>2008.</w:t>
      </w:r>
    </w:p>
    <w:p w14:paraId="72EE06B5" w14:textId="77777777" w:rsidR="0073481B" w:rsidRPr="002A5475" w:rsidRDefault="0073481B" w:rsidP="0073481B">
      <w:pPr>
        <w:rPr>
          <w:rFonts w:asciiTheme="majorBidi" w:hAnsiTheme="majorBidi" w:cstheme="majorBidi"/>
          <w:i/>
          <w:iCs/>
          <w:color w:val="000000" w:themeColor="text1"/>
          <w:shd w:val="clear" w:color="auto" w:fill="FFFFFF"/>
        </w:rPr>
      </w:pPr>
      <w:r w:rsidRPr="002A5475">
        <w:rPr>
          <w:rFonts w:asciiTheme="majorBidi" w:hAnsiTheme="majorBidi" w:cstheme="majorBidi"/>
          <w:color w:val="000000" w:themeColor="text1"/>
          <w:shd w:val="clear" w:color="auto" w:fill="FFFFFF"/>
        </w:rPr>
        <w:t xml:space="preserve">Nardin, Jane. </w:t>
      </w:r>
      <w:r w:rsidRPr="002A5475">
        <w:rPr>
          <w:rFonts w:asciiTheme="majorBidi" w:hAnsiTheme="majorBidi" w:cstheme="majorBidi"/>
          <w:i/>
          <w:iCs/>
          <w:color w:val="000000" w:themeColor="text1"/>
          <w:shd w:val="clear" w:color="auto" w:fill="FFFFFF"/>
        </w:rPr>
        <w:t xml:space="preserve">He Knew She Was Right: The Independent Woman in the Novels of Anthony </w:t>
      </w:r>
    </w:p>
    <w:p w14:paraId="30844664" w14:textId="30100501" w:rsidR="0073481B" w:rsidRPr="002A5475" w:rsidRDefault="0073481B" w:rsidP="0073481B">
      <w:pPr>
        <w:ind w:firstLine="720"/>
        <w:rPr>
          <w:rFonts w:asciiTheme="majorBidi" w:hAnsiTheme="majorBidi" w:cstheme="majorBidi"/>
          <w:color w:val="000000" w:themeColor="text1"/>
          <w:shd w:val="clear" w:color="auto" w:fill="FFFFFF"/>
        </w:rPr>
      </w:pPr>
      <w:r w:rsidRPr="002A5475">
        <w:rPr>
          <w:rFonts w:asciiTheme="majorBidi" w:hAnsiTheme="majorBidi" w:cstheme="majorBidi"/>
          <w:i/>
          <w:iCs/>
          <w:color w:val="000000" w:themeColor="text1"/>
          <w:shd w:val="clear" w:color="auto" w:fill="FFFFFF"/>
        </w:rPr>
        <w:t>Trollope</w:t>
      </w:r>
      <w:r w:rsidRPr="002A5475">
        <w:rPr>
          <w:rFonts w:asciiTheme="majorBidi" w:hAnsiTheme="majorBidi" w:cstheme="majorBidi"/>
          <w:color w:val="000000" w:themeColor="text1"/>
          <w:shd w:val="clear" w:color="auto" w:fill="FFFFFF"/>
        </w:rPr>
        <w:t>. Carbondale: Souther</w:t>
      </w:r>
      <w:r w:rsidR="009B33F4" w:rsidRPr="002A5475">
        <w:rPr>
          <w:rFonts w:asciiTheme="majorBidi" w:hAnsiTheme="majorBidi" w:cstheme="majorBidi"/>
          <w:color w:val="000000" w:themeColor="text1"/>
          <w:shd w:val="clear" w:color="auto" w:fill="FFFFFF"/>
        </w:rPr>
        <w:t>n</w:t>
      </w:r>
      <w:r w:rsidRPr="002A5475">
        <w:rPr>
          <w:rFonts w:asciiTheme="majorBidi" w:hAnsiTheme="majorBidi" w:cstheme="majorBidi"/>
          <w:color w:val="000000" w:themeColor="text1"/>
          <w:shd w:val="clear" w:color="auto" w:fill="FFFFFF"/>
        </w:rPr>
        <w:t xml:space="preserve"> Illinois UP, 1989.</w:t>
      </w:r>
    </w:p>
    <w:p w14:paraId="556BA880" w14:textId="77777777" w:rsidR="00DA2B39" w:rsidRDefault="0073481B" w:rsidP="00DA2B39">
      <w:pPr>
        <w:rPr>
          <w:rFonts w:asciiTheme="majorBidi" w:hAnsiTheme="majorBidi" w:cstheme="majorBidi"/>
        </w:rPr>
      </w:pPr>
      <w:r w:rsidRPr="002A5475">
        <w:rPr>
          <w:rFonts w:asciiTheme="majorBidi" w:hAnsiTheme="majorBidi" w:cstheme="majorBidi"/>
        </w:rPr>
        <w:t xml:space="preserve">Nayder, Lillian. </w:t>
      </w:r>
      <w:r w:rsidRPr="002A5475">
        <w:rPr>
          <w:rFonts w:asciiTheme="majorBidi" w:hAnsiTheme="majorBidi" w:cstheme="majorBidi"/>
          <w:i/>
        </w:rPr>
        <w:t>Unequal Partners: Charles Dickens, Wilkie Collins, and Victorian Authorship</w:t>
      </w:r>
      <w:r w:rsidRPr="002A5475">
        <w:rPr>
          <w:rFonts w:asciiTheme="majorBidi" w:hAnsiTheme="majorBidi" w:cstheme="majorBidi"/>
        </w:rPr>
        <w:t xml:space="preserve">. </w:t>
      </w:r>
    </w:p>
    <w:p w14:paraId="5D8D2EE3" w14:textId="61961334" w:rsidR="0073481B" w:rsidRPr="00DA2B39" w:rsidRDefault="0073481B" w:rsidP="00DA2B39">
      <w:pPr>
        <w:ind w:firstLine="720"/>
        <w:rPr>
          <w:rFonts w:asciiTheme="majorBidi" w:hAnsiTheme="majorBidi" w:cstheme="majorBidi"/>
          <w:i/>
        </w:rPr>
      </w:pPr>
      <w:r w:rsidRPr="002A5475">
        <w:rPr>
          <w:rFonts w:asciiTheme="majorBidi" w:hAnsiTheme="majorBidi" w:cstheme="majorBidi"/>
        </w:rPr>
        <w:t>Ithaca: Cornell UP, 2002.</w:t>
      </w:r>
    </w:p>
    <w:p w14:paraId="680A5C1D" w14:textId="77777777" w:rsidR="00DA2B39" w:rsidRDefault="00787A61" w:rsidP="00DA2B39">
      <w:pPr>
        <w:rPr>
          <w:rFonts w:asciiTheme="majorBidi" w:hAnsiTheme="majorBidi" w:cstheme="majorBidi"/>
          <w:color w:val="333333"/>
          <w:spacing w:val="2"/>
          <w:shd w:val="clear" w:color="auto" w:fill="FCFCFC"/>
        </w:rPr>
      </w:pPr>
      <w:r w:rsidRPr="002A5475">
        <w:rPr>
          <w:rFonts w:asciiTheme="majorBidi" w:hAnsiTheme="majorBidi" w:cstheme="majorBidi"/>
          <w:color w:val="333333"/>
          <w:spacing w:val="2"/>
          <w:shd w:val="clear" w:color="auto" w:fill="FCFCFC"/>
        </w:rPr>
        <w:t>Nevett, Terence. “Advertising.” </w:t>
      </w:r>
      <w:r w:rsidRPr="002A5475">
        <w:rPr>
          <w:rStyle w:val="Emphasis"/>
          <w:rFonts w:asciiTheme="majorBidi" w:hAnsiTheme="majorBidi" w:cstheme="majorBidi"/>
          <w:color w:val="333333"/>
          <w:spacing w:val="2"/>
          <w:shd w:val="clear" w:color="auto" w:fill="FCFCFC"/>
        </w:rPr>
        <w:t>Victorian Periodicals and Victorian Society</w:t>
      </w:r>
      <w:r w:rsidRPr="002A5475">
        <w:rPr>
          <w:rFonts w:asciiTheme="majorBidi" w:hAnsiTheme="majorBidi" w:cstheme="majorBidi"/>
          <w:color w:val="333333"/>
          <w:spacing w:val="2"/>
          <w:shd w:val="clear" w:color="auto" w:fill="FCFCFC"/>
        </w:rPr>
        <w:t xml:space="preserve">. Eds. J. Don Vann </w:t>
      </w:r>
    </w:p>
    <w:p w14:paraId="2A0D7E62" w14:textId="707CAD0F" w:rsidR="00787A61" w:rsidRPr="002A5475" w:rsidRDefault="00787A61" w:rsidP="00DA2B39">
      <w:pPr>
        <w:ind w:firstLine="720"/>
        <w:rPr>
          <w:rFonts w:asciiTheme="majorBidi" w:hAnsiTheme="majorBidi" w:cstheme="majorBidi"/>
          <w:color w:val="333333"/>
          <w:spacing w:val="2"/>
          <w:shd w:val="clear" w:color="auto" w:fill="FCFCFC"/>
        </w:rPr>
      </w:pPr>
      <w:r w:rsidRPr="002A5475">
        <w:rPr>
          <w:rFonts w:asciiTheme="majorBidi" w:hAnsiTheme="majorBidi" w:cstheme="majorBidi"/>
          <w:color w:val="333333"/>
          <w:spacing w:val="2"/>
          <w:shd w:val="clear" w:color="auto" w:fill="FCFCFC"/>
        </w:rPr>
        <w:t>and Rosemary T. Van Arsdel. Toronto: University of Toronto Press, 1994. 219-234.</w:t>
      </w:r>
    </w:p>
    <w:p w14:paraId="73EA7B08" w14:textId="77777777" w:rsidR="00DA2B39" w:rsidRDefault="00063326" w:rsidP="00DA2B39">
      <w:pPr>
        <w:rPr>
          <w:rFonts w:asciiTheme="majorBidi" w:hAnsiTheme="majorBidi" w:cstheme="majorBidi"/>
          <w:color w:val="333333"/>
          <w:spacing w:val="2"/>
          <w:shd w:val="clear" w:color="auto" w:fill="FCFCFC"/>
        </w:rPr>
      </w:pPr>
      <w:r w:rsidRPr="002A5475">
        <w:rPr>
          <w:rFonts w:asciiTheme="majorBidi" w:hAnsiTheme="majorBidi" w:cstheme="majorBidi"/>
          <w:color w:val="333333"/>
          <w:spacing w:val="2"/>
          <w:shd w:val="clear" w:color="auto" w:fill="FCFCFC"/>
        </w:rPr>
        <w:t xml:space="preserve">Nicholson, Michael. “A Singular Experiment: </w:t>
      </w:r>
      <w:r w:rsidRPr="002A5475">
        <w:rPr>
          <w:rFonts w:asciiTheme="majorBidi" w:hAnsiTheme="majorBidi" w:cstheme="majorBidi"/>
          <w:i/>
          <w:iCs/>
          <w:color w:val="333333"/>
          <w:spacing w:val="2"/>
          <w:shd w:val="clear" w:color="auto" w:fill="FCFCFC"/>
        </w:rPr>
        <w:t>Frankenstein</w:t>
      </w:r>
      <w:r w:rsidRPr="002A5475">
        <w:rPr>
          <w:rFonts w:asciiTheme="majorBidi" w:hAnsiTheme="majorBidi" w:cstheme="majorBidi"/>
          <w:color w:val="333333"/>
          <w:spacing w:val="2"/>
          <w:shd w:val="clear" w:color="auto" w:fill="FCFCFC"/>
        </w:rPr>
        <w:t xml:space="preserve">’s Creature and the Nature of the </w:t>
      </w:r>
    </w:p>
    <w:p w14:paraId="1756A193" w14:textId="2022D8F9" w:rsidR="00063326" w:rsidRPr="00DA2B39" w:rsidRDefault="00063326" w:rsidP="00DA2B39">
      <w:pPr>
        <w:ind w:firstLine="720"/>
        <w:rPr>
          <w:rFonts w:asciiTheme="majorBidi" w:hAnsiTheme="majorBidi" w:cstheme="majorBidi"/>
          <w:color w:val="333333"/>
          <w:spacing w:val="2"/>
          <w:shd w:val="clear" w:color="auto" w:fill="FCFCFC"/>
        </w:rPr>
      </w:pPr>
      <w:r w:rsidRPr="002A5475">
        <w:rPr>
          <w:rFonts w:asciiTheme="majorBidi" w:hAnsiTheme="majorBidi" w:cstheme="majorBidi"/>
          <w:color w:val="333333"/>
          <w:spacing w:val="2"/>
          <w:shd w:val="clear" w:color="auto" w:fill="FCFCFC"/>
        </w:rPr>
        <w:t xml:space="preserve">Scientific Community.” </w:t>
      </w:r>
      <w:r w:rsidRPr="002A5475">
        <w:rPr>
          <w:rFonts w:asciiTheme="majorBidi" w:hAnsiTheme="majorBidi" w:cstheme="majorBidi"/>
          <w:i/>
          <w:iCs/>
          <w:color w:val="333333"/>
          <w:spacing w:val="2"/>
          <w:shd w:val="clear" w:color="auto" w:fill="FCFCFC"/>
        </w:rPr>
        <w:t xml:space="preserve">Science Fiction Studies </w:t>
      </w:r>
      <w:r w:rsidRPr="002A5475">
        <w:rPr>
          <w:rFonts w:asciiTheme="majorBidi" w:hAnsiTheme="majorBidi" w:cstheme="majorBidi"/>
          <w:color w:val="333333"/>
          <w:spacing w:val="2"/>
          <w:shd w:val="clear" w:color="auto" w:fill="FCFCFC"/>
        </w:rPr>
        <w:t>47.1 (March 2020): 1-29.</w:t>
      </w:r>
    </w:p>
    <w:p w14:paraId="0C4C9C06" w14:textId="77777777" w:rsidR="0073481B" w:rsidRPr="002A5475" w:rsidRDefault="0073481B" w:rsidP="0073481B">
      <w:pPr>
        <w:rPr>
          <w:rFonts w:asciiTheme="majorBidi" w:hAnsiTheme="majorBidi" w:cstheme="majorBidi"/>
        </w:rPr>
      </w:pPr>
      <w:r w:rsidRPr="002A5475">
        <w:rPr>
          <w:rFonts w:asciiTheme="majorBidi" w:hAnsiTheme="majorBidi" w:cstheme="majorBidi"/>
        </w:rPr>
        <w:t xml:space="preserve">O’Connor, Erin. “‘Fractions of Men’: Engendering Amputation in Victorian Culture.” </w:t>
      </w:r>
    </w:p>
    <w:p w14:paraId="720A58AF" w14:textId="77777777" w:rsidR="0073481B" w:rsidRPr="002A5475" w:rsidRDefault="0073481B" w:rsidP="0073481B">
      <w:pPr>
        <w:ind w:firstLine="720"/>
        <w:rPr>
          <w:rFonts w:asciiTheme="majorBidi" w:hAnsiTheme="majorBidi" w:cstheme="majorBidi"/>
        </w:rPr>
      </w:pPr>
      <w:r w:rsidRPr="002A5475">
        <w:rPr>
          <w:rFonts w:asciiTheme="majorBidi" w:hAnsiTheme="majorBidi" w:cstheme="majorBidi"/>
          <w:i/>
          <w:iCs/>
        </w:rPr>
        <w:t>Comparative Studies in Society and History</w:t>
      </w:r>
      <w:r w:rsidRPr="002A5475">
        <w:rPr>
          <w:rFonts w:asciiTheme="majorBidi" w:hAnsiTheme="majorBidi" w:cstheme="majorBidi"/>
        </w:rPr>
        <w:t xml:space="preserve"> 39.4 (Oct. 1997): 742-777.</w:t>
      </w:r>
    </w:p>
    <w:p w14:paraId="11F92EDC" w14:textId="635DD5DE" w:rsidR="0073481B" w:rsidRPr="002A5475" w:rsidRDefault="0073481B" w:rsidP="00DA2B39">
      <w:pPr>
        <w:rPr>
          <w:rFonts w:asciiTheme="majorBidi" w:hAnsiTheme="majorBidi" w:cstheme="majorBidi"/>
        </w:rPr>
      </w:pPr>
      <w:r w:rsidRPr="002A5475">
        <w:rPr>
          <w:rFonts w:asciiTheme="majorBidi" w:hAnsiTheme="majorBidi" w:cstheme="majorBidi"/>
        </w:rPr>
        <w:t>______.</w:t>
      </w:r>
      <w:r w:rsidRPr="002A5475">
        <w:rPr>
          <w:rFonts w:asciiTheme="majorBidi" w:hAnsiTheme="majorBidi" w:cstheme="majorBidi"/>
          <w:i/>
        </w:rPr>
        <w:t xml:space="preserve"> Raw Material: Producing Pathology in Victorian Culture.</w:t>
      </w:r>
      <w:r w:rsidRPr="002A5475">
        <w:rPr>
          <w:rFonts w:asciiTheme="majorBidi" w:hAnsiTheme="majorBidi" w:cstheme="majorBidi"/>
        </w:rPr>
        <w:t xml:space="preserve"> Durham: Duke UP, 2000.</w:t>
      </w:r>
    </w:p>
    <w:p w14:paraId="1F875603" w14:textId="67149419" w:rsidR="0073481B" w:rsidRPr="002A5475" w:rsidRDefault="0073481B" w:rsidP="0073481B">
      <w:pPr>
        <w:rPr>
          <w:rFonts w:asciiTheme="majorBidi" w:hAnsiTheme="majorBidi" w:cstheme="majorBidi"/>
        </w:rPr>
      </w:pPr>
      <w:r w:rsidRPr="002A5475">
        <w:rPr>
          <w:rFonts w:asciiTheme="majorBidi" w:hAnsiTheme="majorBidi" w:cstheme="majorBidi"/>
        </w:rPr>
        <w:t xml:space="preserve">Oliver, Michael. </w:t>
      </w:r>
      <w:r w:rsidRPr="002A5475">
        <w:rPr>
          <w:rFonts w:asciiTheme="majorBidi" w:hAnsiTheme="majorBidi" w:cstheme="majorBidi"/>
          <w:i/>
        </w:rPr>
        <w:t>The Politics of Disablement</w:t>
      </w:r>
      <w:r w:rsidRPr="002A5475">
        <w:rPr>
          <w:rFonts w:asciiTheme="majorBidi" w:hAnsiTheme="majorBidi" w:cstheme="majorBidi"/>
        </w:rPr>
        <w:t xml:space="preserve">. London: Macmillan, 1990. </w:t>
      </w:r>
    </w:p>
    <w:p w14:paraId="319D9430" w14:textId="77777777" w:rsidR="00DA2B39" w:rsidRDefault="000E339B" w:rsidP="00DA2B39">
      <w:pPr>
        <w:rPr>
          <w:rStyle w:val="Emphasis"/>
          <w:rFonts w:asciiTheme="majorBidi" w:hAnsiTheme="majorBidi" w:cstheme="majorBidi"/>
          <w:color w:val="333333"/>
          <w:spacing w:val="2"/>
          <w:shd w:val="clear" w:color="auto" w:fill="FCFCFC"/>
        </w:rPr>
      </w:pPr>
      <w:r w:rsidRPr="002A5475">
        <w:rPr>
          <w:rFonts w:asciiTheme="majorBidi" w:hAnsiTheme="majorBidi" w:cstheme="majorBidi"/>
          <w:color w:val="333333"/>
          <w:spacing w:val="2"/>
          <w:shd w:val="clear" w:color="auto" w:fill="FCFCFC"/>
        </w:rPr>
        <w:t>Ott, Katherine. “The Sum of Its Parts: An Introduction to Modern</w:t>
      </w:r>
      <w:r w:rsidR="002C7CDD" w:rsidRPr="002A5475">
        <w:rPr>
          <w:rFonts w:asciiTheme="majorBidi" w:hAnsiTheme="majorBidi" w:cstheme="majorBidi"/>
          <w:color w:val="333333"/>
          <w:spacing w:val="2"/>
          <w:shd w:val="clear" w:color="auto" w:fill="FCFCFC"/>
        </w:rPr>
        <w:t xml:space="preserve"> </w:t>
      </w:r>
      <w:r w:rsidRPr="002A5475">
        <w:rPr>
          <w:rFonts w:asciiTheme="majorBidi" w:hAnsiTheme="majorBidi" w:cstheme="majorBidi"/>
          <w:color w:val="333333"/>
          <w:spacing w:val="2"/>
          <w:shd w:val="clear" w:color="auto" w:fill="FCFCFC"/>
        </w:rPr>
        <w:t>Prosthetics.” </w:t>
      </w:r>
      <w:r w:rsidRPr="002A5475">
        <w:rPr>
          <w:rStyle w:val="Emphasis"/>
          <w:rFonts w:asciiTheme="majorBidi" w:hAnsiTheme="majorBidi" w:cstheme="majorBidi"/>
          <w:color w:val="333333"/>
          <w:spacing w:val="2"/>
          <w:shd w:val="clear" w:color="auto" w:fill="FCFCFC"/>
        </w:rPr>
        <w:t xml:space="preserve">Artificial Parts, </w:t>
      </w:r>
    </w:p>
    <w:p w14:paraId="4090D52F" w14:textId="77777777" w:rsidR="00D822AC" w:rsidRDefault="000E339B" w:rsidP="00DA2B39">
      <w:pPr>
        <w:ind w:firstLine="720"/>
        <w:rPr>
          <w:rFonts w:asciiTheme="majorBidi" w:hAnsiTheme="majorBidi" w:cstheme="majorBidi"/>
          <w:color w:val="333333"/>
          <w:spacing w:val="2"/>
          <w:shd w:val="clear" w:color="auto" w:fill="FCFCFC"/>
        </w:rPr>
      </w:pPr>
      <w:r w:rsidRPr="002A5475">
        <w:rPr>
          <w:rStyle w:val="Emphasis"/>
          <w:rFonts w:asciiTheme="majorBidi" w:hAnsiTheme="majorBidi" w:cstheme="majorBidi"/>
          <w:color w:val="333333"/>
          <w:spacing w:val="2"/>
          <w:shd w:val="clear" w:color="auto" w:fill="FCFCFC"/>
        </w:rPr>
        <w:t>Practical Lives: Modern Histories of Prosthetics</w:t>
      </w:r>
      <w:r w:rsidRPr="002A5475">
        <w:rPr>
          <w:rFonts w:asciiTheme="majorBidi" w:hAnsiTheme="majorBidi" w:cstheme="majorBidi"/>
          <w:color w:val="333333"/>
          <w:spacing w:val="2"/>
          <w:shd w:val="clear" w:color="auto" w:fill="FCFCFC"/>
        </w:rPr>
        <w:t xml:space="preserve">. Eds. Katherine Ott, David Serlin, and </w:t>
      </w:r>
    </w:p>
    <w:p w14:paraId="1B825E92" w14:textId="0F4F3FB3" w:rsidR="000E339B" w:rsidRPr="00D822AC" w:rsidRDefault="000E339B" w:rsidP="00D822AC">
      <w:pPr>
        <w:ind w:firstLine="720"/>
        <w:rPr>
          <w:rFonts w:asciiTheme="majorBidi" w:hAnsiTheme="majorBidi" w:cstheme="majorBidi"/>
          <w:color w:val="333333"/>
          <w:spacing w:val="2"/>
          <w:shd w:val="clear" w:color="auto" w:fill="FCFCFC"/>
        </w:rPr>
      </w:pPr>
      <w:r w:rsidRPr="002A5475">
        <w:rPr>
          <w:rFonts w:asciiTheme="majorBidi" w:hAnsiTheme="majorBidi" w:cstheme="majorBidi"/>
          <w:color w:val="333333"/>
          <w:spacing w:val="2"/>
          <w:shd w:val="clear" w:color="auto" w:fill="FCFCFC"/>
        </w:rPr>
        <w:t>Stephen Mihm. New York: New York UP, 2002.</w:t>
      </w:r>
    </w:p>
    <w:p w14:paraId="5C0ABFE3" w14:textId="77777777" w:rsidR="00F84874" w:rsidRDefault="0073481B" w:rsidP="00F84874">
      <w:pPr>
        <w:rPr>
          <w:rFonts w:asciiTheme="majorBidi" w:hAnsiTheme="majorBidi" w:cstheme="majorBidi"/>
        </w:rPr>
      </w:pPr>
      <w:r w:rsidRPr="002A5475">
        <w:rPr>
          <w:rFonts w:asciiTheme="majorBidi" w:hAnsiTheme="majorBidi" w:cstheme="majorBidi"/>
        </w:rPr>
        <w:t xml:space="preserve">Ousby, Ian. </w:t>
      </w:r>
      <w:r w:rsidRPr="002A5475">
        <w:rPr>
          <w:rFonts w:asciiTheme="majorBidi" w:hAnsiTheme="majorBidi" w:cstheme="majorBidi"/>
          <w:i/>
          <w:iCs/>
        </w:rPr>
        <w:t>Bloodhounds of Heaven: The Detective in English Fiction from Godwin to Doyle</w:t>
      </w:r>
      <w:r w:rsidRPr="002A5475">
        <w:rPr>
          <w:rFonts w:asciiTheme="majorBidi" w:hAnsiTheme="majorBidi" w:cstheme="majorBidi"/>
        </w:rPr>
        <w:t xml:space="preserve">. </w:t>
      </w:r>
    </w:p>
    <w:p w14:paraId="39537494" w14:textId="4128F9FA" w:rsidR="0073481B" w:rsidRPr="00F84874" w:rsidRDefault="0073481B" w:rsidP="00F84874">
      <w:pPr>
        <w:ind w:firstLine="720"/>
        <w:rPr>
          <w:rFonts w:asciiTheme="majorBidi" w:hAnsiTheme="majorBidi" w:cstheme="majorBidi"/>
          <w:i/>
          <w:iCs/>
        </w:rPr>
      </w:pPr>
      <w:r w:rsidRPr="002A5475">
        <w:rPr>
          <w:rFonts w:asciiTheme="majorBidi" w:hAnsiTheme="majorBidi" w:cstheme="majorBidi"/>
        </w:rPr>
        <w:t>Cambridge: Harvard UP, 1976.</w:t>
      </w:r>
    </w:p>
    <w:p w14:paraId="51AC33C5" w14:textId="77777777" w:rsidR="0073481B" w:rsidRPr="002A5475" w:rsidRDefault="0073481B" w:rsidP="0073481B">
      <w:pPr>
        <w:rPr>
          <w:rFonts w:asciiTheme="majorBidi" w:hAnsiTheme="majorBidi" w:cstheme="majorBidi"/>
        </w:rPr>
      </w:pPr>
      <w:r w:rsidRPr="002A5475">
        <w:rPr>
          <w:rFonts w:asciiTheme="majorBidi" w:hAnsiTheme="majorBidi" w:cstheme="majorBidi"/>
        </w:rPr>
        <w:t xml:space="preserve">Outka, Paul. “Posthuman/Postnatural: Ecocriticism and the Sublime in Mary Shelley’s </w:t>
      </w:r>
    </w:p>
    <w:p w14:paraId="564AFCE2" w14:textId="72F54B6D" w:rsidR="0073481B" w:rsidRPr="002A5475" w:rsidRDefault="0073481B" w:rsidP="0073481B">
      <w:pPr>
        <w:ind w:left="720"/>
        <w:rPr>
          <w:rFonts w:asciiTheme="majorBidi" w:hAnsiTheme="majorBidi" w:cstheme="majorBidi"/>
        </w:rPr>
      </w:pPr>
      <w:r w:rsidRPr="002A5475">
        <w:rPr>
          <w:rFonts w:asciiTheme="majorBidi" w:hAnsiTheme="majorBidi" w:cstheme="majorBidi"/>
          <w:i/>
          <w:iCs/>
        </w:rPr>
        <w:t>Frankenstein</w:t>
      </w:r>
      <w:r w:rsidRPr="002A5475">
        <w:rPr>
          <w:rFonts w:asciiTheme="majorBidi" w:hAnsiTheme="majorBidi" w:cstheme="majorBidi"/>
        </w:rPr>
        <w:t xml:space="preserve">.” </w:t>
      </w:r>
      <w:r w:rsidRPr="002A5475">
        <w:rPr>
          <w:rFonts w:asciiTheme="majorBidi" w:hAnsiTheme="majorBidi" w:cstheme="majorBidi"/>
          <w:i/>
          <w:iCs/>
        </w:rPr>
        <w:t>Environmental Criticism for the Twenty-First Century</w:t>
      </w:r>
      <w:r w:rsidRPr="002A5475">
        <w:rPr>
          <w:rFonts w:asciiTheme="majorBidi" w:hAnsiTheme="majorBidi" w:cstheme="majorBidi"/>
        </w:rPr>
        <w:t>. Ed. Stephanie LeMenager, Teresa Shewry, and Ken Hiltner. New York: Routledge, 2012. 31-48.</w:t>
      </w:r>
    </w:p>
    <w:p w14:paraId="19CCEF5A" w14:textId="77777777" w:rsidR="00F84874" w:rsidRDefault="009B0CB8" w:rsidP="00F84874">
      <w:pPr>
        <w:rPr>
          <w:rFonts w:asciiTheme="majorBidi" w:hAnsiTheme="majorBidi" w:cstheme="majorBidi"/>
        </w:rPr>
      </w:pPr>
      <w:r w:rsidRPr="002A5475">
        <w:rPr>
          <w:rFonts w:asciiTheme="majorBidi" w:hAnsiTheme="majorBidi" w:cstheme="majorBidi"/>
        </w:rPr>
        <w:t xml:space="preserve">Parker, Harry. </w:t>
      </w:r>
      <w:r w:rsidRPr="002A5475">
        <w:rPr>
          <w:rFonts w:asciiTheme="majorBidi" w:hAnsiTheme="majorBidi" w:cstheme="majorBidi"/>
          <w:i/>
          <w:iCs/>
        </w:rPr>
        <w:t>Hybrid Humans: Dispatches from the Frontiers of Man and Machine</w:t>
      </w:r>
      <w:r w:rsidRPr="002A5475">
        <w:rPr>
          <w:rFonts w:asciiTheme="majorBidi" w:hAnsiTheme="majorBidi" w:cstheme="majorBidi"/>
        </w:rPr>
        <w:t xml:space="preserve">. London: </w:t>
      </w:r>
    </w:p>
    <w:p w14:paraId="475B7C39" w14:textId="6A09ECC3" w:rsidR="009B0CB8" w:rsidRPr="002A5475" w:rsidRDefault="009B0CB8" w:rsidP="00F84874">
      <w:pPr>
        <w:ind w:firstLine="720"/>
        <w:rPr>
          <w:rFonts w:asciiTheme="majorBidi" w:hAnsiTheme="majorBidi" w:cstheme="majorBidi"/>
        </w:rPr>
      </w:pPr>
      <w:r w:rsidRPr="002A5475">
        <w:rPr>
          <w:rFonts w:asciiTheme="majorBidi" w:hAnsiTheme="majorBidi" w:cstheme="majorBidi"/>
        </w:rPr>
        <w:t>Wellcome Collection, 2022.</w:t>
      </w:r>
    </w:p>
    <w:p w14:paraId="7807CD67" w14:textId="77777777" w:rsidR="00F84874" w:rsidRDefault="00582BFE" w:rsidP="00F84874">
      <w:pPr>
        <w:rPr>
          <w:rFonts w:asciiTheme="majorBidi" w:hAnsiTheme="majorBidi" w:cstheme="majorBidi"/>
        </w:rPr>
      </w:pPr>
      <w:r w:rsidRPr="002A5475">
        <w:rPr>
          <w:rFonts w:asciiTheme="majorBidi" w:hAnsiTheme="majorBidi" w:cstheme="majorBidi"/>
        </w:rPr>
        <w:t xml:space="preserve">Paschalis, Michael. “Hipployte Tautain Origine littéraire et identité sémantique d’un personage </w:t>
      </w:r>
    </w:p>
    <w:p w14:paraId="02CC2EB8" w14:textId="35F7A1D2" w:rsidR="00582BFE" w:rsidRPr="002A5475" w:rsidRDefault="00582BFE" w:rsidP="00F84874">
      <w:pPr>
        <w:ind w:firstLine="720"/>
        <w:rPr>
          <w:rFonts w:asciiTheme="majorBidi" w:hAnsiTheme="majorBidi" w:cstheme="majorBidi"/>
        </w:rPr>
      </w:pPr>
      <w:r w:rsidRPr="002A5475">
        <w:rPr>
          <w:rFonts w:asciiTheme="majorBidi" w:hAnsiTheme="majorBidi" w:cstheme="majorBidi"/>
        </w:rPr>
        <w:t xml:space="preserve">de </w:t>
      </w:r>
      <w:r w:rsidRPr="002A5475">
        <w:rPr>
          <w:rFonts w:asciiTheme="majorBidi" w:hAnsiTheme="majorBidi" w:cstheme="majorBidi"/>
          <w:i/>
          <w:iCs/>
        </w:rPr>
        <w:t>Madame Bovary</w:t>
      </w:r>
      <w:r w:rsidRPr="002A5475">
        <w:rPr>
          <w:rFonts w:asciiTheme="majorBidi" w:hAnsiTheme="majorBidi" w:cstheme="majorBidi"/>
        </w:rPr>
        <w:t xml:space="preserve">.” </w:t>
      </w:r>
      <w:r w:rsidRPr="002A5475">
        <w:rPr>
          <w:rFonts w:asciiTheme="majorBidi" w:hAnsiTheme="majorBidi" w:cstheme="majorBidi"/>
          <w:i/>
          <w:iCs/>
        </w:rPr>
        <w:t>Anabases</w:t>
      </w:r>
      <w:r w:rsidRPr="002A5475">
        <w:rPr>
          <w:rFonts w:asciiTheme="majorBidi" w:hAnsiTheme="majorBidi" w:cstheme="majorBidi"/>
        </w:rPr>
        <w:t xml:space="preserve"> 18 (2013): 85-108.</w:t>
      </w:r>
    </w:p>
    <w:p w14:paraId="4080BA74" w14:textId="77777777" w:rsidR="00F84874" w:rsidRDefault="0073481B" w:rsidP="00F84874">
      <w:pPr>
        <w:rPr>
          <w:rFonts w:asciiTheme="majorBidi" w:hAnsiTheme="majorBidi" w:cstheme="majorBidi"/>
        </w:rPr>
      </w:pPr>
      <w:r w:rsidRPr="002A5475">
        <w:rPr>
          <w:rFonts w:asciiTheme="majorBidi" w:hAnsiTheme="majorBidi" w:cstheme="majorBidi"/>
        </w:rPr>
        <w:t xml:space="preserve">Peterson, Linda. </w:t>
      </w:r>
      <w:r w:rsidRPr="002A5475">
        <w:rPr>
          <w:rFonts w:asciiTheme="majorBidi" w:hAnsiTheme="majorBidi" w:cstheme="majorBidi"/>
          <w:i/>
          <w:iCs/>
        </w:rPr>
        <w:t>Victorian Autobiography: The Tradition of Self-Interpretation</w:t>
      </w:r>
      <w:r w:rsidRPr="002A5475">
        <w:rPr>
          <w:rFonts w:asciiTheme="majorBidi" w:hAnsiTheme="majorBidi" w:cstheme="majorBidi"/>
        </w:rPr>
        <w:t xml:space="preserve">. New Haven: </w:t>
      </w:r>
    </w:p>
    <w:p w14:paraId="0CDA53BC" w14:textId="1E2D0760" w:rsidR="0073481B" w:rsidRPr="002A5475" w:rsidRDefault="0073481B" w:rsidP="00F84874">
      <w:pPr>
        <w:ind w:firstLine="720"/>
        <w:rPr>
          <w:rFonts w:asciiTheme="majorBidi" w:hAnsiTheme="majorBidi" w:cstheme="majorBidi"/>
        </w:rPr>
      </w:pPr>
      <w:r w:rsidRPr="002A5475">
        <w:rPr>
          <w:rFonts w:asciiTheme="majorBidi" w:hAnsiTheme="majorBidi" w:cstheme="majorBidi"/>
        </w:rPr>
        <w:t xml:space="preserve">Yale UP, 1986. </w:t>
      </w:r>
    </w:p>
    <w:p w14:paraId="193D9AA8" w14:textId="77777777" w:rsidR="00F84874" w:rsidRDefault="0073481B" w:rsidP="00F84874">
      <w:pPr>
        <w:rPr>
          <w:rFonts w:asciiTheme="majorBidi" w:hAnsiTheme="majorBidi" w:cstheme="majorBidi"/>
          <w:shd w:val="clear" w:color="auto" w:fill="FFFFFF"/>
        </w:rPr>
      </w:pPr>
      <w:r w:rsidRPr="002A5475">
        <w:rPr>
          <w:rFonts w:asciiTheme="majorBidi" w:hAnsiTheme="majorBidi" w:cstheme="majorBidi"/>
        </w:rPr>
        <w:t>Plotz, John. “</w:t>
      </w:r>
      <w:r w:rsidRPr="002A5475">
        <w:rPr>
          <w:rFonts w:asciiTheme="majorBidi" w:hAnsiTheme="majorBidi" w:cstheme="majorBidi"/>
          <w:shd w:val="clear" w:color="auto" w:fill="FFFFFF"/>
        </w:rPr>
        <w:t xml:space="preserve">Materiality in Theory: What to Make of Victorian Things, Objects, and </w:t>
      </w:r>
      <w:r w:rsidRPr="002A5475">
        <w:rPr>
          <w:rFonts w:asciiTheme="majorBidi" w:hAnsiTheme="majorBidi" w:cstheme="majorBidi"/>
          <w:shd w:val="clear" w:color="auto" w:fill="FFFFFF"/>
        </w:rPr>
        <w:tab/>
        <w:t>Commodities.”</w:t>
      </w:r>
      <w:r w:rsidRPr="002A5475">
        <w:rPr>
          <w:rStyle w:val="apple-converted-space"/>
          <w:rFonts w:asciiTheme="majorBidi" w:hAnsiTheme="majorBidi" w:cstheme="majorBidi"/>
          <w:shd w:val="clear" w:color="auto" w:fill="FFFFFF"/>
        </w:rPr>
        <w:t> </w:t>
      </w:r>
      <w:r w:rsidRPr="002A5475">
        <w:rPr>
          <w:rFonts w:asciiTheme="majorBidi" w:hAnsiTheme="majorBidi" w:cstheme="majorBidi"/>
          <w:i/>
          <w:shd w:val="clear" w:color="auto" w:fill="FFFFFF"/>
        </w:rPr>
        <w:t>The Oxford Handbook of Victorian Literary Culture</w:t>
      </w:r>
      <w:r w:rsidRPr="002A5475">
        <w:rPr>
          <w:rFonts w:asciiTheme="majorBidi" w:hAnsiTheme="majorBidi" w:cstheme="majorBidi"/>
          <w:shd w:val="clear" w:color="auto" w:fill="FFFFFF"/>
        </w:rPr>
        <w:t xml:space="preserve">. Ed. Juliet John. </w:t>
      </w:r>
    </w:p>
    <w:p w14:paraId="2ECAF876" w14:textId="73017049" w:rsidR="0073481B" w:rsidRPr="002A5475" w:rsidRDefault="0073481B" w:rsidP="00F84874">
      <w:pPr>
        <w:ind w:firstLine="720"/>
        <w:rPr>
          <w:rFonts w:asciiTheme="majorBidi" w:hAnsiTheme="majorBidi" w:cstheme="majorBidi"/>
          <w:shd w:val="clear" w:color="auto" w:fill="FFFFFF"/>
        </w:rPr>
      </w:pPr>
      <w:r w:rsidRPr="002A5475">
        <w:rPr>
          <w:rFonts w:asciiTheme="majorBidi" w:hAnsiTheme="majorBidi" w:cstheme="majorBidi"/>
          <w:shd w:val="clear" w:color="auto" w:fill="FFFFFF"/>
        </w:rPr>
        <w:t>Oxford: Oxford UP, 2016. 522-538.</w:t>
      </w:r>
    </w:p>
    <w:p w14:paraId="3BAAA44E" w14:textId="02211D80" w:rsidR="0073481B" w:rsidRPr="002A5475" w:rsidRDefault="0073481B" w:rsidP="0073481B">
      <w:pPr>
        <w:rPr>
          <w:rFonts w:asciiTheme="majorBidi" w:hAnsiTheme="majorBidi" w:cstheme="majorBidi"/>
          <w:shd w:val="clear" w:color="auto" w:fill="FFFFFF"/>
        </w:rPr>
      </w:pPr>
      <w:r w:rsidRPr="002A5475">
        <w:rPr>
          <w:rFonts w:asciiTheme="majorBidi" w:hAnsiTheme="majorBidi" w:cstheme="majorBidi"/>
          <w:shd w:val="clear" w:color="auto" w:fill="FFFFFF"/>
        </w:rPr>
        <w:t xml:space="preserve">Poovey, Mary. </w:t>
      </w:r>
      <w:r w:rsidRPr="002A5475">
        <w:rPr>
          <w:rFonts w:asciiTheme="majorBidi" w:hAnsiTheme="majorBidi" w:cstheme="majorBidi"/>
          <w:i/>
          <w:shd w:val="clear" w:color="auto" w:fill="FFFFFF"/>
        </w:rPr>
        <w:t xml:space="preserve">Uneven Developments: The Ideological Work of Gender in Mid-Victorian </w:t>
      </w:r>
      <w:r w:rsidRPr="002A5475">
        <w:rPr>
          <w:rFonts w:asciiTheme="majorBidi" w:hAnsiTheme="majorBidi" w:cstheme="majorBidi"/>
          <w:i/>
          <w:shd w:val="clear" w:color="auto" w:fill="FFFFFF"/>
        </w:rPr>
        <w:tab/>
        <w:t>England</w:t>
      </w:r>
      <w:r w:rsidRPr="002A5475">
        <w:rPr>
          <w:rFonts w:asciiTheme="majorBidi" w:hAnsiTheme="majorBidi" w:cstheme="majorBidi"/>
          <w:shd w:val="clear" w:color="auto" w:fill="FFFFFF"/>
        </w:rPr>
        <w:t>. Chicago: The University of Chicago Press, 1988.</w:t>
      </w:r>
    </w:p>
    <w:p w14:paraId="6FD45AB8" w14:textId="77777777" w:rsidR="00F84874" w:rsidRDefault="003514B0" w:rsidP="00F84874">
      <w:pPr>
        <w:rPr>
          <w:rFonts w:asciiTheme="majorBidi" w:hAnsiTheme="majorBidi" w:cstheme="majorBidi"/>
          <w:spacing w:val="2"/>
        </w:rPr>
      </w:pPr>
      <w:r w:rsidRPr="002A5475">
        <w:rPr>
          <w:rFonts w:asciiTheme="majorBidi" w:hAnsiTheme="majorBidi" w:cstheme="majorBidi"/>
          <w:spacing w:val="2"/>
        </w:rPr>
        <w:t xml:space="preserve">Prendergast, Catherine. “The Unexceptional Schizophrenic: A Post-Postmodern Introduction.” </w:t>
      </w:r>
    </w:p>
    <w:p w14:paraId="476523C3" w14:textId="77777777" w:rsidR="00F84874" w:rsidRDefault="003514B0" w:rsidP="00F84874">
      <w:pPr>
        <w:ind w:firstLine="720"/>
        <w:rPr>
          <w:rFonts w:asciiTheme="majorBidi" w:hAnsiTheme="majorBidi" w:cstheme="majorBidi"/>
          <w:spacing w:val="2"/>
        </w:rPr>
      </w:pPr>
      <w:r w:rsidRPr="002A5475">
        <w:rPr>
          <w:rFonts w:asciiTheme="majorBidi" w:hAnsiTheme="majorBidi" w:cstheme="majorBidi"/>
          <w:i/>
          <w:spacing w:val="2"/>
        </w:rPr>
        <w:t>The Disability Studies Reader: Fifth Edition</w:t>
      </w:r>
      <w:r w:rsidRPr="002A5475">
        <w:rPr>
          <w:rFonts w:asciiTheme="majorBidi" w:hAnsiTheme="majorBidi" w:cstheme="majorBidi"/>
          <w:spacing w:val="2"/>
        </w:rPr>
        <w:t xml:space="preserve">. Ed. Lennard J. Davis. New York: </w:t>
      </w:r>
    </w:p>
    <w:p w14:paraId="4B756F65" w14:textId="35A2F386" w:rsidR="003514B0" w:rsidRPr="002A5475" w:rsidRDefault="003514B0" w:rsidP="00F84874">
      <w:pPr>
        <w:ind w:firstLine="720"/>
        <w:rPr>
          <w:rFonts w:asciiTheme="majorBidi" w:hAnsiTheme="majorBidi" w:cstheme="majorBidi"/>
          <w:spacing w:val="2"/>
        </w:rPr>
      </w:pPr>
      <w:r w:rsidRPr="002A5475">
        <w:rPr>
          <w:rFonts w:asciiTheme="majorBidi" w:hAnsiTheme="majorBidi" w:cstheme="majorBidi"/>
          <w:spacing w:val="2"/>
        </w:rPr>
        <w:t>Routledge, 2015. 232-41.</w:t>
      </w:r>
    </w:p>
    <w:p w14:paraId="17EFEF25" w14:textId="77777777" w:rsidR="00F84874" w:rsidRDefault="0073481B" w:rsidP="00F84874">
      <w:pPr>
        <w:rPr>
          <w:rFonts w:asciiTheme="majorBidi" w:hAnsiTheme="majorBidi" w:cstheme="majorBidi"/>
        </w:rPr>
      </w:pPr>
      <w:r w:rsidRPr="002A5475">
        <w:rPr>
          <w:rFonts w:asciiTheme="majorBidi" w:hAnsiTheme="majorBidi" w:cstheme="majorBidi"/>
        </w:rPr>
        <w:t xml:space="preserve">Punter, David. </w:t>
      </w:r>
      <w:r w:rsidRPr="002A5475">
        <w:rPr>
          <w:rFonts w:asciiTheme="majorBidi" w:hAnsiTheme="majorBidi" w:cstheme="majorBidi"/>
          <w:i/>
          <w:iCs/>
        </w:rPr>
        <w:t>Gothic Pathologies: The Text, the Body and the Law</w:t>
      </w:r>
      <w:r w:rsidRPr="002A5475">
        <w:rPr>
          <w:rFonts w:asciiTheme="majorBidi" w:hAnsiTheme="majorBidi" w:cstheme="majorBidi"/>
        </w:rPr>
        <w:t xml:space="preserve">. New York: St. Martin’s </w:t>
      </w:r>
    </w:p>
    <w:p w14:paraId="44B136BD" w14:textId="0CD9BB37" w:rsidR="0073481B" w:rsidRPr="002A5475" w:rsidRDefault="0073481B" w:rsidP="00F84874">
      <w:pPr>
        <w:ind w:firstLine="720"/>
        <w:rPr>
          <w:rFonts w:asciiTheme="majorBidi" w:hAnsiTheme="majorBidi" w:cstheme="majorBidi"/>
        </w:rPr>
      </w:pPr>
      <w:r w:rsidRPr="002A5475">
        <w:rPr>
          <w:rFonts w:asciiTheme="majorBidi" w:hAnsiTheme="majorBidi" w:cstheme="majorBidi"/>
        </w:rPr>
        <w:t>Press, Inc., 1998.</w:t>
      </w:r>
    </w:p>
    <w:p w14:paraId="52D6B0F5" w14:textId="77777777" w:rsidR="006E0528" w:rsidRPr="002A5475" w:rsidRDefault="006E0528" w:rsidP="006E0528">
      <w:pPr>
        <w:rPr>
          <w:rFonts w:asciiTheme="majorBidi" w:hAnsiTheme="majorBidi" w:cstheme="majorBidi"/>
        </w:rPr>
      </w:pPr>
      <w:r w:rsidRPr="002A5475">
        <w:rPr>
          <w:rFonts w:asciiTheme="majorBidi" w:hAnsiTheme="majorBidi" w:cstheme="majorBidi"/>
        </w:rPr>
        <w:t xml:space="preserve">Pykett, Lyn. </w:t>
      </w:r>
      <w:r w:rsidRPr="002A5475">
        <w:rPr>
          <w:rFonts w:asciiTheme="majorBidi" w:hAnsiTheme="majorBidi" w:cstheme="majorBidi"/>
          <w:i/>
          <w:iCs/>
        </w:rPr>
        <w:t>The Nineteenth Century Sensation Novel</w:t>
      </w:r>
      <w:r w:rsidRPr="002A5475">
        <w:rPr>
          <w:rFonts w:asciiTheme="majorBidi" w:hAnsiTheme="majorBidi" w:cstheme="majorBidi"/>
        </w:rPr>
        <w:t>. Liverpool: Liverpool UP, 2011.</w:t>
      </w:r>
    </w:p>
    <w:p w14:paraId="0225135E" w14:textId="6EDD15F8" w:rsidR="009446A7" w:rsidRPr="002A5475" w:rsidRDefault="009446A7" w:rsidP="009446A7">
      <w:pPr>
        <w:rPr>
          <w:rFonts w:asciiTheme="majorBidi" w:hAnsiTheme="majorBidi" w:cstheme="majorBidi"/>
        </w:rPr>
      </w:pPr>
      <w:r w:rsidRPr="002A5475">
        <w:rPr>
          <w:rFonts w:asciiTheme="majorBidi" w:hAnsiTheme="majorBidi" w:cstheme="majorBidi"/>
        </w:rPr>
        <w:t xml:space="preserve">Pynchon, Thomas. “Is It O.K. to Be a Luddite?” </w:t>
      </w:r>
      <w:r w:rsidRPr="002A5475">
        <w:rPr>
          <w:rFonts w:asciiTheme="majorBidi" w:hAnsiTheme="majorBidi" w:cstheme="majorBidi"/>
          <w:i/>
          <w:iCs/>
        </w:rPr>
        <w:t>The New York Times</w:t>
      </w:r>
      <w:r w:rsidRPr="002A5475">
        <w:rPr>
          <w:rFonts w:asciiTheme="majorBidi" w:hAnsiTheme="majorBidi" w:cstheme="majorBidi"/>
        </w:rPr>
        <w:t>, 28 Oct. 1984.</w:t>
      </w:r>
    </w:p>
    <w:p w14:paraId="6215E6FB" w14:textId="77777777" w:rsidR="00F84874" w:rsidRDefault="00F84874" w:rsidP="00F84874">
      <w:pPr>
        <w:rPr>
          <w:rFonts w:asciiTheme="majorBidi" w:hAnsiTheme="majorBidi" w:cstheme="majorBidi"/>
        </w:rPr>
      </w:pPr>
    </w:p>
    <w:p w14:paraId="38146DA1" w14:textId="02BE858B" w:rsidR="00F84874" w:rsidRDefault="0073481B" w:rsidP="00F84874">
      <w:pPr>
        <w:rPr>
          <w:rFonts w:asciiTheme="majorBidi" w:hAnsiTheme="majorBidi" w:cstheme="majorBidi"/>
        </w:rPr>
      </w:pPr>
      <w:r w:rsidRPr="002A5475">
        <w:rPr>
          <w:rFonts w:asciiTheme="majorBidi" w:hAnsiTheme="majorBidi" w:cstheme="majorBidi"/>
        </w:rPr>
        <w:lastRenderedPageBreak/>
        <w:t xml:space="preserve">Quayson, Ato. </w:t>
      </w:r>
      <w:r w:rsidRPr="002A5475">
        <w:rPr>
          <w:rFonts w:asciiTheme="majorBidi" w:hAnsiTheme="majorBidi" w:cstheme="majorBidi"/>
          <w:i/>
        </w:rPr>
        <w:t>Aesthetic Nervousness: Disability and the Crisis of Representation</w:t>
      </w:r>
      <w:r w:rsidRPr="002A5475">
        <w:rPr>
          <w:rFonts w:asciiTheme="majorBidi" w:hAnsiTheme="majorBidi" w:cstheme="majorBidi"/>
        </w:rPr>
        <w:t>. New York:</w:t>
      </w:r>
      <w:r w:rsidR="004953DD" w:rsidRPr="002A5475">
        <w:rPr>
          <w:rFonts w:asciiTheme="majorBidi" w:hAnsiTheme="majorBidi" w:cstheme="majorBidi"/>
        </w:rPr>
        <w:t xml:space="preserve"> </w:t>
      </w:r>
    </w:p>
    <w:p w14:paraId="5D8DD0DE" w14:textId="68163C4E" w:rsidR="0073481B" w:rsidRPr="002A5475" w:rsidRDefault="0073481B" w:rsidP="00F84874">
      <w:pPr>
        <w:ind w:firstLine="720"/>
        <w:rPr>
          <w:rFonts w:asciiTheme="majorBidi" w:hAnsiTheme="majorBidi" w:cstheme="majorBidi"/>
        </w:rPr>
      </w:pPr>
      <w:r w:rsidRPr="002A5475">
        <w:rPr>
          <w:rFonts w:asciiTheme="majorBidi" w:hAnsiTheme="majorBidi" w:cstheme="majorBidi"/>
        </w:rPr>
        <w:t>Columbia UP, 2007.</w:t>
      </w:r>
    </w:p>
    <w:p w14:paraId="3F890EC1" w14:textId="77777777" w:rsidR="00F84874" w:rsidRDefault="009A6292" w:rsidP="00F84874">
      <w:pPr>
        <w:rPr>
          <w:rFonts w:asciiTheme="majorBidi" w:hAnsiTheme="majorBidi" w:cstheme="majorBidi"/>
          <w:i/>
          <w:iCs/>
          <w:spacing w:val="-5"/>
          <w:shd w:val="clear" w:color="auto" w:fill="FFFFFF"/>
        </w:rPr>
      </w:pPr>
      <w:r w:rsidRPr="002A5475">
        <w:rPr>
          <w:rFonts w:asciiTheme="majorBidi" w:hAnsiTheme="majorBidi" w:cstheme="majorBidi"/>
          <w:spacing w:val="-5"/>
          <w:shd w:val="clear" w:color="auto" w:fill="FFFFFF"/>
        </w:rPr>
        <w:t xml:space="preserve">Rauch, Alan. “The Monstrous Body of Knowledge in Mary Shelley’s </w:t>
      </w:r>
      <w:r w:rsidRPr="002A5475">
        <w:rPr>
          <w:rFonts w:asciiTheme="majorBidi" w:hAnsiTheme="majorBidi" w:cstheme="majorBidi"/>
          <w:i/>
          <w:iCs/>
          <w:spacing w:val="-5"/>
          <w:shd w:val="clear" w:color="auto" w:fill="FFFFFF"/>
        </w:rPr>
        <w:t>Frankenstein</w:t>
      </w:r>
      <w:r w:rsidRPr="002A5475">
        <w:rPr>
          <w:rFonts w:asciiTheme="majorBidi" w:hAnsiTheme="majorBidi" w:cstheme="majorBidi"/>
          <w:spacing w:val="-5"/>
          <w:shd w:val="clear" w:color="auto" w:fill="FFFFFF"/>
        </w:rPr>
        <w:t>.” </w:t>
      </w:r>
      <w:r w:rsidRPr="002A5475">
        <w:rPr>
          <w:rFonts w:asciiTheme="majorBidi" w:hAnsiTheme="majorBidi" w:cstheme="majorBidi"/>
          <w:i/>
          <w:iCs/>
          <w:spacing w:val="-5"/>
          <w:shd w:val="clear" w:color="auto" w:fill="FFFFFF"/>
        </w:rPr>
        <w:t xml:space="preserve">Studies in </w:t>
      </w:r>
    </w:p>
    <w:p w14:paraId="1A2D6EA7" w14:textId="46622DEF" w:rsidR="009A6292" w:rsidRPr="00F84874" w:rsidRDefault="009A6292" w:rsidP="00F84874">
      <w:pPr>
        <w:ind w:firstLine="720"/>
        <w:rPr>
          <w:rFonts w:asciiTheme="majorBidi" w:hAnsiTheme="majorBidi" w:cstheme="majorBidi"/>
          <w:i/>
          <w:iCs/>
          <w:spacing w:val="-5"/>
          <w:shd w:val="clear" w:color="auto" w:fill="FFFFFF"/>
        </w:rPr>
      </w:pPr>
      <w:r w:rsidRPr="002A5475">
        <w:rPr>
          <w:rFonts w:asciiTheme="majorBidi" w:hAnsiTheme="majorBidi" w:cstheme="majorBidi"/>
          <w:i/>
          <w:iCs/>
          <w:spacing w:val="-5"/>
          <w:shd w:val="clear" w:color="auto" w:fill="FFFFFF"/>
        </w:rPr>
        <w:t>Romanticism</w:t>
      </w:r>
      <w:r w:rsidRPr="002A5475">
        <w:rPr>
          <w:rFonts w:asciiTheme="majorBidi" w:hAnsiTheme="majorBidi" w:cstheme="majorBidi"/>
          <w:spacing w:val="-5"/>
          <w:shd w:val="clear" w:color="auto" w:fill="FFFFFF"/>
        </w:rPr>
        <w:t xml:space="preserve"> 34.2 (1995): 227–253.</w:t>
      </w:r>
    </w:p>
    <w:p w14:paraId="03F37BEF" w14:textId="77777777" w:rsidR="00F84874" w:rsidRDefault="00E647CB" w:rsidP="00F84874">
      <w:pPr>
        <w:rPr>
          <w:rStyle w:val="Emphasis"/>
          <w:rFonts w:asciiTheme="majorBidi" w:hAnsiTheme="majorBidi" w:cstheme="majorBidi"/>
          <w:spacing w:val="2"/>
          <w:shd w:val="clear" w:color="auto" w:fill="FCFCFC"/>
        </w:rPr>
      </w:pPr>
      <w:r w:rsidRPr="002A5475">
        <w:rPr>
          <w:rFonts w:asciiTheme="majorBidi" w:hAnsiTheme="majorBidi" w:cstheme="majorBidi"/>
          <w:spacing w:val="2"/>
          <w:shd w:val="clear" w:color="auto" w:fill="FCFCFC"/>
        </w:rPr>
        <w:t>Richards, Thomas. </w:t>
      </w:r>
      <w:r w:rsidRPr="002A5475">
        <w:rPr>
          <w:rStyle w:val="Emphasis"/>
          <w:rFonts w:asciiTheme="majorBidi" w:hAnsiTheme="majorBidi" w:cstheme="majorBidi"/>
          <w:spacing w:val="2"/>
          <w:shd w:val="clear" w:color="auto" w:fill="FCFCFC"/>
        </w:rPr>
        <w:t xml:space="preserve">The Commodity Culture of Victorian England: Advertising and Spectacle, </w:t>
      </w:r>
    </w:p>
    <w:p w14:paraId="62D736BC" w14:textId="2EA8272B" w:rsidR="00E647CB" w:rsidRPr="002A5475" w:rsidRDefault="00E647CB" w:rsidP="00F84874">
      <w:pPr>
        <w:ind w:firstLine="720"/>
        <w:rPr>
          <w:rFonts w:asciiTheme="majorBidi" w:hAnsiTheme="majorBidi" w:cstheme="majorBidi"/>
          <w:i/>
          <w:iCs/>
          <w:spacing w:val="2"/>
          <w:shd w:val="clear" w:color="auto" w:fill="FCFCFC"/>
        </w:rPr>
      </w:pPr>
      <w:r w:rsidRPr="002A5475">
        <w:rPr>
          <w:rStyle w:val="Emphasis"/>
          <w:rFonts w:asciiTheme="majorBidi" w:hAnsiTheme="majorBidi" w:cstheme="majorBidi"/>
          <w:spacing w:val="2"/>
          <w:shd w:val="clear" w:color="auto" w:fill="FCFCFC"/>
        </w:rPr>
        <w:t>1851–1914</w:t>
      </w:r>
      <w:r w:rsidRPr="002A5475">
        <w:rPr>
          <w:rStyle w:val="Emphasis"/>
          <w:rFonts w:asciiTheme="majorBidi" w:hAnsiTheme="majorBidi" w:cstheme="majorBidi"/>
          <w:i w:val="0"/>
          <w:iCs w:val="0"/>
          <w:spacing w:val="2"/>
          <w:shd w:val="clear" w:color="auto" w:fill="FCFCFC"/>
        </w:rPr>
        <w:t>.</w:t>
      </w:r>
      <w:r w:rsidRPr="002A5475">
        <w:rPr>
          <w:rFonts w:asciiTheme="majorBidi" w:hAnsiTheme="majorBidi" w:cstheme="majorBidi"/>
          <w:spacing w:val="2"/>
          <w:shd w:val="clear" w:color="auto" w:fill="FCFCFC"/>
        </w:rPr>
        <w:t> Stanford: Stanford UP, 1990.</w:t>
      </w:r>
    </w:p>
    <w:p w14:paraId="7C9C579F" w14:textId="77777777" w:rsidR="009858BB" w:rsidRPr="002A5475" w:rsidRDefault="009858BB" w:rsidP="009858BB">
      <w:pPr>
        <w:rPr>
          <w:rFonts w:asciiTheme="majorBidi" w:hAnsiTheme="majorBidi" w:cstheme="majorBidi"/>
        </w:rPr>
      </w:pPr>
      <w:r w:rsidRPr="002A5475">
        <w:rPr>
          <w:rFonts w:asciiTheme="majorBidi" w:hAnsiTheme="majorBidi" w:cstheme="majorBidi"/>
        </w:rPr>
        <w:t xml:space="preserve">Ritvo, Harriet. </w:t>
      </w:r>
      <w:r w:rsidRPr="002A5475">
        <w:rPr>
          <w:rFonts w:asciiTheme="majorBidi" w:hAnsiTheme="majorBidi" w:cstheme="majorBidi"/>
          <w:i/>
          <w:iCs/>
        </w:rPr>
        <w:t>The Animal Estate: The English and Other Creatures in the Victorian Age</w:t>
      </w:r>
      <w:r w:rsidRPr="002A5475">
        <w:rPr>
          <w:rFonts w:asciiTheme="majorBidi" w:hAnsiTheme="majorBidi" w:cstheme="majorBidi"/>
        </w:rPr>
        <w:t xml:space="preserve">. </w:t>
      </w:r>
    </w:p>
    <w:p w14:paraId="776ECF3F" w14:textId="1DFC8C3A" w:rsidR="009858BB" w:rsidRPr="002A5475" w:rsidRDefault="009858BB" w:rsidP="009858BB">
      <w:pPr>
        <w:ind w:firstLine="720"/>
        <w:rPr>
          <w:rFonts w:asciiTheme="majorBidi" w:hAnsiTheme="majorBidi" w:cstheme="majorBidi"/>
        </w:rPr>
      </w:pPr>
      <w:r w:rsidRPr="002A5475">
        <w:rPr>
          <w:rFonts w:asciiTheme="majorBidi" w:hAnsiTheme="majorBidi" w:cstheme="majorBidi"/>
        </w:rPr>
        <w:t xml:space="preserve">Cambridge: Harvard UP, 1989. </w:t>
      </w:r>
    </w:p>
    <w:p w14:paraId="0D010970" w14:textId="77777777" w:rsidR="00F84874" w:rsidRDefault="0073481B" w:rsidP="00F84874">
      <w:pPr>
        <w:rPr>
          <w:rFonts w:asciiTheme="majorBidi" w:hAnsiTheme="majorBidi" w:cstheme="majorBidi"/>
        </w:rPr>
      </w:pPr>
      <w:r w:rsidRPr="002A5475">
        <w:rPr>
          <w:rFonts w:asciiTheme="majorBidi" w:hAnsiTheme="majorBidi" w:cstheme="majorBidi"/>
        </w:rPr>
        <w:t xml:space="preserve">Robert, Marthe. From </w:t>
      </w:r>
      <w:r w:rsidRPr="002A5475">
        <w:rPr>
          <w:rFonts w:asciiTheme="majorBidi" w:hAnsiTheme="majorBidi" w:cstheme="majorBidi"/>
          <w:i/>
        </w:rPr>
        <w:t>Origins of the Novel</w:t>
      </w:r>
      <w:r w:rsidRPr="002A5475">
        <w:rPr>
          <w:rFonts w:asciiTheme="majorBidi" w:hAnsiTheme="majorBidi" w:cstheme="majorBidi"/>
        </w:rPr>
        <w:t xml:space="preserve">. </w:t>
      </w:r>
      <w:r w:rsidRPr="002A5475">
        <w:rPr>
          <w:rFonts w:asciiTheme="majorBidi" w:hAnsiTheme="majorBidi" w:cstheme="majorBidi"/>
          <w:i/>
        </w:rPr>
        <w:t>Theory of the Novel: A Historical Approach</w:t>
      </w:r>
      <w:r w:rsidRPr="002A5475">
        <w:rPr>
          <w:rFonts w:asciiTheme="majorBidi" w:hAnsiTheme="majorBidi" w:cstheme="majorBidi"/>
        </w:rPr>
        <w:t xml:space="preserve">. Ed. </w:t>
      </w:r>
    </w:p>
    <w:p w14:paraId="2492B72E" w14:textId="187649FC" w:rsidR="0073481B" w:rsidRPr="002A5475" w:rsidRDefault="0073481B" w:rsidP="00F84874">
      <w:pPr>
        <w:ind w:firstLine="720"/>
        <w:rPr>
          <w:rFonts w:asciiTheme="majorBidi" w:hAnsiTheme="majorBidi" w:cstheme="majorBidi"/>
        </w:rPr>
      </w:pPr>
      <w:r w:rsidRPr="002A5475">
        <w:rPr>
          <w:rFonts w:asciiTheme="majorBidi" w:hAnsiTheme="majorBidi" w:cstheme="majorBidi"/>
        </w:rPr>
        <w:t xml:space="preserve">Michael McKeon. Baltimore: The Johns Hopkins </w:t>
      </w:r>
      <w:r w:rsidR="00833C42">
        <w:rPr>
          <w:rFonts w:asciiTheme="majorBidi" w:hAnsiTheme="majorBidi" w:cstheme="majorBidi"/>
        </w:rPr>
        <w:t>UP</w:t>
      </w:r>
      <w:r w:rsidRPr="002A5475">
        <w:rPr>
          <w:rFonts w:asciiTheme="majorBidi" w:hAnsiTheme="majorBidi" w:cstheme="majorBidi"/>
        </w:rPr>
        <w:t>, 2000. 57-69.</w:t>
      </w:r>
    </w:p>
    <w:p w14:paraId="2B64EC04" w14:textId="77777777" w:rsidR="00F84874" w:rsidRDefault="0073481B" w:rsidP="00F84874">
      <w:pPr>
        <w:rPr>
          <w:rFonts w:asciiTheme="majorBidi" w:hAnsiTheme="majorBidi" w:cstheme="majorBidi"/>
        </w:rPr>
      </w:pPr>
      <w:r w:rsidRPr="002A5475">
        <w:rPr>
          <w:rFonts w:asciiTheme="majorBidi" w:hAnsiTheme="majorBidi" w:cstheme="majorBidi"/>
        </w:rPr>
        <w:t xml:space="preserve">Rodas, Julia Miele. “Mainstreaming Disability Studies?” </w:t>
      </w:r>
      <w:r w:rsidRPr="002A5475">
        <w:rPr>
          <w:rFonts w:asciiTheme="majorBidi" w:hAnsiTheme="majorBidi" w:cstheme="majorBidi"/>
          <w:i/>
        </w:rPr>
        <w:t>Victorian Literature and Culture</w:t>
      </w:r>
      <w:r w:rsidRPr="002A5475">
        <w:rPr>
          <w:rFonts w:asciiTheme="majorBidi" w:hAnsiTheme="majorBidi" w:cstheme="majorBidi"/>
        </w:rPr>
        <w:t xml:space="preserve"> 34 </w:t>
      </w:r>
    </w:p>
    <w:p w14:paraId="2B8A3415" w14:textId="0760E604" w:rsidR="0073481B" w:rsidRPr="00F84874" w:rsidRDefault="0073481B" w:rsidP="00F84874">
      <w:pPr>
        <w:ind w:firstLine="720"/>
        <w:rPr>
          <w:rFonts w:asciiTheme="majorBidi" w:hAnsiTheme="majorBidi" w:cstheme="majorBidi"/>
          <w:i/>
        </w:rPr>
      </w:pPr>
      <w:r w:rsidRPr="002A5475">
        <w:rPr>
          <w:rFonts w:asciiTheme="majorBidi" w:hAnsiTheme="majorBidi" w:cstheme="majorBidi"/>
        </w:rPr>
        <w:t>(2006): 371-84.</w:t>
      </w:r>
    </w:p>
    <w:p w14:paraId="0450E07C" w14:textId="77777777" w:rsidR="00F84874" w:rsidRDefault="0073481B" w:rsidP="00F84874">
      <w:pPr>
        <w:rPr>
          <w:rFonts w:asciiTheme="majorBidi" w:hAnsiTheme="majorBidi" w:cstheme="majorBidi"/>
          <w:i/>
        </w:rPr>
      </w:pPr>
      <w:r w:rsidRPr="002A5475">
        <w:rPr>
          <w:rFonts w:asciiTheme="majorBidi" w:hAnsiTheme="majorBidi" w:cstheme="majorBidi"/>
        </w:rPr>
        <w:t xml:space="preserve">Rorty, Amélie Oksenberg. “Characters, Persons, Selves, Individuals.” </w:t>
      </w:r>
      <w:r w:rsidRPr="002A5475">
        <w:rPr>
          <w:rFonts w:asciiTheme="majorBidi" w:hAnsiTheme="majorBidi" w:cstheme="majorBidi"/>
          <w:i/>
        </w:rPr>
        <w:t>Theory of the Novel:</w:t>
      </w:r>
      <w:r w:rsidR="004953DD" w:rsidRPr="002A5475">
        <w:rPr>
          <w:rFonts w:asciiTheme="majorBidi" w:hAnsiTheme="majorBidi" w:cstheme="majorBidi"/>
          <w:i/>
        </w:rPr>
        <w:t xml:space="preserve"> </w:t>
      </w:r>
    </w:p>
    <w:p w14:paraId="5EAEECB4" w14:textId="77777777" w:rsidR="00F84874" w:rsidRDefault="0073481B" w:rsidP="00F84874">
      <w:pPr>
        <w:ind w:firstLine="720"/>
        <w:rPr>
          <w:rFonts w:asciiTheme="majorBidi" w:hAnsiTheme="majorBidi" w:cstheme="majorBidi"/>
        </w:rPr>
      </w:pPr>
      <w:r w:rsidRPr="002A5475">
        <w:rPr>
          <w:rFonts w:asciiTheme="majorBidi" w:hAnsiTheme="majorBidi" w:cstheme="majorBidi"/>
          <w:i/>
        </w:rPr>
        <w:t>Historical Approach</w:t>
      </w:r>
      <w:r w:rsidRPr="002A5475">
        <w:rPr>
          <w:rFonts w:asciiTheme="majorBidi" w:hAnsiTheme="majorBidi" w:cstheme="majorBidi"/>
        </w:rPr>
        <w:t xml:space="preserve">. Ed. Michael McKeon. Baltimore: The Johns Hopkins UP, 2000. </w:t>
      </w:r>
    </w:p>
    <w:p w14:paraId="50F7A390" w14:textId="51590202" w:rsidR="0073481B" w:rsidRPr="002A5475" w:rsidRDefault="0073481B" w:rsidP="00F84874">
      <w:pPr>
        <w:ind w:left="720"/>
        <w:rPr>
          <w:rFonts w:asciiTheme="majorBidi" w:hAnsiTheme="majorBidi" w:cstheme="majorBidi"/>
          <w:i/>
        </w:rPr>
      </w:pPr>
      <w:r w:rsidRPr="002A5475">
        <w:rPr>
          <w:rFonts w:asciiTheme="majorBidi" w:hAnsiTheme="majorBidi" w:cstheme="majorBidi"/>
        </w:rPr>
        <w:t>537-553.</w:t>
      </w:r>
    </w:p>
    <w:p w14:paraId="24B9F7DA" w14:textId="77777777" w:rsidR="00F84874" w:rsidRDefault="00DE257E" w:rsidP="00F84874">
      <w:pPr>
        <w:rPr>
          <w:rFonts w:asciiTheme="majorBidi" w:hAnsiTheme="majorBidi" w:cstheme="majorBidi"/>
        </w:rPr>
      </w:pPr>
      <w:r w:rsidRPr="002A5475">
        <w:rPr>
          <w:rFonts w:asciiTheme="majorBidi" w:hAnsiTheme="majorBidi" w:cstheme="majorBidi"/>
        </w:rPr>
        <w:t xml:space="preserve">Schaffer, Talia. </w:t>
      </w:r>
      <w:bookmarkStart w:id="45" w:name="_Hlk96009486"/>
      <w:r w:rsidRPr="002A5475">
        <w:rPr>
          <w:rFonts w:asciiTheme="majorBidi" w:hAnsiTheme="majorBidi" w:cstheme="majorBidi"/>
          <w:i/>
          <w:iCs/>
        </w:rPr>
        <w:t>Communities of Care: The Social Ethics of Victorian Fiction</w:t>
      </w:r>
      <w:r w:rsidRPr="002A5475">
        <w:rPr>
          <w:rFonts w:asciiTheme="majorBidi" w:hAnsiTheme="majorBidi" w:cstheme="majorBidi"/>
        </w:rPr>
        <w:t>. Princeton:</w:t>
      </w:r>
      <w:r w:rsidR="00F84874">
        <w:rPr>
          <w:rFonts w:asciiTheme="majorBidi" w:hAnsiTheme="majorBidi" w:cstheme="majorBidi"/>
        </w:rPr>
        <w:t xml:space="preserve"> </w:t>
      </w:r>
    </w:p>
    <w:p w14:paraId="27FC0DE2" w14:textId="6DDF25CC" w:rsidR="00DE257E" w:rsidRPr="002A5475" w:rsidRDefault="00DE257E" w:rsidP="00F84874">
      <w:pPr>
        <w:ind w:firstLine="720"/>
        <w:rPr>
          <w:rFonts w:asciiTheme="majorBidi" w:hAnsiTheme="majorBidi" w:cstheme="majorBidi"/>
        </w:rPr>
      </w:pPr>
      <w:r w:rsidRPr="002A5475">
        <w:rPr>
          <w:rFonts w:asciiTheme="majorBidi" w:hAnsiTheme="majorBidi" w:cstheme="majorBidi"/>
        </w:rPr>
        <w:t xml:space="preserve">Princeton UP, 2021. </w:t>
      </w:r>
    </w:p>
    <w:p w14:paraId="3F46B0EC" w14:textId="77777777" w:rsidR="00F84874" w:rsidRDefault="00DE257E" w:rsidP="00F84874">
      <w:pPr>
        <w:rPr>
          <w:rFonts w:asciiTheme="majorBidi" w:hAnsiTheme="majorBidi" w:cstheme="majorBidi"/>
          <w:i/>
          <w:iCs/>
        </w:rPr>
      </w:pPr>
      <w:r w:rsidRPr="002A5475">
        <w:rPr>
          <w:rFonts w:asciiTheme="majorBidi" w:hAnsiTheme="majorBidi" w:cstheme="majorBidi"/>
        </w:rPr>
        <w:t xml:space="preserve">______. “Disabling Marriage: Communities of Care in Our Mutual Friend.” </w:t>
      </w:r>
      <w:bookmarkEnd w:id="45"/>
      <w:r w:rsidRPr="002A5475">
        <w:rPr>
          <w:rFonts w:asciiTheme="majorBidi" w:hAnsiTheme="majorBidi" w:cstheme="majorBidi"/>
          <w:i/>
          <w:iCs/>
        </w:rPr>
        <w:t xml:space="preserve">Replotting Marriage </w:t>
      </w:r>
    </w:p>
    <w:p w14:paraId="5EA4093D" w14:textId="77777777" w:rsidR="00F84874" w:rsidRDefault="00DE257E" w:rsidP="00F84874">
      <w:pPr>
        <w:ind w:firstLine="720"/>
        <w:rPr>
          <w:rFonts w:asciiTheme="majorBidi" w:hAnsiTheme="majorBidi" w:cstheme="majorBidi"/>
        </w:rPr>
      </w:pPr>
      <w:r w:rsidRPr="002A5475">
        <w:rPr>
          <w:rFonts w:asciiTheme="majorBidi" w:hAnsiTheme="majorBidi" w:cstheme="majorBidi"/>
          <w:i/>
          <w:iCs/>
        </w:rPr>
        <w:t>in Nineteenth-Century British Literature</w:t>
      </w:r>
      <w:r w:rsidRPr="002A5475">
        <w:rPr>
          <w:rFonts w:asciiTheme="majorBidi" w:hAnsiTheme="majorBidi" w:cstheme="majorBidi"/>
        </w:rPr>
        <w:t xml:space="preserve">. Eds. Jill Galvan and Elsie Michie. Columbus: </w:t>
      </w:r>
    </w:p>
    <w:p w14:paraId="147C4C67" w14:textId="5083781E" w:rsidR="00DE257E" w:rsidRPr="00F84874" w:rsidRDefault="00DE257E" w:rsidP="00F84874">
      <w:pPr>
        <w:ind w:left="720"/>
        <w:rPr>
          <w:rFonts w:asciiTheme="majorBidi" w:hAnsiTheme="majorBidi" w:cstheme="majorBidi"/>
          <w:i/>
          <w:iCs/>
        </w:rPr>
      </w:pPr>
      <w:r w:rsidRPr="002A5475">
        <w:rPr>
          <w:rFonts w:asciiTheme="majorBidi" w:hAnsiTheme="majorBidi" w:cstheme="majorBidi"/>
        </w:rPr>
        <w:t xml:space="preserve">Ohio State UP, 2018. 92–219. </w:t>
      </w:r>
    </w:p>
    <w:p w14:paraId="646B6BBD" w14:textId="573C5C84" w:rsidR="0073481B" w:rsidRPr="002A5475" w:rsidRDefault="0073481B" w:rsidP="00F84874">
      <w:pPr>
        <w:rPr>
          <w:rFonts w:asciiTheme="majorBidi" w:hAnsiTheme="majorBidi" w:cstheme="majorBidi"/>
        </w:rPr>
      </w:pPr>
      <w:r w:rsidRPr="002A5475">
        <w:rPr>
          <w:rFonts w:asciiTheme="majorBidi" w:hAnsiTheme="majorBidi" w:cstheme="majorBidi"/>
        </w:rPr>
        <w:t xml:space="preserve">Schor, Hilary M. </w:t>
      </w:r>
      <w:r w:rsidRPr="002A5475">
        <w:rPr>
          <w:rFonts w:asciiTheme="majorBidi" w:hAnsiTheme="majorBidi" w:cstheme="majorBidi"/>
          <w:i/>
        </w:rPr>
        <w:t xml:space="preserve">Dickens and the </w:t>
      </w:r>
      <w:proofErr w:type="gramStart"/>
      <w:r w:rsidRPr="002A5475">
        <w:rPr>
          <w:rFonts w:asciiTheme="majorBidi" w:hAnsiTheme="majorBidi" w:cstheme="majorBidi"/>
          <w:i/>
        </w:rPr>
        <w:t>Daughter</w:t>
      </w:r>
      <w:proofErr w:type="gramEnd"/>
      <w:r w:rsidRPr="002A5475">
        <w:rPr>
          <w:rFonts w:asciiTheme="majorBidi" w:hAnsiTheme="majorBidi" w:cstheme="majorBidi"/>
          <w:i/>
        </w:rPr>
        <w:t xml:space="preserve"> of the House</w:t>
      </w:r>
      <w:r w:rsidRPr="002A5475">
        <w:rPr>
          <w:rFonts w:asciiTheme="majorBidi" w:hAnsiTheme="majorBidi" w:cstheme="majorBidi"/>
        </w:rPr>
        <w:t>. New York: Cambridge UP,1999.</w:t>
      </w:r>
    </w:p>
    <w:p w14:paraId="08111997" w14:textId="77777777" w:rsidR="0073481B" w:rsidRPr="002A5475" w:rsidRDefault="0073481B" w:rsidP="0073481B">
      <w:pPr>
        <w:rPr>
          <w:rFonts w:asciiTheme="majorBidi" w:hAnsiTheme="majorBidi" w:cstheme="majorBidi"/>
        </w:rPr>
      </w:pPr>
      <w:r w:rsidRPr="002A5475">
        <w:rPr>
          <w:rFonts w:asciiTheme="majorBidi" w:hAnsiTheme="majorBidi" w:cstheme="majorBidi"/>
        </w:rPr>
        <w:t xml:space="preserve">Sha, Richard C. </w:t>
      </w:r>
      <w:r w:rsidRPr="002A5475">
        <w:rPr>
          <w:rFonts w:asciiTheme="majorBidi" w:hAnsiTheme="majorBidi" w:cstheme="majorBidi"/>
          <w:i/>
          <w:iCs/>
        </w:rPr>
        <w:t>Perverse Romanticism: Aesthetics and Sexuality in Britain, 1750-1832</w:t>
      </w:r>
      <w:r w:rsidRPr="002A5475">
        <w:rPr>
          <w:rFonts w:asciiTheme="majorBidi" w:hAnsiTheme="majorBidi" w:cstheme="majorBidi"/>
        </w:rPr>
        <w:t xml:space="preserve">. </w:t>
      </w:r>
    </w:p>
    <w:p w14:paraId="130F66DD" w14:textId="433FA958" w:rsidR="0073481B" w:rsidRPr="002A5475" w:rsidRDefault="0073481B" w:rsidP="0073481B">
      <w:pPr>
        <w:ind w:firstLine="720"/>
        <w:rPr>
          <w:rFonts w:asciiTheme="majorBidi" w:hAnsiTheme="majorBidi" w:cstheme="majorBidi"/>
        </w:rPr>
      </w:pPr>
      <w:r w:rsidRPr="002A5475">
        <w:rPr>
          <w:rFonts w:asciiTheme="majorBidi" w:hAnsiTheme="majorBidi" w:cstheme="majorBidi"/>
        </w:rPr>
        <w:t xml:space="preserve">Baltimore: Johns Hopkins </w:t>
      </w:r>
      <w:r w:rsidR="006A4AF6">
        <w:rPr>
          <w:rFonts w:asciiTheme="majorBidi" w:hAnsiTheme="majorBidi" w:cstheme="majorBidi"/>
        </w:rPr>
        <w:t>UP</w:t>
      </w:r>
      <w:r w:rsidRPr="002A5475">
        <w:rPr>
          <w:rFonts w:asciiTheme="majorBidi" w:hAnsiTheme="majorBidi" w:cstheme="majorBidi"/>
        </w:rPr>
        <w:t>, 2009.</w:t>
      </w:r>
    </w:p>
    <w:p w14:paraId="50E9D7D1" w14:textId="77777777" w:rsidR="0073481B" w:rsidRPr="002A5475" w:rsidRDefault="0073481B" w:rsidP="0073481B">
      <w:pPr>
        <w:rPr>
          <w:rFonts w:asciiTheme="majorBidi" w:hAnsiTheme="majorBidi" w:cstheme="majorBidi"/>
        </w:rPr>
      </w:pPr>
      <w:r w:rsidRPr="002A5475">
        <w:rPr>
          <w:rFonts w:asciiTheme="majorBidi" w:hAnsiTheme="majorBidi" w:cstheme="majorBidi"/>
        </w:rPr>
        <w:t xml:space="preserve">Shakespeare, Tom. “The Social Model of Disability.” </w:t>
      </w:r>
      <w:r w:rsidRPr="002A5475">
        <w:rPr>
          <w:rFonts w:asciiTheme="majorBidi" w:hAnsiTheme="majorBidi" w:cstheme="majorBidi"/>
          <w:i/>
          <w:iCs/>
        </w:rPr>
        <w:t>The Disability Studies Reader</w:t>
      </w:r>
      <w:r w:rsidRPr="002A5475">
        <w:rPr>
          <w:rFonts w:asciiTheme="majorBidi" w:hAnsiTheme="majorBidi" w:cstheme="majorBidi"/>
        </w:rPr>
        <w:t xml:space="preserve">. Ed. </w:t>
      </w:r>
    </w:p>
    <w:p w14:paraId="36095B39" w14:textId="6A23C91D" w:rsidR="0073481B" w:rsidRPr="002A5475" w:rsidRDefault="0073481B" w:rsidP="0073481B">
      <w:pPr>
        <w:ind w:firstLine="720"/>
        <w:rPr>
          <w:rFonts w:asciiTheme="majorBidi" w:hAnsiTheme="majorBidi" w:cstheme="majorBidi"/>
        </w:rPr>
      </w:pPr>
      <w:r w:rsidRPr="002A5475">
        <w:rPr>
          <w:rFonts w:asciiTheme="majorBidi" w:hAnsiTheme="majorBidi" w:cstheme="majorBidi"/>
        </w:rPr>
        <w:t>Lennard J. David. New York: Routledge, 2013. 215–21.</w:t>
      </w:r>
    </w:p>
    <w:p w14:paraId="79E74DC6" w14:textId="399FA8E1" w:rsidR="00661BC3" w:rsidRPr="002A5475" w:rsidRDefault="00661BC3" w:rsidP="00661BC3">
      <w:pPr>
        <w:rPr>
          <w:rFonts w:asciiTheme="majorBidi" w:hAnsiTheme="majorBidi" w:cstheme="majorBidi"/>
        </w:rPr>
      </w:pPr>
      <w:r w:rsidRPr="002A5475">
        <w:rPr>
          <w:rFonts w:asciiTheme="majorBidi" w:hAnsiTheme="majorBidi" w:cstheme="majorBidi"/>
        </w:rPr>
        <w:t xml:space="preserve">Shaw, Philip A. </w:t>
      </w:r>
      <w:r w:rsidRPr="002A5475">
        <w:rPr>
          <w:rFonts w:asciiTheme="majorBidi" w:hAnsiTheme="majorBidi" w:cstheme="majorBidi"/>
          <w:i/>
          <w:iCs/>
        </w:rPr>
        <w:t>The Sublime</w:t>
      </w:r>
      <w:r w:rsidRPr="002A5475">
        <w:rPr>
          <w:rFonts w:asciiTheme="majorBidi" w:hAnsiTheme="majorBidi" w:cstheme="majorBidi"/>
        </w:rPr>
        <w:t>. 2</w:t>
      </w:r>
      <w:r w:rsidRPr="002A5475">
        <w:rPr>
          <w:rFonts w:asciiTheme="majorBidi" w:hAnsiTheme="majorBidi" w:cstheme="majorBidi"/>
          <w:vertAlign w:val="superscript"/>
        </w:rPr>
        <w:t>nd</w:t>
      </w:r>
      <w:r w:rsidRPr="002A5475">
        <w:rPr>
          <w:rFonts w:asciiTheme="majorBidi" w:hAnsiTheme="majorBidi" w:cstheme="majorBidi"/>
        </w:rPr>
        <w:t xml:space="preserve"> Ed. New York: Routledge, 2017.</w:t>
      </w:r>
    </w:p>
    <w:p w14:paraId="007253C2" w14:textId="77777777" w:rsidR="00F84874" w:rsidRDefault="0073481B" w:rsidP="00F84874">
      <w:pPr>
        <w:rPr>
          <w:rFonts w:asciiTheme="majorBidi" w:hAnsiTheme="majorBidi" w:cstheme="majorBidi"/>
          <w:i/>
        </w:rPr>
      </w:pPr>
      <w:r w:rsidRPr="002A5475">
        <w:rPr>
          <w:rFonts w:asciiTheme="majorBidi" w:hAnsiTheme="majorBidi" w:cstheme="majorBidi"/>
        </w:rPr>
        <w:t xml:space="preserve">Showalter, Elaine. “Guilt, Authority, and the Shadows of </w:t>
      </w:r>
      <w:r w:rsidRPr="002A5475">
        <w:rPr>
          <w:rFonts w:asciiTheme="majorBidi" w:hAnsiTheme="majorBidi" w:cstheme="majorBidi"/>
          <w:i/>
        </w:rPr>
        <w:t>Little Dorrit</w:t>
      </w:r>
      <w:r w:rsidRPr="002A5475">
        <w:rPr>
          <w:rFonts w:asciiTheme="majorBidi" w:hAnsiTheme="majorBidi" w:cstheme="majorBidi"/>
        </w:rPr>
        <w:t xml:space="preserve">.” </w:t>
      </w:r>
      <w:r w:rsidRPr="002A5475">
        <w:rPr>
          <w:rFonts w:asciiTheme="majorBidi" w:hAnsiTheme="majorBidi" w:cstheme="majorBidi"/>
          <w:i/>
        </w:rPr>
        <w:t xml:space="preserve">Nineteenth-Century </w:t>
      </w:r>
    </w:p>
    <w:p w14:paraId="1FFD5B92" w14:textId="16ACDBA0" w:rsidR="0073481B" w:rsidRPr="00F84874" w:rsidRDefault="0073481B" w:rsidP="00F84874">
      <w:pPr>
        <w:ind w:firstLine="720"/>
        <w:rPr>
          <w:rFonts w:asciiTheme="majorBidi" w:hAnsiTheme="majorBidi" w:cstheme="majorBidi"/>
          <w:i/>
        </w:rPr>
      </w:pPr>
      <w:r w:rsidRPr="002A5475">
        <w:rPr>
          <w:rFonts w:asciiTheme="majorBidi" w:hAnsiTheme="majorBidi" w:cstheme="majorBidi"/>
          <w:i/>
        </w:rPr>
        <w:t>Fiction</w:t>
      </w:r>
      <w:r w:rsidRPr="002A5475">
        <w:rPr>
          <w:rFonts w:asciiTheme="majorBidi" w:hAnsiTheme="majorBidi" w:cstheme="majorBidi"/>
        </w:rPr>
        <w:t xml:space="preserve"> 34.1 (Jun. 1979): 20-40.</w:t>
      </w:r>
    </w:p>
    <w:p w14:paraId="3DCB94BA" w14:textId="77777777" w:rsidR="00F84874" w:rsidRDefault="0073481B" w:rsidP="00F84874">
      <w:pPr>
        <w:rPr>
          <w:rFonts w:asciiTheme="majorBidi" w:hAnsiTheme="majorBidi" w:cstheme="majorBidi"/>
          <w:shd w:val="clear" w:color="auto" w:fill="FFFFFF"/>
        </w:rPr>
      </w:pPr>
      <w:r w:rsidRPr="002A5475">
        <w:rPr>
          <w:rFonts w:asciiTheme="majorBidi" w:hAnsiTheme="majorBidi" w:cstheme="majorBidi"/>
        </w:rPr>
        <w:t xml:space="preserve">Siebers, Tobin. </w:t>
      </w:r>
      <w:r w:rsidRPr="002A5475">
        <w:rPr>
          <w:rFonts w:asciiTheme="majorBidi" w:hAnsiTheme="majorBidi" w:cstheme="majorBidi"/>
          <w:shd w:val="clear" w:color="auto" w:fill="FFFFFF"/>
        </w:rPr>
        <w:t xml:space="preserve">“Disability in Theory: From Social Constructionism to the New Realism of the </w:t>
      </w:r>
    </w:p>
    <w:p w14:paraId="2B9244C9" w14:textId="5A27A401" w:rsidR="0073481B" w:rsidRPr="002A5475" w:rsidRDefault="0073481B" w:rsidP="00F84874">
      <w:pPr>
        <w:ind w:firstLine="720"/>
        <w:rPr>
          <w:rFonts w:asciiTheme="majorBidi" w:hAnsiTheme="majorBidi" w:cstheme="majorBidi"/>
          <w:shd w:val="clear" w:color="auto" w:fill="FFFFFF"/>
        </w:rPr>
      </w:pPr>
      <w:r w:rsidRPr="002A5475">
        <w:rPr>
          <w:rFonts w:asciiTheme="majorBidi" w:hAnsiTheme="majorBidi" w:cstheme="majorBidi"/>
          <w:shd w:val="clear" w:color="auto" w:fill="FFFFFF"/>
        </w:rPr>
        <w:t>Body.” </w:t>
      </w:r>
      <w:r w:rsidRPr="002A5475">
        <w:rPr>
          <w:rFonts w:asciiTheme="majorBidi" w:hAnsiTheme="majorBidi" w:cstheme="majorBidi"/>
          <w:i/>
          <w:iCs/>
          <w:shd w:val="clear" w:color="auto" w:fill="FFFFFF"/>
        </w:rPr>
        <w:t>American Literary History</w:t>
      </w:r>
      <w:r w:rsidRPr="002A5475">
        <w:rPr>
          <w:rFonts w:asciiTheme="majorBidi" w:hAnsiTheme="majorBidi" w:cstheme="majorBidi"/>
          <w:shd w:val="clear" w:color="auto" w:fill="FFFFFF"/>
        </w:rPr>
        <w:t> 13.4 (2001): 737–754.</w:t>
      </w:r>
    </w:p>
    <w:p w14:paraId="25659C74" w14:textId="46AB9137" w:rsidR="0073481B" w:rsidRPr="002A5475" w:rsidRDefault="0073481B" w:rsidP="003D5505">
      <w:pPr>
        <w:rPr>
          <w:rFonts w:asciiTheme="majorBidi" w:hAnsiTheme="majorBidi" w:cstheme="majorBidi"/>
        </w:rPr>
      </w:pPr>
      <w:r w:rsidRPr="002A5475">
        <w:rPr>
          <w:rFonts w:asciiTheme="majorBidi" w:hAnsiTheme="majorBidi" w:cstheme="majorBidi"/>
        </w:rPr>
        <w:t xml:space="preserve">______. </w:t>
      </w:r>
      <w:r w:rsidRPr="002A5475">
        <w:rPr>
          <w:rFonts w:asciiTheme="majorBidi" w:hAnsiTheme="majorBidi" w:cstheme="majorBidi"/>
          <w:i/>
          <w:iCs/>
        </w:rPr>
        <w:t>Disability Theory</w:t>
      </w:r>
      <w:r w:rsidRPr="002A5475">
        <w:rPr>
          <w:rFonts w:asciiTheme="majorBidi" w:hAnsiTheme="majorBidi" w:cstheme="majorBidi"/>
        </w:rPr>
        <w:t>. Ann Arbor: University of Michigan Press, 2008.</w:t>
      </w:r>
    </w:p>
    <w:p w14:paraId="44E1F209" w14:textId="77777777" w:rsidR="00F84874" w:rsidRDefault="00154B28" w:rsidP="00F84874">
      <w:pPr>
        <w:rPr>
          <w:rFonts w:asciiTheme="majorBidi" w:hAnsiTheme="majorBidi" w:cstheme="majorBidi"/>
        </w:rPr>
      </w:pPr>
      <w:r w:rsidRPr="002A5475">
        <w:rPr>
          <w:rFonts w:asciiTheme="majorBidi" w:hAnsiTheme="majorBidi" w:cstheme="majorBidi"/>
        </w:rPr>
        <w:t xml:space="preserve">Singer, Peter. </w:t>
      </w:r>
      <w:r w:rsidRPr="002A5475">
        <w:rPr>
          <w:rFonts w:asciiTheme="majorBidi" w:hAnsiTheme="majorBidi" w:cstheme="majorBidi"/>
          <w:i/>
          <w:iCs/>
        </w:rPr>
        <w:t>Animal Liberation: A New Ethics for Our Treatment of Animals</w:t>
      </w:r>
      <w:r w:rsidRPr="002A5475">
        <w:rPr>
          <w:rFonts w:asciiTheme="majorBidi" w:hAnsiTheme="majorBidi" w:cstheme="majorBidi"/>
        </w:rPr>
        <w:t xml:space="preserve">. </w:t>
      </w:r>
      <w:r w:rsidR="00833F8C" w:rsidRPr="002A5475">
        <w:rPr>
          <w:rFonts w:asciiTheme="majorBidi" w:hAnsiTheme="majorBidi" w:cstheme="majorBidi"/>
        </w:rPr>
        <w:t xml:space="preserve">New York: Avon </w:t>
      </w:r>
    </w:p>
    <w:p w14:paraId="14EFFA48" w14:textId="41CF32F0" w:rsidR="00154B28" w:rsidRPr="002A5475" w:rsidRDefault="00833F8C" w:rsidP="00F84874">
      <w:pPr>
        <w:ind w:firstLine="720"/>
        <w:rPr>
          <w:rFonts w:asciiTheme="majorBidi" w:hAnsiTheme="majorBidi" w:cstheme="majorBidi"/>
        </w:rPr>
      </w:pPr>
      <w:r w:rsidRPr="002A5475">
        <w:rPr>
          <w:rFonts w:asciiTheme="majorBidi" w:hAnsiTheme="majorBidi" w:cstheme="majorBidi"/>
        </w:rPr>
        <w:t>Books, 1975.</w:t>
      </w:r>
    </w:p>
    <w:p w14:paraId="57559DB6" w14:textId="77777777" w:rsidR="00E977F2" w:rsidRPr="002A5475" w:rsidRDefault="00E977F2" w:rsidP="00E977F2">
      <w:pPr>
        <w:rPr>
          <w:rFonts w:asciiTheme="majorBidi" w:hAnsiTheme="majorBidi" w:cstheme="majorBidi"/>
          <w:shd w:val="clear" w:color="auto" w:fill="FFFFFF"/>
        </w:rPr>
      </w:pPr>
      <w:r w:rsidRPr="002A5475">
        <w:rPr>
          <w:rFonts w:asciiTheme="majorBidi" w:hAnsiTheme="majorBidi" w:cstheme="majorBidi"/>
          <w:shd w:val="clear" w:color="auto" w:fill="FFFFFF"/>
        </w:rPr>
        <w:t xml:space="preserve">Smith, Angela M. “Walk This Way: Frankenstein’s Monster, Disability Performance, and </w:t>
      </w:r>
    </w:p>
    <w:p w14:paraId="665EE241" w14:textId="12A8230E" w:rsidR="00E977F2" w:rsidRPr="002A5475" w:rsidRDefault="00E977F2" w:rsidP="00E977F2">
      <w:pPr>
        <w:ind w:firstLine="720"/>
        <w:rPr>
          <w:rFonts w:asciiTheme="majorBidi" w:hAnsiTheme="majorBidi" w:cstheme="majorBidi"/>
        </w:rPr>
      </w:pPr>
      <w:r w:rsidRPr="002A5475">
        <w:rPr>
          <w:rFonts w:asciiTheme="majorBidi" w:hAnsiTheme="majorBidi" w:cstheme="majorBidi"/>
          <w:shd w:val="clear" w:color="auto" w:fill="FFFFFF"/>
        </w:rPr>
        <w:t>Zombie Ambulation.” </w:t>
      </w:r>
      <w:r w:rsidRPr="002A5475">
        <w:rPr>
          <w:rFonts w:asciiTheme="majorBidi" w:hAnsiTheme="majorBidi" w:cstheme="majorBidi"/>
          <w:i/>
          <w:iCs/>
          <w:shd w:val="clear" w:color="auto" w:fill="FFFFFF"/>
        </w:rPr>
        <w:t>Literature and Medicine</w:t>
      </w:r>
      <w:r w:rsidRPr="002A5475">
        <w:rPr>
          <w:rFonts w:asciiTheme="majorBidi" w:hAnsiTheme="majorBidi" w:cstheme="majorBidi"/>
          <w:shd w:val="clear" w:color="auto" w:fill="FFFFFF"/>
        </w:rPr>
        <w:t> 36.2 (2018): 412–438.</w:t>
      </w:r>
    </w:p>
    <w:p w14:paraId="698B49BD" w14:textId="77777777" w:rsidR="00F84874" w:rsidRDefault="0073481B" w:rsidP="00F84874">
      <w:pPr>
        <w:rPr>
          <w:rFonts w:asciiTheme="majorBidi" w:hAnsiTheme="majorBidi" w:cstheme="majorBidi"/>
          <w:i/>
          <w:iCs/>
        </w:rPr>
      </w:pPr>
      <w:r w:rsidRPr="002A5475">
        <w:rPr>
          <w:rFonts w:asciiTheme="majorBidi" w:hAnsiTheme="majorBidi" w:cstheme="majorBidi"/>
        </w:rPr>
        <w:t xml:space="preserve">Stableford, Brian. “Frankenstein and the Origins of Science Fiction.” </w:t>
      </w:r>
      <w:r w:rsidRPr="002A5475">
        <w:rPr>
          <w:rFonts w:asciiTheme="majorBidi" w:hAnsiTheme="majorBidi" w:cstheme="majorBidi"/>
          <w:i/>
          <w:iCs/>
        </w:rPr>
        <w:t xml:space="preserve">Anticipations: Essays on </w:t>
      </w:r>
    </w:p>
    <w:p w14:paraId="7B77451F" w14:textId="77777777" w:rsidR="00F84874" w:rsidRDefault="0073481B" w:rsidP="00F84874">
      <w:pPr>
        <w:ind w:firstLine="720"/>
        <w:rPr>
          <w:rFonts w:asciiTheme="majorBidi" w:hAnsiTheme="majorBidi" w:cstheme="majorBidi"/>
        </w:rPr>
      </w:pPr>
      <w:r w:rsidRPr="002A5475">
        <w:rPr>
          <w:rFonts w:asciiTheme="majorBidi" w:hAnsiTheme="majorBidi" w:cstheme="majorBidi"/>
          <w:i/>
          <w:iCs/>
        </w:rPr>
        <w:t>Early Science Fiction and its Precursors</w:t>
      </w:r>
      <w:r w:rsidRPr="002A5475">
        <w:rPr>
          <w:rFonts w:asciiTheme="majorBidi" w:hAnsiTheme="majorBidi" w:cstheme="majorBidi"/>
        </w:rPr>
        <w:t xml:space="preserve">. Ed. David Seed. Syracuse, NY: Syracuse UP, </w:t>
      </w:r>
    </w:p>
    <w:p w14:paraId="7740DF7D" w14:textId="406846F7" w:rsidR="0073481B" w:rsidRPr="002A5475" w:rsidRDefault="0073481B" w:rsidP="00F84874">
      <w:pPr>
        <w:ind w:left="720"/>
        <w:rPr>
          <w:rFonts w:asciiTheme="majorBidi" w:hAnsiTheme="majorBidi" w:cstheme="majorBidi"/>
          <w:i/>
          <w:iCs/>
        </w:rPr>
      </w:pPr>
      <w:r w:rsidRPr="002A5475">
        <w:rPr>
          <w:rFonts w:asciiTheme="majorBidi" w:hAnsiTheme="majorBidi" w:cstheme="majorBidi"/>
        </w:rPr>
        <w:t>1995. 46-57.</w:t>
      </w:r>
    </w:p>
    <w:p w14:paraId="0ECAB480" w14:textId="099019EA" w:rsidR="0073481B" w:rsidRPr="002A5475" w:rsidRDefault="0073481B" w:rsidP="00F84874">
      <w:pPr>
        <w:rPr>
          <w:rFonts w:asciiTheme="majorBidi" w:hAnsiTheme="majorBidi" w:cstheme="majorBidi"/>
        </w:rPr>
      </w:pPr>
      <w:r w:rsidRPr="002A5475">
        <w:rPr>
          <w:rFonts w:asciiTheme="majorBidi" w:hAnsiTheme="majorBidi" w:cstheme="majorBidi"/>
        </w:rPr>
        <w:t xml:space="preserve">Stiker, Henri-Jacques. </w:t>
      </w:r>
      <w:r w:rsidRPr="002A5475">
        <w:rPr>
          <w:rFonts w:asciiTheme="majorBidi" w:hAnsiTheme="majorBidi" w:cstheme="majorBidi"/>
          <w:i/>
        </w:rPr>
        <w:t>A History of Disability</w:t>
      </w:r>
      <w:r w:rsidRPr="002A5475">
        <w:rPr>
          <w:rFonts w:asciiTheme="majorBidi" w:hAnsiTheme="majorBidi" w:cstheme="majorBidi"/>
        </w:rPr>
        <w:t>. Trans. William Sayers. Ann Arbor:</w:t>
      </w:r>
      <w:r w:rsidR="00F84874">
        <w:rPr>
          <w:rFonts w:asciiTheme="majorBidi" w:hAnsiTheme="majorBidi" w:cstheme="majorBidi"/>
        </w:rPr>
        <w:t xml:space="preserve"> </w:t>
      </w:r>
      <w:r w:rsidRPr="002A5475">
        <w:rPr>
          <w:rFonts w:asciiTheme="majorBidi" w:hAnsiTheme="majorBidi" w:cstheme="majorBidi"/>
        </w:rPr>
        <w:t xml:space="preserve">University of </w:t>
      </w:r>
      <w:r w:rsidRPr="002A5475">
        <w:rPr>
          <w:rFonts w:asciiTheme="majorBidi" w:hAnsiTheme="majorBidi" w:cstheme="majorBidi"/>
        </w:rPr>
        <w:tab/>
        <w:t>Michigan Press, 1997.</w:t>
      </w:r>
    </w:p>
    <w:p w14:paraId="632DA94A" w14:textId="77777777" w:rsidR="00F84874" w:rsidRDefault="0073481B" w:rsidP="00F84874">
      <w:pPr>
        <w:rPr>
          <w:rFonts w:asciiTheme="majorBidi" w:hAnsiTheme="majorBidi" w:cstheme="majorBidi"/>
        </w:rPr>
      </w:pPr>
      <w:r w:rsidRPr="002A5475">
        <w:rPr>
          <w:rFonts w:asciiTheme="majorBidi" w:hAnsiTheme="majorBidi" w:cstheme="majorBidi"/>
        </w:rPr>
        <w:t xml:space="preserve">Sussman, Herbert and Gerhard Joseph. “Prefiguring the Posthuman: Dickens and Prosthesis.” </w:t>
      </w:r>
    </w:p>
    <w:p w14:paraId="117B502B" w14:textId="1D586529" w:rsidR="0073481B" w:rsidRPr="002A5475" w:rsidRDefault="0073481B" w:rsidP="00F84874">
      <w:pPr>
        <w:ind w:firstLine="720"/>
        <w:rPr>
          <w:rFonts w:asciiTheme="majorBidi" w:hAnsiTheme="majorBidi" w:cstheme="majorBidi"/>
        </w:rPr>
      </w:pPr>
      <w:r w:rsidRPr="002A5475">
        <w:rPr>
          <w:rFonts w:asciiTheme="majorBidi" w:hAnsiTheme="majorBidi" w:cstheme="majorBidi"/>
          <w:i/>
        </w:rPr>
        <w:t>Victorian Literature and Culture</w:t>
      </w:r>
      <w:r w:rsidRPr="002A5475">
        <w:rPr>
          <w:rFonts w:asciiTheme="majorBidi" w:hAnsiTheme="majorBidi" w:cstheme="majorBidi"/>
        </w:rPr>
        <w:t xml:space="preserve"> 32.2 (2004): 617-628.</w:t>
      </w:r>
    </w:p>
    <w:p w14:paraId="03AD98D7" w14:textId="77777777" w:rsidR="00F84874" w:rsidRDefault="00764299" w:rsidP="00F84874">
      <w:pPr>
        <w:rPr>
          <w:rFonts w:asciiTheme="majorBidi" w:hAnsiTheme="majorBidi" w:cstheme="majorBidi"/>
        </w:rPr>
      </w:pPr>
      <w:r w:rsidRPr="002A5475">
        <w:rPr>
          <w:rFonts w:asciiTheme="majorBidi" w:hAnsiTheme="majorBidi" w:cstheme="majorBidi"/>
        </w:rPr>
        <w:t xml:space="preserve">Sweet, Ryan. </w:t>
      </w:r>
      <w:r w:rsidRPr="002A5475">
        <w:rPr>
          <w:rFonts w:asciiTheme="majorBidi" w:hAnsiTheme="majorBidi" w:cstheme="majorBidi"/>
          <w:i/>
          <w:iCs/>
        </w:rPr>
        <w:t>Prosthetic Body Parts in Nineteenth-Century Literature and Culture</w:t>
      </w:r>
      <w:r w:rsidRPr="002A5475">
        <w:rPr>
          <w:rFonts w:asciiTheme="majorBidi" w:hAnsiTheme="majorBidi" w:cstheme="majorBidi"/>
        </w:rPr>
        <w:t xml:space="preserve">. London: </w:t>
      </w:r>
    </w:p>
    <w:p w14:paraId="3E8BEC06" w14:textId="2D0DC0E3" w:rsidR="00764299" w:rsidRPr="002A5475" w:rsidRDefault="00764299" w:rsidP="00F84874">
      <w:pPr>
        <w:ind w:firstLine="720"/>
        <w:rPr>
          <w:rFonts w:asciiTheme="majorBidi" w:hAnsiTheme="majorBidi" w:cstheme="majorBidi"/>
        </w:rPr>
      </w:pPr>
      <w:r w:rsidRPr="002A5475">
        <w:rPr>
          <w:rFonts w:asciiTheme="majorBidi" w:hAnsiTheme="majorBidi" w:cstheme="majorBidi"/>
        </w:rPr>
        <w:t xml:space="preserve">Palgrave Macmillan, 2022. </w:t>
      </w:r>
    </w:p>
    <w:p w14:paraId="3DC56452" w14:textId="77777777" w:rsidR="00F84874" w:rsidRDefault="0073481B" w:rsidP="00F84874">
      <w:pPr>
        <w:rPr>
          <w:rFonts w:asciiTheme="majorBidi" w:hAnsiTheme="majorBidi" w:cstheme="majorBidi"/>
          <w:i/>
          <w:iCs/>
          <w:shd w:val="clear" w:color="auto" w:fill="FFFFFF"/>
        </w:rPr>
      </w:pPr>
      <w:r w:rsidRPr="002A5475">
        <w:rPr>
          <w:rFonts w:asciiTheme="majorBidi" w:hAnsiTheme="majorBidi" w:cstheme="majorBidi"/>
          <w:shd w:val="clear" w:color="auto" w:fill="FFFFFF"/>
        </w:rPr>
        <w:t>Taylor, Jenny Bourne. </w:t>
      </w:r>
      <w:r w:rsidRPr="002A5475">
        <w:rPr>
          <w:rFonts w:asciiTheme="majorBidi" w:hAnsiTheme="majorBidi" w:cstheme="majorBidi"/>
          <w:i/>
          <w:iCs/>
          <w:shd w:val="clear" w:color="auto" w:fill="FFFFFF"/>
        </w:rPr>
        <w:t xml:space="preserve">In the Secret Theatre of Home: Wilkie Collins, Sensation Narrative, and </w:t>
      </w:r>
    </w:p>
    <w:p w14:paraId="3F36514B" w14:textId="17233C1A" w:rsidR="0073481B" w:rsidRPr="002A5475" w:rsidRDefault="0073481B" w:rsidP="00F84874">
      <w:pPr>
        <w:ind w:firstLine="720"/>
        <w:rPr>
          <w:rFonts w:asciiTheme="majorBidi" w:hAnsiTheme="majorBidi" w:cstheme="majorBidi"/>
          <w:i/>
          <w:iCs/>
          <w:shd w:val="clear" w:color="auto" w:fill="FFFFFF"/>
        </w:rPr>
      </w:pPr>
      <w:r w:rsidRPr="002A5475">
        <w:rPr>
          <w:rFonts w:asciiTheme="majorBidi" w:hAnsiTheme="majorBidi" w:cstheme="majorBidi"/>
          <w:i/>
          <w:iCs/>
          <w:shd w:val="clear" w:color="auto" w:fill="FFFFFF"/>
        </w:rPr>
        <w:t>Nineteenth-Century Psychology</w:t>
      </w:r>
      <w:r w:rsidRPr="002A5475">
        <w:rPr>
          <w:rFonts w:asciiTheme="majorBidi" w:hAnsiTheme="majorBidi" w:cstheme="majorBidi"/>
          <w:shd w:val="clear" w:color="auto" w:fill="FFFFFF"/>
        </w:rPr>
        <w:t>. London: Routledge, 1988.</w:t>
      </w:r>
    </w:p>
    <w:p w14:paraId="064AF884" w14:textId="77777777" w:rsidR="000F3ECE" w:rsidRDefault="0073481B" w:rsidP="00F84874">
      <w:pPr>
        <w:rPr>
          <w:rFonts w:asciiTheme="majorBidi" w:hAnsiTheme="majorBidi" w:cstheme="majorBidi"/>
          <w:i/>
          <w:shd w:val="clear" w:color="auto" w:fill="FFFFFF"/>
        </w:rPr>
      </w:pPr>
      <w:r w:rsidRPr="002A5475">
        <w:rPr>
          <w:rFonts w:asciiTheme="majorBidi" w:hAnsiTheme="majorBidi" w:cstheme="majorBidi"/>
        </w:rPr>
        <w:lastRenderedPageBreak/>
        <w:t>Thomson, Rosemarie Garland.</w:t>
      </w:r>
      <w:r w:rsidR="00833C42">
        <w:rPr>
          <w:rFonts w:asciiTheme="majorBidi" w:hAnsiTheme="majorBidi" w:cstheme="majorBidi"/>
        </w:rPr>
        <w:t xml:space="preserve"> </w:t>
      </w:r>
      <w:r w:rsidR="00833C42" w:rsidRPr="002A5475">
        <w:rPr>
          <w:rFonts w:asciiTheme="majorBidi" w:hAnsiTheme="majorBidi" w:cstheme="majorBidi"/>
          <w:i/>
          <w:shd w:val="clear" w:color="auto" w:fill="FFFFFF"/>
        </w:rPr>
        <w:t xml:space="preserve">Extraordinary Bodies: Figuring Disability in American Culture </w:t>
      </w:r>
    </w:p>
    <w:p w14:paraId="0A55DB33" w14:textId="1808023F" w:rsidR="00833C42" w:rsidRPr="00F84874" w:rsidRDefault="00833C42" w:rsidP="000F3ECE">
      <w:pPr>
        <w:ind w:firstLine="720"/>
        <w:rPr>
          <w:rFonts w:asciiTheme="majorBidi" w:hAnsiTheme="majorBidi" w:cstheme="majorBidi"/>
          <w:i/>
          <w:shd w:val="clear" w:color="auto" w:fill="FFFFFF"/>
        </w:rPr>
      </w:pPr>
      <w:r w:rsidRPr="002A5475">
        <w:rPr>
          <w:rFonts w:asciiTheme="majorBidi" w:hAnsiTheme="majorBidi" w:cstheme="majorBidi"/>
          <w:i/>
          <w:shd w:val="clear" w:color="auto" w:fill="FFFFFF"/>
        </w:rPr>
        <w:t>and Literature</w:t>
      </w:r>
      <w:r w:rsidRPr="002A5475">
        <w:rPr>
          <w:rFonts w:asciiTheme="majorBidi" w:hAnsiTheme="majorBidi" w:cstheme="majorBidi"/>
          <w:shd w:val="clear" w:color="auto" w:fill="FFFFFF"/>
        </w:rPr>
        <w:t xml:space="preserve">. New York: Columbia </w:t>
      </w:r>
      <w:r>
        <w:rPr>
          <w:rFonts w:asciiTheme="majorBidi" w:hAnsiTheme="majorBidi" w:cstheme="majorBidi"/>
          <w:shd w:val="clear" w:color="auto" w:fill="FFFFFF"/>
        </w:rPr>
        <w:t>UP</w:t>
      </w:r>
      <w:r w:rsidRPr="002A5475">
        <w:rPr>
          <w:rFonts w:asciiTheme="majorBidi" w:hAnsiTheme="majorBidi" w:cstheme="majorBidi"/>
          <w:shd w:val="clear" w:color="auto" w:fill="FFFFFF"/>
        </w:rPr>
        <w:t xml:space="preserve">, 1997. </w:t>
      </w:r>
    </w:p>
    <w:p w14:paraId="5D047B8E" w14:textId="77777777" w:rsidR="000D03D0" w:rsidRDefault="0073481B" w:rsidP="000D03D0">
      <w:pPr>
        <w:rPr>
          <w:rFonts w:asciiTheme="majorBidi" w:hAnsiTheme="majorBidi" w:cstheme="majorBidi"/>
          <w:shd w:val="clear" w:color="auto" w:fill="FFFFFF"/>
        </w:rPr>
      </w:pPr>
      <w:r w:rsidRPr="002A5475">
        <w:rPr>
          <w:rFonts w:asciiTheme="majorBidi" w:hAnsiTheme="majorBidi" w:cstheme="majorBidi"/>
          <w:shd w:val="clear" w:color="auto" w:fill="FFFFFF"/>
        </w:rPr>
        <w:t xml:space="preserve">______. </w:t>
      </w:r>
      <w:r w:rsidR="00833C42" w:rsidRPr="002A5475">
        <w:rPr>
          <w:rFonts w:asciiTheme="majorBidi" w:hAnsiTheme="majorBidi" w:cstheme="majorBidi"/>
          <w:i/>
        </w:rPr>
        <w:t>Freakery: C</w:t>
      </w:r>
      <w:r w:rsidR="00833C42" w:rsidRPr="002A5475">
        <w:rPr>
          <w:rFonts w:asciiTheme="majorBidi" w:hAnsiTheme="majorBidi" w:cstheme="majorBidi"/>
          <w:i/>
          <w:shd w:val="clear" w:color="auto" w:fill="FFFFFF"/>
        </w:rPr>
        <w:t>ultural Spectacles of the Extraordinary Body.</w:t>
      </w:r>
      <w:r w:rsidR="00833C42">
        <w:rPr>
          <w:rFonts w:asciiTheme="majorBidi" w:hAnsiTheme="majorBidi" w:cstheme="majorBidi"/>
          <w:shd w:val="clear" w:color="auto" w:fill="FFFFFF"/>
        </w:rPr>
        <w:t xml:space="preserve"> </w:t>
      </w:r>
      <w:r w:rsidR="00833C42" w:rsidRPr="002A5475">
        <w:rPr>
          <w:rFonts w:asciiTheme="majorBidi" w:hAnsiTheme="majorBidi" w:cstheme="majorBidi"/>
          <w:shd w:val="clear" w:color="auto" w:fill="FFFFFF"/>
        </w:rPr>
        <w:t>New York: New York U</w:t>
      </w:r>
      <w:r w:rsidR="00833C42">
        <w:rPr>
          <w:rFonts w:asciiTheme="majorBidi" w:hAnsiTheme="majorBidi" w:cstheme="majorBidi"/>
          <w:shd w:val="clear" w:color="auto" w:fill="FFFFFF"/>
        </w:rPr>
        <w:t>P</w:t>
      </w:r>
      <w:r w:rsidR="00833C42" w:rsidRPr="002A5475">
        <w:rPr>
          <w:rFonts w:asciiTheme="majorBidi" w:hAnsiTheme="majorBidi" w:cstheme="majorBidi"/>
          <w:shd w:val="clear" w:color="auto" w:fill="FFFFFF"/>
        </w:rPr>
        <w:t xml:space="preserve">, </w:t>
      </w:r>
    </w:p>
    <w:p w14:paraId="30D26FFC" w14:textId="2488CE17" w:rsidR="0073481B" w:rsidRPr="00833C42" w:rsidRDefault="00833C42" w:rsidP="000D03D0">
      <w:pPr>
        <w:ind w:firstLine="720"/>
        <w:rPr>
          <w:rFonts w:asciiTheme="majorBidi" w:hAnsiTheme="majorBidi" w:cstheme="majorBidi"/>
          <w:shd w:val="clear" w:color="auto" w:fill="FFFFFF"/>
        </w:rPr>
      </w:pPr>
      <w:r w:rsidRPr="002A5475">
        <w:rPr>
          <w:rFonts w:asciiTheme="majorBidi" w:hAnsiTheme="majorBidi" w:cstheme="majorBidi"/>
          <w:shd w:val="clear" w:color="auto" w:fill="FFFFFF"/>
        </w:rPr>
        <w:t xml:space="preserve">1996. </w:t>
      </w:r>
    </w:p>
    <w:p w14:paraId="141EE0BB" w14:textId="58BD493E" w:rsidR="0073481B" w:rsidRPr="002A5475" w:rsidRDefault="0073481B" w:rsidP="003D5505">
      <w:pPr>
        <w:rPr>
          <w:rFonts w:asciiTheme="majorBidi" w:hAnsiTheme="majorBidi" w:cstheme="majorBidi"/>
          <w:shd w:val="clear" w:color="auto" w:fill="FFFFFF"/>
        </w:rPr>
      </w:pPr>
      <w:r w:rsidRPr="002A5475">
        <w:rPr>
          <w:rFonts w:asciiTheme="majorBidi" w:hAnsiTheme="majorBidi" w:cstheme="majorBidi"/>
          <w:shd w:val="clear" w:color="auto" w:fill="FFFFFF"/>
        </w:rPr>
        <w:t xml:space="preserve">______. </w:t>
      </w:r>
      <w:r w:rsidRPr="002A5475">
        <w:rPr>
          <w:rFonts w:asciiTheme="majorBidi" w:hAnsiTheme="majorBidi" w:cstheme="majorBidi"/>
          <w:i/>
          <w:shd w:val="clear" w:color="auto" w:fill="FFFFFF"/>
        </w:rPr>
        <w:t>Staring: How We Look</w:t>
      </w:r>
      <w:r w:rsidRPr="002A5475">
        <w:rPr>
          <w:rFonts w:asciiTheme="majorBidi" w:hAnsiTheme="majorBidi" w:cstheme="majorBidi"/>
          <w:shd w:val="clear" w:color="auto" w:fill="FFFFFF"/>
        </w:rPr>
        <w:t xml:space="preserve">. New York: Oxford </w:t>
      </w:r>
      <w:r w:rsidR="006A4AF6">
        <w:rPr>
          <w:rFonts w:asciiTheme="majorBidi" w:hAnsiTheme="majorBidi" w:cstheme="majorBidi"/>
          <w:shd w:val="clear" w:color="auto" w:fill="FFFFFF"/>
        </w:rPr>
        <w:t>UP</w:t>
      </w:r>
      <w:r w:rsidRPr="002A5475">
        <w:rPr>
          <w:rFonts w:asciiTheme="majorBidi" w:hAnsiTheme="majorBidi" w:cstheme="majorBidi"/>
          <w:shd w:val="clear" w:color="auto" w:fill="FFFFFF"/>
        </w:rPr>
        <w:t xml:space="preserve">, 2009. </w:t>
      </w:r>
    </w:p>
    <w:p w14:paraId="7FA012AA" w14:textId="2F5709B2" w:rsidR="0073481B" w:rsidRPr="002A5475" w:rsidRDefault="0073481B" w:rsidP="000D03D0">
      <w:pPr>
        <w:rPr>
          <w:rFonts w:asciiTheme="majorBidi" w:hAnsiTheme="majorBidi" w:cstheme="majorBidi"/>
          <w:shd w:val="clear" w:color="auto" w:fill="FFFFFF"/>
        </w:rPr>
      </w:pPr>
      <w:r w:rsidRPr="002A5475">
        <w:rPr>
          <w:rFonts w:asciiTheme="majorBidi" w:hAnsiTheme="majorBidi" w:cstheme="majorBidi"/>
          <w:shd w:val="clear" w:color="auto" w:fill="FFFFFF"/>
        </w:rPr>
        <w:t xml:space="preserve">Todorov, Tzvetan. </w:t>
      </w:r>
      <w:r w:rsidRPr="002A5475">
        <w:rPr>
          <w:rFonts w:asciiTheme="majorBidi" w:hAnsiTheme="majorBidi" w:cstheme="majorBidi"/>
          <w:i/>
          <w:iCs/>
          <w:shd w:val="clear" w:color="auto" w:fill="FFFFFF"/>
        </w:rPr>
        <w:t>The Poetics of Prose</w:t>
      </w:r>
      <w:r w:rsidRPr="002A5475">
        <w:rPr>
          <w:rFonts w:asciiTheme="majorBidi" w:hAnsiTheme="majorBidi" w:cstheme="majorBidi"/>
          <w:shd w:val="clear" w:color="auto" w:fill="FFFFFF"/>
        </w:rPr>
        <w:t xml:space="preserve">. Trans. Richard Howard. </w:t>
      </w:r>
      <w:r w:rsidR="00D66DD4" w:rsidRPr="002A5475">
        <w:rPr>
          <w:rFonts w:asciiTheme="majorBidi" w:hAnsiTheme="majorBidi" w:cstheme="majorBidi"/>
          <w:shd w:val="clear" w:color="auto" w:fill="FFFFFF"/>
        </w:rPr>
        <w:t>Ithaca</w:t>
      </w:r>
      <w:r w:rsidRPr="002A5475">
        <w:rPr>
          <w:rFonts w:asciiTheme="majorBidi" w:hAnsiTheme="majorBidi" w:cstheme="majorBidi"/>
          <w:shd w:val="clear" w:color="auto" w:fill="FFFFFF"/>
        </w:rPr>
        <w:t>: Cornell UP, 1977.</w:t>
      </w:r>
    </w:p>
    <w:p w14:paraId="3AF8EE75" w14:textId="77777777" w:rsidR="0073481B" w:rsidRPr="002A5475" w:rsidRDefault="0073481B" w:rsidP="0073481B">
      <w:pPr>
        <w:rPr>
          <w:rFonts w:asciiTheme="majorBidi" w:hAnsiTheme="majorBidi" w:cstheme="majorBidi"/>
        </w:rPr>
      </w:pPr>
      <w:r w:rsidRPr="002A5475">
        <w:rPr>
          <w:rFonts w:asciiTheme="majorBidi" w:hAnsiTheme="majorBidi" w:cstheme="majorBidi"/>
          <w:shd w:val="clear" w:color="auto" w:fill="FFFFFF"/>
        </w:rPr>
        <w:t>Trodd, Anthea. </w:t>
      </w:r>
      <w:r w:rsidRPr="002A5475">
        <w:rPr>
          <w:rFonts w:asciiTheme="majorBidi" w:hAnsiTheme="majorBidi" w:cstheme="majorBidi"/>
          <w:i/>
          <w:iCs/>
          <w:shd w:val="clear" w:color="auto" w:fill="FFFFFF"/>
        </w:rPr>
        <w:t>Domestic Crime in the Victorian Novel</w:t>
      </w:r>
      <w:r w:rsidRPr="002A5475">
        <w:rPr>
          <w:rFonts w:asciiTheme="majorBidi" w:hAnsiTheme="majorBidi" w:cstheme="majorBidi"/>
          <w:shd w:val="clear" w:color="auto" w:fill="FFFFFF"/>
        </w:rPr>
        <w:t>. London: Macmillan, 1989.</w:t>
      </w:r>
    </w:p>
    <w:p w14:paraId="26538446" w14:textId="77777777" w:rsidR="000D03D0" w:rsidRDefault="0073481B" w:rsidP="000D03D0">
      <w:pPr>
        <w:rPr>
          <w:rFonts w:asciiTheme="majorBidi" w:hAnsiTheme="majorBidi" w:cstheme="majorBidi"/>
        </w:rPr>
      </w:pPr>
      <w:r w:rsidRPr="002A5475">
        <w:rPr>
          <w:rFonts w:asciiTheme="majorBidi" w:hAnsiTheme="majorBidi" w:cstheme="majorBidi"/>
        </w:rPr>
        <w:t xml:space="preserve">Turney, Jon. </w:t>
      </w:r>
      <w:r w:rsidRPr="002A5475">
        <w:rPr>
          <w:rFonts w:asciiTheme="majorBidi" w:hAnsiTheme="majorBidi" w:cstheme="majorBidi"/>
          <w:i/>
        </w:rPr>
        <w:t>Frankenstein’s</w:t>
      </w:r>
      <w:r w:rsidRPr="002A5475">
        <w:rPr>
          <w:rFonts w:asciiTheme="majorBidi" w:hAnsiTheme="majorBidi" w:cstheme="majorBidi"/>
        </w:rPr>
        <w:t xml:space="preserve"> </w:t>
      </w:r>
      <w:r w:rsidRPr="002A5475">
        <w:rPr>
          <w:rFonts w:asciiTheme="majorBidi" w:hAnsiTheme="majorBidi" w:cstheme="majorBidi"/>
          <w:i/>
        </w:rPr>
        <w:t>Footsteps: Science, Genetics and Popular Culture</w:t>
      </w:r>
      <w:r w:rsidRPr="002A5475">
        <w:rPr>
          <w:rFonts w:asciiTheme="majorBidi" w:hAnsiTheme="majorBidi" w:cstheme="majorBidi"/>
        </w:rPr>
        <w:t xml:space="preserve">. New Haven: </w:t>
      </w:r>
    </w:p>
    <w:p w14:paraId="7AE0CB27" w14:textId="76DA0DE2" w:rsidR="0073481B" w:rsidRPr="002A5475" w:rsidRDefault="0073481B" w:rsidP="000D03D0">
      <w:pPr>
        <w:ind w:firstLine="720"/>
        <w:rPr>
          <w:rFonts w:asciiTheme="majorBidi" w:hAnsiTheme="majorBidi" w:cstheme="majorBidi"/>
        </w:rPr>
      </w:pPr>
      <w:r w:rsidRPr="002A5475">
        <w:rPr>
          <w:rFonts w:asciiTheme="majorBidi" w:hAnsiTheme="majorBidi" w:cstheme="majorBidi"/>
        </w:rPr>
        <w:t>Yale UP, 1998.</w:t>
      </w:r>
    </w:p>
    <w:p w14:paraId="69DCF682" w14:textId="77777777" w:rsidR="000D03D0" w:rsidRDefault="0073481B" w:rsidP="000D03D0">
      <w:pPr>
        <w:rPr>
          <w:rFonts w:asciiTheme="majorBidi" w:hAnsiTheme="majorBidi" w:cstheme="majorBidi"/>
        </w:rPr>
      </w:pPr>
      <w:r w:rsidRPr="002A5475">
        <w:rPr>
          <w:rFonts w:asciiTheme="majorBidi" w:hAnsiTheme="majorBidi" w:cstheme="majorBidi"/>
        </w:rPr>
        <w:t xml:space="preserve">Van Horn, Jennifer. </w:t>
      </w:r>
      <w:r w:rsidRPr="002A5475">
        <w:rPr>
          <w:rFonts w:asciiTheme="majorBidi" w:hAnsiTheme="majorBidi" w:cstheme="majorBidi"/>
          <w:i/>
          <w:iCs/>
        </w:rPr>
        <w:t>The Power of Objects in Eighteenth-Century British America</w:t>
      </w:r>
      <w:r w:rsidRPr="002A5475">
        <w:rPr>
          <w:rFonts w:asciiTheme="majorBidi" w:hAnsiTheme="majorBidi" w:cstheme="majorBidi"/>
        </w:rPr>
        <w:t xml:space="preserve">. Chapel Hill: </w:t>
      </w:r>
    </w:p>
    <w:p w14:paraId="2156955D" w14:textId="2382BEC3" w:rsidR="0073481B" w:rsidRPr="002A5475" w:rsidRDefault="0073481B" w:rsidP="000D03D0">
      <w:pPr>
        <w:ind w:firstLine="720"/>
        <w:rPr>
          <w:rFonts w:asciiTheme="majorBidi" w:hAnsiTheme="majorBidi" w:cstheme="majorBidi"/>
        </w:rPr>
      </w:pPr>
      <w:r w:rsidRPr="002A5475">
        <w:rPr>
          <w:rFonts w:asciiTheme="majorBidi" w:hAnsiTheme="majorBidi" w:cstheme="majorBidi"/>
        </w:rPr>
        <w:t xml:space="preserve">University of North Carolina Press, 2017. </w:t>
      </w:r>
    </w:p>
    <w:p w14:paraId="11ACD160" w14:textId="77777777" w:rsidR="0073481B" w:rsidRPr="002A5475" w:rsidRDefault="0073481B" w:rsidP="0073481B">
      <w:pPr>
        <w:rPr>
          <w:rFonts w:asciiTheme="majorBidi" w:hAnsiTheme="majorBidi" w:cstheme="majorBidi"/>
        </w:rPr>
      </w:pPr>
      <w:r w:rsidRPr="002A5475">
        <w:rPr>
          <w:rFonts w:asciiTheme="majorBidi" w:hAnsiTheme="majorBidi" w:cstheme="majorBidi"/>
        </w:rPr>
        <w:t xml:space="preserve">Virilio, Paul. </w:t>
      </w:r>
      <w:r w:rsidRPr="002A5475">
        <w:rPr>
          <w:rFonts w:asciiTheme="majorBidi" w:hAnsiTheme="majorBidi" w:cstheme="majorBidi"/>
          <w:i/>
        </w:rPr>
        <w:t>The Original Accident</w:t>
      </w:r>
      <w:r w:rsidRPr="002A5475">
        <w:rPr>
          <w:rFonts w:asciiTheme="majorBidi" w:hAnsiTheme="majorBidi" w:cstheme="majorBidi"/>
        </w:rPr>
        <w:t xml:space="preserve">. Trans. Julie Rose. Cambridge: Polity, 2007. </w:t>
      </w:r>
    </w:p>
    <w:p w14:paraId="4241CA8A" w14:textId="77777777" w:rsidR="000D03D0" w:rsidRDefault="0073481B" w:rsidP="000D03D0">
      <w:pPr>
        <w:rPr>
          <w:rFonts w:asciiTheme="majorBidi" w:hAnsiTheme="majorBidi" w:cstheme="majorBidi"/>
          <w:i/>
        </w:rPr>
      </w:pPr>
      <w:r w:rsidRPr="002A5475">
        <w:rPr>
          <w:rFonts w:asciiTheme="majorBidi" w:hAnsiTheme="majorBidi" w:cstheme="majorBidi"/>
        </w:rPr>
        <w:t xml:space="preserve">Wall, Cynthia Sundberg. </w:t>
      </w:r>
      <w:r w:rsidRPr="002A5475">
        <w:rPr>
          <w:rFonts w:asciiTheme="majorBidi" w:hAnsiTheme="majorBidi" w:cstheme="majorBidi"/>
          <w:i/>
        </w:rPr>
        <w:t xml:space="preserve">The Prose of Things: Transformations of Description in the Eighteenth </w:t>
      </w:r>
    </w:p>
    <w:p w14:paraId="2DE91962" w14:textId="120AC55A" w:rsidR="0073481B" w:rsidRPr="000D03D0" w:rsidRDefault="0073481B" w:rsidP="000D03D0">
      <w:pPr>
        <w:ind w:firstLine="720"/>
        <w:rPr>
          <w:rFonts w:asciiTheme="majorBidi" w:hAnsiTheme="majorBidi" w:cstheme="majorBidi"/>
          <w:i/>
        </w:rPr>
      </w:pPr>
      <w:r w:rsidRPr="002A5475">
        <w:rPr>
          <w:rFonts w:asciiTheme="majorBidi" w:hAnsiTheme="majorBidi" w:cstheme="majorBidi"/>
          <w:i/>
        </w:rPr>
        <w:t>Century</w:t>
      </w:r>
      <w:r w:rsidRPr="002A5475">
        <w:rPr>
          <w:rFonts w:asciiTheme="majorBidi" w:hAnsiTheme="majorBidi" w:cstheme="majorBidi"/>
        </w:rPr>
        <w:t>. Chicago: The University of Chicago Press, 2006.</w:t>
      </w:r>
    </w:p>
    <w:p w14:paraId="50453C64" w14:textId="08559300" w:rsidR="0073481B" w:rsidRPr="002A5475" w:rsidRDefault="0073481B" w:rsidP="00833C42">
      <w:pPr>
        <w:rPr>
          <w:rFonts w:asciiTheme="majorBidi" w:hAnsiTheme="majorBidi" w:cstheme="majorBidi"/>
        </w:rPr>
      </w:pPr>
      <w:r w:rsidRPr="002A5475">
        <w:rPr>
          <w:rFonts w:asciiTheme="majorBidi" w:hAnsiTheme="majorBidi" w:cstheme="majorBidi"/>
        </w:rPr>
        <w:t xml:space="preserve">Warne, Vanessa. </w:t>
      </w:r>
      <w:r w:rsidR="00833C42" w:rsidRPr="002A5475">
        <w:rPr>
          <w:rFonts w:asciiTheme="majorBidi" w:hAnsiTheme="majorBidi" w:cstheme="majorBidi"/>
        </w:rPr>
        <w:t xml:space="preserve">“Artificial Leg.” </w:t>
      </w:r>
      <w:r w:rsidR="00833C42" w:rsidRPr="002A5475">
        <w:rPr>
          <w:rFonts w:asciiTheme="majorBidi" w:hAnsiTheme="majorBidi" w:cstheme="majorBidi"/>
          <w:i/>
        </w:rPr>
        <w:t>Victorian Review</w:t>
      </w:r>
      <w:r w:rsidR="00833C42" w:rsidRPr="002A5475">
        <w:rPr>
          <w:rFonts w:asciiTheme="majorBidi" w:hAnsiTheme="majorBidi" w:cstheme="majorBidi"/>
        </w:rPr>
        <w:t xml:space="preserve"> 34.1 (Spring 2008): 29-33.</w:t>
      </w:r>
    </w:p>
    <w:p w14:paraId="63E78AF4" w14:textId="77777777" w:rsidR="000D03D0" w:rsidRDefault="0073481B" w:rsidP="000D03D0">
      <w:pPr>
        <w:rPr>
          <w:rFonts w:asciiTheme="majorBidi" w:hAnsiTheme="majorBidi" w:cstheme="majorBidi"/>
        </w:rPr>
      </w:pPr>
      <w:r w:rsidRPr="002A5475">
        <w:rPr>
          <w:rFonts w:asciiTheme="majorBidi" w:hAnsiTheme="majorBidi" w:cstheme="majorBidi"/>
        </w:rPr>
        <w:t xml:space="preserve">______. </w:t>
      </w:r>
      <w:r w:rsidR="00833C42" w:rsidRPr="002A5475">
        <w:rPr>
          <w:rFonts w:asciiTheme="majorBidi" w:hAnsiTheme="majorBidi" w:cstheme="majorBidi"/>
        </w:rPr>
        <w:t xml:space="preserve">“‘If You Should Ever Want an Arm’: Disability and Dependence in Edgar Allan Poe’s </w:t>
      </w:r>
    </w:p>
    <w:p w14:paraId="0B2AB7FA" w14:textId="3B4868C1" w:rsidR="0073481B" w:rsidRPr="002A5475" w:rsidRDefault="00833C42" w:rsidP="000D03D0">
      <w:pPr>
        <w:ind w:firstLine="720"/>
        <w:rPr>
          <w:rFonts w:asciiTheme="majorBidi" w:hAnsiTheme="majorBidi" w:cstheme="majorBidi"/>
        </w:rPr>
      </w:pPr>
      <w:r w:rsidRPr="002A5475">
        <w:rPr>
          <w:rFonts w:asciiTheme="majorBidi" w:hAnsiTheme="majorBidi" w:cstheme="majorBidi"/>
        </w:rPr>
        <w:t xml:space="preserve">‘The Man that Was Used Up.’” </w:t>
      </w:r>
      <w:r w:rsidRPr="002A5475">
        <w:rPr>
          <w:rFonts w:asciiTheme="majorBidi" w:hAnsiTheme="majorBidi" w:cstheme="majorBidi"/>
          <w:i/>
          <w:iCs/>
        </w:rPr>
        <w:t>Atenea</w:t>
      </w:r>
      <w:r w:rsidRPr="002A5475">
        <w:rPr>
          <w:rFonts w:asciiTheme="majorBidi" w:hAnsiTheme="majorBidi" w:cstheme="majorBidi"/>
        </w:rPr>
        <w:t xml:space="preserve"> 25.1 (2005): 95-105.</w:t>
      </w:r>
      <w:r w:rsidRPr="002A5475">
        <w:rPr>
          <w:rFonts w:asciiTheme="majorBidi" w:hAnsiTheme="majorBidi" w:cstheme="majorBidi"/>
          <w:i/>
        </w:rPr>
        <w:t xml:space="preserve"> </w:t>
      </w:r>
    </w:p>
    <w:p w14:paraId="1CC91942" w14:textId="77777777" w:rsidR="000D03D0" w:rsidRDefault="0073481B" w:rsidP="000D03D0">
      <w:pPr>
        <w:rPr>
          <w:rFonts w:asciiTheme="majorBidi" w:hAnsiTheme="majorBidi" w:cstheme="majorBidi"/>
        </w:rPr>
      </w:pPr>
      <w:r w:rsidRPr="002A5475">
        <w:rPr>
          <w:rFonts w:asciiTheme="majorBidi" w:hAnsiTheme="majorBidi" w:cstheme="majorBidi"/>
        </w:rPr>
        <w:t xml:space="preserve">______. “‘To Invest a Cripple with Peculiar Interest’: Artificial Legs and Upper-Class Amputees </w:t>
      </w:r>
    </w:p>
    <w:p w14:paraId="00E097AA" w14:textId="2C7B99D4" w:rsidR="0073481B" w:rsidRPr="002A5475" w:rsidRDefault="0073481B" w:rsidP="000D03D0">
      <w:pPr>
        <w:ind w:firstLine="720"/>
        <w:rPr>
          <w:rFonts w:asciiTheme="majorBidi" w:hAnsiTheme="majorBidi" w:cstheme="majorBidi"/>
        </w:rPr>
      </w:pPr>
      <w:r w:rsidRPr="002A5475">
        <w:rPr>
          <w:rFonts w:asciiTheme="majorBidi" w:hAnsiTheme="majorBidi" w:cstheme="majorBidi"/>
        </w:rPr>
        <w:t xml:space="preserve">at Mid-Century.” </w:t>
      </w:r>
      <w:r w:rsidRPr="002A5475">
        <w:rPr>
          <w:rFonts w:asciiTheme="majorBidi" w:hAnsiTheme="majorBidi" w:cstheme="majorBidi"/>
          <w:i/>
        </w:rPr>
        <w:t>Victorian Review</w:t>
      </w:r>
      <w:r w:rsidRPr="002A5475">
        <w:rPr>
          <w:rFonts w:asciiTheme="majorBidi" w:hAnsiTheme="majorBidi" w:cstheme="majorBidi"/>
        </w:rPr>
        <w:t xml:space="preserve"> 35.2 (Fall 2009): 83-100.</w:t>
      </w:r>
    </w:p>
    <w:p w14:paraId="054C1EE6" w14:textId="77777777" w:rsidR="000D03D0" w:rsidRDefault="00E3341D" w:rsidP="000D03D0">
      <w:pPr>
        <w:rPr>
          <w:rFonts w:asciiTheme="majorBidi" w:hAnsiTheme="majorBidi" w:cstheme="majorBidi"/>
        </w:rPr>
      </w:pPr>
      <w:r w:rsidRPr="002A5475">
        <w:rPr>
          <w:rFonts w:asciiTheme="majorBidi" w:hAnsiTheme="majorBidi" w:cstheme="majorBidi"/>
        </w:rPr>
        <w:t xml:space="preserve">Weigman, Robyn and Elizabeth Wilson. “Introduction: Antinormativity’s Queer Conventions.” </w:t>
      </w:r>
    </w:p>
    <w:p w14:paraId="50310A30" w14:textId="06D71BA4" w:rsidR="00E3341D" w:rsidRPr="002A5475" w:rsidRDefault="00E3341D" w:rsidP="000D03D0">
      <w:pPr>
        <w:ind w:firstLine="720"/>
        <w:rPr>
          <w:rFonts w:asciiTheme="majorBidi" w:hAnsiTheme="majorBidi" w:cstheme="majorBidi"/>
        </w:rPr>
      </w:pPr>
      <w:r w:rsidRPr="002A5475">
        <w:rPr>
          <w:rFonts w:asciiTheme="majorBidi" w:hAnsiTheme="majorBidi" w:cstheme="majorBidi"/>
          <w:i/>
          <w:iCs/>
        </w:rPr>
        <w:t>Differences: A Journal of Feminist Cultural Studies</w:t>
      </w:r>
      <w:r w:rsidRPr="002A5475">
        <w:rPr>
          <w:rFonts w:asciiTheme="majorBidi" w:hAnsiTheme="majorBidi" w:cstheme="majorBidi"/>
        </w:rPr>
        <w:t xml:space="preserve"> 26.1 (May 2015): 1-25. </w:t>
      </w:r>
    </w:p>
    <w:p w14:paraId="3C9B91CD" w14:textId="77777777" w:rsidR="000D03D0" w:rsidRDefault="0073481B" w:rsidP="000D03D0">
      <w:pPr>
        <w:rPr>
          <w:rFonts w:asciiTheme="majorBidi" w:hAnsiTheme="majorBidi" w:cstheme="majorBidi"/>
        </w:rPr>
      </w:pPr>
      <w:r w:rsidRPr="002A5475">
        <w:rPr>
          <w:rFonts w:asciiTheme="majorBidi" w:hAnsiTheme="majorBidi" w:cstheme="majorBidi"/>
        </w:rPr>
        <w:t xml:space="preserve">Wendell, Susan. </w:t>
      </w:r>
      <w:r w:rsidRPr="002A5475">
        <w:rPr>
          <w:rFonts w:asciiTheme="majorBidi" w:hAnsiTheme="majorBidi" w:cstheme="majorBidi"/>
          <w:i/>
        </w:rPr>
        <w:t>The Rejected Body: Feminist Philosophical Reflections on Disability</w:t>
      </w:r>
      <w:r w:rsidRPr="002A5475">
        <w:rPr>
          <w:rFonts w:asciiTheme="majorBidi" w:hAnsiTheme="majorBidi" w:cstheme="majorBidi"/>
        </w:rPr>
        <w:t xml:space="preserve">. London: </w:t>
      </w:r>
    </w:p>
    <w:p w14:paraId="4326FDD2" w14:textId="39C102F7" w:rsidR="0073481B" w:rsidRPr="002A5475" w:rsidRDefault="0073481B" w:rsidP="000D03D0">
      <w:pPr>
        <w:ind w:firstLine="720"/>
        <w:rPr>
          <w:rFonts w:asciiTheme="majorBidi" w:hAnsiTheme="majorBidi" w:cstheme="majorBidi"/>
        </w:rPr>
      </w:pPr>
      <w:r w:rsidRPr="002A5475">
        <w:rPr>
          <w:rFonts w:asciiTheme="majorBidi" w:hAnsiTheme="majorBidi" w:cstheme="majorBidi"/>
        </w:rPr>
        <w:t>Routledge, 1996.</w:t>
      </w:r>
    </w:p>
    <w:p w14:paraId="49E42972" w14:textId="77777777" w:rsidR="0073481B" w:rsidRPr="002A5475" w:rsidRDefault="0073481B" w:rsidP="0073481B">
      <w:pPr>
        <w:rPr>
          <w:rFonts w:asciiTheme="majorBidi" w:hAnsiTheme="majorBidi" w:cstheme="majorBidi"/>
        </w:rPr>
      </w:pPr>
      <w:r w:rsidRPr="002A5475">
        <w:rPr>
          <w:rFonts w:asciiTheme="majorBidi" w:hAnsiTheme="majorBidi" w:cstheme="majorBidi"/>
        </w:rPr>
        <w:t xml:space="preserve">Williams, Carolyn. “Stupidity and Stupefaction: </w:t>
      </w:r>
      <w:r w:rsidRPr="002A5475">
        <w:rPr>
          <w:rFonts w:asciiTheme="majorBidi" w:hAnsiTheme="majorBidi" w:cstheme="majorBidi"/>
          <w:i/>
          <w:iCs/>
        </w:rPr>
        <w:t>Barnaby Rudge</w:t>
      </w:r>
      <w:r w:rsidRPr="002A5475">
        <w:rPr>
          <w:rFonts w:asciiTheme="majorBidi" w:hAnsiTheme="majorBidi" w:cstheme="majorBidi"/>
        </w:rPr>
        <w:t xml:space="preserve"> and the Mute Figure of </w:t>
      </w:r>
    </w:p>
    <w:p w14:paraId="5116DCA5" w14:textId="77777777" w:rsidR="0073481B" w:rsidRPr="002A5475" w:rsidRDefault="0073481B" w:rsidP="0073481B">
      <w:pPr>
        <w:ind w:firstLine="720"/>
        <w:rPr>
          <w:rFonts w:asciiTheme="majorBidi" w:hAnsiTheme="majorBidi" w:cstheme="majorBidi"/>
        </w:rPr>
      </w:pPr>
      <w:r w:rsidRPr="002A5475">
        <w:rPr>
          <w:rFonts w:asciiTheme="majorBidi" w:hAnsiTheme="majorBidi" w:cstheme="majorBidi"/>
        </w:rPr>
        <w:t xml:space="preserve">Melodrama.” </w:t>
      </w:r>
      <w:r w:rsidRPr="002A5475">
        <w:rPr>
          <w:rFonts w:asciiTheme="majorBidi" w:hAnsiTheme="majorBidi" w:cstheme="majorBidi"/>
          <w:i/>
          <w:iCs/>
        </w:rPr>
        <w:t>Dickens Studies Annual</w:t>
      </w:r>
      <w:r w:rsidRPr="002A5475">
        <w:rPr>
          <w:rFonts w:asciiTheme="majorBidi" w:hAnsiTheme="majorBidi" w:cstheme="majorBidi"/>
        </w:rPr>
        <w:t xml:space="preserve"> 46 (2015): 357-376.</w:t>
      </w:r>
    </w:p>
    <w:p w14:paraId="751B84CC" w14:textId="76EB0B8A" w:rsidR="0073481B" w:rsidRPr="002A5475" w:rsidRDefault="0073481B" w:rsidP="0073481B">
      <w:pPr>
        <w:rPr>
          <w:rFonts w:asciiTheme="majorBidi" w:hAnsiTheme="majorBidi" w:cstheme="majorBidi"/>
        </w:rPr>
      </w:pPr>
      <w:r w:rsidRPr="002A5475">
        <w:rPr>
          <w:rFonts w:asciiTheme="majorBidi" w:hAnsiTheme="majorBidi" w:cstheme="majorBidi"/>
        </w:rPr>
        <w:t xml:space="preserve">Wills, David. </w:t>
      </w:r>
      <w:r w:rsidRPr="002A5475">
        <w:rPr>
          <w:rFonts w:asciiTheme="majorBidi" w:hAnsiTheme="majorBidi" w:cstheme="majorBidi"/>
          <w:i/>
        </w:rPr>
        <w:t>Prosthesis</w:t>
      </w:r>
      <w:r w:rsidRPr="002A5475">
        <w:rPr>
          <w:rFonts w:asciiTheme="majorBidi" w:hAnsiTheme="majorBidi" w:cstheme="majorBidi"/>
        </w:rPr>
        <w:t>. Stanford: Stanford UP, 1995.</w:t>
      </w:r>
    </w:p>
    <w:p w14:paraId="322694C3" w14:textId="7AC1B6FF" w:rsidR="009C1ACA" w:rsidRPr="002A5475" w:rsidRDefault="009C1ACA" w:rsidP="009C1ACA">
      <w:pPr>
        <w:rPr>
          <w:rFonts w:asciiTheme="majorBidi" w:hAnsiTheme="majorBidi" w:cstheme="majorBidi"/>
        </w:rPr>
      </w:pPr>
      <w:r w:rsidRPr="002A5475">
        <w:rPr>
          <w:rFonts w:asciiTheme="majorBidi" w:hAnsiTheme="majorBidi" w:cstheme="majorBidi"/>
        </w:rPr>
        <w:t xml:space="preserve">Wolfe, Cary. </w:t>
      </w:r>
      <w:r w:rsidRPr="002A5475">
        <w:rPr>
          <w:rFonts w:asciiTheme="majorBidi" w:hAnsiTheme="majorBidi" w:cstheme="majorBidi"/>
          <w:i/>
          <w:iCs/>
        </w:rPr>
        <w:t>What Is Posthumanism?</w:t>
      </w:r>
      <w:r w:rsidRPr="002A5475">
        <w:rPr>
          <w:rFonts w:asciiTheme="majorBidi" w:hAnsiTheme="majorBidi" w:cstheme="majorBidi"/>
        </w:rPr>
        <w:t xml:space="preserve"> Minneapolis: University of Minnesota Press, 2009. </w:t>
      </w:r>
    </w:p>
    <w:p w14:paraId="5630AAB6" w14:textId="77777777" w:rsidR="000D03D0" w:rsidRDefault="0073481B" w:rsidP="000D03D0">
      <w:pPr>
        <w:rPr>
          <w:rFonts w:asciiTheme="majorBidi" w:hAnsiTheme="majorBidi" w:cstheme="majorBidi"/>
        </w:rPr>
      </w:pPr>
      <w:r w:rsidRPr="002A5475">
        <w:rPr>
          <w:rFonts w:asciiTheme="majorBidi" w:hAnsiTheme="majorBidi" w:cstheme="majorBidi"/>
        </w:rPr>
        <w:t xml:space="preserve">Woloch, Alex. </w:t>
      </w:r>
      <w:r w:rsidR="00833C42" w:rsidRPr="002A5475">
        <w:rPr>
          <w:rFonts w:asciiTheme="majorBidi" w:hAnsiTheme="majorBidi" w:cstheme="majorBidi"/>
        </w:rPr>
        <w:t xml:space="preserve">“Minor Characters.” </w:t>
      </w:r>
      <w:r w:rsidR="00833C42" w:rsidRPr="002A5475">
        <w:rPr>
          <w:rFonts w:asciiTheme="majorBidi" w:hAnsiTheme="majorBidi" w:cstheme="majorBidi"/>
          <w:i/>
        </w:rPr>
        <w:t>The Novel, Volume 2: Forms and Themes</w:t>
      </w:r>
      <w:r w:rsidR="00833C42" w:rsidRPr="002A5475">
        <w:rPr>
          <w:rFonts w:asciiTheme="majorBidi" w:hAnsiTheme="majorBidi" w:cstheme="majorBidi"/>
        </w:rPr>
        <w:t xml:space="preserve">. Ed. Franco </w:t>
      </w:r>
    </w:p>
    <w:p w14:paraId="3BC284AA" w14:textId="2411DFDC" w:rsidR="0073481B" w:rsidRPr="002A5475" w:rsidRDefault="00833C42" w:rsidP="000D03D0">
      <w:pPr>
        <w:ind w:firstLine="720"/>
        <w:rPr>
          <w:rFonts w:asciiTheme="majorBidi" w:hAnsiTheme="majorBidi" w:cstheme="majorBidi"/>
        </w:rPr>
      </w:pPr>
      <w:r w:rsidRPr="002A5475">
        <w:rPr>
          <w:rFonts w:asciiTheme="majorBidi" w:hAnsiTheme="majorBidi" w:cstheme="majorBidi"/>
        </w:rPr>
        <w:t>Moretti. Princeton: Princeton UP</w:t>
      </w:r>
      <w:r w:rsidR="000D03D0">
        <w:rPr>
          <w:rFonts w:asciiTheme="majorBidi" w:hAnsiTheme="majorBidi" w:cstheme="majorBidi"/>
        </w:rPr>
        <w:t>,</w:t>
      </w:r>
      <w:r w:rsidRPr="002A5475">
        <w:rPr>
          <w:rFonts w:asciiTheme="majorBidi" w:hAnsiTheme="majorBidi" w:cstheme="majorBidi"/>
        </w:rPr>
        <w:t xml:space="preserve"> 2007.</w:t>
      </w:r>
    </w:p>
    <w:p w14:paraId="5FA447B5" w14:textId="77777777" w:rsidR="000D03D0" w:rsidRDefault="0073481B" w:rsidP="000D03D0">
      <w:pPr>
        <w:rPr>
          <w:rFonts w:asciiTheme="majorBidi" w:hAnsiTheme="majorBidi" w:cstheme="majorBidi"/>
        </w:rPr>
      </w:pPr>
      <w:r w:rsidRPr="002A5475">
        <w:rPr>
          <w:rFonts w:asciiTheme="majorBidi" w:hAnsiTheme="majorBidi" w:cstheme="majorBidi"/>
        </w:rPr>
        <w:t>______.</w:t>
      </w:r>
      <w:r w:rsidR="00833C42">
        <w:rPr>
          <w:rFonts w:asciiTheme="majorBidi" w:hAnsiTheme="majorBidi" w:cstheme="majorBidi"/>
        </w:rPr>
        <w:t xml:space="preserve"> </w:t>
      </w:r>
      <w:r w:rsidR="00833C42" w:rsidRPr="002A5475">
        <w:rPr>
          <w:rFonts w:asciiTheme="majorBidi" w:hAnsiTheme="majorBidi" w:cstheme="majorBidi"/>
          <w:i/>
        </w:rPr>
        <w:t>The One vs. The Many: Minor Character and the Space of the Protagonist in the Novel</w:t>
      </w:r>
      <w:r w:rsidR="00833C42" w:rsidRPr="002A5475">
        <w:rPr>
          <w:rFonts w:asciiTheme="majorBidi" w:hAnsiTheme="majorBidi" w:cstheme="majorBidi"/>
        </w:rPr>
        <w:t xml:space="preserve">. </w:t>
      </w:r>
    </w:p>
    <w:p w14:paraId="138C3AB9" w14:textId="2AC8424D" w:rsidR="00833C42" w:rsidRPr="000D03D0" w:rsidRDefault="00833C42" w:rsidP="000D03D0">
      <w:pPr>
        <w:ind w:firstLine="720"/>
        <w:rPr>
          <w:rFonts w:asciiTheme="majorBidi" w:hAnsiTheme="majorBidi" w:cstheme="majorBidi"/>
          <w:i/>
        </w:rPr>
      </w:pPr>
      <w:r w:rsidRPr="002A5475">
        <w:rPr>
          <w:rFonts w:asciiTheme="majorBidi" w:hAnsiTheme="majorBidi" w:cstheme="majorBidi"/>
        </w:rPr>
        <w:t>Princeton: Princeton UP, 2004.</w:t>
      </w:r>
    </w:p>
    <w:p w14:paraId="632D24D8" w14:textId="77777777" w:rsidR="000D03D0" w:rsidRDefault="0073481B" w:rsidP="000D03D0">
      <w:pPr>
        <w:rPr>
          <w:rFonts w:asciiTheme="majorBidi" w:hAnsiTheme="majorBidi" w:cstheme="majorBidi"/>
        </w:rPr>
      </w:pPr>
      <w:r w:rsidRPr="002A5475">
        <w:rPr>
          <w:rFonts w:asciiTheme="majorBidi" w:hAnsiTheme="majorBidi" w:cstheme="majorBidi"/>
        </w:rPr>
        <w:t xml:space="preserve">Woolf, Virginia. “Mr. Bennet and Mrs. Brown.” </w:t>
      </w:r>
      <w:r w:rsidRPr="002A5475">
        <w:rPr>
          <w:rFonts w:asciiTheme="majorBidi" w:hAnsiTheme="majorBidi" w:cstheme="majorBidi"/>
          <w:i/>
        </w:rPr>
        <w:t>The Hogarth Essays</w:t>
      </w:r>
      <w:r w:rsidRPr="002A5475">
        <w:rPr>
          <w:rFonts w:asciiTheme="majorBidi" w:hAnsiTheme="majorBidi" w:cstheme="majorBidi"/>
        </w:rPr>
        <w:t xml:space="preserve">. London: The Hogarth </w:t>
      </w:r>
    </w:p>
    <w:p w14:paraId="2A5ED7F7" w14:textId="4230BF71" w:rsidR="0073481B" w:rsidRPr="002A5475" w:rsidRDefault="0073481B" w:rsidP="000D03D0">
      <w:pPr>
        <w:ind w:firstLine="720"/>
        <w:rPr>
          <w:rFonts w:asciiTheme="majorBidi" w:hAnsiTheme="majorBidi" w:cstheme="majorBidi"/>
        </w:rPr>
      </w:pPr>
      <w:r w:rsidRPr="002A5475">
        <w:rPr>
          <w:rFonts w:asciiTheme="majorBidi" w:hAnsiTheme="majorBidi" w:cstheme="majorBidi"/>
        </w:rPr>
        <w:t>Press, 1924.</w:t>
      </w:r>
    </w:p>
    <w:p w14:paraId="373FC3FE" w14:textId="77777777" w:rsidR="000D03D0" w:rsidRDefault="0073481B" w:rsidP="000D03D0">
      <w:pPr>
        <w:rPr>
          <w:rFonts w:asciiTheme="majorBidi" w:hAnsiTheme="majorBidi" w:cstheme="majorBidi"/>
        </w:rPr>
      </w:pPr>
      <w:r w:rsidRPr="002A5475">
        <w:rPr>
          <w:rFonts w:asciiTheme="majorBidi" w:hAnsiTheme="majorBidi" w:cstheme="majorBidi"/>
        </w:rPr>
        <w:t xml:space="preserve">______. “Modern Fiction.” </w:t>
      </w:r>
      <w:r w:rsidRPr="002A5475">
        <w:rPr>
          <w:rFonts w:asciiTheme="majorBidi" w:hAnsiTheme="majorBidi" w:cstheme="majorBidi"/>
          <w:i/>
        </w:rPr>
        <w:t>The Essays of Virginia Woolf</w:t>
      </w:r>
      <w:r w:rsidRPr="002A5475">
        <w:rPr>
          <w:rFonts w:asciiTheme="majorBidi" w:hAnsiTheme="majorBidi" w:cstheme="majorBidi"/>
        </w:rPr>
        <w:t>. Ed. Andrew McNeille.</w:t>
      </w:r>
      <w:r w:rsidR="003D5505" w:rsidRPr="002A5475">
        <w:rPr>
          <w:rFonts w:asciiTheme="majorBidi" w:hAnsiTheme="majorBidi" w:cstheme="majorBidi"/>
        </w:rPr>
        <w:t xml:space="preserve"> </w:t>
      </w:r>
      <w:r w:rsidRPr="002A5475">
        <w:rPr>
          <w:rFonts w:asciiTheme="majorBidi" w:hAnsiTheme="majorBidi" w:cstheme="majorBidi"/>
        </w:rPr>
        <w:t>London: The</w:t>
      </w:r>
      <w:r w:rsidR="00D66DD4" w:rsidRPr="002A5475">
        <w:rPr>
          <w:rFonts w:asciiTheme="majorBidi" w:hAnsiTheme="majorBidi" w:cstheme="majorBidi"/>
        </w:rPr>
        <w:t xml:space="preserve"> </w:t>
      </w:r>
    </w:p>
    <w:p w14:paraId="138FE098" w14:textId="42F4752B" w:rsidR="0073481B" w:rsidRPr="002A5475" w:rsidRDefault="0073481B" w:rsidP="000D03D0">
      <w:pPr>
        <w:ind w:firstLine="720"/>
        <w:rPr>
          <w:rFonts w:asciiTheme="majorBidi" w:hAnsiTheme="majorBidi" w:cstheme="majorBidi"/>
        </w:rPr>
      </w:pPr>
      <w:r w:rsidRPr="002A5475">
        <w:rPr>
          <w:rFonts w:asciiTheme="majorBidi" w:hAnsiTheme="majorBidi" w:cstheme="majorBidi"/>
        </w:rPr>
        <w:t>Hogarth Press, 1984. 157-65.</w:t>
      </w:r>
    </w:p>
    <w:p w14:paraId="5ABB02FE" w14:textId="77777777" w:rsidR="000D03D0" w:rsidRDefault="00984958" w:rsidP="000D03D0">
      <w:pPr>
        <w:rPr>
          <w:rFonts w:asciiTheme="majorBidi" w:hAnsiTheme="majorBidi" w:cstheme="majorBidi"/>
          <w:i/>
          <w:iCs/>
          <w:shd w:val="clear" w:color="auto" w:fill="FFFFFF"/>
        </w:rPr>
      </w:pPr>
      <w:r w:rsidRPr="002A5475">
        <w:rPr>
          <w:rFonts w:asciiTheme="majorBidi" w:hAnsiTheme="majorBidi" w:cstheme="majorBidi"/>
          <w:shd w:val="clear" w:color="auto" w:fill="FFFFFF"/>
        </w:rPr>
        <w:t>Wynbrandt, James. </w:t>
      </w:r>
      <w:r w:rsidRPr="002A5475">
        <w:rPr>
          <w:rFonts w:asciiTheme="majorBidi" w:hAnsiTheme="majorBidi" w:cstheme="majorBidi"/>
          <w:i/>
          <w:iCs/>
          <w:shd w:val="clear" w:color="auto" w:fill="FFFFFF"/>
        </w:rPr>
        <w:t xml:space="preserve">The Excruciating History of Dentistry: Toothsome Tales &amp; Oral Oddities </w:t>
      </w:r>
    </w:p>
    <w:p w14:paraId="5254B864" w14:textId="7DD475E0" w:rsidR="00984958" w:rsidRPr="000D03D0" w:rsidRDefault="00984958" w:rsidP="000D03D0">
      <w:pPr>
        <w:ind w:firstLine="720"/>
        <w:rPr>
          <w:rFonts w:asciiTheme="majorBidi" w:hAnsiTheme="majorBidi" w:cstheme="majorBidi"/>
          <w:i/>
          <w:iCs/>
          <w:shd w:val="clear" w:color="auto" w:fill="FFFFFF"/>
        </w:rPr>
      </w:pPr>
      <w:r w:rsidRPr="002A5475">
        <w:rPr>
          <w:rFonts w:asciiTheme="majorBidi" w:hAnsiTheme="majorBidi" w:cstheme="majorBidi"/>
          <w:i/>
          <w:iCs/>
          <w:shd w:val="clear" w:color="auto" w:fill="FFFFFF"/>
        </w:rPr>
        <w:t>from Babylon to Braces</w:t>
      </w:r>
      <w:r w:rsidRPr="002A5475">
        <w:rPr>
          <w:rFonts w:asciiTheme="majorBidi" w:hAnsiTheme="majorBidi" w:cstheme="majorBidi"/>
          <w:shd w:val="clear" w:color="auto" w:fill="FFFFFF"/>
        </w:rPr>
        <w:t>. New York: St. Martin’s Press, 1998.</w:t>
      </w:r>
    </w:p>
    <w:p w14:paraId="42997835" w14:textId="77777777" w:rsidR="000D03D0" w:rsidRDefault="0073481B" w:rsidP="000D03D0">
      <w:pPr>
        <w:rPr>
          <w:rFonts w:asciiTheme="majorBidi" w:hAnsiTheme="majorBidi" w:cstheme="majorBidi"/>
        </w:rPr>
      </w:pPr>
      <w:r w:rsidRPr="002A5475">
        <w:rPr>
          <w:rFonts w:asciiTheme="majorBidi" w:hAnsiTheme="majorBidi" w:cstheme="majorBidi"/>
        </w:rPr>
        <w:t xml:space="preserve">Youngquist, Paul. </w:t>
      </w:r>
      <w:r w:rsidRPr="002A5475">
        <w:rPr>
          <w:rFonts w:asciiTheme="majorBidi" w:hAnsiTheme="majorBidi" w:cstheme="majorBidi"/>
          <w:i/>
        </w:rPr>
        <w:t>Monstrosities: Bodies and British Romanticism</w:t>
      </w:r>
      <w:r w:rsidRPr="002A5475">
        <w:rPr>
          <w:rFonts w:asciiTheme="majorBidi" w:hAnsiTheme="majorBidi" w:cstheme="majorBidi"/>
        </w:rPr>
        <w:t xml:space="preserve">. Minneapolis: University of </w:t>
      </w:r>
    </w:p>
    <w:p w14:paraId="11A7F419" w14:textId="56A63DB0" w:rsidR="0073481B" w:rsidRPr="002A5475" w:rsidRDefault="0073481B" w:rsidP="000D03D0">
      <w:pPr>
        <w:ind w:firstLine="720"/>
        <w:rPr>
          <w:rFonts w:asciiTheme="majorBidi" w:hAnsiTheme="majorBidi" w:cstheme="majorBidi"/>
        </w:rPr>
      </w:pPr>
      <w:r w:rsidRPr="002A5475">
        <w:rPr>
          <w:rFonts w:asciiTheme="majorBidi" w:hAnsiTheme="majorBidi" w:cstheme="majorBidi"/>
        </w:rPr>
        <w:t>Minnesota Press, 2003.</w:t>
      </w:r>
    </w:p>
    <w:p w14:paraId="659E3B7A" w14:textId="77777777" w:rsidR="000D03D0" w:rsidRDefault="00A2284F" w:rsidP="000D03D0">
      <w:pPr>
        <w:rPr>
          <w:rFonts w:asciiTheme="majorBidi" w:hAnsiTheme="majorBidi" w:cstheme="majorBidi"/>
        </w:rPr>
      </w:pPr>
      <w:r w:rsidRPr="002A5475">
        <w:rPr>
          <w:rFonts w:asciiTheme="majorBidi" w:hAnsiTheme="majorBidi" w:cstheme="majorBidi"/>
        </w:rPr>
        <w:t xml:space="preserve">Ziolkowski, Theodore. “Science, </w:t>
      </w:r>
      <w:r w:rsidRPr="002A5475">
        <w:rPr>
          <w:rFonts w:asciiTheme="majorBidi" w:hAnsiTheme="majorBidi" w:cstheme="majorBidi"/>
          <w:i/>
          <w:iCs/>
        </w:rPr>
        <w:t>Frankenstein</w:t>
      </w:r>
      <w:r w:rsidRPr="002A5475">
        <w:rPr>
          <w:rFonts w:asciiTheme="majorBidi" w:hAnsiTheme="majorBidi" w:cstheme="majorBidi"/>
        </w:rPr>
        <w:t xml:space="preserve">, and Myth.” </w:t>
      </w:r>
      <w:r w:rsidRPr="002A5475">
        <w:rPr>
          <w:rFonts w:asciiTheme="majorBidi" w:hAnsiTheme="majorBidi" w:cstheme="majorBidi"/>
          <w:i/>
          <w:iCs/>
        </w:rPr>
        <w:t>The Sewanee Review</w:t>
      </w:r>
      <w:r w:rsidRPr="002A5475">
        <w:rPr>
          <w:rFonts w:asciiTheme="majorBidi" w:hAnsiTheme="majorBidi" w:cstheme="majorBidi"/>
        </w:rPr>
        <w:t xml:space="preserve"> 89.1 (1981): </w:t>
      </w:r>
    </w:p>
    <w:p w14:paraId="4ADB11FA" w14:textId="265352DA" w:rsidR="00A2284F" w:rsidRPr="002A5475" w:rsidRDefault="00A2284F" w:rsidP="000D03D0">
      <w:pPr>
        <w:ind w:firstLine="720"/>
        <w:rPr>
          <w:rFonts w:asciiTheme="majorBidi" w:hAnsiTheme="majorBidi" w:cstheme="majorBidi"/>
        </w:rPr>
      </w:pPr>
      <w:r w:rsidRPr="002A5475">
        <w:rPr>
          <w:rFonts w:asciiTheme="majorBidi" w:hAnsiTheme="majorBidi" w:cstheme="majorBidi"/>
        </w:rPr>
        <w:t>34–56.</w:t>
      </w:r>
    </w:p>
    <w:p w14:paraId="642B1671" w14:textId="77777777" w:rsidR="00A2284F" w:rsidRPr="002A5475" w:rsidRDefault="00A2284F" w:rsidP="00A2284F">
      <w:pPr>
        <w:rPr>
          <w:rFonts w:asciiTheme="majorBidi" w:hAnsiTheme="majorBidi" w:cstheme="majorBidi"/>
        </w:rPr>
      </w:pPr>
    </w:p>
    <w:p w14:paraId="734C247E" w14:textId="77777777" w:rsidR="0073481B" w:rsidRPr="002A5475" w:rsidRDefault="0073481B" w:rsidP="0073481B">
      <w:pPr>
        <w:rPr>
          <w:rFonts w:asciiTheme="majorBidi" w:hAnsiTheme="majorBidi" w:cstheme="majorBidi"/>
        </w:rPr>
      </w:pPr>
    </w:p>
    <w:p w14:paraId="4B20E591" w14:textId="77777777" w:rsidR="0073481B" w:rsidRPr="002A5475" w:rsidRDefault="0073481B" w:rsidP="0073481B">
      <w:pPr>
        <w:rPr>
          <w:rFonts w:asciiTheme="majorBidi" w:hAnsiTheme="majorBidi" w:cstheme="majorBidi"/>
        </w:rPr>
      </w:pPr>
    </w:p>
    <w:p w14:paraId="2B77A238" w14:textId="77777777" w:rsidR="00825933" w:rsidRPr="002A5475" w:rsidRDefault="00236E6D" w:rsidP="000D03D0">
      <w:pPr>
        <w:pStyle w:val="Heading1"/>
        <w:jc w:val="left"/>
        <w:rPr>
          <w:rFonts w:asciiTheme="majorBidi" w:hAnsiTheme="majorBidi" w:cstheme="majorBidi"/>
          <w:sz w:val="24"/>
        </w:rPr>
      </w:pPr>
      <w:r w:rsidRPr="002A5475">
        <w:rPr>
          <w:rFonts w:asciiTheme="majorBidi" w:hAnsiTheme="majorBidi" w:cstheme="majorBidi"/>
          <w:sz w:val="24"/>
        </w:rPr>
        <w:br w:type="page"/>
      </w:r>
    </w:p>
    <w:p w14:paraId="2797047A" w14:textId="77777777" w:rsidR="00236E6D" w:rsidRPr="002A5475" w:rsidRDefault="00526151" w:rsidP="005E54E2">
      <w:pPr>
        <w:pStyle w:val="Heading1"/>
        <w:rPr>
          <w:rFonts w:asciiTheme="majorBidi" w:hAnsiTheme="majorBidi" w:cstheme="majorBidi"/>
          <w:szCs w:val="28"/>
        </w:rPr>
      </w:pPr>
      <w:bookmarkStart w:id="46" w:name="_Toc289175845"/>
      <w:bookmarkStart w:id="47" w:name="_Toc96096598"/>
      <w:r w:rsidRPr="002A5475">
        <w:rPr>
          <w:rFonts w:asciiTheme="majorBidi" w:hAnsiTheme="majorBidi" w:cstheme="majorBidi"/>
          <w:szCs w:val="28"/>
        </w:rPr>
        <w:lastRenderedPageBreak/>
        <w:t>VITA</w:t>
      </w:r>
      <w:bookmarkEnd w:id="46"/>
      <w:bookmarkEnd w:id="47"/>
    </w:p>
    <w:p w14:paraId="679396C2" w14:textId="77777777" w:rsidR="003D63DF" w:rsidRPr="002A5475" w:rsidRDefault="003D63DF" w:rsidP="005E54E2">
      <w:pPr>
        <w:rPr>
          <w:rFonts w:asciiTheme="majorBidi" w:hAnsiTheme="majorBidi" w:cstheme="majorBidi"/>
        </w:rPr>
      </w:pPr>
    </w:p>
    <w:p w14:paraId="38D7D479" w14:textId="611A36CB" w:rsidR="00B466C5" w:rsidRPr="002A5475" w:rsidRDefault="00574DDC" w:rsidP="0003672C">
      <w:pPr>
        <w:rPr>
          <w:rFonts w:asciiTheme="majorBidi" w:hAnsiTheme="majorBidi" w:cstheme="majorBidi"/>
          <w:color w:val="000000"/>
        </w:rPr>
      </w:pPr>
      <w:r w:rsidRPr="002A5475">
        <w:rPr>
          <w:rFonts w:asciiTheme="majorBidi" w:hAnsiTheme="majorBidi" w:cstheme="majorBidi"/>
          <w:color w:val="000000"/>
        </w:rPr>
        <w:t>“Her out-of-doors life was perfect. Her in-doors life had its drawbacks.”</w:t>
      </w:r>
    </w:p>
    <w:p w14:paraId="0B4C5915" w14:textId="08DEA200" w:rsidR="002160FE" w:rsidRPr="002A5475" w:rsidRDefault="00574DDC" w:rsidP="0038293F">
      <w:pPr>
        <w:jc w:val="right"/>
        <w:rPr>
          <w:rFonts w:asciiTheme="majorBidi" w:hAnsiTheme="majorBidi" w:cstheme="majorBidi"/>
        </w:rPr>
      </w:pPr>
      <w:r w:rsidRPr="002A5475">
        <w:rPr>
          <w:rFonts w:asciiTheme="majorBidi" w:hAnsiTheme="majorBidi" w:cstheme="majorBidi"/>
          <w:color w:val="000000"/>
        </w:rPr>
        <w:t xml:space="preserve">Elizabeth Gaskell, </w:t>
      </w:r>
      <w:r w:rsidRPr="002A5475">
        <w:rPr>
          <w:rFonts w:asciiTheme="majorBidi" w:hAnsiTheme="majorBidi" w:cstheme="majorBidi"/>
          <w:i/>
          <w:iCs/>
          <w:color w:val="000000"/>
        </w:rPr>
        <w:t>North and South</w:t>
      </w:r>
    </w:p>
    <w:p w14:paraId="1612C352" w14:textId="77777777" w:rsidR="00E0761B" w:rsidRPr="002A5475" w:rsidRDefault="00E0761B" w:rsidP="0003672C">
      <w:pPr>
        <w:rPr>
          <w:rFonts w:asciiTheme="majorBidi" w:hAnsiTheme="majorBidi" w:cstheme="majorBidi"/>
        </w:rPr>
      </w:pPr>
    </w:p>
    <w:p w14:paraId="531F4C3E" w14:textId="611B1B6D" w:rsidR="009C666A" w:rsidRPr="002A5475" w:rsidRDefault="000077A6" w:rsidP="0003672C">
      <w:pPr>
        <w:rPr>
          <w:rFonts w:asciiTheme="majorBidi" w:hAnsiTheme="majorBidi" w:cstheme="majorBidi"/>
        </w:rPr>
      </w:pPr>
      <w:r w:rsidRPr="002A5475">
        <w:rPr>
          <w:rFonts w:asciiTheme="majorBidi" w:hAnsiTheme="majorBidi" w:cstheme="majorBidi"/>
        </w:rPr>
        <w:tab/>
        <w:t>Rebecca McCann holds a B.A.</w:t>
      </w:r>
      <w:r w:rsidR="009C666A" w:rsidRPr="002A5475">
        <w:rPr>
          <w:rFonts w:asciiTheme="majorBidi" w:hAnsiTheme="majorBidi" w:cstheme="majorBidi"/>
        </w:rPr>
        <w:t xml:space="preserve"> in English</w:t>
      </w:r>
      <w:r w:rsidRPr="002A5475">
        <w:rPr>
          <w:rFonts w:asciiTheme="majorBidi" w:hAnsiTheme="majorBidi" w:cstheme="majorBidi"/>
        </w:rPr>
        <w:t xml:space="preserve"> from Sewanee: The University of the</w:t>
      </w:r>
      <w:r w:rsidR="009C666A" w:rsidRPr="002A5475">
        <w:rPr>
          <w:rFonts w:asciiTheme="majorBidi" w:hAnsiTheme="majorBidi" w:cstheme="majorBidi"/>
        </w:rPr>
        <w:t xml:space="preserve"> </w:t>
      </w:r>
      <w:r w:rsidRPr="002A5475">
        <w:rPr>
          <w:rFonts w:asciiTheme="majorBidi" w:hAnsiTheme="majorBidi" w:cstheme="majorBidi"/>
        </w:rPr>
        <w:t>South</w:t>
      </w:r>
      <w:r w:rsidR="004F1DB0" w:rsidRPr="002A5475">
        <w:rPr>
          <w:rFonts w:asciiTheme="majorBidi" w:hAnsiTheme="majorBidi" w:cstheme="majorBidi"/>
        </w:rPr>
        <w:t>,</w:t>
      </w:r>
      <w:r w:rsidRPr="002A5475">
        <w:rPr>
          <w:rFonts w:asciiTheme="majorBidi" w:hAnsiTheme="majorBidi" w:cstheme="majorBidi"/>
        </w:rPr>
        <w:t xml:space="preserve"> an M.A. </w:t>
      </w:r>
      <w:r w:rsidR="009C666A" w:rsidRPr="002A5475">
        <w:rPr>
          <w:rFonts w:asciiTheme="majorBidi" w:hAnsiTheme="majorBidi" w:cstheme="majorBidi"/>
        </w:rPr>
        <w:t xml:space="preserve">in English language and literature </w:t>
      </w:r>
      <w:r w:rsidRPr="002A5475">
        <w:rPr>
          <w:rFonts w:asciiTheme="majorBidi" w:hAnsiTheme="majorBidi" w:cstheme="majorBidi"/>
        </w:rPr>
        <w:t>from the University of Virginia</w:t>
      </w:r>
      <w:r w:rsidR="004F1DB0" w:rsidRPr="002A5475">
        <w:rPr>
          <w:rFonts w:asciiTheme="majorBidi" w:hAnsiTheme="majorBidi" w:cstheme="majorBidi"/>
        </w:rPr>
        <w:t>, and a Ph</w:t>
      </w:r>
      <w:r w:rsidR="0038293F" w:rsidRPr="002A5475">
        <w:rPr>
          <w:rFonts w:asciiTheme="majorBidi" w:hAnsiTheme="majorBidi" w:cstheme="majorBidi"/>
        </w:rPr>
        <w:t>.</w:t>
      </w:r>
      <w:r w:rsidR="004F1DB0" w:rsidRPr="002A5475">
        <w:rPr>
          <w:rFonts w:asciiTheme="majorBidi" w:hAnsiTheme="majorBidi" w:cstheme="majorBidi"/>
        </w:rPr>
        <w:t>D</w:t>
      </w:r>
      <w:r w:rsidR="0038293F" w:rsidRPr="002A5475">
        <w:rPr>
          <w:rFonts w:asciiTheme="majorBidi" w:hAnsiTheme="majorBidi" w:cstheme="majorBidi"/>
        </w:rPr>
        <w:t>.</w:t>
      </w:r>
      <w:r w:rsidR="004F1DB0" w:rsidRPr="002A5475">
        <w:rPr>
          <w:rFonts w:asciiTheme="majorBidi" w:hAnsiTheme="majorBidi" w:cstheme="majorBidi"/>
        </w:rPr>
        <w:t xml:space="preserve"> in English</w:t>
      </w:r>
      <w:r w:rsidR="00566934">
        <w:rPr>
          <w:rFonts w:asciiTheme="majorBidi" w:hAnsiTheme="majorBidi" w:cstheme="majorBidi"/>
        </w:rPr>
        <w:t xml:space="preserve"> language and</w:t>
      </w:r>
      <w:r w:rsidR="004F1DB0" w:rsidRPr="002A5475">
        <w:rPr>
          <w:rFonts w:asciiTheme="majorBidi" w:hAnsiTheme="majorBidi" w:cstheme="majorBidi"/>
        </w:rPr>
        <w:t xml:space="preserve"> literature from the University of Tennessee</w:t>
      </w:r>
      <w:r w:rsidR="009C666A" w:rsidRPr="002A5475">
        <w:rPr>
          <w:rFonts w:asciiTheme="majorBidi" w:hAnsiTheme="majorBidi" w:cstheme="majorBidi"/>
        </w:rPr>
        <w:t xml:space="preserve">. Her current research </w:t>
      </w:r>
      <w:r w:rsidR="009C666A" w:rsidRPr="002A5475">
        <w:rPr>
          <w:rFonts w:asciiTheme="majorBidi" w:hAnsiTheme="majorBidi" w:cstheme="majorBidi"/>
          <w:color w:val="000000"/>
          <w:shd w:val="clear" w:color="auto" w:fill="FFFFFF"/>
        </w:rPr>
        <w:t xml:space="preserve">involves the representation of disability and medical technology in nineteenth-century British fiction and culture. </w:t>
      </w:r>
    </w:p>
    <w:p w14:paraId="29F6C9B6" w14:textId="5B3829BA" w:rsidR="002160FE" w:rsidRPr="002A5475" w:rsidRDefault="00E951BB" w:rsidP="009C666A">
      <w:pPr>
        <w:ind w:firstLine="720"/>
        <w:rPr>
          <w:rFonts w:asciiTheme="majorBidi" w:hAnsiTheme="majorBidi" w:cstheme="majorBidi"/>
        </w:rPr>
      </w:pPr>
      <w:r>
        <w:rPr>
          <w:rFonts w:asciiTheme="majorBidi" w:hAnsiTheme="majorBidi" w:cstheme="majorBidi"/>
        </w:rPr>
        <w:t>While</w:t>
      </w:r>
      <w:r w:rsidR="00365363">
        <w:rPr>
          <w:rFonts w:asciiTheme="majorBidi" w:hAnsiTheme="majorBidi" w:cstheme="majorBidi"/>
        </w:rPr>
        <w:t xml:space="preserve"> teaching undergraduate courses at </w:t>
      </w:r>
      <w:r>
        <w:rPr>
          <w:rFonts w:asciiTheme="majorBidi" w:hAnsiTheme="majorBidi" w:cstheme="majorBidi"/>
        </w:rPr>
        <w:t>the University of Tennessee</w:t>
      </w:r>
      <w:r w:rsidR="00365363">
        <w:rPr>
          <w:rFonts w:asciiTheme="majorBidi" w:hAnsiTheme="majorBidi" w:cstheme="majorBidi"/>
        </w:rPr>
        <w:t>, Rebecca also acted as the assistant director of the university’s writing center. Most recently,</w:t>
      </w:r>
      <w:r w:rsidR="000077A6" w:rsidRPr="002A5475">
        <w:rPr>
          <w:rFonts w:asciiTheme="majorBidi" w:hAnsiTheme="majorBidi" w:cstheme="majorBidi"/>
        </w:rPr>
        <w:t xml:space="preserve"> </w:t>
      </w:r>
      <w:r w:rsidR="009C666A" w:rsidRPr="002A5475">
        <w:rPr>
          <w:rFonts w:asciiTheme="majorBidi" w:hAnsiTheme="majorBidi" w:cstheme="majorBidi"/>
        </w:rPr>
        <w:t>Rebecca</w:t>
      </w:r>
      <w:r w:rsidR="000077A6" w:rsidRPr="002A5475">
        <w:rPr>
          <w:rFonts w:asciiTheme="majorBidi" w:hAnsiTheme="majorBidi" w:cstheme="majorBidi"/>
        </w:rPr>
        <w:t xml:space="preserve"> </w:t>
      </w:r>
      <w:r w:rsidR="00365363">
        <w:rPr>
          <w:rFonts w:asciiTheme="majorBidi" w:hAnsiTheme="majorBidi" w:cstheme="majorBidi"/>
        </w:rPr>
        <w:t>has served as a</w:t>
      </w:r>
      <w:r w:rsidR="00003583" w:rsidRPr="002A5475">
        <w:rPr>
          <w:rFonts w:asciiTheme="majorBidi" w:hAnsiTheme="majorBidi" w:cstheme="majorBidi"/>
        </w:rPr>
        <w:t xml:space="preserve"> </w:t>
      </w:r>
      <w:r w:rsidR="00E70E3E" w:rsidRPr="002A5475">
        <w:rPr>
          <w:rFonts w:asciiTheme="majorBidi" w:hAnsiTheme="majorBidi" w:cstheme="majorBidi"/>
        </w:rPr>
        <w:t>humanities teacher</w:t>
      </w:r>
      <w:r w:rsidR="001E78CC" w:rsidRPr="002A5475">
        <w:rPr>
          <w:rFonts w:asciiTheme="majorBidi" w:hAnsiTheme="majorBidi" w:cstheme="majorBidi"/>
        </w:rPr>
        <w:t xml:space="preserve"> in</w:t>
      </w:r>
      <w:r w:rsidR="00003583" w:rsidRPr="002A5475">
        <w:rPr>
          <w:rFonts w:asciiTheme="majorBidi" w:hAnsiTheme="majorBidi" w:cstheme="majorBidi"/>
        </w:rPr>
        <w:t xml:space="preserve"> an experiential education setting.</w:t>
      </w:r>
      <w:r w:rsidR="001E78CC" w:rsidRPr="002A5475">
        <w:rPr>
          <w:rFonts w:asciiTheme="majorBidi" w:hAnsiTheme="majorBidi" w:cstheme="majorBidi"/>
        </w:rPr>
        <w:t xml:space="preserve"> </w:t>
      </w:r>
      <w:r w:rsidR="004F1DB0" w:rsidRPr="002A5475">
        <w:rPr>
          <w:rFonts w:asciiTheme="majorBidi" w:hAnsiTheme="majorBidi" w:cstheme="majorBidi"/>
        </w:rPr>
        <w:t xml:space="preserve">When not in the </w:t>
      </w:r>
      <w:r w:rsidR="00003583" w:rsidRPr="002A5475">
        <w:rPr>
          <w:rFonts w:asciiTheme="majorBidi" w:hAnsiTheme="majorBidi" w:cstheme="majorBidi"/>
        </w:rPr>
        <w:t>classroom</w:t>
      </w:r>
      <w:r w:rsidR="004F1DB0" w:rsidRPr="002A5475">
        <w:rPr>
          <w:rFonts w:asciiTheme="majorBidi" w:hAnsiTheme="majorBidi" w:cstheme="majorBidi"/>
        </w:rPr>
        <w:t>, Rebecca can be found exploring the trails of the Blue Ridge Mountains</w:t>
      </w:r>
      <w:r w:rsidR="00003583" w:rsidRPr="002A5475">
        <w:rPr>
          <w:rFonts w:asciiTheme="majorBidi" w:hAnsiTheme="majorBidi" w:cstheme="majorBidi"/>
        </w:rPr>
        <w:t xml:space="preserve"> and </w:t>
      </w:r>
      <w:r w:rsidR="00E310E3">
        <w:rPr>
          <w:rFonts w:asciiTheme="majorBidi" w:hAnsiTheme="majorBidi" w:cstheme="majorBidi"/>
        </w:rPr>
        <w:t>paddling the</w:t>
      </w:r>
      <w:r w:rsidR="0083779B">
        <w:rPr>
          <w:rFonts w:asciiTheme="majorBidi" w:hAnsiTheme="majorBidi" w:cstheme="majorBidi"/>
        </w:rPr>
        <w:t xml:space="preserve"> rivers of</w:t>
      </w:r>
      <w:r w:rsidR="00E310E3">
        <w:rPr>
          <w:rFonts w:asciiTheme="majorBidi" w:hAnsiTheme="majorBidi" w:cstheme="majorBidi"/>
        </w:rPr>
        <w:t xml:space="preserve"> French Broad</w:t>
      </w:r>
      <w:r w:rsidR="0083779B">
        <w:rPr>
          <w:rFonts w:asciiTheme="majorBidi" w:hAnsiTheme="majorBidi" w:cstheme="majorBidi"/>
        </w:rPr>
        <w:t xml:space="preserve"> </w:t>
      </w:r>
      <w:r w:rsidR="00E310E3">
        <w:rPr>
          <w:rFonts w:asciiTheme="majorBidi" w:hAnsiTheme="majorBidi" w:cstheme="majorBidi"/>
        </w:rPr>
        <w:t xml:space="preserve">Watershed. </w:t>
      </w:r>
      <w:r w:rsidR="00003583" w:rsidRPr="002A5475">
        <w:rPr>
          <w:rFonts w:asciiTheme="majorBidi" w:hAnsiTheme="majorBidi" w:cstheme="majorBidi"/>
        </w:rPr>
        <w:t xml:space="preserve"> </w:t>
      </w:r>
    </w:p>
    <w:p w14:paraId="18E7BCDE" w14:textId="77777777" w:rsidR="000077A6" w:rsidRPr="002A5475" w:rsidRDefault="000077A6" w:rsidP="0003672C">
      <w:pPr>
        <w:rPr>
          <w:rFonts w:asciiTheme="majorBidi" w:hAnsiTheme="majorBidi" w:cstheme="majorBidi"/>
        </w:rPr>
      </w:pPr>
    </w:p>
    <w:p w14:paraId="240B7389" w14:textId="63D50A41" w:rsidR="003D63DF" w:rsidRPr="002A5475" w:rsidRDefault="003D63DF" w:rsidP="0003672C">
      <w:pPr>
        <w:rPr>
          <w:rFonts w:asciiTheme="majorBidi" w:hAnsiTheme="majorBidi" w:cstheme="majorBidi"/>
        </w:rPr>
      </w:pPr>
    </w:p>
    <w:sectPr w:rsidR="003D63DF" w:rsidRPr="002A5475" w:rsidSect="00B37F7B">
      <w:pgSz w:w="12240" w:h="15840" w:code="1"/>
      <w:pgMar w:top="1440" w:right="1440" w:bottom="1440" w:left="1440" w:header="720" w:footer="72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8717B" w14:textId="77777777" w:rsidR="00785FCB" w:rsidRDefault="00785FCB" w:rsidP="005E54E2">
      <w:r>
        <w:separator/>
      </w:r>
    </w:p>
    <w:p w14:paraId="7886578B" w14:textId="77777777" w:rsidR="00785FCB" w:rsidRDefault="00785FCB" w:rsidP="005E54E2"/>
    <w:p w14:paraId="54D963DC" w14:textId="77777777" w:rsidR="00785FCB" w:rsidRDefault="00785FCB" w:rsidP="005E54E2"/>
    <w:p w14:paraId="32D8CC35" w14:textId="77777777" w:rsidR="00785FCB" w:rsidRDefault="00785FCB" w:rsidP="005E54E2"/>
  </w:endnote>
  <w:endnote w:type="continuationSeparator" w:id="0">
    <w:p w14:paraId="37662BF3" w14:textId="77777777" w:rsidR="00785FCB" w:rsidRDefault="00785FCB" w:rsidP="005E54E2">
      <w:r>
        <w:continuationSeparator/>
      </w:r>
    </w:p>
    <w:p w14:paraId="65B0E8BC" w14:textId="77777777" w:rsidR="00785FCB" w:rsidRDefault="00785FCB" w:rsidP="005E54E2"/>
    <w:p w14:paraId="4EDD5DDF" w14:textId="77777777" w:rsidR="00785FCB" w:rsidRDefault="00785FCB" w:rsidP="005E54E2"/>
    <w:p w14:paraId="1D670B3B" w14:textId="77777777" w:rsidR="00785FCB" w:rsidRDefault="00785FCB"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D2ACA" w14:textId="77777777" w:rsidR="00A04D6A" w:rsidRPr="00CB0070" w:rsidRDefault="00A04D6A">
    <w:pPr>
      <w:pStyle w:val="Footer"/>
      <w:jc w:val="right"/>
      <w:rPr>
        <w:rFonts w:asciiTheme="majorBidi" w:hAnsiTheme="majorBidi" w:cstheme="majorBidi"/>
      </w:rPr>
    </w:pPr>
    <w:r w:rsidRPr="00CB0070">
      <w:rPr>
        <w:rFonts w:asciiTheme="majorBidi" w:hAnsiTheme="majorBidi" w:cstheme="majorBidi"/>
      </w:rPr>
      <w:fldChar w:fldCharType="begin"/>
    </w:r>
    <w:r w:rsidRPr="00CB0070">
      <w:rPr>
        <w:rFonts w:asciiTheme="majorBidi" w:hAnsiTheme="majorBidi" w:cstheme="majorBidi"/>
      </w:rPr>
      <w:instrText xml:space="preserve"> PAGE   \* MERGEFORMAT </w:instrText>
    </w:r>
    <w:r w:rsidRPr="00CB0070">
      <w:rPr>
        <w:rFonts w:asciiTheme="majorBidi" w:hAnsiTheme="majorBidi" w:cstheme="majorBidi"/>
      </w:rPr>
      <w:fldChar w:fldCharType="separate"/>
    </w:r>
    <w:r w:rsidRPr="00CB0070">
      <w:rPr>
        <w:rFonts w:asciiTheme="majorBidi" w:hAnsiTheme="majorBidi" w:cstheme="majorBidi"/>
        <w:noProof/>
      </w:rPr>
      <w:t>13</w:t>
    </w:r>
    <w:r w:rsidRPr="00CB0070">
      <w:rPr>
        <w:rFonts w:asciiTheme="majorBidi" w:hAnsiTheme="majorBidi" w:cstheme="majorBidi"/>
        <w:noProof/>
      </w:rPr>
      <w:fldChar w:fldCharType="end"/>
    </w:r>
  </w:p>
  <w:p w14:paraId="73BF6C9C" w14:textId="77777777" w:rsidR="00A04D6A" w:rsidRDefault="00A04D6A" w:rsidP="005E54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346F9" w14:textId="77777777" w:rsidR="00785FCB" w:rsidRDefault="00785FCB" w:rsidP="005E54E2">
      <w:r>
        <w:separator/>
      </w:r>
    </w:p>
    <w:p w14:paraId="3B669FCA" w14:textId="77777777" w:rsidR="00785FCB" w:rsidRDefault="00785FCB" w:rsidP="005E54E2"/>
    <w:p w14:paraId="6B0CE059" w14:textId="77777777" w:rsidR="00785FCB" w:rsidRDefault="00785FCB" w:rsidP="005E54E2"/>
    <w:p w14:paraId="6807999C" w14:textId="77777777" w:rsidR="00785FCB" w:rsidRDefault="00785FCB" w:rsidP="005E54E2"/>
  </w:footnote>
  <w:footnote w:type="continuationSeparator" w:id="0">
    <w:p w14:paraId="4CB43984" w14:textId="77777777" w:rsidR="00785FCB" w:rsidRDefault="00785FCB" w:rsidP="005E54E2">
      <w:r>
        <w:continuationSeparator/>
      </w:r>
    </w:p>
    <w:p w14:paraId="390F4FE6" w14:textId="77777777" w:rsidR="00785FCB" w:rsidRDefault="00785FCB" w:rsidP="005E54E2"/>
    <w:p w14:paraId="1B790752" w14:textId="77777777" w:rsidR="00785FCB" w:rsidRDefault="00785FCB" w:rsidP="005E54E2"/>
    <w:p w14:paraId="0D1A8353" w14:textId="77777777" w:rsidR="00785FCB" w:rsidRDefault="00785FCB" w:rsidP="005E54E2"/>
  </w:footnote>
  <w:footnote w:id="1">
    <w:p w14:paraId="510FEB2B" w14:textId="77777777" w:rsidR="00584F97" w:rsidRPr="00611549" w:rsidRDefault="00584F97" w:rsidP="00584F97">
      <w:pPr>
        <w:pStyle w:val="FootnoteText"/>
        <w:rPr>
          <w:rFonts w:asciiTheme="majorBidi" w:hAnsiTheme="majorBidi" w:cstheme="majorBidi"/>
        </w:rPr>
      </w:pPr>
      <w:r w:rsidRPr="00611549">
        <w:rPr>
          <w:rStyle w:val="FootnoteReference"/>
          <w:rFonts w:asciiTheme="majorBidi" w:hAnsiTheme="majorBidi" w:cstheme="majorBidi"/>
        </w:rPr>
        <w:footnoteRef/>
      </w:r>
      <w:r w:rsidRPr="00611549">
        <w:rPr>
          <w:rFonts w:asciiTheme="majorBidi" w:hAnsiTheme="majorBidi" w:cstheme="majorBidi"/>
        </w:rPr>
        <w:t xml:space="preserve"> The jury in the original proceeding found in favor of Fisher, labeling Flynn’s behavior “malicious” and emphasizing the “humiliation and indignity” Fisher suffered as the result of Flynn’s loud and offensive shouting. </w:t>
      </w:r>
    </w:p>
  </w:footnote>
  <w:footnote w:id="2">
    <w:p w14:paraId="6ABDB46C" w14:textId="4AAC5792" w:rsidR="00584F97" w:rsidRPr="00611549" w:rsidRDefault="00584F97" w:rsidP="00584F97">
      <w:pPr>
        <w:pStyle w:val="FootnoteText"/>
        <w:rPr>
          <w:rFonts w:asciiTheme="majorBidi" w:hAnsiTheme="majorBidi" w:cstheme="majorBidi"/>
        </w:rPr>
      </w:pPr>
      <w:r w:rsidRPr="00611549">
        <w:rPr>
          <w:rStyle w:val="FootnoteReference"/>
          <w:rFonts w:asciiTheme="majorBidi" w:hAnsiTheme="majorBidi" w:cstheme="majorBidi"/>
        </w:rPr>
        <w:footnoteRef/>
      </w:r>
      <w:r w:rsidRPr="00611549">
        <w:rPr>
          <w:rFonts w:asciiTheme="majorBidi" w:hAnsiTheme="majorBidi" w:cstheme="majorBidi"/>
        </w:rPr>
        <w:t xml:space="preserve"> See </w:t>
      </w:r>
      <w:r w:rsidRPr="00611549">
        <w:rPr>
          <w:rFonts w:asciiTheme="majorBidi" w:hAnsiTheme="majorBidi" w:cstheme="majorBidi"/>
          <w:i/>
          <w:iCs/>
        </w:rPr>
        <w:t>Restatement of Torts</w:t>
      </w:r>
      <w:r w:rsidRPr="00611549">
        <w:rPr>
          <w:rFonts w:asciiTheme="majorBidi" w:hAnsiTheme="majorBidi" w:cstheme="majorBidi"/>
        </w:rPr>
        <w:t xml:space="preserve"> 2d §18 (Comment</w:t>
      </w:r>
      <w:r w:rsidR="008C1080">
        <w:rPr>
          <w:rFonts w:asciiTheme="majorBidi" w:hAnsiTheme="majorBidi" w:cstheme="majorBidi"/>
        </w:rPr>
        <w:t>,</w:t>
      </w:r>
      <w:r w:rsidRPr="00611549">
        <w:rPr>
          <w:rFonts w:asciiTheme="majorBidi" w:hAnsiTheme="majorBidi" w:cstheme="majorBidi"/>
        </w:rPr>
        <w:t xml:space="preserve"> p. 31): “Since the essence of the plaintiff’s grievance consists in the offense to the dignity involved in the unpermitted and intentional invasion of the inviolability of his person . . . it is not necessary that the plaintiff’s actual body be disturbed</w:t>
      </w:r>
      <w:proofErr w:type="gramStart"/>
      <w:r w:rsidRPr="00611549">
        <w:rPr>
          <w:rFonts w:asciiTheme="majorBidi" w:hAnsiTheme="majorBidi" w:cstheme="majorBidi"/>
        </w:rPr>
        <w:t>. . . .</w:t>
      </w:r>
      <w:proofErr w:type="gramEnd"/>
      <w:r w:rsidRPr="00611549">
        <w:rPr>
          <w:rFonts w:asciiTheme="majorBidi" w:hAnsiTheme="majorBidi" w:cstheme="majorBidi"/>
        </w:rPr>
        <w:t xml:space="preserve"> There are some things such as clothing or a cane or, indeed, anything directly grasped by the hand which are so intimately connected with one’s body as to be universally regarded as part of the person.” </w:t>
      </w:r>
    </w:p>
  </w:footnote>
  <w:footnote w:id="3">
    <w:p w14:paraId="0ABF9158" w14:textId="77777777" w:rsidR="00584F97" w:rsidRPr="00611549" w:rsidRDefault="00584F97" w:rsidP="00584F97">
      <w:pPr>
        <w:pStyle w:val="FootnoteText"/>
        <w:rPr>
          <w:rFonts w:asciiTheme="majorBidi" w:hAnsiTheme="majorBidi" w:cstheme="majorBidi"/>
        </w:rPr>
      </w:pPr>
      <w:r w:rsidRPr="00611549">
        <w:rPr>
          <w:rStyle w:val="FootnoteReference"/>
          <w:rFonts w:asciiTheme="majorBidi" w:hAnsiTheme="majorBidi" w:cstheme="majorBidi"/>
        </w:rPr>
        <w:footnoteRef/>
      </w:r>
      <w:r w:rsidRPr="00611549">
        <w:rPr>
          <w:rFonts w:asciiTheme="majorBidi" w:hAnsiTheme="majorBidi" w:cstheme="majorBidi"/>
        </w:rPr>
        <w:t xml:space="preserve"> While courts sometimes refer to these objects as “appurtenances,” that term remains more widely used in the context of property law rather than torts. </w:t>
      </w:r>
    </w:p>
  </w:footnote>
  <w:footnote w:id="4">
    <w:p w14:paraId="723784FA" w14:textId="77777777" w:rsidR="00584F97" w:rsidRPr="00611549" w:rsidRDefault="00584F97" w:rsidP="00584F97">
      <w:pPr>
        <w:pStyle w:val="FootnoteText"/>
        <w:rPr>
          <w:rFonts w:asciiTheme="majorBidi" w:hAnsiTheme="majorBidi" w:cstheme="majorBidi"/>
        </w:rPr>
      </w:pPr>
      <w:r w:rsidRPr="00611549">
        <w:rPr>
          <w:rStyle w:val="FootnoteReference"/>
          <w:rFonts w:asciiTheme="majorBidi" w:hAnsiTheme="majorBidi" w:cstheme="majorBidi"/>
        </w:rPr>
        <w:footnoteRef/>
      </w:r>
      <w:r w:rsidRPr="00611549">
        <w:rPr>
          <w:rFonts w:asciiTheme="majorBidi" w:hAnsiTheme="majorBidi" w:cstheme="majorBidi"/>
        </w:rPr>
        <w:t xml:space="preserve"> </w:t>
      </w:r>
      <w:r w:rsidRPr="00611549">
        <w:rPr>
          <w:rFonts w:asciiTheme="majorBidi" w:hAnsiTheme="majorBidi" w:cstheme="majorBidi"/>
          <w:shd w:val="clear" w:color="auto" w:fill="FFFFFF"/>
        </w:rPr>
        <w:t xml:space="preserve">A brief etymology and working definition of “prosthesis” appear later in the introduction. </w:t>
      </w:r>
    </w:p>
  </w:footnote>
  <w:footnote w:id="5">
    <w:p w14:paraId="56F56ADF" w14:textId="63402A85" w:rsidR="00584F97" w:rsidRPr="00611549" w:rsidRDefault="00584F97" w:rsidP="00584F97">
      <w:pPr>
        <w:pStyle w:val="FootnoteText"/>
        <w:rPr>
          <w:rFonts w:asciiTheme="majorBidi" w:hAnsiTheme="majorBidi" w:cstheme="majorBidi"/>
        </w:rPr>
      </w:pPr>
      <w:r w:rsidRPr="00611549">
        <w:rPr>
          <w:rStyle w:val="FootnoteReference"/>
          <w:rFonts w:asciiTheme="majorBidi" w:hAnsiTheme="majorBidi" w:cstheme="majorBidi"/>
        </w:rPr>
        <w:footnoteRef/>
      </w:r>
      <w:r w:rsidRPr="00611549">
        <w:rPr>
          <w:rFonts w:asciiTheme="majorBidi" w:hAnsiTheme="majorBidi" w:cstheme="majorBidi"/>
        </w:rPr>
        <w:t xml:space="preserve"> Cornerstone formulations of disability studies in the humanities include the following</w:t>
      </w:r>
      <w:r w:rsidR="0045562A">
        <w:rPr>
          <w:rFonts w:asciiTheme="majorBidi" w:hAnsiTheme="majorBidi" w:cstheme="majorBidi"/>
        </w:rPr>
        <w:t xml:space="preserve"> texts.</w:t>
      </w:r>
      <w:r w:rsidRPr="00611549">
        <w:rPr>
          <w:rFonts w:asciiTheme="majorBidi" w:hAnsiTheme="majorBidi" w:cstheme="majorBidi"/>
        </w:rPr>
        <w:t xml:space="preserve"> Simi Linton’s disability studies manifesto, </w:t>
      </w:r>
      <w:r w:rsidRPr="00611549">
        <w:rPr>
          <w:rFonts w:asciiTheme="majorBidi" w:hAnsiTheme="majorBidi" w:cstheme="majorBidi"/>
          <w:i/>
          <w:iCs/>
        </w:rPr>
        <w:t>Claiming Disability: Knowledge and Identity</w:t>
      </w:r>
      <w:r w:rsidRPr="00611549">
        <w:rPr>
          <w:rFonts w:asciiTheme="majorBidi" w:hAnsiTheme="majorBidi" w:cstheme="majorBidi"/>
        </w:rPr>
        <w:t xml:space="preserve"> (1998), plots the trajectory of </w:t>
      </w:r>
      <w:r w:rsidR="0045562A">
        <w:rPr>
          <w:rFonts w:asciiTheme="majorBidi" w:hAnsiTheme="majorBidi" w:cstheme="majorBidi"/>
        </w:rPr>
        <w:t>disability studies</w:t>
      </w:r>
      <w:r w:rsidRPr="00611549">
        <w:rPr>
          <w:rFonts w:asciiTheme="majorBidi" w:hAnsiTheme="majorBidi" w:cstheme="majorBidi"/>
        </w:rPr>
        <w:t xml:space="preserve">, effectively asserting a critical rejection of the medical model of disability and advocating for a dissection and dismantling of the sociocultural, sociopolitical mechanisms that produce and undermine the disability community. Mairian Corker and Tom Shakespeare’s 2002 anthology, </w:t>
      </w:r>
      <w:r w:rsidRPr="00611549">
        <w:rPr>
          <w:rFonts w:asciiTheme="majorBidi" w:hAnsiTheme="majorBidi" w:cstheme="majorBidi"/>
          <w:i/>
        </w:rPr>
        <w:t>Disability/Postmodernity: Embodying Disability Theory</w:t>
      </w:r>
      <w:r w:rsidRPr="00611549">
        <w:rPr>
          <w:rFonts w:asciiTheme="majorBidi" w:hAnsiTheme="majorBidi" w:cstheme="majorBidi"/>
        </w:rPr>
        <w:t xml:space="preserve">, served as something of a disability studies touchstone in the early twenty-first century in its compilation of myriad postmodern approaches to disabilities, especially as deployed within the social sciences and the humanities. Published the same year, Lennard Davis’s </w:t>
      </w:r>
      <w:r w:rsidRPr="00611549">
        <w:rPr>
          <w:rFonts w:asciiTheme="majorBidi" w:hAnsiTheme="majorBidi" w:cstheme="majorBidi"/>
          <w:i/>
          <w:iCs/>
        </w:rPr>
        <w:t>Bending Over Backwards: Essays on Disability and the Body</w:t>
      </w:r>
      <w:r w:rsidRPr="00611549">
        <w:rPr>
          <w:rFonts w:asciiTheme="majorBidi" w:hAnsiTheme="majorBidi" w:cstheme="majorBidi"/>
        </w:rPr>
        <w:t xml:space="preserve"> (2002) reads constructions of disability and normality through a postmodern lens as he explores the disabled body’s relation to </w:t>
      </w:r>
      <w:r w:rsidR="0045562A">
        <w:rPr>
          <w:rFonts w:asciiTheme="majorBidi" w:hAnsiTheme="majorBidi" w:cstheme="majorBidi"/>
        </w:rPr>
        <w:t xml:space="preserve">and position within </w:t>
      </w:r>
      <w:r w:rsidRPr="00611549">
        <w:rPr>
          <w:rFonts w:asciiTheme="majorBidi" w:hAnsiTheme="majorBidi" w:cstheme="majorBidi"/>
        </w:rPr>
        <w:t>political, legal, and economic systems. Tobin Sieber</w:t>
      </w:r>
      <w:r w:rsidR="0045562A">
        <w:rPr>
          <w:rFonts w:asciiTheme="majorBidi" w:hAnsiTheme="majorBidi" w:cstheme="majorBidi"/>
        </w:rPr>
        <w:t>s</w:t>
      </w:r>
      <w:r w:rsidRPr="00611549">
        <w:rPr>
          <w:rFonts w:asciiTheme="majorBidi" w:hAnsiTheme="majorBidi" w:cstheme="majorBidi"/>
        </w:rPr>
        <w:t xml:space="preserve">’s polemical collection of essays in </w:t>
      </w:r>
      <w:r w:rsidRPr="00611549">
        <w:rPr>
          <w:rFonts w:asciiTheme="majorBidi" w:hAnsiTheme="majorBidi" w:cstheme="majorBidi"/>
          <w:i/>
          <w:iCs/>
        </w:rPr>
        <w:t>Disability Theory</w:t>
      </w:r>
      <w:r w:rsidRPr="00611549">
        <w:rPr>
          <w:rFonts w:asciiTheme="majorBidi" w:hAnsiTheme="majorBidi" w:cstheme="majorBidi"/>
        </w:rPr>
        <w:t xml:space="preserve"> (2008) troubles “weak” engagements of the social model of disability and, with an attention to the material realities of lived experiences, invokes critical notions of identity politics while criticizing the “hyperindividualization” of disability</w:t>
      </w:r>
      <w:r w:rsidR="0045562A">
        <w:rPr>
          <w:rFonts w:asciiTheme="majorBidi" w:hAnsiTheme="majorBidi" w:cstheme="majorBidi"/>
        </w:rPr>
        <w:t xml:space="preserve"> and</w:t>
      </w:r>
      <w:r w:rsidRPr="00611549">
        <w:rPr>
          <w:rFonts w:asciiTheme="majorBidi" w:hAnsiTheme="majorBidi" w:cstheme="majorBidi"/>
        </w:rPr>
        <w:t xml:space="preserve"> the “ideology of ability” (8). </w:t>
      </w:r>
    </w:p>
    <w:p w14:paraId="2011D730" w14:textId="48A2081E" w:rsidR="00584F97" w:rsidRPr="00611549" w:rsidRDefault="00584F97" w:rsidP="00584F97">
      <w:pPr>
        <w:ind w:firstLine="720"/>
        <w:rPr>
          <w:rFonts w:asciiTheme="majorBidi" w:hAnsiTheme="majorBidi" w:cstheme="majorBidi"/>
          <w:sz w:val="20"/>
          <w:szCs w:val="20"/>
        </w:rPr>
      </w:pPr>
      <w:r w:rsidRPr="00611549">
        <w:rPr>
          <w:rFonts w:asciiTheme="majorBidi" w:hAnsiTheme="majorBidi" w:cstheme="majorBidi"/>
          <w:sz w:val="20"/>
          <w:szCs w:val="20"/>
        </w:rPr>
        <w:t xml:space="preserve">Davis's </w:t>
      </w:r>
      <w:r w:rsidRPr="00611549">
        <w:rPr>
          <w:rFonts w:asciiTheme="majorBidi" w:hAnsiTheme="majorBidi" w:cstheme="majorBidi"/>
          <w:i/>
          <w:iCs/>
          <w:sz w:val="20"/>
          <w:szCs w:val="20"/>
        </w:rPr>
        <w:t>Enforcing Normalcy: Disability, Deafness, and the Body</w:t>
      </w:r>
      <w:r w:rsidRPr="00611549">
        <w:rPr>
          <w:rFonts w:asciiTheme="majorBidi" w:hAnsiTheme="majorBidi" w:cstheme="majorBidi"/>
          <w:sz w:val="20"/>
          <w:szCs w:val="20"/>
        </w:rPr>
        <w:t xml:space="preserve"> (1995) argues that the concept of disability became relatively organized in the eighteenth and nineteenth centuries, and the ever-expanding landscape of nineteenth-century disability studies seems, continually, to confirm his pronouncement. Rosemarie Garland-Thomson’s </w:t>
      </w:r>
      <w:r w:rsidRPr="00611549">
        <w:rPr>
          <w:rFonts w:asciiTheme="majorBidi" w:hAnsiTheme="majorBidi" w:cstheme="majorBidi"/>
          <w:i/>
          <w:iCs/>
          <w:sz w:val="20"/>
          <w:szCs w:val="20"/>
        </w:rPr>
        <w:t>Extraordinary Bodies</w:t>
      </w:r>
      <w:r w:rsidRPr="00611549">
        <w:rPr>
          <w:rFonts w:asciiTheme="majorBidi" w:hAnsiTheme="majorBidi" w:cstheme="majorBidi"/>
          <w:sz w:val="20"/>
          <w:szCs w:val="20"/>
        </w:rPr>
        <w:t xml:space="preserve"> (1997) represents an early recognition of that particular historical moment, expounding on the sociocultural mechanisms that shaped representations of disability in nineteenth- and twentieth-century U.S. literature. Martha Stoddard Holmes’s </w:t>
      </w:r>
      <w:r w:rsidRPr="00611549">
        <w:rPr>
          <w:rFonts w:asciiTheme="majorBidi" w:hAnsiTheme="majorBidi" w:cstheme="majorBidi"/>
          <w:i/>
          <w:iCs/>
          <w:sz w:val="20"/>
          <w:szCs w:val="20"/>
        </w:rPr>
        <w:t>Fictions of Affliction: Physical Disability in Victorian Culture</w:t>
      </w:r>
      <w:r w:rsidRPr="00611549">
        <w:rPr>
          <w:rFonts w:asciiTheme="majorBidi" w:hAnsiTheme="majorBidi" w:cstheme="majorBidi"/>
          <w:sz w:val="20"/>
          <w:szCs w:val="20"/>
        </w:rPr>
        <w:t xml:space="preserve"> (2004), Cindy LaCom’s “‘Time Is Sick and Out of Joint’: Physical Disability in Victorian England” (2005), and a special issue of </w:t>
      </w:r>
      <w:r w:rsidRPr="00611549">
        <w:rPr>
          <w:rFonts w:asciiTheme="majorBidi" w:hAnsiTheme="majorBidi" w:cstheme="majorBidi"/>
          <w:i/>
          <w:iCs/>
          <w:sz w:val="20"/>
          <w:szCs w:val="20"/>
        </w:rPr>
        <w:t>Victorian Review</w:t>
      </w:r>
      <w:r w:rsidRPr="00611549">
        <w:rPr>
          <w:rFonts w:asciiTheme="majorBidi" w:hAnsiTheme="majorBidi" w:cstheme="majorBidi"/>
          <w:sz w:val="20"/>
          <w:szCs w:val="20"/>
        </w:rPr>
        <w:t xml:space="preserve"> in 2009 dedicated to “Victorian Disability” marked a surge in </w:t>
      </w:r>
      <w:r w:rsidR="00927026">
        <w:rPr>
          <w:rFonts w:asciiTheme="majorBidi" w:hAnsiTheme="majorBidi" w:cstheme="majorBidi"/>
          <w:sz w:val="20"/>
          <w:szCs w:val="20"/>
        </w:rPr>
        <w:t>disability studies</w:t>
      </w:r>
      <w:r w:rsidRPr="00611549">
        <w:rPr>
          <w:rFonts w:asciiTheme="majorBidi" w:hAnsiTheme="majorBidi" w:cstheme="majorBidi"/>
          <w:sz w:val="20"/>
          <w:szCs w:val="20"/>
        </w:rPr>
        <w:t xml:space="preserve">-oriented readings of nineteenth-century texts, one that has yet to subside. In their “Victorian Disability: Introduction” (2009), Jennifer Esmail and Christopher Keep comment on Victorian studies’ long-established engagement with physical and psychological difference while working to establish the parameters for theorizing disability (retroactively) in the context of Victorian literature and culture. While noting some of the challenges disability studies poses to Victorian studies (as well as the tensions among critical approaches, as, for example, between the constructivist approach and a material framework), Esmail and Keep call attention to the potential of disability studies to disrupt and expand the canon by “brining less well-known writers into a sharper focus and in so doing helping to expand our sense of the range and variety of cultural practice in a given period of national literature” (49). In the intervening years, disability studies in Victorian literary studies </w:t>
      </w:r>
      <w:proofErr w:type="gramStart"/>
      <w:r w:rsidRPr="00611549">
        <w:rPr>
          <w:rFonts w:asciiTheme="majorBidi" w:hAnsiTheme="majorBidi" w:cstheme="majorBidi"/>
          <w:sz w:val="20"/>
          <w:szCs w:val="20"/>
        </w:rPr>
        <w:t>has</w:t>
      </w:r>
      <w:proofErr w:type="gramEnd"/>
      <w:r w:rsidRPr="00611549">
        <w:rPr>
          <w:rFonts w:asciiTheme="majorBidi" w:hAnsiTheme="majorBidi" w:cstheme="majorBidi"/>
          <w:sz w:val="20"/>
          <w:szCs w:val="20"/>
        </w:rPr>
        <w:t xml:space="preserve"> acquired a multidimensional critical character. It has, for example, been used to accommodate feminist studies and re-read the Victorian marriage plot; borrow from and contribute to queer studies; prompt reconsiderations of generic constraints; and revive formal approaches to characterization in nineteenth-century fiction</w:t>
      </w:r>
      <w:r w:rsidRPr="00611549">
        <w:rPr>
          <w:rStyle w:val="Emphasis"/>
          <w:rFonts w:asciiTheme="majorBidi" w:hAnsiTheme="majorBidi" w:cstheme="majorBidi"/>
          <w:sz w:val="20"/>
          <w:szCs w:val="20"/>
        </w:rPr>
        <w:t>.</w:t>
      </w:r>
      <w:r w:rsidRPr="00927026">
        <w:rPr>
          <w:rStyle w:val="Emphasis"/>
          <w:rFonts w:asciiTheme="majorBidi" w:hAnsiTheme="majorBidi" w:cstheme="majorBidi"/>
          <w:i w:val="0"/>
          <w:iCs w:val="0"/>
          <w:sz w:val="20"/>
          <w:szCs w:val="20"/>
        </w:rPr>
        <w:t xml:space="preserve"> See</w:t>
      </w:r>
      <w:r w:rsidRPr="00611549">
        <w:rPr>
          <w:rStyle w:val="Emphasis"/>
          <w:rFonts w:asciiTheme="majorBidi" w:hAnsiTheme="majorBidi" w:cstheme="majorBidi"/>
          <w:sz w:val="20"/>
          <w:szCs w:val="20"/>
        </w:rPr>
        <w:t xml:space="preserve"> </w:t>
      </w:r>
      <w:r w:rsidRPr="00611549">
        <w:rPr>
          <w:rFonts w:asciiTheme="majorBidi" w:hAnsiTheme="majorBidi" w:cstheme="majorBidi"/>
          <w:sz w:val="20"/>
          <w:szCs w:val="20"/>
        </w:rPr>
        <w:t xml:space="preserve">Rosemarie Garland-Thomson’s “Integrating Disability, Transforming Feminist Theory” (2015), Karen Bourrier’s </w:t>
      </w:r>
      <w:r w:rsidRPr="00611549">
        <w:rPr>
          <w:rStyle w:val="Emphasis"/>
          <w:rFonts w:asciiTheme="majorBidi" w:hAnsiTheme="majorBidi" w:cstheme="majorBidi"/>
          <w:sz w:val="20"/>
          <w:szCs w:val="20"/>
        </w:rPr>
        <w:t xml:space="preserve">The Measure of Manliness: Disability and Masculinity in the Mid-Victorian Novel </w:t>
      </w:r>
      <w:r w:rsidRPr="00927026">
        <w:rPr>
          <w:rStyle w:val="Emphasis"/>
          <w:rFonts w:asciiTheme="majorBidi" w:hAnsiTheme="majorBidi" w:cstheme="majorBidi"/>
          <w:i w:val="0"/>
          <w:iCs w:val="0"/>
          <w:sz w:val="20"/>
          <w:szCs w:val="20"/>
        </w:rPr>
        <w:t>(2015), Michael</w:t>
      </w:r>
      <w:r w:rsidRPr="00611549">
        <w:rPr>
          <w:rStyle w:val="Emphasis"/>
          <w:rFonts w:asciiTheme="majorBidi" w:hAnsiTheme="majorBidi" w:cstheme="majorBidi"/>
          <w:sz w:val="20"/>
          <w:szCs w:val="20"/>
        </w:rPr>
        <w:t xml:space="preserve"> </w:t>
      </w:r>
      <w:r w:rsidRPr="00611549">
        <w:rPr>
          <w:rFonts w:asciiTheme="majorBidi" w:hAnsiTheme="majorBidi" w:cstheme="majorBidi"/>
          <w:sz w:val="20"/>
          <w:szCs w:val="20"/>
        </w:rPr>
        <w:t xml:space="preserve">Bradshaw’s (Ed.) </w:t>
      </w:r>
      <w:r w:rsidRPr="00611549">
        <w:rPr>
          <w:rFonts w:asciiTheme="majorBidi" w:hAnsiTheme="majorBidi" w:cstheme="majorBidi"/>
          <w:i/>
          <w:iCs/>
          <w:sz w:val="20"/>
          <w:szCs w:val="20"/>
        </w:rPr>
        <w:t>Disabling Romanticism</w:t>
      </w:r>
      <w:r w:rsidRPr="00611549">
        <w:rPr>
          <w:rFonts w:asciiTheme="majorBidi" w:hAnsiTheme="majorBidi" w:cstheme="majorBidi"/>
          <w:sz w:val="20"/>
          <w:szCs w:val="20"/>
        </w:rPr>
        <w:t xml:space="preserve"> (2016), Jill Ehnenn’s “Reorienting the Bildungsroman: Progress Narratives, Queerness, and Disability in </w:t>
      </w:r>
      <w:r w:rsidRPr="00611549">
        <w:rPr>
          <w:rFonts w:asciiTheme="majorBidi" w:hAnsiTheme="majorBidi" w:cstheme="majorBidi"/>
          <w:i/>
          <w:iCs/>
          <w:sz w:val="20"/>
          <w:szCs w:val="20"/>
        </w:rPr>
        <w:t>The History of Sir Richard Calmady</w:t>
      </w:r>
      <w:r w:rsidRPr="00611549">
        <w:rPr>
          <w:rFonts w:asciiTheme="majorBidi" w:hAnsiTheme="majorBidi" w:cstheme="majorBidi"/>
          <w:sz w:val="20"/>
          <w:szCs w:val="20"/>
        </w:rPr>
        <w:t xml:space="preserve"> and </w:t>
      </w:r>
      <w:r w:rsidRPr="00611549">
        <w:rPr>
          <w:rFonts w:asciiTheme="majorBidi" w:hAnsiTheme="majorBidi" w:cstheme="majorBidi"/>
          <w:i/>
          <w:iCs/>
          <w:sz w:val="20"/>
          <w:szCs w:val="20"/>
        </w:rPr>
        <w:t>Jude the Obscure</w:t>
      </w:r>
      <w:r w:rsidRPr="00611549">
        <w:rPr>
          <w:rFonts w:asciiTheme="majorBidi" w:hAnsiTheme="majorBidi" w:cstheme="majorBidi"/>
          <w:sz w:val="20"/>
          <w:szCs w:val="20"/>
        </w:rPr>
        <w:t xml:space="preserve">” (2017), Talia Schaffer’s  “Disabling Marriage: Communities of Care in </w:t>
      </w:r>
      <w:r w:rsidRPr="00927026">
        <w:rPr>
          <w:rFonts w:asciiTheme="majorBidi" w:hAnsiTheme="majorBidi" w:cstheme="majorBidi"/>
          <w:i/>
          <w:iCs/>
          <w:sz w:val="20"/>
          <w:szCs w:val="20"/>
        </w:rPr>
        <w:t>Our Mutual Friend</w:t>
      </w:r>
      <w:r w:rsidRPr="00611549">
        <w:rPr>
          <w:rFonts w:asciiTheme="majorBidi" w:hAnsiTheme="majorBidi" w:cstheme="majorBidi"/>
          <w:sz w:val="20"/>
          <w:szCs w:val="20"/>
        </w:rPr>
        <w:t xml:space="preserve">” (2018), Heidi Logan’s </w:t>
      </w:r>
      <w:r w:rsidRPr="00611549">
        <w:rPr>
          <w:rFonts w:asciiTheme="majorBidi" w:hAnsiTheme="majorBidi" w:cstheme="majorBidi"/>
          <w:i/>
          <w:iCs/>
          <w:sz w:val="20"/>
          <w:szCs w:val="20"/>
        </w:rPr>
        <w:t>Sensational Deviance: Disability in Nineteenth-Century Sensation Fiction</w:t>
      </w:r>
      <w:r w:rsidRPr="00611549">
        <w:rPr>
          <w:rFonts w:asciiTheme="majorBidi" w:hAnsiTheme="majorBidi" w:cstheme="majorBidi"/>
          <w:sz w:val="20"/>
          <w:szCs w:val="20"/>
        </w:rPr>
        <w:t xml:space="preserve"> (2018</w:t>
      </w:r>
      <w:r w:rsidRPr="00927026">
        <w:rPr>
          <w:rFonts w:asciiTheme="majorBidi" w:hAnsiTheme="majorBidi" w:cstheme="majorBidi"/>
          <w:sz w:val="20"/>
          <w:szCs w:val="20"/>
        </w:rPr>
        <w:t>),</w:t>
      </w:r>
      <w:r w:rsidRPr="00927026">
        <w:rPr>
          <w:rStyle w:val="Emphasis"/>
          <w:rFonts w:asciiTheme="majorBidi" w:hAnsiTheme="majorBidi" w:cstheme="majorBidi"/>
          <w:i w:val="0"/>
          <w:iCs w:val="0"/>
          <w:sz w:val="20"/>
          <w:szCs w:val="20"/>
        </w:rPr>
        <w:t xml:space="preserve"> and Clare Walker Gore’s </w:t>
      </w:r>
      <w:r w:rsidRPr="00611549">
        <w:rPr>
          <w:rStyle w:val="Emphasis"/>
          <w:rFonts w:asciiTheme="majorBidi" w:hAnsiTheme="majorBidi" w:cstheme="majorBidi"/>
          <w:sz w:val="20"/>
          <w:szCs w:val="20"/>
        </w:rPr>
        <w:t xml:space="preserve">Plotting Disability in the Nineteenth-Century Novel </w:t>
      </w:r>
      <w:r w:rsidRPr="00927026">
        <w:rPr>
          <w:rStyle w:val="Emphasis"/>
          <w:rFonts w:asciiTheme="majorBidi" w:hAnsiTheme="majorBidi" w:cstheme="majorBidi"/>
          <w:i w:val="0"/>
          <w:iCs w:val="0"/>
          <w:sz w:val="20"/>
          <w:szCs w:val="20"/>
        </w:rPr>
        <w:t>(2020).</w:t>
      </w:r>
    </w:p>
  </w:footnote>
  <w:footnote w:id="6">
    <w:p w14:paraId="67790EAC" w14:textId="77777777" w:rsidR="00584F97" w:rsidRPr="00611549" w:rsidRDefault="00584F97" w:rsidP="00584F97">
      <w:pPr>
        <w:rPr>
          <w:rFonts w:asciiTheme="majorBidi" w:hAnsiTheme="majorBidi" w:cstheme="majorBidi"/>
          <w:sz w:val="20"/>
          <w:szCs w:val="20"/>
        </w:rPr>
      </w:pPr>
      <w:r w:rsidRPr="00611549">
        <w:rPr>
          <w:rStyle w:val="FootnoteReference"/>
          <w:rFonts w:asciiTheme="majorBidi" w:hAnsiTheme="majorBidi" w:cstheme="majorBidi"/>
          <w:sz w:val="20"/>
          <w:szCs w:val="20"/>
        </w:rPr>
        <w:footnoteRef/>
      </w:r>
      <w:r w:rsidRPr="00611549">
        <w:rPr>
          <w:rFonts w:asciiTheme="majorBidi" w:hAnsiTheme="majorBidi" w:cstheme="majorBidi"/>
          <w:sz w:val="20"/>
          <w:szCs w:val="20"/>
        </w:rPr>
        <w:t xml:space="preserve"> Peter Boxall’s </w:t>
      </w:r>
      <w:r w:rsidRPr="00611549">
        <w:rPr>
          <w:rFonts w:asciiTheme="majorBidi" w:hAnsiTheme="majorBidi" w:cstheme="majorBidi"/>
          <w:i/>
          <w:iCs/>
          <w:sz w:val="20"/>
          <w:szCs w:val="20"/>
        </w:rPr>
        <w:t>The Prosthetic Imagination: A History of the Novel as Artificial Life</w:t>
      </w:r>
      <w:r w:rsidRPr="00611549">
        <w:rPr>
          <w:rFonts w:asciiTheme="majorBidi" w:hAnsiTheme="majorBidi" w:cstheme="majorBidi"/>
          <w:sz w:val="20"/>
          <w:szCs w:val="20"/>
        </w:rPr>
        <w:t xml:space="preserve"> (2020) advances a theory of the novel (running from Thomas More to Margaret Atwood) founded on the relationship between mimesis and prosthesis. (Erich Auerbach’s and Paul Ricoeur’s works feature heavily in Boxall’s book.) Prosthesis, he argues, demonstrates “the novel’s capacity to record and produce specific historical technologies of embodiment” (22). </w:t>
      </w:r>
    </w:p>
  </w:footnote>
  <w:footnote w:id="7">
    <w:p w14:paraId="2A34CC34" w14:textId="77777777" w:rsidR="00584F97" w:rsidRPr="00611549" w:rsidRDefault="00584F97" w:rsidP="00584F97">
      <w:pPr>
        <w:pStyle w:val="FootnoteText"/>
        <w:rPr>
          <w:rFonts w:asciiTheme="majorBidi" w:hAnsiTheme="majorBidi" w:cstheme="majorBidi"/>
        </w:rPr>
      </w:pPr>
      <w:r w:rsidRPr="00611549">
        <w:rPr>
          <w:rStyle w:val="FootnoteReference"/>
          <w:rFonts w:asciiTheme="majorBidi" w:hAnsiTheme="majorBidi" w:cstheme="majorBidi"/>
        </w:rPr>
        <w:footnoteRef/>
      </w:r>
      <w:r w:rsidRPr="00611549">
        <w:rPr>
          <w:rFonts w:asciiTheme="majorBidi" w:hAnsiTheme="majorBidi" w:cstheme="majorBidi"/>
        </w:rPr>
        <w:t xml:space="preserve"> In examining the dividing line between “non-fiction” and “literature,” Frye contends that “a distinction appears between fiction as a genus and the novel as a species of that genus” (</w:t>
      </w:r>
      <w:r w:rsidRPr="00611549">
        <w:rPr>
          <w:rFonts w:asciiTheme="majorBidi" w:hAnsiTheme="majorBidi" w:cstheme="majorBidi"/>
          <w:i/>
          <w:iCs/>
        </w:rPr>
        <w:t>Anatomy of Criticism</w:t>
      </w:r>
      <w:r w:rsidRPr="00611549">
        <w:rPr>
          <w:rFonts w:asciiTheme="majorBidi" w:hAnsiTheme="majorBidi" w:cstheme="majorBidi"/>
        </w:rPr>
        <w:t xml:space="preserve"> 5). </w:t>
      </w:r>
    </w:p>
  </w:footnote>
  <w:footnote w:id="8">
    <w:p w14:paraId="3AFE2CAE" w14:textId="6DA29988" w:rsidR="000F6AB7" w:rsidRPr="000F6AB7" w:rsidRDefault="000F6AB7">
      <w:pPr>
        <w:pStyle w:val="FootnoteText"/>
      </w:pPr>
      <w:r>
        <w:rPr>
          <w:rStyle w:val="FootnoteReference"/>
        </w:rPr>
        <w:footnoteRef/>
      </w:r>
      <w:r>
        <w:t xml:space="preserve"> Brown makes this observation in his reading of Virginia Woolf’s </w:t>
      </w:r>
      <w:r>
        <w:rPr>
          <w:i/>
          <w:iCs/>
        </w:rPr>
        <w:t>Jacob’s Room</w:t>
      </w:r>
      <w:r>
        <w:t xml:space="preserve"> (1922) but </w:t>
      </w:r>
      <w:r w:rsidR="00D40AEF">
        <w:t xml:space="preserve">then </w:t>
      </w:r>
      <w:r>
        <w:t xml:space="preserve">extends his claim through the larger “novelistic universe.” </w:t>
      </w:r>
    </w:p>
  </w:footnote>
  <w:footnote w:id="9">
    <w:p w14:paraId="468ABA10" w14:textId="77777777" w:rsidR="00584F97" w:rsidRPr="00611549" w:rsidRDefault="00584F97" w:rsidP="00584F97">
      <w:pPr>
        <w:pStyle w:val="FootnoteText"/>
        <w:rPr>
          <w:rFonts w:asciiTheme="majorBidi" w:hAnsiTheme="majorBidi" w:cstheme="majorBidi"/>
        </w:rPr>
      </w:pPr>
      <w:r w:rsidRPr="00611549">
        <w:rPr>
          <w:rStyle w:val="FootnoteReference"/>
          <w:rFonts w:asciiTheme="majorBidi" w:hAnsiTheme="majorBidi" w:cstheme="majorBidi"/>
        </w:rPr>
        <w:footnoteRef/>
      </w:r>
      <w:r w:rsidRPr="00611549">
        <w:rPr>
          <w:rFonts w:asciiTheme="majorBidi" w:hAnsiTheme="majorBidi" w:cstheme="majorBidi"/>
        </w:rPr>
        <w:t xml:space="preserve"> In part, the potential “methodological hybridity” (to borrow John Kucich’s phrasing) inherent to a (New) Historicist study of disability and medical technology in Victorian fiction expands the theoretical scope necessary to work among multiple disciplines and schools of thought (“The Unfinished Historicist Project” 59). </w:t>
      </w:r>
    </w:p>
  </w:footnote>
  <w:footnote w:id="10">
    <w:p w14:paraId="5310C31D" w14:textId="77777777" w:rsidR="00584F97" w:rsidRPr="00611549" w:rsidRDefault="00584F97" w:rsidP="00584F97">
      <w:pPr>
        <w:rPr>
          <w:rFonts w:asciiTheme="majorBidi" w:hAnsiTheme="majorBidi" w:cstheme="majorBidi"/>
          <w:sz w:val="20"/>
          <w:szCs w:val="20"/>
        </w:rPr>
      </w:pPr>
      <w:r w:rsidRPr="00611549">
        <w:rPr>
          <w:rStyle w:val="FootnoteReference"/>
          <w:rFonts w:asciiTheme="majorBidi" w:hAnsiTheme="majorBidi" w:cstheme="majorBidi"/>
          <w:sz w:val="20"/>
          <w:szCs w:val="20"/>
        </w:rPr>
        <w:footnoteRef/>
      </w:r>
      <w:r w:rsidRPr="00611549">
        <w:rPr>
          <w:rFonts w:asciiTheme="majorBidi" w:hAnsiTheme="majorBidi" w:cstheme="majorBidi"/>
          <w:sz w:val="20"/>
          <w:szCs w:val="20"/>
        </w:rPr>
        <w:t xml:space="preserve"> A note on semantics regarding Person-First Language v. Identity-First Language: Some disability theorists and advocates have voiced a preference for person-first language (PFL). (See, for instance, Susan Wendell’s </w:t>
      </w:r>
      <w:r w:rsidRPr="00611549">
        <w:rPr>
          <w:rFonts w:asciiTheme="majorBidi" w:hAnsiTheme="majorBidi" w:cstheme="majorBidi"/>
          <w:i/>
          <w:iCs/>
          <w:sz w:val="20"/>
          <w:szCs w:val="20"/>
        </w:rPr>
        <w:t>The Rejected Body: Feminist Philosophical Reflections on Disability</w:t>
      </w:r>
      <w:r w:rsidRPr="00611549">
        <w:rPr>
          <w:rFonts w:asciiTheme="majorBidi" w:hAnsiTheme="majorBidi" w:cstheme="majorBidi"/>
          <w:sz w:val="20"/>
          <w:szCs w:val="20"/>
        </w:rPr>
        <w:t xml:space="preserve">, 1996.) The PFL camp reasons that a person’s identity as a person ought not be subverted or eclipsed by their disability. They would, therefore, favor a reference to “a person with a disability” over a reference to “a disabled person.” The intention of PFL also stems, in part, from a larger desire in the disability community to separate medical and social models of disability: </w:t>
      </w:r>
      <w:r w:rsidRPr="00611549">
        <w:rPr>
          <w:rFonts w:asciiTheme="majorBidi" w:hAnsiTheme="majorBidi" w:cstheme="majorBidi"/>
          <w:i/>
          <w:iCs/>
          <w:sz w:val="20"/>
          <w:szCs w:val="20"/>
        </w:rPr>
        <w:t xml:space="preserve">having </w:t>
      </w:r>
      <w:r w:rsidRPr="00611549">
        <w:rPr>
          <w:rFonts w:asciiTheme="majorBidi" w:hAnsiTheme="majorBidi" w:cstheme="majorBidi"/>
          <w:sz w:val="20"/>
          <w:szCs w:val="20"/>
        </w:rPr>
        <w:t xml:space="preserve">a disability versus </w:t>
      </w:r>
      <w:r w:rsidRPr="00611549">
        <w:rPr>
          <w:rFonts w:asciiTheme="majorBidi" w:hAnsiTheme="majorBidi" w:cstheme="majorBidi"/>
          <w:i/>
          <w:iCs/>
          <w:sz w:val="20"/>
          <w:szCs w:val="20"/>
        </w:rPr>
        <w:t>being</w:t>
      </w:r>
      <w:r w:rsidRPr="00611549">
        <w:rPr>
          <w:rFonts w:asciiTheme="majorBidi" w:hAnsiTheme="majorBidi" w:cstheme="majorBidi"/>
          <w:sz w:val="20"/>
          <w:szCs w:val="20"/>
        </w:rPr>
        <w:t xml:space="preserve"> disabled. </w:t>
      </w:r>
    </w:p>
    <w:p w14:paraId="451A1E6E" w14:textId="77777777" w:rsidR="00584F97" w:rsidRPr="00611549" w:rsidRDefault="00584F97" w:rsidP="00584F97">
      <w:pPr>
        <w:ind w:firstLine="720"/>
        <w:rPr>
          <w:rFonts w:asciiTheme="majorBidi" w:hAnsiTheme="majorBidi" w:cstheme="majorBidi"/>
          <w:sz w:val="20"/>
          <w:szCs w:val="20"/>
        </w:rPr>
      </w:pPr>
      <w:r w:rsidRPr="00611549">
        <w:rPr>
          <w:rFonts w:asciiTheme="majorBidi" w:hAnsiTheme="majorBidi" w:cstheme="majorBidi"/>
          <w:sz w:val="20"/>
          <w:szCs w:val="20"/>
        </w:rPr>
        <w:t xml:space="preserve">At the same time, many others in the disability community have—out of a desire to reclaim and thereby destigmatize the term (and sometimes, more simply, for the sake of economy of language)—pushed back against this linguistic move. (See Lennard Davis’s “The End of Identity Politics: On Disability as an Unstable Category” in </w:t>
      </w:r>
      <w:r w:rsidRPr="00611549">
        <w:rPr>
          <w:rFonts w:asciiTheme="majorBidi" w:hAnsiTheme="majorBidi" w:cstheme="majorBidi"/>
          <w:i/>
          <w:iCs/>
          <w:sz w:val="20"/>
          <w:szCs w:val="20"/>
        </w:rPr>
        <w:t>The Disability Studies Reader</w:t>
      </w:r>
      <w:r w:rsidRPr="00611549">
        <w:rPr>
          <w:rFonts w:asciiTheme="majorBidi" w:hAnsiTheme="majorBidi" w:cstheme="majorBidi"/>
          <w:sz w:val="20"/>
          <w:szCs w:val="20"/>
        </w:rPr>
        <w:t xml:space="preserve">, 2013, for a broad overview of the rise of disability studies and the emergence of and resistance to PFL.) </w:t>
      </w:r>
    </w:p>
    <w:p w14:paraId="160E3536" w14:textId="77777777" w:rsidR="00584F97" w:rsidRPr="00611549" w:rsidRDefault="00584F97" w:rsidP="00584F97">
      <w:pPr>
        <w:ind w:firstLine="720"/>
        <w:rPr>
          <w:rFonts w:asciiTheme="majorBidi" w:hAnsiTheme="majorBidi" w:cstheme="majorBidi"/>
          <w:sz w:val="20"/>
          <w:szCs w:val="20"/>
        </w:rPr>
      </w:pPr>
      <w:r w:rsidRPr="00611549">
        <w:rPr>
          <w:rFonts w:asciiTheme="majorBidi" w:hAnsiTheme="majorBidi" w:cstheme="majorBidi"/>
          <w:sz w:val="20"/>
          <w:szCs w:val="20"/>
        </w:rPr>
        <w:t>Presently, the majority of disability scholars and advocates (including the Society for Disability Studies) oscillate regularly between PFL and IFL when discussing people (or characters) with disabilities, which is the tack I take in this dissertation.</w:t>
      </w:r>
    </w:p>
  </w:footnote>
  <w:footnote w:id="11">
    <w:p w14:paraId="3A1C0487" w14:textId="77777777" w:rsidR="00584F97" w:rsidRPr="00611549" w:rsidRDefault="00584F97" w:rsidP="00584F97">
      <w:pPr>
        <w:rPr>
          <w:rFonts w:asciiTheme="majorBidi" w:hAnsiTheme="majorBidi" w:cstheme="majorBidi"/>
          <w:sz w:val="20"/>
          <w:szCs w:val="20"/>
        </w:rPr>
      </w:pPr>
      <w:r w:rsidRPr="00611549">
        <w:rPr>
          <w:rStyle w:val="FootnoteReference"/>
          <w:rFonts w:asciiTheme="majorBidi" w:hAnsiTheme="majorBidi" w:cstheme="majorBidi"/>
          <w:sz w:val="20"/>
          <w:szCs w:val="20"/>
        </w:rPr>
        <w:footnoteRef/>
      </w:r>
      <w:r w:rsidRPr="00611549">
        <w:rPr>
          <w:rFonts w:asciiTheme="majorBidi" w:hAnsiTheme="majorBidi" w:cstheme="majorBidi"/>
          <w:sz w:val="20"/>
          <w:szCs w:val="20"/>
        </w:rPr>
        <w:t xml:space="preserve"> Lennard Davis has noted how the disabled body is always already subject to narrative inquiry and explanation: “the disabled body must be explained, or at least tolerate the inquisitive gaze (or the averted glance) of the questioner. The question [of why someone is disabled] never has to be put because it is always actively in a default mode—it is always already asked” (</w:t>
      </w:r>
      <w:r w:rsidRPr="00611549">
        <w:rPr>
          <w:rFonts w:asciiTheme="majorBidi" w:hAnsiTheme="majorBidi" w:cstheme="majorBidi"/>
          <w:i/>
          <w:sz w:val="20"/>
          <w:szCs w:val="20"/>
        </w:rPr>
        <w:t>Enforcing Normalcy</w:t>
      </w:r>
      <w:r w:rsidRPr="00611549">
        <w:rPr>
          <w:rFonts w:asciiTheme="majorBidi" w:hAnsiTheme="majorBidi" w:cstheme="majorBidi"/>
          <w:sz w:val="20"/>
          <w:szCs w:val="20"/>
        </w:rPr>
        <w:t xml:space="preserve"> xvi). </w:t>
      </w:r>
    </w:p>
  </w:footnote>
  <w:footnote w:id="12">
    <w:p w14:paraId="5FE67373" w14:textId="77777777" w:rsidR="00584F97" w:rsidRPr="00611549" w:rsidRDefault="00584F97" w:rsidP="00584F97">
      <w:pPr>
        <w:pStyle w:val="FootnoteText"/>
        <w:rPr>
          <w:rFonts w:asciiTheme="majorBidi" w:hAnsiTheme="majorBidi" w:cstheme="majorBidi"/>
        </w:rPr>
      </w:pPr>
      <w:r w:rsidRPr="00611549">
        <w:rPr>
          <w:rStyle w:val="FootnoteReference"/>
          <w:rFonts w:asciiTheme="majorBidi" w:hAnsiTheme="majorBidi" w:cstheme="majorBidi"/>
        </w:rPr>
        <w:footnoteRef/>
      </w:r>
      <w:r w:rsidRPr="00611549">
        <w:rPr>
          <w:rFonts w:asciiTheme="majorBidi" w:hAnsiTheme="majorBidi" w:cstheme="majorBidi"/>
        </w:rPr>
        <w:t xml:space="preserve"> See Bronstein’s </w:t>
      </w:r>
      <w:r w:rsidRPr="00611549">
        <w:rPr>
          <w:rFonts w:asciiTheme="majorBidi" w:hAnsiTheme="majorBidi" w:cstheme="majorBidi"/>
          <w:i/>
          <w:iCs/>
        </w:rPr>
        <w:t>Caught in the Machinery</w:t>
      </w:r>
      <w:r w:rsidRPr="00611549">
        <w:rPr>
          <w:rFonts w:asciiTheme="majorBidi" w:hAnsiTheme="majorBidi" w:cstheme="majorBidi"/>
        </w:rPr>
        <w:t xml:space="preserve"> (2007). </w:t>
      </w:r>
    </w:p>
  </w:footnote>
  <w:footnote w:id="13">
    <w:p w14:paraId="26E7FCC3" w14:textId="77777777" w:rsidR="00584F97" w:rsidRPr="00611549" w:rsidRDefault="00584F97" w:rsidP="00584F97">
      <w:pPr>
        <w:pStyle w:val="FootnoteText"/>
        <w:rPr>
          <w:rFonts w:asciiTheme="majorBidi" w:hAnsiTheme="majorBidi" w:cstheme="majorBidi"/>
        </w:rPr>
      </w:pPr>
      <w:r w:rsidRPr="00611549">
        <w:rPr>
          <w:rStyle w:val="FootnoteReference"/>
          <w:rFonts w:asciiTheme="majorBidi" w:hAnsiTheme="majorBidi" w:cstheme="majorBidi"/>
        </w:rPr>
        <w:footnoteRef/>
      </w:r>
      <w:r w:rsidRPr="00611549">
        <w:rPr>
          <w:rFonts w:asciiTheme="majorBidi" w:hAnsiTheme="majorBidi" w:cstheme="majorBidi"/>
        </w:rPr>
        <w:t xml:space="preserve"> For more on these shifts in surgical training, see Elisabeth A. Cawthon’s </w:t>
      </w:r>
      <w:r w:rsidRPr="00611549">
        <w:rPr>
          <w:rFonts w:asciiTheme="majorBidi" w:hAnsiTheme="majorBidi" w:cstheme="majorBidi"/>
          <w:i/>
          <w:iCs/>
        </w:rPr>
        <w:t>Job Accidents and the Law in England’s Early Railway Age</w:t>
      </w:r>
      <w:r w:rsidRPr="00611549">
        <w:rPr>
          <w:rFonts w:asciiTheme="majorBidi" w:hAnsiTheme="majorBidi" w:cstheme="majorBidi"/>
        </w:rPr>
        <w:t xml:space="preserve"> (1997) and Peter Capuano’s chapter on “The Anatomy of Anglican Industry” in </w:t>
      </w:r>
      <w:r w:rsidRPr="00611549">
        <w:rPr>
          <w:rFonts w:asciiTheme="majorBidi" w:hAnsiTheme="majorBidi" w:cstheme="majorBidi"/>
          <w:i/>
          <w:iCs/>
        </w:rPr>
        <w:t>Changing Hands</w:t>
      </w:r>
      <w:r w:rsidRPr="00611549">
        <w:rPr>
          <w:rFonts w:asciiTheme="majorBidi" w:hAnsiTheme="majorBidi" w:cstheme="majorBidi"/>
        </w:rPr>
        <w:t xml:space="preserve"> (2015). </w:t>
      </w:r>
    </w:p>
  </w:footnote>
  <w:footnote w:id="14">
    <w:p w14:paraId="2CD89397" w14:textId="77777777" w:rsidR="00584F97" w:rsidRPr="00611549" w:rsidRDefault="00584F97" w:rsidP="00584F97">
      <w:pPr>
        <w:pStyle w:val="FootnoteText"/>
        <w:rPr>
          <w:rFonts w:asciiTheme="majorBidi" w:hAnsiTheme="majorBidi" w:cstheme="majorBidi"/>
        </w:rPr>
      </w:pPr>
      <w:r w:rsidRPr="00611549">
        <w:rPr>
          <w:rStyle w:val="FootnoteReference"/>
          <w:rFonts w:asciiTheme="majorBidi" w:hAnsiTheme="majorBidi" w:cstheme="majorBidi"/>
        </w:rPr>
        <w:footnoteRef/>
      </w:r>
      <w:r w:rsidRPr="00611549">
        <w:rPr>
          <w:rFonts w:asciiTheme="majorBidi" w:hAnsiTheme="majorBidi" w:cstheme="majorBidi"/>
        </w:rPr>
        <w:t xml:space="preserve"> In </w:t>
      </w:r>
      <w:r w:rsidRPr="00611549">
        <w:rPr>
          <w:rFonts w:asciiTheme="majorBidi" w:hAnsiTheme="majorBidi" w:cstheme="majorBidi"/>
          <w:i/>
          <w:iCs/>
        </w:rPr>
        <w:t>Changing Hands: Industry, Evolution, and the Reconfiguration of the Victorian Body</w:t>
      </w:r>
      <w:r w:rsidRPr="00611549">
        <w:rPr>
          <w:rFonts w:asciiTheme="majorBidi" w:hAnsiTheme="majorBidi" w:cstheme="majorBidi"/>
        </w:rPr>
        <w:t xml:space="preserve"> (2015), Capuano mentions </w:t>
      </w:r>
      <w:r w:rsidRPr="00611549">
        <w:rPr>
          <w:rFonts w:asciiTheme="majorBidi" w:hAnsiTheme="majorBidi" w:cstheme="majorBidi"/>
          <w:i/>
          <w:iCs/>
        </w:rPr>
        <w:t>A Narrative of the Experiences and Sufferings of William Dodd, a Factory Cripple</w:t>
      </w:r>
      <w:r w:rsidRPr="00611549">
        <w:rPr>
          <w:rFonts w:asciiTheme="majorBidi" w:hAnsiTheme="majorBidi" w:cstheme="majorBidi"/>
        </w:rPr>
        <w:t xml:space="preserve"> (1841). While Dodd’s account features the account of his own accident and amputated hand, it also sheds light on some less obvious (read, less spectacular) ways workers became disabled during their tenure in the factory. For instance, the workers laying woolen pieces on top of each other on the mill’s spinning machine often suffered long-term overuse injuries to their knees and feet that resulted in debilitating lower-limb deformities: </w:t>
      </w:r>
    </w:p>
    <w:p w14:paraId="0BA2DE07" w14:textId="510F95A8" w:rsidR="00584F97" w:rsidRPr="00611549" w:rsidRDefault="00584F97" w:rsidP="00AF0BC4">
      <w:pPr>
        <w:pStyle w:val="FootnoteText"/>
        <w:ind w:left="1440"/>
        <w:rPr>
          <w:rFonts w:asciiTheme="majorBidi" w:hAnsiTheme="majorBidi" w:cstheme="majorBidi"/>
        </w:rPr>
      </w:pPr>
      <w:r w:rsidRPr="00611549">
        <w:rPr>
          <w:rFonts w:asciiTheme="majorBidi" w:hAnsiTheme="majorBidi" w:cstheme="majorBidi"/>
        </w:rPr>
        <w:t xml:space="preserve">the motion he [the piecer] makes is . . . in a sliding direction, constantly keeping his right side towards the frame. In this position he continues during the day, with his hands, feet, and eyes constantly </w:t>
      </w:r>
      <w:r w:rsidR="003F1780">
        <w:rPr>
          <w:rFonts w:asciiTheme="majorBidi" w:hAnsiTheme="majorBidi" w:cstheme="majorBidi"/>
        </w:rPr>
        <w:t>i</w:t>
      </w:r>
      <w:r w:rsidRPr="00611549">
        <w:rPr>
          <w:rFonts w:asciiTheme="majorBidi" w:hAnsiTheme="majorBidi" w:cstheme="majorBidi"/>
        </w:rPr>
        <w:t>n motion. It will be easily seen, that the chief weight of his body rests upon his right knee, which is almost always the first joint to give way. The number of cripples with the right knee in, greatly exceed those with the left knee in; a great many have both knees in—such as my own—from this case.</w:t>
      </w:r>
    </w:p>
    <w:p w14:paraId="7BABE6FC" w14:textId="68DEB760" w:rsidR="00584F97" w:rsidRPr="00611549" w:rsidRDefault="00584F97" w:rsidP="00AF0BC4">
      <w:pPr>
        <w:pStyle w:val="FootnoteText"/>
        <w:ind w:left="1440" w:firstLine="720"/>
        <w:rPr>
          <w:rFonts w:asciiTheme="majorBidi" w:hAnsiTheme="majorBidi" w:cstheme="majorBidi"/>
        </w:rPr>
      </w:pPr>
      <w:r w:rsidRPr="00611549">
        <w:rPr>
          <w:rFonts w:asciiTheme="majorBidi" w:hAnsiTheme="majorBidi" w:cstheme="majorBidi"/>
        </w:rPr>
        <w:t xml:space="preserve">Another evil resulting from the position in which the piecer stands, is what is termed “splay-foot” </w:t>
      </w:r>
      <w:proofErr w:type="gramStart"/>
      <w:r w:rsidRPr="00611549">
        <w:rPr>
          <w:rFonts w:asciiTheme="majorBidi" w:hAnsiTheme="majorBidi" w:cstheme="majorBidi"/>
        </w:rPr>
        <w:t>. . . .</w:t>
      </w:r>
      <w:proofErr w:type="gramEnd"/>
      <w:r w:rsidRPr="00611549">
        <w:rPr>
          <w:rFonts w:asciiTheme="majorBidi" w:hAnsiTheme="majorBidi" w:cstheme="majorBidi"/>
        </w:rPr>
        <w:t xml:space="preserve"> The continual pressure of the body on this arch, before it is sufficiently strong to bear such pressure, (as in the case of boys and girls in the factories,) causes it to give way; the bones fall gradually down, the foot then becomes broad and flat, and the owner drags it after him with the broad side first. A great many factory cripples are in this state; this is very often attended with weak ankle and knee joints. (10</w:t>
      </w:r>
      <w:r w:rsidR="001C4B4B">
        <w:rPr>
          <w:rFonts w:asciiTheme="majorBidi" w:hAnsiTheme="majorBidi" w:cstheme="majorBidi"/>
        </w:rPr>
        <w:t>-</w:t>
      </w:r>
      <w:r w:rsidRPr="00611549">
        <w:rPr>
          <w:rFonts w:asciiTheme="majorBidi" w:hAnsiTheme="majorBidi" w:cstheme="majorBidi"/>
        </w:rPr>
        <w:t>11)</w:t>
      </w:r>
    </w:p>
    <w:p w14:paraId="0CC95A26" w14:textId="77777777" w:rsidR="00584F97" w:rsidRPr="00611549" w:rsidRDefault="00584F97" w:rsidP="00584F97">
      <w:pPr>
        <w:pStyle w:val="FootnoteText"/>
        <w:rPr>
          <w:rFonts w:asciiTheme="majorBidi" w:hAnsiTheme="majorBidi" w:cstheme="majorBidi"/>
        </w:rPr>
      </w:pPr>
      <w:r w:rsidRPr="00611549">
        <w:rPr>
          <w:rFonts w:asciiTheme="majorBidi" w:hAnsiTheme="majorBidi" w:cstheme="majorBidi"/>
        </w:rPr>
        <w:t xml:space="preserve">According to Dodd, the consistency and uniformity of the types of accidents and disabilities that materialized in these factories (from “over-exertion” and horrific machinery mishaps) produced a specific kind of person with a disability: a “factory cripple” who was doubly marked by his deformity and working-class status. </w:t>
      </w:r>
    </w:p>
  </w:footnote>
  <w:footnote w:id="15">
    <w:p w14:paraId="23940CF1" w14:textId="77777777" w:rsidR="00584F97" w:rsidRPr="00611549" w:rsidRDefault="00584F97" w:rsidP="00584F97">
      <w:pPr>
        <w:pStyle w:val="FootnoteText"/>
        <w:rPr>
          <w:rFonts w:asciiTheme="majorBidi" w:hAnsiTheme="majorBidi" w:cstheme="majorBidi"/>
        </w:rPr>
      </w:pPr>
      <w:r w:rsidRPr="00611549">
        <w:rPr>
          <w:rStyle w:val="FootnoteReference"/>
          <w:rFonts w:asciiTheme="majorBidi" w:hAnsiTheme="majorBidi" w:cstheme="majorBidi"/>
        </w:rPr>
        <w:footnoteRef/>
      </w:r>
      <w:r w:rsidRPr="00611549">
        <w:rPr>
          <w:rFonts w:asciiTheme="majorBidi" w:hAnsiTheme="majorBidi" w:cstheme="majorBidi"/>
        </w:rPr>
        <w:t xml:space="preserve"> Capuano references, for example, </w:t>
      </w:r>
      <w:r w:rsidRPr="00611549">
        <w:rPr>
          <w:rFonts w:asciiTheme="majorBidi" w:hAnsiTheme="majorBidi" w:cstheme="majorBidi"/>
          <w:i/>
          <w:iCs/>
        </w:rPr>
        <w:t>A Memoir of Robert Blincoe</w:t>
      </w:r>
      <w:r w:rsidRPr="00611549">
        <w:rPr>
          <w:rFonts w:asciiTheme="majorBidi" w:hAnsiTheme="majorBidi" w:cstheme="majorBidi"/>
        </w:rPr>
        <w:t xml:space="preserve"> (1828) and a handful of daily stories from </w:t>
      </w:r>
      <w:r w:rsidRPr="00611549">
        <w:rPr>
          <w:rFonts w:asciiTheme="majorBidi" w:hAnsiTheme="majorBidi" w:cstheme="majorBidi"/>
          <w:i/>
          <w:iCs/>
        </w:rPr>
        <w:t>The Times</w:t>
      </w:r>
      <w:r w:rsidRPr="00611549">
        <w:rPr>
          <w:rFonts w:asciiTheme="majorBidi" w:hAnsiTheme="majorBidi" w:cstheme="majorBidi"/>
        </w:rPr>
        <w:t xml:space="preserve"> that dealt in graphic reports of machine injuries (</w:t>
      </w:r>
      <w:r w:rsidRPr="00611549">
        <w:rPr>
          <w:rFonts w:asciiTheme="majorBidi" w:hAnsiTheme="majorBidi" w:cstheme="majorBidi"/>
          <w:i/>
          <w:iCs/>
        </w:rPr>
        <w:t>Changing Hands</w:t>
      </w:r>
      <w:r w:rsidRPr="00611549">
        <w:rPr>
          <w:rFonts w:asciiTheme="majorBidi" w:hAnsiTheme="majorBidi" w:cstheme="majorBidi"/>
        </w:rPr>
        <w:t xml:space="preserve"> 47). </w:t>
      </w:r>
    </w:p>
  </w:footnote>
  <w:footnote w:id="16">
    <w:p w14:paraId="01C148AE" w14:textId="77777777" w:rsidR="00584F97" w:rsidRPr="00611549" w:rsidRDefault="00584F97" w:rsidP="00584F97">
      <w:pPr>
        <w:rPr>
          <w:rFonts w:asciiTheme="majorBidi" w:hAnsiTheme="majorBidi" w:cstheme="majorBidi"/>
          <w:sz w:val="20"/>
          <w:szCs w:val="20"/>
        </w:rPr>
      </w:pPr>
      <w:r w:rsidRPr="00611549">
        <w:rPr>
          <w:rStyle w:val="FootnoteReference"/>
          <w:rFonts w:asciiTheme="majorBidi" w:hAnsiTheme="majorBidi" w:cstheme="majorBidi"/>
          <w:sz w:val="20"/>
          <w:szCs w:val="20"/>
        </w:rPr>
        <w:footnoteRef/>
      </w:r>
      <w:r w:rsidRPr="00611549">
        <w:rPr>
          <w:rFonts w:asciiTheme="majorBidi" w:hAnsiTheme="majorBidi" w:cstheme="majorBidi"/>
          <w:sz w:val="20"/>
          <w:szCs w:val="20"/>
        </w:rPr>
        <w:t xml:space="preserve"> Oliver also underscores the role the institution (typically in the form of workhouses and asylums) had in further segregating, ordering, and deriving labor from disabled people. But from there, all roads lead to Foucault. </w:t>
      </w:r>
    </w:p>
  </w:footnote>
  <w:footnote w:id="17">
    <w:p w14:paraId="6F0DE77E" w14:textId="03FB0B1B" w:rsidR="00584F97" w:rsidRPr="00611549" w:rsidRDefault="00584F97" w:rsidP="00584F97">
      <w:pPr>
        <w:pStyle w:val="FootnoteText"/>
        <w:rPr>
          <w:rFonts w:asciiTheme="majorBidi" w:hAnsiTheme="majorBidi" w:cstheme="majorBidi"/>
        </w:rPr>
      </w:pPr>
      <w:r w:rsidRPr="00611549">
        <w:rPr>
          <w:rStyle w:val="FootnoteReference"/>
          <w:rFonts w:asciiTheme="majorBidi" w:hAnsiTheme="majorBidi" w:cstheme="majorBidi"/>
        </w:rPr>
        <w:footnoteRef/>
      </w:r>
      <w:r w:rsidRPr="00611549">
        <w:rPr>
          <w:rFonts w:asciiTheme="majorBidi" w:hAnsiTheme="majorBidi" w:cstheme="majorBidi"/>
        </w:rPr>
        <w:t xml:space="preserve"> While broader designations like “disability” have, for good reason, replaced these terms, there may be something to be said for the specificity of those now-obsolete descriptions. Jack Halberstam and Benjamin Kahan have made similar arguments about older sexual taxonomies in the realm of gender and sexuality studies. They claim the wide array of classifications that fell out of popular circulation can actually be more informative than some of the modern labels (e.g., hetero or homosexual) into which they have been ineffectually absorbed or by which they have been largely erased. (See, for instance, Benjamin Kahan’s </w:t>
      </w:r>
      <w:proofErr w:type="gramStart"/>
      <w:r w:rsidRPr="00611549">
        <w:rPr>
          <w:rFonts w:asciiTheme="majorBidi" w:hAnsiTheme="majorBidi" w:cstheme="majorBidi"/>
          <w:i/>
          <w:iCs/>
        </w:rPr>
        <w:t>The</w:t>
      </w:r>
      <w:proofErr w:type="gramEnd"/>
      <w:r w:rsidRPr="00611549">
        <w:rPr>
          <w:rFonts w:asciiTheme="majorBidi" w:hAnsiTheme="majorBidi" w:cstheme="majorBidi"/>
          <w:i/>
          <w:iCs/>
        </w:rPr>
        <w:t xml:space="preserve"> Book of Minor Perverts: Sexology, Etiology, and the Emergences of Sexuality</w:t>
      </w:r>
      <w:r w:rsidRPr="00611549">
        <w:rPr>
          <w:rFonts w:asciiTheme="majorBidi" w:hAnsiTheme="majorBidi" w:cstheme="majorBidi"/>
        </w:rPr>
        <w:t>, 2019.) Simi Linton has wrestled with the</w:t>
      </w:r>
      <w:r w:rsidR="00D5319D">
        <w:rPr>
          <w:rFonts w:asciiTheme="majorBidi" w:hAnsiTheme="majorBidi" w:cstheme="majorBidi"/>
        </w:rPr>
        <w:t xml:space="preserve"> unwieldy</w:t>
      </w:r>
      <w:r w:rsidRPr="00611549">
        <w:rPr>
          <w:rFonts w:asciiTheme="majorBidi" w:hAnsiTheme="majorBidi" w:cstheme="majorBidi"/>
        </w:rPr>
        <w:t xml:space="preserve"> capaciousness of collective medicolegal descriptors like “disabled” and “handicapped” that “convey the idea that there is something that links this disparate group of people” (</w:t>
      </w:r>
      <w:r w:rsidRPr="00611549">
        <w:rPr>
          <w:rFonts w:asciiTheme="majorBidi" w:hAnsiTheme="majorBidi" w:cstheme="majorBidi"/>
          <w:i/>
          <w:iCs/>
        </w:rPr>
        <w:t>Claiming Disability</w:t>
      </w:r>
      <w:r w:rsidRPr="00611549">
        <w:rPr>
          <w:rFonts w:asciiTheme="majorBidi" w:hAnsiTheme="majorBidi" w:cstheme="majorBidi"/>
        </w:rPr>
        <w:t xml:space="preserve"> 9). “Although there is some agreement on terminology,” she says, “there are disagreements about what it is that unites disabled people” (10). “Disability,” at present, seems to have reached a point of almost total saturation where meaning and signification are concerned; perhaps that accounts for why some members of the Disability community have revived some of the more idiosyncratic terminology (e.g., “crip” for “crippled”) in recent decades. Attending to the uses of nineteenth-century terminology may help hone our critical approach to the emergence and development of disability and Disability communities. </w:t>
      </w:r>
    </w:p>
  </w:footnote>
  <w:footnote w:id="18">
    <w:p w14:paraId="0376B408" w14:textId="39E2B08B" w:rsidR="00584F97" w:rsidRPr="00611549" w:rsidRDefault="00584F97" w:rsidP="00584F97">
      <w:pPr>
        <w:pStyle w:val="FootnoteText"/>
        <w:rPr>
          <w:rFonts w:asciiTheme="majorBidi" w:hAnsiTheme="majorBidi" w:cstheme="majorBidi"/>
        </w:rPr>
      </w:pPr>
      <w:r w:rsidRPr="00611549">
        <w:rPr>
          <w:rStyle w:val="FootnoteReference"/>
          <w:rFonts w:asciiTheme="majorBidi" w:hAnsiTheme="majorBidi" w:cstheme="majorBidi"/>
        </w:rPr>
        <w:footnoteRef/>
      </w:r>
      <w:r w:rsidRPr="00611549">
        <w:rPr>
          <w:rFonts w:asciiTheme="majorBidi" w:hAnsiTheme="majorBidi" w:cstheme="majorBidi"/>
        </w:rPr>
        <w:t xml:space="preserve"> In his </w:t>
      </w:r>
      <w:r w:rsidRPr="00611549">
        <w:rPr>
          <w:rFonts w:asciiTheme="majorBidi" w:hAnsiTheme="majorBidi" w:cstheme="majorBidi"/>
          <w:i/>
          <w:iCs/>
          <w:shd w:val="clear" w:color="auto" w:fill="FFFFFF"/>
        </w:rPr>
        <w:t>A Philosophical Enquiry into the Origins of our Ideas of the</w:t>
      </w:r>
      <w:r w:rsidRPr="00611549">
        <w:rPr>
          <w:rFonts w:asciiTheme="majorBidi" w:hAnsiTheme="majorBidi" w:cstheme="majorBidi"/>
          <w:shd w:val="clear" w:color="auto" w:fill="FFFFFF"/>
        </w:rPr>
        <w:t> </w:t>
      </w:r>
      <w:r w:rsidRPr="00611549">
        <w:rPr>
          <w:rFonts w:asciiTheme="majorBidi" w:hAnsiTheme="majorBidi" w:cstheme="majorBidi"/>
          <w:i/>
          <w:iCs/>
          <w:shd w:val="clear" w:color="auto" w:fill="FFFFFF"/>
        </w:rPr>
        <w:t>Sublime and Beautiful</w:t>
      </w:r>
      <w:r w:rsidRPr="00611549">
        <w:rPr>
          <w:rFonts w:asciiTheme="majorBidi" w:hAnsiTheme="majorBidi" w:cstheme="majorBidi"/>
          <w:shd w:val="clear" w:color="auto" w:fill="FFFFFF"/>
        </w:rPr>
        <w:t> (1757), Edmund Burke posited his theory of the Sublime (as distinct from Beauty) in art: “</w:t>
      </w:r>
      <w:r w:rsidRPr="00611549">
        <w:rPr>
          <w:rFonts w:asciiTheme="majorBidi" w:hAnsiTheme="majorBidi" w:cstheme="majorBidi"/>
        </w:rPr>
        <w:t>Whatever is fitted in any sort to excite the ideas of pain and danger</w:t>
      </w:r>
      <w:r w:rsidR="00F62441">
        <w:rPr>
          <w:rFonts w:asciiTheme="majorBidi" w:hAnsiTheme="majorBidi" w:cstheme="majorBidi"/>
        </w:rPr>
        <w:t xml:space="preserve"> . . .</w:t>
      </w:r>
      <w:r w:rsidRPr="00611549">
        <w:rPr>
          <w:rFonts w:asciiTheme="majorBidi" w:hAnsiTheme="majorBidi" w:cstheme="majorBidi"/>
        </w:rPr>
        <w:t xml:space="preserve"> whatever is in any sort terrible, or is conversant about terrible objects, or operates in a manner analogous to terror, is a source of the </w:t>
      </w:r>
      <w:r w:rsidRPr="00611549">
        <w:rPr>
          <w:rFonts w:asciiTheme="majorBidi" w:hAnsiTheme="majorBidi" w:cstheme="majorBidi"/>
          <w:i/>
          <w:iCs/>
        </w:rPr>
        <w:t>sublime</w:t>
      </w:r>
      <w:r w:rsidRPr="00611549">
        <w:rPr>
          <w:rFonts w:asciiTheme="majorBidi" w:hAnsiTheme="majorBidi" w:cstheme="majorBidi"/>
        </w:rPr>
        <w:t>; that is, it is productive of the strongest emotion which the mind is capable of feeling. I say the strongest emotion, because I am satisfied the ideas of pain are much more powerful than those which enter on the part of pleasure” (Part I, Section VII). In Part I, Section XVIII, he expands on the “passions which belong to self-preservation” and the delight aroused by the idea of pain and danger, also categorizing those passions as sublime. The vastness often associated with the sublime, too, proves a nonessential quality. Any object of terror or “terribly uncertain,” or “vastly powerful,” regardless of size</w:t>
      </w:r>
      <w:r w:rsidR="00F62441">
        <w:rPr>
          <w:rFonts w:asciiTheme="majorBidi" w:hAnsiTheme="majorBidi" w:cstheme="majorBidi"/>
        </w:rPr>
        <w:t>,</w:t>
      </w:r>
      <w:r w:rsidRPr="00611549">
        <w:rPr>
          <w:rFonts w:asciiTheme="majorBidi" w:hAnsiTheme="majorBidi" w:cstheme="majorBidi"/>
        </w:rPr>
        <w:t xml:space="preserve"> </w:t>
      </w:r>
      <w:r w:rsidR="00F62441">
        <w:rPr>
          <w:rFonts w:asciiTheme="majorBidi" w:hAnsiTheme="majorBidi" w:cstheme="majorBidi"/>
        </w:rPr>
        <w:t>is</w:t>
      </w:r>
      <w:r w:rsidRPr="00611549">
        <w:rPr>
          <w:rFonts w:asciiTheme="majorBidi" w:hAnsiTheme="majorBidi" w:cstheme="majorBidi"/>
        </w:rPr>
        <w:t xml:space="preserve"> “capable of raising ideas of the sublime” because “it is impossible to look on anything as trifling, or contemptible, that may be dangerous” (Part II, Sections IV, V, and VII).</w:t>
      </w:r>
    </w:p>
  </w:footnote>
  <w:footnote w:id="19">
    <w:p w14:paraId="7BE546A2" w14:textId="1BBD377C" w:rsidR="00584F97" w:rsidRPr="00611549" w:rsidRDefault="00584F97" w:rsidP="00584F97">
      <w:pPr>
        <w:rPr>
          <w:rFonts w:asciiTheme="majorBidi" w:hAnsiTheme="majorBidi" w:cstheme="majorBidi"/>
          <w:sz w:val="20"/>
          <w:szCs w:val="20"/>
        </w:rPr>
      </w:pPr>
      <w:r w:rsidRPr="00611549">
        <w:rPr>
          <w:rStyle w:val="FootnoteReference"/>
          <w:rFonts w:asciiTheme="majorBidi" w:hAnsiTheme="majorBidi" w:cstheme="majorBidi"/>
          <w:sz w:val="20"/>
          <w:szCs w:val="20"/>
        </w:rPr>
        <w:footnoteRef/>
      </w:r>
      <w:r w:rsidRPr="00611549">
        <w:rPr>
          <w:rFonts w:asciiTheme="majorBidi" w:hAnsiTheme="majorBidi" w:cstheme="majorBidi"/>
          <w:sz w:val="20"/>
          <w:szCs w:val="20"/>
        </w:rPr>
        <w:t xml:space="preserve"> For more on the evolution of the sublime, see </w:t>
      </w:r>
      <w:r w:rsidRPr="00611549">
        <w:rPr>
          <w:rFonts w:asciiTheme="majorBidi" w:hAnsiTheme="majorBidi" w:cstheme="majorBidi"/>
          <w:sz w:val="20"/>
          <w:szCs w:val="20"/>
          <w:shd w:val="clear" w:color="auto" w:fill="FFFFFF"/>
        </w:rPr>
        <w:t>“The Sublime and the Beautiful: Reconsiderations,” special issue of </w:t>
      </w:r>
      <w:r w:rsidRPr="00611549">
        <w:rPr>
          <w:rFonts w:asciiTheme="majorBidi" w:hAnsiTheme="majorBidi" w:cstheme="majorBidi"/>
          <w:i/>
          <w:iCs/>
          <w:sz w:val="20"/>
          <w:szCs w:val="20"/>
          <w:shd w:val="clear" w:color="auto" w:fill="FFFFFF"/>
        </w:rPr>
        <w:t>New Literary History</w:t>
      </w:r>
      <w:r w:rsidRPr="00611549">
        <w:rPr>
          <w:rFonts w:asciiTheme="majorBidi" w:hAnsiTheme="majorBidi" w:cstheme="majorBidi"/>
          <w:sz w:val="20"/>
          <w:szCs w:val="20"/>
          <w:shd w:val="clear" w:color="auto" w:fill="FFFFFF"/>
        </w:rPr>
        <w:t xml:space="preserve"> (16.2, </w:t>
      </w:r>
      <w:r w:rsidR="00317A99">
        <w:rPr>
          <w:rFonts w:asciiTheme="majorBidi" w:hAnsiTheme="majorBidi" w:cstheme="majorBidi"/>
          <w:sz w:val="20"/>
          <w:szCs w:val="20"/>
          <w:shd w:val="clear" w:color="auto" w:fill="FFFFFF"/>
        </w:rPr>
        <w:t>W</w:t>
      </w:r>
      <w:r w:rsidRPr="00611549">
        <w:rPr>
          <w:rFonts w:asciiTheme="majorBidi" w:hAnsiTheme="majorBidi" w:cstheme="majorBidi"/>
          <w:sz w:val="20"/>
          <w:szCs w:val="20"/>
          <w:shd w:val="clear" w:color="auto" w:fill="FFFFFF"/>
        </w:rPr>
        <w:t>inter 1985)</w:t>
      </w:r>
      <w:r w:rsidRPr="00611549">
        <w:rPr>
          <w:rFonts w:asciiTheme="majorBidi" w:hAnsiTheme="majorBidi" w:cstheme="majorBidi"/>
          <w:sz w:val="20"/>
          <w:szCs w:val="20"/>
        </w:rPr>
        <w:t xml:space="preserve">; Christine </w:t>
      </w:r>
      <w:r w:rsidRPr="00611549">
        <w:rPr>
          <w:rFonts w:asciiTheme="majorBidi" w:hAnsiTheme="majorBidi" w:cstheme="majorBidi"/>
          <w:sz w:val="20"/>
          <w:szCs w:val="20"/>
          <w:shd w:val="clear" w:color="auto" w:fill="FFFFFF"/>
        </w:rPr>
        <w:t>Battersby’s </w:t>
      </w:r>
      <w:proofErr w:type="gramStart"/>
      <w:r w:rsidRPr="00611549">
        <w:rPr>
          <w:rFonts w:asciiTheme="majorBidi" w:hAnsiTheme="majorBidi" w:cstheme="majorBidi"/>
          <w:i/>
          <w:iCs/>
          <w:sz w:val="20"/>
          <w:szCs w:val="20"/>
          <w:shd w:val="clear" w:color="auto" w:fill="FFFFFF"/>
        </w:rPr>
        <w:t>The</w:t>
      </w:r>
      <w:proofErr w:type="gramEnd"/>
      <w:r w:rsidRPr="00611549">
        <w:rPr>
          <w:rFonts w:asciiTheme="majorBidi" w:hAnsiTheme="majorBidi" w:cstheme="majorBidi"/>
          <w:i/>
          <w:iCs/>
          <w:sz w:val="20"/>
          <w:szCs w:val="20"/>
          <w:shd w:val="clear" w:color="auto" w:fill="FFFFFF"/>
        </w:rPr>
        <w:t xml:space="preserve"> Sublime, Terror and Human Difference</w:t>
      </w:r>
      <w:r w:rsidRPr="00611549">
        <w:rPr>
          <w:rFonts w:asciiTheme="majorBidi" w:hAnsiTheme="majorBidi" w:cstheme="majorBidi"/>
          <w:sz w:val="20"/>
          <w:szCs w:val="20"/>
          <w:shd w:val="clear" w:color="auto" w:fill="FFFFFF"/>
        </w:rPr>
        <w:t xml:space="preserve"> (2007); Simon</w:t>
      </w:r>
      <w:r w:rsidRPr="00611549">
        <w:rPr>
          <w:rFonts w:asciiTheme="majorBidi" w:hAnsiTheme="majorBidi" w:cstheme="majorBidi"/>
          <w:sz w:val="20"/>
          <w:szCs w:val="20"/>
        </w:rPr>
        <w:t> </w:t>
      </w:r>
      <w:r w:rsidRPr="00611549">
        <w:rPr>
          <w:rFonts w:asciiTheme="majorBidi" w:hAnsiTheme="majorBidi" w:cstheme="majorBidi"/>
          <w:sz w:val="20"/>
          <w:szCs w:val="20"/>
          <w:shd w:val="clear" w:color="auto" w:fill="FFFFFF"/>
        </w:rPr>
        <w:t>Morley’s </w:t>
      </w:r>
      <w:r w:rsidRPr="00611549">
        <w:rPr>
          <w:rFonts w:asciiTheme="majorBidi" w:hAnsiTheme="majorBidi" w:cstheme="majorBidi"/>
          <w:i/>
          <w:iCs/>
          <w:sz w:val="20"/>
          <w:szCs w:val="20"/>
          <w:shd w:val="clear" w:color="auto" w:fill="FFFFFF"/>
        </w:rPr>
        <w:t>The Sublime</w:t>
      </w:r>
      <w:r w:rsidRPr="00611549">
        <w:rPr>
          <w:rFonts w:asciiTheme="majorBidi" w:hAnsiTheme="majorBidi" w:cstheme="majorBidi"/>
          <w:sz w:val="20"/>
          <w:szCs w:val="20"/>
          <w:shd w:val="clear" w:color="auto" w:fill="FFFFFF"/>
        </w:rPr>
        <w:t xml:space="preserve"> (2010); and </w:t>
      </w:r>
      <w:r w:rsidRPr="00611549">
        <w:rPr>
          <w:rFonts w:asciiTheme="majorBidi" w:hAnsiTheme="majorBidi" w:cstheme="majorBidi"/>
          <w:sz w:val="20"/>
          <w:szCs w:val="20"/>
        </w:rPr>
        <w:t xml:space="preserve">Philip A. Shaw’s </w:t>
      </w:r>
      <w:r w:rsidRPr="00611549">
        <w:rPr>
          <w:rFonts w:asciiTheme="majorBidi" w:hAnsiTheme="majorBidi" w:cstheme="majorBidi"/>
          <w:i/>
          <w:iCs/>
          <w:sz w:val="20"/>
          <w:szCs w:val="20"/>
        </w:rPr>
        <w:t>The Sublime</w:t>
      </w:r>
      <w:r w:rsidRPr="00611549">
        <w:rPr>
          <w:rFonts w:asciiTheme="majorBidi" w:hAnsiTheme="majorBidi" w:cstheme="majorBidi"/>
          <w:sz w:val="20"/>
          <w:szCs w:val="20"/>
        </w:rPr>
        <w:t xml:space="preserve"> (2017).</w:t>
      </w:r>
    </w:p>
  </w:footnote>
  <w:footnote w:id="20">
    <w:p w14:paraId="25D3A9BE" w14:textId="77777777" w:rsidR="00584F97" w:rsidRPr="00611549" w:rsidRDefault="00584F97" w:rsidP="00584F97">
      <w:pPr>
        <w:pStyle w:val="FootnoteText"/>
        <w:rPr>
          <w:rFonts w:asciiTheme="majorBidi" w:hAnsiTheme="majorBidi" w:cstheme="majorBidi"/>
        </w:rPr>
      </w:pPr>
      <w:r w:rsidRPr="00611549">
        <w:rPr>
          <w:rStyle w:val="FootnoteReference"/>
          <w:rFonts w:asciiTheme="majorBidi" w:hAnsiTheme="majorBidi" w:cstheme="majorBidi"/>
        </w:rPr>
        <w:footnoteRef/>
      </w:r>
      <w:r w:rsidRPr="00611549">
        <w:rPr>
          <w:rFonts w:asciiTheme="majorBidi" w:hAnsiTheme="majorBidi" w:cstheme="majorBidi"/>
        </w:rPr>
        <w:t xml:space="preserve"> See </w:t>
      </w:r>
      <w:r w:rsidRPr="00611549">
        <w:rPr>
          <w:rFonts w:asciiTheme="majorBidi" w:hAnsiTheme="majorBidi" w:cstheme="majorBidi"/>
          <w:i/>
          <w:iCs/>
        </w:rPr>
        <w:t>OED</w:t>
      </w:r>
      <w:r w:rsidRPr="00611549">
        <w:rPr>
          <w:rFonts w:asciiTheme="majorBidi" w:hAnsiTheme="majorBidi" w:cstheme="majorBidi"/>
        </w:rPr>
        <w:t xml:space="preserve"> entries for “subliminal,” “limen,” and “sublime.”</w:t>
      </w:r>
    </w:p>
  </w:footnote>
  <w:footnote w:id="21">
    <w:p w14:paraId="44239F49" w14:textId="77777777" w:rsidR="00584F97" w:rsidRPr="00611549" w:rsidRDefault="00584F97" w:rsidP="00584F97">
      <w:pPr>
        <w:pStyle w:val="FootnoteText"/>
        <w:rPr>
          <w:rFonts w:asciiTheme="majorBidi" w:hAnsiTheme="majorBidi" w:cstheme="majorBidi"/>
        </w:rPr>
      </w:pPr>
      <w:r w:rsidRPr="00317A99">
        <w:rPr>
          <w:rStyle w:val="FootnoteReference"/>
          <w:rFonts w:asciiTheme="majorBidi" w:hAnsiTheme="majorBidi" w:cstheme="majorBidi"/>
        </w:rPr>
        <w:footnoteRef/>
      </w:r>
      <w:r w:rsidRPr="00317A99">
        <w:rPr>
          <w:rFonts w:asciiTheme="majorBidi" w:hAnsiTheme="majorBidi" w:cstheme="majorBidi"/>
        </w:rPr>
        <w:t xml:space="preserve"> See </w:t>
      </w:r>
      <w:r w:rsidRPr="00317A99">
        <w:rPr>
          <w:rFonts w:asciiTheme="majorBidi" w:hAnsiTheme="majorBidi" w:cstheme="majorBidi"/>
          <w:i/>
          <w:iCs/>
        </w:rPr>
        <w:t>OED</w:t>
      </w:r>
      <w:r w:rsidRPr="00317A99">
        <w:rPr>
          <w:rFonts w:asciiTheme="majorBidi" w:hAnsiTheme="majorBidi" w:cstheme="majorBidi"/>
        </w:rPr>
        <w:t xml:space="preserve"> entry for “liminal.” Also of note, the adjectival form </w:t>
      </w:r>
      <w:r w:rsidRPr="00317A99">
        <w:rPr>
          <w:rFonts w:asciiTheme="majorBidi" w:hAnsiTheme="majorBidi" w:cstheme="majorBidi"/>
          <w:i/>
          <w:iCs/>
        </w:rPr>
        <w:t>līmus</w:t>
      </w:r>
      <w:r w:rsidRPr="00317A99">
        <w:rPr>
          <w:rFonts w:asciiTheme="majorBidi" w:hAnsiTheme="majorBidi" w:cstheme="majorBidi"/>
          <w:shd w:val="clear" w:color="auto" w:fill="FFFFFF"/>
        </w:rPr>
        <w:t xml:space="preserve"> denotes something that is askew or otherwise not parallel to the object next to it. </w:t>
      </w:r>
    </w:p>
  </w:footnote>
  <w:footnote w:id="22">
    <w:p w14:paraId="25A29561" w14:textId="77777777" w:rsidR="00584F97" w:rsidRPr="00611549" w:rsidRDefault="00584F97" w:rsidP="00584F97">
      <w:pPr>
        <w:pStyle w:val="FootnoteText"/>
        <w:rPr>
          <w:rFonts w:asciiTheme="majorBidi" w:hAnsiTheme="majorBidi" w:cstheme="majorBidi"/>
        </w:rPr>
      </w:pPr>
      <w:r w:rsidRPr="00611549">
        <w:rPr>
          <w:rStyle w:val="FootnoteReference"/>
          <w:rFonts w:asciiTheme="majorBidi" w:hAnsiTheme="majorBidi" w:cstheme="majorBidi"/>
        </w:rPr>
        <w:footnoteRef/>
      </w:r>
      <w:r w:rsidRPr="00611549">
        <w:rPr>
          <w:rFonts w:asciiTheme="majorBidi" w:hAnsiTheme="majorBidi" w:cstheme="majorBidi"/>
        </w:rPr>
        <w:t xml:space="preserve"> Consider Part II, Section XXVII of Burke’s </w:t>
      </w:r>
      <w:r w:rsidRPr="00611549">
        <w:rPr>
          <w:rFonts w:asciiTheme="majorBidi" w:hAnsiTheme="majorBidi" w:cstheme="majorBidi"/>
          <w:i/>
          <w:iCs/>
        </w:rPr>
        <w:t>Philosophical Enquiry</w:t>
      </w:r>
      <w:r w:rsidRPr="00611549">
        <w:rPr>
          <w:rFonts w:asciiTheme="majorBidi" w:hAnsiTheme="majorBidi" w:cstheme="majorBidi"/>
        </w:rPr>
        <w:t>: “</w:t>
      </w:r>
      <w:r w:rsidRPr="00611549">
        <w:rPr>
          <w:rFonts w:asciiTheme="majorBidi" w:hAnsiTheme="majorBidi" w:cstheme="majorBidi"/>
          <w:color w:val="000000"/>
        </w:rPr>
        <w:t>In the infinite variety of natural combinations, we must expect to find the qualities of things the most remote imaginable from each other united in the same object. We must expect also to find combinations of the same kind in the works of art.”</w:t>
      </w:r>
    </w:p>
  </w:footnote>
  <w:footnote w:id="23">
    <w:p w14:paraId="69496641" w14:textId="77777777" w:rsidR="00584F97" w:rsidRPr="00611549" w:rsidRDefault="00584F97" w:rsidP="00584F97">
      <w:pPr>
        <w:pStyle w:val="FootnoteText"/>
        <w:rPr>
          <w:rFonts w:asciiTheme="majorBidi" w:hAnsiTheme="majorBidi" w:cstheme="majorBidi"/>
        </w:rPr>
      </w:pPr>
      <w:r w:rsidRPr="00611549">
        <w:rPr>
          <w:rStyle w:val="FootnoteReference"/>
          <w:rFonts w:asciiTheme="majorBidi" w:hAnsiTheme="majorBidi" w:cstheme="majorBidi"/>
        </w:rPr>
        <w:footnoteRef/>
      </w:r>
      <w:r w:rsidRPr="00611549">
        <w:rPr>
          <w:rFonts w:asciiTheme="majorBidi" w:hAnsiTheme="majorBidi" w:cstheme="majorBidi"/>
        </w:rPr>
        <w:t xml:space="preserve"> </w:t>
      </w:r>
      <w:r w:rsidRPr="00611549">
        <w:rPr>
          <w:rFonts w:asciiTheme="majorBidi" w:hAnsiTheme="majorBidi" w:cstheme="majorBidi"/>
          <w:shd w:val="clear" w:color="auto" w:fill="FFFFFF"/>
        </w:rPr>
        <w:t>Prosthesis (</w:t>
      </w:r>
      <w:r w:rsidRPr="00611549">
        <w:rPr>
          <w:rFonts w:asciiTheme="majorBidi" w:hAnsiTheme="majorBidi" w:cstheme="majorBidi"/>
          <w:i/>
          <w:shd w:val="clear" w:color="auto" w:fill="FFFFFF"/>
        </w:rPr>
        <w:t>pros’-thes-is</w:t>
      </w:r>
      <w:r w:rsidRPr="00611549">
        <w:rPr>
          <w:rFonts w:asciiTheme="majorBidi" w:hAnsiTheme="majorBidi" w:cstheme="majorBidi"/>
          <w:shd w:val="clear" w:color="auto" w:fill="FFFFFF"/>
        </w:rPr>
        <w:t xml:space="preserve">) </w:t>
      </w:r>
      <w:r w:rsidRPr="00611549">
        <w:rPr>
          <w:rStyle w:val="Emphasis"/>
          <w:rFonts w:asciiTheme="majorBidi" w:hAnsiTheme="majorBidi" w:cstheme="majorBidi"/>
          <w:shd w:val="clear" w:color="auto" w:fill="FFFFFF"/>
        </w:rPr>
        <w:t>πρός, to; θέσις, a placing.</w:t>
      </w:r>
    </w:p>
  </w:footnote>
  <w:footnote w:id="24">
    <w:p w14:paraId="3FE4B869" w14:textId="77777777" w:rsidR="00584F97" w:rsidRPr="00611549" w:rsidRDefault="00584F97" w:rsidP="00584F97">
      <w:pPr>
        <w:pStyle w:val="FootnoteText"/>
        <w:rPr>
          <w:rFonts w:asciiTheme="majorBidi" w:hAnsiTheme="majorBidi" w:cstheme="majorBidi"/>
        </w:rPr>
      </w:pPr>
      <w:r w:rsidRPr="00611549">
        <w:rPr>
          <w:rStyle w:val="FootnoteReference"/>
          <w:rFonts w:asciiTheme="majorBidi" w:hAnsiTheme="majorBidi" w:cstheme="majorBidi"/>
        </w:rPr>
        <w:footnoteRef/>
      </w:r>
      <w:r w:rsidRPr="00611549">
        <w:rPr>
          <w:rFonts w:asciiTheme="majorBidi" w:hAnsiTheme="majorBidi" w:cstheme="majorBidi"/>
        </w:rPr>
        <w:t xml:space="preserve"> See </w:t>
      </w:r>
      <w:r w:rsidRPr="00611549">
        <w:rPr>
          <w:rFonts w:asciiTheme="majorBidi" w:hAnsiTheme="majorBidi" w:cstheme="majorBidi"/>
          <w:i/>
        </w:rPr>
        <w:t>A treatise of schemes [and] tropes very profytable for the better vnderstanding of good authors, gathered out of the best grammarians [and] oratours by Rychard Sherry Londoner</w:t>
      </w:r>
      <w:r w:rsidRPr="00611549">
        <w:rPr>
          <w:rFonts w:asciiTheme="majorBidi" w:hAnsiTheme="majorBidi" w:cstheme="majorBidi"/>
        </w:rPr>
        <w:t xml:space="preserve"> (1550): “the putting to, prosthesis eyther of letter or sillable at the begynnyng of a worde.”</w:t>
      </w:r>
    </w:p>
    <w:p w14:paraId="44836418" w14:textId="77777777" w:rsidR="00584F97" w:rsidRPr="00611549" w:rsidRDefault="00584F97" w:rsidP="00584F97">
      <w:pPr>
        <w:pStyle w:val="FootnoteText"/>
        <w:rPr>
          <w:rFonts w:asciiTheme="majorBidi" w:hAnsiTheme="majorBidi" w:cstheme="majorBidi"/>
        </w:rPr>
      </w:pPr>
      <w:r w:rsidRPr="00611549">
        <w:rPr>
          <w:rFonts w:asciiTheme="majorBidi" w:hAnsiTheme="majorBidi" w:cstheme="majorBidi"/>
        </w:rPr>
        <w:tab/>
        <w:t xml:space="preserve">Nathanael Homes, in his </w:t>
      </w:r>
      <w:r w:rsidRPr="00611549">
        <w:rPr>
          <w:rFonts w:asciiTheme="majorBidi" w:hAnsiTheme="majorBidi" w:cstheme="majorBidi"/>
          <w:i/>
        </w:rPr>
        <w:t>Apokalypsis anastaseos: The resurrection revealed</w:t>
      </w:r>
      <w:r w:rsidRPr="00611549">
        <w:rPr>
          <w:rFonts w:asciiTheme="majorBidi" w:hAnsiTheme="majorBidi" w:cstheme="majorBidi"/>
        </w:rPr>
        <w:t xml:space="preserve"> (1653) provides another grammatical account of “prosthesis” as it applies to analysis of religious texts: “The Verse is not to begin with </w:t>
      </w:r>
      <w:r w:rsidRPr="00611549">
        <w:rPr>
          <w:rFonts w:asciiTheme="majorBidi" w:hAnsiTheme="majorBidi" w:cstheme="majorBidi"/>
          <w:i/>
        </w:rPr>
        <w:t>But</w:t>
      </w:r>
      <w:r w:rsidRPr="00611549">
        <w:rPr>
          <w:rFonts w:asciiTheme="majorBidi" w:hAnsiTheme="majorBidi" w:cstheme="majorBidi"/>
        </w:rPr>
        <w:t xml:space="preserve">, as an </w:t>
      </w:r>
      <w:r w:rsidRPr="00611549">
        <w:rPr>
          <w:rFonts w:asciiTheme="majorBidi" w:hAnsiTheme="majorBidi" w:cstheme="majorBidi"/>
          <w:i/>
        </w:rPr>
        <w:t>Antithesis</w:t>
      </w:r>
      <w:r w:rsidRPr="00611549">
        <w:rPr>
          <w:rFonts w:asciiTheme="majorBidi" w:hAnsiTheme="majorBidi" w:cstheme="majorBidi"/>
        </w:rPr>
        <w:t xml:space="preserve">, or opposition to that afore, but with an </w:t>
      </w:r>
      <w:r w:rsidRPr="00611549">
        <w:rPr>
          <w:rFonts w:asciiTheme="majorBidi" w:hAnsiTheme="majorBidi" w:cstheme="majorBidi"/>
          <w:i/>
        </w:rPr>
        <w:t>And</w:t>
      </w:r>
      <w:r w:rsidRPr="00611549">
        <w:rPr>
          <w:rFonts w:asciiTheme="majorBidi" w:hAnsiTheme="majorBidi" w:cstheme="majorBidi"/>
        </w:rPr>
        <w:t>, as a Prosthesis, or addition of a further degree of attainment.”</w:t>
      </w:r>
    </w:p>
  </w:footnote>
  <w:footnote w:id="25">
    <w:p w14:paraId="7FA3BF49" w14:textId="77777777" w:rsidR="00584F97" w:rsidRPr="00611549" w:rsidRDefault="00584F97" w:rsidP="00584F97">
      <w:pPr>
        <w:pStyle w:val="FootnoteText"/>
        <w:rPr>
          <w:rFonts w:asciiTheme="majorBidi" w:hAnsiTheme="majorBidi" w:cstheme="majorBidi"/>
        </w:rPr>
      </w:pPr>
      <w:r w:rsidRPr="00611549">
        <w:rPr>
          <w:rStyle w:val="FootnoteReference"/>
          <w:rFonts w:asciiTheme="majorBidi" w:hAnsiTheme="majorBidi" w:cstheme="majorBidi"/>
        </w:rPr>
        <w:footnoteRef/>
      </w:r>
      <w:r w:rsidRPr="00611549">
        <w:rPr>
          <w:rFonts w:asciiTheme="majorBidi" w:hAnsiTheme="majorBidi" w:cstheme="majorBidi"/>
        </w:rPr>
        <w:t xml:space="preserve"> “Standardized” is the operative word here. Archaeologists and historians have provided evidence of earlier instances of prosthetic parts (e.g., 3,000-year-old toe made from leather and wood in Egypt), and French barber surgeon Ambroise Par</w:t>
      </w:r>
      <w:r w:rsidRPr="00611549">
        <w:rPr>
          <w:rFonts w:asciiTheme="majorBidi" w:hAnsiTheme="majorBidi" w:cstheme="majorBidi"/>
          <w:shd w:val="clear" w:color="auto" w:fill="FFFFFF"/>
        </w:rPr>
        <w:t xml:space="preserve">é famously experimented widely with amputation and prosthesis in the sixteenth century, but none of these early prototypes experienced widespread success in the surgical community.  </w:t>
      </w:r>
    </w:p>
  </w:footnote>
  <w:footnote w:id="26">
    <w:p w14:paraId="47EE5A2A" w14:textId="77777777" w:rsidR="00584F97" w:rsidRPr="00611549" w:rsidRDefault="00584F97" w:rsidP="00584F97">
      <w:pPr>
        <w:pStyle w:val="FootnoteText"/>
        <w:rPr>
          <w:rFonts w:asciiTheme="majorBidi" w:hAnsiTheme="majorBidi" w:cstheme="majorBidi"/>
        </w:rPr>
      </w:pPr>
      <w:r w:rsidRPr="00611549">
        <w:rPr>
          <w:rStyle w:val="FootnoteReference"/>
          <w:rFonts w:asciiTheme="majorBidi" w:hAnsiTheme="majorBidi" w:cstheme="majorBidi"/>
        </w:rPr>
        <w:footnoteRef/>
      </w:r>
      <w:r w:rsidRPr="00611549">
        <w:rPr>
          <w:rFonts w:asciiTheme="majorBidi" w:hAnsiTheme="majorBidi" w:cstheme="majorBidi"/>
        </w:rPr>
        <w:t xml:space="preserve"> See James Wynbrandt’s </w:t>
      </w:r>
      <w:proofErr w:type="gramStart"/>
      <w:r w:rsidRPr="00611549">
        <w:rPr>
          <w:rFonts w:asciiTheme="majorBidi" w:hAnsiTheme="majorBidi" w:cstheme="majorBidi"/>
          <w:i/>
        </w:rPr>
        <w:t>The</w:t>
      </w:r>
      <w:proofErr w:type="gramEnd"/>
      <w:r w:rsidRPr="00611549">
        <w:rPr>
          <w:rFonts w:asciiTheme="majorBidi" w:hAnsiTheme="majorBidi" w:cstheme="majorBidi"/>
          <w:i/>
        </w:rPr>
        <w:t xml:space="preserve"> Excruciating History of Dentistry</w:t>
      </w:r>
      <w:r w:rsidRPr="00611549">
        <w:rPr>
          <w:rFonts w:asciiTheme="majorBidi" w:hAnsiTheme="majorBidi" w:cstheme="majorBidi"/>
          <w:iCs/>
        </w:rPr>
        <w:t xml:space="preserve"> (1998)</w:t>
      </w:r>
      <w:r w:rsidRPr="00611549">
        <w:rPr>
          <w:rFonts w:asciiTheme="majorBidi" w:hAnsiTheme="majorBidi" w:cstheme="majorBidi"/>
        </w:rPr>
        <w:t xml:space="preserve"> for a brief overview of early dental prosthetics. </w:t>
      </w:r>
    </w:p>
  </w:footnote>
  <w:footnote w:id="27">
    <w:p w14:paraId="1E05E6D6" w14:textId="77777777" w:rsidR="00584F97" w:rsidRPr="00AF0BC4" w:rsidRDefault="00584F97" w:rsidP="00584F97">
      <w:pPr>
        <w:pStyle w:val="FootnoteText"/>
        <w:rPr>
          <w:rFonts w:asciiTheme="majorBidi" w:hAnsiTheme="majorBidi" w:cstheme="majorBidi"/>
        </w:rPr>
      </w:pPr>
      <w:r w:rsidRPr="00AF0BC4">
        <w:rPr>
          <w:rStyle w:val="FootnoteReference"/>
          <w:rFonts w:asciiTheme="majorBidi" w:hAnsiTheme="majorBidi" w:cstheme="majorBidi"/>
        </w:rPr>
        <w:footnoteRef/>
      </w:r>
      <w:r w:rsidRPr="00AF0BC4">
        <w:rPr>
          <w:rFonts w:asciiTheme="majorBidi" w:hAnsiTheme="majorBidi" w:cstheme="majorBidi"/>
        </w:rPr>
        <w:t xml:space="preserve"> Le Clerc lists “prosthesis” as one of the four kinds of chirurgical operations. “Synthesis,” “diaeresis,” and “exaeresis” comprise the other three.</w:t>
      </w:r>
    </w:p>
  </w:footnote>
  <w:footnote w:id="28">
    <w:p w14:paraId="63755098" w14:textId="77777777" w:rsidR="00584F97" w:rsidRPr="00AF0BC4" w:rsidRDefault="00584F97" w:rsidP="00913838">
      <w:pPr>
        <w:pStyle w:val="FootnoteText"/>
        <w:rPr>
          <w:rFonts w:asciiTheme="majorBidi" w:hAnsiTheme="majorBidi" w:cstheme="majorBidi"/>
        </w:rPr>
      </w:pPr>
      <w:r w:rsidRPr="00AF0BC4">
        <w:rPr>
          <w:rStyle w:val="FootnoteReference"/>
          <w:rFonts w:asciiTheme="majorBidi" w:hAnsiTheme="majorBidi" w:cstheme="majorBidi"/>
        </w:rPr>
        <w:footnoteRef/>
      </w:r>
      <w:r w:rsidRPr="00AF0BC4">
        <w:rPr>
          <w:rFonts w:asciiTheme="majorBidi" w:hAnsiTheme="majorBidi" w:cstheme="majorBidi"/>
        </w:rPr>
        <w:t xml:space="preserve"> In addition to establishing prosthesis as “that part of the Art, which teaches </w:t>
      </w:r>
      <w:r w:rsidRPr="00AF0BC4">
        <w:rPr>
          <w:rFonts w:asciiTheme="majorBidi" w:hAnsiTheme="majorBidi" w:cstheme="majorBidi"/>
          <w:i/>
        </w:rPr>
        <w:t>how to add to, or supply Parts which are wanting</w:t>
      </w:r>
      <w:r w:rsidRPr="00AF0BC4">
        <w:rPr>
          <w:rFonts w:asciiTheme="majorBidi" w:hAnsiTheme="majorBidi" w:cstheme="majorBidi"/>
        </w:rPr>
        <w:t>,” Salmon lists as the most common prosthetic operations “1. Hair, in Baldness. 2. A Lip, in a Hare-Lip. 3. Eyes, Nose, Teeth. 4. Arms and Legs; of which in order” (</w:t>
      </w:r>
      <w:r w:rsidRPr="00AF0BC4">
        <w:rPr>
          <w:rFonts w:asciiTheme="majorBidi" w:hAnsiTheme="majorBidi" w:cstheme="majorBidi"/>
          <w:i/>
        </w:rPr>
        <w:t>Ars chirurgica</w:t>
      </w:r>
      <w:r w:rsidRPr="00AF0BC4">
        <w:rPr>
          <w:rFonts w:asciiTheme="majorBidi" w:hAnsiTheme="majorBidi" w:cstheme="majorBidi"/>
        </w:rPr>
        <w:t>).</w:t>
      </w:r>
    </w:p>
    <w:p w14:paraId="09157C56" w14:textId="45B14308" w:rsidR="00913838" w:rsidRPr="00AF0BC4" w:rsidRDefault="00584F97" w:rsidP="00913838">
      <w:pPr>
        <w:pStyle w:val="Heading3"/>
        <w:shd w:val="clear" w:color="auto" w:fill="FFFFFF"/>
        <w:spacing w:before="0" w:after="0"/>
        <w:ind w:firstLine="720"/>
        <w:rPr>
          <w:rFonts w:asciiTheme="majorBidi" w:hAnsiTheme="majorBidi" w:cstheme="majorBidi"/>
          <w:b w:val="0"/>
          <w:sz w:val="20"/>
          <w:szCs w:val="20"/>
        </w:rPr>
      </w:pPr>
      <w:r w:rsidRPr="00AF0BC4">
        <w:rPr>
          <w:rFonts w:asciiTheme="majorBidi" w:hAnsiTheme="majorBidi" w:cstheme="majorBidi"/>
          <w:b w:val="0"/>
          <w:i w:val="0"/>
          <w:iCs/>
          <w:sz w:val="20"/>
          <w:szCs w:val="20"/>
        </w:rPr>
        <w:t>Pierre Dionis expanded on the position of prosthesis in divisions of surgery in a 1710 lecture, explaining,</w:t>
      </w:r>
      <w:r w:rsidRPr="00AF0BC4">
        <w:rPr>
          <w:rFonts w:asciiTheme="majorBidi" w:hAnsiTheme="majorBidi" w:cstheme="majorBidi"/>
          <w:b w:val="0"/>
          <w:sz w:val="20"/>
          <w:szCs w:val="20"/>
        </w:rPr>
        <w:t xml:space="preserve"> </w:t>
      </w:r>
    </w:p>
    <w:p w14:paraId="781EFA7C" w14:textId="77777777" w:rsidR="00913838" w:rsidRPr="00AF0BC4" w:rsidRDefault="00584F97" w:rsidP="00913838">
      <w:pPr>
        <w:pStyle w:val="Heading3"/>
        <w:shd w:val="clear" w:color="auto" w:fill="FFFFFF"/>
        <w:spacing w:before="0" w:after="0"/>
        <w:ind w:left="720" w:firstLine="720"/>
        <w:rPr>
          <w:rStyle w:val="Emphasis"/>
          <w:rFonts w:asciiTheme="majorBidi" w:hAnsiTheme="majorBidi" w:cstheme="majorBidi"/>
          <w:b w:val="0"/>
          <w:sz w:val="20"/>
          <w:szCs w:val="20"/>
          <w:shd w:val="clear" w:color="auto" w:fill="FFFFFF"/>
        </w:rPr>
      </w:pPr>
      <w:r w:rsidRPr="00AF0BC4">
        <w:rPr>
          <w:rStyle w:val="Emphasis"/>
          <w:rFonts w:asciiTheme="majorBidi" w:hAnsiTheme="majorBidi" w:cstheme="majorBidi"/>
          <w:b w:val="0"/>
          <w:sz w:val="20"/>
          <w:szCs w:val="20"/>
          <w:shd w:val="clear" w:color="auto" w:fill="FFFFFF"/>
        </w:rPr>
        <w:t xml:space="preserve">All Chirurgical Operations reduce themselves to four Sorts, the Four Sorts first of which </w:t>
      </w:r>
    </w:p>
    <w:p w14:paraId="3332A367" w14:textId="64311C79" w:rsidR="00D95D7F" w:rsidRDefault="00584F97" w:rsidP="00D95D7F">
      <w:pPr>
        <w:pStyle w:val="Heading3"/>
        <w:shd w:val="clear" w:color="auto" w:fill="FFFFFF"/>
        <w:spacing w:before="0" w:after="0"/>
        <w:ind w:left="1440"/>
        <w:rPr>
          <w:rStyle w:val="Emphasis"/>
          <w:rFonts w:asciiTheme="majorBidi" w:hAnsiTheme="majorBidi" w:cstheme="majorBidi"/>
          <w:b w:val="0"/>
          <w:sz w:val="20"/>
          <w:szCs w:val="20"/>
          <w:shd w:val="clear" w:color="auto" w:fill="FFFFFF"/>
        </w:rPr>
      </w:pPr>
      <w:r w:rsidRPr="00AF0BC4">
        <w:rPr>
          <w:rStyle w:val="Emphasis"/>
          <w:rFonts w:asciiTheme="majorBidi" w:hAnsiTheme="majorBidi" w:cstheme="majorBidi"/>
          <w:b w:val="0"/>
          <w:sz w:val="20"/>
          <w:szCs w:val="20"/>
          <w:shd w:val="clear" w:color="auto" w:fill="FFFFFF"/>
        </w:rPr>
        <w:t xml:space="preserve">rejoins what was separated, and is called Synthesis; of Operations the second separates </w:t>
      </w:r>
      <w:r w:rsidRPr="00F80C69">
        <w:rPr>
          <w:rStyle w:val="Emphasis"/>
          <w:rFonts w:asciiTheme="majorBidi" w:hAnsiTheme="majorBidi" w:cstheme="majorBidi"/>
          <w:b w:val="0"/>
          <w:sz w:val="20"/>
          <w:szCs w:val="20"/>
          <w:shd w:val="clear" w:color="auto" w:fill="FFFFFF"/>
        </w:rPr>
        <w:t>those Parts whose Union is inconsistent with Health, and is call’d Diaresis; the third, express’d by the word Exaresis, removes whatever is superfluous; and the fourth, which is term’d Prosthesis, adds what is deficient</w:t>
      </w:r>
      <w:r w:rsidR="00D95D7F">
        <w:rPr>
          <w:rStyle w:val="Emphasis"/>
          <w:rFonts w:asciiTheme="majorBidi" w:hAnsiTheme="majorBidi" w:cstheme="majorBidi"/>
          <w:b w:val="0"/>
          <w:sz w:val="20"/>
          <w:szCs w:val="20"/>
          <w:shd w:val="clear" w:color="auto" w:fill="FFFFFF"/>
        </w:rPr>
        <w:t>.</w:t>
      </w:r>
      <w:r w:rsidRPr="00F80C69">
        <w:rPr>
          <w:rStyle w:val="Emphasis"/>
          <w:rFonts w:asciiTheme="majorBidi" w:hAnsiTheme="majorBidi" w:cstheme="majorBidi"/>
          <w:b w:val="0"/>
          <w:sz w:val="20"/>
          <w:szCs w:val="20"/>
          <w:shd w:val="clear" w:color="auto" w:fill="FFFFFF"/>
        </w:rPr>
        <w:t xml:space="preserve"> (“A Course of Chirurgical Operations”)</w:t>
      </w:r>
    </w:p>
    <w:p w14:paraId="26A1C18B" w14:textId="4B1E2A58" w:rsidR="00584F97" w:rsidRPr="00D95D7F" w:rsidRDefault="00584F97" w:rsidP="00D95D7F">
      <w:pPr>
        <w:pStyle w:val="Heading3"/>
        <w:shd w:val="clear" w:color="auto" w:fill="FFFFFF"/>
        <w:spacing w:before="0" w:after="0"/>
        <w:rPr>
          <w:rFonts w:asciiTheme="majorBidi" w:hAnsiTheme="majorBidi" w:cstheme="majorBidi"/>
          <w:b w:val="0"/>
          <w:i w:val="0"/>
          <w:iCs/>
          <w:sz w:val="20"/>
          <w:szCs w:val="20"/>
          <w:shd w:val="clear" w:color="auto" w:fill="FFFFFF"/>
        </w:rPr>
      </w:pPr>
      <w:r w:rsidRPr="00F80C69">
        <w:rPr>
          <w:rStyle w:val="Emphasis"/>
          <w:rFonts w:asciiTheme="majorBidi" w:hAnsiTheme="majorBidi" w:cstheme="majorBidi"/>
          <w:b w:val="0"/>
          <w:sz w:val="20"/>
          <w:szCs w:val="20"/>
          <w:shd w:val="clear" w:color="auto" w:fill="FFFFFF"/>
        </w:rPr>
        <w:t>Prosthesis, Dionis continued, denoted the branch of surgery “which, by the fitting of Instruments to the Body, supplies its deficient Parts: These Deficiencies happen either naturally, as when some Part is wanting in an Infant at its Formation or accidentally, when a Person has lost in War an Eye, an Arm or a Leg: In which case we have Recourse to some instrument, to repair the Loss of the Part of which we are unfortunately deprived.</w:t>
      </w:r>
      <w:r w:rsidR="00D95D7F">
        <w:rPr>
          <w:rStyle w:val="Emphasis"/>
          <w:rFonts w:asciiTheme="majorBidi" w:hAnsiTheme="majorBidi" w:cstheme="majorBidi"/>
          <w:b w:val="0"/>
          <w:sz w:val="20"/>
          <w:szCs w:val="20"/>
          <w:shd w:val="clear" w:color="auto" w:fill="FFFFFF"/>
        </w:rPr>
        <w:t>”</w:t>
      </w:r>
    </w:p>
  </w:footnote>
  <w:footnote w:id="29">
    <w:p w14:paraId="020B4410" w14:textId="77777777" w:rsidR="00F80C69" w:rsidRPr="00F80C69" w:rsidRDefault="00F80C69" w:rsidP="00F80C69">
      <w:pPr>
        <w:pStyle w:val="FootnoteText"/>
        <w:rPr>
          <w:rFonts w:asciiTheme="majorBidi" w:hAnsiTheme="majorBidi" w:cstheme="majorBidi"/>
        </w:rPr>
      </w:pPr>
      <w:r w:rsidRPr="00F80C69">
        <w:rPr>
          <w:rStyle w:val="FootnoteReference"/>
          <w:rFonts w:asciiTheme="majorBidi" w:hAnsiTheme="majorBidi" w:cstheme="majorBidi"/>
        </w:rPr>
        <w:footnoteRef/>
      </w:r>
      <w:r w:rsidRPr="00F80C69">
        <w:rPr>
          <w:rFonts w:asciiTheme="majorBidi" w:hAnsiTheme="majorBidi" w:cstheme="majorBidi"/>
        </w:rPr>
        <w:t xml:space="preserve"> See, for example, Jon Turney’s </w:t>
      </w:r>
      <w:r w:rsidRPr="00F80C69">
        <w:rPr>
          <w:rFonts w:asciiTheme="majorBidi" w:hAnsiTheme="majorBidi" w:cstheme="majorBidi"/>
          <w:i/>
        </w:rPr>
        <w:t>Frankenstein’s Footsteps: Science, Genetics and Popular Culture</w:t>
      </w:r>
      <w:r w:rsidRPr="00F80C69">
        <w:rPr>
          <w:rFonts w:asciiTheme="majorBidi" w:hAnsiTheme="majorBidi" w:cstheme="majorBidi"/>
        </w:rPr>
        <w:t xml:space="preserve"> (1998), Anne K. Mellor’s “</w:t>
      </w:r>
      <w:r w:rsidRPr="00F80C69">
        <w:rPr>
          <w:rFonts w:asciiTheme="majorBidi" w:hAnsiTheme="majorBidi" w:cstheme="majorBidi"/>
          <w:i/>
        </w:rPr>
        <w:t>Frankenstein</w:t>
      </w:r>
      <w:r w:rsidRPr="00F80C69">
        <w:rPr>
          <w:rFonts w:asciiTheme="majorBidi" w:hAnsiTheme="majorBidi" w:cstheme="majorBidi"/>
        </w:rPr>
        <w:t>, Racial Science, and the Yellow Peril” (2001), and Susan Tyler Hitchcock’s “The Monster Lives On” (2007).</w:t>
      </w:r>
    </w:p>
  </w:footnote>
  <w:footnote w:id="30">
    <w:p w14:paraId="053ECDD1" w14:textId="09CD9901" w:rsidR="00F80C69" w:rsidRPr="00F80C69" w:rsidRDefault="00F80C69" w:rsidP="00F80C69">
      <w:pPr>
        <w:pStyle w:val="FootnoteText"/>
        <w:rPr>
          <w:rFonts w:asciiTheme="majorBidi" w:hAnsiTheme="majorBidi" w:cstheme="majorBidi"/>
        </w:rPr>
      </w:pPr>
      <w:r w:rsidRPr="00F80C69">
        <w:rPr>
          <w:rStyle w:val="FootnoteReference"/>
          <w:rFonts w:asciiTheme="majorBidi" w:hAnsiTheme="majorBidi" w:cstheme="majorBidi"/>
        </w:rPr>
        <w:footnoteRef/>
      </w:r>
      <w:r w:rsidRPr="00F80C69">
        <w:rPr>
          <w:rFonts w:asciiTheme="majorBidi" w:hAnsiTheme="majorBidi" w:cstheme="majorBidi"/>
        </w:rPr>
        <w:t xml:space="preserve"> Also known as object autobiographies, object tales, object narratives, and novels of circulation, it-narratives enjoyed a surge in popularity in the mid</w:t>
      </w:r>
      <w:r w:rsidR="009B11C0">
        <w:rPr>
          <w:rFonts w:asciiTheme="majorBidi" w:hAnsiTheme="majorBidi" w:cstheme="majorBidi"/>
        </w:rPr>
        <w:t>-</w:t>
      </w:r>
      <w:r w:rsidRPr="00F80C69">
        <w:rPr>
          <w:rFonts w:asciiTheme="majorBidi" w:hAnsiTheme="majorBidi" w:cstheme="majorBidi"/>
        </w:rPr>
        <w:t xml:space="preserve"> to late</w:t>
      </w:r>
      <w:r w:rsidR="00DD4FB8">
        <w:rPr>
          <w:rFonts w:asciiTheme="majorBidi" w:hAnsiTheme="majorBidi" w:cstheme="majorBidi"/>
        </w:rPr>
        <w:t xml:space="preserve"> </w:t>
      </w:r>
      <w:r w:rsidRPr="00F80C69">
        <w:rPr>
          <w:rFonts w:asciiTheme="majorBidi" w:hAnsiTheme="majorBidi" w:cstheme="majorBidi"/>
        </w:rPr>
        <w:t xml:space="preserve">eighteenth century. Some of the most famous of these titles include Joseph Addison’s “Adventures of a Shilling” (1710), Charles Johnstone’s </w:t>
      </w:r>
      <w:r w:rsidRPr="00F80C69">
        <w:rPr>
          <w:rFonts w:asciiTheme="majorBidi" w:hAnsiTheme="majorBidi" w:cstheme="majorBidi"/>
          <w:i/>
          <w:iCs/>
        </w:rPr>
        <w:t>Chrysal; or, The Adventures of a Golden Guinea</w:t>
      </w:r>
      <w:r w:rsidRPr="00F80C69">
        <w:rPr>
          <w:rFonts w:asciiTheme="majorBidi" w:hAnsiTheme="majorBidi" w:cstheme="majorBidi"/>
        </w:rPr>
        <w:t xml:space="preserve"> (1760)</w:t>
      </w:r>
      <w:r w:rsidR="009B11C0">
        <w:rPr>
          <w:rFonts w:asciiTheme="majorBidi" w:hAnsiTheme="majorBidi" w:cstheme="majorBidi"/>
        </w:rPr>
        <w:t xml:space="preserve">, and </w:t>
      </w:r>
      <w:r w:rsidR="009B11C0" w:rsidRPr="00F80C69">
        <w:rPr>
          <w:rFonts w:asciiTheme="majorBidi" w:hAnsiTheme="majorBidi" w:cstheme="majorBidi"/>
        </w:rPr>
        <w:t xml:space="preserve">Tobias Smollett’s </w:t>
      </w:r>
      <w:r w:rsidR="009B11C0" w:rsidRPr="00F80C69">
        <w:rPr>
          <w:rFonts w:asciiTheme="majorBidi" w:hAnsiTheme="majorBidi" w:cstheme="majorBidi"/>
          <w:i/>
          <w:iCs/>
        </w:rPr>
        <w:t>The History and Adventures of an Atom</w:t>
      </w:r>
      <w:r w:rsidR="009B11C0" w:rsidRPr="00F80C69">
        <w:rPr>
          <w:rFonts w:asciiTheme="majorBidi" w:hAnsiTheme="majorBidi" w:cstheme="majorBidi"/>
        </w:rPr>
        <w:t xml:space="preserve"> (1769)</w:t>
      </w:r>
      <w:r w:rsidR="009B11C0">
        <w:rPr>
          <w:rFonts w:asciiTheme="majorBidi" w:hAnsiTheme="majorBidi" w:cstheme="majorBidi"/>
        </w:rPr>
        <w:t>.</w:t>
      </w:r>
      <w:r w:rsidRPr="00F80C69">
        <w:rPr>
          <w:rFonts w:asciiTheme="majorBidi" w:hAnsiTheme="majorBidi" w:cstheme="majorBidi"/>
        </w:rPr>
        <w:t xml:space="preserve"> The self-conscious narration and pseudo-human agency assumed by these homodiegetic objects and animals (e.g., shoes, coats, coins, cork-screws, dolls, desks, dogs, and wrens) often reflect social meditations on the shifting conditions of mechanical and mass (re)production, belonging, and, of course, storytelling. For more on it-narratives, see Christopher Flint’s “Speaking Objects: The Circulation of Stories in Eighteenth-Century Prose Fiction” (1998), Christina Lupton’s “The Knowing Book: Authors, It-Narratives, and Objectification in the Eighteenth Century” (2006), and </w:t>
      </w:r>
      <w:r w:rsidRPr="00F80C69">
        <w:rPr>
          <w:rFonts w:asciiTheme="majorBidi" w:hAnsiTheme="majorBidi" w:cstheme="majorBidi"/>
          <w:i/>
          <w:iCs/>
        </w:rPr>
        <w:t>The Secret Life of Things: Animals, Objects, and It-Narratives in Eighteenth-Century England</w:t>
      </w:r>
      <w:r w:rsidRPr="00F80C69">
        <w:rPr>
          <w:rFonts w:asciiTheme="majorBidi" w:hAnsiTheme="majorBidi" w:cstheme="majorBidi"/>
        </w:rPr>
        <w:t xml:space="preserve">, </w:t>
      </w:r>
      <w:r w:rsidR="009B11C0">
        <w:rPr>
          <w:rFonts w:asciiTheme="majorBidi" w:hAnsiTheme="majorBidi" w:cstheme="majorBidi"/>
        </w:rPr>
        <w:t>E</w:t>
      </w:r>
      <w:r w:rsidRPr="00F80C69">
        <w:rPr>
          <w:rFonts w:asciiTheme="majorBidi" w:hAnsiTheme="majorBidi" w:cstheme="majorBidi"/>
        </w:rPr>
        <w:t xml:space="preserve">d., Mark Blackwell (2007). </w:t>
      </w:r>
    </w:p>
  </w:footnote>
  <w:footnote w:id="31">
    <w:p w14:paraId="556A80A7" w14:textId="6B64071A" w:rsidR="00F80C69" w:rsidRPr="00F80C69" w:rsidRDefault="00F80C69" w:rsidP="00F80C69">
      <w:pPr>
        <w:pStyle w:val="FootnoteText"/>
        <w:rPr>
          <w:rFonts w:asciiTheme="majorBidi" w:hAnsiTheme="majorBidi" w:cstheme="majorBidi"/>
        </w:rPr>
      </w:pPr>
      <w:r w:rsidRPr="00F80C69">
        <w:rPr>
          <w:rStyle w:val="FootnoteReference"/>
          <w:rFonts w:asciiTheme="majorBidi" w:hAnsiTheme="majorBidi" w:cstheme="majorBidi"/>
        </w:rPr>
        <w:footnoteRef/>
      </w:r>
      <w:r w:rsidRPr="00F80C69">
        <w:rPr>
          <w:rFonts w:asciiTheme="majorBidi" w:hAnsiTheme="majorBidi" w:cstheme="majorBidi"/>
        </w:rPr>
        <w:t xml:space="preserve"> The science that drives </w:t>
      </w:r>
      <w:r w:rsidRPr="00F80C69">
        <w:rPr>
          <w:rFonts w:asciiTheme="majorBidi" w:hAnsiTheme="majorBidi" w:cstheme="majorBidi"/>
          <w:i/>
          <w:iCs/>
        </w:rPr>
        <w:t>Frankenstein</w:t>
      </w:r>
      <w:r w:rsidRPr="00F80C69">
        <w:rPr>
          <w:rFonts w:asciiTheme="majorBidi" w:hAnsiTheme="majorBidi" w:cstheme="majorBidi"/>
        </w:rPr>
        <w:t xml:space="preserve">’s plot also mirrors the novel’s form insofar as both comprise a blend of old and new practices. In this sense, Shelley’s novel—while birthing something entirely new—fits the Romantic mold superbly. It apprizes </w:t>
      </w:r>
      <w:r w:rsidR="00607780">
        <w:rPr>
          <w:rFonts w:asciiTheme="majorBidi" w:hAnsiTheme="majorBidi" w:cstheme="majorBidi"/>
        </w:rPr>
        <w:t xml:space="preserve">elemental ferocity and </w:t>
      </w:r>
      <w:r w:rsidRPr="00F80C69">
        <w:rPr>
          <w:rFonts w:asciiTheme="majorBidi" w:hAnsiTheme="majorBidi" w:cstheme="majorBidi"/>
        </w:rPr>
        <w:t xml:space="preserve">emotions over classical notions of harmony; it </w:t>
      </w:r>
      <w:r w:rsidR="00607780">
        <w:rPr>
          <w:rFonts w:asciiTheme="majorBidi" w:hAnsiTheme="majorBidi" w:cstheme="majorBidi"/>
        </w:rPr>
        <w:t xml:space="preserve">often </w:t>
      </w:r>
      <w:r w:rsidRPr="00F80C69">
        <w:rPr>
          <w:rFonts w:asciiTheme="majorBidi" w:hAnsiTheme="majorBidi" w:cstheme="majorBidi"/>
        </w:rPr>
        <w:t xml:space="preserve">values the irrational over the rational and encourages a blurring of lines. The novel—Shelley’s self-described “horrible progeny”—like the </w:t>
      </w:r>
      <w:proofErr w:type="gramStart"/>
      <w:r w:rsidRPr="00F80C69">
        <w:rPr>
          <w:rFonts w:asciiTheme="majorBidi" w:hAnsiTheme="majorBidi" w:cstheme="majorBidi"/>
        </w:rPr>
        <w:t>Creature</w:t>
      </w:r>
      <w:proofErr w:type="gramEnd"/>
      <w:r w:rsidR="00607780">
        <w:rPr>
          <w:rFonts w:asciiTheme="majorBidi" w:hAnsiTheme="majorBidi" w:cstheme="majorBidi"/>
        </w:rPr>
        <w:t>,</w:t>
      </w:r>
      <w:r w:rsidRPr="00F80C69">
        <w:rPr>
          <w:rFonts w:asciiTheme="majorBidi" w:hAnsiTheme="majorBidi" w:cstheme="majorBidi"/>
        </w:rPr>
        <w:t xml:space="preserve"> exists as an irrational though powerful assemblage of parts.</w:t>
      </w:r>
    </w:p>
  </w:footnote>
  <w:footnote w:id="32">
    <w:p w14:paraId="71D65A33" w14:textId="2560FCCD" w:rsidR="00F80C69" w:rsidRPr="00F80C69" w:rsidRDefault="00F80C69" w:rsidP="00F80C69">
      <w:pPr>
        <w:pStyle w:val="FootnoteText"/>
        <w:rPr>
          <w:rFonts w:asciiTheme="majorBidi" w:hAnsiTheme="majorBidi" w:cstheme="majorBidi"/>
        </w:rPr>
      </w:pPr>
      <w:r w:rsidRPr="00F80C69">
        <w:rPr>
          <w:rStyle w:val="FootnoteReference"/>
          <w:rFonts w:asciiTheme="majorBidi" w:hAnsiTheme="majorBidi" w:cstheme="majorBidi"/>
        </w:rPr>
        <w:footnoteRef/>
      </w:r>
      <w:r w:rsidRPr="00F80C69">
        <w:rPr>
          <w:rFonts w:asciiTheme="majorBidi" w:hAnsiTheme="majorBidi" w:cstheme="majorBidi"/>
        </w:rPr>
        <w:t xml:space="preserve"> </w:t>
      </w:r>
      <w:r w:rsidR="00607780">
        <w:rPr>
          <w:rFonts w:asciiTheme="majorBidi" w:hAnsiTheme="majorBidi" w:cstheme="majorBidi"/>
        </w:rPr>
        <w:t>In his</w:t>
      </w:r>
      <w:r w:rsidRPr="00F80C69">
        <w:rPr>
          <w:rFonts w:asciiTheme="majorBidi" w:hAnsiTheme="majorBidi" w:cstheme="majorBidi"/>
        </w:rPr>
        <w:t xml:space="preserve"> </w:t>
      </w:r>
      <w:r w:rsidRPr="00F80C69">
        <w:rPr>
          <w:rFonts w:asciiTheme="majorBidi" w:hAnsiTheme="majorBidi" w:cstheme="majorBidi"/>
          <w:i/>
          <w:iCs/>
        </w:rPr>
        <w:t>General Views on the Application of Galvanism to Medical Purposes</w:t>
      </w:r>
      <w:r w:rsidRPr="00F80C69">
        <w:rPr>
          <w:rFonts w:asciiTheme="majorBidi" w:hAnsiTheme="majorBidi" w:cstheme="majorBidi"/>
        </w:rPr>
        <w:t xml:space="preserve"> (1819)</w:t>
      </w:r>
      <w:r w:rsidR="00607780">
        <w:rPr>
          <w:rFonts w:asciiTheme="majorBidi" w:hAnsiTheme="majorBidi" w:cstheme="majorBidi"/>
        </w:rPr>
        <w:t>,</w:t>
      </w:r>
      <w:r w:rsidRPr="00F80C69">
        <w:rPr>
          <w:rFonts w:asciiTheme="majorBidi" w:hAnsiTheme="majorBidi" w:cstheme="majorBidi"/>
        </w:rPr>
        <w:t xml:space="preserve"> Aldini describes how, “On applying the conductors to the ear and to the rectum, such violent muscular contractions were excited, as almost to give the appearance of reanimation” (80). The conclusion from this and Aldini’s many other experiments was that “the power of galvanism . . . affords very powerful means of resuscitation in cases of sus</w:t>
      </w:r>
      <w:r w:rsidR="00A83655">
        <w:rPr>
          <w:rFonts w:asciiTheme="majorBidi" w:hAnsiTheme="majorBidi" w:cstheme="majorBidi"/>
        </w:rPr>
        <w:t>p</w:t>
      </w:r>
      <w:r w:rsidRPr="00F80C69">
        <w:rPr>
          <w:rFonts w:asciiTheme="majorBidi" w:hAnsiTheme="majorBidi" w:cstheme="majorBidi"/>
        </w:rPr>
        <w:t>ended animation” (83)</w:t>
      </w:r>
      <w:r w:rsidR="007365B1">
        <w:rPr>
          <w:rFonts w:asciiTheme="majorBidi" w:hAnsiTheme="majorBidi" w:cstheme="majorBidi"/>
        </w:rPr>
        <w:t>. T</w:t>
      </w:r>
      <w:r w:rsidRPr="00F80C69">
        <w:rPr>
          <w:rFonts w:asciiTheme="majorBidi" w:hAnsiTheme="majorBidi" w:cstheme="majorBidi"/>
        </w:rPr>
        <w:t xml:space="preserve">o drive home that point, Aldini goes on to recount how a </w:t>
      </w:r>
      <w:proofErr w:type="gramStart"/>
      <w:r w:rsidRPr="00F80C69">
        <w:rPr>
          <w:rFonts w:asciiTheme="majorBidi" w:hAnsiTheme="majorBidi" w:cstheme="majorBidi"/>
        </w:rPr>
        <w:t>38 year-old</w:t>
      </w:r>
      <w:proofErr w:type="gramEnd"/>
      <w:r w:rsidRPr="00F80C69">
        <w:rPr>
          <w:rFonts w:asciiTheme="majorBidi" w:hAnsiTheme="majorBidi" w:cstheme="majorBidi"/>
        </w:rPr>
        <w:t xml:space="preserve"> man whose vital functions had ceased as a result of asphyxiation found himself completely restored to life by this process: “Having passed a galvanic shock through the chest, he </w:t>
      </w:r>
      <w:r w:rsidRPr="00F80C69">
        <w:rPr>
          <w:rFonts w:asciiTheme="majorBidi" w:hAnsiTheme="majorBidi" w:cstheme="majorBidi"/>
          <w:i/>
          <w:iCs/>
        </w:rPr>
        <w:t>instantly to our surprise, drew his breath deep</w:t>
      </w:r>
      <w:r w:rsidRPr="00F80C69">
        <w:rPr>
          <w:rFonts w:asciiTheme="majorBidi" w:hAnsiTheme="majorBidi" w:cstheme="majorBidi"/>
        </w:rPr>
        <w:t xml:space="preserve">. The muscles of the abdomen were seen to re-act, though feebly, and the eye-lids were raised” (86). </w:t>
      </w:r>
    </w:p>
    <w:p w14:paraId="474F5BC0" w14:textId="77777777" w:rsidR="00F80C69" w:rsidRPr="00F80C69" w:rsidRDefault="00F80C69" w:rsidP="00F80C69">
      <w:pPr>
        <w:pStyle w:val="FootnoteText"/>
        <w:ind w:firstLine="720"/>
        <w:rPr>
          <w:rFonts w:asciiTheme="majorBidi" w:hAnsiTheme="majorBidi" w:cstheme="majorBidi"/>
        </w:rPr>
      </w:pPr>
      <w:r w:rsidRPr="00F80C69">
        <w:rPr>
          <w:rFonts w:asciiTheme="majorBidi" w:hAnsiTheme="majorBidi" w:cstheme="majorBidi"/>
        </w:rPr>
        <w:t xml:space="preserve">For more on Shelley’s use of this galvanism motif, see Shannon N. Conley’s “An Age of </w:t>
      </w:r>
      <w:r w:rsidRPr="00F80C69">
        <w:rPr>
          <w:rFonts w:asciiTheme="majorBidi" w:hAnsiTheme="majorBidi" w:cstheme="majorBidi"/>
          <w:i/>
          <w:iCs/>
        </w:rPr>
        <w:t>Frankenstein</w:t>
      </w:r>
      <w:r w:rsidRPr="00F80C69">
        <w:rPr>
          <w:rFonts w:asciiTheme="majorBidi" w:hAnsiTheme="majorBidi" w:cstheme="majorBidi"/>
        </w:rPr>
        <w:t>: Monstrous Motifs, Imaginative Capacities, and Assisted Reproductive Technologies” (2018).</w:t>
      </w:r>
    </w:p>
  </w:footnote>
  <w:footnote w:id="33">
    <w:p w14:paraId="4A7FAD17" w14:textId="77777777" w:rsidR="00F80C69" w:rsidRPr="00F80C69" w:rsidRDefault="00F80C69" w:rsidP="00F80C69">
      <w:pPr>
        <w:rPr>
          <w:rFonts w:asciiTheme="majorBidi" w:hAnsiTheme="majorBidi" w:cstheme="majorBidi"/>
        </w:rPr>
      </w:pPr>
      <w:r w:rsidRPr="00F80C69">
        <w:rPr>
          <w:rStyle w:val="FootnoteReference"/>
          <w:rFonts w:asciiTheme="majorBidi" w:hAnsiTheme="majorBidi" w:cstheme="majorBidi"/>
          <w:sz w:val="20"/>
          <w:szCs w:val="20"/>
        </w:rPr>
        <w:footnoteRef/>
      </w:r>
      <w:r w:rsidRPr="00F80C69">
        <w:rPr>
          <w:rFonts w:asciiTheme="majorBidi" w:hAnsiTheme="majorBidi" w:cstheme="majorBidi"/>
          <w:sz w:val="20"/>
          <w:szCs w:val="20"/>
        </w:rPr>
        <w:t xml:space="preserve"> For a brief survey of titles from the last half-century of </w:t>
      </w:r>
      <w:r w:rsidRPr="00F80C69">
        <w:rPr>
          <w:rFonts w:asciiTheme="majorBidi" w:hAnsiTheme="majorBidi" w:cstheme="majorBidi"/>
          <w:i/>
          <w:iCs/>
          <w:sz w:val="20"/>
          <w:szCs w:val="20"/>
        </w:rPr>
        <w:t>Frankenstein</w:t>
      </w:r>
      <w:r w:rsidRPr="00F80C69">
        <w:rPr>
          <w:rFonts w:asciiTheme="majorBidi" w:hAnsiTheme="majorBidi" w:cstheme="majorBidi"/>
          <w:sz w:val="20"/>
          <w:szCs w:val="20"/>
        </w:rPr>
        <w:t xml:space="preserve"> scholarship that attends to these and other scientists, see, for instance, Theodore Ziolkowski’s “Science, </w:t>
      </w:r>
      <w:r w:rsidRPr="00F80C69">
        <w:rPr>
          <w:rFonts w:asciiTheme="majorBidi" w:hAnsiTheme="majorBidi" w:cstheme="majorBidi"/>
          <w:i/>
          <w:iCs/>
          <w:sz w:val="20"/>
          <w:szCs w:val="20"/>
        </w:rPr>
        <w:t>Frankenstein</w:t>
      </w:r>
      <w:r w:rsidRPr="00F80C69">
        <w:rPr>
          <w:rFonts w:asciiTheme="majorBidi" w:hAnsiTheme="majorBidi" w:cstheme="majorBidi"/>
          <w:sz w:val="20"/>
          <w:szCs w:val="20"/>
        </w:rPr>
        <w:t xml:space="preserve">, and Myth” (1981), Alan </w:t>
      </w:r>
      <w:r w:rsidRPr="00F80C69">
        <w:rPr>
          <w:rFonts w:asciiTheme="majorBidi" w:hAnsiTheme="majorBidi" w:cstheme="majorBidi"/>
          <w:color w:val="000000"/>
          <w:spacing w:val="-5"/>
          <w:sz w:val="20"/>
          <w:szCs w:val="20"/>
          <w:shd w:val="clear" w:color="auto" w:fill="FFFFFF"/>
        </w:rPr>
        <w:t xml:space="preserve">Rauch’s “The Monstrous Body of </w:t>
      </w:r>
      <w:r w:rsidRPr="00F80C69">
        <w:rPr>
          <w:rFonts w:asciiTheme="majorBidi" w:hAnsiTheme="majorBidi" w:cstheme="majorBidi"/>
          <w:spacing w:val="-5"/>
          <w:sz w:val="20"/>
          <w:szCs w:val="20"/>
          <w:shd w:val="clear" w:color="auto" w:fill="FFFFFF"/>
        </w:rPr>
        <w:t xml:space="preserve">Knowledge in Mary Shelley’s </w:t>
      </w:r>
      <w:r w:rsidRPr="00F80C69">
        <w:rPr>
          <w:rFonts w:asciiTheme="majorBidi" w:hAnsiTheme="majorBidi" w:cstheme="majorBidi"/>
          <w:i/>
          <w:iCs/>
          <w:spacing w:val="-5"/>
          <w:sz w:val="20"/>
          <w:szCs w:val="20"/>
          <w:shd w:val="clear" w:color="auto" w:fill="FFFFFF"/>
        </w:rPr>
        <w:t>Frankenstein</w:t>
      </w:r>
      <w:r w:rsidRPr="00F80C69">
        <w:rPr>
          <w:rFonts w:asciiTheme="majorBidi" w:hAnsiTheme="majorBidi" w:cstheme="majorBidi"/>
          <w:spacing w:val="-5"/>
          <w:sz w:val="20"/>
          <w:szCs w:val="20"/>
          <w:shd w:val="clear" w:color="auto" w:fill="FFFFFF"/>
        </w:rPr>
        <w:t xml:space="preserve">” (1995), Kim </w:t>
      </w:r>
      <w:r w:rsidRPr="00F80C69">
        <w:rPr>
          <w:rFonts w:asciiTheme="majorBidi" w:hAnsiTheme="majorBidi" w:cstheme="majorBidi"/>
          <w:sz w:val="20"/>
          <w:szCs w:val="20"/>
        </w:rPr>
        <w:t xml:space="preserve">Hammond’s “Monsters of Modernity: </w:t>
      </w:r>
      <w:r w:rsidRPr="00F80C69">
        <w:rPr>
          <w:rFonts w:asciiTheme="majorBidi" w:hAnsiTheme="majorBidi" w:cstheme="majorBidi"/>
          <w:i/>
          <w:iCs/>
          <w:sz w:val="20"/>
          <w:szCs w:val="20"/>
        </w:rPr>
        <w:t>Frankenstein</w:t>
      </w:r>
      <w:r w:rsidRPr="00F80C69">
        <w:rPr>
          <w:rFonts w:asciiTheme="majorBidi" w:hAnsiTheme="majorBidi" w:cstheme="majorBidi"/>
          <w:sz w:val="20"/>
          <w:szCs w:val="20"/>
        </w:rPr>
        <w:t xml:space="preserve"> and Modern Environmentalism” (2004), Sarah Marsh’s “Romantic Medicine, the British Constitution, and </w:t>
      </w:r>
      <w:r w:rsidRPr="00F80C69">
        <w:rPr>
          <w:rFonts w:asciiTheme="majorBidi" w:hAnsiTheme="majorBidi" w:cstheme="majorBidi"/>
          <w:i/>
          <w:iCs/>
          <w:sz w:val="20"/>
          <w:szCs w:val="20"/>
        </w:rPr>
        <w:t>Frankenstein</w:t>
      </w:r>
      <w:r w:rsidRPr="00F80C69">
        <w:rPr>
          <w:rFonts w:asciiTheme="majorBidi" w:hAnsiTheme="majorBidi" w:cstheme="majorBidi"/>
          <w:sz w:val="20"/>
          <w:szCs w:val="20"/>
        </w:rPr>
        <w:t xml:space="preserve">” (2015), and Michael </w:t>
      </w:r>
      <w:r w:rsidRPr="00F80C69">
        <w:rPr>
          <w:rFonts w:asciiTheme="majorBidi" w:hAnsiTheme="majorBidi" w:cstheme="majorBidi"/>
          <w:spacing w:val="2"/>
          <w:sz w:val="20"/>
          <w:szCs w:val="20"/>
          <w:shd w:val="clear" w:color="auto" w:fill="FCFCFC"/>
        </w:rPr>
        <w:t xml:space="preserve">Nicholson’s “A Singular Experiment: </w:t>
      </w:r>
      <w:r w:rsidRPr="00F80C69">
        <w:rPr>
          <w:rFonts w:asciiTheme="majorBidi" w:hAnsiTheme="majorBidi" w:cstheme="majorBidi"/>
          <w:i/>
          <w:iCs/>
          <w:spacing w:val="2"/>
          <w:sz w:val="20"/>
          <w:szCs w:val="20"/>
          <w:shd w:val="clear" w:color="auto" w:fill="FCFCFC"/>
        </w:rPr>
        <w:t>Frankenstein</w:t>
      </w:r>
      <w:r w:rsidRPr="00F80C69">
        <w:rPr>
          <w:rFonts w:asciiTheme="majorBidi" w:hAnsiTheme="majorBidi" w:cstheme="majorBidi"/>
          <w:spacing w:val="2"/>
          <w:sz w:val="20"/>
          <w:szCs w:val="20"/>
          <w:shd w:val="clear" w:color="auto" w:fill="FCFCFC"/>
        </w:rPr>
        <w:t>’s Creature and the Nature of the Scientific Community” (2020).</w:t>
      </w:r>
    </w:p>
  </w:footnote>
  <w:footnote w:id="34">
    <w:p w14:paraId="3022D69F" w14:textId="7073FE40" w:rsidR="00F80C69" w:rsidRPr="00F80C69" w:rsidRDefault="00F80C69" w:rsidP="00F80C69">
      <w:pPr>
        <w:pStyle w:val="FootnoteText"/>
        <w:rPr>
          <w:rFonts w:asciiTheme="majorBidi" w:hAnsiTheme="majorBidi" w:cstheme="majorBidi"/>
        </w:rPr>
      </w:pPr>
      <w:r w:rsidRPr="00F80C69">
        <w:rPr>
          <w:rStyle w:val="FootnoteReference"/>
          <w:rFonts w:asciiTheme="majorBidi" w:hAnsiTheme="majorBidi" w:cstheme="majorBidi"/>
        </w:rPr>
        <w:footnoteRef/>
      </w:r>
      <w:r w:rsidRPr="00F80C69">
        <w:rPr>
          <w:rFonts w:asciiTheme="majorBidi" w:hAnsiTheme="majorBidi" w:cstheme="majorBidi"/>
        </w:rPr>
        <w:t xml:space="preserve"> See, for example, Galton’s commentary on the “abler classes” of men</w:t>
      </w:r>
      <w:r w:rsidR="002A55D1">
        <w:rPr>
          <w:rFonts w:asciiTheme="majorBidi" w:hAnsiTheme="majorBidi" w:cstheme="majorBidi"/>
        </w:rPr>
        <w:t xml:space="preserve"> (362)</w:t>
      </w:r>
      <w:r w:rsidRPr="00F80C69">
        <w:rPr>
          <w:rFonts w:asciiTheme="majorBidi" w:hAnsiTheme="majorBidi" w:cstheme="majorBidi"/>
        </w:rPr>
        <w:t xml:space="preserve">—including charts that classify the “ablest” of men “According to their Natural Gifts” or lack thereof </w:t>
      </w:r>
      <w:r w:rsidR="000C7DBF">
        <w:rPr>
          <w:rFonts w:asciiTheme="majorBidi" w:hAnsiTheme="majorBidi" w:cstheme="majorBidi"/>
        </w:rPr>
        <w:t>(34)</w:t>
      </w:r>
      <w:r w:rsidRPr="00F80C69">
        <w:rPr>
          <w:rFonts w:asciiTheme="majorBidi" w:hAnsiTheme="majorBidi" w:cstheme="majorBidi"/>
        </w:rPr>
        <w:t xml:space="preserve">—and “subordinate lives” (363) in </w:t>
      </w:r>
      <w:r w:rsidRPr="00F80C69">
        <w:rPr>
          <w:rFonts w:asciiTheme="majorBidi" w:hAnsiTheme="majorBidi" w:cstheme="majorBidi"/>
          <w:i/>
          <w:iCs/>
        </w:rPr>
        <w:t>Hereditary Genius: An Inquiry into its Laws and Consequences</w:t>
      </w:r>
      <w:r w:rsidRPr="00F80C69">
        <w:rPr>
          <w:rFonts w:asciiTheme="majorBidi" w:hAnsiTheme="majorBidi" w:cstheme="majorBidi"/>
        </w:rPr>
        <w:t xml:space="preserve"> (1869).</w:t>
      </w:r>
    </w:p>
  </w:footnote>
  <w:footnote w:id="35">
    <w:p w14:paraId="4390587E" w14:textId="77777777" w:rsidR="00F80C69" w:rsidRPr="00F80C69" w:rsidRDefault="00F80C69" w:rsidP="00F80C69">
      <w:pPr>
        <w:pStyle w:val="FootnoteText"/>
        <w:rPr>
          <w:rFonts w:asciiTheme="majorBidi" w:hAnsiTheme="majorBidi" w:cstheme="majorBidi"/>
        </w:rPr>
      </w:pPr>
      <w:r w:rsidRPr="00F80C69">
        <w:rPr>
          <w:rStyle w:val="FootnoteReference"/>
          <w:rFonts w:asciiTheme="majorBidi" w:hAnsiTheme="majorBidi" w:cstheme="majorBidi"/>
        </w:rPr>
        <w:footnoteRef/>
      </w:r>
      <w:r w:rsidRPr="00F80C69">
        <w:rPr>
          <w:rFonts w:asciiTheme="majorBidi" w:hAnsiTheme="majorBidi" w:cstheme="majorBidi"/>
        </w:rPr>
        <w:t xml:space="preserve"> John Dollimore classifies the “perverse” as a form of “internal deviation” (</w:t>
      </w:r>
      <w:r w:rsidRPr="00F80C69">
        <w:rPr>
          <w:rFonts w:asciiTheme="majorBidi" w:hAnsiTheme="majorBidi" w:cstheme="majorBidi"/>
          <w:i/>
          <w:iCs/>
        </w:rPr>
        <w:t>Sexual Dissidence</w:t>
      </w:r>
      <w:r w:rsidRPr="00F80C69">
        <w:rPr>
          <w:rFonts w:asciiTheme="majorBidi" w:hAnsiTheme="majorBidi" w:cstheme="majorBidi"/>
        </w:rPr>
        <w:t xml:space="preserve"> 124) that not only departs from, but actively contradicts the dominant in the act of deviating from it . . . from within” (125).</w:t>
      </w:r>
    </w:p>
  </w:footnote>
  <w:footnote w:id="36">
    <w:p w14:paraId="139FC599" w14:textId="77777777" w:rsidR="00F80C69" w:rsidRPr="00F80C69" w:rsidRDefault="00F80C69" w:rsidP="00F80C69">
      <w:pPr>
        <w:pStyle w:val="FootnoteText"/>
        <w:rPr>
          <w:rFonts w:asciiTheme="majorBidi" w:hAnsiTheme="majorBidi" w:cstheme="majorBidi"/>
        </w:rPr>
      </w:pPr>
      <w:r w:rsidRPr="00F80C69">
        <w:rPr>
          <w:rStyle w:val="FootnoteReference"/>
          <w:rFonts w:asciiTheme="majorBidi" w:hAnsiTheme="majorBidi" w:cstheme="majorBidi"/>
        </w:rPr>
        <w:footnoteRef/>
      </w:r>
      <w:r w:rsidRPr="00F80C69">
        <w:rPr>
          <w:rFonts w:asciiTheme="majorBidi" w:hAnsiTheme="majorBidi" w:cstheme="majorBidi"/>
        </w:rPr>
        <w:t xml:space="preserve"> In </w:t>
      </w:r>
      <w:r w:rsidRPr="00F80C69">
        <w:rPr>
          <w:rFonts w:asciiTheme="majorBidi" w:hAnsiTheme="majorBidi" w:cstheme="majorBidi"/>
          <w:i/>
          <w:iCs/>
        </w:rPr>
        <w:t>Enforcing Normalcy</w:t>
      </w:r>
      <w:r w:rsidRPr="00F80C69">
        <w:rPr>
          <w:rFonts w:asciiTheme="majorBidi" w:hAnsiTheme="majorBidi" w:cstheme="majorBidi"/>
        </w:rPr>
        <w:t xml:space="preserve"> (1995), Lennard Davis characterizes the </w:t>
      </w:r>
      <w:proofErr w:type="gramStart"/>
      <w:r w:rsidRPr="00F80C69">
        <w:rPr>
          <w:rFonts w:asciiTheme="majorBidi" w:hAnsiTheme="majorBidi" w:cstheme="majorBidi"/>
        </w:rPr>
        <w:t>Creature’s</w:t>
      </w:r>
      <w:proofErr w:type="gramEnd"/>
      <w:r w:rsidRPr="00F80C69">
        <w:rPr>
          <w:rFonts w:asciiTheme="majorBidi" w:hAnsiTheme="majorBidi" w:cstheme="majorBidi"/>
        </w:rPr>
        <w:t xml:space="preserve"> body as disabled insofar as it presents “a disruption in the visual, auditory, or perceptual field as it relates to the power of the gaze” (129). At the same time, this improved, more-than-human form echoes the later promise of techno-utopianism and the cyborg evangelists like Donna Haraway and N. Katherine Hayles. </w:t>
      </w:r>
    </w:p>
  </w:footnote>
  <w:footnote w:id="37">
    <w:p w14:paraId="736C40AA" w14:textId="77777777" w:rsidR="00F80C69" w:rsidRPr="00F80C69" w:rsidRDefault="00F80C69" w:rsidP="00F80C69">
      <w:pPr>
        <w:pStyle w:val="FootnoteText"/>
        <w:rPr>
          <w:rFonts w:asciiTheme="majorBidi" w:hAnsiTheme="majorBidi" w:cstheme="majorBidi"/>
        </w:rPr>
      </w:pPr>
      <w:r w:rsidRPr="00F80C69">
        <w:rPr>
          <w:rStyle w:val="FootnoteReference"/>
          <w:rFonts w:asciiTheme="majorBidi" w:hAnsiTheme="majorBidi" w:cstheme="majorBidi"/>
        </w:rPr>
        <w:footnoteRef/>
      </w:r>
      <w:r w:rsidRPr="00F80C69">
        <w:rPr>
          <w:rFonts w:asciiTheme="majorBidi" w:hAnsiTheme="majorBidi" w:cstheme="majorBidi"/>
        </w:rPr>
        <w:t xml:space="preserve"> Robert Walton’s earliest account of the </w:t>
      </w:r>
      <w:proofErr w:type="gramStart"/>
      <w:r w:rsidRPr="00F80C69">
        <w:rPr>
          <w:rFonts w:asciiTheme="majorBidi" w:hAnsiTheme="majorBidi" w:cstheme="majorBidi"/>
        </w:rPr>
        <w:t>Creature</w:t>
      </w:r>
      <w:proofErr w:type="gramEnd"/>
      <w:r w:rsidRPr="00F80C69">
        <w:rPr>
          <w:rFonts w:asciiTheme="majorBidi" w:hAnsiTheme="majorBidi" w:cstheme="majorBidi"/>
        </w:rPr>
        <w:t xml:space="preserve"> describes him as “a being which had the shape of a man” (13).</w:t>
      </w:r>
    </w:p>
  </w:footnote>
  <w:footnote w:id="38">
    <w:p w14:paraId="1AF9C1E8" w14:textId="53D0F5DE" w:rsidR="00F80C69" w:rsidRPr="00331ACE" w:rsidRDefault="00F80C69" w:rsidP="00F80C69">
      <w:pPr>
        <w:pStyle w:val="FootnoteText"/>
        <w:rPr>
          <w:rFonts w:asciiTheme="majorBidi" w:hAnsiTheme="majorBidi" w:cstheme="majorBidi"/>
        </w:rPr>
      </w:pPr>
      <w:r w:rsidRPr="00F80C69">
        <w:rPr>
          <w:rStyle w:val="FootnoteReference"/>
          <w:rFonts w:asciiTheme="majorBidi" w:hAnsiTheme="majorBidi" w:cstheme="majorBidi"/>
        </w:rPr>
        <w:footnoteRef/>
      </w:r>
      <w:r w:rsidRPr="00F80C69">
        <w:rPr>
          <w:rFonts w:asciiTheme="majorBidi" w:hAnsiTheme="majorBidi" w:cstheme="majorBidi"/>
        </w:rPr>
        <w:t xml:space="preserve"> A “vampire” is “A preternatural being of a malignant nature (in the original and usual form of the belief, a reanimated corpse), supposed to seek nourishment, or do harm, by sucking the blood of sleeping persons”; also, a “malignant” individual who “preys ruthlessly upon others”</w:t>
      </w:r>
      <w:r w:rsidR="00331ACE">
        <w:rPr>
          <w:rFonts w:asciiTheme="majorBidi" w:hAnsiTheme="majorBidi" w:cstheme="majorBidi"/>
        </w:rPr>
        <w:t xml:space="preserve"> (</w:t>
      </w:r>
      <w:r w:rsidR="00331ACE">
        <w:rPr>
          <w:rFonts w:asciiTheme="majorBidi" w:hAnsiTheme="majorBidi" w:cstheme="majorBidi"/>
          <w:i/>
          <w:iCs/>
        </w:rPr>
        <w:t>OED</w:t>
      </w:r>
      <w:r w:rsidR="00331ACE">
        <w:rPr>
          <w:rFonts w:asciiTheme="majorBidi" w:hAnsiTheme="majorBidi" w:cstheme="majorBidi"/>
        </w:rPr>
        <w:t>).</w:t>
      </w:r>
    </w:p>
  </w:footnote>
  <w:footnote w:id="39">
    <w:p w14:paraId="7A909667" w14:textId="77777777" w:rsidR="00F80C69" w:rsidRPr="00F80C69" w:rsidRDefault="00F80C69" w:rsidP="00F80C69">
      <w:pPr>
        <w:rPr>
          <w:rFonts w:asciiTheme="majorBidi" w:hAnsiTheme="majorBidi" w:cstheme="majorBidi"/>
        </w:rPr>
      </w:pPr>
      <w:r w:rsidRPr="00F80C69">
        <w:rPr>
          <w:rStyle w:val="FootnoteReference"/>
          <w:rFonts w:asciiTheme="majorBidi" w:hAnsiTheme="majorBidi" w:cstheme="majorBidi"/>
          <w:sz w:val="20"/>
          <w:szCs w:val="20"/>
        </w:rPr>
        <w:footnoteRef/>
      </w:r>
      <w:r w:rsidRPr="00F80C69">
        <w:rPr>
          <w:rFonts w:asciiTheme="majorBidi" w:hAnsiTheme="majorBidi" w:cstheme="majorBidi"/>
          <w:sz w:val="20"/>
          <w:szCs w:val="20"/>
        </w:rPr>
        <w:t xml:space="preserve"> Frankenstein voices this perspective when he returns to Geneva after the murder of his brother William and, after reflecting with guilt and horror on the nature of the act and the </w:t>
      </w:r>
      <w:proofErr w:type="gramStart"/>
      <w:r w:rsidRPr="00F80C69">
        <w:rPr>
          <w:rFonts w:asciiTheme="majorBidi" w:hAnsiTheme="majorBidi" w:cstheme="majorBidi"/>
          <w:sz w:val="20"/>
          <w:szCs w:val="20"/>
        </w:rPr>
        <w:t>Creature’s</w:t>
      </w:r>
      <w:proofErr w:type="gramEnd"/>
      <w:r w:rsidRPr="00F80C69">
        <w:rPr>
          <w:rFonts w:asciiTheme="majorBidi" w:hAnsiTheme="majorBidi" w:cstheme="majorBidi"/>
          <w:sz w:val="20"/>
          <w:szCs w:val="20"/>
        </w:rPr>
        <w:t xml:space="preserve"> “gigantic stature, and the deformity of its aspect,” concludes, “Nothing in human shape could have destroyed that fair child. </w:t>
      </w:r>
      <w:r w:rsidRPr="00F80C69">
        <w:rPr>
          <w:rFonts w:asciiTheme="majorBidi" w:hAnsiTheme="majorBidi" w:cstheme="majorBidi"/>
          <w:i/>
          <w:sz w:val="20"/>
          <w:szCs w:val="20"/>
        </w:rPr>
        <w:t>He</w:t>
      </w:r>
      <w:r w:rsidRPr="00F80C69">
        <w:rPr>
          <w:rFonts w:asciiTheme="majorBidi" w:hAnsiTheme="majorBidi" w:cstheme="majorBidi"/>
          <w:sz w:val="20"/>
          <w:szCs w:val="20"/>
        </w:rPr>
        <w:t xml:space="preserve"> was the murderer! . . . The mere presence of the idea was an irresistible proof of the fact” (60).</w:t>
      </w:r>
    </w:p>
  </w:footnote>
  <w:footnote w:id="40">
    <w:p w14:paraId="17E6E54E" w14:textId="77777777" w:rsidR="00F80C69" w:rsidRPr="00F80C69" w:rsidRDefault="00F80C69" w:rsidP="00F80C69">
      <w:pPr>
        <w:rPr>
          <w:rFonts w:asciiTheme="majorBidi" w:hAnsiTheme="majorBidi" w:cstheme="majorBidi"/>
          <w:sz w:val="20"/>
          <w:szCs w:val="20"/>
        </w:rPr>
      </w:pPr>
      <w:r w:rsidRPr="00F80C69">
        <w:rPr>
          <w:rStyle w:val="FootnoteReference"/>
          <w:rFonts w:asciiTheme="majorBidi" w:hAnsiTheme="majorBidi" w:cstheme="majorBidi"/>
          <w:sz w:val="20"/>
          <w:szCs w:val="20"/>
        </w:rPr>
        <w:footnoteRef/>
      </w:r>
      <w:r w:rsidRPr="00F80C69">
        <w:rPr>
          <w:rFonts w:asciiTheme="majorBidi" w:hAnsiTheme="majorBidi" w:cstheme="majorBidi"/>
          <w:sz w:val="20"/>
          <w:szCs w:val="20"/>
        </w:rPr>
        <w:t xml:space="preserve"> The </w:t>
      </w:r>
      <w:proofErr w:type="gramStart"/>
      <w:r w:rsidRPr="00F80C69">
        <w:rPr>
          <w:rFonts w:asciiTheme="majorBidi" w:hAnsiTheme="majorBidi" w:cstheme="majorBidi"/>
          <w:sz w:val="20"/>
          <w:szCs w:val="20"/>
        </w:rPr>
        <w:t>Creature</w:t>
      </w:r>
      <w:proofErr w:type="gramEnd"/>
      <w:r w:rsidRPr="00F80C69">
        <w:rPr>
          <w:rFonts w:asciiTheme="majorBidi" w:hAnsiTheme="majorBidi" w:cstheme="majorBidi"/>
          <w:sz w:val="20"/>
          <w:szCs w:val="20"/>
        </w:rPr>
        <w:t xml:space="preserve"> later expands on the shaping influence of this damning, socially ingrained prejudgment when he declares to De Lacey, “my life has been hitherto harmless, and, in some degree, beneficial; but a fatal prejudice clouds their eyes, and where they ought to see a feeling and kind friend, they behold only a detestable monster” (93).</w:t>
      </w:r>
    </w:p>
    <w:p w14:paraId="0FF7ACCB" w14:textId="77777777" w:rsidR="00F80C69" w:rsidRPr="00F80C69" w:rsidRDefault="00F80C69" w:rsidP="00F80C69">
      <w:pPr>
        <w:pStyle w:val="FootnoteText"/>
        <w:rPr>
          <w:rFonts w:asciiTheme="majorBidi" w:hAnsiTheme="majorBidi" w:cstheme="majorBidi"/>
        </w:rPr>
      </w:pPr>
    </w:p>
  </w:footnote>
  <w:footnote w:id="41">
    <w:p w14:paraId="2BAC97DA" w14:textId="77777777" w:rsidR="00F80C69" w:rsidRPr="00F80C69" w:rsidRDefault="00F80C69" w:rsidP="00F80C69">
      <w:pPr>
        <w:rPr>
          <w:rFonts w:asciiTheme="majorBidi" w:hAnsiTheme="majorBidi" w:cstheme="majorBidi"/>
          <w:sz w:val="20"/>
          <w:szCs w:val="20"/>
        </w:rPr>
      </w:pPr>
      <w:r w:rsidRPr="00F80C69">
        <w:rPr>
          <w:rStyle w:val="FootnoteReference"/>
          <w:rFonts w:asciiTheme="majorBidi" w:hAnsiTheme="majorBidi" w:cstheme="majorBidi"/>
          <w:sz w:val="20"/>
          <w:szCs w:val="20"/>
        </w:rPr>
        <w:footnoteRef/>
      </w:r>
      <w:r w:rsidRPr="00F80C69">
        <w:rPr>
          <w:rFonts w:asciiTheme="majorBidi" w:hAnsiTheme="majorBidi" w:cstheme="majorBidi"/>
          <w:sz w:val="20"/>
          <w:szCs w:val="20"/>
        </w:rPr>
        <w:t xml:space="preserve"> De Lacey explicitly confirms the </w:t>
      </w:r>
      <w:proofErr w:type="gramStart"/>
      <w:r w:rsidRPr="00F80C69">
        <w:rPr>
          <w:rFonts w:asciiTheme="majorBidi" w:hAnsiTheme="majorBidi" w:cstheme="majorBidi"/>
          <w:sz w:val="20"/>
          <w:szCs w:val="20"/>
        </w:rPr>
        <w:t>Creature’s</w:t>
      </w:r>
      <w:proofErr w:type="gramEnd"/>
      <w:r w:rsidRPr="00F80C69">
        <w:rPr>
          <w:rFonts w:asciiTheme="majorBidi" w:hAnsiTheme="majorBidi" w:cstheme="majorBidi"/>
          <w:sz w:val="20"/>
          <w:szCs w:val="20"/>
        </w:rPr>
        <w:t xml:space="preserve"> perception of their shared exile from society: “I and my family have been condemned, although innocent: judge, therefore if I do not feel for your misfortunes” (94).</w:t>
      </w:r>
    </w:p>
  </w:footnote>
  <w:footnote w:id="42">
    <w:p w14:paraId="174A5134" w14:textId="6CC740C2" w:rsidR="00F80C69" w:rsidRPr="00F80C69" w:rsidRDefault="00F80C69" w:rsidP="00F80C69">
      <w:pPr>
        <w:pStyle w:val="FootnoteText"/>
        <w:rPr>
          <w:rFonts w:asciiTheme="majorBidi" w:hAnsiTheme="majorBidi" w:cstheme="majorBidi"/>
        </w:rPr>
      </w:pPr>
      <w:r w:rsidRPr="00F80C69">
        <w:rPr>
          <w:rStyle w:val="FootnoteReference"/>
          <w:rFonts w:asciiTheme="majorBidi" w:hAnsiTheme="majorBidi" w:cstheme="majorBidi"/>
        </w:rPr>
        <w:footnoteRef/>
      </w:r>
      <w:r w:rsidRPr="00F80C69">
        <w:rPr>
          <w:rFonts w:asciiTheme="majorBidi" w:hAnsiTheme="majorBidi" w:cstheme="majorBidi"/>
        </w:rPr>
        <w:t xml:space="preserve"> See </w:t>
      </w:r>
      <w:r w:rsidR="009E4EF4">
        <w:rPr>
          <w:rFonts w:asciiTheme="majorBidi" w:hAnsiTheme="majorBidi" w:cstheme="majorBidi"/>
        </w:rPr>
        <w:t xml:space="preserve">Talia </w:t>
      </w:r>
      <w:r w:rsidRPr="00F80C69">
        <w:rPr>
          <w:rFonts w:asciiTheme="majorBidi" w:hAnsiTheme="majorBidi" w:cstheme="majorBidi"/>
        </w:rPr>
        <w:t xml:space="preserve">Schaffer’s </w:t>
      </w:r>
      <w:r w:rsidRPr="00F80C69">
        <w:rPr>
          <w:rFonts w:asciiTheme="majorBidi" w:hAnsiTheme="majorBidi" w:cstheme="majorBidi"/>
          <w:i/>
          <w:iCs/>
        </w:rPr>
        <w:t>Communities of Care: The Social Ethics of Victorian Fiction</w:t>
      </w:r>
      <w:r w:rsidRPr="00F80C69">
        <w:rPr>
          <w:rFonts w:asciiTheme="majorBidi" w:hAnsiTheme="majorBidi" w:cstheme="majorBidi"/>
        </w:rPr>
        <w:t xml:space="preserve"> (2021), which examines care communities as a fluid process of relationship construction that coalesces around (or develops out of) instances of illness and disability in the Victorian novel. </w:t>
      </w:r>
    </w:p>
  </w:footnote>
  <w:footnote w:id="43">
    <w:p w14:paraId="1919E48D" w14:textId="05DAEAC7" w:rsidR="00F80C69" w:rsidRPr="00F80C69" w:rsidRDefault="00F80C69" w:rsidP="00F80C69">
      <w:pPr>
        <w:pStyle w:val="FootnoteText"/>
        <w:rPr>
          <w:rFonts w:asciiTheme="majorBidi" w:hAnsiTheme="majorBidi" w:cstheme="majorBidi"/>
        </w:rPr>
      </w:pPr>
      <w:r w:rsidRPr="00F80C69">
        <w:rPr>
          <w:rStyle w:val="FootnoteReference"/>
          <w:rFonts w:asciiTheme="majorBidi" w:hAnsiTheme="majorBidi" w:cstheme="majorBidi"/>
        </w:rPr>
        <w:footnoteRef/>
      </w:r>
      <w:r w:rsidRPr="00F80C69">
        <w:rPr>
          <w:rFonts w:asciiTheme="majorBidi" w:hAnsiTheme="majorBidi" w:cstheme="majorBidi"/>
        </w:rPr>
        <w:t xml:space="preserve"> I also briefly examine the fluidity of care in interspecies </w:t>
      </w:r>
      <w:r w:rsidR="00FB3333">
        <w:rPr>
          <w:rFonts w:asciiTheme="majorBidi" w:hAnsiTheme="majorBidi" w:cstheme="majorBidi"/>
        </w:rPr>
        <w:t>relationships</w:t>
      </w:r>
      <w:r w:rsidRPr="00F80C69">
        <w:rPr>
          <w:rFonts w:asciiTheme="majorBidi" w:hAnsiTheme="majorBidi" w:cstheme="majorBidi"/>
        </w:rPr>
        <w:t xml:space="preserve"> in my reading of Charles Dickens’s </w:t>
      </w:r>
      <w:r w:rsidRPr="00F80C69">
        <w:rPr>
          <w:rFonts w:asciiTheme="majorBidi" w:hAnsiTheme="majorBidi" w:cstheme="majorBidi"/>
          <w:i/>
          <w:iCs/>
        </w:rPr>
        <w:t>Barnaby Rudge</w:t>
      </w:r>
      <w:r w:rsidRPr="00F80C69">
        <w:rPr>
          <w:rFonts w:asciiTheme="majorBidi" w:hAnsiTheme="majorBidi" w:cstheme="majorBidi"/>
        </w:rPr>
        <w:t xml:space="preserve"> (1840-41) in Chapter II. </w:t>
      </w:r>
    </w:p>
  </w:footnote>
  <w:footnote w:id="44">
    <w:p w14:paraId="1161B298" w14:textId="6D35FDD3" w:rsidR="00F80C69" w:rsidRPr="00F80C69" w:rsidRDefault="00F80C69" w:rsidP="00F80C69">
      <w:pPr>
        <w:rPr>
          <w:rFonts w:asciiTheme="majorBidi" w:hAnsiTheme="majorBidi" w:cstheme="majorBidi"/>
          <w:iCs/>
          <w:sz w:val="20"/>
          <w:szCs w:val="20"/>
        </w:rPr>
      </w:pPr>
      <w:r w:rsidRPr="007816B9">
        <w:rPr>
          <w:rStyle w:val="FootnoteReference"/>
          <w:rFonts w:asciiTheme="majorBidi" w:hAnsiTheme="majorBidi" w:cstheme="majorBidi"/>
          <w:sz w:val="20"/>
          <w:szCs w:val="20"/>
        </w:rPr>
        <w:footnoteRef/>
      </w:r>
      <w:r w:rsidRPr="007816B9">
        <w:rPr>
          <w:rFonts w:asciiTheme="majorBidi" w:hAnsiTheme="majorBidi" w:cstheme="majorBidi"/>
          <w:sz w:val="20"/>
          <w:szCs w:val="20"/>
        </w:rPr>
        <w:t xml:space="preserve"> Abortion: “a person or thing not fully or properly formed</w:t>
      </w:r>
      <w:r w:rsidR="007816B9" w:rsidRPr="007816B9">
        <w:rPr>
          <w:rFonts w:asciiTheme="majorBidi" w:hAnsiTheme="majorBidi" w:cstheme="majorBidi"/>
          <w:sz w:val="20"/>
          <w:szCs w:val="20"/>
        </w:rPr>
        <w:t>;</w:t>
      </w:r>
      <w:r w:rsidRPr="007816B9">
        <w:rPr>
          <w:rFonts w:asciiTheme="majorBidi" w:hAnsiTheme="majorBidi" w:cstheme="majorBidi"/>
          <w:sz w:val="20"/>
          <w:szCs w:val="20"/>
        </w:rPr>
        <w:t xml:space="preserve"> an ill-conceived or badly executed action or undertaking; a monstrosity” (</w:t>
      </w:r>
      <w:r w:rsidRPr="007816B9">
        <w:rPr>
          <w:rFonts w:asciiTheme="majorBidi" w:hAnsiTheme="majorBidi" w:cstheme="majorBidi"/>
          <w:i/>
          <w:sz w:val="20"/>
          <w:szCs w:val="20"/>
        </w:rPr>
        <w:t>OED</w:t>
      </w:r>
      <w:r w:rsidRPr="007816B9">
        <w:rPr>
          <w:rFonts w:asciiTheme="majorBidi" w:hAnsiTheme="majorBidi" w:cstheme="majorBidi"/>
          <w:iCs/>
          <w:sz w:val="20"/>
          <w:szCs w:val="20"/>
        </w:rPr>
        <w:t>).</w:t>
      </w:r>
    </w:p>
  </w:footnote>
  <w:footnote w:id="45">
    <w:p w14:paraId="6C0D1BA0" w14:textId="77777777" w:rsidR="00F80C69" w:rsidRPr="00CF0272" w:rsidRDefault="00F80C69" w:rsidP="00F80C69">
      <w:pPr>
        <w:pStyle w:val="Heading3"/>
        <w:shd w:val="clear" w:color="auto" w:fill="FFFFFF"/>
        <w:spacing w:before="0" w:after="0"/>
        <w:rPr>
          <w:rFonts w:asciiTheme="majorBidi" w:hAnsiTheme="majorBidi" w:cstheme="majorBidi"/>
          <w:b w:val="0"/>
          <w:bCs w:val="0"/>
          <w:i w:val="0"/>
          <w:iCs/>
          <w:color w:val="333333"/>
          <w:sz w:val="20"/>
          <w:szCs w:val="20"/>
        </w:rPr>
      </w:pPr>
      <w:r w:rsidRPr="00CF0272">
        <w:rPr>
          <w:rStyle w:val="FootnoteReference"/>
          <w:rFonts w:asciiTheme="majorBidi" w:hAnsiTheme="majorBidi" w:cstheme="majorBidi"/>
          <w:b w:val="0"/>
          <w:bCs w:val="0"/>
          <w:i w:val="0"/>
          <w:iCs/>
          <w:sz w:val="20"/>
          <w:szCs w:val="20"/>
        </w:rPr>
        <w:footnoteRef/>
      </w:r>
      <w:r w:rsidRPr="00CF0272">
        <w:rPr>
          <w:rFonts w:asciiTheme="majorBidi" w:hAnsiTheme="majorBidi" w:cstheme="majorBidi"/>
          <w:b w:val="0"/>
          <w:bCs w:val="0"/>
          <w:i w:val="0"/>
          <w:iCs/>
          <w:sz w:val="20"/>
          <w:szCs w:val="20"/>
        </w:rPr>
        <w:t xml:space="preserve"> Notably, “sympathy” here is suitably pliable, meaning both, in social terms, “</w:t>
      </w:r>
      <w:r w:rsidRPr="00CF0272">
        <w:rPr>
          <w:rFonts w:asciiTheme="majorBidi" w:hAnsiTheme="majorBidi" w:cstheme="majorBidi"/>
          <w:b w:val="0"/>
          <w:bCs w:val="0"/>
          <w:i w:val="0"/>
          <w:iCs/>
          <w:color w:val="333333"/>
          <w:sz w:val="20"/>
          <w:szCs w:val="20"/>
        </w:rPr>
        <w:t>A (real or supposed) affinity between certain things, by virtue of which they are similarly or correspondingly affected by the same influence” and, in physiology and pathology, “A relation between two bodily organs or parts (or between two persons) such that disorder, or any condition, of the one induces a corresponding condition in the other” (</w:t>
      </w:r>
      <w:r w:rsidRPr="00CF0272">
        <w:rPr>
          <w:rFonts w:asciiTheme="majorBidi" w:hAnsiTheme="majorBidi" w:cstheme="majorBidi"/>
          <w:b w:val="0"/>
          <w:bCs w:val="0"/>
          <w:color w:val="333333"/>
          <w:sz w:val="20"/>
          <w:szCs w:val="20"/>
        </w:rPr>
        <w:t>OED</w:t>
      </w:r>
      <w:r w:rsidRPr="00CF0272">
        <w:rPr>
          <w:rFonts w:asciiTheme="majorBidi" w:hAnsiTheme="majorBidi" w:cstheme="majorBidi"/>
          <w:b w:val="0"/>
          <w:bCs w:val="0"/>
          <w:i w:val="0"/>
          <w:iCs/>
          <w:color w:val="333333"/>
          <w:sz w:val="20"/>
          <w:szCs w:val="20"/>
        </w:rPr>
        <w:t>).</w:t>
      </w:r>
    </w:p>
  </w:footnote>
  <w:footnote w:id="46">
    <w:p w14:paraId="4DE9C1FC" w14:textId="0430A914" w:rsidR="00F80C69" w:rsidRPr="00F80C69" w:rsidRDefault="00F80C69" w:rsidP="00F80C69">
      <w:pPr>
        <w:pStyle w:val="FootnoteText"/>
        <w:rPr>
          <w:rFonts w:asciiTheme="majorBidi" w:hAnsiTheme="majorBidi" w:cstheme="majorBidi"/>
        </w:rPr>
      </w:pPr>
      <w:r w:rsidRPr="00F80C69">
        <w:rPr>
          <w:rStyle w:val="FootnoteReference"/>
          <w:rFonts w:asciiTheme="majorBidi" w:hAnsiTheme="majorBidi" w:cstheme="majorBidi"/>
        </w:rPr>
        <w:footnoteRef/>
      </w:r>
      <w:r w:rsidRPr="00F80C69">
        <w:rPr>
          <w:rFonts w:asciiTheme="majorBidi" w:hAnsiTheme="majorBidi" w:cstheme="majorBidi"/>
        </w:rPr>
        <w:t xml:space="preserve"> Strikingly, in her half-finished state, the female creature elicits more sympathy, more of a recognition of humanity, from Frankenstein than the </w:t>
      </w:r>
      <w:proofErr w:type="gramStart"/>
      <w:r w:rsidRPr="00F80C69">
        <w:rPr>
          <w:rFonts w:asciiTheme="majorBidi" w:hAnsiTheme="majorBidi" w:cstheme="majorBidi"/>
        </w:rPr>
        <w:t>Creature</w:t>
      </w:r>
      <w:proofErr w:type="gramEnd"/>
      <w:r w:rsidRPr="00F80C69">
        <w:rPr>
          <w:rFonts w:asciiTheme="majorBidi" w:hAnsiTheme="majorBidi" w:cstheme="majorBidi"/>
        </w:rPr>
        <w:t xml:space="preserve"> does as a walking, talking, feeling being. Surveying the fleshly destruction on the laboratory floor, </w:t>
      </w:r>
      <w:r w:rsidR="0012746C">
        <w:rPr>
          <w:rFonts w:asciiTheme="majorBidi" w:hAnsiTheme="majorBidi" w:cstheme="majorBidi"/>
        </w:rPr>
        <w:t>Frankenstein</w:t>
      </w:r>
      <w:r w:rsidRPr="00F80C69">
        <w:rPr>
          <w:rFonts w:asciiTheme="majorBidi" w:hAnsiTheme="majorBidi" w:cstheme="majorBidi"/>
        </w:rPr>
        <w:t xml:space="preserve"> muses, “I almost felt as if I had mangled the living flesh of a human being” (122). In this instant, the </w:t>
      </w:r>
      <w:r w:rsidR="0012746C" w:rsidRPr="00F80C69">
        <w:rPr>
          <w:rFonts w:asciiTheme="majorBidi" w:hAnsiTheme="majorBidi" w:cstheme="majorBidi"/>
        </w:rPr>
        <w:t>in</w:t>
      </w:r>
      <w:r w:rsidR="0012746C">
        <w:rPr>
          <w:rFonts w:asciiTheme="majorBidi" w:hAnsiTheme="majorBidi" w:cstheme="majorBidi"/>
        </w:rPr>
        <w:t>choate</w:t>
      </w:r>
      <w:r w:rsidRPr="00F80C69">
        <w:rPr>
          <w:rFonts w:asciiTheme="majorBidi" w:hAnsiTheme="majorBidi" w:cstheme="majorBidi"/>
        </w:rPr>
        <w:t xml:space="preserve">, aborted form enjoys a level of sympathy from Frankenstein never granted to the humanoid </w:t>
      </w:r>
      <w:r w:rsidR="0012746C">
        <w:rPr>
          <w:rFonts w:asciiTheme="majorBidi" w:hAnsiTheme="majorBidi" w:cstheme="majorBidi"/>
        </w:rPr>
        <w:t>Creature</w:t>
      </w:r>
      <w:r w:rsidRPr="00F80C69">
        <w:rPr>
          <w:rFonts w:asciiTheme="majorBidi" w:hAnsiTheme="majorBidi" w:cstheme="majorBidi"/>
        </w:rPr>
        <w:t xml:space="preserve"> that has gained life and agency at his hands. Frankenstein freely projects feeling onto the inanimate entity (one with no real past, present, or future) without having to grapple with its potential for volition, feelings, and autonomous physicality. </w:t>
      </w:r>
    </w:p>
  </w:footnote>
  <w:footnote w:id="47">
    <w:p w14:paraId="1BC3B9F0" w14:textId="77777777" w:rsidR="00F80C69" w:rsidRPr="00F80C69" w:rsidRDefault="00F80C69" w:rsidP="00F80C69">
      <w:pPr>
        <w:pStyle w:val="FootnoteText"/>
        <w:rPr>
          <w:rFonts w:asciiTheme="majorBidi" w:hAnsiTheme="majorBidi" w:cstheme="majorBidi"/>
        </w:rPr>
      </w:pPr>
      <w:r w:rsidRPr="00F80C69">
        <w:rPr>
          <w:rStyle w:val="FootnoteReference"/>
          <w:rFonts w:asciiTheme="majorBidi" w:hAnsiTheme="majorBidi" w:cstheme="majorBidi"/>
        </w:rPr>
        <w:footnoteRef/>
      </w:r>
      <w:r w:rsidRPr="00F80C69">
        <w:rPr>
          <w:rFonts w:asciiTheme="majorBidi" w:hAnsiTheme="majorBidi" w:cstheme="majorBidi"/>
        </w:rPr>
        <w:t xml:space="preserve"> Though I do not pursue this strand of inquiry in this chapter, other disability studies criticisms of </w:t>
      </w:r>
      <w:r w:rsidRPr="00F80C69">
        <w:rPr>
          <w:rFonts w:asciiTheme="majorBidi" w:hAnsiTheme="majorBidi" w:cstheme="majorBidi"/>
          <w:i/>
        </w:rPr>
        <w:t>Frankenstein</w:t>
      </w:r>
      <w:r w:rsidRPr="00F80C69">
        <w:rPr>
          <w:rFonts w:asciiTheme="majorBidi" w:hAnsiTheme="majorBidi" w:cstheme="majorBidi"/>
        </w:rPr>
        <w:t xml:space="preserve"> might include an analysis of Frankenstein’s decline into madness and insanity. The fluidity of the boundaries between human and not-human, I believe, juxtaposes the fluidity between ability and disability, normativity and deformity, sanity and insanity in the novel.</w:t>
      </w:r>
    </w:p>
  </w:footnote>
  <w:footnote w:id="48">
    <w:p w14:paraId="3EC0FA6A" w14:textId="77777777" w:rsidR="00F80C69" w:rsidRPr="00F80C69" w:rsidRDefault="00F80C69" w:rsidP="00F80C69">
      <w:pPr>
        <w:pStyle w:val="FootnoteText"/>
        <w:rPr>
          <w:rFonts w:asciiTheme="majorBidi" w:hAnsiTheme="majorBidi" w:cstheme="majorBidi"/>
        </w:rPr>
      </w:pPr>
      <w:r w:rsidRPr="00F80C69">
        <w:rPr>
          <w:rStyle w:val="FootnoteReference"/>
          <w:rFonts w:asciiTheme="majorBidi" w:hAnsiTheme="majorBidi" w:cstheme="majorBidi"/>
        </w:rPr>
        <w:footnoteRef/>
      </w:r>
      <w:r w:rsidRPr="00F80C69">
        <w:rPr>
          <w:rFonts w:asciiTheme="majorBidi" w:hAnsiTheme="majorBidi" w:cstheme="majorBidi"/>
        </w:rPr>
        <w:t xml:space="preserve"> Michael Nicholson’s “A Singular Experiment: Frankenstein’s Creature and the Nature of Scientific Community” (2020) provides a recent reading of Shelley’s novel as an attempt to promote socially responsible science. </w:t>
      </w:r>
    </w:p>
  </w:footnote>
  <w:footnote w:id="49">
    <w:p w14:paraId="0C538044" w14:textId="77777777" w:rsidR="00F80C69" w:rsidRPr="00F80C69" w:rsidRDefault="00F80C69" w:rsidP="00F80C69">
      <w:pPr>
        <w:pStyle w:val="FootnoteText"/>
        <w:rPr>
          <w:rFonts w:asciiTheme="majorBidi" w:hAnsiTheme="majorBidi" w:cstheme="majorBidi"/>
        </w:rPr>
      </w:pPr>
      <w:r w:rsidRPr="00F80C69">
        <w:rPr>
          <w:rStyle w:val="FootnoteReference"/>
          <w:rFonts w:asciiTheme="majorBidi" w:hAnsiTheme="majorBidi" w:cstheme="majorBidi"/>
        </w:rPr>
        <w:footnoteRef/>
      </w:r>
      <w:r w:rsidRPr="00F80C69">
        <w:rPr>
          <w:rFonts w:asciiTheme="majorBidi" w:hAnsiTheme="majorBidi" w:cstheme="majorBidi"/>
        </w:rPr>
        <w:t xml:space="preserve"> An extended consideration of the promise of the autobiographical form for disabled life writing can be found in Couser’s </w:t>
      </w:r>
      <w:r w:rsidRPr="00F80C69">
        <w:rPr>
          <w:rFonts w:asciiTheme="majorBidi" w:hAnsiTheme="majorBidi" w:cstheme="majorBidi"/>
          <w:i/>
          <w:iCs/>
        </w:rPr>
        <w:t>Recovering Bodies: Illness, Disability, and Life Writing</w:t>
      </w:r>
      <w:r w:rsidRPr="00F80C69">
        <w:rPr>
          <w:rFonts w:asciiTheme="majorBidi" w:hAnsiTheme="majorBidi" w:cstheme="majorBidi"/>
        </w:rPr>
        <w:t xml:space="preserve"> (1997). For more on the evolution of the autobiography in nineteenth-century fiction, see Linda Peterson’s </w:t>
      </w:r>
      <w:r w:rsidRPr="00F80C69">
        <w:rPr>
          <w:rFonts w:asciiTheme="majorBidi" w:hAnsiTheme="majorBidi" w:cstheme="majorBidi"/>
          <w:i/>
          <w:iCs/>
        </w:rPr>
        <w:t xml:space="preserve">Victorian Autobiography: The Tradition of Self-Interpretation </w:t>
      </w:r>
      <w:r w:rsidRPr="00F80C69">
        <w:rPr>
          <w:rFonts w:asciiTheme="majorBidi" w:hAnsiTheme="majorBidi" w:cstheme="majorBidi"/>
        </w:rPr>
        <w:t xml:space="preserve">(1986) and Clinton Machann’s </w:t>
      </w:r>
      <w:proofErr w:type="gramStart"/>
      <w:r w:rsidRPr="00F80C69">
        <w:rPr>
          <w:rFonts w:asciiTheme="majorBidi" w:hAnsiTheme="majorBidi" w:cstheme="majorBidi"/>
          <w:i/>
          <w:iCs/>
        </w:rPr>
        <w:t>The</w:t>
      </w:r>
      <w:proofErr w:type="gramEnd"/>
      <w:r w:rsidRPr="00F80C69">
        <w:rPr>
          <w:rFonts w:asciiTheme="majorBidi" w:hAnsiTheme="majorBidi" w:cstheme="majorBidi"/>
          <w:i/>
          <w:iCs/>
        </w:rPr>
        <w:t xml:space="preserve"> Genre of Autobiography in Victorian Literature</w:t>
      </w:r>
      <w:r w:rsidRPr="00F80C69">
        <w:rPr>
          <w:rFonts w:asciiTheme="majorBidi" w:hAnsiTheme="majorBidi" w:cstheme="majorBidi"/>
        </w:rPr>
        <w:t xml:space="preserve"> (1994).</w:t>
      </w:r>
    </w:p>
  </w:footnote>
  <w:footnote w:id="50">
    <w:p w14:paraId="7A6C5650" w14:textId="77777777" w:rsidR="00F80C69" w:rsidRPr="00F80C69" w:rsidRDefault="00F80C69" w:rsidP="00F80C69">
      <w:pPr>
        <w:pStyle w:val="FootnoteText"/>
        <w:rPr>
          <w:rFonts w:asciiTheme="majorBidi" w:hAnsiTheme="majorBidi" w:cstheme="majorBidi"/>
        </w:rPr>
      </w:pPr>
      <w:r w:rsidRPr="00F80C69">
        <w:rPr>
          <w:rStyle w:val="FootnoteReference"/>
          <w:rFonts w:asciiTheme="majorBidi" w:hAnsiTheme="majorBidi" w:cstheme="majorBidi"/>
        </w:rPr>
        <w:footnoteRef/>
      </w:r>
      <w:r w:rsidRPr="00F80C69">
        <w:rPr>
          <w:rFonts w:asciiTheme="majorBidi" w:hAnsiTheme="majorBidi" w:cstheme="majorBidi"/>
        </w:rPr>
        <w:t xml:space="preserve"> From this perspective, the entire geography of the novel proves highly unstable. The story’s point of origin in the Arctic is, really, the only location that remains fixed during the recounting of the narrators’ movements through continental Europe and the British Isles (including the far-flung Orkney Islands), and, both in terms of geological coordinates and composition, even that position remains unsettled and uncertain. </w:t>
      </w:r>
    </w:p>
    <w:p w14:paraId="2938424F" w14:textId="77777777" w:rsidR="00F80C69" w:rsidRPr="00F80C69" w:rsidRDefault="00F80C69" w:rsidP="00F80C69">
      <w:pPr>
        <w:pStyle w:val="FootnoteText"/>
        <w:rPr>
          <w:rFonts w:asciiTheme="majorBidi" w:hAnsiTheme="majorBidi" w:cstheme="majorBidi"/>
        </w:rPr>
      </w:pPr>
      <w:r w:rsidRPr="00F80C69">
        <w:rPr>
          <w:rFonts w:asciiTheme="majorBidi" w:hAnsiTheme="majorBidi" w:cstheme="majorBidi"/>
        </w:rPr>
        <w:tab/>
        <w:t xml:space="preserve">Jen Hill’s chapter on </w:t>
      </w:r>
      <w:r w:rsidRPr="00F80C69">
        <w:rPr>
          <w:rFonts w:asciiTheme="majorBidi" w:hAnsiTheme="majorBidi" w:cstheme="majorBidi"/>
          <w:i/>
          <w:iCs/>
        </w:rPr>
        <w:t>Frankenstein</w:t>
      </w:r>
      <w:r w:rsidRPr="00F80C69">
        <w:rPr>
          <w:rFonts w:asciiTheme="majorBidi" w:hAnsiTheme="majorBidi" w:cstheme="majorBidi"/>
        </w:rPr>
        <w:t xml:space="preserve"> in </w:t>
      </w:r>
      <w:r w:rsidRPr="00F80C69">
        <w:rPr>
          <w:rFonts w:asciiTheme="majorBidi" w:hAnsiTheme="majorBidi" w:cstheme="majorBidi"/>
          <w:i/>
          <w:iCs/>
        </w:rPr>
        <w:t>White Horizon: The Arctic in the Nineteenth-Century British Imagination</w:t>
      </w:r>
      <w:r w:rsidRPr="00F80C69">
        <w:rPr>
          <w:rFonts w:asciiTheme="majorBidi" w:hAnsiTheme="majorBidi" w:cstheme="majorBidi"/>
        </w:rPr>
        <w:t xml:space="preserve"> (2008) reads polar space as the imagined site of British self-realization and scientific progress. </w:t>
      </w:r>
    </w:p>
  </w:footnote>
  <w:footnote w:id="51">
    <w:p w14:paraId="6E54A54A" w14:textId="77777777" w:rsidR="00F80C69" w:rsidRPr="00F80C69" w:rsidRDefault="00F80C69" w:rsidP="00F80C69">
      <w:pPr>
        <w:pStyle w:val="FootnoteText"/>
        <w:rPr>
          <w:rFonts w:asciiTheme="majorBidi" w:hAnsiTheme="majorBidi" w:cstheme="majorBidi"/>
        </w:rPr>
      </w:pPr>
      <w:r w:rsidRPr="00F80C69">
        <w:rPr>
          <w:rStyle w:val="FootnoteReference"/>
          <w:rFonts w:asciiTheme="majorBidi" w:hAnsiTheme="majorBidi" w:cstheme="majorBidi"/>
        </w:rPr>
        <w:footnoteRef/>
      </w:r>
      <w:r w:rsidRPr="00F80C69">
        <w:rPr>
          <w:rFonts w:asciiTheme="majorBidi" w:hAnsiTheme="majorBidi" w:cstheme="majorBidi"/>
        </w:rPr>
        <w:t xml:space="preserve"> Frankenstein’s DNR order at the end of his life, of course, proves almost laughably ironic: the grave-robbing scientist who misappropriated and revived the bodies of the dead without consent begs someone else to let him die and rest in peace—even as his reanimated creation continues to roam the earth.</w:t>
      </w:r>
    </w:p>
  </w:footnote>
  <w:footnote w:id="52">
    <w:p w14:paraId="40560ADC" w14:textId="77777777" w:rsidR="00F80C69" w:rsidRPr="00F80C69" w:rsidRDefault="00F80C69" w:rsidP="00F80C69">
      <w:pPr>
        <w:pStyle w:val="FootnoteText"/>
        <w:rPr>
          <w:rFonts w:asciiTheme="majorBidi" w:hAnsiTheme="majorBidi" w:cstheme="majorBidi"/>
        </w:rPr>
      </w:pPr>
      <w:r w:rsidRPr="00F80C69">
        <w:rPr>
          <w:rStyle w:val="FootnoteReference"/>
          <w:rFonts w:asciiTheme="majorBidi" w:hAnsiTheme="majorBidi" w:cstheme="majorBidi"/>
        </w:rPr>
        <w:footnoteRef/>
      </w:r>
      <w:r w:rsidRPr="00F80C69">
        <w:rPr>
          <w:rFonts w:asciiTheme="majorBidi" w:hAnsiTheme="majorBidi" w:cstheme="majorBidi"/>
        </w:rPr>
        <w:t xml:space="preserve"> In his final exchange with Walton, the Creature maintains his refusal to be mischaracterized or summarized, insisting on the depth and three-dimensionality of his being: “You, who call Frankenstein your friend, seem to have a knowledge of my crimes and his misfortunes. But, in the detail which he gave you of them, he could not sum up the hours and months of misery which I endured” (160).</w:t>
      </w:r>
    </w:p>
  </w:footnote>
  <w:footnote w:id="53">
    <w:p w14:paraId="3FEB60E1" w14:textId="77777777" w:rsidR="00F80C69" w:rsidRPr="00F80C69" w:rsidRDefault="00F80C69" w:rsidP="00F80C69">
      <w:pPr>
        <w:pStyle w:val="FootnoteText"/>
        <w:rPr>
          <w:rFonts w:asciiTheme="majorBidi" w:hAnsiTheme="majorBidi" w:cstheme="majorBidi"/>
        </w:rPr>
      </w:pPr>
      <w:r w:rsidRPr="00F80C69">
        <w:rPr>
          <w:rStyle w:val="FootnoteReference"/>
          <w:rFonts w:asciiTheme="majorBidi" w:hAnsiTheme="majorBidi" w:cstheme="majorBidi"/>
        </w:rPr>
        <w:footnoteRef/>
      </w:r>
      <w:r w:rsidRPr="00F80C69">
        <w:rPr>
          <w:rFonts w:asciiTheme="majorBidi" w:hAnsiTheme="majorBidi" w:cstheme="majorBidi"/>
        </w:rPr>
        <w:t xml:space="preserve"> Jed Mayer grounds the heralding of Shelley’s novel as the first true science fiction novel in the text’s break with its Gothic predecessors: </w:t>
      </w:r>
    </w:p>
    <w:p w14:paraId="43F0721A" w14:textId="77777777" w:rsidR="00F80C69" w:rsidRPr="00F80C69" w:rsidRDefault="00F80C69" w:rsidP="00F80C69">
      <w:pPr>
        <w:pStyle w:val="FootnoteText"/>
        <w:ind w:left="1440"/>
        <w:rPr>
          <w:rFonts w:asciiTheme="majorBidi" w:hAnsiTheme="majorBidi" w:cstheme="majorBidi"/>
        </w:rPr>
      </w:pPr>
      <w:r w:rsidRPr="00F80C69">
        <w:rPr>
          <w:rFonts w:asciiTheme="majorBidi" w:hAnsiTheme="majorBidi" w:cstheme="majorBidi"/>
        </w:rPr>
        <w:t>In Percy Shelley’s introduction to the 1818 edition of the novel, he stresses that the “event on which the interest of the story depends is exempt from the disadvantage of a mere tale of spectres or enchantment,” and both his preface and Mary Shelley’s later introduction to the novel stress the influence of contemporary insights of the natural sciences, chiefly “the physiological writers of Germany,” “galvanism,” and “the experiments of Dr. Darwin,” inspiring the imagined possibility of ‘some powerful engine’ inducing dead matter to stir “with an uneasy, vital motion” (</w:t>
      </w:r>
      <w:r w:rsidRPr="00F80C69">
        <w:rPr>
          <w:rFonts w:asciiTheme="majorBidi" w:hAnsiTheme="majorBidi" w:cstheme="majorBidi"/>
          <w:i/>
          <w:iCs/>
        </w:rPr>
        <w:t>Frankenstein</w:t>
      </w:r>
      <w:r w:rsidRPr="00F80C69">
        <w:rPr>
          <w:rFonts w:asciiTheme="majorBidi" w:hAnsiTheme="majorBidi" w:cstheme="majorBidi"/>
        </w:rPr>
        <w:t xml:space="preserve"> 3, 195, 196). It is largely these elements that have led critics to regard Frankenstein as the first sf novel. (“Weird Ecologies” 233)</w:t>
      </w:r>
    </w:p>
  </w:footnote>
  <w:footnote w:id="54">
    <w:p w14:paraId="7A562B87" w14:textId="77777777" w:rsidR="00F80C69" w:rsidRPr="00F80C69" w:rsidRDefault="00F80C69" w:rsidP="00F80C69">
      <w:pPr>
        <w:rPr>
          <w:rFonts w:asciiTheme="majorBidi" w:hAnsiTheme="majorBidi" w:cstheme="majorBidi"/>
          <w:sz w:val="20"/>
          <w:szCs w:val="20"/>
        </w:rPr>
      </w:pPr>
      <w:r w:rsidRPr="00F80C69">
        <w:rPr>
          <w:rStyle w:val="FootnoteReference"/>
          <w:rFonts w:asciiTheme="majorBidi" w:hAnsiTheme="majorBidi" w:cstheme="majorBidi"/>
          <w:sz w:val="20"/>
          <w:szCs w:val="20"/>
        </w:rPr>
        <w:footnoteRef/>
      </w:r>
      <w:r w:rsidRPr="00F80C69">
        <w:rPr>
          <w:rFonts w:asciiTheme="majorBidi" w:hAnsiTheme="majorBidi" w:cstheme="majorBidi"/>
          <w:sz w:val="20"/>
          <w:szCs w:val="20"/>
        </w:rPr>
        <w:t xml:space="preserve"> Van Horn goes on to provide, as an example of this phenomenal curiosity, a reminder that “Erasmus Darwin—the English physician, author, and natural philosopher—tried to understand humans’ capacity for speech by building a wooden mouth that could say several words” (382). This particular speaking object, it seems, serves as a particularly apposite real-world invention in this consideration of </w:t>
      </w:r>
      <w:r w:rsidRPr="00F80C69">
        <w:rPr>
          <w:rFonts w:asciiTheme="majorBidi" w:hAnsiTheme="majorBidi" w:cstheme="majorBidi"/>
          <w:i/>
          <w:iCs/>
          <w:sz w:val="20"/>
          <w:szCs w:val="20"/>
        </w:rPr>
        <w:t>Frankenstein</w:t>
      </w:r>
      <w:r w:rsidRPr="00F80C69">
        <w:rPr>
          <w:rFonts w:asciiTheme="majorBidi" w:hAnsiTheme="majorBidi" w:cstheme="majorBidi"/>
          <w:sz w:val="20"/>
          <w:szCs w:val="20"/>
        </w:rPr>
        <w:t xml:space="preserve"> insofar as it transfers a defining human capability (i.e., speech) to an inanimate object.</w:t>
      </w:r>
    </w:p>
    <w:p w14:paraId="56D0E34F" w14:textId="77777777" w:rsidR="00F80C69" w:rsidRPr="00F80C69" w:rsidRDefault="00F80C69" w:rsidP="00F80C69">
      <w:pPr>
        <w:pStyle w:val="FootnoteText"/>
        <w:rPr>
          <w:rFonts w:asciiTheme="majorBidi" w:hAnsiTheme="majorBidi" w:cstheme="majorBidi"/>
        </w:rPr>
      </w:pPr>
    </w:p>
  </w:footnote>
  <w:footnote w:id="55">
    <w:p w14:paraId="26AD44E9" w14:textId="77777777" w:rsidR="00F80C69" w:rsidRPr="00F80C69" w:rsidRDefault="00F80C69" w:rsidP="00F80C69">
      <w:pPr>
        <w:pStyle w:val="FootnoteText"/>
        <w:rPr>
          <w:rFonts w:asciiTheme="majorBidi" w:hAnsiTheme="majorBidi" w:cstheme="majorBidi"/>
        </w:rPr>
      </w:pPr>
      <w:r w:rsidRPr="00F80C69">
        <w:rPr>
          <w:rStyle w:val="FootnoteReference"/>
          <w:rFonts w:asciiTheme="majorBidi" w:hAnsiTheme="majorBidi" w:cstheme="majorBidi"/>
        </w:rPr>
        <w:footnoteRef/>
      </w:r>
      <w:r w:rsidRPr="00F80C69">
        <w:rPr>
          <w:rFonts w:asciiTheme="majorBidi" w:hAnsiTheme="majorBidi" w:cstheme="majorBidi"/>
        </w:rPr>
        <w:t xml:space="preserve"> Haraway describes the cyborg as “a hybrid of machine and organism, a creature of social reality as well as a creature of fiction” (“A Cyborg Manifesto” 291); it is “a condensed image of both imagination and material reality, the two joined centres structuring any possibility of historical transformation” (292). </w:t>
      </w:r>
    </w:p>
  </w:footnote>
  <w:footnote w:id="56">
    <w:p w14:paraId="6039781B" w14:textId="77777777" w:rsidR="00F80C69" w:rsidRPr="00F80C69" w:rsidRDefault="00F80C69" w:rsidP="00F80C69">
      <w:pPr>
        <w:pStyle w:val="FootnoteText"/>
        <w:rPr>
          <w:rFonts w:asciiTheme="majorBidi" w:hAnsiTheme="majorBidi" w:cstheme="majorBidi"/>
        </w:rPr>
      </w:pPr>
      <w:r w:rsidRPr="00F80C69">
        <w:rPr>
          <w:rStyle w:val="FootnoteReference"/>
          <w:rFonts w:asciiTheme="majorBidi" w:hAnsiTheme="majorBidi" w:cstheme="majorBidi"/>
        </w:rPr>
        <w:footnoteRef/>
      </w:r>
      <w:r w:rsidRPr="00F80C69">
        <w:rPr>
          <w:rFonts w:asciiTheme="majorBidi" w:hAnsiTheme="majorBidi" w:cstheme="majorBidi"/>
        </w:rPr>
        <w:t xml:space="preserve"> See chapters II and III.</w:t>
      </w:r>
    </w:p>
  </w:footnote>
  <w:footnote w:id="57">
    <w:p w14:paraId="17C19F5E" w14:textId="4CADD170" w:rsidR="00F80C69" w:rsidRPr="00F80C69" w:rsidRDefault="00F80C69" w:rsidP="00F80C69">
      <w:pPr>
        <w:rPr>
          <w:rFonts w:asciiTheme="majorBidi" w:hAnsiTheme="majorBidi" w:cstheme="majorBidi"/>
          <w:sz w:val="20"/>
          <w:szCs w:val="20"/>
        </w:rPr>
      </w:pPr>
      <w:r w:rsidRPr="00F80C69">
        <w:rPr>
          <w:rStyle w:val="FootnoteReference"/>
          <w:rFonts w:asciiTheme="majorBidi" w:hAnsiTheme="majorBidi" w:cstheme="majorBidi"/>
          <w:sz w:val="20"/>
          <w:szCs w:val="20"/>
        </w:rPr>
        <w:footnoteRef/>
      </w:r>
      <w:r w:rsidRPr="00F80C69">
        <w:rPr>
          <w:rFonts w:asciiTheme="majorBidi" w:hAnsiTheme="majorBidi" w:cstheme="majorBidi"/>
          <w:sz w:val="20"/>
          <w:szCs w:val="20"/>
        </w:rPr>
        <w:t xml:space="preserve"> Codr seeks to “underscore the impact of the convergence of cinema and polio on Shelley’s monster” by scrutinizing various elements of Karloff’s monster, such as “his body, gait, experiences, associates</w:t>
      </w:r>
      <w:r w:rsidR="00DD4FB8">
        <w:rPr>
          <w:rFonts w:asciiTheme="majorBidi" w:hAnsiTheme="majorBidi" w:cstheme="majorBidi"/>
          <w:sz w:val="20"/>
          <w:szCs w:val="20"/>
        </w:rPr>
        <w:t>,</w:t>
      </w:r>
      <w:r w:rsidRPr="00F80C69">
        <w:rPr>
          <w:rFonts w:asciiTheme="majorBidi" w:hAnsiTheme="majorBidi" w:cstheme="majorBidi"/>
          <w:sz w:val="20"/>
          <w:szCs w:val="20"/>
        </w:rPr>
        <w:t xml:space="preserve"> and habitations—that coincided with and helped to define polio culture” (172). He aims, specifically, “to isolate and study a strand of cultural hysteria as it manifested itself in the genre of the horror film . . . to show the symptoms and results of this cross-contamination between the spheres of cinema and public health, specifically the impact of polio culture and the horror film and the role of the horror film in the fight against polio.”</w:t>
      </w:r>
    </w:p>
    <w:p w14:paraId="7A0BA0C7" w14:textId="77777777" w:rsidR="00F80C69" w:rsidRDefault="00F80C69" w:rsidP="00F80C69">
      <w:pPr>
        <w:pStyle w:val="FootnoteText"/>
      </w:pPr>
    </w:p>
  </w:footnote>
  <w:footnote w:id="58">
    <w:p w14:paraId="2B3B83AB" w14:textId="77777777" w:rsidR="00693EA6" w:rsidRPr="00693EA6" w:rsidRDefault="00693EA6" w:rsidP="00693EA6">
      <w:pPr>
        <w:pStyle w:val="FootnoteText"/>
        <w:rPr>
          <w:rFonts w:asciiTheme="majorBidi" w:hAnsiTheme="majorBidi" w:cstheme="majorBidi"/>
        </w:rPr>
      </w:pPr>
      <w:r w:rsidRPr="00693EA6">
        <w:rPr>
          <w:rStyle w:val="FootnoteReference"/>
          <w:rFonts w:asciiTheme="majorBidi" w:hAnsiTheme="majorBidi" w:cstheme="majorBidi"/>
        </w:rPr>
        <w:footnoteRef/>
      </w:r>
      <w:r w:rsidRPr="00693EA6">
        <w:rPr>
          <w:rFonts w:asciiTheme="majorBidi" w:hAnsiTheme="majorBidi" w:cstheme="majorBidi"/>
        </w:rPr>
        <w:t xml:space="preserve"> </w:t>
      </w:r>
      <w:r w:rsidRPr="00693EA6">
        <w:rPr>
          <w:rFonts w:asciiTheme="majorBidi" w:hAnsiTheme="majorBidi" w:cstheme="majorBidi"/>
          <w:bCs/>
        </w:rPr>
        <w:t xml:space="preserve">See </w:t>
      </w:r>
      <w:r w:rsidRPr="00693EA6">
        <w:rPr>
          <w:rFonts w:asciiTheme="majorBidi" w:hAnsiTheme="majorBidi" w:cstheme="majorBidi"/>
          <w:bCs/>
          <w:i/>
          <w:iCs/>
        </w:rPr>
        <w:t>OED</w:t>
      </w:r>
      <w:r w:rsidRPr="00693EA6">
        <w:rPr>
          <w:rFonts w:asciiTheme="majorBidi" w:hAnsiTheme="majorBidi" w:cstheme="majorBidi"/>
          <w:bCs/>
        </w:rPr>
        <w:t xml:space="preserve"> entries for “prop.”</w:t>
      </w:r>
    </w:p>
  </w:footnote>
  <w:footnote w:id="59">
    <w:p w14:paraId="2536FCA8" w14:textId="6703474F" w:rsidR="00693EA6" w:rsidRPr="00693EA6" w:rsidRDefault="00693EA6" w:rsidP="00693EA6">
      <w:pPr>
        <w:pStyle w:val="FootnoteText"/>
        <w:rPr>
          <w:rFonts w:asciiTheme="majorBidi" w:hAnsiTheme="majorBidi" w:cstheme="majorBidi"/>
        </w:rPr>
      </w:pPr>
      <w:r w:rsidRPr="00693EA6">
        <w:rPr>
          <w:rStyle w:val="FootnoteReference"/>
          <w:rFonts w:asciiTheme="majorBidi" w:hAnsiTheme="majorBidi" w:cstheme="majorBidi"/>
        </w:rPr>
        <w:footnoteRef/>
      </w:r>
      <w:r w:rsidRPr="00693EA6">
        <w:rPr>
          <w:rFonts w:asciiTheme="majorBidi" w:hAnsiTheme="majorBidi" w:cstheme="majorBidi"/>
        </w:rPr>
        <w:t xml:space="preserve"> While I only briefly explore the interpersonal aspects of prosthesis in this chapter, I would also point out that, as the cases of Mrs. Clennam and Jenny Wren—and in other contemporaneous texts, as, for example, with Anthony Trollope’s Signora Neroni, her sofa, and the male servants who carry them in </w:t>
      </w:r>
      <w:r w:rsidRPr="00693EA6">
        <w:rPr>
          <w:rFonts w:asciiTheme="majorBidi" w:hAnsiTheme="majorBidi" w:cstheme="majorBidi"/>
          <w:i/>
        </w:rPr>
        <w:t>Barchester Towers</w:t>
      </w:r>
      <w:r w:rsidRPr="00693EA6">
        <w:rPr>
          <w:rFonts w:asciiTheme="majorBidi" w:hAnsiTheme="majorBidi" w:cstheme="majorBidi"/>
        </w:rPr>
        <w:t xml:space="preserve"> (1857)—demonstrate, the </w:t>
      </w:r>
      <w:r w:rsidR="00A95FE6">
        <w:rPr>
          <w:rFonts w:asciiTheme="majorBidi" w:hAnsiTheme="majorBidi" w:cstheme="majorBidi"/>
        </w:rPr>
        <w:t xml:space="preserve">material </w:t>
      </w:r>
      <w:r w:rsidRPr="00693EA6">
        <w:rPr>
          <w:rFonts w:asciiTheme="majorBidi" w:hAnsiTheme="majorBidi" w:cstheme="majorBidi"/>
        </w:rPr>
        <w:t xml:space="preserve">network of prosthesis inherent to the Victorian </w:t>
      </w:r>
      <w:r w:rsidR="00A95FE6">
        <w:rPr>
          <w:rFonts w:asciiTheme="majorBidi" w:hAnsiTheme="majorBidi" w:cstheme="majorBidi"/>
        </w:rPr>
        <w:t>D</w:t>
      </w:r>
      <w:r w:rsidRPr="00693EA6">
        <w:rPr>
          <w:rFonts w:asciiTheme="majorBidi" w:hAnsiTheme="majorBidi" w:cstheme="majorBidi"/>
        </w:rPr>
        <w:t xml:space="preserve">isability community </w:t>
      </w:r>
      <w:r w:rsidR="00A95FE6">
        <w:rPr>
          <w:rFonts w:asciiTheme="majorBidi" w:hAnsiTheme="majorBidi" w:cstheme="majorBidi"/>
        </w:rPr>
        <w:t xml:space="preserve">also </w:t>
      </w:r>
      <w:r w:rsidRPr="00693EA6">
        <w:rPr>
          <w:rFonts w:asciiTheme="majorBidi" w:hAnsiTheme="majorBidi" w:cstheme="majorBidi"/>
        </w:rPr>
        <w:t>intersects and overlaps with networks of human care.</w:t>
      </w:r>
    </w:p>
  </w:footnote>
  <w:footnote w:id="60">
    <w:p w14:paraId="49878216" w14:textId="77777777" w:rsidR="00693EA6" w:rsidRPr="00693EA6" w:rsidRDefault="00693EA6" w:rsidP="00693EA6">
      <w:pPr>
        <w:pStyle w:val="FootnoteText"/>
        <w:rPr>
          <w:rFonts w:asciiTheme="majorBidi" w:hAnsiTheme="majorBidi" w:cstheme="majorBidi"/>
        </w:rPr>
      </w:pPr>
      <w:r w:rsidRPr="00693EA6">
        <w:rPr>
          <w:rStyle w:val="FootnoteReference"/>
          <w:rFonts w:asciiTheme="majorBidi" w:hAnsiTheme="majorBidi" w:cstheme="majorBidi"/>
        </w:rPr>
        <w:footnoteRef/>
      </w:r>
      <w:r w:rsidRPr="00693EA6">
        <w:rPr>
          <w:rFonts w:asciiTheme="majorBidi" w:hAnsiTheme="majorBidi" w:cstheme="majorBidi"/>
        </w:rPr>
        <w:t xml:space="preserve"> Debates concerning normativity in disability studies may find parallels in the debate about “antinormativity” in queer theory. See, for instance, the “Queer Theory Without Normativity” special issue of </w:t>
      </w:r>
      <w:r w:rsidRPr="00693EA6">
        <w:rPr>
          <w:rFonts w:asciiTheme="majorBidi" w:hAnsiTheme="majorBidi" w:cstheme="majorBidi"/>
          <w:i/>
          <w:iCs/>
        </w:rPr>
        <w:t>Differences: A Journal of Feminist Cultural Studies</w:t>
      </w:r>
      <w:r w:rsidRPr="00693EA6">
        <w:rPr>
          <w:rFonts w:asciiTheme="majorBidi" w:hAnsiTheme="majorBidi" w:cstheme="majorBidi"/>
        </w:rPr>
        <w:t xml:space="preserve"> (2015, Eds. Robyn Weigman and Elizabeth Wilson) and Ellen Crowell’s “Queer” (2018). </w:t>
      </w:r>
    </w:p>
  </w:footnote>
  <w:footnote w:id="61">
    <w:p w14:paraId="6E9663A6" w14:textId="2D211F29" w:rsidR="00693EA6" w:rsidRPr="00693EA6" w:rsidRDefault="00693EA6" w:rsidP="00693EA6">
      <w:pPr>
        <w:pStyle w:val="FootnoteText"/>
        <w:rPr>
          <w:rFonts w:asciiTheme="majorBidi" w:hAnsiTheme="majorBidi" w:cstheme="majorBidi"/>
        </w:rPr>
      </w:pPr>
      <w:r w:rsidRPr="00693EA6">
        <w:rPr>
          <w:rStyle w:val="FootnoteReference"/>
          <w:rFonts w:asciiTheme="majorBidi" w:hAnsiTheme="majorBidi" w:cstheme="majorBidi"/>
        </w:rPr>
        <w:footnoteRef/>
      </w:r>
      <w:r w:rsidRPr="00693EA6">
        <w:rPr>
          <w:rFonts w:asciiTheme="majorBidi" w:hAnsiTheme="majorBidi" w:cstheme="majorBidi"/>
        </w:rPr>
        <w:t xml:space="preserve"> There exists, in animal studies and elsewhere, a tendency to tip-toe around or altogether avoid language that paints the nonhuman animal as necessarily subordinate to humans. Most recently, the term “companion animal” seems to have struck the most empathetic balance when discussing nonhuman animals who live and work alongside their human counterparts. My use of the term “animate prop” merely continues the linguistic connection I aim to highlight between disabled characters and the objects, animals, or people they electively draw on for support. As of the writing of this dissertation (spring 2022), the Civil Rights Department of the U.S. Department of Justice and the Americans with Disability Act still employ the term “service animal” to describe an animal (exclusively a dog, according to sections II and III of the ADA) that is trained to assist people with disabilities. The UK’s Equality Act uses the term “assistance animal.” </w:t>
      </w:r>
    </w:p>
  </w:footnote>
  <w:footnote w:id="62">
    <w:p w14:paraId="1A79D975" w14:textId="77777777" w:rsidR="00693EA6" w:rsidRPr="00693EA6" w:rsidRDefault="00693EA6" w:rsidP="00693EA6">
      <w:pPr>
        <w:pStyle w:val="FootnoteText"/>
        <w:rPr>
          <w:rFonts w:asciiTheme="majorBidi" w:hAnsiTheme="majorBidi" w:cstheme="majorBidi"/>
        </w:rPr>
      </w:pPr>
      <w:r w:rsidRPr="00693EA6">
        <w:rPr>
          <w:rStyle w:val="FootnoteReference"/>
          <w:rFonts w:asciiTheme="majorBidi" w:hAnsiTheme="majorBidi" w:cstheme="majorBidi"/>
        </w:rPr>
        <w:footnoteRef/>
      </w:r>
      <w:r w:rsidRPr="00693EA6">
        <w:rPr>
          <w:rFonts w:asciiTheme="majorBidi" w:hAnsiTheme="majorBidi" w:cstheme="majorBidi"/>
        </w:rPr>
        <w:t xml:space="preserve"> See Chapter V of </w:t>
      </w:r>
      <w:r w:rsidRPr="00693EA6">
        <w:rPr>
          <w:rFonts w:asciiTheme="majorBidi" w:hAnsiTheme="majorBidi" w:cstheme="majorBidi"/>
          <w:i/>
        </w:rPr>
        <w:t>Hard Times</w:t>
      </w:r>
      <w:r w:rsidRPr="00693EA6">
        <w:rPr>
          <w:rFonts w:asciiTheme="majorBidi" w:hAnsiTheme="majorBidi" w:cstheme="majorBidi"/>
        </w:rPr>
        <w:t xml:space="preserve"> (1854): </w:t>
      </w:r>
    </w:p>
    <w:p w14:paraId="4F98249C" w14:textId="5B3264A6" w:rsidR="00693EA6" w:rsidRPr="00693EA6" w:rsidRDefault="00693EA6" w:rsidP="00A773B2">
      <w:pPr>
        <w:pStyle w:val="FootnoteText"/>
        <w:ind w:left="1440"/>
        <w:rPr>
          <w:rFonts w:asciiTheme="majorBidi" w:hAnsiTheme="majorBidi" w:cstheme="majorBidi"/>
        </w:rPr>
      </w:pPr>
      <w:r w:rsidRPr="00693EA6">
        <w:rPr>
          <w:rFonts w:asciiTheme="majorBidi" w:hAnsiTheme="majorBidi" w:cstheme="majorBidi"/>
        </w:rPr>
        <w:t>It was a town of machinery and tall chimneys, out of which interminable serpents of smoke trailed themselves for ever and ever, and never got uncoiled</w:t>
      </w:r>
      <w:proofErr w:type="gramStart"/>
      <w:r w:rsidRPr="00693EA6">
        <w:rPr>
          <w:rFonts w:asciiTheme="majorBidi" w:hAnsiTheme="majorBidi" w:cstheme="majorBidi"/>
        </w:rPr>
        <w:t>. . . .</w:t>
      </w:r>
      <w:proofErr w:type="gramEnd"/>
      <w:r w:rsidRPr="00693EA6">
        <w:rPr>
          <w:rFonts w:asciiTheme="majorBidi" w:hAnsiTheme="majorBidi" w:cstheme="majorBidi"/>
        </w:rPr>
        <w:t xml:space="preserve"> where the piston of the steam-engine worked monotonously up and down . . . in a state of melancholy madness. It contained several large streets all very like one another, and many small streets still more like one another, inhabited by people equally like one another, who all went in and out at the same hours, with the same sound upon the same pavements, to do the same work, and to whom every day was the same as yesterday and tomorrow, and every year the counterpart of the last and the next.</w:t>
      </w:r>
    </w:p>
    <w:p w14:paraId="1AC15CFA" w14:textId="77777777" w:rsidR="00693EA6" w:rsidRPr="00693EA6" w:rsidRDefault="00693EA6" w:rsidP="00693EA6">
      <w:pPr>
        <w:pStyle w:val="FootnoteText"/>
        <w:rPr>
          <w:rFonts w:asciiTheme="majorBidi" w:hAnsiTheme="majorBidi" w:cstheme="majorBidi"/>
        </w:rPr>
      </w:pPr>
      <w:r w:rsidRPr="00693EA6">
        <w:rPr>
          <w:rFonts w:asciiTheme="majorBidi" w:hAnsiTheme="majorBidi" w:cstheme="majorBidi"/>
        </w:rPr>
        <w:tab/>
      </w:r>
      <w:r w:rsidRPr="00693EA6">
        <w:rPr>
          <w:rFonts w:asciiTheme="majorBidi" w:hAnsiTheme="majorBidi" w:cstheme="majorBidi"/>
        </w:rPr>
        <w:tab/>
        <w:t xml:space="preserve">. . . . </w:t>
      </w:r>
    </w:p>
    <w:p w14:paraId="46B19D34" w14:textId="77777777" w:rsidR="00A773B2" w:rsidRDefault="00693EA6" w:rsidP="00693EA6">
      <w:pPr>
        <w:pStyle w:val="FootnoteText"/>
        <w:rPr>
          <w:rFonts w:asciiTheme="majorBidi" w:hAnsiTheme="majorBidi" w:cstheme="majorBidi"/>
        </w:rPr>
      </w:pPr>
      <w:r w:rsidRPr="00693EA6">
        <w:rPr>
          <w:rFonts w:asciiTheme="majorBidi" w:hAnsiTheme="majorBidi" w:cstheme="majorBidi"/>
        </w:rPr>
        <w:tab/>
      </w:r>
      <w:r w:rsidRPr="00693EA6">
        <w:rPr>
          <w:rFonts w:asciiTheme="majorBidi" w:hAnsiTheme="majorBidi" w:cstheme="majorBidi"/>
        </w:rPr>
        <w:tab/>
        <w:t>You saw nothing in Coketown but what was severely workful</w:t>
      </w:r>
      <w:proofErr w:type="gramStart"/>
      <w:r w:rsidRPr="00693EA6">
        <w:rPr>
          <w:rFonts w:asciiTheme="majorBidi" w:hAnsiTheme="majorBidi" w:cstheme="majorBidi"/>
        </w:rPr>
        <w:t>. . . .</w:t>
      </w:r>
      <w:proofErr w:type="gramEnd"/>
      <w:r w:rsidRPr="00693EA6">
        <w:rPr>
          <w:rFonts w:asciiTheme="majorBidi" w:hAnsiTheme="majorBidi" w:cstheme="majorBidi"/>
        </w:rPr>
        <w:t xml:space="preserve"> The jail might have </w:t>
      </w:r>
    </w:p>
    <w:p w14:paraId="0718904E" w14:textId="64A57119" w:rsidR="00693EA6" w:rsidRPr="00693EA6" w:rsidRDefault="00693EA6" w:rsidP="00A773B2">
      <w:pPr>
        <w:pStyle w:val="FootnoteText"/>
        <w:ind w:left="720" w:firstLine="720"/>
        <w:rPr>
          <w:rFonts w:asciiTheme="majorBidi" w:hAnsiTheme="majorBidi" w:cstheme="majorBidi"/>
        </w:rPr>
      </w:pPr>
      <w:r w:rsidRPr="00693EA6">
        <w:rPr>
          <w:rFonts w:asciiTheme="majorBidi" w:hAnsiTheme="majorBidi" w:cstheme="majorBidi"/>
        </w:rPr>
        <w:t>been the infirmary, the infirmary might have been the jail. (21)</w:t>
      </w:r>
    </w:p>
    <w:p w14:paraId="5464BDA0" w14:textId="77777777" w:rsidR="00693EA6" w:rsidRPr="00693EA6" w:rsidRDefault="00693EA6" w:rsidP="00693EA6">
      <w:pPr>
        <w:pStyle w:val="FootnoteText"/>
        <w:rPr>
          <w:rFonts w:asciiTheme="majorBidi" w:hAnsiTheme="majorBidi" w:cstheme="majorBidi"/>
        </w:rPr>
      </w:pPr>
      <w:r w:rsidRPr="00693EA6">
        <w:rPr>
          <w:rFonts w:asciiTheme="majorBidi" w:hAnsiTheme="majorBidi" w:cstheme="majorBidi"/>
        </w:rPr>
        <w:t xml:space="preserve">Compare to I.iii of </w:t>
      </w:r>
      <w:r w:rsidRPr="00693EA6">
        <w:rPr>
          <w:rFonts w:asciiTheme="majorBidi" w:hAnsiTheme="majorBidi" w:cstheme="majorBidi"/>
          <w:i/>
        </w:rPr>
        <w:t>Little Dorrit</w:t>
      </w:r>
      <w:r w:rsidRPr="00693EA6">
        <w:rPr>
          <w:rFonts w:asciiTheme="majorBidi" w:hAnsiTheme="majorBidi" w:cstheme="majorBidi"/>
        </w:rPr>
        <w:t>:</w:t>
      </w:r>
    </w:p>
    <w:p w14:paraId="37CB934B" w14:textId="31656861" w:rsidR="00693EA6" w:rsidRPr="00693EA6" w:rsidRDefault="00693EA6" w:rsidP="00A773B2">
      <w:pPr>
        <w:pStyle w:val="FootnoteText"/>
        <w:ind w:left="1440"/>
        <w:rPr>
          <w:rFonts w:asciiTheme="majorBidi" w:hAnsiTheme="majorBidi" w:cstheme="majorBidi"/>
        </w:rPr>
      </w:pPr>
      <w:r w:rsidRPr="00693EA6">
        <w:rPr>
          <w:rFonts w:asciiTheme="majorBidi" w:hAnsiTheme="majorBidi" w:cstheme="majorBidi"/>
        </w:rPr>
        <w:t>Everything was bolted and barred that could by possibility furnished relief to an overworked people</w:t>
      </w:r>
      <w:proofErr w:type="gramStart"/>
      <w:r w:rsidRPr="00693EA6">
        <w:rPr>
          <w:rFonts w:asciiTheme="majorBidi" w:hAnsiTheme="majorBidi" w:cstheme="majorBidi"/>
        </w:rPr>
        <w:t>. . . .</w:t>
      </w:r>
      <w:proofErr w:type="gramEnd"/>
      <w:r w:rsidRPr="00693EA6">
        <w:rPr>
          <w:rFonts w:asciiTheme="majorBidi" w:hAnsiTheme="majorBidi" w:cstheme="majorBidi"/>
        </w:rPr>
        <w:t xml:space="preserve"> Nothing to see but streets, streets, streets. Nothing to breathe but streets, streets, streets.</w:t>
      </w:r>
    </w:p>
    <w:p w14:paraId="17DE7ADE" w14:textId="77777777" w:rsidR="00693EA6" w:rsidRPr="00693EA6" w:rsidRDefault="00693EA6" w:rsidP="00693EA6">
      <w:pPr>
        <w:pStyle w:val="FootnoteText"/>
        <w:rPr>
          <w:rFonts w:asciiTheme="majorBidi" w:hAnsiTheme="majorBidi" w:cstheme="majorBidi"/>
        </w:rPr>
      </w:pPr>
      <w:r w:rsidRPr="00693EA6">
        <w:rPr>
          <w:rFonts w:asciiTheme="majorBidi" w:hAnsiTheme="majorBidi" w:cstheme="majorBidi"/>
        </w:rPr>
        <w:tab/>
      </w:r>
      <w:r w:rsidRPr="00693EA6">
        <w:rPr>
          <w:rFonts w:asciiTheme="majorBidi" w:hAnsiTheme="majorBidi" w:cstheme="majorBidi"/>
        </w:rPr>
        <w:tab/>
        <w:t>. . . .</w:t>
      </w:r>
    </w:p>
    <w:p w14:paraId="41DC5E4B" w14:textId="77777777" w:rsidR="00A773B2" w:rsidRDefault="00693EA6" w:rsidP="00693EA6">
      <w:pPr>
        <w:pStyle w:val="FootnoteText"/>
        <w:rPr>
          <w:rFonts w:asciiTheme="majorBidi" w:hAnsiTheme="majorBidi" w:cstheme="majorBidi"/>
        </w:rPr>
      </w:pPr>
      <w:r w:rsidRPr="00693EA6">
        <w:rPr>
          <w:rFonts w:asciiTheme="majorBidi" w:hAnsiTheme="majorBidi" w:cstheme="majorBidi"/>
        </w:rPr>
        <w:tab/>
      </w:r>
      <w:r w:rsidRPr="00693EA6">
        <w:rPr>
          <w:rFonts w:asciiTheme="majorBidi" w:hAnsiTheme="majorBidi" w:cstheme="majorBidi"/>
        </w:rPr>
        <w:tab/>
        <w:t xml:space="preserve">Miles of close wells and pits of houses </w:t>
      </w:r>
      <w:proofErr w:type="gramStart"/>
      <w:r w:rsidRPr="00693EA6">
        <w:rPr>
          <w:rFonts w:asciiTheme="majorBidi" w:hAnsiTheme="majorBidi" w:cstheme="majorBidi"/>
        </w:rPr>
        <w:t>. . . .</w:t>
      </w:r>
      <w:proofErr w:type="gramEnd"/>
      <w:r w:rsidRPr="00693EA6">
        <w:rPr>
          <w:rFonts w:asciiTheme="majorBidi" w:hAnsiTheme="majorBidi" w:cstheme="majorBidi"/>
        </w:rPr>
        <w:t xml:space="preserve"> the sweet sameness of which they had no </w:t>
      </w:r>
    </w:p>
    <w:p w14:paraId="4D1C4939" w14:textId="16912412" w:rsidR="00693EA6" w:rsidRPr="00693EA6" w:rsidRDefault="00693EA6" w:rsidP="00A773B2">
      <w:pPr>
        <w:pStyle w:val="FootnoteText"/>
        <w:ind w:left="720" w:firstLine="720"/>
        <w:rPr>
          <w:rFonts w:asciiTheme="majorBidi" w:hAnsiTheme="majorBidi" w:cstheme="majorBidi"/>
        </w:rPr>
      </w:pPr>
      <w:r w:rsidRPr="00693EA6">
        <w:rPr>
          <w:rFonts w:asciiTheme="majorBidi" w:hAnsiTheme="majorBidi" w:cstheme="majorBidi"/>
        </w:rPr>
        <w:t>escape between the cradle and the grave. (42)</w:t>
      </w:r>
    </w:p>
  </w:footnote>
  <w:footnote w:id="63">
    <w:p w14:paraId="4933DA01" w14:textId="77777777" w:rsidR="00C73549" w:rsidRPr="00693EA6" w:rsidRDefault="00C73549" w:rsidP="00C73549">
      <w:pPr>
        <w:pStyle w:val="FootnoteText"/>
        <w:rPr>
          <w:rFonts w:asciiTheme="majorBidi" w:hAnsiTheme="majorBidi" w:cstheme="majorBidi"/>
        </w:rPr>
      </w:pPr>
      <w:r w:rsidRPr="00693EA6">
        <w:rPr>
          <w:rStyle w:val="FootnoteReference"/>
          <w:rFonts w:asciiTheme="majorBidi" w:hAnsiTheme="majorBidi" w:cstheme="majorBidi"/>
        </w:rPr>
        <w:footnoteRef/>
      </w:r>
      <w:r w:rsidRPr="00693EA6">
        <w:rPr>
          <w:rFonts w:asciiTheme="majorBidi" w:hAnsiTheme="majorBidi" w:cstheme="majorBidi"/>
        </w:rPr>
        <w:t xml:space="preserve"> Prosthetic objects in Dickens frequently function as the site of involuntary tells, betraying the thoughts or feelings of their users. Take, for instance, Silas Wegg’s wooden leg in </w:t>
      </w:r>
      <w:r w:rsidRPr="00693EA6">
        <w:rPr>
          <w:rFonts w:asciiTheme="majorBidi" w:hAnsiTheme="majorBidi" w:cstheme="majorBidi"/>
          <w:i/>
          <w:iCs/>
        </w:rPr>
        <w:t>Our Mutual Friend</w:t>
      </w:r>
      <w:r w:rsidRPr="00693EA6">
        <w:rPr>
          <w:rFonts w:asciiTheme="majorBidi" w:hAnsiTheme="majorBidi" w:cstheme="majorBidi"/>
        </w:rPr>
        <w:t xml:space="preserve">. </w:t>
      </w:r>
      <w:r w:rsidRPr="00693EA6">
        <w:rPr>
          <w:rFonts w:asciiTheme="majorBidi" w:hAnsiTheme="majorBidi" w:cstheme="majorBidi"/>
          <w:bCs/>
        </w:rPr>
        <w:t xml:space="preserve">While Wegg reads the details of the dustheaps “secret hoards” to Mr. Boffin, the leg broadcasts Wegg’s excitement: “Here Mr. Wegg’s wooden leg started forward under the table, and slowly elevated itself as he read on” (482). The leg continues elevating itself until it totally (physically) unbalances Wegg. </w:t>
      </w:r>
    </w:p>
  </w:footnote>
  <w:footnote w:id="64">
    <w:p w14:paraId="06576951" w14:textId="77777777" w:rsidR="00693EA6" w:rsidRPr="00693EA6" w:rsidRDefault="00693EA6" w:rsidP="00693EA6">
      <w:pPr>
        <w:pStyle w:val="FootnoteText"/>
        <w:rPr>
          <w:rFonts w:asciiTheme="majorBidi" w:hAnsiTheme="majorBidi" w:cstheme="majorBidi"/>
        </w:rPr>
      </w:pPr>
      <w:r w:rsidRPr="00693EA6">
        <w:rPr>
          <w:rStyle w:val="FootnoteReference"/>
          <w:rFonts w:asciiTheme="majorBidi" w:hAnsiTheme="majorBidi" w:cstheme="majorBidi"/>
        </w:rPr>
        <w:footnoteRef/>
      </w:r>
      <w:r w:rsidRPr="00693EA6">
        <w:rPr>
          <w:rFonts w:asciiTheme="majorBidi" w:hAnsiTheme="majorBidi" w:cstheme="majorBidi"/>
        </w:rPr>
        <w:t xml:space="preserve"> Birds seem to have nested themselves everywhere in the pages on </w:t>
      </w:r>
      <w:r w:rsidRPr="00693EA6">
        <w:rPr>
          <w:rFonts w:asciiTheme="majorBidi" w:hAnsiTheme="majorBidi" w:cstheme="majorBidi"/>
          <w:i/>
          <w:iCs/>
        </w:rPr>
        <w:t>Our Mutual Friends</w:t>
      </w:r>
      <w:r w:rsidRPr="00693EA6">
        <w:rPr>
          <w:rFonts w:asciiTheme="majorBidi" w:hAnsiTheme="majorBidi" w:cstheme="majorBidi"/>
        </w:rPr>
        <w:t xml:space="preserve"> (perhaps most notably in Mr. Venus’s taxidermy shop), and Jenny’s choice to align her apparently mobility-impaired form with an animal that is (1) taxonomically distinct from humans and that (2) easily traverses both land and sky proves both proves both telling and poignant. </w:t>
      </w:r>
    </w:p>
  </w:footnote>
  <w:footnote w:id="65">
    <w:p w14:paraId="626FEBCA" w14:textId="3CE39C34" w:rsidR="00693EA6" w:rsidRPr="00693EA6" w:rsidRDefault="00693EA6" w:rsidP="00693EA6">
      <w:pPr>
        <w:pStyle w:val="FootnoteText"/>
        <w:rPr>
          <w:rFonts w:asciiTheme="majorBidi" w:hAnsiTheme="majorBidi" w:cstheme="majorBidi"/>
        </w:rPr>
      </w:pPr>
      <w:r w:rsidRPr="00693EA6">
        <w:rPr>
          <w:rStyle w:val="FootnoteReference"/>
          <w:rFonts w:asciiTheme="majorBidi" w:hAnsiTheme="majorBidi" w:cstheme="majorBidi"/>
        </w:rPr>
        <w:footnoteRef/>
      </w:r>
      <w:r w:rsidRPr="00693EA6">
        <w:rPr>
          <w:rFonts w:asciiTheme="majorBidi" w:hAnsiTheme="majorBidi" w:cstheme="majorBidi"/>
        </w:rPr>
        <w:t xml:space="preserve"> Given her position as the head of Clennam and Co., Mrs. Clennam’s wheelchair</w:t>
      </w:r>
      <w:r w:rsidR="0038006E">
        <w:rPr>
          <w:rFonts w:asciiTheme="majorBidi" w:hAnsiTheme="majorBidi" w:cstheme="majorBidi"/>
        </w:rPr>
        <w:t xml:space="preserve"> also</w:t>
      </w:r>
      <w:r w:rsidRPr="00693EA6">
        <w:rPr>
          <w:rFonts w:asciiTheme="majorBidi" w:hAnsiTheme="majorBidi" w:cstheme="majorBidi"/>
        </w:rPr>
        <w:t xml:space="preserve"> evokes notions of “chair” as a metonym for an authority figure. </w:t>
      </w:r>
      <w:r w:rsidR="0038006E">
        <w:rPr>
          <w:rFonts w:asciiTheme="majorBidi" w:hAnsiTheme="majorBidi" w:cstheme="majorBidi"/>
        </w:rPr>
        <w:t>T</w:t>
      </w:r>
      <w:r w:rsidRPr="00693EA6">
        <w:rPr>
          <w:rFonts w:asciiTheme="majorBidi" w:hAnsiTheme="majorBidi" w:cstheme="majorBidi"/>
        </w:rPr>
        <w:t xml:space="preserve">he </w:t>
      </w:r>
      <w:r w:rsidRPr="00693EA6">
        <w:rPr>
          <w:rFonts w:asciiTheme="majorBidi" w:hAnsiTheme="majorBidi" w:cstheme="majorBidi"/>
          <w:i/>
          <w:iCs/>
        </w:rPr>
        <w:t>OED</w:t>
      </w:r>
      <w:r w:rsidRPr="00693EA6">
        <w:rPr>
          <w:rFonts w:asciiTheme="majorBidi" w:hAnsiTheme="majorBidi" w:cstheme="majorBidi"/>
        </w:rPr>
        <w:t xml:space="preserve"> cites the first instance of “chairman” as appearing in 1654: “The occupier of a chair of authority; </w:t>
      </w:r>
      <w:r w:rsidRPr="00693EA6">
        <w:rPr>
          <w:rFonts w:asciiTheme="majorBidi" w:hAnsiTheme="majorBidi" w:cstheme="majorBidi"/>
          <w:i/>
          <w:iCs/>
        </w:rPr>
        <w:t>spec</w:t>
      </w:r>
      <w:r w:rsidRPr="00693EA6">
        <w:rPr>
          <w:rFonts w:asciiTheme="majorBidi" w:hAnsiTheme="majorBidi" w:cstheme="majorBidi"/>
        </w:rPr>
        <w:t xml:space="preserve">. the person who is chosen to preside over a meeting, to conduct its proceedings, and who occupies the chair or seat provided for this function.” </w:t>
      </w:r>
    </w:p>
  </w:footnote>
  <w:footnote w:id="66">
    <w:p w14:paraId="7AB59A64" w14:textId="77777777" w:rsidR="00693EA6" w:rsidRPr="00693EA6" w:rsidRDefault="00693EA6" w:rsidP="00693EA6">
      <w:pPr>
        <w:rPr>
          <w:rFonts w:asciiTheme="majorBidi" w:hAnsiTheme="majorBidi" w:cstheme="majorBidi"/>
          <w:sz w:val="20"/>
          <w:szCs w:val="20"/>
        </w:rPr>
      </w:pPr>
      <w:r w:rsidRPr="00693EA6">
        <w:rPr>
          <w:rStyle w:val="FootnoteReference"/>
          <w:rFonts w:asciiTheme="majorBidi" w:hAnsiTheme="majorBidi" w:cstheme="majorBidi"/>
          <w:sz w:val="20"/>
          <w:szCs w:val="20"/>
        </w:rPr>
        <w:footnoteRef/>
      </w:r>
      <w:r w:rsidRPr="00693EA6">
        <w:rPr>
          <w:rFonts w:asciiTheme="majorBidi" w:hAnsiTheme="majorBidi" w:cstheme="majorBidi"/>
          <w:sz w:val="20"/>
          <w:szCs w:val="20"/>
        </w:rPr>
        <w:t xml:space="preserve"> Jenny also plays at dictating the very movement of her and others’ souls. On the rooftop, Jenny professes the exhilaration of standing above the city with its harried inhabitants, feeling “as if you were dead” (281). When Fledgeby asks how it feels to be dead, Jenny exclaims, </w:t>
      </w:r>
    </w:p>
    <w:p w14:paraId="69ABCDEF" w14:textId="0ED006BF" w:rsidR="00F61DFC" w:rsidRDefault="00693EA6" w:rsidP="00693EA6">
      <w:pPr>
        <w:rPr>
          <w:rFonts w:asciiTheme="majorBidi" w:hAnsiTheme="majorBidi" w:cstheme="majorBidi"/>
          <w:sz w:val="20"/>
          <w:szCs w:val="20"/>
        </w:rPr>
      </w:pPr>
      <w:r w:rsidRPr="00693EA6">
        <w:rPr>
          <w:rFonts w:asciiTheme="majorBidi" w:hAnsiTheme="majorBidi" w:cstheme="majorBidi"/>
          <w:sz w:val="20"/>
          <w:szCs w:val="20"/>
        </w:rPr>
        <w:tab/>
      </w:r>
      <w:r w:rsidRPr="00693EA6">
        <w:rPr>
          <w:rFonts w:asciiTheme="majorBidi" w:hAnsiTheme="majorBidi" w:cstheme="majorBidi"/>
          <w:sz w:val="20"/>
          <w:szCs w:val="20"/>
        </w:rPr>
        <w:tab/>
        <w:t xml:space="preserve">“Oh, so tranquil! . . . . Oh, so peaceful and so thankful! And you hear the people </w:t>
      </w:r>
      <w:r w:rsidRPr="00693EA6">
        <w:rPr>
          <w:rFonts w:asciiTheme="majorBidi" w:hAnsiTheme="majorBidi" w:cstheme="majorBidi"/>
          <w:sz w:val="20"/>
          <w:szCs w:val="20"/>
        </w:rPr>
        <w:tab/>
      </w:r>
      <w:r w:rsidRPr="00693EA6">
        <w:rPr>
          <w:rFonts w:asciiTheme="majorBidi" w:hAnsiTheme="majorBidi" w:cstheme="majorBidi"/>
          <w:sz w:val="20"/>
          <w:szCs w:val="20"/>
        </w:rPr>
        <w:tab/>
      </w:r>
      <w:r w:rsidRPr="00693EA6">
        <w:rPr>
          <w:rFonts w:asciiTheme="majorBidi" w:hAnsiTheme="majorBidi" w:cstheme="majorBidi"/>
          <w:sz w:val="20"/>
          <w:szCs w:val="20"/>
        </w:rPr>
        <w:tab/>
      </w:r>
      <w:r w:rsidRPr="00693EA6">
        <w:rPr>
          <w:rFonts w:asciiTheme="majorBidi" w:hAnsiTheme="majorBidi" w:cstheme="majorBidi"/>
          <w:sz w:val="20"/>
          <w:szCs w:val="20"/>
        </w:rPr>
        <w:tab/>
      </w:r>
      <w:r w:rsidR="00700233">
        <w:rPr>
          <w:rFonts w:asciiTheme="majorBidi" w:hAnsiTheme="majorBidi" w:cstheme="majorBidi"/>
          <w:sz w:val="20"/>
          <w:szCs w:val="20"/>
        </w:rPr>
        <w:tab/>
      </w:r>
      <w:r w:rsidRPr="00693EA6">
        <w:rPr>
          <w:rFonts w:asciiTheme="majorBidi" w:hAnsiTheme="majorBidi" w:cstheme="majorBidi"/>
          <w:sz w:val="20"/>
          <w:szCs w:val="20"/>
        </w:rPr>
        <w:t xml:space="preserve">who are alive, crying, and working, and calling to one another down in the close </w:t>
      </w:r>
      <w:r w:rsidRPr="00693EA6">
        <w:rPr>
          <w:rFonts w:asciiTheme="majorBidi" w:hAnsiTheme="majorBidi" w:cstheme="majorBidi"/>
          <w:sz w:val="20"/>
          <w:szCs w:val="20"/>
        </w:rPr>
        <w:tab/>
        <w:t xml:space="preserve">dark </w:t>
      </w:r>
    </w:p>
    <w:p w14:paraId="23F0F1C1" w14:textId="5E5156A3" w:rsidR="00693EA6" w:rsidRPr="00693EA6" w:rsidRDefault="00693EA6" w:rsidP="00F61DFC">
      <w:pPr>
        <w:ind w:left="1440"/>
        <w:rPr>
          <w:rFonts w:asciiTheme="majorBidi" w:hAnsiTheme="majorBidi" w:cstheme="majorBidi"/>
          <w:sz w:val="20"/>
          <w:szCs w:val="20"/>
        </w:rPr>
      </w:pPr>
      <w:r w:rsidRPr="00693EA6">
        <w:rPr>
          <w:rFonts w:asciiTheme="majorBidi" w:hAnsiTheme="majorBidi" w:cstheme="majorBidi"/>
          <w:sz w:val="20"/>
          <w:szCs w:val="20"/>
        </w:rPr>
        <w:t>streets, and you seem to pity them so! And such a chain has fallen from you, and such a strange good sorrowful happiness comes upon you!”</w:t>
      </w:r>
    </w:p>
    <w:p w14:paraId="6D7743AA" w14:textId="61FF1CB4" w:rsidR="00693EA6" w:rsidRPr="00693EA6" w:rsidRDefault="00693EA6" w:rsidP="00F61DFC">
      <w:pPr>
        <w:ind w:left="1440" w:firstLine="720"/>
        <w:rPr>
          <w:rFonts w:asciiTheme="majorBidi" w:hAnsiTheme="majorBidi" w:cstheme="majorBidi"/>
          <w:sz w:val="20"/>
          <w:szCs w:val="20"/>
        </w:rPr>
      </w:pPr>
      <w:r w:rsidRPr="00693EA6">
        <w:rPr>
          <w:rFonts w:asciiTheme="majorBidi" w:hAnsiTheme="majorBidi" w:cstheme="majorBidi"/>
          <w:sz w:val="20"/>
          <w:szCs w:val="20"/>
        </w:rPr>
        <w:t>Her eyes fell on the old man [Riah], who, with his hands folded, quietly looked on.</w:t>
      </w:r>
    </w:p>
    <w:p w14:paraId="136BC6B3" w14:textId="5D9F747F" w:rsidR="00693EA6" w:rsidRPr="00693EA6" w:rsidRDefault="00693EA6" w:rsidP="00693EA6">
      <w:pPr>
        <w:rPr>
          <w:rFonts w:asciiTheme="majorBidi" w:hAnsiTheme="majorBidi" w:cstheme="majorBidi"/>
          <w:sz w:val="20"/>
          <w:szCs w:val="20"/>
        </w:rPr>
      </w:pPr>
      <w:r w:rsidRPr="00693EA6">
        <w:rPr>
          <w:rFonts w:asciiTheme="majorBidi" w:hAnsiTheme="majorBidi" w:cstheme="majorBidi"/>
          <w:sz w:val="20"/>
          <w:szCs w:val="20"/>
        </w:rPr>
        <w:tab/>
      </w:r>
      <w:r w:rsidRPr="00693EA6">
        <w:rPr>
          <w:rFonts w:asciiTheme="majorBidi" w:hAnsiTheme="majorBidi" w:cstheme="majorBidi"/>
          <w:sz w:val="20"/>
          <w:szCs w:val="20"/>
        </w:rPr>
        <w:tab/>
      </w:r>
      <w:r w:rsidRPr="00693EA6">
        <w:rPr>
          <w:rFonts w:asciiTheme="majorBidi" w:hAnsiTheme="majorBidi" w:cstheme="majorBidi"/>
          <w:sz w:val="20"/>
          <w:szCs w:val="20"/>
        </w:rPr>
        <w:tab/>
        <w:t xml:space="preserve">“Why, it was only just now,” said the little creature, pointing at him, “that </w:t>
      </w:r>
      <w:r w:rsidRPr="00693EA6">
        <w:rPr>
          <w:rFonts w:asciiTheme="majorBidi" w:hAnsiTheme="majorBidi" w:cstheme="majorBidi"/>
          <w:sz w:val="20"/>
          <w:szCs w:val="20"/>
        </w:rPr>
        <w:tab/>
      </w:r>
      <w:r w:rsidR="00F61DFC">
        <w:rPr>
          <w:rFonts w:asciiTheme="majorBidi" w:hAnsiTheme="majorBidi" w:cstheme="majorBidi"/>
          <w:sz w:val="20"/>
          <w:szCs w:val="20"/>
        </w:rPr>
        <w:tab/>
      </w:r>
      <w:r w:rsidR="00F61DFC">
        <w:rPr>
          <w:rFonts w:asciiTheme="majorBidi" w:hAnsiTheme="majorBidi" w:cstheme="majorBidi"/>
          <w:sz w:val="20"/>
          <w:szCs w:val="20"/>
        </w:rPr>
        <w:tab/>
      </w:r>
      <w:r w:rsidR="00700233">
        <w:rPr>
          <w:rFonts w:asciiTheme="majorBidi" w:hAnsiTheme="majorBidi" w:cstheme="majorBidi"/>
          <w:sz w:val="20"/>
          <w:szCs w:val="20"/>
        </w:rPr>
        <w:tab/>
      </w:r>
      <w:r w:rsidRPr="00693EA6">
        <w:rPr>
          <w:rFonts w:asciiTheme="majorBidi" w:hAnsiTheme="majorBidi" w:cstheme="majorBidi"/>
          <w:sz w:val="20"/>
          <w:szCs w:val="20"/>
        </w:rPr>
        <w:t>I fancied I saw him come out of his grave!"</w:t>
      </w:r>
    </w:p>
    <w:p w14:paraId="28B270E9" w14:textId="77777777" w:rsidR="00693EA6" w:rsidRPr="00693EA6" w:rsidRDefault="00693EA6" w:rsidP="00693EA6">
      <w:pPr>
        <w:rPr>
          <w:rFonts w:asciiTheme="majorBidi" w:hAnsiTheme="majorBidi" w:cstheme="majorBidi"/>
          <w:sz w:val="20"/>
          <w:szCs w:val="20"/>
        </w:rPr>
      </w:pPr>
      <w:r w:rsidRPr="00693EA6">
        <w:rPr>
          <w:rFonts w:asciiTheme="majorBidi" w:hAnsiTheme="majorBidi" w:cstheme="majorBidi"/>
          <w:sz w:val="20"/>
          <w:szCs w:val="20"/>
        </w:rPr>
        <w:tab/>
      </w:r>
      <w:r w:rsidRPr="00693EA6">
        <w:rPr>
          <w:rFonts w:asciiTheme="majorBidi" w:hAnsiTheme="majorBidi" w:cstheme="majorBidi"/>
          <w:sz w:val="20"/>
          <w:szCs w:val="20"/>
        </w:rPr>
        <w:tab/>
        <w:t>. . . .</w:t>
      </w:r>
    </w:p>
    <w:p w14:paraId="0F99526B" w14:textId="77777777" w:rsidR="00A03F5B" w:rsidRDefault="00693EA6" w:rsidP="00A03F5B">
      <w:pPr>
        <w:rPr>
          <w:rFonts w:asciiTheme="majorBidi" w:hAnsiTheme="majorBidi" w:cstheme="majorBidi"/>
          <w:sz w:val="20"/>
          <w:szCs w:val="20"/>
        </w:rPr>
      </w:pPr>
      <w:r w:rsidRPr="00693EA6">
        <w:rPr>
          <w:rFonts w:asciiTheme="majorBidi" w:hAnsiTheme="majorBidi" w:cstheme="majorBidi"/>
          <w:sz w:val="20"/>
          <w:szCs w:val="20"/>
        </w:rPr>
        <w:tab/>
      </w:r>
      <w:r w:rsidRPr="00693EA6">
        <w:rPr>
          <w:rFonts w:asciiTheme="majorBidi" w:hAnsiTheme="majorBidi" w:cstheme="majorBidi"/>
          <w:sz w:val="20"/>
          <w:szCs w:val="20"/>
        </w:rPr>
        <w:tab/>
        <w:t xml:space="preserve">“But you are not dead, you know </w:t>
      </w:r>
      <w:proofErr w:type="gramStart"/>
      <w:r w:rsidRPr="00693EA6">
        <w:rPr>
          <w:rFonts w:asciiTheme="majorBidi" w:hAnsiTheme="majorBidi" w:cstheme="majorBidi"/>
          <w:sz w:val="20"/>
          <w:szCs w:val="20"/>
        </w:rPr>
        <w:t>. . . .</w:t>
      </w:r>
      <w:proofErr w:type="gramEnd"/>
      <w:r w:rsidRPr="00693EA6">
        <w:rPr>
          <w:rFonts w:asciiTheme="majorBidi" w:hAnsiTheme="majorBidi" w:cstheme="majorBidi"/>
          <w:sz w:val="20"/>
          <w:szCs w:val="20"/>
        </w:rPr>
        <w:t xml:space="preserve"> Get down to life!” (281).</w:t>
      </w:r>
    </w:p>
    <w:p w14:paraId="4E006868" w14:textId="72144B4A" w:rsidR="00693EA6" w:rsidRPr="00693EA6" w:rsidRDefault="00693EA6" w:rsidP="00A03F5B">
      <w:pPr>
        <w:rPr>
          <w:rFonts w:asciiTheme="majorBidi" w:hAnsiTheme="majorBidi" w:cstheme="majorBidi"/>
          <w:sz w:val="20"/>
          <w:szCs w:val="20"/>
        </w:rPr>
      </w:pPr>
      <w:r w:rsidRPr="00693EA6">
        <w:rPr>
          <w:rFonts w:asciiTheme="majorBidi" w:hAnsiTheme="majorBidi" w:cstheme="majorBidi"/>
          <w:sz w:val="20"/>
          <w:szCs w:val="20"/>
        </w:rPr>
        <w:t>Flegeby and Riah leave as Jenny chants, “Don’t be long gone. Come back and be dead!” (Ibid.), “Come up and be dead! Come up and be dead!” (282). Like Robert Douglas-Fairhurst, I believe Jenny’s directives suggest that “the state of one’s soul can be given precise spatial coordinates” (</w:t>
      </w:r>
      <w:r w:rsidRPr="00693EA6">
        <w:rPr>
          <w:rFonts w:asciiTheme="majorBidi" w:hAnsiTheme="majorBidi" w:cstheme="majorBidi"/>
          <w:i/>
          <w:sz w:val="20"/>
          <w:szCs w:val="20"/>
        </w:rPr>
        <w:t>Becoming Dickens</w:t>
      </w:r>
      <w:r w:rsidRPr="00693EA6">
        <w:rPr>
          <w:rFonts w:asciiTheme="majorBidi" w:hAnsiTheme="majorBidi" w:cstheme="majorBidi"/>
          <w:sz w:val="20"/>
          <w:szCs w:val="20"/>
        </w:rPr>
        <w:t xml:space="preserve"> 35). Her gesture toward the soul’s eerie autonomy implies an ephemeral, integral component of the self that can be altered, manipulated, or recast. </w:t>
      </w:r>
    </w:p>
  </w:footnote>
  <w:footnote w:id="67">
    <w:p w14:paraId="00B24064" w14:textId="77777777" w:rsidR="00693EA6" w:rsidRPr="00693EA6" w:rsidRDefault="00693EA6" w:rsidP="00693EA6">
      <w:pPr>
        <w:pStyle w:val="FootnoteText"/>
        <w:rPr>
          <w:rFonts w:asciiTheme="majorBidi" w:hAnsiTheme="majorBidi" w:cstheme="majorBidi"/>
        </w:rPr>
      </w:pPr>
      <w:r w:rsidRPr="00693EA6">
        <w:rPr>
          <w:rStyle w:val="FootnoteReference"/>
          <w:rFonts w:asciiTheme="majorBidi" w:hAnsiTheme="majorBidi" w:cstheme="majorBidi"/>
        </w:rPr>
        <w:footnoteRef/>
      </w:r>
      <w:r w:rsidRPr="00693EA6">
        <w:rPr>
          <w:rFonts w:asciiTheme="majorBidi" w:hAnsiTheme="majorBidi" w:cstheme="majorBidi"/>
        </w:rPr>
        <w:t xml:space="preserve"> Alternately “A Stick, rod, pole, stake of mean, used as a temporary support . . . anything that serves to support something or keep it in place” or theater slang for “a stage property” or “accessory” (See </w:t>
      </w:r>
      <w:r w:rsidRPr="00693EA6">
        <w:rPr>
          <w:rFonts w:asciiTheme="majorBidi" w:hAnsiTheme="majorBidi" w:cstheme="majorBidi"/>
          <w:i/>
          <w:iCs/>
        </w:rPr>
        <w:t>OED</w:t>
      </w:r>
      <w:r w:rsidRPr="00693EA6">
        <w:rPr>
          <w:rFonts w:asciiTheme="majorBidi" w:hAnsiTheme="majorBidi" w:cstheme="majorBidi"/>
        </w:rPr>
        <w:t xml:space="preserve"> entry on “prop.”)</w:t>
      </w:r>
    </w:p>
  </w:footnote>
  <w:footnote w:id="68">
    <w:p w14:paraId="515CF14D" w14:textId="77777777" w:rsidR="00693EA6" w:rsidRPr="00693EA6" w:rsidRDefault="00693EA6" w:rsidP="00693EA6">
      <w:pPr>
        <w:rPr>
          <w:rFonts w:asciiTheme="majorBidi" w:hAnsiTheme="majorBidi" w:cstheme="majorBidi"/>
          <w:color w:val="000000"/>
          <w:sz w:val="20"/>
          <w:szCs w:val="20"/>
        </w:rPr>
      </w:pPr>
      <w:r w:rsidRPr="00693EA6">
        <w:rPr>
          <w:rStyle w:val="FootnoteReference"/>
          <w:rFonts w:asciiTheme="majorBidi" w:hAnsiTheme="majorBidi" w:cstheme="majorBidi"/>
          <w:sz w:val="20"/>
          <w:szCs w:val="20"/>
        </w:rPr>
        <w:footnoteRef/>
      </w:r>
      <w:r w:rsidRPr="00693EA6">
        <w:rPr>
          <w:rFonts w:asciiTheme="majorBidi" w:hAnsiTheme="majorBidi" w:cstheme="majorBidi"/>
          <w:sz w:val="20"/>
          <w:szCs w:val="20"/>
        </w:rPr>
        <w:t xml:space="preserve"> While animals sometimes appear in the company of disabled characters in Victorian literature, they are typically not explicitly defined as assistance or service animals in the narrative. (Indeed, the designation did not exist as we know it now until the early twentieth century.) Occasionally, though, the assistive link appears more conspicuous, as in, for example, Dickens’s </w:t>
      </w:r>
      <w:r w:rsidRPr="00693EA6">
        <w:rPr>
          <w:rFonts w:asciiTheme="majorBidi" w:hAnsiTheme="majorBidi" w:cstheme="majorBidi"/>
          <w:i/>
          <w:iCs/>
          <w:sz w:val="20"/>
          <w:szCs w:val="20"/>
        </w:rPr>
        <w:t>A Christmas Carol</w:t>
      </w:r>
      <w:r w:rsidRPr="00693EA6">
        <w:rPr>
          <w:rFonts w:asciiTheme="majorBidi" w:hAnsiTheme="majorBidi" w:cstheme="majorBidi"/>
          <w:sz w:val="20"/>
          <w:szCs w:val="20"/>
        </w:rPr>
        <w:t xml:space="preserve"> (1843). Detailing the communal avoidance of Scrooge, the narrator notes, “</w:t>
      </w:r>
      <w:r w:rsidRPr="00693EA6">
        <w:rPr>
          <w:rFonts w:asciiTheme="majorBidi" w:hAnsiTheme="majorBidi" w:cstheme="majorBidi"/>
          <w:color w:val="000000"/>
          <w:sz w:val="20"/>
          <w:szCs w:val="20"/>
        </w:rPr>
        <w:t xml:space="preserve">Even the blindmen’s dogs appeared to know him; and when they saw him coming on, would tug their owners into doorways and up courts; and then would wag their tails as though they said, ‘No eye at all is better than an evil eye, dark master!’” (34). </w:t>
      </w:r>
    </w:p>
    <w:p w14:paraId="75A200EB" w14:textId="77777777" w:rsidR="00693EA6" w:rsidRPr="00693EA6" w:rsidRDefault="00693EA6" w:rsidP="00693EA6">
      <w:pPr>
        <w:rPr>
          <w:rFonts w:asciiTheme="majorBidi" w:hAnsiTheme="majorBidi" w:cstheme="majorBidi"/>
          <w:color w:val="000000"/>
          <w:sz w:val="20"/>
          <w:szCs w:val="20"/>
        </w:rPr>
      </w:pPr>
      <w:r w:rsidRPr="00693EA6">
        <w:rPr>
          <w:rFonts w:asciiTheme="majorBidi" w:hAnsiTheme="majorBidi" w:cstheme="majorBidi"/>
          <w:color w:val="000000"/>
          <w:sz w:val="20"/>
          <w:szCs w:val="20"/>
        </w:rPr>
        <w:tab/>
        <w:t xml:space="preserve">Real-world accounts of service animals also appear in Henry Mayhew’s </w:t>
      </w:r>
      <w:r w:rsidRPr="00693EA6">
        <w:rPr>
          <w:rFonts w:asciiTheme="majorBidi" w:hAnsiTheme="majorBidi" w:cstheme="majorBidi"/>
          <w:i/>
          <w:iCs/>
          <w:color w:val="000000"/>
          <w:sz w:val="20"/>
          <w:szCs w:val="20"/>
        </w:rPr>
        <w:t>London Labour and the London Poor</w:t>
      </w:r>
      <w:r w:rsidRPr="00693EA6">
        <w:rPr>
          <w:rFonts w:asciiTheme="majorBidi" w:hAnsiTheme="majorBidi" w:cstheme="majorBidi"/>
          <w:color w:val="000000"/>
          <w:sz w:val="20"/>
          <w:szCs w:val="20"/>
        </w:rPr>
        <w:t xml:space="preserve"> (1851, 1861) and typically involve blind individuals and their dogs, though Mayhew notes that “Many of the blind are very fond of keeping birds and [other] animals” (Vol. I, 404). In “The Blind Street-Seller of Boot Laces,” one man emphasizes the integral role dogs play in the blind community: </w:t>
      </w:r>
    </w:p>
    <w:p w14:paraId="630A3CE4" w14:textId="77777777" w:rsidR="00693EA6" w:rsidRPr="00693EA6" w:rsidRDefault="00693EA6" w:rsidP="00693EA6">
      <w:pPr>
        <w:ind w:left="1440"/>
        <w:rPr>
          <w:rFonts w:asciiTheme="majorBidi" w:hAnsiTheme="majorBidi" w:cstheme="majorBidi"/>
          <w:color w:val="000000"/>
          <w:sz w:val="20"/>
          <w:szCs w:val="20"/>
        </w:rPr>
      </w:pPr>
      <w:r w:rsidRPr="00693EA6">
        <w:rPr>
          <w:rFonts w:asciiTheme="majorBidi" w:hAnsiTheme="majorBidi" w:cstheme="majorBidi"/>
          <w:color w:val="000000"/>
          <w:sz w:val="20"/>
          <w:szCs w:val="20"/>
        </w:rPr>
        <w:t>Nobody likes a dog so much as a blind man, I am told—'they can’t—the blind man is so much beholden to his dog, he does him such favours and sarvices.’ With my dog I can go to any part of London as independent as any one who has got his sight. Yesterday afternoon when I left your house, sir, I was ashamed of going through the street. People was a saying, ‘Look’ee there, that’s the man as says he’s blind.’ I was going so quick, it was so late you know, they couldn’t make it out, but without my dog I must have crawled along, and always be in great fear. (Ibid.)</w:t>
      </w:r>
    </w:p>
    <w:p w14:paraId="1ACEEB0B" w14:textId="2C755E89" w:rsidR="00693EA6" w:rsidRPr="00693EA6" w:rsidRDefault="00693EA6" w:rsidP="00693EA6">
      <w:pPr>
        <w:rPr>
          <w:rFonts w:asciiTheme="majorBidi" w:hAnsiTheme="majorBidi" w:cstheme="majorBidi"/>
          <w:color w:val="000000"/>
          <w:sz w:val="20"/>
          <w:szCs w:val="20"/>
        </w:rPr>
      </w:pPr>
      <w:r w:rsidRPr="00693EA6">
        <w:rPr>
          <w:rFonts w:asciiTheme="majorBidi" w:hAnsiTheme="majorBidi" w:cstheme="majorBidi"/>
          <w:color w:val="000000"/>
          <w:sz w:val="20"/>
          <w:szCs w:val="20"/>
        </w:rPr>
        <w:t xml:space="preserve">(See figure </w:t>
      </w:r>
      <w:r w:rsidR="00CF5F78">
        <w:rPr>
          <w:rFonts w:asciiTheme="majorBidi" w:hAnsiTheme="majorBidi" w:cstheme="majorBidi"/>
          <w:color w:val="000000"/>
          <w:sz w:val="20"/>
          <w:szCs w:val="20"/>
        </w:rPr>
        <w:t>4</w:t>
      </w:r>
      <w:r w:rsidRPr="00693EA6">
        <w:rPr>
          <w:rFonts w:asciiTheme="majorBidi" w:hAnsiTheme="majorBidi" w:cstheme="majorBidi"/>
          <w:color w:val="000000"/>
          <w:sz w:val="20"/>
          <w:szCs w:val="20"/>
        </w:rPr>
        <w:t xml:space="preserve">.) Other such accounts include a “Blind Female Violin Player” who is led by a “very fine . . . Scotch colley” (Vol. III, 161) and “A Blind Beggar” who compares his old and new guide dogs (the former having lived, by the man’s account, to be twenty-five, the latter being about five): “I never go over the road; my dog knows that. I am going down there </w:t>
      </w:r>
      <w:proofErr w:type="gramStart"/>
      <w:r w:rsidRPr="00693EA6">
        <w:rPr>
          <w:rFonts w:asciiTheme="majorBidi" w:hAnsiTheme="majorBidi" w:cstheme="majorBidi"/>
          <w:color w:val="000000"/>
          <w:sz w:val="20"/>
          <w:szCs w:val="20"/>
        </w:rPr>
        <w:t>. . . .</w:t>
      </w:r>
      <w:proofErr w:type="gramEnd"/>
      <w:r w:rsidRPr="00693EA6">
        <w:rPr>
          <w:rFonts w:asciiTheme="majorBidi" w:hAnsiTheme="majorBidi" w:cstheme="majorBidi"/>
          <w:color w:val="000000"/>
          <w:sz w:val="20"/>
          <w:szCs w:val="20"/>
        </w:rPr>
        <w:t xml:space="preserve"> when I get to the end of that the dog will stop; but I know as well as him. Yes, he’s a good dog, but never the dog I used to have; he used always to stop when there was anybody near, and pull when there was nobody. He was what I call a steady dog, this one is young and foolish” (Vol. IV, 434).</w:t>
      </w:r>
      <w:r w:rsidR="00E21B5C">
        <w:rPr>
          <w:rFonts w:asciiTheme="majorBidi" w:hAnsiTheme="majorBidi" w:cstheme="majorBidi"/>
          <w:color w:val="000000"/>
          <w:sz w:val="20"/>
          <w:szCs w:val="20"/>
        </w:rPr>
        <w:t xml:space="preserve"> </w:t>
      </w:r>
    </w:p>
  </w:footnote>
  <w:footnote w:id="69">
    <w:p w14:paraId="62ED2727" w14:textId="77777777" w:rsidR="002518A0" w:rsidRPr="00693EA6" w:rsidRDefault="002518A0" w:rsidP="002518A0">
      <w:pPr>
        <w:rPr>
          <w:rFonts w:asciiTheme="majorBidi" w:hAnsiTheme="majorBidi" w:cstheme="majorBidi"/>
          <w:sz w:val="20"/>
          <w:szCs w:val="20"/>
        </w:rPr>
      </w:pPr>
      <w:r w:rsidRPr="00693EA6">
        <w:rPr>
          <w:rStyle w:val="FootnoteReference"/>
          <w:rFonts w:asciiTheme="majorBidi" w:hAnsiTheme="majorBidi" w:cstheme="majorBidi"/>
          <w:sz w:val="20"/>
          <w:szCs w:val="20"/>
        </w:rPr>
        <w:footnoteRef/>
      </w:r>
      <w:r w:rsidRPr="00693EA6">
        <w:rPr>
          <w:rFonts w:asciiTheme="majorBidi" w:hAnsiTheme="majorBidi" w:cstheme="majorBidi"/>
          <w:sz w:val="20"/>
          <w:szCs w:val="20"/>
        </w:rPr>
        <w:t xml:space="preserve"> The narrator goes so far as to describe Grip as “alive to everything his master was unconscious of” (144).</w:t>
      </w:r>
    </w:p>
  </w:footnote>
  <w:footnote w:id="70">
    <w:p w14:paraId="3F03F343" w14:textId="77777777" w:rsidR="002518A0" w:rsidRPr="00693EA6" w:rsidRDefault="002518A0" w:rsidP="002518A0">
      <w:pPr>
        <w:pStyle w:val="FootnoteText"/>
        <w:rPr>
          <w:rFonts w:asciiTheme="majorBidi" w:hAnsiTheme="majorBidi" w:cstheme="majorBidi"/>
        </w:rPr>
      </w:pPr>
      <w:r w:rsidRPr="00693EA6">
        <w:rPr>
          <w:rStyle w:val="FootnoteReference"/>
          <w:rFonts w:asciiTheme="majorBidi" w:hAnsiTheme="majorBidi" w:cstheme="majorBidi"/>
        </w:rPr>
        <w:footnoteRef/>
      </w:r>
      <w:r w:rsidRPr="00693EA6">
        <w:rPr>
          <w:rFonts w:asciiTheme="majorBidi" w:hAnsiTheme="majorBidi" w:cstheme="majorBidi"/>
        </w:rPr>
        <w:t xml:space="preserve"> In their brief nod to the role of animals in medical environments, Ruth Lindquist, et al. explain that early instances of animal-assistive healing interventions date back to “9</w:t>
      </w:r>
      <w:r w:rsidRPr="00693EA6">
        <w:rPr>
          <w:rFonts w:asciiTheme="majorBidi" w:hAnsiTheme="majorBidi" w:cstheme="majorBidi"/>
          <w:vertAlign w:val="superscript"/>
        </w:rPr>
        <w:t>th</w:t>
      </w:r>
      <w:r w:rsidRPr="00693EA6">
        <w:rPr>
          <w:rFonts w:asciiTheme="majorBidi" w:hAnsiTheme="majorBidi" w:cstheme="majorBidi"/>
        </w:rPr>
        <w:t>-century Belgium where animals were used with persons with physical disabilities, followed by 18</w:t>
      </w:r>
      <w:r w:rsidRPr="00693EA6">
        <w:rPr>
          <w:rFonts w:asciiTheme="majorBidi" w:hAnsiTheme="majorBidi" w:cstheme="majorBidi"/>
          <w:vertAlign w:val="superscript"/>
        </w:rPr>
        <w:t>th</w:t>
      </w:r>
      <w:r w:rsidRPr="00693EA6">
        <w:rPr>
          <w:rFonts w:asciiTheme="majorBidi" w:hAnsiTheme="majorBidi" w:cstheme="majorBidi"/>
        </w:rPr>
        <w:t>-cetury England where animals were used with people with mental illnesses” (</w:t>
      </w:r>
      <w:r w:rsidRPr="00693EA6">
        <w:rPr>
          <w:rFonts w:asciiTheme="majorBidi" w:hAnsiTheme="majorBidi" w:cstheme="majorBidi"/>
          <w:i/>
          <w:iCs/>
        </w:rPr>
        <w:t>Complementary &amp; Alternative Therapies in Nursing</w:t>
      </w:r>
      <w:r w:rsidRPr="00693EA6">
        <w:rPr>
          <w:rFonts w:asciiTheme="majorBidi" w:hAnsiTheme="majorBidi" w:cstheme="majorBidi"/>
        </w:rPr>
        <w:t xml:space="preserve">, 230). Both the York Retreat and Bethlem Hospital introduced animals into their facilities at the turn of the nineteenth century, and even Florence Nightingale documented her support of companion animals for people with chronic illnesses or disabilities in the mid-1800s. See Nightingale’s </w:t>
      </w:r>
      <w:r w:rsidRPr="00693EA6">
        <w:rPr>
          <w:rFonts w:asciiTheme="majorBidi" w:hAnsiTheme="majorBidi" w:cstheme="majorBidi"/>
          <w:i/>
          <w:iCs/>
        </w:rPr>
        <w:t xml:space="preserve">Notes on nursing </w:t>
      </w:r>
      <w:r w:rsidRPr="00693EA6">
        <w:rPr>
          <w:rFonts w:asciiTheme="majorBidi" w:hAnsiTheme="majorBidi" w:cstheme="majorBidi"/>
        </w:rPr>
        <w:t xml:space="preserve">(1859). </w:t>
      </w:r>
    </w:p>
  </w:footnote>
  <w:footnote w:id="71">
    <w:p w14:paraId="791C2E50" w14:textId="77777777" w:rsidR="00693EA6" w:rsidRPr="00693EA6" w:rsidRDefault="00693EA6" w:rsidP="00693EA6">
      <w:pPr>
        <w:rPr>
          <w:rFonts w:asciiTheme="majorBidi" w:hAnsiTheme="majorBidi" w:cstheme="majorBidi"/>
          <w:sz w:val="20"/>
          <w:szCs w:val="20"/>
        </w:rPr>
      </w:pPr>
      <w:r w:rsidRPr="00693EA6">
        <w:rPr>
          <w:rStyle w:val="FootnoteReference"/>
          <w:rFonts w:asciiTheme="majorBidi" w:hAnsiTheme="majorBidi" w:cstheme="majorBidi"/>
          <w:sz w:val="20"/>
          <w:szCs w:val="20"/>
        </w:rPr>
        <w:footnoteRef/>
      </w:r>
      <w:r w:rsidRPr="00693EA6">
        <w:rPr>
          <w:rFonts w:asciiTheme="majorBidi" w:hAnsiTheme="majorBidi" w:cstheme="majorBidi"/>
          <w:sz w:val="20"/>
          <w:szCs w:val="20"/>
        </w:rPr>
        <w:t xml:space="preserve"> In “A Cyborg Manifesto,” Donna Haraway claims, “By the late twentieth century in US scientific culture, the boundary between human and animal is thoroughly breached</w:t>
      </w:r>
      <w:proofErr w:type="gramStart"/>
      <w:r w:rsidRPr="00693EA6">
        <w:rPr>
          <w:rFonts w:asciiTheme="majorBidi" w:hAnsiTheme="majorBidi" w:cstheme="majorBidi"/>
          <w:sz w:val="20"/>
          <w:szCs w:val="20"/>
        </w:rPr>
        <w:t>. . . .</w:t>
      </w:r>
      <w:proofErr w:type="gramEnd"/>
      <w:r w:rsidRPr="00693EA6">
        <w:rPr>
          <w:rFonts w:asciiTheme="majorBidi" w:hAnsiTheme="majorBidi" w:cstheme="majorBidi"/>
          <w:sz w:val="20"/>
          <w:szCs w:val="20"/>
        </w:rPr>
        <w:t xml:space="preserve"> Language, tool use, social behaviour, mental events, nothing really convincingly settles the separation of human and animal” (293). While some people might want to hold the line between </w:t>
      </w:r>
      <w:r w:rsidRPr="00693EA6">
        <w:rPr>
          <w:rFonts w:asciiTheme="majorBidi" w:hAnsiTheme="majorBidi" w:cstheme="majorBidi"/>
          <w:i/>
          <w:iCs/>
          <w:sz w:val="20"/>
          <w:szCs w:val="20"/>
        </w:rPr>
        <w:t>Homo sapiens</w:t>
      </w:r>
      <w:r w:rsidRPr="00693EA6">
        <w:rPr>
          <w:rFonts w:asciiTheme="majorBidi" w:hAnsiTheme="majorBidi" w:cstheme="majorBidi"/>
          <w:sz w:val="20"/>
          <w:szCs w:val="20"/>
        </w:rPr>
        <w:t xml:space="preserve"> and other animal species, Haraway suggests that “a cyborg world might be about lived social and bodily realities in which people are not afraid of their joint kinship with animals and machines, not afraid of permanently partial identities” (295).</w:t>
      </w:r>
    </w:p>
  </w:footnote>
  <w:footnote w:id="72">
    <w:p w14:paraId="76A0322D" w14:textId="77777777" w:rsidR="00421934" w:rsidRPr="00693EA6" w:rsidRDefault="00421934" w:rsidP="00421934">
      <w:pPr>
        <w:rPr>
          <w:rFonts w:asciiTheme="majorBidi" w:hAnsiTheme="majorBidi" w:cstheme="majorBidi"/>
          <w:sz w:val="20"/>
          <w:szCs w:val="20"/>
        </w:rPr>
      </w:pPr>
      <w:r w:rsidRPr="00693EA6">
        <w:rPr>
          <w:rStyle w:val="FootnoteReference"/>
          <w:rFonts w:asciiTheme="majorBidi" w:hAnsiTheme="majorBidi" w:cstheme="majorBidi"/>
          <w:sz w:val="20"/>
          <w:szCs w:val="20"/>
        </w:rPr>
        <w:footnoteRef/>
      </w:r>
      <w:r w:rsidRPr="00693EA6">
        <w:rPr>
          <w:rFonts w:asciiTheme="majorBidi" w:hAnsiTheme="majorBidi" w:cstheme="majorBidi"/>
          <w:sz w:val="20"/>
          <w:szCs w:val="20"/>
        </w:rPr>
        <w:t xml:space="preserve"> Harriet Ritvo has noted that “The standing of animals, even those closest to us, still presents vexed moral, legal, and political issues, and the range of possible positions is not very different from the range available to the Victorians” (</w:t>
      </w:r>
      <w:r w:rsidRPr="00693EA6">
        <w:rPr>
          <w:rFonts w:asciiTheme="majorBidi" w:hAnsiTheme="majorBidi" w:cstheme="majorBidi"/>
          <w:i/>
          <w:iCs/>
          <w:sz w:val="20"/>
          <w:szCs w:val="20"/>
        </w:rPr>
        <w:t>The Animal Estate</w:t>
      </w:r>
      <w:r w:rsidRPr="00693EA6">
        <w:rPr>
          <w:rFonts w:asciiTheme="majorBidi" w:hAnsiTheme="majorBidi" w:cstheme="majorBidi"/>
          <w:sz w:val="20"/>
          <w:szCs w:val="20"/>
        </w:rPr>
        <w:t xml:space="preserve"> 275).</w:t>
      </w:r>
    </w:p>
    <w:p w14:paraId="7AB1CE9F" w14:textId="77777777" w:rsidR="00421934" w:rsidRPr="00693EA6" w:rsidRDefault="00421934" w:rsidP="00421934">
      <w:pPr>
        <w:pStyle w:val="FootnoteText"/>
        <w:rPr>
          <w:rFonts w:asciiTheme="majorBidi" w:hAnsiTheme="majorBidi" w:cstheme="majorBidi"/>
        </w:rPr>
      </w:pPr>
    </w:p>
  </w:footnote>
  <w:footnote w:id="73">
    <w:p w14:paraId="3CF26F2F" w14:textId="77777777" w:rsidR="00693EA6" w:rsidRPr="00693EA6" w:rsidRDefault="00693EA6" w:rsidP="00693EA6">
      <w:pPr>
        <w:pStyle w:val="FootnoteText"/>
        <w:rPr>
          <w:rFonts w:asciiTheme="majorBidi" w:hAnsiTheme="majorBidi" w:cstheme="majorBidi"/>
        </w:rPr>
      </w:pPr>
      <w:r w:rsidRPr="00693EA6">
        <w:rPr>
          <w:rStyle w:val="FootnoteReference"/>
          <w:rFonts w:asciiTheme="majorBidi" w:hAnsiTheme="majorBidi" w:cstheme="majorBidi"/>
        </w:rPr>
        <w:footnoteRef/>
      </w:r>
      <w:r w:rsidRPr="00693EA6">
        <w:rPr>
          <w:rFonts w:asciiTheme="majorBidi" w:hAnsiTheme="majorBidi" w:cstheme="majorBidi"/>
        </w:rPr>
        <w:t xml:space="preserve"> Mayhew’s </w:t>
      </w:r>
      <w:r w:rsidRPr="00693EA6">
        <w:rPr>
          <w:rFonts w:asciiTheme="majorBidi" w:hAnsiTheme="majorBidi" w:cstheme="majorBidi"/>
          <w:i/>
          <w:iCs/>
        </w:rPr>
        <w:t>London Labour and the London Poor</w:t>
      </w:r>
      <w:r w:rsidRPr="00693EA6">
        <w:rPr>
          <w:rFonts w:asciiTheme="majorBidi" w:hAnsiTheme="majorBidi" w:cstheme="majorBidi"/>
        </w:rPr>
        <w:t>, again, highlights some real-world portraits of animals whose assistive function inheres in their capacity to provide financially for the poor or disabled owner. Consider, for example, “Exhibitor of Birds and Mice,” a former juggler whose rheumatism forced a change in profession (Vol. III, 219-20). The exhibitor trains his birds and mice—all of whom he names—to perform tricks for the public. Another of Mayhew’s vignettes features a “Snake, Sword, and Knife-Swallower,” who, as one might suppose, makes his living through performative acts of swallowing the aforementioned animal and objects, and who “s</w:t>
      </w:r>
      <w:r w:rsidRPr="00693EA6">
        <w:rPr>
          <w:rFonts w:asciiTheme="majorBidi" w:hAnsiTheme="majorBidi" w:cstheme="majorBidi"/>
          <w:color w:val="000000"/>
        </w:rPr>
        <w:t xml:space="preserve">poke of the snake in general as a reptile capable of affection” (Vol. III, 116). Beyond the more overtly commercial enterprise discussed in these accounts, some disabled owners of these animals note the way in which people tend to give more generously when accompanied by their animals.  </w:t>
      </w:r>
    </w:p>
  </w:footnote>
  <w:footnote w:id="74">
    <w:p w14:paraId="3BA03F42" w14:textId="77777777" w:rsidR="00693EA6" w:rsidRPr="00693EA6" w:rsidRDefault="00693EA6" w:rsidP="00693EA6">
      <w:pPr>
        <w:pStyle w:val="FootnoteText"/>
        <w:rPr>
          <w:rFonts w:asciiTheme="majorBidi" w:hAnsiTheme="majorBidi" w:cstheme="majorBidi"/>
        </w:rPr>
      </w:pPr>
      <w:r w:rsidRPr="00693EA6">
        <w:rPr>
          <w:rStyle w:val="FootnoteReference"/>
          <w:rFonts w:asciiTheme="majorBidi" w:hAnsiTheme="majorBidi" w:cstheme="majorBidi"/>
        </w:rPr>
        <w:footnoteRef/>
      </w:r>
      <w:r w:rsidRPr="00693EA6">
        <w:rPr>
          <w:rFonts w:asciiTheme="majorBidi" w:hAnsiTheme="majorBidi" w:cstheme="majorBidi"/>
        </w:rPr>
        <w:t xml:space="preserve"> Here I apply Butler’s question in </w:t>
      </w:r>
      <w:r w:rsidRPr="00693EA6">
        <w:rPr>
          <w:rFonts w:asciiTheme="majorBidi" w:hAnsiTheme="majorBidi" w:cstheme="majorBidi"/>
          <w:i/>
        </w:rPr>
        <w:t>Bodies that Matter</w:t>
      </w:r>
      <w:r w:rsidRPr="00693EA6">
        <w:rPr>
          <w:rFonts w:asciiTheme="majorBidi" w:hAnsiTheme="majorBidi" w:cstheme="majorBidi"/>
        </w:rPr>
        <w:t xml:space="preserve"> about how we “understand the ritualized repetition by which </w:t>
      </w:r>
      <w:proofErr w:type="gramStart"/>
      <w:r w:rsidRPr="00693EA6">
        <w:rPr>
          <w:rFonts w:asciiTheme="majorBidi" w:hAnsiTheme="majorBidi" w:cstheme="majorBidi"/>
        </w:rPr>
        <w:t>[ ]</w:t>
      </w:r>
      <w:proofErr w:type="gramEnd"/>
      <w:r w:rsidRPr="00693EA6">
        <w:rPr>
          <w:rFonts w:asciiTheme="majorBidi" w:hAnsiTheme="majorBidi" w:cstheme="majorBidi"/>
        </w:rPr>
        <w:t xml:space="preserve"> norms produce and stabilize . . . the effects of gender [and] the materiality of sex” to a consideration of the way in which norms, performativity, and constraints materialize (rather than construct, to remain true to her terminology) other kinds of bodies and identities (x). </w:t>
      </w:r>
    </w:p>
  </w:footnote>
  <w:footnote w:id="75">
    <w:p w14:paraId="0DA79102" w14:textId="75A4B478" w:rsidR="00693EA6" w:rsidRPr="00693EA6" w:rsidRDefault="00693EA6" w:rsidP="00693EA6">
      <w:pPr>
        <w:pStyle w:val="FootnoteText"/>
        <w:rPr>
          <w:rFonts w:asciiTheme="majorBidi" w:hAnsiTheme="majorBidi" w:cstheme="majorBidi"/>
        </w:rPr>
      </w:pPr>
      <w:r w:rsidRPr="00693EA6">
        <w:rPr>
          <w:rStyle w:val="FootnoteReference"/>
          <w:rFonts w:asciiTheme="majorBidi" w:hAnsiTheme="majorBidi" w:cstheme="majorBidi"/>
        </w:rPr>
        <w:footnoteRef/>
      </w:r>
      <w:r w:rsidRPr="00693EA6">
        <w:rPr>
          <w:rFonts w:asciiTheme="majorBidi" w:hAnsiTheme="majorBidi" w:cstheme="majorBidi"/>
        </w:rPr>
        <w:t xml:space="preserve"> It is worth noting</w:t>
      </w:r>
      <w:r w:rsidR="003E2CEF">
        <w:rPr>
          <w:rFonts w:asciiTheme="majorBidi" w:hAnsiTheme="majorBidi" w:cstheme="majorBidi"/>
        </w:rPr>
        <w:t>, however,</w:t>
      </w:r>
      <w:r w:rsidRPr="00693EA6">
        <w:rPr>
          <w:rFonts w:asciiTheme="majorBidi" w:hAnsiTheme="majorBidi" w:cstheme="majorBidi"/>
        </w:rPr>
        <w:t xml:space="preserve"> that Mr. Dick, like Barnaby, sees things that the novel’s neurotypical characters fail to notice. </w:t>
      </w:r>
      <w:r w:rsidR="003E2CEF">
        <w:rPr>
          <w:rFonts w:asciiTheme="majorBidi" w:hAnsiTheme="majorBidi" w:cstheme="majorBidi"/>
        </w:rPr>
        <w:t>In particular, he demo</w:t>
      </w:r>
      <w:r w:rsidRPr="00693EA6">
        <w:rPr>
          <w:rFonts w:asciiTheme="majorBidi" w:hAnsiTheme="majorBidi" w:cstheme="majorBidi"/>
        </w:rPr>
        <w:t xml:space="preserve">nstrates a keen awareness of and sensitivity to emotional nuance when he helps to reconcile the Strongs’ marriage. </w:t>
      </w:r>
    </w:p>
  </w:footnote>
  <w:footnote w:id="76">
    <w:p w14:paraId="7072BEE2" w14:textId="77777777" w:rsidR="00693EA6" w:rsidRPr="00693EA6" w:rsidRDefault="00693EA6" w:rsidP="00693EA6">
      <w:pPr>
        <w:pStyle w:val="FootnoteText"/>
        <w:rPr>
          <w:rFonts w:asciiTheme="majorBidi" w:hAnsiTheme="majorBidi" w:cstheme="majorBidi"/>
        </w:rPr>
      </w:pPr>
      <w:r w:rsidRPr="00693EA6">
        <w:rPr>
          <w:rStyle w:val="FootnoteReference"/>
          <w:rFonts w:asciiTheme="majorBidi" w:hAnsiTheme="majorBidi" w:cstheme="majorBidi"/>
        </w:rPr>
        <w:footnoteRef/>
      </w:r>
      <w:r w:rsidRPr="00693EA6">
        <w:rPr>
          <w:rFonts w:asciiTheme="majorBidi" w:hAnsiTheme="majorBidi" w:cstheme="majorBidi"/>
        </w:rPr>
        <w:t xml:space="preserve"> See my discussion of Alex Woloch’s theorization of minor characters in Chapter III. </w:t>
      </w:r>
    </w:p>
    <w:p w14:paraId="7D11D70A" w14:textId="77777777" w:rsidR="00693EA6" w:rsidRPr="00693EA6" w:rsidRDefault="00693EA6" w:rsidP="00693EA6">
      <w:pPr>
        <w:pStyle w:val="FootnoteText"/>
        <w:ind w:firstLine="720"/>
        <w:rPr>
          <w:rFonts w:asciiTheme="majorBidi" w:hAnsiTheme="majorBidi" w:cstheme="majorBidi"/>
        </w:rPr>
      </w:pPr>
      <w:r w:rsidRPr="00693EA6">
        <w:rPr>
          <w:rFonts w:asciiTheme="majorBidi" w:hAnsiTheme="majorBidi" w:cstheme="majorBidi"/>
        </w:rPr>
        <w:t xml:space="preserve">In her annotation of </w:t>
      </w:r>
      <w:proofErr w:type="gramStart"/>
      <w:r w:rsidRPr="00693EA6">
        <w:rPr>
          <w:rFonts w:asciiTheme="majorBidi" w:hAnsiTheme="majorBidi" w:cstheme="majorBidi"/>
        </w:rPr>
        <w:t>Collins’s</w:t>
      </w:r>
      <w:proofErr w:type="gramEnd"/>
      <w:r w:rsidRPr="00693EA6">
        <w:rPr>
          <w:rFonts w:asciiTheme="majorBidi" w:hAnsiTheme="majorBidi" w:cstheme="majorBidi"/>
        </w:rPr>
        <w:t xml:space="preserve"> </w:t>
      </w:r>
      <w:r w:rsidRPr="00693EA6">
        <w:rPr>
          <w:rFonts w:asciiTheme="majorBidi" w:hAnsiTheme="majorBidi" w:cstheme="majorBidi"/>
          <w:i/>
          <w:iCs/>
        </w:rPr>
        <w:t>The Law and the Lady</w:t>
      </w:r>
      <w:r w:rsidRPr="00693EA6">
        <w:rPr>
          <w:rFonts w:asciiTheme="majorBidi" w:hAnsiTheme="majorBidi" w:cstheme="majorBidi"/>
        </w:rPr>
        <w:t>, Jenny Bourne Taylor explains how the term “</w:t>
      </w:r>
      <w:r w:rsidRPr="00693EA6">
        <w:rPr>
          <w:rFonts w:asciiTheme="majorBidi" w:hAnsiTheme="majorBidi" w:cstheme="majorBidi"/>
          <w:iCs/>
        </w:rPr>
        <w:t>eccentricity”</w:t>
      </w:r>
      <w:r w:rsidRPr="00693EA6">
        <w:rPr>
          <w:rFonts w:asciiTheme="majorBidi" w:hAnsiTheme="majorBidi" w:cstheme="majorBidi"/>
        </w:rPr>
        <w:t xml:space="preserve"> “had acquired quite specific connotations by 1875. It was often seen as the early manifestation of worrying signs of mental derangement” (419-20).</w:t>
      </w:r>
    </w:p>
    <w:p w14:paraId="30738D0D" w14:textId="01A1CBAC" w:rsidR="00693EA6" w:rsidRPr="00693EA6" w:rsidRDefault="00693EA6" w:rsidP="00693EA6">
      <w:pPr>
        <w:ind w:firstLine="720"/>
        <w:rPr>
          <w:rFonts w:asciiTheme="majorBidi" w:hAnsiTheme="majorBidi" w:cstheme="majorBidi"/>
          <w:sz w:val="20"/>
          <w:szCs w:val="20"/>
        </w:rPr>
      </w:pPr>
      <w:r w:rsidRPr="00693EA6">
        <w:rPr>
          <w:rFonts w:asciiTheme="majorBidi" w:hAnsiTheme="majorBidi" w:cstheme="majorBidi"/>
          <w:spacing w:val="2"/>
          <w:sz w:val="20"/>
          <w:szCs w:val="20"/>
        </w:rPr>
        <w:t>Consider</w:t>
      </w:r>
      <w:r w:rsidR="00395EE6">
        <w:rPr>
          <w:rFonts w:asciiTheme="majorBidi" w:hAnsiTheme="majorBidi" w:cstheme="majorBidi"/>
          <w:spacing w:val="2"/>
          <w:sz w:val="20"/>
          <w:szCs w:val="20"/>
        </w:rPr>
        <w:t>,</w:t>
      </w:r>
      <w:r w:rsidRPr="00693EA6">
        <w:rPr>
          <w:rFonts w:asciiTheme="majorBidi" w:hAnsiTheme="majorBidi" w:cstheme="majorBidi"/>
          <w:spacing w:val="2"/>
          <w:sz w:val="20"/>
          <w:szCs w:val="20"/>
        </w:rPr>
        <w:t xml:space="preserve"> also</w:t>
      </w:r>
      <w:r w:rsidR="00395EE6">
        <w:rPr>
          <w:rFonts w:asciiTheme="majorBidi" w:hAnsiTheme="majorBidi" w:cstheme="majorBidi"/>
          <w:spacing w:val="2"/>
          <w:sz w:val="20"/>
          <w:szCs w:val="20"/>
        </w:rPr>
        <w:t>,</w:t>
      </w:r>
      <w:r w:rsidRPr="00693EA6">
        <w:rPr>
          <w:rFonts w:asciiTheme="majorBidi" w:hAnsiTheme="majorBidi" w:cstheme="majorBidi"/>
          <w:spacing w:val="2"/>
          <w:sz w:val="20"/>
          <w:szCs w:val="20"/>
        </w:rPr>
        <w:t xml:space="preserve"> Stuart Murray’s </w:t>
      </w:r>
      <w:r w:rsidRPr="00693EA6">
        <w:rPr>
          <w:rFonts w:asciiTheme="majorBidi" w:hAnsiTheme="majorBidi" w:cstheme="majorBidi"/>
          <w:i/>
          <w:spacing w:val="2"/>
          <w:sz w:val="20"/>
          <w:szCs w:val="20"/>
        </w:rPr>
        <w:t>Representing Autism: Culture, Narrative, Fascination</w:t>
      </w:r>
      <w:r w:rsidRPr="00693EA6">
        <w:rPr>
          <w:rFonts w:asciiTheme="majorBidi" w:hAnsiTheme="majorBidi" w:cstheme="majorBidi"/>
          <w:spacing w:val="2"/>
          <w:sz w:val="20"/>
          <w:szCs w:val="20"/>
        </w:rPr>
        <w:t xml:space="preserve"> (2018).</w:t>
      </w:r>
    </w:p>
    <w:p w14:paraId="5BF6ED49" w14:textId="77777777" w:rsidR="00693EA6" w:rsidRPr="00693EA6" w:rsidRDefault="00693EA6" w:rsidP="00693EA6">
      <w:pPr>
        <w:pStyle w:val="FootnoteText"/>
        <w:rPr>
          <w:rFonts w:asciiTheme="majorBidi" w:hAnsiTheme="majorBidi" w:cstheme="majorBidi"/>
        </w:rPr>
      </w:pPr>
    </w:p>
  </w:footnote>
  <w:footnote w:id="77">
    <w:p w14:paraId="2AF9E0E3" w14:textId="77777777" w:rsidR="00693EA6" w:rsidRPr="00693EA6" w:rsidRDefault="00693EA6" w:rsidP="00693EA6">
      <w:pPr>
        <w:rPr>
          <w:rFonts w:asciiTheme="majorBidi" w:hAnsiTheme="majorBidi" w:cstheme="majorBidi"/>
          <w:sz w:val="20"/>
          <w:szCs w:val="20"/>
        </w:rPr>
      </w:pPr>
      <w:r w:rsidRPr="00693EA6">
        <w:rPr>
          <w:rStyle w:val="FootnoteReference"/>
          <w:rFonts w:asciiTheme="majorBidi" w:hAnsiTheme="majorBidi" w:cstheme="majorBidi"/>
          <w:sz w:val="20"/>
          <w:szCs w:val="20"/>
        </w:rPr>
        <w:footnoteRef/>
      </w:r>
      <w:r w:rsidRPr="00693EA6">
        <w:rPr>
          <w:rFonts w:asciiTheme="majorBidi" w:hAnsiTheme="majorBidi" w:cstheme="majorBidi"/>
          <w:sz w:val="20"/>
          <w:szCs w:val="20"/>
        </w:rPr>
        <w:t xml:space="preserve"> In moving a disabled character from the periphery of the narrative to its center and allowing for Barnaby’s development as a major character, Dickens builds on Classical traditions of regarding the madman as prophet. Henry Stiker describes Plato’s notion of the prophetic madman and the popular comingling of terror and respect for those with mental impairments that stemmed from a “common belief, drawing on very ancient ideas [that] saw in madness the intervention of the supernatural” (</w:t>
      </w:r>
      <w:r w:rsidRPr="00693EA6">
        <w:rPr>
          <w:rFonts w:asciiTheme="majorBidi" w:hAnsiTheme="majorBidi" w:cstheme="majorBidi"/>
          <w:i/>
          <w:sz w:val="20"/>
          <w:szCs w:val="20"/>
        </w:rPr>
        <w:t>A History of Disability</w:t>
      </w:r>
      <w:r w:rsidRPr="00693EA6">
        <w:rPr>
          <w:rFonts w:asciiTheme="majorBidi" w:hAnsiTheme="majorBidi" w:cstheme="majorBidi"/>
          <w:sz w:val="20"/>
          <w:szCs w:val="20"/>
        </w:rPr>
        <w:t xml:space="preserve"> 44). But this theorization of neurological disability and narrative power can extend to physical disability as well, as evinced by the popularity of Duncan Campbell, the eighteenth-century deaf-mute prophet, and the mythical blind prophet of Apollo, Tiresias.</w:t>
      </w:r>
    </w:p>
    <w:p w14:paraId="4F35365C" w14:textId="77777777" w:rsidR="00693EA6" w:rsidRPr="00693EA6" w:rsidRDefault="00693EA6" w:rsidP="00693EA6">
      <w:pPr>
        <w:ind w:firstLine="720"/>
        <w:rPr>
          <w:rFonts w:asciiTheme="majorBidi" w:hAnsiTheme="majorBidi" w:cstheme="majorBidi"/>
          <w:iCs/>
          <w:spacing w:val="2"/>
          <w:sz w:val="20"/>
          <w:szCs w:val="20"/>
        </w:rPr>
      </w:pPr>
      <w:r w:rsidRPr="00693EA6">
        <w:rPr>
          <w:rFonts w:asciiTheme="majorBidi" w:hAnsiTheme="majorBidi" w:cstheme="majorBidi"/>
          <w:sz w:val="20"/>
          <w:szCs w:val="20"/>
        </w:rPr>
        <w:t xml:space="preserve">For more on the fetishization of neurodivergent characters as possessing special insight, see </w:t>
      </w:r>
      <w:bookmarkStart w:id="17" w:name="_Hlk87866856"/>
      <w:r w:rsidRPr="00693EA6">
        <w:rPr>
          <w:rFonts w:asciiTheme="majorBidi" w:hAnsiTheme="majorBidi" w:cstheme="majorBidi"/>
          <w:sz w:val="20"/>
          <w:szCs w:val="20"/>
        </w:rPr>
        <w:t>Catherine</w:t>
      </w:r>
      <w:r w:rsidRPr="00693EA6">
        <w:rPr>
          <w:rFonts w:asciiTheme="majorBidi" w:hAnsiTheme="majorBidi" w:cstheme="majorBidi"/>
          <w:spacing w:val="2"/>
          <w:sz w:val="20"/>
          <w:szCs w:val="20"/>
        </w:rPr>
        <w:t xml:space="preserve"> Prendergast’s “The Unexceptional Schizophrenic: A Post-Postmodern Introduction” in </w:t>
      </w:r>
      <w:r w:rsidRPr="00693EA6">
        <w:rPr>
          <w:rFonts w:asciiTheme="majorBidi" w:hAnsiTheme="majorBidi" w:cstheme="majorBidi"/>
          <w:i/>
          <w:spacing w:val="2"/>
          <w:sz w:val="20"/>
          <w:szCs w:val="20"/>
        </w:rPr>
        <w:t>The Disability Studies Reader</w:t>
      </w:r>
      <w:bookmarkEnd w:id="17"/>
      <w:r w:rsidRPr="00693EA6">
        <w:rPr>
          <w:rFonts w:asciiTheme="majorBidi" w:hAnsiTheme="majorBidi" w:cstheme="majorBidi"/>
          <w:i/>
          <w:spacing w:val="2"/>
          <w:sz w:val="20"/>
          <w:szCs w:val="20"/>
        </w:rPr>
        <w:t xml:space="preserve"> </w:t>
      </w:r>
      <w:r w:rsidRPr="00693EA6">
        <w:rPr>
          <w:rFonts w:asciiTheme="majorBidi" w:hAnsiTheme="majorBidi" w:cstheme="majorBidi"/>
          <w:iCs/>
          <w:spacing w:val="2"/>
          <w:sz w:val="20"/>
          <w:szCs w:val="20"/>
        </w:rPr>
        <w:t>(2015).</w:t>
      </w:r>
    </w:p>
  </w:footnote>
  <w:footnote w:id="78">
    <w:p w14:paraId="477355B7" w14:textId="3D6DBB87" w:rsidR="00693EA6" w:rsidRPr="00693EA6" w:rsidRDefault="00693EA6" w:rsidP="00693EA6">
      <w:pPr>
        <w:pStyle w:val="FootnoteText"/>
        <w:rPr>
          <w:rFonts w:asciiTheme="majorBidi" w:hAnsiTheme="majorBidi" w:cstheme="majorBidi"/>
        </w:rPr>
      </w:pPr>
      <w:r w:rsidRPr="00693EA6">
        <w:rPr>
          <w:rStyle w:val="FootnoteReference"/>
          <w:rFonts w:asciiTheme="majorBidi" w:hAnsiTheme="majorBidi" w:cstheme="majorBidi"/>
        </w:rPr>
        <w:footnoteRef/>
      </w:r>
      <w:r w:rsidRPr="00693EA6">
        <w:rPr>
          <w:rFonts w:asciiTheme="majorBidi" w:hAnsiTheme="majorBidi" w:cstheme="majorBidi"/>
        </w:rPr>
        <w:t xml:space="preserve"> In </w:t>
      </w:r>
      <w:r w:rsidRPr="00693EA6">
        <w:rPr>
          <w:rFonts w:asciiTheme="majorBidi" w:hAnsiTheme="majorBidi" w:cstheme="majorBidi"/>
          <w:i/>
          <w:iCs/>
        </w:rPr>
        <w:t>Victorian Dogs, Victorian Men</w:t>
      </w:r>
      <w:r w:rsidRPr="00693EA6">
        <w:rPr>
          <w:rFonts w:asciiTheme="majorBidi" w:hAnsiTheme="majorBidi" w:cstheme="majorBidi"/>
        </w:rPr>
        <w:t xml:space="preserve"> (2017), Keridiana W. Chez attends to the affective connections between humans and dogs in nineteenth-century literature and culture. Chez refers to dogs as “emotional prostheses” that the </w:t>
      </w:r>
      <w:r w:rsidRPr="00693EA6">
        <w:rPr>
          <w:rFonts w:asciiTheme="majorBidi" w:hAnsiTheme="majorBidi" w:cstheme="majorBidi"/>
          <w:color w:val="000000"/>
        </w:rPr>
        <w:t xml:space="preserve">bourgeoisie attached to themselves </w:t>
      </w:r>
      <w:r w:rsidR="00395EE6">
        <w:rPr>
          <w:rFonts w:asciiTheme="majorBidi" w:hAnsiTheme="majorBidi" w:cstheme="majorBidi"/>
          <w:color w:val="000000"/>
        </w:rPr>
        <w:t>“</w:t>
      </w:r>
      <w:r w:rsidRPr="00693EA6">
        <w:rPr>
          <w:rFonts w:asciiTheme="majorBidi" w:hAnsiTheme="majorBidi" w:cstheme="majorBidi"/>
          <w:color w:val="000000"/>
        </w:rPr>
        <w:t>to enhance their affective capacities and to complete their humanity” (2).</w:t>
      </w:r>
    </w:p>
  </w:footnote>
  <w:footnote w:id="79">
    <w:p w14:paraId="2EAC35B5" w14:textId="77777777" w:rsidR="00693EA6" w:rsidRPr="00693EA6" w:rsidRDefault="00693EA6" w:rsidP="00693EA6">
      <w:pPr>
        <w:rPr>
          <w:rFonts w:asciiTheme="majorBidi" w:hAnsiTheme="majorBidi" w:cstheme="majorBidi"/>
          <w:sz w:val="20"/>
          <w:szCs w:val="20"/>
        </w:rPr>
      </w:pPr>
      <w:r w:rsidRPr="00693EA6">
        <w:rPr>
          <w:rStyle w:val="FootnoteReference"/>
          <w:rFonts w:asciiTheme="majorBidi" w:hAnsiTheme="majorBidi" w:cstheme="majorBidi"/>
          <w:sz w:val="20"/>
          <w:szCs w:val="20"/>
        </w:rPr>
        <w:footnoteRef/>
      </w:r>
      <w:r w:rsidRPr="00693EA6">
        <w:rPr>
          <w:rFonts w:asciiTheme="majorBidi" w:hAnsiTheme="majorBidi" w:cstheme="majorBidi"/>
          <w:sz w:val="20"/>
          <w:szCs w:val="20"/>
        </w:rPr>
        <w:t xml:space="preserve"> Mayer substantiates this way of seeing humans through animals via a short survey of nineteenth-century scientific history: </w:t>
      </w:r>
      <w:r w:rsidRPr="00693EA6">
        <w:rPr>
          <w:rFonts w:asciiTheme="majorBidi" w:hAnsiTheme="majorBidi" w:cstheme="majorBidi"/>
          <w:color w:val="000000"/>
          <w:sz w:val="20"/>
          <w:szCs w:val="20"/>
          <w:shd w:val="clear" w:color="auto" w:fill="FFFFFF"/>
        </w:rPr>
        <w:t>“With the laboratory revolution in medicine of the 19th century, the animal becomes increasingly significant as a source of human knowledge precisely because of its physiological similarity to humans, a similarity which was further supported by contemporaneous theories of descent based on natural selection” (“Ways of Reading Animals in Victorian Literature, Culture and Science” 353).</w:t>
      </w:r>
    </w:p>
  </w:footnote>
  <w:footnote w:id="80">
    <w:p w14:paraId="5337B382" w14:textId="77777777" w:rsidR="00E37719" w:rsidRDefault="00693EA6" w:rsidP="00693EA6">
      <w:pPr>
        <w:rPr>
          <w:rFonts w:asciiTheme="majorBidi" w:hAnsiTheme="majorBidi" w:cstheme="majorBidi"/>
          <w:sz w:val="20"/>
          <w:szCs w:val="20"/>
        </w:rPr>
      </w:pPr>
      <w:r w:rsidRPr="00693EA6">
        <w:rPr>
          <w:rStyle w:val="FootnoteReference"/>
          <w:rFonts w:asciiTheme="majorBidi" w:hAnsiTheme="majorBidi" w:cstheme="majorBidi"/>
          <w:sz w:val="20"/>
          <w:szCs w:val="20"/>
        </w:rPr>
        <w:footnoteRef/>
      </w:r>
      <w:r w:rsidRPr="00693EA6">
        <w:rPr>
          <w:rFonts w:asciiTheme="majorBidi" w:hAnsiTheme="majorBidi" w:cstheme="majorBidi"/>
          <w:sz w:val="20"/>
          <w:szCs w:val="20"/>
        </w:rPr>
        <w:t xml:space="preserve"> Still, most minor characters who pass briefly through the narrative often struggle to </w:t>
      </w:r>
      <w:r w:rsidR="00E37719">
        <w:rPr>
          <w:rFonts w:asciiTheme="majorBidi" w:hAnsiTheme="majorBidi" w:cstheme="majorBidi"/>
          <w:sz w:val="20"/>
          <w:szCs w:val="20"/>
        </w:rPr>
        <w:t>make sense of</w:t>
      </w:r>
      <w:r w:rsidRPr="00693EA6">
        <w:rPr>
          <w:rFonts w:asciiTheme="majorBidi" w:hAnsiTheme="majorBidi" w:cstheme="majorBidi"/>
          <w:sz w:val="20"/>
          <w:szCs w:val="20"/>
        </w:rPr>
        <w:t xml:space="preserve"> the relationship between Barnaby and Grip. In chapter six, for example, the locksmith can comment only that they are “Strange companions,” concluding that “The bird has all the wit” (62). </w:t>
      </w:r>
    </w:p>
    <w:p w14:paraId="1F952DA2" w14:textId="0FBFFC1E" w:rsidR="00693EA6" w:rsidRPr="00693EA6" w:rsidRDefault="00693EA6" w:rsidP="00E37719">
      <w:pPr>
        <w:ind w:firstLine="720"/>
        <w:rPr>
          <w:rFonts w:asciiTheme="majorBidi" w:hAnsiTheme="majorBidi" w:cstheme="majorBidi"/>
          <w:sz w:val="20"/>
          <w:szCs w:val="20"/>
        </w:rPr>
      </w:pPr>
      <w:r w:rsidRPr="00693EA6">
        <w:rPr>
          <w:rFonts w:asciiTheme="majorBidi" w:hAnsiTheme="majorBidi" w:cstheme="majorBidi"/>
          <w:sz w:val="20"/>
          <w:szCs w:val="20"/>
        </w:rPr>
        <w:t xml:space="preserve">Barnaby’s inversion of traditional human-animal roles proves even more provocative and raises questions about Grip’s own status as a character in the novel. During his exchange with the locksmith, for instance, Barnaby identifies Grip as his master: </w:t>
      </w:r>
    </w:p>
    <w:p w14:paraId="39046144" w14:textId="77777777" w:rsidR="00693EA6" w:rsidRPr="00693EA6" w:rsidRDefault="00693EA6" w:rsidP="00693EA6">
      <w:pPr>
        <w:ind w:left="1440"/>
        <w:rPr>
          <w:rFonts w:asciiTheme="majorBidi" w:hAnsiTheme="majorBidi" w:cstheme="majorBidi"/>
          <w:sz w:val="20"/>
          <w:szCs w:val="20"/>
        </w:rPr>
      </w:pPr>
      <w:r w:rsidRPr="00693EA6">
        <w:rPr>
          <w:rFonts w:asciiTheme="majorBidi" w:hAnsiTheme="majorBidi" w:cstheme="majorBidi"/>
          <w:sz w:val="20"/>
          <w:szCs w:val="20"/>
        </w:rPr>
        <w:t>“Call him!” echoed Barnaby, sitting upright upon the floor, and staring vacantly at Gabriel, as he thrust his hair back from his face. “But who can make him come! He calls me, and makes me go where he will. He goes on before, and I follow. He’s the master, and I’m the man. Is that the truth, Grip?”</w:t>
      </w:r>
    </w:p>
    <w:p w14:paraId="78143721" w14:textId="77777777" w:rsidR="00693EA6" w:rsidRPr="00693EA6" w:rsidRDefault="00693EA6" w:rsidP="00693EA6">
      <w:pPr>
        <w:ind w:left="1440" w:firstLine="720"/>
        <w:rPr>
          <w:rFonts w:asciiTheme="majorBidi" w:hAnsiTheme="majorBidi" w:cstheme="majorBidi"/>
          <w:sz w:val="20"/>
          <w:szCs w:val="20"/>
        </w:rPr>
      </w:pPr>
      <w:r w:rsidRPr="00693EA6">
        <w:rPr>
          <w:rFonts w:asciiTheme="majorBidi" w:hAnsiTheme="majorBidi" w:cstheme="majorBidi"/>
          <w:sz w:val="20"/>
          <w:szCs w:val="20"/>
        </w:rPr>
        <w:t xml:space="preserve">The raven gave a short, comfortable, confidential kind of </w:t>
      </w:r>
      <w:proofErr w:type="gramStart"/>
      <w:r w:rsidRPr="00693EA6">
        <w:rPr>
          <w:rFonts w:asciiTheme="majorBidi" w:hAnsiTheme="majorBidi" w:cstheme="majorBidi"/>
          <w:sz w:val="20"/>
          <w:szCs w:val="20"/>
        </w:rPr>
        <w:t>croak;—</w:t>
      </w:r>
      <w:proofErr w:type="gramEnd"/>
      <w:r w:rsidRPr="00693EA6">
        <w:rPr>
          <w:rFonts w:asciiTheme="majorBidi" w:hAnsiTheme="majorBidi" w:cstheme="majorBidi"/>
          <w:sz w:val="20"/>
          <w:szCs w:val="20"/>
        </w:rPr>
        <w:t>a most expressive croak, which seemed to say, “You needn’t let these fellows into our secrets. We understand each other. It’s all right.” (Ibid.)</w:t>
      </w:r>
    </w:p>
  </w:footnote>
  <w:footnote w:id="81">
    <w:p w14:paraId="3A93ED7E" w14:textId="77777777" w:rsidR="00693EA6" w:rsidRPr="00693EA6" w:rsidRDefault="00693EA6" w:rsidP="00693EA6">
      <w:pPr>
        <w:pStyle w:val="FootnoteText"/>
        <w:rPr>
          <w:rFonts w:asciiTheme="majorBidi" w:hAnsiTheme="majorBidi" w:cstheme="majorBidi"/>
        </w:rPr>
      </w:pPr>
      <w:r w:rsidRPr="00693EA6">
        <w:rPr>
          <w:rStyle w:val="FootnoteReference"/>
          <w:rFonts w:asciiTheme="majorBidi" w:hAnsiTheme="majorBidi" w:cstheme="majorBidi"/>
        </w:rPr>
        <w:footnoteRef/>
      </w:r>
      <w:r w:rsidRPr="00693EA6">
        <w:rPr>
          <w:rFonts w:asciiTheme="majorBidi" w:hAnsiTheme="majorBidi" w:cstheme="majorBidi"/>
        </w:rPr>
        <w:t xml:space="preserve"> When Lord George spies Grip, and asks, “What’s that?” Barnaby answers, “My bird—my friend” before pondering the question further and continuing, “you had good reason to ask me what he is, for sometimes it puzzles me—and I am used to him—to think he’s only a bird. Ha ha ha! He’s my brother, Grip is—always with me—always talking—always merry—eh, Grip?” (456)</w:t>
      </w:r>
    </w:p>
  </w:footnote>
  <w:footnote w:id="82">
    <w:p w14:paraId="580AC207" w14:textId="77777777" w:rsidR="00693EA6" w:rsidRPr="00693EA6" w:rsidRDefault="00693EA6" w:rsidP="00693EA6">
      <w:pPr>
        <w:pStyle w:val="FootnoteText"/>
        <w:rPr>
          <w:rFonts w:asciiTheme="majorBidi" w:hAnsiTheme="majorBidi" w:cstheme="majorBidi"/>
        </w:rPr>
      </w:pPr>
      <w:r w:rsidRPr="00693EA6">
        <w:rPr>
          <w:rStyle w:val="FootnoteReference"/>
          <w:rFonts w:asciiTheme="majorBidi" w:hAnsiTheme="majorBidi" w:cstheme="majorBidi"/>
        </w:rPr>
        <w:footnoteRef/>
      </w:r>
      <w:r w:rsidRPr="00693EA6">
        <w:rPr>
          <w:rFonts w:asciiTheme="majorBidi" w:hAnsiTheme="majorBidi" w:cstheme="majorBidi"/>
        </w:rPr>
        <w:t xml:space="preserve"> It may also reflect a growing popular support for (and Dickens’s own position on) animal rights. While the Society for the Prevention of Cruelty to Animals was founded in 1824, Queen Victoria granted them rights to the royal “R,” making them the RSPCA, in 1840, one year before the publication of </w:t>
      </w:r>
      <w:r w:rsidRPr="00693EA6">
        <w:rPr>
          <w:rFonts w:asciiTheme="majorBidi" w:hAnsiTheme="majorBidi" w:cstheme="majorBidi"/>
          <w:i/>
          <w:iCs/>
        </w:rPr>
        <w:t>Barnaby Rudge</w:t>
      </w:r>
      <w:r w:rsidRPr="00693EA6">
        <w:rPr>
          <w:rFonts w:asciiTheme="majorBidi" w:hAnsiTheme="majorBidi" w:cstheme="majorBidi"/>
        </w:rPr>
        <w:t xml:space="preserve">. </w:t>
      </w:r>
    </w:p>
  </w:footnote>
  <w:footnote w:id="83">
    <w:p w14:paraId="2FC27CC8" w14:textId="77777777" w:rsidR="00693EA6" w:rsidRPr="00693EA6" w:rsidRDefault="00693EA6" w:rsidP="00693EA6">
      <w:pPr>
        <w:pStyle w:val="FootnoteText"/>
        <w:rPr>
          <w:rFonts w:asciiTheme="majorBidi" w:hAnsiTheme="majorBidi" w:cstheme="majorBidi"/>
        </w:rPr>
      </w:pPr>
      <w:r w:rsidRPr="00693EA6">
        <w:rPr>
          <w:rStyle w:val="FootnoteReference"/>
          <w:rFonts w:asciiTheme="majorBidi" w:hAnsiTheme="majorBidi" w:cstheme="majorBidi"/>
        </w:rPr>
        <w:footnoteRef/>
      </w:r>
      <w:r w:rsidRPr="00693EA6">
        <w:rPr>
          <w:rFonts w:asciiTheme="majorBidi" w:hAnsiTheme="majorBidi" w:cstheme="majorBidi"/>
        </w:rPr>
        <w:t xml:space="preserve"> Speaking specifically about dogs, Ivan Kreilkamp says that pets “in British culture, typically possess a tantalizingly incomplete identity </w:t>
      </w:r>
      <w:proofErr w:type="gramStart"/>
      <w:r w:rsidRPr="00693EA6">
        <w:rPr>
          <w:rFonts w:asciiTheme="majorBidi" w:hAnsiTheme="majorBidi" w:cstheme="majorBidi"/>
        </w:rPr>
        <w:t>. . . .</w:t>
      </w:r>
      <w:proofErr w:type="gramEnd"/>
      <w:r w:rsidRPr="00693EA6">
        <w:rPr>
          <w:rFonts w:asciiTheme="majorBidi" w:hAnsiTheme="majorBidi" w:cstheme="majorBidi"/>
        </w:rPr>
        <w:t xml:space="preserve"> Their identity and ethical status are fundamentally unstable and dependent” (“Dying Like a Dog” 81).</w:t>
      </w:r>
    </w:p>
    <w:p w14:paraId="5339D042" w14:textId="18A869B8" w:rsidR="00693EA6" w:rsidRPr="00693EA6" w:rsidRDefault="00693EA6" w:rsidP="00693EA6">
      <w:pPr>
        <w:pStyle w:val="FootnoteText"/>
        <w:ind w:firstLine="720"/>
        <w:rPr>
          <w:rFonts w:asciiTheme="majorBidi" w:hAnsiTheme="majorBidi" w:cstheme="majorBidi"/>
        </w:rPr>
      </w:pPr>
      <w:r w:rsidRPr="00693EA6">
        <w:rPr>
          <w:rFonts w:asciiTheme="majorBidi" w:hAnsiTheme="majorBidi" w:cstheme="majorBidi"/>
        </w:rPr>
        <w:t xml:space="preserve">For more on nineteenth-century British pet culture, see Hilda Kean’s </w:t>
      </w:r>
      <w:r w:rsidRPr="00693EA6">
        <w:rPr>
          <w:rFonts w:asciiTheme="majorBidi" w:hAnsiTheme="majorBidi" w:cstheme="majorBidi"/>
          <w:i/>
          <w:iCs/>
        </w:rPr>
        <w:t>Animal Rights: Political and Social Change in Britain Since 1800</w:t>
      </w:r>
      <w:r w:rsidRPr="00693EA6">
        <w:rPr>
          <w:rFonts w:asciiTheme="majorBidi" w:hAnsiTheme="majorBidi" w:cstheme="majorBidi"/>
        </w:rPr>
        <w:t xml:space="preserve"> (1998). </w:t>
      </w:r>
    </w:p>
  </w:footnote>
  <w:footnote w:id="84">
    <w:p w14:paraId="6BF75861" w14:textId="77777777" w:rsidR="00693EA6" w:rsidRPr="00693EA6" w:rsidRDefault="00693EA6" w:rsidP="00693EA6">
      <w:pPr>
        <w:pStyle w:val="FootnoteText"/>
        <w:rPr>
          <w:rFonts w:asciiTheme="majorBidi" w:hAnsiTheme="majorBidi" w:cstheme="majorBidi"/>
        </w:rPr>
      </w:pPr>
      <w:r w:rsidRPr="00693EA6">
        <w:rPr>
          <w:rStyle w:val="FootnoteReference"/>
          <w:rFonts w:asciiTheme="majorBidi" w:hAnsiTheme="majorBidi" w:cstheme="majorBidi"/>
        </w:rPr>
        <w:footnoteRef/>
      </w:r>
      <w:r w:rsidRPr="00693EA6">
        <w:rPr>
          <w:rFonts w:asciiTheme="majorBidi" w:hAnsiTheme="majorBidi" w:cstheme="majorBidi"/>
        </w:rPr>
        <w:t xml:space="preserve"> Claude Lévi-Strauss, Gilles Deleuze, and Félix Guattari, for instance, have all considered the subjectivity and autonomy of the domesticated pet and determined that they are either “metonymical human beings” with incomplete or contingent social lives (as per Lévi-Strauss’s </w:t>
      </w:r>
      <w:r w:rsidRPr="00693EA6">
        <w:rPr>
          <w:rFonts w:asciiTheme="majorBidi" w:hAnsiTheme="majorBidi" w:cstheme="majorBidi"/>
          <w:i/>
          <w:iCs/>
        </w:rPr>
        <w:t>The Savage Mind</w:t>
      </w:r>
      <w:r w:rsidRPr="00693EA6">
        <w:rPr>
          <w:rFonts w:asciiTheme="majorBidi" w:hAnsiTheme="majorBidi" w:cstheme="majorBidi"/>
        </w:rPr>
        <w:t xml:space="preserve"> 207) or archetypes of a kind of wild nature that should never have been domesticated in the first place (as per Deleuze and Guattari’s </w:t>
      </w:r>
      <w:proofErr w:type="gramStart"/>
      <w:r w:rsidRPr="00693EA6">
        <w:rPr>
          <w:rFonts w:asciiTheme="majorBidi" w:hAnsiTheme="majorBidi" w:cstheme="majorBidi"/>
          <w:i/>
          <w:iCs/>
        </w:rPr>
        <w:t>A</w:t>
      </w:r>
      <w:proofErr w:type="gramEnd"/>
      <w:r w:rsidRPr="00693EA6">
        <w:rPr>
          <w:rFonts w:asciiTheme="majorBidi" w:hAnsiTheme="majorBidi" w:cstheme="majorBidi"/>
          <w:i/>
          <w:iCs/>
        </w:rPr>
        <w:t xml:space="preserve"> Thousand Plateaus</w:t>
      </w:r>
      <w:r w:rsidRPr="00693EA6">
        <w:rPr>
          <w:rFonts w:asciiTheme="majorBidi" w:hAnsiTheme="majorBidi" w:cstheme="majorBidi"/>
        </w:rPr>
        <w:t>).</w:t>
      </w:r>
    </w:p>
    <w:p w14:paraId="0B066A5E" w14:textId="77777777" w:rsidR="00693EA6" w:rsidRPr="00693EA6" w:rsidRDefault="00693EA6" w:rsidP="00693EA6">
      <w:pPr>
        <w:pStyle w:val="FootnoteText"/>
        <w:rPr>
          <w:rFonts w:asciiTheme="majorBidi" w:hAnsiTheme="majorBidi" w:cstheme="majorBidi"/>
          <w:i/>
          <w:iCs/>
        </w:rPr>
      </w:pPr>
      <w:r w:rsidRPr="00693EA6">
        <w:rPr>
          <w:rFonts w:asciiTheme="majorBidi" w:hAnsiTheme="majorBidi" w:cstheme="majorBidi"/>
        </w:rPr>
        <w:tab/>
        <w:t xml:space="preserve">For more philosophical considerations of animal ethics, see also Peter Singer’s </w:t>
      </w:r>
      <w:r w:rsidRPr="00693EA6">
        <w:rPr>
          <w:rFonts w:asciiTheme="majorBidi" w:hAnsiTheme="majorBidi" w:cstheme="majorBidi"/>
          <w:i/>
          <w:iCs/>
        </w:rPr>
        <w:t xml:space="preserve">Animal Liberation: A New Ethics for Our Treatment of Animals </w:t>
      </w:r>
      <w:r w:rsidRPr="00693EA6">
        <w:rPr>
          <w:rFonts w:asciiTheme="majorBidi" w:hAnsiTheme="majorBidi" w:cstheme="majorBidi"/>
        </w:rPr>
        <w:t>(2</w:t>
      </w:r>
      <w:r w:rsidRPr="00693EA6">
        <w:rPr>
          <w:rFonts w:asciiTheme="majorBidi" w:hAnsiTheme="majorBidi" w:cstheme="majorBidi"/>
          <w:vertAlign w:val="superscript"/>
        </w:rPr>
        <w:t>nd</w:t>
      </w:r>
      <w:r w:rsidRPr="00693EA6">
        <w:rPr>
          <w:rFonts w:asciiTheme="majorBidi" w:hAnsiTheme="majorBidi" w:cstheme="majorBidi"/>
        </w:rPr>
        <w:t xml:space="preserve"> ed., 1990), Jacques Derrida’s lecture “The Animal that Therefore I Am” (1997), and Giorgio Agamben’s </w:t>
      </w:r>
      <w:proofErr w:type="gramStart"/>
      <w:r w:rsidRPr="00693EA6">
        <w:rPr>
          <w:rFonts w:asciiTheme="majorBidi" w:hAnsiTheme="majorBidi" w:cstheme="majorBidi"/>
          <w:i/>
          <w:iCs/>
        </w:rPr>
        <w:t>The</w:t>
      </w:r>
      <w:proofErr w:type="gramEnd"/>
      <w:r w:rsidRPr="00693EA6">
        <w:rPr>
          <w:rFonts w:asciiTheme="majorBidi" w:hAnsiTheme="majorBidi" w:cstheme="majorBidi"/>
          <w:i/>
          <w:iCs/>
        </w:rPr>
        <w:t xml:space="preserve"> Open: Man and Animal</w:t>
      </w:r>
      <w:r w:rsidRPr="00693EA6">
        <w:rPr>
          <w:rFonts w:asciiTheme="majorBidi" w:hAnsiTheme="majorBidi" w:cstheme="majorBidi"/>
        </w:rPr>
        <w:t xml:space="preserve"> (2003, translated from </w:t>
      </w:r>
      <w:r w:rsidRPr="00693EA6">
        <w:rPr>
          <w:rFonts w:asciiTheme="majorBidi" w:hAnsiTheme="majorBidi" w:cstheme="majorBidi"/>
          <w:i/>
          <w:iCs/>
        </w:rPr>
        <w:t>L’aperto. L’uomo e l’animale</w:t>
      </w:r>
      <w:r w:rsidRPr="00693EA6">
        <w:rPr>
          <w:rFonts w:asciiTheme="majorBidi" w:hAnsiTheme="majorBidi" w:cstheme="majorBidi"/>
        </w:rPr>
        <w:t>).</w:t>
      </w:r>
      <w:r w:rsidRPr="00693EA6">
        <w:rPr>
          <w:rFonts w:asciiTheme="majorBidi" w:hAnsiTheme="majorBidi" w:cstheme="majorBidi"/>
          <w:color w:val="0A0A0A"/>
          <w:shd w:val="clear" w:color="auto" w:fill="FFFFFF"/>
        </w:rPr>
        <w:t xml:space="preserve"> </w:t>
      </w:r>
    </w:p>
  </w:footnote>
  <w:footnote w:id="85">
    <w:p w14:paraId="102B45A2" w14:textId="5EDE3AE6" w:rsidR="00693EA6" w:rsidRPr="00D159B4" w:rsidRDefault="00693EA6" w:rsidP="00693EA6">
      <w:pPr>
        <w:pStyle w:val="FootnoteText"/>
        <w:rPr>
          <w:rFonts w:asciiTheme="majorBidi" w:hAnsiTheme="majorBidi" w:cstheme="majorBidi"/>
        </w:rPr>
      </w:pPr>
      <w:r w:rsidRPr="00693EA6">
        <w:rPr>
          <w:rStyle w:val="FootnoteReference"/>
          <w:rFonts w:asciiTheme="majorBidi" w:hAnsiTheme="majorBidi" w:cstheme="majorBidi"/>
        </w:rPr>
        <w:footnoteRef/>
      </w:r>
      <w:r w:rsidRPr="00693EA6">
        <w:rPr>
          <w:rFonts w:asciiTheme="majorBidi" w:hAnsiTheme="majorBidi" w:cstheme="majorBidi"/>
        </w:rPr>
        <w:t xml:space="preserve"> To Denenholz Morse and Danahay’s observation that “The discourse on animal rights inevitably invokes political battles over human rights, especially in connection with women and ethnicity</w:t>
      </w:r>
      <w:r w:rsidR="00E37719">
        <w:rPr>
          <w:rFonts w:asciiTheme="majorBidi" w:hAnsiTheme="majorBidi" w:cstheme="majorBidi"/>
        </w:rPr>
        <w:t xml:space="preserve">,” </w:t>
      </w:r>
      <w:r w:rsidRPr="00693EA6">
        <w:rPr>
          <w:rFonts w:asciiTheme="majorBidi" w:hAnsiTheme="majorBidi" w:cstheme="majorBidi"/>
        </w:rPr>
        <w:t xml:space="preserve">I would add that the discourse on </w:t>
      </w:r>
      <w:r w:rsidRPr="00693EA6">
        <w:rPr>
          <w:rFonts w:asciiTheme="majorBidi" w:hAnsiTheme="majorBidi" w:cstheme="majorBidi"/>
          <w:i/>
          <w:iCs/>
        </w:rPr>
        <w:t>service</w:t>
      </w:r>
      <w:r w:rsidRPr="00693EA6">
        <w:rPr>
          <w:rFonts w:asciiTheme="majorBidi" w:hAnsiTheme="majorBidi" w:cstheme="majorBidi"/>
        </w:rPr>
        <w:t xml:space="preserve"> animals also constitutes the political discourse on the </w:t>
      </w:r>
      <w:r w:rsidRPr="00D159B4">
        <w:rPr>
          <w:rFonts w:asciiTheme="majorBidi" w:hAnsiTheme="majorBidi" w:cstheme="majorBidi"/>
        </w:rPr>
        <w:t>place and acceptance of people with disabilities in a largely nondisabled landscape</w:t>
      </w:r>
      <w:r w:rsidR="00E37719" w:rsidRPr="00693EA6">
        <w:rPr>
          <w:rFonts w:asciiTheme="majorBidi" w:hAnsiTheme="majorBidi" w:cstheme="majorBidi"/>
        </w:rPr>
        <w:t xml:space="preserve"> (</w:t>
      </w:r>
      <w:r w:rsidR="00E37719" w:rsidRPr="00693EA6">
        <w:rPr>
          <w:rFonts w:asciiTheme="majorBidi" w:hAnsiTheme="majorBidi" w:cstheme="majorBidi"/>
          <w:i/>
          <w:iCs/>
        </w:rPr>
        <w:t>Victorian Animal Dreams</w:t>
      </w:r>
      <w:r w:rsidR="00E37719" w:rsidRPr="00693EA6">
        <w:rPr>
          <w:rFonts w:asciiTheme="majorBidi" w:hAnsiTheme="majorBidi" w:cstheme="majorBidi"/>
        </w:rPr>
        <w:t xml:space="preserve"> 5)</w:t>
      </w:r>
      <w:r w:rsidRPr="00D159B4">
        <w:rPr>
          <w:rFonts w:asciiTheme="majorBidi" w:hAnsiTheme="majorBidi" w:cstheme="majorBidi"/>
        </w:rPr>
        <w:t>.</w:t>
      </w:r>
    </w:p>
  </w:footnote>
  <w:footnote w:id="86">
    <w:p w14:paraId="1CC27C73" w14:textId="77777777" w:rsidR="00D159B4" w:rsidRPr="00D159B4" w:rsidRDefault="00D159B4" w:rsidP="00D159B4">
      <w:pPr>
        <w:pStyle w:val="FootnoteText"/>
        <w:rPr>
          <w:rFonts w:asciiTheme="majorBidi" w:hAnsiTheme="majorBidi" w:cstheme="majorBidi"/>
        </w:rPr>
      </w:pPr>
      <w:r w:rsidRPr="00D159B4">
        <w:rPr>
          <w:rStyle w:val="FootnoteReference"/>
          <w:rFonts w:asciiTheme="majorBidi" w:hAnsiTheme="majorBidi" w:cstheme="majorBidi"/>
        </w:rPr>
        <w:footnoteRef/>
      </w:r>
      <w:r w:rsidRPr="00D159B4">
        <w:rPr>
          <w:rFonts w:asciiTheme="majorBidi" w:hAnsiTheme="majorBidi" w:cstheme="majorBidi"/>
        </w:rPr>
        <w:t xml:space="preserve"> Even Trollope would agree that this might seem, at first glance, like an unlikely pairing: “Among English novelists of the present day, and among English novelists, a great division is made. There are sensational novels and anti-sensational, sensational novelists and anti-sensational; sensational readers and anti-sensational. The novelists who are considered to be anti-sensational are generally called realistic. I am realistic. My friend Wilkie Collins is generally supposed to be sensational” (</w:t>
      </w:r>
      <w:r w:rsidRPr="00D159B4">
        <w:rPr>
          <w:rFonts w:asciiTheme="majorBidi" w:hAnsiTheme="majorBidi" w:cstheme="majorBidi"/>
          <w:i/>
          <w:iCs/>
        </w:rPr>
        <w:t xml:space="preserve">Autobiography </w:t>
      </w:r>
      <w:r w:rsidRPr="00D159B4">
        <w:rPr>
          <w:rFonts w:asciiTheme="majorBidi" w:hAnsiTheme="majorBidi" w:cstheme="majorBidi"/>
        </w:rPr>
        <w:t xml:space="preserve">226-227). </w:t>
      </w:r>
    </w:p>
  </w:footnote>
  <w:footnote w:id="87">
    <w:p w14:paraId="6C2D1A32" w14:textId="77777777" w:rsidR="00D159B4" w:rsidRPr="00D159B4" w:rsidRDefault="00D159B4" w:rsidP="00D159B4">
      <w:pPr>
        <w:pStyle w:val="FootnoteText"/>
        <w:rPr>
          <w:rFonts w:asciiTheme="majorBidi" w:hAnsiTheme="majorBidi" w:cstheme="majorBidi"/>
        </w:rPr>
      </w:pPr>
      <w:r w:rsidRPr="00D159B4">
        <w:rPr>
          <w:rStyle w:val="FootnoteReference"/>
          <w:rFonts w:asciiTheme="majorBidi" w:hAnsiTheme="majorBidi" w:cstheme="majorBidi"/>
        </w:rPr>
        <w:footnoteRef/>
      </w:r>
      <w:r w:rsidRPr="00D159B4">
        <w:rPr>
          <w:rFonts w:asciiTheme="majorBidi" w:hAnsiTheme="majorBidi" w:cstheme="majorBidi"/>
        </w:rPr>
        <w:t xml:space="preserve"> In fairness, Trollope displays a degree of genre ambivalence from the outset of this </w:t>
      </w:r>
      <w:r w:rsidRPr="00D159B4">
        <w:rPr>
          <w:rFonts w:asciiTheme="majorBidi" w:hAnsiTheme="majorBidi" w:cstheme="majorBidi"/>
          <w:i/>
          <w:iCs/>
        </w:rPr>
        <w:t>Autobiography</w:t>
      </w:r>
      <w:r w:rsidRPr="00D159B4">
        <w:rPr>
          <w:rFonts w:asciiTheme="majorBidi" w:hAnsiTheme="majorBidi" w:cstheme="majorBidi"/>
        </w:rPr>
        <w:t>, so titled “for the want of a better name” (1).</w:t>
      </w:r>
    </w:p>
  </w:footnote>
  <w:footnote w:id="88">
    <w:p w14:paraId="1952E8E0" w14:textId="14A0EFB1" w:rsidR="00D159B4" w:rsidRPr="00D159B4" w:rsidRDefault="00D159B4" w:rsidP="00D159B4">
      <w:pPr>
        <w:pStyle w:val="FootnoteText"/>
        <w:rPr>
          <w:rFonts w:asciiTheme="majorBidi" w:hAnsiTheme="majorBidi" w:cstheme="majorBidi"/>
        </w:rPr>
      </w:pPr>
      <w:r w:rsidRPr="00D159B4">
        <w:rPr>
          <w:rStyle w:val="FootnoteReference"/>
          <w:rFonts w:asciiTheme="majorBidi" w:hAnsiTheme="majorBidi" w:cstheme="majorBidi"/>
        </w:rPr>
        <w:footnoteRef/>
      </w:r>
      <w:r w:rsidRPr="00D159B4">
        <w:rPr>
          <w:rFonts w:asciiTheme="majorBidi" w:hAnsiTheme="majorBidi" w:cstheme="majorBidi"/>
        </w:rPr>
        <w:t xml:space="preserve"> Henry James and Virginia Woolf both dismissed Trollope as a competent but uncomplicated observer.</w:t>
      </w:r>
    </w:p>
    <w:p w14:paraId="1CBCA4D5" w14:textId="7FDEB34C" w:rsidR="00D159B4" w:rsidRPr="00D159B4" w:rsidRDefault="00D159B4" w:rsidP="00D159B4">
      <w:pPr>
        <w:pStyle w:val="FootnoteText"/>
        <w:rPr>
          <w:rFonts w:asciiTheme="majorBidi" w:hAnsiTheme="majorBidi" w:cstheme="majorBidi"/>
        </w:rPr>
      </w:pPr>
      <w:r w:rsidRPr="00D159B4">
        <w:rPr>
          <w:rFonts w:asciiTheme="majorBidi" w:hAnsiTheme="majorBidi" w:cstheme="majorBidi"/>
        </w:rPr>
        <w:tab/>
        <w:t xml:space="preserve">For more on Trollope’s mode of realism, see Amanda Anderson’s “Trollope’s Modernity” (2007), </w:t>
      </w:r>
      <w:r w:rsidRPr="00D159B4">
        <w:rPr>
          <w:rFonts w:asciiTheme="majorBidi" w:hAnsiTheme="majorBidi" w:cstheme="majorBidi"/>
          <w:i/>
          <w:iCs/>
        </w:rPr>
        <w:t>The Cambridge Companion to Anthony Trollope</w:t>
      </w:r>
      <w:r w:rsidRPr="00D159B4">
        <w:rPr>
          <w:rFonts w:asciiTheme="majorBidi" w:hAnsiTheme="majorBidi" w:cstheme="majorBidi"/>
        </w:rPr>
        <w:t xml:space="preserve"> (</w:t>
      </w:r>
      <w:r w:rsidR="00C13C85">
        <w:rPr>
          <w:rFonts w:asciiTheme="majorBidi" w:hAnsiTheme="majorBidi" w:cstheme="majorBidi"/>
        </w:rPr>
        <w:t>E</w:t>
      </w:r>
      <w:r w:rsidRPr="00D159B4">
        <w:rPr>
          <w:rFonts w:asciiTheme="majorBidi" w:hAnsiTheme="majorBidi" w:cstheme="majorBidi"/>
        </w:rPr>
        <w:t xml:space="preserve">ds. Carolyn Dever and Lisa Niles, 2010), Lauren Goodlad’s “Introduction: Worlding Realisms Now” (2016), and </w:t>
      </w:r>
      <w:r w:rsidRPr="00D159B4">
        <w:rPr>
          <w:rFonts w:asciiTheme="majorBidi" w:hAnsiTheme="majorBidi" w:cstheme="majorBidi"/>
          <w:i/>
          <w:iCs/>
        </w:rPr>
        <w:t>The Edinburgh Companion to Anthony Trollope</w:t>
      </w:r>
      <w:r w:rsidRPr="00D159B4">
        <w:rPr>
          <w:rFonts w:asciiTheme="majorBidi" w:hAnsiTheme="majorBidi" w:cstheme="majorBidi"/>
        </w:rPr>
        <w:t xml:space="preserve"> (</w:t>
      </w:r>
      <w:r w:rsidR="00C13C85">
        <w:rPr>
          <w:rFonts w:asciiTheme="majorBidi" w:hAnsiTheme="majorBidi" w:cstheme="majorBidi"/>
        </w:rPr>
        <w:t>E</w:t>
      </w:r>
      <w:r w:rsidRPr="00D159B4">
        <w:rPr>
          <w:rFonts w:asciiTheme="majorBidi" w:hAnsiTheme="majorBidi" w:cstheme="majorBidi"/>
        </w:rPr>
        <w:t xml:space="preserve">ds. Frederik Van Dam, David Skilton, Ortwin de Graef, 2018). </w:t>
      </w:r>
    </w:p>
  </w:footnote>
  <w:footnote w:id="89">
    <w:p w14:paraId="0C0C2F7D" w14:textId="77777777" w:rsidR="00D159B4" w:rsidRPr="00D159B4" w:rsidRDefault="00D159B4" w:rsidP="00D159B4">
      <w:pPr>
        <w:pStyle w:val="FootnoteText"/>
        <w:rPr>
          <w:rFonts w:asciiTheme="majorBidi" w:hAnsiTheme="majorBidi" w:cstheme="majorBidi"/>
        </w:rPr>
      </w:pPr>
      <w:r w:rsidRPr="00D159B4">
        <w:rPr>
          <w:rStyle w:val="FootnoteReference"/>
          <w:rFonts w:asciiTheme="majorBidi" w:hAnsiTheme="majorBidi" w:cstheme="majorBidi"/>
        </w:rPr>
        <w:footnoteRef/>
      </w:r>
      <w:r w:rsidRPr="00D159B4">
        <w:rPr>
          <w:rFonts w:asciiTheme="majorBidi" w:hAnsiTheme="majorBidi" w:cstheme="majorBidi"/>
        </w:rPr>
        <w:t xml:space="preserve"> The pervasively truculent tenor of James’s commentary also attests to his penchant for dealing almost exclusively in scathing reviews.</w:t>
      </w:r>
    </w:p>
  </w:footnote>
  <w:footnote w:id="90">
    <w:p w14:paraId="4A86730D" w14:textId="670F170A" w:rsidR="00D159B4" w:rsidRPr="00D159B4" w:rsidRDefault="00D159B4" w:rsidP="00D159B4">
      <w:pPr>
        <w:pStyle w:val="FootnoteText"/>
        <w:rPr>
          <w:rFonts w:asciiTheme="majorBidi" w:hAnsiTheme="majorBidi" w:cstheme="majorBidi"/>
        </w:rPr>
      </w:pPr>
      <w:r w:rsidRPr="00D159B4">
        <w:rPr>
          <w:rStyle w:val="FootnoteReference"/>
          <w:rFonts w:asciiTheme="majorBidi" w:hAnsiTheme="majorBidi" w:cstheme="majorBidi"/>
        </w:rPr>
        <w:footnoteRef/>
      </w:r>
      <w:r w:rsidRPr="00D159B4">
        <w:rPr>
          <w:rFonts w:asciiTheme="majorBidi" w:hAnsiTheme="majorBidi" w:cstheme="majorBidi"/>
        </w:rPr>
        <w:t xml:space="preserve"> For critical surveys of nineteenth-century sensation and detective fiction, see Tzvetan Todorov’s foundational “The Typology of Detective Fiction” (1977), Laura Marcus’s “Detection and Literary Fiction” (2003), Stephen Knight’s </w:t>
      </w:r>
      <w:r w:rsidRPr="00D159B4">
        <w:rPr>
          <w:rFonts w:asciiTheme="majorBidi" w:hAnsiTheme="majorBidi" w:cstheme="majorBidi"/>
          <w:i/>
          <w:iCs/>
        </w:rPr>
        <w:t xml:space="preserve">Crime Fiction Since 1800: Detectives, Death, Diversity </w:t>
      </w:r>
      <w:r w:rsidRPr="00D159B4">
        <w:rPr>
          <w:rFonts w:asciiTheme="majorBidi" w:hAnsiTheme="majorBidi" w:cstheme="majorBidi"/>
        </w:rPr>
        <w:t xml:space="preserve">(2010), Lyn Pykett’s </w:t>
      </w:r>
      <w:proofErr w:type="gramStart"/>
      <w:r w:rsidRPr="00D159B4">
        <w:rPr>
          <w:rFonts w:asciiTheme="majorBidi" w:hAnsiTheme="majorBidi" w:cstheme="majorBidi"/>
          <w:i/>
          <w:iCs/>
        </w:rPr>
        <w:t>The</w:t>
      </w:r>
      <w:proofErr w:type="gramEnd"/>
      <w:r w:rsidRPr="00D159B4">
        <w:rPr>
          <w:rFonts w:asciiTheme="majorBidi" w:hAnsiTheme="majorBidi" w:cstheme="majorBidi"/>
          <w:i/>
          <w:iCs/>
        </w:rPr>
        <w:t xml:space="preserve"> Nineteenth-Century Sensation Novel</w:t>
      </w:r>
      <w:r w:rsidRPr="00D159B4">
        <w:rPr>
          <w:rFonts w:asciiTheme="majorBidi" w:hAnsiTheme="majorBidi" w:cstheme="majorBidi"/>
        </w:rPr>
        <w:t xml:space="preserve"> (2011), and </w:t>
      </w:r>
      <w:r w:rsidRPr="00D159B4">
        <w:rPr>
          <w:rFonts w:asciiTheme="majorBidi" w:hAnsiTheme="majorBidi" w:cstheme="majorBidi"/>
          <w:i/>
          <w:iCs/>
        </w:rPr>
        <w:t>The Cambridge Companion to Sensation Fiction</w:t>
      </w:r>
      <w:r w:rsidRPr="00D159B4">
        <w:rPr>
          <w:rFonts w:asciiTheme="majorBidi" w:hAnsiTheme="majorBidi" w:cstheme="majorBidi"/>
        </w:rPr>
        <w:t xml:space="preserve"> (</w:t>
      </w:r>
      <w:r w:rsidR="00C13C85">
        <w:rPr>
          <w:rFonts w:asciiTheme="majorBidi" w:hAnsiTheme="majorBidi" w:cstheme="majorBidi"/>
        </w:rPr>
        <w:t>E</w:t>
      </w:r>
      <w:r w:rsidRPr="00D159B4">
        <w:rPr>
          <w:rFonts w:asciiTheme="majorBidi" w:hAnsiTheme="majorBidi" w:cstheme="majorBidi"/>
        </w:rPr>
        <w:t xml:space="preserve">d. Andrew Mangham, 2013). Additionally, Jenny Bourne Taylor’s </w:t>
      </w:r>
      <w:proofErr w:type="gramStart"/>
      <w:r w:rsidRPr="00D159B4">
        <w:rPr>
          <w:rFonts w:asciiTheme="majorBidi" w:hAnsiTheme="majorBidi" w:cstheme="majorBidi"/>
          <w:i/>
          <w:iCs/>
        </w:rPr>
        <w:t>In</w:t>
      </w:r>
      <w:proofErr w:type="gramEnd"/>
      <w:r w:rsidRPr="00D159B4">
        <w:rPr>
          <w:rFonts w:asciiTheme="majorBidi" w:hAnsiTheme="majorBidi" w:cstheme="majorBidi"/>
          <w:i/>
          <w:iCs/>
        </w:rPr>
        <w:t xml:space="preserve"> the Secret Theater of Home: Wilkie Collins, Sensation Narrative and Nineteenth-Century Psychology</w:t>
      </w:r>
      <w:r w:rsidRPr="00D159B4">
        <w:rPr>
          <w:rFonts w:asciiTheme="majorBidi" w:hAnsiTheme="majorBidi" w:cstheme="majorBidi"/>
        </w:rPr>
        <w:t xml:space="preserve"> (1988) provides a comprehensive analysis of Collins’s fiction.</w:t>
      </w:r>
    </w:p>
  </w:footnote>
  <w:footnote w:id="91">
    <w:p w14:paraId="22F88CBF" w14:textId="77777777" w:rsidR="00D159B4" w:rsidRPr="00D159B4" w:rsidRDefault="00D159B4" w:rsidP="00D159B4">
      <w:pPr>
        <w:pStyle w:val="FootnoteText"/>
        <w:rPr>
          <w:rFonts w:asciiTheme="majorBidi" w:hAnsiTheme="majorBidi" w:cstheme="majorBidi"/>
        </w:rPr>
      </w:pPr>
      <w:r w:rsidRPr="00D159B4">
        <w:rPr>
          <w:rStyle w:val="FootnoteReference"/>
          <w:rFonts w:asciiTheme="majorBidi" w:hAnsiTheme="majorBidi" w:cstheme="majorBidi"/>
        </w:rPr>
        <w:footnoteRef/>
      </w:r>
      <w:r w:rsidRPr="00D159B4">
        <w:rPr>
          <w:rFonts w:asciiTheme="majorBidi" w:hAnsiTheme="majorBidi" w:cstheme="majorBidi"/>
        </w:rPr>
        <w:t xml:space="preserve"> O’Connor bases her location of modern medicine’s most substantial origins in the nineteenth century on, among other things, the “standardization of medical education and the rise of the teaching </w:t>
      </w:r>
      <w:proofErr w:type="gramStart"/>
      <w:r w:rsidRPr="00D159B4">
        <w:rPr>
          <w:rFonts w:asciiTheme="majorBidi" w:hAnsiTheme="majorBidi" w:cstheme="majorBidi"/>
        </w:rPr>
        <w:t>hospital[</w:t>
      </w:r>
      <w:proofErr w:type="gramEnd"/>
      <w:r w:rsidRPr="00D159B4">
        <w:rPr>
          <w:rFonts w:asciiTheme="majorBidi" w:hAnsiTheme="majorBidi" w:cstheme="majorBidi"/>
        </w:rPr>
        <w:t>, which] made the profession at once more respectable and more scientific” (</w:t>
      </w:r>
      <w:r w:rsidRPr="00D159B4">
        <w:rPr>
          <w:rFonts w:asciiTheme="majorBidi" w:hAnsiTheme="majorBidi" w:cstheme="majorBidi"/>
          <w:i/>
          <w:iCs/>
        </w:rPr>
        <w:t>Raw Material</w:t>
      </w:r>
      <w:r w:rsidRPr="00D159B4">
        <w:rPr>
          <w:rFonts w:asciiTheme="majorBidi" w:hAnsiTheme="majorBidi" w:cstheme="majorBidi"/>
        </w:rPr>
        <w:t xml:space="preserve"> 220).</w:t>
      </w:r>
    </w:p>
  </w:footnote>
  <w:footnote w:id="92">
    <w:p w14:paraId="343C38C1" w14:textId="10A05327" w:rsidR="00D159B4" w:rsidRPr="00D159B4" w:rsidRDefault="00D159B4" w:rsidP="00D159B4">
      <w:pPr>
        <w:pStyle w:val="FootnoteText"/>
        <w:rPr>
          <w:rFonts w:asciiTheme="majorBidi" w:hAnsiTheme="majorBidi" w:cstheme="majorBidi"/>
        </w:rPr>
      </w:pPr>
      <w:r w:rsidRPr="00D159B4">
        <w:rPr>
          <w:rStyle w:val="FootnoteReference"/>
          <w:rFonts w:asciiTheme="majorBidi" w:hAnsiTheme="majorBidi" w:cstheme="majorBidi"/>
        </w:rPr>
        <w:footnoteRef/>
      </w:r>
      <w:r w:rsidRPr="00D159B4">
        <w:rPr>
          <w:rFonts w:asciiTheme="majorBidi" w:hAnsiTheme="majorBidi" w:cstheme="majorBidi"/>
        </w:rPr>
        <w:t xml:space="preserve"> </w:t>
      </w:r>
      <w:r w:rsidR="00C13C85">
        <w:rPr>
          <w:rFonts w:asciiTheme="majorBidi" w:hAnsiTheme="majorBidi" w:cstheme="majorBidi"/>
        </w:rPr>
        <w:t xml:space="preserve">In </w:t>
      </w:r>
      <w:r w:rsidR="00C13C85">
        <w:rPr>
          <w:rFonts w:asciiTheme="majorBidi" w:hAnsiTheme="majorBidi" w:cstheme="majorBidi"/>
          <w:i/>
          <w:iCs/>
        </w:rPr>
        <w:t>Raw Material</w:t>
      </w:r>
      <w:r w:rsidR="00C13C85">
        <w:rPr>
          <w:rFonts w:asciiTheme="majorBidi" w:hAnsiTheme="majorBidi" w:cstheme="majorBidi"/>
        </w:rPr>
        <w:t>,</w:t>
      </w:r>
      <w:r w:rsidR="00C13C85">
        <w:rPr>
          <w:rFonts w:asciiTheme="majorBidi" w:hAnsiTheme="majorBidi" w:cstheme="majorBidi"/>
          <w:i/>
          <w:iCs/>
        </w:rPr>
        <w:t xml:space="preserve"> </w:t>
      </w:r>
      <w:r w:rsidRPr="00D159B4">
        <w:rPr>
          <w:rFonts w:asciiTheme="majorBidi" w:hAnsiTheme="majorBidi" w:cstheme="majorBidi"/>
        </w:rPr>
        <w:t xml:space="preserve">Erin O’Connor performs a compelling reading of this and many other scenes of “metaphors of dismemberment” and “overtly sexual kinds of loss” in </w:t>
      </w:r>
      <w:r w:rsidRPr="00D159B4">
        <w:rPr>
          <w:rFonts w:asciiTheme="majorBidi" w:hAnsiTheme="majorBidi" w:cstheme="majorBidi"/>
          <w:i/>
        </w:rPr>
        <w:t>Middlemarch</w:t>
      </w:r>
      <w:r w:rsidRPr="00D159B4">
        <w:rPr>
          <w:rFonts w:asciiTheme="majorBidi" w:hAnsiTheme="majorBidi" w:cstheme="majorBidi"/>
        </w:rPr>
        <w:t xml:space="preserve"> and </w:t>
      </w:r>
      <w:r w:rsidRPr="00D159B4">
        <w:rPr>
          <w:rFonts w:asciiTheme="majorBidi" w:hAnsiTheme="majorBidi" w:cstheme="majorBidi"/>
          <w:i/>
        </w:rPr>
        <w:t>Adam Bede</w:t>
      </w:r>
      <w:r w:rsidRPr="00D159B4">
        <w:rPr>
          <w:rFonts w:asciiTheme="majorBidi" w:hAnsiTheme="majorBidi" w:cstheme="majorBidi"/>
        </w:rPr>
        <w:t xml:space="preserve"> (110).</w:t>
      </w:r>
    </w:p>
  </w:footnote>
  <w:footnote w:id="93">
    <w:p w14:paraId="055A14E4" w14:textId="77777777" w:rsidR="00D159B4" w:rsidRPr="00D159B4" w:rsidRDefault="00D159B4" w:rsidP="00D159B4">
      <w:pPr>
        <w:pStyle w:val="FootnoteText"/>
        <w:rPr>
          <w:rFonts w:asciiTheme="majorBidi" w:hAnsiTheme="majorBidi" w:cstheme="majorBidi"/>
        </w:rPr>
      </w:pPr>
      <w:r w:rsidRPr="00D159B4">
        <w:rPr>
          <w:rStyle w:val="FootnoteReference"/>
          <w:rFonts w:asciiTheme="majorBidi" w:hAnsiTheme="majorBidi" w:cstheme="majorBidi"/>
        </w:rPr>
        <w:footnoteRef/>
      </w:r>
      <w:r w:rsidRPr="00D159B4">
        <w:rPr>
          <w:rFonts w:asciiTheme="majorBidi" w:hAnsiTheme="majorBidi" w:cstheme="majorBidi"/>
        </w:rPr>
        <w:t xml:space="preserve"> Fred Vincy employs a similar metaphor when begging Mr. Featherstone to speak to Mary Garth on his behalf, explaining, “</w:t>
      </w:r>
      <w:r w:rsidRPr="00D159B4">
        <w:rPr>
          <w:rFonts w:asciiTheme="majorBidi" w:hAnsiTheme="majorBidi" w:cstheme="majorBidi"/>
          <w:color w:val="000000"/>
        </w:rPr>
        <w:t>I have never been without loving Mary. If I had to give her up, it would be like beginning to live on wooden legs” (</w:t>
      </w:r>
      <w:r w:rsidRPr="00D159B4">
        <w:rPr>
          <w:rFonts w:asciiTheme="majorBidi" w:hAnsiTheme="majorBidi" w:cstheme="majorBidi"/>
          <w:i/>
          <w:iCs/>
          <w:color w:val="000000"/>
        </w:rPr>
        <w:t xml:space="preserve">Middlemarch </w:t>
      </w:r>
      <w:r w:rsidRPr="00D159B4">
        <w:rPr>
          <w:rFonts w:asciiTheme="majorBidi" w:hAnsiTheme="majorBidi" w:cstheme="majorBidi"/>
          <w:color w:val="000000"/>
        </w:rPr>
        <w:t xml:space="preserve">482). Here, too, a nondisabled character deploys the image of the prosthetic object to contrast a natural state of organic wholeness against amputation and unnatural (and inadequate) supplementation. </w:t>
      </w:r>
    </w:p>
  </w:footnote>
  <w:footnote w:id="94">
    <w:p w14:paraId="6BE01AF5" w14:textId="77777777" w:rsidR="00D159B4" w:rsidRPr="00D159B4" w:rsidRDefault="00D159B4" w:rsidP="00D159B4">
      <w:pPr>
        <w:pStyle w:val="FootnoteText"/>
        <w:rPr>
          <w:rFonts w:asciiTheme="majorBidi" w:hAnsiTheme="majorBidi" w:cstheme="majorBidi"/>
        </w:rPr>
      </w:pPr>
      <w:r w:rsidRPr="00D159B4">
        <w:rPr>
          <w:rStyle w:val="FootnoteReference"/>
          <w:rFonts w:asciiTheme="majorBidi" w:hAnsiTheme="majorBidi" w:cstheme="majorBidi"/>
        </w:rPr>
        <w:footnoteRef/>
      </w:r>
      <w:r w:rsidRPr="00D159B4">
        <w:rPr>
          <w:rFonts w:asciiTheme="majorBidi" w:hAnsiTheme="majorBidi" w:cstheme="majorBidi"/>
        </w:rPr>
        <w:t xml:space="preserve"> Notably absent from this list is </w:t>
      </w:r>
      <w:r w:rsidRPr="00D159B4">
        <w:rPr>
          <w:rFonts w:asciiTheme="majorBidi" w:hAnsiTheme="majorBidi" w:cstheme="majorBidi"/>
          <w:i/>
        </w:rPr>
        <w:t>The Bertrams</w:t>
      </w:r>
      <w:r w:rsidRPr="00D159B4">
        <w:rPr>
          <w:rFonts w:asciiTheme="majorBidi" w:hAnsiTheme="majorBidi" w:cstheme="majorBidi"/>
        </w:rPr>
        <w:t xml:space="preserve"> (1859), which features a minor character, Miss Ruff, who wears an artificial glass eye and plays a mean game of whist. </w:t>
      </w:r>
    </w:p>
  </w:footnote>
  <w:footnote w:id="95">
    <w:p w14:paraId="0F7728AF" w14:textId="77777777" w:rsidR="00D159B4" w:rsidRPr="00D159B4" w:rsidRDefault="00D159B4" w:rsidP="00D159B4">
      <w:pPr>
        <w:pStyle w:val="FootnoteText"/>
        <w:rPr>
          <w:rFonts w:asciiTheme="majorBidi" w:hAnsiTheme="majorBidi" w:cstheme="majorBidi"/>
        </w:rPr>
      </w:pPr>
      <w:r w:rsidRPr="00D159B4">
        <w:rPr>
          <w:rStyle w:val="FootnoteReference"/>
          <w:rFonts w:asciiTheme="majorBidi" w:hAnsiTheme="majorBidi" w:cstheme="majorBidi"/>
        </w:rPr>
        <w:footnoteRef/>
      </w:r>
      <w:r w:rsidRPr="00D159B4">
        <w:rPr>
          <w:rFonts w:asciiTheme="majorBidi" w:hAnsiTheme="majorBidi" w:cstheme="majorBidi"/>
        </w:rPr>
        <w:t xml:space="preserve"> And the description of the postman’s arrival substantiates what Erin O’Connor identifies as “the fundamental paradox of prosthetics—that the dismembered body cannot be rearticulated without also being objectified” (</w:t>
      </w:r>
      <w:r w:rsidRPr="00D159B4">
        <w:rPr>
          <w:rFonts w:asciiTheme="majorBidi" w:hAnsiTheme="majorBidi" w:cstheme="majorBidi"/>
          <w:i/>
        </w:rPr>
        <w:t xml:space="preserve">Raw Material </w:t>
      </w:r>
      <w:r w:rsidRPr="00D159B4">
        <w:rPr>
          <w:rFonts w:asciiTheme="majorBidi" w:hAnsiTheme="majorBidi" w:cstheme="majorBidi"/>
        </w:rPr>
        <w:t>133).</w:t>
      </w:r>
    </w:p>
  </w:footnote>
  <w:footnote w:id="96">
    <w:p w14:paraId="696088D4" w14:textId="77777777" w:rsidR="00D159B4" w:rsidRPr="00D159B4" w:rsidRDefault="00D159B4" w:rsidP="00D159B4">
      <w:pPr>
        <w:pStyle w:val="FootnoteText"/>
        <w:rPr>
          <w:rFonts w:asciiTheme="majorBidi" w:hAnsiTheme="majorBidi" w:cstheme="majorBidi"/>
        </w:rPr>
      </w:pPr>
      <w:r w:rsidRPr="00D159B4">
        <w:rPr>
          <w:rStyle w:val="FootnoteReference"/>
          <w:rFonts w:asciiTheme="majorBidi" w:hAnsiTheme="majorBidi" w:cstheme="majorBidi"/>
        </w:rPr>
        <w:footnoteRef/>
      </w:r>
      <w:r w:rsidRPr="00D159B4">
        <w:rPr>
          <w:rFonts w:asciiTheme="majorBidi" w:hAnsiTheme="majorBidi" w:cstheme="majorBidi"/>
        </w:rPr>
        <w:t xml:space="preserve"> I undertake another analysis of the link between specific kinds of prosthetic limbs and social class (and occupation) in Gustave Flaubert’s </w:t>
      </w:r>
      <w:r w:rsidRPr="00D159B4">
        <w:rPr>
          <w:rFonts w:asciiTheme="majorBidi" w:hAnsiTheme="majorBidi" w:cstheme="majorBidi"/>
          <w:i/>
          <w:iCs/>
        </w:rPr>
        <w:t>Madame Bovary</w:t>
      </w:r>
      <w:r w:rsidRPr="00D159B4">
        <w:rPr>
          <w:rFonts w:asciiTheme="majorBidi" w:hAnsiTheme="majorBidi" w:cstheme="majorBidi"/>
        </w:rPr>
        <w:t xml:space="preserve"> (1856) in the coda. </w:t>
      </w:r>
    </w:p>
  </w:footnote>
  <w:footnote w:id="97">
    <w:p w14:paraId="376E2341" w14:textId="77777777" w:rsidR="00D159B4" w:rsidRPr="00D159B4" w:rsidRDefault="00D159B4" w:rsidP="00D159B4">
      <w:pPr>
        <w:pStyle w:val="FootnoteText"/>
        <w:rPr>
          <w:rFonts w:asciiTheme="majorBidi" w:hAnsiTheme="majorBidi" w:cstheme="majorBidi"/>
        </w:rPr>
      </w:pPr>
      <w:r w:rsidRPr="00D159B4">
        <w:rPr>
          <w:rStyle w:val="FootnoteReference"/>
          <w:rFonts w:asciiTheme="majorBidi" w:hAnsiTheme="majorBidi" w:cstheme="majorBidi"/>
        </w:rPr>
        <w:footnoteRef/>
      </w:r>
      <w:r w:rsidRPr="00D159B4">
        <w:rPr>
          <w:rFonts w:asciiTheme="majorBidi" w:hAnsiTheme="majorBidi" w:cstheme="majorBidi"/>
        </w:rPr>
        <w:t xml:space="preserve"> For more on the “wooden-legged man” as a type, see my reading of </w:t>
      </w:r>
      <w:r w:rsidRPr="00D159B4">
        <w:rPr>
          <w:rFonts w:asciiTheme="majorBidi" w:hAnsiTheme="majorBidi" w:cstheme="majorBidi"/>
          <w:i/>
          <w:iCs/>
        </w:rPr>
        <w:t>Our Mutual Friend</w:t>
      </w:r>
      <w:r w:rsidRPr="00D159B4">
        <w:rPr>
          <w:rFonts w:asciiTheme="majorBidi" w:hAnsiTheme="majorBidi" w:cstheme="majorBidi"/>
        </w:rPr>
        <w:t xml:space="preserve">’s Silas Wegg in the conclusion. </w:t>
      </w:r>
    </w:p>
  </w:footnote>
  <w:footnote w:id="98">
    <w:p w14:paraId="174B4038" w14:textId="77777777" w:rsidR="00D159B4" w:rsidRPr="00D159B4" w:rsidRDefault="00D159B4" w:rsidP="00D159B4">
      <w:pPr>
        <w:pStyle w:val="FootnoteText"/>
        <w:rPr>
          <w:rFonts w:asciiTheme="majorBidi" w:hAnsiTheme="majorBidi" w:cstheme="majorBidi"/>
        </w:rPr>
      </w:pPr>
      <w:r w:rsidRPr="00D159B4">
        <w:rPr>
          <w:rStyle w:val="FootnoteReference"/>
          <w:rFonts w:asciiTheme="majorBidi" w:hAnsiTheme="majorBidi" w:cstheme="majorBidi"/>
        </w:rPr>
        <w:footnoteRef/>
      </w:r>
      <w:r w:rsidRPr="00D159B4">
        <w:rPr>
          <w:rFonts w:asciiTheme="majorBidi" w:hAnsiTheme="majorBidi" w:cstheme="majorBidi"/>
        </w:rPr>
        <w:t xml:space="preserve"> The postman also proves important in more subtle ways (he and Mrs. Crocket’s ostler seem to keep up a gossipy level of surveillance), and his comings and goings come to weigh on the emotions of the novel’s other characters. For instance, in her anticipation of receiving another “real love-letter” from Brooke Burgess, Dorothy Stanbury finds her nervous system stimulated by the postman’s arrival at her home: “</w:t>
      </w:r>
      <w:r w:rsidRPr="00D159B4">
        <w:rPr>
          <w:rFonts w:asciiTheme="majorBidi" w:hAnsiTheme="majorBidi" w:cstheme="majorBidi"/>
          <w:color w:val="000000"/>
          <w:shd w:val="clear" w:color="auto" w:fill="FDFDFD"/>
        </w:rPr>
        <w:t xml:space="preserve">her heart had palpitated on hearing the postman's knock” (536). </w:t>
      </w:r>
    </w:p>
  </w:footnote>
  <w:footnote w:id="99">
    <w:p w14:paraId="3CEB6263" w14:textId="18212E73" w:rsidR="00D159B4" w:rsidRPr="00D159B4" w:rsidRDefault="00D159B4" w:rsidP="00D159B4">
      <w:pPr>
        <w:pStyle w:val="FootnoteText"/>
        <w:rPr>
          <w:rFonts w:asciiTheme="majorBidi" w:hAnsiTheme="majorBidi" w:cstheme="majorBidi"/>
        </w:rPr>
      </w:pPr>
      <w:r w:rsidRPr="00D159B4">
        <w:rPr>
          <w:rStyle w:val="FootnoteReference"/>
          <w:rFonts w:asciiTheme="majorBidi" w:hAnsiTheme="majorBidi" w:cstheme="majorBidi"/>
        </w:rPr>
        <w:footnoteRef/>
      </w:r>
      <w:r w:rsidRPr="00D159B4">
        <w:rPr>
          <w:rFonts w:asciiTheme="majorBidi" w:hAnsiTheme="majorBidi" w:cstheme="majorBidi"/>
        </w:rPr>
        <w:t xml:space="preserve"> The narrator describes her as “a powerful spider that made wondrous webs, and could in no way live without catching flies” and further </w:t>
      </w:r>
      <w:r w:rsidR="00984A13">
        <w:rPr>
          <w:rFonts w:asciiTheme="majorBidi" w:hAnsiTheme="majorBidi" w:cstheme="majorBidi"/>
        </w:rPr>
        <w:t>comments</w:t>
      </w:r>
      <w:r w:rsidRPr="00D159B4">
        <w:rPr>
          <w:rFonts w:asciiTheme="majorBidi" w:hAnsiTheme="majorBidi" w:cstheme="majorBidi"/>
        </w:rPr>
        <w:t>, “Her tase in this respect was abominable, for she had no use for the victims when caught” (242).</w:t>
      </w:r>
    </w:p>
  </w:footnote>
  <w:footnote w:id="100">
    <w:p w14:paraId="2D2A32BA" w14:textId="77777777" w:rsidR="00D159B4" w:rsidRPr="00D159B4" w:rsidRDefault="00D159B4" w:rsidP="00D159B4">
      <w:pPr>
        <w:pStyle w:val="FootnoteText"/>
        <w:rPr>
          <w:rFonts w:asciiTheme="majorBidi" w:hAnsiTheme="majorBidi" w:cstheme="majorBidi"/>
        </w:rPr>
      </w:pPr>
      <w:r w:rsidRPr="00D159B4">
        <w:rPr>
          <w:rStyle w:val="FootnoteReference"/>
          <w:rFonts w:asciiTheme="majorBidi" w:hAnsiTheme="majorBidi" w:cstheme="majorBidi"/>
        </w:rPr>
        <w:footnoteRef/>
      </w:r>
      <w:r w:rsidRPr="00D159B4">
        <w:rPr>
          <w:rFonts w:asciiTheme="majorBidi" w:hAnsiTheme="majorBidi" w:cstheme="majorBidi"/>
        </w:rPr>
        <w:t xml:space="preserve"> See, for instance, </w:t>
      </w:r>
      <w:bookmarkStart w:id="20" w:name="_Hlk97562042"/>
      <w:r w:rsidRPr="00D159B4">
        <w:rPr>
          <w:rFonts w:asciiTheme="majorBidi" w:hAnsiTheme="majorBidi" w:cstheme="majorBidi"/>
        </w:rPr>
        <w:t>Kate Lawson</w:t>
      </w:r>
      <w:bookmarkEnd w:id="20"/>
      <w:r w:rsidRPr="00D159B4">
        <w:rPr>
          <w:rFonts w:asciiTheme="majorBidi" w:hAnsiTheme="majorBidi" w:cstheme="majorBidi"/>
          <w:shd w:val="clear" w:color="auto" w:fill="FFFFFF"/>
        </w:rPr>
        <w:t xml:space="preserve"> and Lynn Shakinovsky’s </w:t>
      </w:r>
      <w:proofErr w:type="gramStart"/>
      <w:r w:rsidRPr="00D159B4">
        <w:rPr>
          <w:rFonts w:asciiTheme="majorBidi" w:hAnsiTheme="majorBidi" w:cstheme="majorBidi"/>
          <w:i/>
          <w:iCs/>
          <w:shd w:val="clear" w:color="auto" w:fill="FFFFFF"/>
        </w:rPr>
        <w:t>The</w:t>
      </w:r>
      <w:proofErr w:type="gramEnd"/>
      <w:r w:rsidRPr="00D159B4">
        <w:rPr>
          <w:rFonts w:asciiTheme="majorBidi" w:hAnsiTheme="majorBidi" w:cstheme="majorBidi"/>
          <w:i/>
          <w:iCs/>
          <w:shd w:val="clear" w:color="auto" w:fill="FFFFFF"/>
        </w:rPr>
        <w:t xml:space="preserve"> Marked Body: Domestic Violence in Mid-Nineteenth-Century Literature</w:t>
      </w:r>
      <w:r w:rsidRPr="00D159B4">
        <w:rPr>
          <w:rFonts w:asciiTheme="majorBidi" w:hAnsiTheme="majorBidi" w:cstheme="majorBidi"/>
          <w:shd w:val="clear" w:color="auto" w:fill="FFFFFF"/>
        </w:rPr>
        <w:t xml:space="preserve"> (2002).</w:t>
      </w:r>
    </w:p>
  </w:footnote>
  <w:footnote w:id="101">
    <w:p w14:paraId="46E8DD57" w14:textId="77777777" w:rsidR="00D159B4" w:rsidRPr="00D159B4" w:rsidRDefault="00D159B4" w:rsidP="00D159B4">
      <w:pPr>
        <w:pStyle w:val="FootnoteText"/>
        <w:rPr>
          <w:rFonts w:asciiTheme="majorBidi" w:hAnsiTheme="majorBidi" w:cstheme="majorBidi"/>
        </w:rPr>
      </w:pPr>
      <w:r w:rsidRPr="00D159B4">
        <w:rPr>
          <w:rStyle w:val="FootnoteReference"/>
          <w:rFonts w:asciiTheme="majorBidi" w:hAnsiTheme="majorBidi" w:cstheme="majorBidi"/>
        </w:rPr>
        <w:footnoteRef/>
      </w:r>
      <w:r w:rsidRPr="00D159B4">
        <w:rPr>
          <w:rFonts w:asciiTheme="majorBidi" w:hAnsiTheme="majorBidi" w:cstheme="majorBidi"/>
        </w:rPr>
        <w:t xml:space="preserve"> According to the narrator, “Stories were not slow to follow her, averring that she had been cruelly ill-used by Neroni, and that to his violence had she owed her accident” (66). </w:t>
      </w:r>
    </w:p>
  </w:footnote>
  <w:footnote w:id="102">
    <w:p w14:paraId="6E802F4A" w14:textId="77777777" w:rsidR="00D159B4" w:rsidRPr="00D159B4" w:rsidRDefault="00D159B4" w:rsidP="00D159B4">
      <w:pPr>
        <w:pStyle w:val="FootnoteText"/>
        <w:rPr>
          <w:rFonts w:asciiTheme="majorBidi" w:hAnsiTheme="majorBidi" w:cstheme="majorBidi"/>
        </w:rPr>
      </w:pPr>
      <w:r w:rsidRPr="00D159B4">
        <w:rPr>
          <w:rStyle w:val="FootnoteReference"/>
          <w:rFonts w:asciiTheme="majorBidi" w:hAnsiTheme="majorBidi" w:cstheme="majorBidi"/>
        </w:rPr>
        <w:footnoteRef/>
      </w:r>
      <w:r w:rsidRPr="00D159B4">
        <w:rPr>
          <w:rFonts w:asciiTheme="majorBidi" w:hAnsiTheme="majorBidi" w:cstheme="majorBidi"/>
        </w:rPr>
        <w:t xml:space="preserve"> Notably, Mrs. Proudie’s account of Signora Neroni’s domestic abuse elicits sympathy from Lady De Courcy (despite their previous contest), who, the narrator divulges, “herself knew something of matrimonial trials” (355).</w:t>
      </w:r>
    </w:p>
  </w:footnote>
  <w:footnote w:id="103">
    <w:p w14:paraId="46A31E2C" w14:textId="0D04294C" w:rsidR="00D159B4" w:rsidRPr="00D159B4" w:rsidRDefault="00D159B4" w:rsidP="00D159B4">
      <w:pPr>
        <w:pStyle w:val="FootnoteText"/>
        <w:rPr>
          <w:rFonts w:asciiTheme="majorBidi" w:hAnsiTheme="majorBidi" w:cstheme="majorBidi"/>
        </w:rPr>
      </w:pPr>
      <w:r w:rsidRPr="00D159B4">
        <w:rPr>
          <w:rStyle w:val="FootnoteReference"/>
          <w:rFonts w:asciiTheme="majorBidi" w:hAnsiTheme="majorBidi" w:cstheme="majorBidi"/>
        </w:rPr>
        <w:footnoteRef/>
      </w:r>
      <w:r w:rsidRPr="00D159B4">
        <w:rPr>
          <w:rFonts w:asciiTheme="majorBidi" w:hAnsiTheme="majorBidi" w:cstheme="majorBidi"/>
        </w:rPr>
        <w:t xml:space="preserve"> Her ambiguous use of the sofa generates some confusion, curiosity, and conversation among many of the novel’s nondisabled characters. The bishop’s youngest daughter, Netta, for example, claims that Madeline “has got no legs” (78), while another daughter, Olivia, explains, “She has got legs, but she can’t use them. She has always to be kept lying down, and three or four men carry her about everywhere” (79). All of them recognize the sofa as a precarious piece of furniture, with Netta warning her father, “mind you don’t let anyone sit upon the sofa.” Even the young child recognizes the </w:t>
      </w:r>
      <w:r w:rsidR="00316CCB">
        <w:rPr>
          <w:rFonts w:asciiTheme="majorBidi" w:hAnsiTheme="majorBidi" w:cstheme="majorBidi"/>
        </w:rPr>
        <w:t>s</w:t>
      </w:r>
      <w:r w:rsidRPr="00D159B4">
        <w:rPr>
          <w:rFonts w:asciiTheme="majorBidi" w:hAnsiTheme="majorBidi" w:cstheme="majorBidi"/>
        </w:rPr>
        <w:t xml:space="preserve">ignora’s sofa as “precarious,” an object whose danger inheres in its lack of fixity, in its malleability. </w:t>
      </w:r>
    </w:p>
  </w:footnote>
  <w:footnote w:id="104">
    <w:p w14:paraId="7AC95439" w14:textId="77777777" w:rsidR="00D159B4" w:rsidRPr="00D159B4" w:rsidRDefault="00D159B4" w:rsidP="00D159B4">
      <w:pPr>
        <w:pStyle w:val="FootnoteText"/>
        <w:rPr>
          <w:rFonts w:asciiTheme="majorBidi" w:hAnsiTheme="majorBidi" w:cstheme="majorBidi"/>
        </w:rPr>
      </w:pPr>
      <w:r w:rsidRPr="00D159B4">
        <w:rPr>
          <w:rStyle w:val="FootnoteReference"/>
          <w:rFonts w:asciiTheme="majorBidi" w:hAnsiTheme="majorBidi" w:cstheme="majorBidi"/>
        </w:rPr>
        <w:footnoteRef/>
      </w:r>
      <w:r w:rsidRPr="00D159B4">
        <w:rPr>
          <w:rFonts w:asciiTheme="majorBidi" w:hAnsiTheme="majorBidi" w:cstheme="majorBidi"/>
        </w:rPr>
        <w:t xml:space="preserve"> The signora’s commitment to being seen also involves her forceful inversion of the normative gaze. The narrator even goes so far as to describe her as a “basilisk,” invoking mythic allusions to the legendary serpent with a lethal gaze (363). When the Honourable John begins “eyeing the signora through his glass,” she immediately “g[ives] him back his own, as the saying is, and more with it; so that the young nobleman was forced to avert his glance and drop his glass” (351). The power of staring others into submission seems to scintillate the signora, as in the staring contest between Signora Neroni and the Lady De Courcy:</w:t>
      </w:r>
    </w:p>
    <w:p w14:paraId="315880BB" w14:textId="764501C4" w:rsidR="00D159B4" w:rsidRPr="00D159B4" w:rsidRDefault="00D159B4" w:rsidP="00801635">
      <w:pPr>
        <w:pStyle w:val="FootnoteText"/>
        <w:ind w:left="1440"/>
        <w:rPr>
          <w:rFonts w:asciiTheme="majorBidi" w:hAnsiTheme="majorBidi" w:cstheme="majorBidi"/>
        </w:rPr>
      </w:pPr>
      <w:r w:rsidRPr="00D159B4">
        <w:rPr>
          <w:rFonts w:asciiTheme="majorBidi" w:hAnsiTheme="majorBidi" w:cstheme="majorBidi"/>
        </w:rPr>
        <w:t xml:space="preserve">In order to get to the </w:t>
      </w:r>
      <w:proofErr w:type="gramStart"/>
      <w:r w:rsidRPr="00D159B4">
        <w:rPr>
          <w:rFonts w:asciiTheme="majorBidi" w:hAnsiTheme="majorBidi" w:cstheme="majorBidi"/>
        </w:rPr>
        <w:t>window</w:t>
      </w:r>
      <w:proofErr w:type="gramEnd"/>
      <w:r w:rsidRPr="00D159B4">
        <w:rPr>
          <w:rFonts w:asciiTheme="majorBidi" w:hAnsiTheme="majorBidi" w:cstheme="majorBidi"/>
        </w:rPr>
        <w:t xml:space="preserve"> she [the countess] had to pass close to the front of the couch, and as she did so she stared hard at the occupant. The occupant in return stared hard at the countess. The countess, who since her countess-ship commenced had been accustomed to see all eyes, not royal, ducal, or marquesal, fall before her own, paused as she went on. But she had now to do with one who cared little for countesses. It was, one may say, impossible for mortal man or woman to abash Madeline Neroni. She opened her large, bright, lustrous eyes wider and wider, till she seemed to be all eyes. She gazed up into the lady’s face, not as though she did it with an effort, but as if she delighted in doing it. She used no glass to assist her effrontery, and needed none. The faintest possible smile of derision played round her mouth, and her nostrils were slightly dilated, as if in sure anticipation of her triumph. And it was sure. The </w:t>
      </w:r>
      <w:proofErr w:type="gramStart"/>
      <w:r w:rsidRPr="00D159B4">
        <w:rPr>
          <w:rFonts w:asciiTheme="majorBidi" w:hAnsiTheme="majorBidi" w:cstheme="majorBidi"/>
        </w:rPr>
        <w:t>Countess</w:t>
      </w:r>
      <w:proofErr w:type="gramEnd"/>
      <w:r w:rsidRPr="00D159B4">
        <w:rPr>
          <w:rFonts w:asciiTheme="majorBidi" w:hAnsiTheme="majorBidi" w:cstheme="majorBidi"/>
        </w:rPr>
        <w:t xml:space="preserve"> De Courcy . . . had not a chance with her. (353)</w:t>
      </w:r>
    </w:p>
    <w:p w14:paraId="2B4F5908" w14:textId="77777777" w:rsidR="00D159B4" w:rsidRPr="00D159B4" w:rsidRDefault="00D159B4" w:rsidP="00D159B4">
      <w:pPr>
        <w:pStyle w:val="FootnoteText"/>
        <w:rPr>
          <w:rFonts w:asciiTheme="majorBidi" w:hAnsiTheme="majorBidi" w:cstheme="majorBidi"/>
        </w:rPr>
      </w:pPr>
      <w:r w:rsidRPr="00D159B4">
        <w:rPr>
          <w:rFonts w:asciiTheme="majorBidi" w:hAnsiTheme="majorBidi" w:cstheme="majorBidi"/>
        </w:rPr>
        <w:t xml:space="preserve">The signora takes pleasure in penetrating the countess’s gaze and, notably, does not need or use the assistance of a glass to overpower the nondisabled countess in this peculiar social contest. No stranger to the stares of others, impenetrable Signora Neroni revels in making others the unsuspecting subject of her looks. </w:t>
      </w:r>
    </w:p>
  </w:footnote>
  <w:footnote w:id="105">
    <w:p w14:paraId="1E174C3E" w14:textId="42B0C8BD" w:rsidR="00D159B4" w:rsidRPr="00D159B4" w:rsidRDefault="00D159B4" w:rsidP="00D159B4">
      <w:pPr>
        <w:pStyle w:val="FootnoteText"/>
        <w:rPr>
          <w:rFonts w:asciiTheme="majorBidi" w:hAnsiTheme="majorBidi" w:cstheme="majorBidi"/>
        </w:rPr>
      </w:pPr>
      <w:r w:rsidRPr="00D159B4">
        <w:rPr>
          <w:rStyle w:val="FootnoteReference"/>
          <w:rFonts w:asciiTheme="majorBidi" w:hAnsiTheme="majorBidi" w:cstheme="majorBidi"/>
        </w:rPr>
        <w:footnoteRef/>
      </w:r>
      <w:r w:rsidRPr="00D159B4">
        <w:rPr>
          <w:rFonts w:asciiTheme="majorBidi" w:hAnsiTheme="majorBidi" w:cstheme="majorBidi"/>
        </w:rPr>
        <w:t xml:space="preserve"> Brilliant, industrious, and self-determined, Madeline Neroni seems to exploit her disability for personal gain in other ways as well. Take for instance, her visiting card: “surrounded by a deep border of gilding </w:t>
      </w:r>
      <w:proofErr w:type="gramStart"/>
      <w:r w:rsidRPr="00D159B4">
        <w:rPr>
          <w:rFonts w:asciiTheme="majorBidi" w:hAnsiTheme="majorBidi" w:cstheme="majorBidi"/>
        </w:rPr>
        <w:t>. . . .</w:t>
      </w:r>
      <w:proofErr w:type="gramEnd"/>
      <w:r w:rsidRPr="00D159B4">
        <w:rPr>
          <w:rFonts w:asciiTheme="majorBidi" w:hAnsiTheme="majorBidi" w:cstheme="majorBidi"/>
        </w:rPr>
        <w:t xml:space="preserve"> And over the name she had a bright gilt coronet” (68). While the regal title and coronet on the card are both similarly “ridiculous” (insofar as she has no real right to assume either), the narrator allows that “A coronet . . . was a pretty ornament, and if it could solace a poor cripple to have such on her card, who would begrudge it to her?” She embellishes every element and detail of her person, variously capitalizing on or </w:t>
      </w:r>
      <w:r w:rsidR="00316CCB" w:rsidRPr="00D159B4">
        <w:rPr>
          <w:rFonts w:asciiTheme="majorBidi" w:hAnsiTheme="majorBidi" w:cstheme="majorBidi"/>
        </w:rPr>
        <w:t>gilding</w:t>
      </w:r>
      <w:r w:rsidRPr="00D159B4">
        <w:rPr>
          <w:rFonts w:asciiTheme="majorBidi" w:hAnsiTheme="majorBidi" w:cstheme="majorBidi"/>
        </w:rPr>
        <w:t xml:space="preserve"> her “deformity.”</w:t>
      </w:r>
    </w:p>
  </w:footnote>
  <w:footnote w:id="106">
    <w:p w14:paraId="7ED4B32C" w14:textId="77777777" w:rsidR="00D159B4" w:rsidRPr="00D159B4" w:rsidRDefault="00D159B4" w:rsidP="00D159B4">
      <w:pPr>
        <w:pStyle w:val="FootnoteText"/>
        <w:rPr>
          <w:rFonts w:asciiTheme="majorBidi" w:hAnsiTheme="majorBidi" w:cstheme="majorBidi"/>
        </w:rPr>
      </w:pPr>
      <w:r w:rsidRPr="00D159B4">
        <w:rPr>
          <w:rStyle w:val="FootnoteReference"/>
          <w:rFonts w:asciiTheme="majorBidi" w:hAnsiTheme="majorBidi" w:cstheme="majorBidi"/>
        </w:rPr>
        <w:footnoteRef/>
      </w:r>
      <w:r w:rsidRPr="00D159B4">
        <w:rPr>
          <w:rFonts w:asciiTheme="majorBidi" w:hAnsiTheme="majorBidi" w:cstheme="majorBidi"/>
        </w:rPr>
        <w:t xml:space="preserve"> The preferences referenced here can be seen in Madeline’s extensive letter-writing, including her willingness to “correspond with anyone but moral young ladies or stiff old women” (69).</w:t>
      </w:r>
    </w:p>
  </w:footnote>
  <w:footnote w:id="107">
    <w:p w14:paraId="40EA9838" w14:textId="77777777" w:rsidR="00D159B4" w:rsidRPr="00D159B4" w:rsidRDefault="00D159B4" w:rsidP="00D159B4">
      <w:pPr>
        <w:pStyle w:val="FootnoteText"/>
        <w:rPr>
          <w:rFonts w:asciiTheme="majorBidi" w:hAnsiTheme="majorBidi" w:cstheme="majorBidi"/>
        </w:rPr>
      </w:pPr>
      <w:r w:rsidRPr="00D159B4">
        <w:rPr>
          <w:rStyle w:val="FootnoteReference"/>
          <w:rFonts w:asciiTheme="majorBidi" w:hAnsiTheme="majorBidi" w:cstheme="majorBidi"/>
        </w:rPr>
        <w:footnoteRef/>
      </w:r>
      <w:r w:rsidRPr="00D159B4">
        <w:rPr>
          <w:rFonts w:asciiTheme="majorBidi" w:hAnsiTheme="majorBidi" w:cstheme="majorBidi"/>
        </w:rPr>
        <w:t xml:space="preserve"> Given Madeline’s penchant for theatricality, Joseph Grimaldi, a famous Regency-era clown and pantomime actor, seems a fitting comparison. Trollope was hardly the only Victorian author influenced by Grimaldi’s performances; Dickens edited Grimaldi’s memoirs (1838).  </w:t>
      </w:r>
    </w:p>
  </w:footnote>
  <w:footnote w:id="108">
    <w:p w14:paraId="02DE724A" w14:textId="77777777" w:rsidR="00D159B4" w:rsidRPr="00D159B4" w:rsidRDefault="00D159B4" w:rsidP="00D159B4">
      <w:pPr>
        <w:pStyle w:val="FootnoteText"/>
        <w:rPr>
          <w:rFonts w:asciiTheme="majorBidi" w:hAnsiTheme="majorBidi" w:cstheme="majorBidi"/>
        </w:rPr>
      </w:pPr>
      <w:r w:rsidRPr="00D159B4">
        <w:rPr>
          <w:rStyle w:val="FootnoteReference"/>
          <w:rFonts w:asciiTheme="majorBidi" w:hAnsiTheme="majorBidi" w:cstheme="majorBidi"/>
        </w:rPr>
        <w:footnoteRef/>
      </w:r>
      <w:r w:rsidRPr="00D159B4">
        <w:rPr>
          <w:rFonts w:asciiTheme="majorBidi" w:hAnsiTheme="majorBidi" w:cstheme="majorBidi"/>
        </w:rPr>
        <w:t xml:space="preserve"> For additional discussion of other links between female sexuality and objects of material value in Trollope, see William A. Cohen’s “Trollope’s Trollop” (1995).</w:t>
      </w:r>
    </w:p>
  </w:footnote>
  <w:footnote w:id="109">
    <w:p w14:paraId="2AD34179" w14:textId="5E36334F" w:rsidR="00D159B4" w:rsidRPr="00D159B4" w:rsidRDefault="00D159B4" w:rsidP="00D159B4">
      <w:pPr>
        <w:pStyle w:val="FootnoteText"/>
        <w:rPr>
          <w:rFonts w:asciiTheme="majorBidi" w:hAnsiTheme="majorBidi" w:cstheme="majorBidi"/>
        </w:rPr>
      </w:pPr>
      <w:r w:rsidRPr="00D159B4">
        <w:rPr>
          <w:rStyle w:val="FootnoteReference"/>
          <w:rFonts w:asciiTheme="majorBidi" w:hAnsiTheme="majorBidi" w:cstheme="majorBidi"/>
        </w:rPr>
        <w:footnoteRef/>
      </w:r>
      <w:r w:rsidRPr="00D159B4">
        <w:rPr>
          <w:rFonts w:asciiTheme="majorBidi" w:hAnsiTheme="majorBidi" w:cstheme="majorBidi"/>
        </w:rPr>
        <w:t xml:space="preserve"> See Chapter X of </w:t>
      </w:r>
      <w:r w:rsidRPr="00D159B4">
        <w:rPr>
          <w:rFonts w:asciiTheme="majorBidi" w:hAnsiTheme="majorBidi" w:cstheme="majorBidi"/>
          <w:i/>
          <w:iCs/>
        </w:rPr>
        <w:t>Barchester Towers</w:t>
      </w:r>
      <w:r w:rsidRPr="00D159B4">
        <w:rPr>
          <w:rFonts w:asciiTheme="majorBidi" w:hAnsiTheme="majorBidi" w:cstheme="majorBidi"/>
        </w:rPr>
        <w:t xml:space="preserve"> for </w:t>
      </w:r>
      <w:r w:rsidR="00F40A1F">
        <w:rPr>
          <w:rFonts w:asciiTheme="majorBidi" w:hAnsiTheme="majorBidi" w:cstheme="majorBidi"/>
        </w:rPr>
        <w:t>the full</w:t>
      </w:r>
      <w:r w:rsidRPr="00D159B4">
        <w:rPr>
          <w:rFonts w:asciiTheme="majorBidi" w:hAnsiTheme="majorBidi" w:cstheme="majorBidi"/>
        </w:rPr>
        <w:t xml:space="preserve"> description Signora Neroni’s appearance on the sofa. </w:t>
      </w:r>
    </w:p>
  </w:footnote>
  <w:footnote w:id="110">
    <w:p w14:paraId="22170EFB" w14:textId="3AEC76E1" w:rsidR="00D159B4" w:rsidRPr="00D159B4" w:rsidRDefault="00D159B4" w:rsidP="00F40A1F">
      <w:pPr>
        <w:pStyle w:val="FootnoteText"/>
        <w:rPr>
          <w:rFonts w:asciiTheme="majorBidi" w:hAnsiTheme="majorBidi" w:cstheme="majorBidi"/>
        </w:rPr>
      </w:pPr>
      <w:r w:rsidRPr="00D159B4">
        <w:rPr>
          <w:rStyle w:val="FootnoteReference"/>
          <w:rFonts w:asciiTheme="majorBidi" w:hAnsiTheme="majorBidi" w:cstheme="majorBidi"/>
        </w:rPr>
        <w:footnoteRef/>
      </w:r>
      <w:r w:rsidRPr="00D159B4">
        <w:rPr>
          <w:rFonts w:asciiTheme="majorBidi" w:hAnsiTheme="majorBidi" w:cstheme="majorBidi"/>
        </w:rPr>
        <w:t xml:space="preserve"> Famous sculptures that engage this trope include </w:t>
      </w:r>
      <w:r w:rsidRPr="00D159B4">
        <w:rPr>
          <w:rFonts w:asciiTheme="majorBidi" w:hAnsiTheme="majorBidi" w:cstheme="majorBidi"/>
          <w:i/>
          <w:iCs/>
        </w:rPr>
        <w:t>The Sleeping Ariande</w:t>
      </w:r>
      <w:r w:rsidRPr="00D159B4">
        <w:rPr>
          <w:rFonts w:asciiTheme="majorBidi" w:hAnsiTheme="majorBidi" w:cstheme="majorBidi"/>
        </w:rPr>
        <w:t xml:space="preserve"> (2</w:t>
      </w:r>
      <w:r w:rsidRPr="00D159B4">
        <w:rPr>
          <w:rFonts w:asciiTheme="majorBidi" w:hAnsiTheme="majorBidi" w:cstheme="majorBidi"/>
          <w:vertAlign w:val="superscript"/>
        </w:rPr>
        <w:t>nd</w:t>
      </w:r>
      <w:r w:rsidRPr="00D159B4">
        <w:rPr>
          <w:rFonts w:asciiTheme="majorBidi" w:hAnsiTheme="majorBidi" w:cstheme="majorBidi"/>
        </w:rPr>
        <w:t xml:space="preserve"> century BCE) and Antonio Canova’s </w:t>
      </w:r>
      <w:r w:rsidRPr="00D159B4">
        <w:rPr>
          <w:rFonts w:asciiTheme="majorBidi" w:hAnsiTheme="majorBidi" w:cstheme="majorBidi"/>
          <w:i/>
          <w:iCs/>
        </w:rPr>
        <w:t>Pauline Bonaparte as Venus Victrix</w:t>
      </w:r>
      <w:r w:rsidRPr="00D159B4">
        <w:rPr>
          <w:rFonts w:asciiTheme="majorBidi" w:hAnsiTheme="majorBidi" w:cstheme="majorBidi"/>
        </w:rPr>
        <w:t xml:space="preserve"> (1805-1808). </w:t>
      </w:r>
    </w:p>
  </w:footnote>
  <w:footnote w:id="111">
    <w:p w14:paraId="39BDE3EE" w14:textId="553ADBF7" w:rsidR="00FD447A" w:rsidRDefault="00FD447A" w:rsidP="00FD447A">
      <w:pPr>
        <w:pStyle w:val="FootnoteText"/>
        <w:rPr>
          <w:rFonts w:asciiTheme="majorBidi" w:hAnsiTheme="majorBidi" w:cstheme="majorBidi"/>
        </w:rPr>
      </w:pPr>
      <w:r w:rsidRPr="00D159B4">
        <w:rPr>
          <w:rStyle w:val="FootnoteReference"/>
          <w:rFonts w:asciiTheme="majorBidi" w:hAnsiTheme="majorBidi" w:cstheme="majorBidi"/>
        </w:rPr>
        <w:footnoteRef/>
      </w:r>
      <w:r w:rsidRPr="00D159B4">
        <w:rPr>
          <w:rFonts w:asciiTheme="majorBidi" w:hAnsiTheme="majorBidi" w:cstheme="majorBidi"/>
        </w:rPr>
        <w:t xml:space="preserve"> Signora Neroni pulls off this imitation much more convincingly than Dickens’s Mrs. Skewton, styled as Cleopatra in </w:t>
      </w:r>
      <w:r w:rsidRPr="00D159B4">
        <w:rPr>
          <w:rFonts w:asciiTheme="majorBidi" w:hAnsiTheme="majorBidi" w:cstheme="majorBidi"/>
          <w:i/>
          <w:iCs/>
        </w:rPr>
        <w:t>Dombey and Son</w:t>
      </w:r>
      <w:r w:rsidRPr="00D159B4">
        <w:rPr>
          <w:rFonts w:asciiTheme="majorBidi" w:hAnsiTheme="majorBidi" w:cstheme="majorBidi"/>
        </w:rPr>
        <w:t xml:space="preserve"> (1848). The seventy-year-old Mrs. Skewton uses a wheelchair, dresses like a woman in her early twenties, and initially appears in her gallery next to her own portrait: “Her attitude in the wheeled chair (which she never varied) was one in which she had been taken in a barouche, some fifty years before, by a then fashionable artist who had appended to his published sketch the name of Cleopatra: in consequence of a discover</w:t>
      </w:r>
      <w:r w:rsidR="00F40A1F">
        <w:rPr>
          <w:rFonts w:asciiTheme="majorBidi" w:hAnsiTheme="majorBidi" w:cstheme="majorBidi"/>
        </w:rPr>
        <w:t>y</w:t>
      </w:r>
      <w:r w:rsidRPr="00D159B4">
        <w:rPr>
          <w:rFonts w:asciiTheme="majorBidi" w:hAnsiTheme="majorBidi" w:cstheme="majorBidi"/>
        </w:rPr>
        <w:t xml:space="preserve"> made by the critics of the time, that it bore an exact resemblance to that Princess as she reclined on board her galley” (306). The narrator goes on to mock Mrs. Skewton’s production, observing how she sat “arranged, as Cleopatra, among the cushions of a sofa: very airily dressed: and certainly not resembling Shakespeare’s Cleopatra, whom age could not wither” (311).</w:t>
      </w:r>
    </w:p>
    <w:p w14:paraId="46010AF0" w14:textId="6A9E3540" w:rsidR="00F40A1F" w:rsidRPr="00D159B4" w:rsidRDefault="00F40A1F" w:rsidP="00FD447A">
      <w:pPr>
        <w:pStyle w:val="FootnoteText"/>
        <w:rPr>
          <w:rFonts w:asciiTheme="majorBidi" w:hAnsiTheme="majorBidi" w:cstheme="majorBidi"/>
        </w:rPr>
      </w:pPr>
      <w:r>
        <w:rPr>
          <w:rFonts w:asciiTheme="majorBidi" w:hAnsiTheme="majorBidi" w:cstheme="majorBidi"/>
        </w:rPr>
        <w:tab/>
      </w:r>
      <w:r w:rsidRPr="00D159B4">
        <w:rPr>
          <w:rFonts w:asciiTheme="majorBidi" w:hAnsiTheme="majorBidi" w:cstheme="majorBidi"/>
        </w:rPr>
        <w:t xml:space="preserve">Both Charlotte Brontë’s Lucy Snowe (in </w:t>
      </w:r>
      <w:r w:rsidRPr="00D159B4">
        <w:rPr>
          <w:rFonts w:asciiTheme="majorBidi" w:hAnsiTheme="majorBidi" w:cstheme="majorBidi"/>
          <w:i/>
          <w:iCs/>
        </w:rPr>
        <w:t>Villette</w:t>
      </w:r>
      <w:r w:rsidRPr="00D159B4">
        <w:rPr>
          <w:rFonts w:asciiTheme="majorBidi" w:hAnsiTheme="majorBidi" w:cstheme="majorBidi"/>
        </w:rPr>
        <w:t xml:space="preserve">, 1853) and George Eliot’s Dorothea (in </w:t>
      </w:r>
      <w:r w:rsidRPr="00D159B4">
        <w:rPr>
          <w:rFonts w:asciiTheme="majorBidi" w:hAnsiTheme="majorBidi" w:cstheme="majorBidi"/>
          <w:i/>
          <w:iCs/>
        </w:rPr>
        <w:t>Middlemarch</w:t>
      </w:r>
      <w:r w:rsidRPr="00D159B4">
        <w:rPr>
          <w:rFonts w:asciiTheme="majorBidi" w:hAnsiTheme="majorBidi" w:cstheme="majorBidi"/>
        </w:rPr>
        <w:t>, 1871-2) encounter artistic renderings of Cleopatra.</w:t>
      </w:r>
    </w:p>
  </w:footnote>
  <w:footnote w:id="112">
    <w:p w14:paraId="30B747D1" w14:textId="77777777" w:rsidR="00D159B4" w:rsidRPr="00D159B4" w:rsidRDefault="00D159B4" w:rsidP="00D159B4">
      <w:pPr>
        <w:pStyle w:val="FootnoteText"/>
        <w:rPr>
          <w:rFonts w:asciiTheme="majorBidi" w:hAnsiTheme="majorBidi" w:cstheme="majorBidi"/>
        </w:rPr>
      </w:pPr>
      <w:r w:rsidRPr="00D159B4">
        <w:rPr>
          <w:rStyle w:val="FootnoteReference"/>
          <w:rFonts w:asciiTheme="majorBidi" w:hAnsiTheme="majorBidi" w:cstheme="majorBidi"/>
        </w:rPr>
        <w:footnoteRef/>
      </w:r>
      <w:r w:rsidRPr="00D159B4">
        <w:rPr>
          <w:rFonts w:asciiTheme="majorBidi" w:hAnsiTheme="majorBidi" w:cstheme="majorBidi"/>
        </w:rPr>
        <w:t xml:space="preserve"> For a detailed history of nineteenth-century upholstered furniture, see Chapter 2 of Pat Kirkham’s “The London Furniture Trade 1700-1870” (1988). </w:t>
      </w:r>
    </w:p>
  </w:footnote>
  <w:footnote w:id="113">
    <w:p w14:paraId="024AE90F" w14:textId="77777777" w:rsidR="00D159B4" w:rsidRPr="00D159B4" w:rsidRDefault="00D159B4" w:rsidP="00D159B4">
      <w:pPr>
        <w:pStyle w:val="FootnoteText"/>
        <w:rPr>
          <w:rFonts w:asciiTheme="majorBidi" w:hAnsiTheme="majorBidi" w:cstheme="majorBidi"/>
        </w:rPr>
      </w:pPr>
      <w:r w:rsidRPr="00D159B4">
        <w:rPr>
          <w:rStyle w:val="FootnoteReference"/>
          <w:rFonts w:asciiTheme="majorBidi" w:hAnsiTheme="majorBidi" w:cstheme="majorBidi"/>
        </w:rPr>
        <w:footnoteRef/>
      </w:r>
      <w:r w:rsidRPr="00D159B4">
        <w:rPr>
          <w:rFonts w:asciiTheme="majorBidi" w:hAnsiTheme="majorBidi" w:cstheme="majorBidi"/>
        </w:rPr>
        <w:t xml:space="preserve"> A similar fixation on a physical defect not linked to disability can be found in Trollope’s </w:t>
      </w:r>
      <w:r w:rsidRPr="00D159B4">
        <w:rPr>
          <w:rFonts w:asciiTheme="majorBidi" w:hAnsiTheme="majorBidi" w:cstheme="majorBidi"/>
          <w:i/>
          <w:iCs/>
        </w:rPr>
        <w:t>Can Your Forgive Her?</w:t>
      </w:r>
      <w:r w:rsidRPr="00D159B4">
        <w:rPr>
          <w:rFonts w:asciiTheme="majorBidi" w:hAnsiTheme="majorBidi" w:cstheme="majorBidi"/>
        </w:rPr>
        <w:t xml:space="preserve"> (1864-65). The novel’s narrator continually returns to descriptions of George Vavasor’s scar until George’s face becomes “all scar and eyes” (219). </w:t>
      </w:r>
    </w:p>
  </w:footnote>
  <w:footnote w:id="114">
    <w:p w14:paraId="0EDB868C" w14:textId="77777777" w:rsidR="00D159B4" w:rsidRPr="00D159B4" w:rsidRDefault="00D159B4" w:rsidP="00D159B4">
      <w:pPr>
        <w:pStyle w:val="FootnoteText"/>
        <w:rPr>
          <w:rFonts w:asciiTheme="majorBidi" w:hAnsiTheme="majorBidi" w:cstheme="majorBidi"/>
        </w:rPr>
      </w:pPr>
      <w:r w:rsidRPr="00D159B4">
        <w:rPr>
          <w:rStyle w:val="FootnoteReference"/>
          <w:rFonts w:asciiTheme="majorBidi" w:hAnsiTheme="majorBidi" w:cstheme="majorBidi"/>
        </w:rPr>
        <w:footnoteRef/>
      </w:r>
      <w:r w:rsidRPr="00D159B4">
        <w:rPr>
          <w:rFonts w:asciiTheme="majorBidi" w:hAnsiTheme="majorBidi" w:cstheme="majorBidi"/>
        </w:rPr>
        <w:t xml:space="preserve"> We can attribute a great deal of Mary’s development, I think, to the more feminist narrative quality of </w:t>
      </w:r>
      <w:r w:rsidRPr="00D159B4">
        <w:rPr>
          <w:rFonts w:asciiTheme="majorBidi" w:hAnsiTheme="majorBidi" w:cstheme="majorBidi"/>
          <w:i/>
          <w:iCs/>
        </w:rPr>
        <w:t>The Belton Estate</w:t>
      </w:r>
      <w:r w:rsidRPr="00D159B4">
        <w:rPr>
          <w:rFonts w:asciiTheme="majorBidi" w:hAnsiTheme="majorBidi" w:cstheme="majorBidi"/>
        </w:rPr>
        <w:t xml:space="preserve">. Jane Nardin has gone so far as to claim </w:t>
      </w:r>
      <w:r w:rsidRPr="00D159B4">
        <w:rPr>
          <w:rFonts w:asciiTheme="majorBidi" w:hAnsiTheme="majorBidi" w:cstheme="majorBidi"/>
          <w:i/>
          <w:iCs/>
        </w:rPr>
        <w:t>The Belton Estate</w:t>
      </w:r>
      <w:r w:rsidRPr="00D159B4">
        <w:rPr>
          <w:rFonts w:asciiTheme="majorBidi" w:hAnsiTheme="majorBidi" w:cstheme="majorBidi"/>
        </w:rPr>
        <w:t xml:space="preserve"> as the first of Trollope’s novels “to employ a narrator who is consistently—though not immoderately—feminist” (</w:t>
      </w:r>
      <w:r w:rsidRPr="00D159B4">
        <w:rPr>
          <w:rFonts w:asciiTheme="majorBidi" w:hAnsiTheme="majorBidi" w:cstheme="majorBidi"/>
          <w:i/>
          <w:iCs/>
        </w:rPr>
        <w:t>He Knew She Was Right: The Independent Woman in the Novels of Anthony Trollope</w:t>
      </w:r>
      <w:r w:rsidRPr="00D159B4">
        <w:rPr>
          <w:rFonts w:asciiTheme="majorBidi" w:hAnsiTheme="majorBidi" w:cstheme="majorBidi"/>
        </w:rPr>
        <w:t xml:space="preserve"> 163). In pitting Clara Amedroz and Mary Askerton against the likes of Mrs. Winterfield (Clara’s aunt) and Lady Aylmer (Clara’s almost-mother-in-law), the narrator challenges both the strict, patriarchal hierarchy of the sexes and the double standards of sexual (im)purity and (im)morality. While this mode of feminist criticism does not directly address the narrative position or representation of disability, its larger agitation for female autonomy certainly leaves ample room for additional challenges to other conventional social standards of the day, including a potential rejection of a separate-spheres notion of the role of people with disabilities. </w:t>
      </w:r>
    </w:p>
  </w:footnote>
  <w:footnote w:id="115">
    <w:p w14:paraId="16C54EC7" w14:textId="77777777" w:rsidR="00D159B4" w:rsidRPr="00D159B4" w:rsidRDefault="00D159B4" w:rsidP="00D159B4">
      <w:pPr>
        <w:pStyle w:val="FootnoteText"/>
        <w:rPr>
          <w:rFonts w:asciiTheme="majorBidi" w:hAnsiTheme="majorBidi" w:cstheme="majorBidi"/>
        </w:rPr>
      </w:pPr>
      <w:r w:rsidRPr="00D159B4">
        <w:rPr>
          <w:rStyle w:val="FootnoteReference"/>
          <w:rFonts w:asciiTheme="majorBidi" w:hAnsiTheme="majorBidi" w:cstheme="majorBidi"/>
        </w:rPr>
        <w:footnoteRef/>
      </w:r>
      <w:r w:rsidRPr="00D159B4">
        <w:rPr>
          <w:rFonts w:asciiTheme="majorBidi" w:hAnsiTheme="majorBidi" w:cstheme="majorBidi"/>
        </w:rPr>
        <w:t xml:space="preserve"> For an account of Trollope’s assessment of sensation fiction and realism, see page 227 of </w:t>
      </w:r>
      <w:r w:rsidRPr="00D159B4">
        <w:rPr>
          <w:rFonts w:asciiTheme="majorBidi" w:hAnsiTheme="majorBidi" w:cstheme="majorBidi"/>
          <w:i/>
        </w:rPr>
        <w:t>An</w:t>
      </w:r>
      <w:r w:rsidRPr="00D159B4">
        <w:rPr>
          <w:rFonts w:asciiTheme="majorBidi" w:hAnsiTheme="majorBidi" w:cstheme="majorBidi"/>
        </w:rPr>
        <w:t xml:space="preserve"> </w:t>
      </w:r>
      <w:r w:rsidRPr="00D159B4">
        <w:rPr>
          <w:rFonts w:asciiTheme="majorBidi" w:hAnsiTheme="majorBidi" w:cstheme="majorBidi"/>
          <w:i/>
        </w:rPr>
        <w:t>Autobiography</w:t>
      </w:r>
      <w:r w:rsidRPr="00D159B4">
        <w:rPr>
          <w:rFonts w:asciiTheme="majorBidi" w:hAnsiTheme="majorBidi" w:cstheme="majorBidi"/>
        </w:rPr>
        <w:t xml:space="preserve"> (1883).</w:t>
      </w:r>
    </w:p>
  </w:footnote>
  <w:footnote w:id="116">
    <w:p w14:paraId="2A6BEF54" w14:textId="392AC8BE" w:rsidR="00D159B4" w:rsidRPr="00D159B4" w:rsidRDefault="00D159B4" w:rsidP="00D159B4">
      <w:pPr>
        <w:pStyle w:val="FootnoteText"/>
        <w:rPr>
          <w:rFonts w:asciiTheme="majorBidi" w:hAnsiTheme="majorBidi" w:cstheme="majorBidi"/>
        </w:rPr>
      </w:pPr>
      <w:r w:rsidRPr="00D159B4">
        <w:rPr>
          <w:rStyle w:val="FootnoteReference"/>
          <w:rFonts w:asciiTheme="majorBidi" w:hAnsiTheme="majorBidi" w:cstheme="majorBidi"/>
        </w:rPr>
        <w:footnoteRef/>
      </w:r>
      <w:r w:rsidRPr="00D159B4">
        <w:rPr>
          <w:rFonts w:asciiTheme="majorBidi" w:hAnsiTheme="majorBidi" w:cstheme="majorBidi"/>
        </w:rPr>
        <w:t xml:space="preserve"> </w:t>
      </w:r>
      <w:r w:rsidRPr="00D159B4">
        <w:rPr>
          <w:rFonts w:asciiTheme="majorBidi" w:hAnsiTheme="majorBidi" w:cstheme="majorBidi"/>
          <w:i/>
          <w:iCs/>
        </w:rPr>
        <w:t>The Last Chronicle of Barset</w:t>
      </w:r>
      <w:r w:rsidRPr="00D159B4">
        <w:rPr>
          <w:rFonts w:asciiTheme="majorBidi" w:hAnsiTheme="majorBidi" w:cstheme="majorBidi"/>
        </w:rPr>
        <w:t xml:space="preserve"> (1866-67) treats Dobbs Broughton’s suicide with similar nonchalance. When John asks Dunn about Dobbs, Dunn casually replies, “He has blown his brains out. That is all</w:t>
      </w:r>
      <w:proofErr w:type="gramStart"/>
      <w:r w:rsidRPr="00D159B4">
        <w:rPr>
          <w:rFonts w:asciiTheme="majorBidi" w:hAnsiTheme="majorBidi" w:cstheme="majorBidi"/>
        </w:rPr>
        <w:t>. . . .</w:t>
      </w:r>
      <w:proofErr w:type="gramEnd"/>
      <w:r w:rsidRPr="00D159B4">
        <w:rPr>
          <w:rFonts w:asciiTheme="majorBidi" w:hAnsiTheme="majorBidi" w:cstheme="majorBidi"/>
        </w:rPr>
        <w:t xml:space="preserve"> it shocked us all at first. We are used to it now” (563).</w:t>
      </w:r>
    </w:p>
    <w:p w14:paraId="09C9247D" w14:textId="51EB7D93" w:rsidR="00D159B4" w:rsidRPr="00D159B4" w:rsidRDefault="00D159B4" w:rsidP="00D159B4">
      <w:pPr>
        <w:pStyle w:val="FootnoteText"/>
        <w:ind w:firstLine="720"/>
        <w:rPr>
          <w:rFonts w:asciiTheme="majorBidi" w:hAnsiTheme="majorBidi" w:cstheme="majorBidi"/>
        </w:rPr>
      </w:pPr>
      <w:r w:rsidRPr="00D159B4">
        <w:rPr>
          <w:rFonts w:asciiTheme="majorBidi" w:hAnsiTheme="majorBidi" w:cstheme="majorBidi"/>
        </w:rPr>
        <w:t xml:space="preserve">Yet another commonplace account of a suicide appears, though in more poetic language, when Ferdinand Lopez throws himself in front of a train in </w:t>
      </w:r>
      <w:r w:rsidRPr="00D159B4">
        <w:rPr>
          <w:rFonts w:asciiTheme="majorBidi" w:hAnsiTheme="majorBidi" w:cstheme="majorBidi"/>
          <w:i/>
        </w:rPr>
        <w:t>The Prime Minister</w:t>
      </w:r>
      <w:r w:rsidRPr="00D159B4">
        <w:rPr>
          <w:rFonts w:asciiTheme="majorBidi" w:hAnsiTheme="majorBidi" w:cstheme="majorBidi"/>
        </w:rPr>
        <w:t xml:space="preserve"> (1876): “With quick, but still with gentle and apparently unhurried steps, he walked down before the flying engine—and in a moment had been knocked into bloody atoms” (460).</w:t>
      </w:r>
    </w:p>
  </w:footnote>
  <w:footnote w:id="117">
    <w:p w14:paraId="04898104" w14:textId="77777777" w:rsidR="00D159B4" w:rsidRPr="00D159B4" w:rsidRDefault="00D159B4" w:rsidP="00D159B4">
      <w:pPr>
        <w:pStyle w:val="FootnoteText"/>
        <w:rPr>
          <w:rFonts w:asciiTheme="majorBidi" w:hAnsiTheme="majorBidi" w:cstheme="majorBidi"/>
        </w:rPr>
      </w:pPr>
      <w:r w:rsidRPr="00D159B4">
        <w:rPr>
          <w:rStyle w:val="FootnoteReference"/>
          <w:rFonts w:asciiTheme="majorBidi" w:hAnsiTheme="majorBidi" w:cstheme="majorBidi"/>
        </w:rPr>
        <w:footnoteRef/>
      </w:r>
      <w:r w:rsidRPr="00D159B4">
        <w:rPr>
          <w:rFonts w:asciiTheme="majorBidi" w:hAnsiTheme="majorBidi" w:cstheme="majorBidi"/>
        </w:rPr>
        <w:t xml:space="preserve"> The Trollopian tendency toward unsensational sensationalism in </w:t>
      </w:r>
      <w:r w:rsidRPr="00D159B4">
        <w:rPr>
          <w:rFonts w:asciiTheme="majorBidi" w:hAnsiTheme="majorBidi" w:cstheme="majorBidi"/>
          <w:i/>
          <w:iCs/>
        </w:rPr>
        <w:t>The Belton Estate</w:t>
      </w:r>
      <w:r w:rsidRPr="00D159B4">
        <w:rPr>
          <w:rFonts w:asciiTheme="majorBidi" w:hAnsiTheme="majorBidi" w:cstheme="majorBidi"/>
        </w:rPr>
        <w:t xml:space="preserve"> is neatly summarized by Lady Aylmer’s moment of feeling “comfortably horror-stricken” (218). </w:t>
      </w:r>
    </w:p>
  </w:footnote>
  <w:footnote w:id="118">
    <w:p w14:paraId="2A27335F" w14:textId="77777777" w:rsidR="00D159B4" w:rsidRPr="00D159B4" w:rsidRDefault="00D159B4" w:rsidP="00D159B4">
      <w:pPr>
        <w:pStyle w:val="FootnoteText"/>
        <w:rPr>
          <w:rFonts w:asciiTheme="majorBidi" w:hAnsiTheme="majorBidi" w:cstheme="majorBidi"/>
        </w:rPr>
      </w:pPr>
      <w:r w:rsidRPr="00D159B4">
        <w:rPr>
          <w:rStyle w:val="FootnoteReference"/>
          <w:rFonts w:asciiTheme="majorBidi" w:hAnsiTheme="majorBidi" w:cstheme="majorBidi"/>
        </w:rPr>
        <w:footnoteRef/>
      </w:r>
      <w:r w:rsidRPr="00D159B4">
        <w:rPr>
          <w:rFonts w:asciiTheme="majorBidi" w:hAnsiTheme="majorBidi" w:cstheme="majorBidi"/>
        </w:rPr>
        <w:t xml:space="preserve"> Valeria engages in a meta-reflection on the way in which the unraveling of the narrative’s central mystery occasions a certain questioning or loss of self: “I seemed in some strange way to have lost my ordinary identity—to have stepped out of my own character” (57-8).</w:t>
      </w:r>
    </w:p>
    <w:p w14:paraId="3CEA90D7" w14:textId="3E481146" w:rsidR="00D159B4" w:rsidRPr="00D159B4" w:rsidRDefault="00D159B4" w:rsidP="00D159B4">
      <w:pPr>
        <w:pStyle w:val="FootnoteText"/>
        <w:rPr>
          <w:rFonts w:asciiTheme="majorBidi" w:hAnsiTheme="majorBidi" w:cstheme="majorBidi"/>
        </w:rPr>
      </w:pPr>
      <w:r w:rsidRPr="00D159B4">
        <w:rPr>
          <w:rFonts w:asciiTheme="majorBidi" w:hAnsiTheme="majorBidi" w:cstheme="majorBidi"/>
        </w:rPr>
        <w:tab/>
        <w:t>The description of Dexter as a “new Centaur” (206) overtly gestures to his “half man, half chair” body, but the allusion also underscores the animal nature the novel’s other characters tend to divine in him. Take, for example, Major Fitz-David’s claim: “What Voltaire said satirically of the character of his countrymen in general, is literally true of Miserrimus Dexter. He is a mixture of the tiger and the monkey” (191). Consider also the narrator’s description of her first encounter with Dexter</w:t>
      </w:r>
      <w:proofErr w:type="gramStart"/>
      <w:r w:rsidRPr="00D159B4">
        <w:rPr>
          <w:rFonts w:asciiTheme="majorBidi" w:hAnsiTheme="majorBidi" w:cstheme="majorBidi"/>
        </w:rPr>
        <w:t>—“</w:t>
      </w:r>
      <w:proofErr w:type="gramEnd"/>
      <w:r w:rsidRPr="00D159B4">
        <w:rPr>
          <w:rFonts w:asciiTheme="majorBidi" w:hAnsiTheme="majorBidi" w:cstheme="majorBidi"/>
        </w:rPr>
        <w:t xml:space="preserve">the terrible creature touched the floor as lightly as a monkey, on his hands” (207)—as well as her supposition that his ears “must have been as sensitive as the ears of a dog” (208) and her characterization of his flight from his cousin’s arms to his chair like that of “a bird alighting on its perch” (209). The repeated characterization of Dexter, not only as “man and machinery blended in one” (206), but also as a nonhuman “creature” further advance the breakdown of borders and taxonomies that typically code our perceptions and understandings of normalcy or deviance. </w:t>
      </w:r>
    </w:p>
    <w:p w14:paraId="0DC34CF8" w14:textId="77777777" w:rsidR="00D159B4" w:rsidRPr="00D159B4" w:rsidRDefault="00D159B4" w:rsidP="00D159B4">
      <w:pPr>
        <w:rPr>
          <w:rFonts w:asciiTheme="majorBidi" w:hAnsiTheme="majorBidi" w:cstheme="majorBidi"/>
          <w:i/>
          <w:iCs/>
          <w:sz w:val="20"/>
          <w:szCs w:val="20"/>
        </w:rPr>
      </w:pPr>
      <w:r w:rsidRPr="00D159B4">
        <w:rPr>
          <w:rFonts w:asciiTheme="majorBidi" w:hAnsiTheme="majorBidi" w:cstheme="majorBidi"/>
          <w:sz w:val="20"/>
          <w:szCs w:val="20"/>
        </w:rPr>
        <w:tab/>
        <w:t xml:space="preserve">In addition to playing on the instability of these physical barriers or limits, Collins also engages in the same kind of gender confusion and blending in </w:t>
      </w:r>
      <w:r w:rsidRPr="00D159B4">
        <w:rPr>
          <w:rFonts w:asciiTheme="majorBidi" w:hAnsiTheme="majorBidi" w:cstheme="majorBidi"/>
          <w:i/>
          <w:iCs/>
          <w:sz w:val="20"/>
          <w:szCs w:val="20"/>
        </w:rPr>
        <w:t>The Law and the Lady</w:t>
      </w:r>
      <w:r w:rsidRPr="00D159B4">
        <w:rPr>
          <w:rFonts w:asciiTheme="majorBidi" w:hAnsiTheme="majorBidi" w:cstheme="majorBidi"/>
          <w:sz w:val="20"/>
          <w:szCs w:val="20"/>
        </w:rPr>
        <w:t xml:space="preserve"> as he does in </w:t>
      </w:r>
      <w:r w:rsidRPr="00D159B4">
        <w:rPr>
          <w:rFonts w:asciiTheme="majorBidi" w:hAnsiTheme="majorBidi" w:cstheme="majorBidi"/>
          <w:i/>
          <w:iCs/>
          <w:sz w:val="20"/>
          <w:szCs w:val="20"/>
        </w:rPr>
        <w:t xml:space="preserve">The Woman in White </w:t>
      </w:r>
      <w:r w:rsidRPr="00D159B4">
        <w:rPr>
          <w:rFonts w:asciiTheme="majorBidi" w:hAnsiTheme="majorBidi" w:cstheme="majorBidi"/>
          <w:sz w:val="20"/>
          <w:szCs w:val="20"/>
        </w:rPr>
        <w:t xml:space="preserve">(1859). Mrs. Macallan, for instance, tries to preempt Valeria’s potential gender confusion as Dexter’s cousin (who speaks with a rough, deep voice and occasionally wears items of men’s clothing) arrives: “Here comes his cousin. His cousin is a woman. I may as well tell you that, or you might mistake her for a man, in the dark” (203). </w:t>
      </w:r>
    </w:p>
    <w:p w14:paraId="186C76CD" w14:textId="77777777" w:rsidR="00D159B4" w:rsidRPr="00D159B4" w:rsidRDefault="00D159B4" w:rsidP="00D159B4">
      <w:pPr>
        <w:pStyle w:val="FootnoteText"/>
        <w:rPr>
          <w:rFonts w:asciiTheme="majorBidi" w:hAnsiTheme="majorBidi" w:cstheme="majorBidi"/>
        </w:rPr>
      </w:pPr>
    </w:p>
  </w:footnote>
  <w:footnote w:id="119">
    <w:p w14:paraId="14164C80" w14:textId="77777777" w:rsidR="00D159B4" w:rsidRPr="00D159B4" w:rsidRDefault="00D159B4" w:rsidP="00D159B4">
      <w:pPr>
        <w:pStyle w:val="FootnoteText"/>
        <w:rPr>
          <w:rFonts w:asciiTheme="majorBidi" w:hAnsiTheme="majorBidi" w:cstheme="majorBidi"/>
        </w:rPr>
      </w:pPr>
      <w:r w:rsidRPr="00D159B4">
        <w:rPr>
          <w:rStyle w:val="FootnoteReference"/>
          <w:rFonts w:asciiTheme="majorBidi" w:hAnsiTheme="majorBidi" w:cstheme="majorBidi"/>
        </w:rPr>
        <w:footnoteRef/>
      </w:r>
      <w:r w:rsidRPr="00D159B4">
        <w:rPr>
          <w:rFonts w:asciiTheme="majorBidi" w:hAnsiTheme="majorBidi" w:cstheme="majorBidi"/>
        </w:rPr>
        <w:t xml:space="preserve"> Dexter, in this same scene, “spr[i]ng[s]” out of his chair and then hops “on his hands, at a prodigious speed” (207).</w:t>
      </w:r>
    </w:p>
  </w:footnote>
  <w:footnote w:id="120">
    <w:p w14:paraId="36817C8E" w14:textId="35D42BA1" w:rsidR="00D159B4" w:rsidRPr="00D159B4" w:rsidRDefault="00D159B4" w:rsidP="00D159B4">
      <w:pPr>
        <w:rPr>
          <w:rFonts w:asciiTheme="majorBidi" w:hAnsiTheme="majorBidi" w:cstheme="majorBidi"/>
          <w:sz w:val="20"/>
          <w:szCs w:val="20"/>
        </w:rPr>
      </w:pPr>
      <w:r w:rsidRPr="00D159B4">
        <w:rPr>
          <w:rStyle w:val="FootnoteReference"/>
          <w:rFonts w:asciiTheme="majorBidi" w:hAnsiTheme="majorBidi" w:cstheme="majorBidi"/>
          <w:sz w:val="20"/>
          <w:szCs w:val="20"/>
        </w:rPr>
        <w:footnoteRef/>
      </w:r>
      <w:r w:rsidRPr="00D159B4">
        <w:rPr>
          <w:rFonts w:asciiTheme="majorBidi" w:hAnsiTheme="majorBidi" w:cstheme="majorBidi"/>
          <w:sz w:val="20"/>
          <w:szCs w:val="20"/>
        </w:rPr>
        <w:t xml:space="preserve"> As Lady Brydehaven recalls, Eustace Macallan’s temporary disability occasions the romantic foundations for his first marriage. He suffers a debilitating leg injury during his military service in India and spends a number of weeks thereafter recuperating on a sofa. His own prosthetic object, as described by Lady Brydehaven, becomes reminiscent of Trollope’s Signora Neroni</w:t>
      </w:r>
      <w:r w:rsidR="00083490">
        <w:rPr>
          <w:rFonts w:asciiTheme="majorBidi" w:hAnsiTheme="majorBidi" w:cstheme="majorBidi"/>
          <w:sz w:val="20"/>
          <w:szCs w:val="20"/>
        </w:rPr>
        <w:t>’s</w:t>
      </w:r>
      <w:r w:rsidRPr="00D159B4">
        <w:rPr>
          <w:rFonts w:asciiTheme="majorBidi" w:hAnsiTheme="majorBidi" w:cstheme="majorBidi"/>
          <w:sz w:val="20"/>
          <w:szCs w:val="20"/>
        </w:rPr>
        <w:t xml:space="preserve">: “He was confined to a recumbent position on a sofa for many weeks together, and the ladies in the house took it in turns to sit with him </w:t>
      </w:r>
      <w:proofErr w:type="gramStart"/>
      <w:r w:rsidRPr="00D159B4">
        <w:rPr>
          <w:rFonts w:asciiTheme="majorBidi" w:hAnsiTheme="majorBidi" w:cstheme="majorBidi"/>
          <w:sz w:val="20"/>
          <w:szCs w:val="20"/>
        </w:rPr>
        <w:t>. . . .</w:t>
      </w:r>
      <w:proofErr w:type="gramEnd"/>
      <w:r w:rsidRPr="00D159B4">
        <w:rPr>
          <w:rFonts w:asciiTheme="majorBidi" w:hAnsiTheme="majorBidi" w:cstheme="majorBidi"/>
          <w:sz w:val="20"/>
          <w:szCs w:val="20"/>
        </w:rPr>
        <w:t xml:space="preserve"> My niece was foremost among these volunteer nurses” (153). His short-term disability, in other words, allows for a temporary inversion of gender roles, and he in his “helpless” state becomes dependent on the woman he eventually marries (154).</w:t>
      </w:r>
    </w:p>
  </w:footnote>
  <w:footnote w:id="121">
    <w:p w14:paraId="209413F4" w14:textId="2340A19A" w:rsidR="00D159B4" w:rsidRPr="00D159B4" w:rsidRDefault="00D159B4" w:rsidP="00D159B4">
      <w:pPr>
        <w:rPr>
          <w:rFonts w:asciiTheme="majorBidi" w:hAnsiTheme="majorBidi" w:cstheme="majorBidi"/>
          <w:sz w:val="20"/>
          <w:szCs w:val="20"/>
        </w:rPr>
      </w:pPr>
      <w:r w:rsidRPr="00D159B4">
        <w:rPr>
          <w:rStyle w:val="FootnoteReference"/>
          <w:rFonts w:asciiTheme="majorBidi" w:hAnsiTheme="majorBidi" w:cstheme="majorBidi"/>
          <w:sz w:val="20"/>
          <w:szCs w:val="20"/>
        </w:rPr>
        <w:footnoteRef/>
      </w:r>
      <w:r w:rsidRPr="00D159B4">
        <w:rPr>
          <w:rFonts w:asciiTheme="majorBidi" w:hAnsiTheme="majorBidi" w:cstheme="majorBidi"/>
          <w:sz w:val="20"/>
          <w:szCs w:val="20"/>
        </w:rPr>
        <w:t xml:space="preserve"> The novel’s nondisabled characters exploit the combination of Dexter’s eccentricity and physical disability to undermine his power and reinforce his minor status. Questions of Dexter’s fitness pervade the narrative. In spite of Dexter’s physical disability, Valeria suspects that he could be “the fittest person to advise and assist [her]” (183), but when Valeria asks Major Fitz-David to introduce her to Dexter, the Major objects on the grounds that he is “mad,” deformed, and “essentially unfit to be introduced to a lady” (191). Mrs. Macallan shares Major Fitz-David’s </w:t>
      </w:r>
      <w:r w:rsidR="00083490">
        <w:rPr>
          <w:rFonts w:asciiTheme="majorBidi" w:hAnsiTheme="majorBidi" w:cstheme="majorBidi"/>
          <w:sz w:val="20"/>
          <w:szCs w:val="20"/>
        </w:rPr>
        <w:t>opinion</w:t>
      </w:r>
      <w:r w:rsidRPr="00D159B4">
        <w:rPr>
          <w:rFonts w:asciiTheme="majorBidi" w:hAnsiTheme="majorBidi" w:cstheme="majorBidi"/>
          <w:sz w:val="20"/>
          <w:szCs w:val="20"/>
        </w:rPr>
        <w:t>, agreeing, “A more entirely unfit person to advise anybody, I tell you again, never lived” (200).</w:t>
      </w:r>
    </w:p>
  </w:footnote>
  <w:footnote w:id="122">
    <w:p w14:paraId="6BCE2C3D" w14:textId="77777777" w:rsidR="00D159B4" w:rsidRPr="00D159B4" w:rsidRDefault="00D159B4" w:rsidP="00D159B4">
      <w:pPr>
        <w:pStyle w:val="FootnoteText"/>
        <w:rPr>
          <w:rFonts w:asciiTheme="majorBidi" w:hAnsiTheme="majorBidi" w:cstheme="majorBidi"/>
        </w:rPr>
      </w:pPr>
      <w:r w:rsidRPr="00D159B4">
        <w:rPr>
          <w:rStyle w:val="FootnoteReference"/>
          <w:rFonts w:asciiTheme="majorBidi" w:hAnsiTheme="majorBidi" w:cstheme="majorBidi"/>
        </w:rPr>
        <w:footnoteRef/>
      </w:r>
      <w:r w:rsidRPr="00D159B4">
        <w:rPr>
          <w:rFonts w:asciiTheme="majorBidi" w:hAnsiTheme="majorBidi" w:cstheme="majorBidi"/>
        </w:rPr>
        <w:t xml:space="preserve"> In a letter to </w:t>
      </w:r>
      <w:r w:rsidRPr="00D159B4">
        <w:rPr>
          <w:rFonts w:asciiTheme="majorBidi" w:hAnsiTheme="majorBidi" w:cstheme="majorBidi"/>
          <w:i/>
          <w:iCs/>
        </w:rPr>
        <w:t>The World</w:t>
      </w:r>
      <w:r w:rsidRPr="00D159B4">
        <w:rPr>
          <w:rFonts w:asciiTheme="majorBidi" w:hAnsiTheme="majorBidi" w:cstheme="majorBidi"/>
        </w:rPr>
        <w:t xml:space="preserve"> in 1875, Collins describes how he “found this passage, on its publication in the </w:t>
      </w:r>
      <w:r w:rsidRPr="00D159B4">
        <w:rPr>
          <w:rFonts w:asciiTheme="majorBidi" w:hAnsiTheme="majorBidi" w:cstheme="majorBidi"/>
          <w:i/>
          <w:iCs/>
        </w:rPr>
        <w:t>Graphic</w:t>
      </w:r>
      <w:r w:rsidRPr="00D159B4">
        <w:rPr>
          <w:rFonts w:asciiTheme="majorBidi" w:hAnsiTheme="majorBidi" w:cstheme="majorBidi"/>
        </w:rPr>
        <w:t xml:space="preserve">, clumsily altered, abridged and mutilated” (416).  </w:t>
      </w:r>
    </w:p>
  </w:footnote>
  <w:footnote w:id="123">
    <w:p w14:paraId="5F840DA1" w14:textId="77777777" w:rsidR="00D159B4" w:rsidRPr="00D159B4" w:rsidRDefault="00D159B4" w:rsidP="00D159B4">
      <w:pPr>
        <w:pStyle w:val="FootnoteText"/>
        <w:rPr>
          <w:rFonts w:asciiTheme="majorBidi" w:hAnsiTheme="majorBidi" w:cstheme="majorBidi"/>
        </w:rPr>
      </w:pPr>
      <w:r w:rsidRPr="00D159B4">
        <w:rPr>
          <w:rStyle w:val="FootnoteReference"/>
          <w:rFonts w:asciiTheme="majorBidi" w:hAnsiTheme="majorBidi" w:cstheme="majorBidi"/>
        </w:rPr>
        <w:footnoteRef/>
      </w:r>
      <w:r w:rsidRPr="00D159B4">
        <w:rPr>
          <w:rFonts w:asciiTheme="majorBidi" w:hAnsiTheme="majorBidi" w:cstheme="majorBidi"/>
        </w:rPr>
        <w:t xml:space="preserve"> Because of his status as a disabled person, Dexter also essentially gets away with these transgressions. When Benjamin responds to Valeria’s screams, she holds him back from attacking Dexter, warning “You can’t lay your hand on a cripple” (299). </w:t>
      </w:r>
    </w:p>
  </w:footnote>
  <w:footnote w:id="124">
    <w:p w14:paraId="680BC1DC" w14:textId="44A6B703" w:rsidR="00D159B4" w:rsidRPr="00D159B4" w:rsidRDefault="00D159B4" w:rsidP="00D159B4">
      <w:pPr>
        <w:pStyle w:val="FootnoteText"/>
        <w:rPr>
          <w:rFonts w:asciiTheme="majorBidi" w:hAnsiTheme="majorBidi" w:cstheme="majorBidi"/>
        </w:rPr>
      </w:pPr>
      <w:r w:rsidRPr="00D159B4">
        <w:rPr>
          <w:rStyle w:val="FootnoteReference"/>
          <w:rFonts w:asciiTheme="majorBidi" w:hAnsiTheme="majorBidi" w:cstheme="majorBidi"/>
        </w:rPr>
        <w:footnoteRef/>
      </w:r>
      <w:r w:rsidRPr="00D159B4">
        <w:rPr>
          <w:rFonts w:asciiTheme="majorBidi" w:hAnsiTheme="majorBidi" w:cstheme="majorBidi"/>
        </w:rPr>
        <w:t xml:space="preserve"> At other moments, though, Dexter appears more reminiscent of Jenny Wren, affecting a persona of innocence and helplessness. </w:t>
      </w:r>
      <w:r w:rsidR="00613350">
        <w:rPr>
          <w:rFonts w:asciiTheme="majorBidi" w:hAnsiTheme="majorBidi" w:cstheme="majorBidi"/>
        </w:rPr>
        <w:t>He has</w:t>
      </w:r>
      <w:r w:rsidRPr="00D159B4">
        <w:rPr>
          <w:rFonts w:asciiTheme="majorBidi" w:hAnsiTheme="majorBidi" w:cstheme="majorBidi"/>
        </w:rPr>
        <w:t xml:space="preserve"> himself carried into Benjamin’s house against the housemaid’s protestations while Benjamin is away. When Benjamin returns home and finds Dexter asleep in his best chair, Dexter merely smiles and says, “Excuse my getting up, Sir </w:t>
      </w:r>
      <w:proofErr w:type="gramStart"/>
      <w:r w:rsidRPr="00D159B4">
        <w:rPr>
          <w:rFonts w:asciiTheme="majorBidi" w:hAnsiTheme="majorBidi" w:cstheme="majorBidi"/>
        </w:rPr>
        <w:t>. . . .</w:t>
      </w:r>
      <w:proofErr w:type="gramEnd"/>
      <w:r w:rsidRPr="00D159B4">
        <w:rPr>
          <w:rFonts w:asciiTheme="majorBidi" w:hAnsiTheme="majorBidi" w:cstheme="majorBidi"/>
        </w:rPr>
        <w:t xml:space="preserve"> I can’t get up—I have got no legs</w:t>
      </w:r>
      <w:proofErr w:type="gramStart"/>
      <w:r w:rsidRPr="00D159B4">
        <w:rPr>
          <w:rFonts w:asciiTheme="majorBidi" w:hAnsiTheme="majorBidi" w:cstheme="majorBidi"/>
        </w:rPr>
        <w:t>. . . .</w:t>
      </w:r>
      <w:proofErr w:type="gramEnd"/>
      <w:r w:rsidRPr="00D159B4">
        <w:rPr>
          <w:rFonts w:asciiTheme="majorBidi" w:hAnsiTheme="majorBidi" w:cstheme="majorBidi"/>
        </w:rPr>
        <w:t xml:space="preserve"> You look as if you thought I was occupying your chair? If I am committing an intrusion, be so good as to put your umbrella under me, and give me a jerk. I shall fall on my hands, and I shan’t be offended with you. I will submit to a tumble and a scolding—but please don’t break my heart by sending me away” (293).</w:t>
      </w:r>
    </w:p>
  </w:footnote>
  <w:footnote w:id="125">
    <w:p w14:paraId="2619161A" w14:textId="4AC7CC93" w:rsidR="00D159B4" w:rsidRPr="00D159B4" w:rsidRDefault="00D159B4" w:rsidP="00D159B4">
      <w:pPr>
        <w:pStyle w:val="FootnoteText"/>
        <w:rPr>
          <w:rFonts w:asciiTheme="majorBidi" w:hAnsiTheme="majorBidi" w:cstheme="majorBidi"/>
        </w:rPr>
      </w:pPr>
      <w:r w:rsidRPr="00D159B4">
        <w:rPr>
          <w:rStyle w:val="FootnoteReference"/>
          <w:rFonts w:asciiTheme="majorBidi" w:hAnsiTheme="majorBidi" w:cstheme="majorBidi"/>
        </w:rPr>
        <w:footnoteRef/>
      </w:r>
      <w:r w:rsidRPr="00D159B4">
        <w:rPr>
          <w:rFonts w:asciiTheme="majorBidi" w:hAnsiTheme="majorBidi" w:cstheme="majorBidi"/>
        </w:rPr>
        <w:t xml:space="preserve"> Rosanna reveals in her letter the lengths she goes to to protect Blake from being discovered. Not only does she hide the evidence, but she also makes him a new nightgown to avoid suspicion before the detective arrives. Rosanna hides the nightgown in the quicksand, instead of destroying it, in order to preserve the material connection that she believes holds them in an odd sort of criminal confidence: “If I had only been a little less fond of you, I think I should have destroyed it. But oh! how could I destroy the only thing I had which proved I had saved you from discovery? . . . . Was it wronging you to believe, as I did, and do still, that you might hesitate to let a poor girl like me be the sharer of your secret, and your accomplice in the </w:t>
      </w:r>
      <w:proofErr w:type="gramStart"/>
      <w:r w:rsidRPr="00D159B4">
        <w:rPr>
          <w:rFonts w:asciiTheme="majorBidi" w:hAnsiTheme="majorBidi" w:cstheme="majorBidi"/>
        </w:rPr>
        <w:t>theft” (332).</w:t>
      </w:r>
      <w:proofErr w:type="gramEnd"/>
      <w:r w:rsidRPr="00D159B4">
        <w:rPr>
          <w:rFonts w:asciiTheme="majorBidi" w:hAnsiTheme="majorBidi" w:cstheme="majorBidi"/>
        </w:rPr>
        <w:t xml:space="preserve"> </w:t>
      </w:r>
    </w:p>
  </w:footnote>
  <w:footnote w:id="126">
    <w:p w14:paraId="570F30A7" w14:textId="77777777" w:rsidR="00D93B87" w:rsidRPr="00D159B4" w:rsidRDefault="00D93B87" w:rsidP="00D93B87">
      <w:pPr>
        <w:pStyle w:val="FootnoteText"/>
        <w:rPr>
          <w:rFonts w:asciiTheme="majorBidi" w:hAnsiTheme="majorBidi" w:cstheme="majorBidi"/>
        </w:rPr>
      </w:pPr>
      <w:r w:rsidRPr="00D159B4">
        <w:rPr>
          <w:rStyle w:val="FootnoteReference"/>
          <w:rFonts w:asciiTheme="majorBidi" w:hAnsiTheme="majorBidi" w:cstheme="majorBidi"/>
        </w:rPr>
        <w:footnoteRef/>
      </w:r>
      <w:r w:rsidRPr="00D159B4">
        <w:rPr>
          <w:rFonts w:asciiTheme="majorBidi" w:hAnsiTheme="majorBidi" w:cstheme="majorBidi"/>
        </w:rPr>
        <w:t xml:space="preserve"> See also, for example, the exchange between Lucy and Blake in Chapter III of the Second Period. </w:t>
      </w:r>
    </w:p>
  </w:footnote>
  <w:footnote w:id="127">
    <w:p w14:paraId="40922394" w14:textId="5A114DC5" w:rsidR="00D159B4" w:rsidRPr="00D159B4" w:rsidRDefault="00D159B4" w:rsidP="00D159B4">
      <w:pPr>
        <w:pStyle w:val="FootnoteText"/>
        <w:rPr>
          <w:rFonts w:asciiTheme="majorBidi" w:hAnsiTheme="majorBidi" w:cstheme="majorBidi"/>
        </w:rPr>
      </w:pPr>
      <w:r w:rsidRPr="00D159B4">
        <w:rPr>
          <w:rStyle w:val="FootnoteReference"/>
          <w:rFonts w:asciiTheme="majorBidi" w:hAnsiTheme="majorBidi" w:cstheme="majorBidi"/>
        </w:rPr>
        <w:footnoteRef/>
      </w:r>
      <w:r w:rsidRPr="00D159B4">
        <w:rPr>
          <w:rFonts w:asciiTheme="majorBidi" w:hAnsiTheme="majorBidi" w:cstheme="majorBidi"/>
        </w:rPr>
        <w:t xml:space="preserve"> Things, in this novel, sometimes seem to have a life of their own. Things that aid in the detection effort essentially tell a story, contributing to the narrative; they become “facts”</w:t>
      </w:r>
      <w:r w:rsidR="00613350">
        <w:rPr>
          <w:rFonts w:asciiTheme="majorBidi" w:hAnsiTheme="majorBidi" w:cstheme="majorBidi"/>
        </w:rPr>
        <w:t xml:space="preserve"> and “witnesses”</w:t>
      </w:r>
      <w:r w:rsidRPr="00D159B4">
        <w:rPr>
          <w:rFonts w:asciiTheme="majorBidi" w:hAnsiTheme="majorBidi" w:cstheme="majorBidi"/>
        </w:rPr>
        <w:t xml:space="preserve"> </w:t>
      </w:r>
      <w:r w:rsidR="00613350">
        <w:rPr>
          <w:rFonts w:asciiTheme="majorBidi" w:hAnsiTheme="majorBidi" w:cstheme="majorBidi"/>
        </w:rPr>
        <w:t>that</w:t>
      </w:r>
      <w:r w:rsidRPr="00D159B4">
        <w:rPr>
          <w:rFonts w:asciiTheme="majorBidi" w:hAnsiTheme="majorBidi" w:cstheme="majorBidi"/>
        </w:rPr>
        <w:t xml:space="preserve"> testify against or on behalf of the novel’s human characters (316). When, for example, Blake discovers the incriminating nightgown, he points at it and declares, “there is the witness against me!” (ibid.).</w:t>
      </w:r>
    </w:p>
  </w:footnote>
  <w:footnote w:id="128">
    <w:p w14:paraId="416BB7DD" w14:textId="77777777" w:rsidR="00D159B4" w:rsidRPr="00D159B4" w:rsidRDefault="00D159B4" w:rsidP="00D159B4">
      <w:pPr>
        <w:pStyle w:val="FootnoteText"/>
        <w:rPr>
          <w:rFonts w:asciiTheme="majorBidi" w:hAnsiTheme="majorBidi" w:cstheme="majorBidi"/>
        </w:rPr>
      </w:pPr>
      <w:r w:rsidRPr="00D159B4">
        <w:rPr>
          <w:rStyle w:val="FootnoteReference"/>
          <w:rFonts w:asciiTheme="majorBidi" w:hAnsiTheme="majorBidi" w:cstheme="majorBidi"/>
        </w:rPr>
        <w:footnoteRef/>
      </w:r>
      <w:r w:rsidRPr="00D159B4">
        <w:rPr>
          <w:rFonts w:asciiTheme="majorBidi" w:hAnsiTheme="majorBidi" w:cstheme="majorBidi"/>
        </w:rPr>
        <w:t xml:space="preserve"> Recall Davis’s commentary in </w:t>
      </w:r>
      <w:r w:rsidRPr="00D159B4">
        <w:rPr>
          <w:rFonts w:asciiTheme="majorBidi" w:hAnsiTheme="majorBidi" w:cstheme="majorBidi"/>
          <w:i/>
          <w:iCs/>
        </w:rPr>
        <w:t>Enforcing Normalcy</w:t>
      </w:r>
      <w:r w:rsidRPr="00D159B4">
        <w:rPr>
          <w:rFonts w:asciiTheme="majorBidi" w:hAnsiTheme="majorBidi" w:cstheme="majorBidi"/>
        </w:rPr>
        <w:t xml:space="preserve"> on the embodiment of disabled bodies through the senses, normative perception, and physiological response discussed earlier in the chapter. </w:t>
      </w:r>
    </w:p>
  </w:footnote>
  <w:footnote w:id="129">
    <w:p w14:paraId="5C795D9E" w14:textId="77777777" w:rsidR="00D159B4" w:rsidRPr="00D159B4" w:rsidRDefault="00D159B4" w:rsidP="00D159B4">
      <w:pPr>
        <w:pStyle w:val="FootnoteText"/>
        <w:rPr>
          <w:rFonts w:asciiTheme="majorBidi" w:hAnsiTheme="majorBidi" w:cstheme="majorBidi"/>
        </w:rPr>
      </w:pPr>
      <w:r w:rsidRPr="00D159B4">
        <w:rPr>
          <w:rStyle w:val="FootnoteReference"/>
          <w:rFonts w:asciiTheme="majorBidi" w:hAnsiTheme="majorBidi" w:cstheme="majorBidi"/>
        </w:rPr>
        <w:footnoteRef/>
      </w:r>
      <w:r w:rsidRPr="00D159B4">
        <w:rPr>
          <w:rFonts w:asciiTheme="majorBidi" w:hAnsiTheme="majorBidi" w:cstheme="majorBidi"/>
        </w:rPr>
        <w:t xml:space="preserve"> On a present, metacritical note, I would point out that while Quayson’s work emphasizes the important connection between textual interpretation and political commitments, he also includes the following caveat: “the aesthetic nervousness of the literary-aesthetic domain cannot by any means be said to be equivalent to the response to disabled persons in reality</w:t>
      </w:r>
      <w:proofErr w:type="gramStart"/>
      <w:r w:rsidRPr="00D159B4">
        <w:rPr>
          <w:rFonts w:asciiTheme="majorBidi" w:hAnsiTheme="majorBidi" w:cstheme="majorBidi"/>
        </w:rPr>
        <w:t>. . . .</w:t>
      </w:r>
      <w:proofErr w:type="gramEnd"/>
      <w:r w:rsidRPr="00D159B4">
        <w:rPr>
          <w:rFonts w:asciiTheme="majorBidi" w:hAnsiTheme="majorBidi" w:cstheme="majorBidi"/>
        </w:rPr>
        <w:t xml:space="preserve"> The epistemological effect of representation is quite different from the emotional effects of misunderstanding and stereotyping in the real world. </w:t>
      </w:r>
      <w:proofErr w:type="gramStart"/>
      <w:r w:rsidRPr="00D159B4">
        <w:rPr>
          <w:rFonts w:asciiTheme="majorBidi" w:hAnsiTheme="majorBidi" w:cstheme="majorBidi"/>
        </w:rPr>
        <w:t>Thus</w:t>
      </w:r>
      <w:proofErr w:type="gramEnd"/>
      <w:r w:rsidRPr="00D159B4">
        <w:rPr>
          <w:rFonts w:asciiTheme="majorBidi" w:hAnsiTheme="majorBidi" w:cstheme="majorBidi"/>
        </w:rPr>
        <w:t xml:space="preserve"> the first may be used to illuminate aspects of the second but must not be taken to have exhausted or replace it” (30). </w:t>
      </w:r>
    </w:p>
  </w:footnote>
  <w:footnote w:id="130">
    <w:p w14:paraId="3709696A" w14:textId="77777777" w:rsidR="00D159B4" w:rsidRPr="00580CDF" w:rsidRDefault="00D159B4" w:rsidP="00D159B4">
      <w:pPr>
        <w:pStyle w:val="FootnoteText"/>
      </w:pPr>
      <w:r w:rsidRPr="00D159B4">
        <w:rPr>
          <w:rStyle w:val="FootnoteReference"/>
          <w:rFonts w:asciiTheme="majorBidi" w:hAnsiTheme="majorBidi" w:cstheme="majorBidi"/>
        </w:rPr>
        <w:footnoteRef/>
      </w:r>
      <w:r w:rsidRPr="00D159B4">
        <w:rPr>
          <w:rFonts w:asciiTheme="majorBidi" w:hAnsiTheme="majorBidi" w:cstheme="majorBidi"/>
        </w:rPr>
        <w:t xml:space="preserve"> I have in mind here E. L. McCallum’s description of fetishism as “a form of subject-object relation that informs us about basic strategies of defining, desiring, and knowing subjects and objects in Western culture” (</w:t>
      </w:r>
      <w:r w:rsidRPr="00D159B4">
        <w:rPr>
          <w:rFonts w:asciiTheme="majorBidi" w:hAnsiTheme="majorBidi" w:cstheme="majorBidi"/>
          <w:i/>
        </w:rPr>
        <w:t>Object Lessons</w:t>
      </w:r>
      <w:r w:rsidRPr="00D159B4">
        <w:rPr>
          <w:rFonts w:asciiTheme="majorBidi" w:hAnsiTheme="majorBidi" w:cstheme="majorBidi"/>
        </w:rPr>
        <w:t xml:space="preserve"> xi).</w:t>
      </w:r>
    </w:p>
  </w:footnote>
  <w:footnote w:id="131">
    <w:p w14:paraId="54F6E613" w14:textId="77777777" w:rsidR="007378FE" w:rsidRPr="007378FE" w:rsidRDefault="007378FE" w:rsidP="007378FE">
      <w:pPr>
        <w:rPr>
          <w:rFonts w:asciiTheme="majorBidi" w:hAnsiTheme="majorBidi" w:cstheme="majorBidi"/>
          <w:sz w:val="20"/>
          <w:szCs w:val="20"/>
        </w:rPr>
      </w:pPr>
      <w:r w:rsidRPr="007378FE">
        <w:rPr>
          <w:rStyle w:val="FootnoteReference"/>
          <w:rFonts w:asciiTheme="majorBidi" w:hAnsiTheme="majorBidi" w:cstheme="majorBidi"/>
          <w:sz w:val="20"/>
          <w:szCs w:val="20"/>
        </w:rPr>
        <w:footnoteRef/>
      </w:r>
      <w:r w:rsidRPr="007378FE">
        <w:rPr>
          <w:rFonts w:asciiTheme="majorBidi" w:hAnsiTheme="majorBidi" w:cstheme="majorBidi"/>
          <w:sz w:val="20"/>
          <w:szCs w:val="20"/>
        </w:rPr>
        <w:t xml:space="preserve"> While I have no intention of reviving 1970’s- and 80’s-era reader-response theory, I would, in thinking about normative acculturation and its interpretive ramifications, acknowledge Stanley Fish’s argument that we are produced (and our readings largely constrained by) the interpretive communities to which we belong. These communities establish our values and interpretive strategies, which, Fish explains “are not natural or universal, but </w:t>
      </w:r>
      <w:r w:rsidRPr="007378FE">
        <w:rPr>
          <w:rFonts w:asciiTheme="majorBidi" w:hAnsiTheme="majorBidi" w:cstheme="majorBidi"/>
          <w:i/>
          <w:iCs/>
          <w:sz w:val="20"/>
          <w:szCs w:val="20"/>
        </w:rPr>
        <w:t>learned</w:t>
      </w:r>
      <w:r w:rsidRPr="007378FE">
        <w:rPr>
          <w:rFonts w:asciiTheme="majorBidi" w:hAnsiTheme="majorBidi" w:cstheme="majorBidi"/>
          <w:sz w:val="20"/>
          <w:szCs w:val="20"/>
        </w:rPr>
        <w:t xml:space="preserve">” (“Interpreting the ‘Variorum’” 484). </w:t>
      </w:r>
    </w:p>
    <w:p w14:paraId="1EE54A09" w14:textId="77777777" w:rsidR="007378FE" w:rsidRPr="007378FE" w:rsidRDefault="007378FE" w:rsidP="007378FE">
      <w:pPr>
        <w:pStyle w:val="FootnoteText"/>
        <w:rPr>
          <w:rFonts w:asciiTheme="majorBidi" w:hAnsiTheme="majorBidi" w:cstheme="majorBidi"/>
        </w:rPr>
      </w:pPr>
    </w:p>
  </w:footnote>
  <w:footnote w:id="132">
    <w:p w14:paraId="5D55FAA8" w14:textId="77777777" w:rsidR="007378FE" w:rsidRPr="007378FE" w:rsidRDefault="007378FE" w:rsidP="007378FE">
      <w:pPr>
        <w:pStyle w:val="FootnoteText"/>
        <w:rPr>
          <w:rFonts w:asciiTheme="majorBidi" w:hAnsiTheme="majorBidi" w:cstheme="majorBidi"/>
        </w:rPr>
      </w:pPr>
      <w:r w:rsidRPr="007378FE">
        <w:rPr>
          <w:rStyle w:val="FootnoteReference"/>
          <w:rFonts w:asciiTheme="majorBidi" w:hAnsiTheme="majorBidi" w:cstheme="majorBidi"/>
        </w:rPr>
        <w:footnoteRef/>
      </w:r>
      <w:r w:rsidRPr="007378FE">
        <w:rPr>
          <w:rFonts w:asciiTheme="majorBidi" w:hAnsiTheme="majorBidi" w:cstheme="majorBidi"/>
        </w:rPr>
        <w:t xml:space="preserve"> The “savage affairs” referenced in Poe’s story are a satirical allusion to the Indian-American Wars during Andrew Jackson’s presidency.</w:t>
      </w:r>
    </w:p>
  </w:footnote>
  <w:footnote w:id="133">
    <w:p w14:paraId="467DF27F" w14:textId="77777777" w:rsidR="007378FE" w:rsidRPr="007378FE" w:rsidRDefault="007378FE" w:rsidP="007378FE">
      <w:pPr>
        <w:pStyle w:val="FootnoteText"/>
        <w:rPr>
          <w:rFonts w:asciiTheme="majorBidi" w:hAnsiTheme="majorBidi" w:cstheme="majorBidi"/>
        </w:rPr>
      </w:pPr>
      <w:r w:rsidRPr="007378FE">
        <w:rPr>
          <w:rStyle w:val="FootnoteReference"/>
          <w:rFonts w:asciiTheme="majorBidi" w:hAnsiTheme="majorBidi" w:cstheme="majorBidi"/>
        </w:rPr>
        <w:footnoteRef/>
      </w:r>
      <w:r w:rsidRPr="007378FE">
        <w:rPr>
          <w:rFonts w:asciiTheme="majorBidi" w:hAnsiTheme="majorBidi" w:cstheme="majorBidi"/>
        </w:rPr>
        <w:t xml:space="preserve"> Another extensively prosthetized body can later be found in William Makepeace Thackeray’s short story “The Notch on the Axe” (in his </w:t>
      </w:r>
      <w:r w:rsidRPr="007378FE">
        <w:rPr>
          <w:rFonts w:asciiTheme="majorBidi" w:hAnsiTheme="majorBidi" w:cstheme="majorBidi"/>
          <w:i/>
          <w:iCs/>
        </w:rPr>
        <w:t xml:space="preserve">Roundabout Papers </w:t>
      </w:r>
      <w:r w:rsidRPr="007378FE">
        <w:rPr>
          <w:rFonts w:asciiTheme="majorBidi" w:hAnsiTheme="majorBidi" w:cstheme="majorBidi"/>
        </w:rPr>
        <w:t xml:space="preserve">series, 1862) in which the protagonist meets with the terrifying Mr. Pinto, a “glass-eyed, wooden-legged, dirty, hideous old man, with the sham teeth” (754). </w:t>
      </w:r>
    </w:p>
  </w:footnote>
  <w:footnote w:id="134">
    <w:p w14:paraId="68CCC874" w14:textId="77777777" w:rsidR="007378FE" w:rsidRPr="007378FE" w:rsidRDefault="007378FE" w:rsidP="007378FE">
      <w:pPr>
        <w:rPr>
          <w:rFonts w:asciiTheme="majorBidi" w:hAnsiTheme="majorBidi" w:cstheme="majorBidi"/>
          <w:sz w:val="20"/>
          <w:szCs w:val="20"/>
        </w:rPr>
      </w:pPr>
      <w:r w:rsidRPr="007378FE">
        <w:rPr>
          <w:rStyle w:val="FootnoteReference"/>
          <w:rFonts w:asciiTheme="majorBidi" w:hAnsiTheme="majorBidi" w:cstheme="majorBidi"/>
          <w:sz w:val="20"/>
          <w:szCs w:val="20"/>
        </w:rPr>
        <w:footnoteRef/>
      </w:r>
      <w:r w:rsidRPr="007378FE">
        <w:rPr>
          <w:rFonts w:asciiTheme="majorBidi" w:hAnsiTheme="majorBidi" w:cstheme="majorBidi"/>
          <w:sz w:val="20"/>
          <w:szCs w:val="20"/>
        </w:rPr>
        <w:t xml:space="preserve"> Miss Tabatha T.’s response to the narrator’s inquiry comes the closest to revealing the mechanical rearticulation of the war “hero”: “I thought you knew all about him! This is a wonderfully inventive age! Horrid affair that!” (“The Man that Was Used Up” 1287-88). </w:t>
      </w:r>
    </w:p>
  </w:footnote>
  <w:footnote w:id="135">
    <w:p w14:paraId="1332ED93" w14:textId="77777777" w:rsidR="007378FE" w:rsidRPr="007378FE" w:rsidRDefault="007378FE" w:rsidP="007378FE">
      <w:pPr>
        <w:pStyle w:val="FootnoteText"/>
        <w:rPr>
          <w:rFonts w:asciiTheme="majorBidi" w:hAnsiTheme="majorBidi" w:cstheme="majorBidi"/>
        </w:rPr>
      </w:pPr>
      <w:r w:rsidRPr="007378FE">
        <w:rPr>
          <w:rStyle w:val="FootnoteReference"/>
          <w:rFonts w:asciiTheme="majorBidi" w:hAnsiTheme="majorBidi" w:cstheme="majorBidi"/>
        </w:rPr>
        <w:footnoteRef/>
      </w:r>
      <w:r w:rsidRPr="007378FE">
        <w:rPr>
          <w:rFonts w:asciiTheme="majorBidi" w:hAnsiTheme="majorBidi" w:cstheme="majorBidi"/>
        </w:rPr>
        <w:t xml:space="preserve"> Even the comically exaggerated piling up of military titles, initials, and names contributes to the supplemented portrait of the prosthetic general. </w:t>
      </w:r>
    </w:p>
  </w:footnote>
  <w:footnote w:id="136">
    <w:p w14:paraId="23D0D54E" w14:textId="77777777" w:rsidR="007378FE" w:rsidRPr="007378FE" w:rsidRDefault="007378FE" w:rsidP="007378FE">
      <w:pPr>
        <w:pStyle w:val="FootnoteText"/>
        <w:rPr>
          <w:rFonts w:asciiTheme="majorBidi" w:hAnsiTheme="majorBidi" w:cstheme="majorBidi"/>
        </w:rPr>
      </w:pPr>
      <w:r w:rsidRPr="007378FE">
        <w:rPr>
          <w:rStyle w:val="FootnoteReference"/>
          <w:rFonts w:asciiTheme="majorBidi" w:hAnsiTheme="majorBidi" w:cstheme="majorBidi"/>
        </w:rPr>
        <w:footnoteRef/>
      </w:r>
      <w:r w:rsidRPr="007378FE">
        <w:rPr>
          <w:rFonts w:asciiTheme="majorBidi" w:hAnsiTheme="majorBidi" w:cstheme="majorBidi"/>
        </w:rPr>
        <w:t xml:space="preserve"> The narrator describes Smith’s valet as “an old negro”—clearly an enslaved black man—which raises additional issues concerning the intersection of disability and race as well as the white American body’s dependence on black bodies (1295). </w:t>
      </w:r>
    </w:p>
  </w:footnote>
  <w:footnote w:id="137">
    <w:p w14:paraId="0E82E0B8" w14:textId="7BD796E6" w:rsidR="00ED68FA" w:rsidRDefault="007378FE" w:rsidP="007378FE">
      <w:pPr>
        <w:pStyle w:val="FootnoteText"/>
        <w:rPr>
          <w:rFonts w:asciiTheme="majorBidi" w:hAnsiTheme="majorBidi" w:cstheme="majorBidi"/>
        </w:rPr>
      </w:pPr>
      <w:r w:rsidRPr="007378FE">
        <w:rPr>
          <w:rStyle w:val="FootnoteReference"/>
          <w:rFonts w:asciiTheme="majorBidi" w:hAnsiTheme="majorBidi" w:cstheme="majorBidi"/>
        </w:rPr>
        <w:footnoteRef/>
      </w:r>
      <w:r w:rsidRPr="007378FE">
        <w:rPr>
          <w:rFonts w:asciiTheme="majorBidi" w:hAnsiTheme="majorBidi" w:cstheme="majorBidi"/>
        </w:rPr>
        <w:t xml:space="preserve"> </w:t>
      </w:r>
      <w:r w:rsidR="00ED68FA">
        <w:rPr>
          <w:rFonts w:asciiTheme="majorBidi" w:hAnsiTheme="majorBidi" w:cstheme="majorBidi"/>
        </w:rPr>
        <w:t xml:space="preserve">The narrator describes the General’s oral transition to speech in terms that touch on comparisons to the animal and mechanical worlds: </w:t>
      </w:r>
    </w:p>
    <w:p w14:paraId="1D93CDF5" w14:textId="34C729C6" w:rsidR="007378FE" w:rsidRPr="007378FE" w:rsidRDefault="007378FE" w:rsidP="00ED68FA">
      <w:pPr>
        <w:pStyle w:val="FootnoteText"/>
        <w:ind w:left="1440"/>
        <w:rPr>
          <w:rFonts w:asciiTheme="majorBidi" w:hAnsiTheme="majorBidi" w:cstheme="majorBidi"/>
        </w:rPr>
      </w:pPr>
      <w:r w:rsidRPr="007378FE">
        <w:rPr>
          <w:rFonts w:asciiTheme="majorBidi" w:hAnsiTheme="majorBidi" w:cstheme="majorBidi"/>
        </w:rPr>
        <w:t>Hereupon, the negro, grumbling out an apology, went up to his master, opened his mouth with the knowing air of a horse-jockey, and adjusted therein a somewhat singular-looking machine, in a very dexterous manner, that I could not altogether comprehend. The alteration, however, in the entire expression of the General’s countenance was instantaneous and surprising. When he again spoke, his voice had resumed all that rich melody and strength which I had noticed upon our original introduction</w:t>
      </w:r>
      <w:r w:rsidR="00ED68FA">
        <w:rPr>
          <w:rFonts w:asciiTheme="majorBidi" w:hAnsiTheme="majorBidi" w:cstheme="majorBidi"/>
        </w:rPr>
        <w:t>.</w:t>
      </w:r>
      <w:r w:rsidRPr="007378FE">
        <w:rPr>
          <w:rFonts w:asciiTheme="majorBidi" w:hAnsiTheme="majorBidi" w:cstheme="majorBidi"/>
        </w:rPr>
        <w:t xml:space="preserve"> (1298) </w:t>
      </w:r>
    </w:p>
    <w:p w14:paraId="4A50E175" w14:textId="77777777" w:rsidR="007378FE" w:rsidRPr="007378FE" w:rsidRDefault="007378FE" w:rsidP="007378FE">
      <w:pPr>
        <w:pStyle w:val="FootnoteText"/>
        <w:ind w:firstLine="720"/>
        <w:rPr>
          <w:rFonts w:asciiTheme="majorBidi" w:hAnsiTheme="majorBidi" w:cstheme="majorBidi"/>
        </w:rPr>
      </w:pPr>
      <w:r w:rsidRPr="007378FE">
        <w:rPr>
          <w:rFonts w:asciiTheme="majorBidi" w:hAnsiTheme="majorBidi" w:cstheme="majorBidi"/>
        </w:rPr>
        <w:t xml:space="preserve">For commentary on the dependence of the General’s white, disabled body on slavery, see Joan Dayan’s “Amorous Bondage: Poe, Ladies and Slaves” (1995) and “Poe, Persons and Property” (1999) as well as David Leverenz’s “Spanking the Master: Mind-Body Crossing in Poe’s Sensationalism” (2001).  </w:t>
      </w:r>
    </w:p>
  </w:footnote>
  <w:footnote w:id="138">
    <w:p w14:paraId="1BE61ADA" w14:textId="77777777" w:rsidR="007378FE" w:rsidRPr="007378FE" w:rsidRDefault="007378FE" w:rsidP="007378FE">
      <w:pPr>
        <w:pStyle w:val="FootnoteText"/>
        <w:rPr>
          <w:rFonts w:asciiTheme="majorBidi" w:hAnsiTheme="majorBidi" w:cstheme="majorBidi"/>
        </w:rPr>
      </w:pPr>
      <w:r w:rsidRPr="007378FE">
        <w:rPr>
          <w:rStyle w:val="FootnoteReference"/>
          <w:rFonts w:asciiTheme="majorBidi" w:hAnsiTheme="majorBidi" w:cstheme="majorBidi"/>
        </w:rPr>
        <w:footnoteRef/>
      </w:r>
      <w:r w:rsidRPr="007378FE">
        <w:rPr>
          <w:rFonts w:asciiTheme="majorBidi" w:hAnsiTheme="majorBidi" w:cstheme="majorBidi"/>
        </w:rPr>
        <w:t xml:space="preserve"> See H.G. Well’s “The Country of the Blind” (1904) and Guy de Maupassant’s “La Mere Aux Monstres” (1883).</w:t>
      </w:r>
    </w:p>
    <w:p w14:paraId="65A0CC66" w14:textId="2AB58501" w:rsidR="007378FE" w:rsidRPr="007378FE" w:rsidRDefault="007378FE" w:rsidP="007378FE">
      <w:pPr>
        <w:ind w:firstLine="720"/>
        <w:rPr>
          <w:rFonts w:asciiTheme="majorBidi" w:hAnsiTheme="majorBidi" w:cstheme="majorBidi"/>
          <w:sz w:val="20"/>
          <w:szCs w:val="20"/>
        </w:rPr>
      </w:pPr>
      <w:r w:rsidRPr="007378FE">
        <w:rPr>
          <w:rFonts w:asciiTheme="majorBidi" w:hAnsiTheme="majorBidi" w:cstheme="majorBidi"/>
          <w:sz w:val="20"/>
          <w:szCs w:val="20"/>
        </w:rPr>
        <w:t xml:space="preserve">Consider also Brian W. Aldiss’s commentary in </w:t>
      </w:r>
      <w:r w:rsidRPr="007378FE">
        <w:rPr>
          <w:rFonts w:asciiTheme="majorBidi" w:hAnsiTheme="majorBidi" w:cstheme="majorBidi"/>
          <w:i/>
          <w:iCs/>
          <w:sz w:val="20"/>
          <w:szCs w:val="20"/>
        </w:rPr>
        <w:t>Billion Year Spree</w:t>
      </w:r>
      <w:r w:rsidR="00ED68FA">
        <w:rPr>
          <w:rFonts w:asciiTheme="majorBidi" w:hAnsiTheme="majorBidi" w:cstheme="majorBidi"/>
          <w:i/>
          <w:iCs/>
          <w:sz w:val="20"/>
          <w:szCs w:val="20"/>
        </w:rPr>
        <w:t>:</w:t>
      </w:r>
      <w:r w:rsidRPr="007378FE">
        <w:rPr>
          <w:rFonts w:asciiTheme="majorBidi" w:hAnsiTheme="majorBidi" w:cstheme="majorBidi"/>
          <w:i/>
          <w:iCs/>
          <w:sz w:val="20"/>
          <w:szCs w:val="20"/>
        </w:rPr>
        <w:t xml:space="preserve"> </w:t>
      </w:r>
      <w:r w:rsidR="00AE126F">
        <w:rPr>
          <w:rFonts w:asciiTheme="majorBidi" w:hAnsiTheme="majorBidi" w:cstheme="majorBidi"/>
          <w:i/>
          <w:iCs/>
          <w:sz w:val="20"/>
          <w:szCs w:val="20"/>
        </w:rPr>
        <w:t>T</w:t>
      </w:r>
      <w:r w:rsidRPr="007378FE">
        <w:rPr>
          <w:rFonts w:asciiTheme="majorBidi" w:hAnsiTheme="majorBidi" w:cstheme="majorBidi"/>
          <w:i/>
          <w:iCs/>
          <w:sz w:val="20"/>
          <w:szCs w:val="20"/>
        </w:rPr>
        <w:t xml:space="preserve">he True History of Science Fiction </w:t>
      </w:r>
      <w:r w:rsidRPr="007378FE">
        <w:rPr>
          <w:rFonts w:asciiTheme="majorBidi" w:hAnsiTheme="majorBidi" w:cstheme="majorBidi"/>
          <w:sz w:val="20"/>
          <w:szCs w:val="20"/>
        </w:rPr>
        <w:t xml:space="preserve">(1974) on how </w:t>
      </w:r>
      <w:r w:rsidRPr="007378FE">
        <w:rPr>
          <w:rFonts w:asciiTheme="majorBidi" w:hAnsiTheme="majorBidi" w:cstheme="majorBidi"/>
          <w:i/>
          <w:iCs/>
          <w:sz w:val="20"/>
          <w:szCs w:val="20"/>
        </w:rPr>
        <w:t>Frankenstein</w:t>
      </w:r>
      <w:r w:rsidRPr="007378FE">
        <w:rPr>
          <w:rFonts w:asciiTheme="majorBidi" w:hAnsiTheme="majorBidi" w:cstheme="majorBidi"/>
          <w:sz w:val="20"/>
          <w:szCs w:val="20"/>
        </w:rPr>
        <w:t xml:space="preserve">’s combination of new scientific ideas and social criticism anticipates the scientific romances of H.G. Wells. </w:t>
      </w:r>
    </w:p>
  </w:footnote>
  <w:footnote w:id="139">
    <w:p w14:paraId="64CE4F87" w14:textId="77777777" w:rsidR="007378FE" w:rsidRPr="007378FE" w:rsidRDefault="007378FE" w:rsidP="007378FE">
      <w:pPr>
        <w:pStyle w:val="FootnoteText"/>
        <w:rPr>
          <w:rFonts w:asciiTheme="majorBidi" w:hAnsiTheme="majorBidi" w:cstheme="majorBidi"/>
        </w:rPr>
      </w:pPr>
      <w:r w:rsidRPr="007378FE">
        <w:rPr>
          <w:rStyle w:val="FootnoteReference"/>
          <w:rFonts w:asciiTheme="majorBidi" w:hAnsiTheme="majorBidi" w:cstheme="majorBidi"/>
        </w:rPr>
        <w:footnoteRef/>
      </w:r>
      <w:r w:rsidRPr="007378FE">
        <w:rPr>
          <w:rFonts w:asciiTheme="majorBidi" w:hAnsiTheme="majorBidi" w:cstheme="majorBidi"/>
        </w:rPr>
        <w:t xml:space="preserve"> While the novel’s characters refer to Charles as a doctor, he is technically qualified to practice only in a limited capacity as an “officer of health,” a professional designation created under Napoleon in 1803 in an effort to expand access to medical services to the country’s poorer, rural regions. Crucially, officers of health were not supposed to perform major operations unless supervised by a doctor. (The position was finally abolished in France in 1892 after repeated lobbying by the nation’s doctors.)</w:t>
      </w:r>
    </w:p>
  </w:footnote>
  <w:footnote w:id="140">
    <w:p w14:paraId="59CDCC27" w14:textId="77777777" w:rsidR="007378FE" w:rsidRPr="007378FE" w:rsidRDefault="007378FE" w:rsidP="007378FE">
      <w:pPr>
        <w:pStyle w:val="FootnoteText"/>
        <w:rPr>
          <w:rFonts w:asciiTheme="majorBidi" w:hAnsiTheme="majorBidi" w:cstheme="majorBidi"/>
        </w:rPr>
      </w:pPr>
      <w:r w:rsidRPr="007378FE">
        <w:rPr>
          <w:rStyle w:val="FootnoteReference"/>
          <w:rFonts w:asciiTheme="majorBidi" w:hAnsiTheme="majorBidi" w:cstheme="majorBidi"/>
        </w:rPr>
        <w:footnoteRef/>
      </w:r>
      <w:r w:rsidRPr="007378FE">
        <w:rPr>
          <w:rFonts w:asciiTheme="majorBidi" w:hAnsiTheme="majorBidi" w:cstheme="majorBidi"/>
        </w:rPr>
        <w:t xml:space="preserve"> The French “</w:t>
      </w:r>
      <w:r w:rsidRPr="007378FE">
        <w:rPr>
          <w:rFonts w:asciiTheme="majorBidi" w:hAnsiTheme="majorBidi" w:cstheme="majorBidi"/>
          <w:color w:val="000000"/>
        </w:rPr>
        <w:t>le stréphopode” denotes, more specifically than the English “taliped,” a kind of “equine” clubfoot.</w:t>
      </w:r>
    </w:p>
  </w:footnote>
  <w:footnote w:id="141">
    <w:p w14:paraId="471DD367" w14:textId="77777777" w:rsidR="007378FE" w:rsidRPr="007378FE" w:rsidRDefault="007378FE" w:rsidP="007378FE">
      <w:pPr>
        <w:pStyle w:val="FootnoteText"/>
        <w:rPr>
          <w:rFonts w:asciiTheme="majorBidi" w:hAnsiTheme="majorBidi" w:cstheme="majorBidi"/>
        </w:rPr>
      </w:pPr>
      <w:r w:rsidRPr="007378FE">
        <w:rPr>
          <w:rStyle w:val="FootnoteReference"/>
          <w:rFonts w:asciiTheme="majorBidi" w:hAnsiTheme="majorBidi" w:cstheme="majorBidi"/>
        </w:rPr>
        <w:footnoteRef/>
      </w:r>
      <w:r w:rsidRPr="007378FE">
        <w:rPr>
          <w:rFonts w:asciiTheme="majorBidi" w:hAnsiTheme="majorBidi" w:cstheme="majorBidi"/>
        </w:rPr>
        <w:t xml:space="preserve"> Even Hippolyte’s name, extending from the Latin </w:t>
      </w:r>
      <w:r w:rsidRPr="007378FE">
        <w:rPr>
          <w:rFonts w:asciiTheme="majorBidi" w:hAnsiTheme="majorBidi" w:cstheme="majorBidi"/>
          <w:i/>
          <w:iCs/>
        </w:rPr>
        <w:t>hippo-</w:t>
      </w:r>
      <w:r w:rsidRPr="007378FE">
        <w:rPr>
          <w:rFonts w:asciiTheme="majorBidi" w:hAnsiTheme="majorBidi" w:cstheme="majorBidi"/>
        </w:rPr>
        <w:t>, denotes his connection with horses.</w:t>
      </w:r>
    </w:p>
    <w:p w14:paraId="5E43EB16" w14:textId="0879CFE0" w:rsidR="007378FE" w:rsidRPr="007378FE" w:rsidRDefault="007378FE" w:rsidP="007378FE">
      <w:pPr>
        <w:pStyle w:val="FootnoteText"/>
        <w:ind w:firstLine="720"/>
        <w:rPr>
          <w:rFonts w:asciiTheme="majorBidi" w:hAnsiTheme="majorBidi" w:cstheme="majorBidi"/>
        </w:rPr>
      </w:pPr>
      <w:r w:rsidRPr="007378FE">
        <w:rPr>
          <w:rFonts w:asciiTheme="majorBidi" w:hAnsiTheme="majorBidi" w:cstheme="majorBidi"/>
        </w:rPr>
        <w:t xml:space="preserve">This taxonomical reshuffling echoes a larger narrative trend in the representation of disabled characters in nineteenth-century literature. Consider, for instance, the descriptions of Wilkie Collins’s Miserrimus Dexter. (See Chapter III.) As in Hippolyte’s case, the repeated characterization of Dexter, not only as “man and machinery blended in one” (206), but also as a nonhuman “creature” further advances the breakdown of borders and taxonomies that code perceptions of normalcy and deviance. </w:t>
      </w:r>
    </w:p>
    <w:p w14:paraId="6E9E8E92" w14:textId="0B1F4279" w:rsidR="007378FE" w:rsidRPr="007378FE" w:rsidRDefault="007378FE" w:rsidP="007378FE">
      <w:pPr>
        <w:pStyle w:val="FootnoteText"/>
        <w:ind w:firstLine="720"/>
        <w:rPr>
          <w:rFonts w:asciiTheme="majorBidi" w:hAnsiTheme="majorBidi" w:cstheme="majorBidi"/>
        </w:rPr>
      </w:pPr>
      <w:r w:rsidRPr="007378FE">
        <w:rPr>
          <w:rFonts w:asciiTheme="majorBidi" w:hAnsiTheme="majorBidi" w:cstheme="majorBidi"/>
        </w:rPr>
        <w:t xml:space="preserve">For additional considerations of the literary origins of Flaubert’s Hippolyte, see Michael Paschalis’s “Hipployte Tautain Origine littéraire et identité sémantique d’un personage de </w:t>
      </w:r>
      <w:r w:rsidRPr="007378FE">
        <w:rPr>
          <w:rFonts w:asciiTheme="majorBidi" w:hAnsiTheme="majorBidi" w:cstheme="majorBidi"/>
          <w:i/>
          <w:iCs/>
        </w:rPr>
        <w:t>Madame Bovary</w:t>
      </w:r>
      <w:r w:rsidRPr="007378FE">
        <w:rPr>
          <w:rFonts w:asciiTheme="majorBidi" w:hAnsiTheme="majorBidi" w:cstheme="majorBidi"/>
        </w:rPr>
        <w:t>” (2013).</w:t>
      </w:r>
    </w:p>
  </w:footnote>
  <w:footnote w:id="142">
    <w:p w14:paraId="53D0603D" w14:textId="77777777" w:rsidR="007378FE" w:rsidRPr="007378FE" w:rsidRDefault="007378FE" w:rsidP="007378FE">
      <w:pPr>
        <w:rPr>
          <w:rFonts w:asciiTheme="majorBidi" w:hAnsiTheme="majorBidi" w:cstheme="majorBidi"/>
          <w:sz w:val="20"/>
          <w:szCs w:val="20"/>
        </w:rPr>
      </w:pPr>
      <w:r w:rsidRPr="007378FE">
        <w:rPr>
          <w:rStyle w:val="FootnoteReference"/>
          <w:rFonts w:asciiTheme="majorBidi" w:hAnsiTheme="majorBidi" w:cstheme="majorBidi"/>
          <w:sz w:val="20"/>
          <w:szCs w:val="20"/>
        </w:rPr>
        <w:footnoteRef/>
      </w:r>
      <w:r w:rsidRPr="007378FE">
        <w:rPr>
          <w:rFonts w:asciiTheme="majorBidi" w:hAnsiTheme="majorBidi" w:cstheme="majorBidi"/>
          <w:sz w:val="20"/>
          <w:szCs w:val="20"/>
        </w:rPr>
        <w:t xml:space="preserve"> The social pressure ultimately proves too great for Hippolyte to resist, and “The poor man gave in, for it was almost a conspiracy. Binet, who never meddled in other people’s business, Madame Lefrançois, Artémise, the neighbours, and even the mayor, Monsieur Tuvache, everyone coaxed him, preached at him, humiliated him” (162).</w:t>
      </w:r>
    </w:p>
  </w:footnote>
  <w:footnote w:id="143">
    <w:p w14:paraId="7C08DEE5" w14:textId="77777777" w:rsidR="007378FE" w:rsidRPr="007378FE" w:rsidRDefault="007378FE" w:rsidP="007378FE">
      <w:pPr>
        <w:pStyle w:val="FootnoteText"/>
        <w:rPr>
          <w:rFonts w:asciiTheme="majorBidi" w:hAnsiTheme="majorBidi" w:cstheme="majorBidi"/>
        </w:rPr>
      </w:pPr>
      <w:r w:rsidRPr="007378FE">
        <w:rPr>
          <w:rStyle w:val="FootnoteReference"/>
          <w:rFonts w:asciiTheme="majorBidi" w:hAnsiTheme="majorBidi" w:cstheme="majorBidi"/>
        </w:rPr>
        <w:footnoteRef/>
      </w:r>
      <w:r w:rsidRPr="007378FE">
        <w:rPr>
          <w:rFonts w:asciiTheme="majorBidi" w:hAnsiTheme="majorBidi" w:cstheme="majorBidi"/>
        </w:rPr>
        <w:t xml:space="preserve"> “</w:t>
      </w:r>
      <w:r w:rsidRPr="007378FE">
        <w:rPr>
          <w:rFonts w:asciiTheme="majorBidi" w:hAnsiTheme="majorBidi" w:cstheme="majorBidi"/>
          <w:i/>
          <w:iCs/>
        </w:rPr>
        <w:t>Glory to the novel men of science!</w:t>
      </w:r>
      <w:r w:rsidRPr="007378FE">
        <w:rPr>
          <w:rFonts w:asciiTheme="majorBidi" w:hAnsiTheme="majorBidi" w:cstheme="majorBidi"/>
        </w:rPr>
        <w:t xml:space="preserve">” Homais exclaims in a newspaper write-up immediately following the surgery (165). </w:t>
      </w:r>
    </w:p>
  </w:footnote>
  <w:footnote w:id="144">
    <w:p w14:paraId="7B5BF61E" w14:textId="0959E8BA" w:rsidR="007378FE" w:rsidRPr="007378FE" w:rsidRDefault="007378FE" w:rsidP="007378FE">
      <w:pPr>
        <w:pStyle w:val="FootnoteText"/>
        <w:rPr>
          <w:rFonts w:asciiTheme="majorBidi" w:hAnsiTheme="majorBidi" w:cstheme="majorBidi"/>
        </w:rPr>
      </w:pPr>
      <w:r w:rsidRPr="007378FE">
        <w:rPr>
          <w:rStyle w:val="FootnoteReference"/>
          <w:rFonts w:asciiTheme="majorBidi" w:hAnsiTheme="majorBidi" w:cstheme="majorBidi"/>
        </w:rPr>
        <w:footnoteRef/>
      </w:r>
      <w:r w:rsidRPr="007378FE">
        <w:rPr>
          <w:rFonts w:asciiTheme="majorBidi" w:hAnsiTheme="majorBidi" w:cstheme="majorBidi"/>
        </w:rPr>
        <w:t xml:space="preserve"> Homais also </w:t>
      </w:r>
      <w:r w:rsidR="00ED68FA">
        <w:rPr>
          <w:rFonts w:asciiTheme="majorBidi" w:hAnsiTheme="majorBidi" w:cstheme="majorBidi"/>
        </w:rPr>
        <w:t xml:space="preserve">later </w:t>
      </w:r>
      <w:r w:rsidRPr="007378FE">
        <w:rPr>
          <w:rFonts w:asciiTheme="majorBidi" w:hAnsiTheme="majorBidi" w:cstheme="majorBidi"/>
        </w:rPr>
        <w:t xml:space="preserve">claims he can “cure” the Blind Man with ointment, an experiment that also, unsurprisingly, fails to produce the promised result. (See </w:t>
      </w:r>
      <w:r w:rsidR="001F1F55">
        <w:rPr>
          <w:rFonts w:asciiTheme="majorBidi" w:hAnsiTheme="majorBidi" w:cstheme="majorBidi"/>
        </w:rPr>
        <w:t>Part III, C</w:t>
      </w:r>
      <w:r w:rsidRPr="007378FE">
        <w:rPr>
          <w:rFonts w:asciiTheme="majorBidi" w:hAnsiTheme="majorBidi" w:cstheme="majorBidi"/>
        </w:rPr>
        <w:t xml:space="preserve">hapter II.) Homais is so afraid that the Blind Man will expose him as a failure (or a fraud) and damage his reputation that he launches a six-month public campaign against the Blind Man, all of which culminates in the Blind Man’s arrest and institutionalization. </w:t>
      </w:r>
    </w:p>
  </w:footnote>
  <w:footnote w:id="145">
    <w:p w14:paraId="11FDD1B7" w14:textId="77777777" w:rsidR="007378FE" w:rsidRPr="007378FE" w:rsidRDefault="007378FE" w:rsidP="007378FE">
      <w:pPr>
        <w:pStyle w:val="FootnoteText"/>
        <w:rPr>
          <w:rFonts w:asciiTheme="majorBidi" w:hAnsiTheme="majorBidi" w:cstheme="majorBidi"/>
        </w:rPr>
      </w:pPr>
      <w:r w:rsidRPr="007378FE">
        <w:rPr>
          <w:rStyle w:val="FootnoteReference"/>
          <w:rFonts w:asciiTheme="majorBidi" w:hAnsiTheme="majorBidi" w:cstheme="majorBidi"/>
        </w:rPr>
        <w:footnoteRef/>
      </w:r>
      <w:r w:rsidRPr="007378FE">
        <w:rPr>
          <w:rFonts w:asciiTheme="majorBidi" w:hAnsiTheme="majorBidi" w:cstheme="majorBidi"/>
        </w:rPr>
        <w:t xml:space="preserve"> The sound medical detail here (and in Emma’s arsenic-induced suicide) can probably be attributed, in large part, to the fact that Flaubert’s father and brother worked as surgeons. According to Geoffrey Wall, Flaubert’s own father, Achille-Cléophas Flaubert, tried and failed to “cure” a club foot, which was then treated by Vincent Duval, whom the narrator mentions in the course of Hippolyte’s treatment (</w:t>
      </w:r>
      <w:r w:rsidRPr="007378FE">
        <w:rPr>
          <w:rFonts w:asciiTheme="majorBidi" w:hAnsiTheme="majorBidi" w:cstheme="majorBidi"/>
          <w:i/>
          <w:iCs/>
        </w:rPr>
        <w:t>Madame Bovary</w:t>
      </w:r>
      <w:r w:rsidRPr="007378FE">
        <w:rPr>
          <w:rFonts w:asciiTheme="majorBidi" w:hAnsiTheme="majorBidi" w:cstheme="majorBidi"/>
        </w:rPr>
        <w:t xml:space="preserve"> 333). The elder Flaubert died of gangrene in 1846.</w:t>
      </w:r>
    </w:p>
  </w:footnote>
  <w:footnote w:id="146">
    <w:p w14:paraId="516313D9" w14:textId="77777777" w:rsidR="007378FE" w:rsidRPr="007378FE" w:rsidRDefault="007378FE" w:rsidP="007378FE">
      <w:pPr>
        <w:pStyle w:val="FootnoteText"/>
        <w:rPr>
          <w:rFonts w:asciiTheme="majorBidi" w:hAnsiTheme="majorBidi" w:cstheme="majorBidi"/>
        </w:rPr>
      </w:pPr>
      <w:r w:rsidRPr="007378FE">
        <w:rPr>
          <w:rStyle w:val="FootnoteReference"/>
          <w:rFonts w:asciiTheme="majorBidi" w:hAnsiTheme="majorBidi" w:cstheme="majorBidi"/>
        </w:rPr>
        <w:footnoteRef/>
      </w:r>
      <w:r w:rsidRPr="007378FE">
        <w:rPr>
          <w:rFonts w:asciiTheme="majorBidi" w:hAnsiTheme="majorBidi" w:cstheme="majorBidi"/>
        </w:rPr>
        <w:t xml:space="preserve"> Doctor Cavinet mocks Charles Bovary and Homais while ridiculing the notion of scientific progress for progress’s sake: </w:t>
      </w:r>
    </w:p>
    <w:p w14:paraId="60FD58C7" w14:textId="77777777" w:rsidR="007378FE" w:rsidRPr="007378FE" w:rsidRDefault="007378FE" w:rsidP="007378FE">
      <w:pPr>
        <w:pStyle w:val="FootnoteText"/>
        <w:ind w:left="1440"/>
        <w:rPr>
          <w:rFonts w:asciiTheme="majorBidi" w:hAnsiTheme="majorBidi" w:cstheme="majorBidi"/>
        </w:rPr>
      </w:pPr>
      <w:r w:rsidRPr="007378FE">
        <w:rPr>
          <w:rFonts w:asciiTheme="majorBidi" w:hAnsiTheme="majorBidi" w:cstheme="majorBidi"/>
        </w:rPr>
        <w:t>Big ideas from the gents in the metropolis! . . . a load of rubbish the government should put a stop to! But they just want to look cute, and they thrust their remedies at you quite regardless of the consequences. Oh, no; we’re not that clever, not like them; we’re not experts, dandified triflers, we are practitioners, healers; and we wouldn’t dream of operating on anyone who was perfectly well. Straighten up a club-foot! How can you straighten up a club-foot? You might just as well try to flatten out a hunchback! (169)</w:t>
      </w:r>
    </w:p>
    <w:p w14:paraId="7243A82D" w14:textId="77777777" w:rsidR="007378FE" w:rsidRPr="007378FE" w:rsidRDefault="007378FE" w:rsidP="007378FE">
      <w:pPr>
        <w:pStyle w:val="FootnoteText"/>
        <w:rPr>
          <w:rFonts w:asciiTheme="majorBidi" w:hAnsiTheme="majorBidi" w:cstheme="majorBidi"/>
        </w:rPr>
      </w:pPr>
      <w:r w:rsidRPr="007378FE">
        <w:rPr>
          <w:rFonts w:asciiTheme="majorBidi" w:hAnsiTheme="majorBidi" w:cstheme="majorBidi"/>
        </w:rPr>
        <w:t>Oddly, it is the less “progressive” doctor who, in his simple, old-fashioned mode of medical practice, realizes that Hippolyte was, in fact, “perfectly well” in his original state. The doctor’s job, he asserts, is to heal, not to create impairment where there is none. The notion of trying to “cure” such a deformity proves ludicrous both in theory and in fact.</w:t>
      </w:r>
    </w:p>
  </w:footnote>
  <w:footnote w:id="147">
    <w:p w14:paraId="2897B70B" w14:textId="77777777" w:rsidR="007378FE" w:rsidRPr="007378FE" w:rsidRDefault="007378FE" w:rsidP="007378FE">
      <w:pPr>
        <w:pStyle w:val="FootnoteText"/>
        <w:rPr>
          <w:rFonts w:asciiTheme="majorBidi" w:hAnsiTheme="majorBidi" w:cstheme="majorBidi"/>
        </w:rPr>
      </w:pPr>
      <w:r w:rsidRPr="007378FE">
        <w:rPr>
          <w:rStyle w:val="FootnoteReference"/>
          <w:rFonts w:asciiTheme="majorBidi" w:hAnsiTheme="majorBidi" w:cstheme="majorBidi"/>
        </w:rPr>
        <w:footnoteRef/>
      </w:r>
      <w:r w:rsidRPr="007378FE">
        <w:rPr>
          <w:rFonts w:asciiTheme="majorBidi" w:hAnsiTheme="majorBidi" w:cstheme="majorBidi"/>
        </w:rPr>
        <w:t xml:space="preserve"> In this edition, the original “commode” (“handy”) translates to “suitable.”</w:t>
      </w:r>
    </w:p>
  </w:footnote>
  <w:footnote w:id="148">
    <w:p w14:paraId="5F55DBAA" w14:textId="77777777" w:rsidR="007378FE" w:rsidRPr="007378FE" w:rsidRDefault="007378FE" w:rsidP="007378FE">
      <w:pPr>
        <w:pStyle w:val="FootnoteText"/>
        <w:rPr>
          <w:rFonts w:asciiTheme="majorBidi" w:hAnsiTheme="majorBidi" w:cstheme="majorBidi"/>
        </w:rPr>
      </w:pPr>
      <w:r w:rsidRPr="007378FE">
        <w:rPr>
          <w:rStyle w:val="FootnoteReference"/>
          <w:rFonts w:asciiTheme="majorBidi" w:hAnsiTheme="majorBidi" w:cstheme="majorBidi"/>
        </w:rPr>
        <w:footnoteRef/>
      </w:r>
      <w:r w:rsidRPr="007378FE">
        <w:rPr>
          <w:rFonts w:asciiTheme="majorBidi" w:hAnsiTheme="majorBidi" w:cstheme="majorBidi"/>
        </w:rPr>
        <w:t xml:space="preserve"> See Chapter III on Trollope and Collins.</w:t>
      </w:r>
    </w:p>
  </w:footnote>
  <w:footnote w:id="149">
    <w:p w14:paraId="7BD8EB36" w14:textId="77777777" w:rsidR="007378FE" w:rsidRPr="007378FE" w:rsidRDefault="007378FE" w:rsidP="007378FE">
      <w:pPr>
        <w:pStyle w:val="FootnoteText"/>
        <w:rPr>
          <w:rFonts w:asciiTheme="majorBidi" w:hAnsiTheme="majorBidi" w:cstheme="majorBidi"/>
        </w:rPr>
      </w:pPr>
      <w:r w:rsidRPr="007378FE">
        <w:rPr>
          <w:rStyle w:val="FootnoteReference"/>
          <w:rFonts w:asciiTheme="majorBidi" w:hAnsiTheme="majorBidi" w:cstheme="majorBidi"/>
        </w:rPr>
        <w:footnoteRef/>
      </w:r>
      <w:r w:rsidRPr="007378FE">
        <w:rPr>
          <w:rFonts w:asciiTheme="majorBidi" w:hAnsiTheme="majorBidi" w:cstheme="majorBidi"/>
        </w:rPr>
        <w:t xml:space="preserve"> In his survey of nineteenth-century prosthetics, Stephen Mihm notes how artificial limbs marketed to middle-class amputees typically exhibited the limb’s ability to conceal the wearer’s disability; those marketed to the working class, though, illustrated the limb’s unadorned functionality. These working-class prostheses, Mihm explains, “functioned not as a means to conceal, but rather, as a means to ensure continued employment” (</w:t>
      </w:r>
      <w:r w:rsidRPr="007378FE">
        <w:rPr>
          <w:rFonts w:asciiTheme="majorBidi" w:hAnsiTheme="majorBidi" w:cstheme="majorBidi"/>
          <w:color w:val="333333"/>
          <w:spacing w:val="2"/>
          <w:shd w:val="clear" w:color="auto" w:fill="FCFCFC"/>
        </w:rPr>
        <w:t xml:space="preserve">“‘A Limb Which Shall Be Presentable in Polite Society’: Prosthetic Technologies in the Nineteenth Century” </w:t>
      </w:r>
      <w:r w:rsidRPr="007378FE">
        <w:rPr>
          <w:rFonts w:asciiTheme="majorBidi" w:hAnsiTheme="majorBidi" w:cstheme="majorBidi"/>
        </w:rPr>
        <w:t>179).</w:t>
      </w:r>
    </w:p>
    <w:p w14:paraId="4BC46A62" w14:textId="77777777" w:rsidR="007378FE" w:rsidRPr="007378FE" w:rsidRDefault="007378FE" w:rsidP="007378FE">
      <w:pPr>
        <w:pStyle w:val="FootnoteText"/>
        <w:ind w:firstLine="720"/>
        <w:rPr>
          <w:rFonts w:asciiTheme="majorBidi" w:hAnsiTheme="majorBidi" w:cstheme="majorBidi"/>
        </w:rPr>
      </w:pPr>
      <w:r w:rsidRPr="007378FE">
        <w:rPr>
          <w:rFonts w:asciiTheme="majorBidi" w:hAnsiTheme="majorBidi" w:cstheme="majorBidi"/>
        </w:rPr>
        <w:t xml:space="preserve">Ryan Sweet also touches on the financial privilege of disabled passing and prosthesis in the nineteenth century in </w:t>
      </w:r>
      <w:r w:rsidRPr="007378FE">
        <w:rPr>
          <w:rFonts w:asciiTheme="majorBidi" w:hAnsiTheme="majorBidi" w:cstheme="majorBidi"/>
          <w:i/>
          <w:iCs/>
        </w:rPr>
        <w:t>Prosthetic Body Parts in Nineteenth-Century Literature and Culture</w:t>
      </w:r>
      <w:r w:rsidRPr="007378FE">
        <w:rPr>
          <w:rFonts w:asciiTheme="majorBidi" w:hAnsiTheme="majorBidi" w:cstheme="majorBidi"/>
        </w:rPr>
        <w:t xml:space="preserve"> (2022).</w:t>
      </w:r>
    </w:p>
  </w:footnote>
  <w:footnote w:id="150">
    <w:p w14:paraId="4931FD81" w14:textId="77777777" w:rsidR="007378FE" w:rsidRPr="007378FE" w:rsidRDefault="007378FE" w:rsidP="007378FE">
      <w:pPr>
        <w:pStyle w:val="FootnoteText"/>
        <w:rPr>
          <w:rFonts w:asciiTheme="majorBidi" w:hAnsiTheme="majorBidi" w:cstheme="majorBidi"/>
        </w:rPr>
      </w:pPr>
      <w:r w:rsidRPr="007378FE">
        <w:rPr>
          <w:rStyle w:val="FootnoteReference"/>
          <w:rFonts w:asciiTheme="majorBidi" w:hAnsiTheme="majorBidi" w:cstheme="majorBidi"/>
        </w:rPr>
        <w:footnoteRef/>
      </w:r>
      <w:r w:rsidRPr="007378FE">
        <w:rPr>
          <w:rFonts w:asciiTheme="majorBidi" w:hAnsiTheme="majorBidi" w:cstheme="majorBidi"/>
        </w:rPr>
        <w:t xml:space="preserve"> Take, for instance, the Palmer leg (patented in 1846) and the Bly leg (produced in 1862), which incorporated ball-and-socket joints and simulated tendons.</w:t>
      </w:r>
    </w:p>
  </w:footnote>
  <w:footnote w:id="151">
    <w:p w14:paraId="1DD717C8" w14:textId="5FEC71C3" w:rsidR="007378FE" w:rsidRPr="007378FE" w:rsidRDefault="007378FE" w:rsidP="007378FE">
      <w:pPr>
        <w:rPr>
          <w:rFonts w:asciiTheme="majorBidi" w:hAnsiTheme="majorBidi" w:cstheme="majorBidi"/>
          <w:color w:val="000000"/>
          <w:sz w:val="20"/>
          <w:szCs w:val="20"/>
          <w:shd w:val="clear" w:color="auto" w:fill="FDFDFD"/>
        </w:rPr>
      </w:pPr>
      <w:r w:rsidRPr="007378FE">
        <w:rPr>
          <w:rStyle w:val="FootnoteReference"/>
          <w:rFonts w:asciiTheme="majorBidi" w:hAnsiTheme="majorBidi" w:cstheme="majorBidi"/>
          <w:sz w:val="20"/>
          <w:szCs w:val="20"/>
        </w:rPr>
        <w:footnoteRef/>
      </w:r>
      <w:r w:rsidRPr="007378FE">
        <w:rPr>
          <w:rFonts w:asciiTheme="majorBidi" w:hAnsiTheme="majorBidi" w:cstheme="majorBidi"/>
          <w:sz w:val="20"/>
          <w:szCs w:val="20"/>
        </w:rPr>
        <w:t xml:space="preserve"> </w:t>
      </w:r>
      <w:r w:rsidRPr="007378FE">
        <w:rPr>
          <w:rStyle w:val="apple-converted-space"/>
          <w:rFonts w:asciiTheme="majorBidi" w:hAnsiTheme="majorBidi" w:cstheme="majorBidi"/>
          <w:color w:val="000000"/>
          <w:sz w:val="20"/>
          <w:szCs w:val="20"/>
          <w:shd w:val="clear" w:color="auto" w:fill="FDFDFD"/>
        </w:rPr>
        <w:t xml:space="preserve">Notably, Hippolyte’s amputation results in a stump that can accommodate either type of prosthetic—unusual for the period. In his 1865 essay, “Amputation,” American doctor Stephen Smith responded to the question of whether the “individual operation [amputation] should be determined by the Serviceableness of the Stump” (490). Smith called attention to the degree to which the “social condition of the patient” had previously determined the course of their amputation: “The poor man’s and the rich man’s leg have long decided the point of amputation in the lower extremity. This distinction is made in the belief that the poor man will either have no artificial appliance to his stump, or one of the rudest </w:t>
      </w:r>
      <w:proofErr w:type="gramStart"/>
      <w:r w:rsidRPr="007378FE">
        <w:rPr>
          <w:rStyle w:val="apple-converted-space"/>
          <w:rFonts w:asciiTheme="majorBidi" w:hAnsiTheme="majorBidi" w:cstheme="majorBidi"/>
          <w:color w:val="000000"/>
          <w:sz w:val="20"/>
          <w:szCs w:val="20"/>
          <w:shd w:val="clear" w:color="auto" w:fill="FDFDFD"/>
        </w:rPr>
        <w:t>character</w:t>
      </w:r>
      <w:proofErr w:type="gramEnd"/>
      <w:r w:rsidRPr="007378FE">
        <w:rPr>
          <w:rStyle w:val="apple-converted-space"/>
          <w:rFonts w:asciiTheme="majorBidi" w:hAnsiTheme="majorBidi" w:cstheme="majorBidi"/>
          <w:color w:val="000000"/>
          <w:sz w:val="20"/>
          <w:szCs w:val="20"/>
          <w:shd w:val="clear" w:color="auto" w:fill="FDFDFD"/>
        </w:rPr>
        <w:t xml:space="preserve">, while the rich man will avail himself of the highest degree of art to compensate his loss” (490-1). See, also, Vanessa Warne’s engagement with Smith’s findings and recommendations in </w:t>
      </w:r>
      <w:r w:rsidRPr="007378FE">
        <w:rPr>
          <w:rFonts w:asciiTheme="majorBidi" w:hAnsiTheme="majorBidi" w:cstheme="majorBidi"/>
          <w:sz w:val="20"/>
          <w:szCs w:val="20"/>
        </w:rPr>
        <w:t xml:space="preserve">“‘To Invest a Cripple with Peculiar Interest’: Artificial Legs and Upper-Class Amputees at Mid-Century” (2009). </w:t>
      </w:r>
    </w:p>
  </w:footnote>
  <w:footnote w:id="152">
    <w:p w14:paraId="5FB805EE" w14:textId="77777777" w:rsidR="007378FE" w:rsidRPr="007378FE" w:rsidRDefault="007378FE" w:rsidP="007378FE">
      <w:pPr>
        <w:pStyle w:val="FootnoteText"/>
        <w:rPr>
          <w:rFonts w:asciiTheme="majorBidi" w:hAnsiTheme="majorBidi" w:cstheme="majorBidi"/>
        </w:rPr>
      </w:pPr>
      <w:r w:rsidRPr="007378FE">
        <w:rPr>
          <w:rStyle w:val="FootnoteReference"/>
          <w:rFonts w:asciiTheme="majorBidi" w:hAnsiTheme="majorBidi" w:cstheme="majorBidi"/>
        </w:rPr>
        <w:footnoteRef/>
      </w:r>
      <w:r w:rsidRPr="007378FE">
        <w:rPr>
          <w:rFonts w:asciiTheme="majorBidi" w:hAnsiTheme="majorBidi" w:cstheme="majorBidi"/>
        </w:rPr>
        <w:t xml:space="preserve"> In this same scene, the narrator similarly intimates that Charles (for all his guilt) does not appear “to grasp just what a humiliation it was for him, the mere presence of this man standing there, personifying a reproach to his incurable incompetence” (235). </w:t>
      </w:r>
    </w:p>
  </w:footnote>
  <w:footnote w:id="153">
    <w:p w14:paraId="31C87718" w14:textId="1C38C25C" w:rsidR="007378FE" w:rsidRDefault="007378FE" w:rsidP="007378FE">
      <w:pPr>
        <w:pStyle w:val="FootnoteText"/>
      </w:pPr>
      <w:r w:rsidRPr="007378FE">
        <w:rPr>
          <w:rStyle w:val="FootnoteReference"/>
          <w:rFonts w:asciiTheme="majorBidi" w:hAnsiTheme="majorBidi" w:cstheme="majorBidi"/>
        </w:rPr>
        <w:footnoteRef/>
      </w:r>
      <w:r w:rsidRPr="007378FE">
        <w:rPr>
          <w:rFonts w:asciiTheme="majorBidi" w:hAnsiTheme="majorBidi" w:cstheme="majorBidi"/>
        </w:rPr>
        <w:t xml:space="preserve"> The accumulation of aural stimulation drives Charles increasingly mad. Among the “tap-tap-tap” of Hippolyte’s </w:t>
      </w:r>
      <w:r w:rsidR="00ED68FA">
        <w:rPr>
          <w:rFonts w:asciiTheme="majorBidi" w:hAnsiTheme="majorBidi" w:cstheme="majorBidi"/>
        </w:rPr>
        <w:t>prosthesis</w:t>
      </w:r>
      <w:r w:rsidRPr="007378FE">
        <w:rPr>
          <w:rFonts w:asciiTheme="majorBidi" w:hAnsiTheme="majorBidi" w:cstheme="majorBidi"/>
        </w:rPr>
        <w:t>, the clinking of coins in the church collection plate, and the final echoing thud of Emma’s coffin landing in its final resting place, Charles becomes irritated and begins to swoon (315-16).</w:t>
      </w:r>
    </w:p>
  </w:footnote>
  <w:footnote w:id="154">
    <w:p w14:paraId="7A173DE8" w14:textId="77777777" w:rsidR="002A5475" w:rsidRPr="002A5475" w:rsidRDefault="002A5475" w:rsidP="002A5475">
      <w:pPr>
        <w:pStyle w:val="FootnoteText"/>
        <w:rPr>
          <w:rFonts w:asciiTheme="majorBidi" w:hAnsiTheme="majorBidi" w:cstheme="majorBidi"/>
        </w:rPr>
      </w:pPr>
      <w:r w:rsidRPr="002A5475">
        <w:rPr>
          <w:rStyle w:val="FootnoteReference"/>
          <w:rFonts w:asciiTheme="majorBidi" w:hAnsiTheme="majorBidi" w:cstheme="majorBidi"/>
        </w:rPr>
        <w:footnoteRef/>
      </w:r>
      <w:r w:rsidRPr="002A5475">
        <w:rPr>
          <w:rFonts w:asciiTheme="majorBidi" w:hAnsiTheme="majorBidi" w:cstheme="majorBidi"/>
        </w:rPr>
        <w:t xml:space="preserve"> The narrator plays with the interchangeability of subject and prosthetic object elsewhere in the novel. Take, for instance, the narrator’s description of a double-amputee passerby at the wedding of John Rokesmith and Bella Wilfer: “Two wooden legs had this gruff and glum old pensioner” (664). The potential transposition of subject and object in the sentence breeds an ambiguous sense of possession. Does the nameless pensioner (referred to thereafter as “Gruff and Glum”) have two wooden legs, or do they have him? </w:t>
      </w:r>
    </w:p>
  </w:footnote>
  <w:footnote w:id="155">
    <w:p w14:paraId="68AEE83D" w14:textId="77777777" w:rsidR="002A5475" w:rsidRPr="002A5475" w:rsidRDefault="002A5475" w:rsidP="002A5475">
      <w:pPr>
        <w:pStyle w:val="FootnoteText"/>
        <w:rPr>
          <w:rFonts w:asciiTheme="majorBidi" w:hAnsiTheme="majorBidi" w:cstheme="majorBidi"/>
        </w:rPr>
      </w:pPr>
      <w:r w:rsidRPr="002A5475">
        <w:rPr>
          <w:rStyle w:val="FootnoteReference"/>
          <w:rFonts w:asciiTheme="majorBidi" w:hAnsiTheme="majorBidi" w:cstheme="majorBidi"/>
        </w:rPr>
        <w:footnoteRef/>
      </w:r>
      <w:r w:rsidRPr="002A5475">
        <w:rPr>
          <w:rFonts w:asciiTheme="majorBidi" w:hAnsiTheme="majorBidi" w:cstheme="majorBidi"/>
        </w:rPr>
        <w:t xml:space="preserve"> The normative tendency to ask disabled people to account for their bodies (not terribly unlike asking queer or trans individuals to account for their identities) has been increasingly skewered in popular culture and media in recent years. The American sitcom </w:t>
      </w:r>
      <w:r w:rsidRPr="002A5475">
        <w:rPr>
          <w:rFonts w:asciiTheme="majorBidi" w:hAnsiTheme="majorBidi" w:cstheme="majorBidi"/>
          <w:i/>
          <w:iCs/>
        </w:rPr>
        <w:t>Superstore</w:t>
      </w:r>
      <w:r w:rsidRPr="002A5475">
        <w:rPr>
          <w:rFonts w:asciiTheme="majorBidi" w:hAnsiTheme="majorBidi" w:cstheme="majorBidi"/>
        </w:rPr>
        <w:t xml:space="preserve"> (2015-2021) features a sardonic employee, Garrett, who uses a wheelchair. Though discussions of his disability typically do not arise, one episode features his work friend’s (Jonah) awkward attempts to find out why Garrett uses a wheelchair. Garrett spends the episode goading Jonah by beginning a seemingly tragic story (a horseback riding accident, a drunk driving collision) before revealing the way in which the event had nothing to do with his disability (“I landed on my neck. Doc said I was lucky to walk away, but I came in last place”; “Doc said I was lucky to be alive, but my wheelchair was destroyed, so I had to get this one”) (season 3, episode 2). Ultimately, Garrett, tells Jonah, any explanation he gives will only serve to put him in a box. Jonah accepts his non-answer and drops it. </w:t>
      </w:r>
    </w:p>
    <w:p w14:paraId="191048D9" w14:textId="77777777" w:rsidR="002A5475" w:rsidRPr="002A5475" w:rsidRDefault="002A5475" w:rsidP="002A5475">
      <w:pPr>
        <w:pStyle w:val="FootnoteText"/>
        <w:ind w:firstLine="720"/>
        <w:rPr>
          <w:rFonts w:asciiTheme="majorBidi" w:hAnsiTheme="majorBidi" w:cstheme="majorBidi"/>
        </w:rPr>
      </w:pPr>
      <w:r w:rsidRPr="002A5475">
        <w:rPr>
          <w:rFonts w:asciiTheme="majorBidi" w:hAnsiTheme="majorBidi" w:cstheme="majorBidi"/>
        </w:rPr>
        <w:t xml:space="preserve">James Catchpole’s illustrated children’s book </w:t>
      </w:r>
      <w:r w:rsidRPr="002A5475">
        <w:rPr>
          <w:rFonts w:asciiTheme="majorBidi" w:hAnsiTheme="majorBidi" w:cstheme="majorBidi"/>
          <w:i/>
          <w:iCs/>
        </w:rPr>
        <w:t>What Happened to You?</w:t>
      </w:r>
      <w:r w:rsidRPr="002A5475">
        <w:rPr>
          <w:rFonts w:asciiTheme="majorBidi" w:hAnsiTheme="majorBidi" w:cstheme="majorBidi"/>
        </w:rPr>
        <w:t xml:space="preserve"> (2021) addresses how disabled children might want (or not want) their peers to engage with their physical difference. The story centers on Joe, the young one-legged protagonist, who tires of the other children’s repeated question: “What happened to you?” Rather than answer the question, an obviously agitated Joe continues to play pirates until the other children abandon their line of questioning and join in the game.</w:t>
      </w:r>
    </w:p>
  </w:footnote>
  <w:footnote w:id="156">
    <w:p w14:paraId="69F16E3C" w14:textId="77777777" w:rsidR="002A5475" w:rsidRPr="002A5475" w:rsidRDefault="002A5475" w:rsidP="002A5475">
      <w:pPr>
        <w:pStyle w:val="FootnoteText"/>
        <w:rPr>
          <w:rFonts w:asciiTheme="majorBidi" w:hAnsiTheme="majorBidi" w:cstheme="majorBidi"/>
        </w:rPr>
      </w:pPr>
      <w:r w:rsidRPr="002A5475">
        <w:rPr>
          <w:rStyle w:val="FootnoteReference"/>
          <w:rFonts w:asciiTheme="majorBidi" w:hAnsiTheme="majorBidi" w:cstheme="majorBidi"/>
        </w:rPr>
        <w:footnoteRef/>
      </w:r>
      <w:r w:rsidRPr="002A5475">
        <w:rPr>
          <w:rFonts w:asciiTheme="majorBidi" w:hAnsiTheme="majorBidi" w:cstheme="majorBidi"/>
        </w:rPr>
        <w:t xml:space="preserve"> Dickens’s </w:t>
      </w:r>
      <w:r w:rsidRPr="002A5475">
        <w:rPr>
          <w:rFonts w:asciiTheme="majorBidi" w:hAnsiTheme="majorBidi" w:cstheme="majorBidi"/>
          <w:i/>
          <w:iCs/>
        </w:rPr>
        <w:t>David Copperfield</w:t>
      </w:r>
      <w:r w:rsidRPr="002A5475">
        <w:rPr>
          <w:rFonts w:asciiTheme="majorBidi" w:hAnsiTheme="majorBidi" w:cstheme="majorBidi"/>
        </w:rPr>
        <w:t xml:space="preserve"> (1849) similarly plays on the apparent inseparability of a one-legged man and his wooden leg. The novel’s titular protagonist refers to Tungay, Mr. Creakle’s employee at Salem House, as “the man with the wooden leg” over a dozen times before revealing the man’s name. (See chapters V-VII of </w:t>
      </w:r>
      <w:r w:rsidRPr="002A5475">
        <w:rPr>
          <w:rFonts w:asciiTheme="majorBidi" w:hAnsiTheme="majorBidi" w:cstheme="majorBidi"/>
          <w:i/>
          <w:iCs/>
        </w:rPr>
        <w:t>David Copperfield</w:t>
      </w:r>
      <w:r w:rsidRPr="002A5475">
        <w:rPr>
          <w:rFonts w:asciiTheme="majorBidi" w:hAnsiTheme="majorBidi" w:cstheme="majorBidi"/>
        </w:rPr>
        <w:t>.)</w:t>
      </w:r>
    </w:p>
  </w:footnote>
  <w:footnote w:id="157">
    <w:p w14:paraId="1FBD3AB9" w14:textId="0D35893C" w:rsidR="002A5475" w:rsidRPr="002A5475" w:rsidRDefault="002A5475" w:rsidP="002A5475">
      <w:pPr>
        <w:rPr>
          <w:rFonts w:asciiTheme="majorBidi" w:hAnsiTheme="majorBidi" w:cstheme="majorBidi"/>
          <w:bCs/>
          <w:sz w:val="20"/>
          <w:szCs w:val="20"/>
        </w:rPr>
      </w:pPr>
      <w:r w:rsidRPr="002A5475">
        <w:rPr>
          <w:rStyle w:val="FootnoteReference"/>
          <w:rFonts w:asciiTheme="majorBidi" w:hAnsiTheme="majorBidi" w:cstheme="majorBidi"/>
          <w:sz w:val="20"/>
          <w:szCs w:val="20"/>
        </w:rPr>
        <w:footnoteRef/>
      </w:r>
      <w:r w:rsidRPr="002A5475">
        <w:rPr>
          <w:rFonts w:asciiTheme="majorBidi" w:hAnsiTheme="majorBidi" w:cstheme="majorBidi"/>
          <w:bCs/>
          <w:sz w:val="20"/>
          <w:szCs w:val="20"/>
        </w:rPr>
        <w:t xml:space="preserve"> While Wegg often deliberately wields the leg to communicate with others—as when he “peg[s]” Venus to turn his attention to Boffin or his reading—the leg sometimes appears to act of its own volition</w:t>
      </w:r>
      <w:r w:rsidR="009335FE">
        <w:rPr>
          <w:rFonts w:asciiTheme="majorBidi" w:hAnsiTheme="majorBidi" w:cstheme="majorBidi"/>
          <w:bCs/>
          <w:sz w:val="20"/>
          <w:szCs w:val="20"/>
        </w:rPr>
        <w:t xml:space="preserve"> or to act</w:t>
      </w:r>
      <w:r w:rsidRPr="002A5475">
        <w:rPr>
          <w:rFonts w:asciiTheme="majorBidi" w:hAnsiTheme="majorBidi" w:cstheme="majorBidi"/>
          <w:bCs/>
          <w:sz w:val="20"/>
          <w:szCs w:val="20"/>
        </w:rPr>
        <w:t xml:space="preserve"> in concert with Wegg’s psyche—as when it terrorizes Boffin on Wegg’s behalf, “pegging his motto into the floor . . . in a threatening and alarming manner” (481, 657).</w:t>
      </w:r>
    </w:p>
  </w:footnote>
  <w:footnote w:id="158">
    <w:p w14:paraId="3982814E" w14:textId="77777777" w:rsidR="002A5475" w:rsidRPr="002A5475" w:rsidRDefault="002A5475" w:rsidP="002A5475">
      <w:pPr>
        <w:pStyle w:val="FootnoteText"/>
        <w:rPr>
          <w:rFonts w:asciiTheme="majorBidi" w:hAnsiTheme="majorBidi" w:cstheme="majorBidi"/>
        </w:rPr>
      </w:pPr>
      <w:r w:rsidRPr="002A5475">
        <w:rPr>
          <w:rStyle w:val="FootnoteReference"/>
          <w:rFonts w:asciiTheme="majorBidi" w:hAnsiTheme="majorBidi" w:cstheme="majorBidi"/>
        </w:rPr>
        <w:footnoteRef/>
      </w:r>
      <w:r w:rsidRPr="002A5475">
        <w:rPr>
          <w:rFonts w:asciiTheme="majorBidi" w:hAnsiTheme="majorBidi" w:cstheme="majorBidi"/>
        </w:rPr>
        <w:t xml:space="preserve"> See Freedgood’s </w:t>
      </w:r>
      <w:r w:rsidRPr="002A5475">
        <w:rPr>
          <w:rFonts w:asciiTheme="majorBidi" w:hAnsiTheme="majorBidi" w:cstheme="majorBidi"/>
          <w:i/>
          <w:iCs/>
        </w:rPr>
        <w:t>Ideas in Things: Fugitive Meaning in the Victorian Novel</w:t>
      </w:r>
      <w:r w:rsidRPr="002A5475">
        <w:rPr>
          <w:rFonts w:asciiTheme="majorBidi" w:hAnsiTheme="majorBidi" w:cstheme="majorBidi"/>
        </w:rPr>
        <w:t xml:space="preserve"> (2006). </w:t>
      </w:r>
    </w:p>
  </w:footnote>
  <w:footnote w:id="159">
    <w:p w14:paraId="5EA76CB8" w14:textId="77777777" w:rsidR="002A5475" w:rsidRPr="002A5475" w:rsidRDefault="002A5475" w:rsidP="002A5475">
      <w:pPr>
        <w:pStyle w:val="FootnoteText"/>
        <w:rPr>
          <w:rFonts w:asciiTheme="majorBidi" w:hAnsiTheme="majorBidi" w:cstheme="majorBidi"/>
        </w:rPr>
      </w:pPr>
      <w:r w:rsidRPr="002A5475">
        <w:rPr>
          <w:rStyle w:val="FootnoteReference"/>
          <w:rFonts w:asciiTheme="majorBidi" w:hAnsiTheme="majorBidi" w:cstheme="majorBidi"/>
        </w:rPr>
        <w:footnoteRef/>
      </w:r>
      <w:r w:rsidRPr="002A5475">
        <w:rPr>
          <w:rFonts w:asciiTheme="majorBidi" w:hAnsiTheme="majorBidi" w:cstheme="majorBidi"/>
        </w:rPr>
        <w:t xml:space="preserve"> While disability itself others—or, put another way, is created by nondisabled perceptions of otherness—the prosthetic, as noted at the outset of this dissertation, introduces a manufactured, rather than “organic,” otherness. </w:t>
      </w:r>
    </w:p>
  </w:footnote>
  <w:footnote w:id="160">
    <w:p w14:paraId="5802B173" w14:textId="77777777" w:rsidR="002A5475" w:rsidRPr="002A5475" w:rsidRDefault="002A5475" w:rsidP="002A5475">
      <w:pPr>
        <w:pStyle w:val="FootnoteText"/>
        <w:rPr>
          <w:rFonts w:asciiTheme="majorBidi" w:hAnsiTheme="majorBidi" w:cstheme="majorBidi"/>
        </w:rPr>
      </w:pPr>
      <w:r w:rsidRPr="002A5475">
        <w:rPr>
          <w:rStyle w:val="FootnoteReference"/>
          <w:rFonts w:asciiTheme="majorBidi" w:hAnsiTheme="majorBidi" w:cstheme="majorBidi"/>
        </w:rPr>
        <w:footnoteRef/>
      </w:r>
      <w:r w:rsidRPr="002A5475">
        <w:rPr>
          <w:rFonts w:asciiTheme="majorBidi" w:hAnsiTheme="majorBidi" w:cstheme="majorBidi"/>
        </w:rPr>
        <w:t xml:space="preserve"> See Auerbach’s </w:t>
      </w:r>
      <w:r w:rsidRPr="002A5475">
        <w:rPr>
          <w:rFonts w:asciiTheme="majorBidi" w:hAnsiTheme="majorBidi" w:cstheme="majorBidi"/>
          <w:i/>
          <w:iCs/>
        </w:rPr>
        <w:t>Mimesis: The Representation of Reality in Western Literature</w:t>
      </w:r>
      <w:r w:rsidRPr="002A5475">
        <w:rPr>
          <w:rFonts w:asciiTheme="majorBidi" w:hAnsiTheme="majorBidi" w:cstheme="majorBidi"/>
        </w:rPr>
        <w:t xml:space="preserve"> (522). Auerbach counts Flaubert among those authors “who isolated themselves entirely in the realm of the aesthetic” (486), though </w:t>
      </w:r>
      <w:r w:rsidRPr="002A5475">
        <w:rPr>
          <w:rFonts w:asciiTheme="majorBidi" w:hAnsiTheme="majorBidi" w:cstheme="majorBidi"/>
          <w:i/>
          <w:iCs/>
        </w:rPr>
        <w:t>Madame Bovary</w:t>
      </w:r>
      <w:r w:rsidRPr="002A5475">
        <w:rPr>
          <w:rFonts w:asciiTheme="majorBidi" w:hAnsiTheme="majorBidi" w:cstheme="majorBidi"/>
        </w:rPr>
        <w:t>, I would argue, still heavily relies on the material resonances of the real world in a way that modernist works half a century later do not.</w:t>
      </w:r>
    </w:p>
    <w:p w14:paraId="7A5E641D" w14:textId="77777777" w:rsidR="002A5475" w:rsidRPr="002A5475" w:rsidRDefault="002A5475" w:rsidP="002A5475">
      <w:pPr>
        <w:pStyle w:val="FootnoteText"/>
        <w:rPr>
          <w:rFonts w:asciiTheme="majorBidi" w:hAnsiTheme="majorBidi" w:cstheme="majorBidi"/>
        </w:rPr>
      </w:pPr>
      <w:r w:rsidRPr="002A5475">
        <w:rPr>
          <w:rFonts w:asciiTheme="majorBidi" w:hAnsiTheme="majorBidi" w:cstheme="majorBidi"/>
        </w:rPr>
        <w:tab/>
        <w:t xml:space="preserve">Ryan Sweet’s </w:t>
      </w:r>
      <w:r w:rsidRPr="002A5475">
        <w:rPr>
          <w:rFonts w:asciiTheme="majorBidi" w:hAnsiTheme="majorBidi" w:cstheme="majorBidi"/>
          <w:i/>
          <w:iCs/>
        </w:rPr>
        <w:t>Prosthetic Body Parts in Nineteenth-Century Literature and Culture</w:t>
      </w:r>
      <w:r w:rsidRPr="002A5475">
        <w:rPr>
          <w:rFonts w:asciiTheme="majorBidi" w:hAnsiTheme="majorBidi" w:cstheme="majorBidi"/>
        </w:rPr>
        <w:t xml:space="preserve"> (2022) performs an extended reading of prosthesis vis-à-vis Auerbach’s </w:t>
      </w:r>
      <w:r w:rsidRPr="002A5475">
        <w:rPr>
          <w:rFonts w:asciiTheme="majorBidi" w:hAnsiTheme="majorBidi" w:cstheme="majorBidi"/>
          <w:i/>
          <w:iCs/>
        </w:rPr>
        <w:t>Mimesis</w:t>
      </w:r>
      <w:r w:rsidRPr="002A5475">
        <w:rPr>
          <w:rFonts w:asciiTheme="majorBidi" w:hAnsiTheme="majorBidi" w:cstheme="majorBidi"/>
        </w:rPr>
        <w:t xml:space="preserve">. </w:t>
      </w:r>
    </w:p>
  </w:footnote>
  <w:footnote w:id="161">
    <w:p w14:paraId="1233967D" w14:textId="77777777" w:rsidR="002A5475" w:rsidRPr="002A5475" w:rsidRDefault="002A5475" w:rsidP="002A5475">
      <w:pPr>
        <w:pStyle w:val="FootnoteText"/>
        <w:rPr>
          <w:rFonts w:asciiTheme="majorBidi" w:hAnsiTheme="majorBidi" w:cstheme="majorBidi"/>
        </w:rPr>
      </w:pPr>
      <w:r w:rsidRPr="002A5475">
        <w:rPr>
          <w:rStyle w:val="FootnoteReference"/>
          <w:rFonts w:asciiTheme="majorBidi" w:hAnsiTheme="majorBidi" w:cstheme="majorBidi"/>
        </w:rPr>
        <w:footnoteRef/>
      </w:r>
      <w:r w:rsidRPr="002A5475">
        <w:rPr>
          <w:rFonts w:asciiTheme="majorBidi" w:hAnsiTheme="majorBidi" w:cstheme="majorBidi"/>
        </w:rPr>
        <w:t xml:space="preserve"> In his 1984 essay “Is It O.K. To Be </w:t>
      </w:r>
      <w:proofErr w:type="gramStart"/>
      <w:r w:rsidRPr="002A5475">
        <w:rPr>
          <w:rFonts w:asciiTheme="majorBidi" w:hAnsiTheme="majorBidi" w:cstheme="majorBidi"/>
        </w:rPr>
        <w:t>A</w:t>
      </w:r>
      <w:proofErr w:type="gramEnd"/>
      <w:r w:rsidRPr="002A5475">
        <w:rPr>
          <w:rFonts w:asciiTheme="majorBidi" w:hAnsiTheme="majorBidi" w:cstheme="majorBidi"/>
        </w:rPr>
        <w:t xml:space="preserve"> Luddite?” Thomas Pynchon describes the Industrial Revolution as “an accelerated passage in a long evolution,” a more subtle technosocial “revolution.” He also points out that Ned Ludd’s much mythologized technophobic attack on two knitting frames in 1779 was not an attack on a new machine, but an assault on a piece of technology that had existed for nearly two centuries.  </w:t>
      </w:r>
    </w:p>
  </w:footnote>
  <w:footnote w:id="162">
    <w:p w14:paraId="6020E6E4" w14:textId="2529C950" w:rsidR="002A5475" w:rsidRPr="002A5475" w:rsidRDefault="002A5475" w:rsidP="002A5475">
      <w:pPr>
        <w:rPr>
          <w:rFonts w:asciiTheme="majorBidi" w:hAnsiTheme="majorBidi" w:cstheme="majorBidi"/>
          <w:sz w:val="20"/>
          <w:szCs w:val="20"/>
        </w:rPr>
      </w:pPr>
      <w:r w:rsidRPr="002A5475">
        <w:rPr>
          <w:rStyle w:val="FootnoteReference"/>
          <w:rFonts w:asciiTheme="majorBidi" w:hAnsiTheme="majorBidi" w:cstheme="majorBidi"/>
          <w:sz w:val="20"/>
          <w:szCs w:val="20"/>
        </w:rPr>
        <w:footnoteRef/>
      </w:r>
      <w:r w:rsidRPr="002A5475">
        <w:rPr>
          <w:rFonts w:asciiTheme="majorBidi" w:hAnsiTheme="majorBidi" w:cstheme="majorBidi"/>
          <w:sz w:val="20"/>
          <w:szCs w:val="20"/>
        </w:rPr>
        <w:t xml:space="preserve"> Pynchon himself recognized how masterfully and rebelliously Shelley’s novel gauges the century’s growing t</w:t>
      </w:r>
      <w:r w:rsidR="009335FE">
        <w:rPr>
          <w:rFonts w:asciiTheme="majorBidi" w:hAnsiTheme="majorBidi" w:cstheme="majorBidi"/>
          <w:sz w:val="20"/>
          <w:szCs w:val="20"/>
        </w:rPr>
        <w:t>echnophobia</w:t>
      </w:r>
      <w:r w:rsidRPr="002A5475">
        <w:rPr>
          <w:rFonts w:asciiTheme="majorBidi" w:hAnsiTheme="majorBidi" w:cstheme="majorBidi"/>
          <w:sz w:val="20"/>
          <w:szCs w:val="20"/>
        </w:rPr>
        <w:t xml:space="preserve">: “If there were such a genre as the Luddite novel, this one [Shelley’s </w:t>
      </w:r>
      <w:r w:rsidRPr="002A5475">
        <w:rPr>
          <w:rFonts w:asciiTheme="majorBidi" w:hAnsiTheme="majorBidi" w:cstheme="majorBidi"/>
          <w:i/>
          <w:iCs/>
          <w:sz w:val="20"/>
          <w:szCs w:val="20"/>
        </w:rPr>
        <w:t>Frankenstein</w:t>
      </w:r>
      <w:r w:rsidRPr="002A5475">
        <w:rPr>
          <w:rFonts w:asciiTheme="majorBidi" w:hAnsiTheme="majorBidi" w:cstheme="majorBidi"/>
          <w:sz w:val="20"/>
          <w:szCs w:val="20"/>
        </w:rPr>
        <w:t xml:space="preserve">], warning of what can happen when technology, and those who practice it, get out of hand, would be the first and among the best. Victor Frankenstein’s creature also, surely, qualifies as a major literary Badass” (“Is It O.K. To Be </w:t>
      </w:r>
      <w:proofErr w:type="gramStart"/>
      <w:r w:rsidRPr="002A5475">
        <w:rPr>
          <w:rFonts w:asciiTheme="majorBidi" w:hAnsiTheme="majorBidi" w:cstheme="majorBidi"/>
          <w:sz w:val="20"/>
          <w:szCs w:val="20"/>
        </w:rPr>
        <w:t>A</w:t>
      </w:r>
      <w:proofErr w:type="gramEnd"/>
      <w:r w:rsidRPr="002A5475">
        <w:rPr>
          <w:rFonts w:asciiTheme="majorBidi" w:hAnsiTheme="majorBidi" w:cstheme="majorBidi"/>
          <w:sz w:val="20"/>
          <w:szCs w:val="20"/>
        </w:rPr>
        <w:t xml:space="preserve"> Luddite?”).</w:t>
      </w:r>
    </w:p>
  </w:footnote>
  <w:footnote w:id="163">
    <w:p w14:paraId="69469C7B" w14:textId="77777777" w:rsidR="002A5475" w:rsidRPr="002A5475" w:rsidRDefault="002A5475" w:rsidP="002A5475">
      <w:pPr>
        <w:pStyle w:val="FootnoteText"/>
        <w:rPr>
          <w:rFonts w:asciiTheme="majorBidi" w:hAnsiTheme="majorBidi" w:cstheme="majorBidi"/>
        </w:rPr>
      </w:pPr>
      <w:r w:rsidRPr="002A5475">
        <w:rPr>
          <w:rStyle w:val="FootnoteReference"/>
          <w:rFonts w:asciiTheme="majorBidi" w:hAnsiTheme="majorBidi" w:cstheme="majorBidi"/>
        </w:rPr>
        <w:footnoteRef/>
      </w:r>
      <w:r w:rsidRPr="002A5475">
        <w:rPr>
          <w:rFonts w:asciiTheme="majorBidi" w:hAnsiTheme="majorBidi" w:cstheme="majorBidi"/>
        </w:rPr>
        <w:t xml:space="preserve"> Descriptions arise from episodes 1.19 and 3.21. Also of interest is the brief zombie dream sequence in episode 7.15 in which House’s cane transforms into an axe, shotgun, and flashlight. </w:t>
      </w:r>
    </w:p>
  </w:footnote>
  <w:footnote w:id="164">
    <w:p w14:paraId="54EE0ADA" w14:textId="77777777" w:rsidR="002A5475" w:rsidRPr="009335FE" w:rsidRDefault="002A5475" w:rsidP="002A5475">
      <w:pPr>
        <w:pStyle w:val="FootnoteText"/>
        <w:rPr>
          <w:rFonts w:asciiTheme="majorBidi" w:hAnsiTheme="majorBidi" w:cstheme="majorBidi"/>
        </w:rPr>
      </w:pPr>
      <w:r w:rsidRPr="002A5475">
        <w:rPr>
          <w:rStyle w:val="FootnoteReference"/>
          <w:rFonts w:asciiTheme="majorBidi" w:hAnsiTheme="majorBidi" w:cstheme="majorBidi"/>
        </w:rPr>
        <w:footnoteRef/>
      </w:r>
      <w:r w:rsidRPr="002A5475">
        <w:rPr>
          <w:rFonts w:asciiTheme="majorBidi" w:hAnsiTheme="majorBidi" w:cstheme="majorBidi"/>
        </w:rPr>
        <w:t xml:space="preserve"> The blending of descriptions of prosthetics with the artistic detailing of clothing and décor occurred not only in the narratives themselves. The novels’ pages overlapped and coincided with advertisements in the serial </w:t>
      </w:r>
      <w:r w:rsidRPr="009335FE">
        <w:rPr>
          <w:rFonts w:asciiTheme="majorBidi" w:hAnsiTheme="majorBidi" w:cstheme="majorBidi"/>
        </w:rPr>
        <w:t>publications in which those novels appeared—with seemingly endless endorsements for fashionable clothing and accessories (mourning parasols, French muslin dresses, silk broches) as well as other types of body alteration (hair dyes, animal oil pomades, whitening toothpastes).</w:t>
      </w:r>
    </w:p>
    <w:p w14:paraId="4B2323D0" w14:textId="77777777" w:rsidR="002A5475" w:rsidRPr="002A5475" w:rsidRDefault="002A5475" w:rsidP="002A5475">
      <w:pPr>
        <w:pStyle w:val="FootnoteText"/>
        <w:ind w:firstLine="720"/>
        <w:rPr>
          <w:rFonts w:asciiTheme="majorBidi" w:hAnsiTheme="majorBidi" w:cstheme="majorBidi"/>
        </w:rPr>
      </w:pPr>
      <w:bookmarkStart w:id="31" w:name="_Hlk95210854"/>
      <w:r w:rsidRPr="009335FE">
        <w:rPr>
          <w:rFonts w:asciiTheme="majorBidi" w:hAnsiTheme="majorBidi" w:cstheme="majorBidi"/>
          <w:spacing w:val="2"/>
          <w:shd w:val="clear" w:color="auto" w:fill="FCFCFC"/>
        </w:rPr>
        <w:t>Thomas Richards’s </w:t>
      </w:r>
      <w:r w:rsidRPr="009335FE">
        <w:rPr>
          <w:rStyle w:val="Emphasis"/>
          <w:rFonts w:asciiTheme="majorBidi" w:hAnsiTheme="majorBidi" w:cstheme="majorBidi"/>
          <w:spacing w:val="2"/>
          <w:shd w:val="clear" w:color="auto" w:fill="FCFCFC"/>
        </w:rPr>
        <w:t>The Commodity Culture of Victorian England: Advertising and Spectacle, 1851–1914</w:t>
      </w:r>
      <w:r w:rsidRPr="009335FE">
        <w:rPr>
          <w:rFonts w:asciiTheme="majorBidi" w:hAnsiTheme="majorBidi" w:cstheme="majorBidi"/>
          <w:spacing w:val="2"/>
          <w:shd w:val="clear" w:color="auto" w:fill="FCFCFC"/>
        </w:rPr>
        <w:t> (</w:t>
      </w:r>
      <w:bookmarkEnd w:id="31"/>
      <w:r w:rsidRPr="009335FE">
        <w:rPr>
          <w:rFonts w:asciiTheme="majorBidi" w:hAnsiTheme="majorBidi" w:cstheme="majorBidi"/>
          <w:spacing w:val="2"/>
          <w:shd w:val="clear" w:color="auto" w:fill="FCFCFC"/>
        </w:rPr>
        <w:t xml:space="preserve">1990) performs an investigation into the evolution of consumerism and advertising in Victorian Britain, and </w:t>
      </w:r>
      <w:bookmarkStart w:id="32" w:name="_Hlk95211052"/>
      <w:r w:rsidRPr="009335FE">
        <w:rPr>
          <w:rFonts w:asciiTheme="majorBidi" w:hAnsiTheme="majorBidi" w:cstheme="majorBidi"/>
          <w:spacing w:val="2"/>
          <w:shd w:val="clear" w:color="auto" w:fill="FCFCFC"/>
        </w:rPr>
        <w:t xml:space="preserve">Terence Nevett’s “Advertising” (in </w:t>
      </w:r>
      <w:r w:rsidRPr="009335FE">
        <w:rPr>
          <w:rStyle w:val="Emphasis"/>
          <w:rFonts w:asciiTheme="majorBidi" w:hAnsiTheme="majorBidi" w:cstheme="majorBidi"/>
          <w:spacing w:val="2"/>
          <w:shd w:val="clear" w:color="auto" w:fill="FCFCFC"/>
        </w:rPr>
        <w:t>Victorian Periodicals and Victorian Society</w:t>
      </w:r>
      <w:r w:rsidRPr="009335FE">
        <w:rPr>
          <w:rFonts w:asciiTheme="majorBidi" w:hAnsiTheme="majorBidi" w:cstheme="majorBidi"/>
          <w:spacing w:val="2"/>
          <w:shd w:val="clear" w:color="auto" w:fill="FCFCFC"/>
        </w:rPr>
        <w:t>, 1994</w:t>
      </w:r>
      <w:bookmarkEnd w:id="32"/>
      <w:r w:rsidRPr="009335FE">
        <w:rPr>
          <w:rFonts w:asciiTheme="majorBidi" w:hAnsiTheme="majorBidi" w:cstheme="majorBidi"/>
          <w:spacing w:val="2"/>
          <w:shd w:val="clear" w:color="auto" w:fill="FCFCFC"/>
        </w:rPr>
        <w:t>) further comments on the effect of commerce and print advertisements on popular culture in nineteenth-century Britain.  </w:t>
      </w:r>
    </w:p>
  </w:footnote>
  <w:footnote w:id="165">
    <w:p w14:paraId="1E21BB81" w14:textId="77777777" w:rsidR="002A5475" w:rsidRPr="002A5475" w:rsidRDefault="002A5475" w:rsidP="002A5475">
      <w:pPr>
        <w:pStyle w:val="FootnoteText"/>
        <w:rPr>
          <w:rFonts w:asciiTheme="majorBidi" w:hAnsiTheme="majorBidi" w:cstheme="majorBidi"/>
        </w:rPr>
      </w:pPr>
      <w:r w:rsidRPr="002A5475">
        <w:rPr>
          <w:rStyle w:val="FootnoteReference"/>
          <w:rFonts w:asciiTheme="majorBidi" w:hAnsiTheme="majorBidi" w:cstheme="majorBidi"/>
        </w:rPr>
        <w:footnoteRef/>
      </w:r>
      <w:r w:rsidRPr="002A5475">
        <w:rPr>
          <w:rFonts w:asciiTheme="majorBidi" w:hAnsiTheme="majorBidi" w:cstheme="majorBidi"/>
        </w:rPr>
        <w:t xml:space="preserve"> See Emine Saner’s interview, “Viktoria Modesta, the World’s First Amputee Pop Star,” for </w:t>
      </w:r>
      <w:r w:rsidRPr="002A5475">
        <w:rPr>
          <w:rFonts w:asciiTheme="majorBidi" w:hAnsiTheme="majorBidi" w:cstheme="majorBidi"/>
          <w:i/>
          <w:iCs/>
        </w:rPr>
        <w:t>The Guardian</w:t>
      </w:r>
      <w:r w:rsidRPr="002A5475">
        <w:rPr>
          <w:rFonts w:asciiTheme="majorBidi" w:hAnsiTheme="majorBidi" w:cstheme="majorBidi"/>
        </w:rPr>
        <w:t xml:space="preserve"> (20 Dec. 2014).</w:t>
      </w:r>
    </w:p>
  </w:footnote>
  <w:footnote w:id="166">
    <w:p w14:paraId="5EDF2384" w14:textId="77777777" w:rsidR="001F6DCF" w:rsidRPr="002A5475" w:rsidRDefault="001F6DCF" w:rsidP="001F6DCF">
      <w:pPr>
        <w:pStyle w:val="FootnoteText"/>
        <w:rPr>
          <w:rFonts w:asciiTheme="majorBidi" w:hAnsiTheme="majorBidi" w:cstheme="majorBidi"/>
        </w:rPr>
      </w:pPr>
      <w:r w:rsidRPr="002A5475">
        <w:rPr>
          <w:rStyle w:val="FootnoteReference"/>
          <w:rFonts w:asciiTheme="majorBidi" w:hAnsiTheme="majorBidi" w:cstheme="majorBidi"/>
        </w:rPr>
        <w:footnoteRef/>
      </w:r>
      <w:r w:rsidRPr="002A5475">
        <w:rPr>
          <w:rFonts w:asciiTheme="majorBidi" w:hAnsiTheme="majorBidi" w:cstheme="majorBidi"/>
        </w:rPr>
        <w:t xml:space="preserve"> The website for OpenBionics, a medical device manufacturer who designed the 3D-printable, myoelectric “Hero Arm,” proudly claims, “Your limb difference is your superpower.”</w:t>
      </w:r>
    </w:p>
  </w:footnote>
  <w:footnote w:id="167">
    <w:p w14:paraId="4EF58E0E" w14:textId="77777777" w:rsidR="002A5475" w:rsidRPr="002A5475" w:rsidRDefault="002A5475" w:rsidP="002A5475">
      <w:pPr>
        <w:pStyle w:val="FootnoteText"/>
        <w:rPr>
          <w:rFonts w:asciiTheme="majorBidi" w:hAnsiTheme="majorBidi" w:cstheme="majorBidi"/>
        </w:rPr>
      </w:pPr>
      <w:r w:rsidRPr="002A5475">
        <w:rPr>
          <w:rStyle w:val="FootnoteReference"/>
          <w:rFonts w:asciiTheme="majorBidi" w:hAnsiTheme="majorBidi" w:cstheme="majorBidi"/>
        </w:rPr>
        <w:footnoteRef/>
      </w:r>
      <w:r w:rsidRPr="002A5475">
        <w:rPr>
          <w:rFonts w:asciiTheme="majorBidi" w:hAnsiTheme="majorBidi" w:cstheme="majorBidi"/>
        </w:rPr>
        <w:t xml:space="preserve"> David Wills, for instance, comments on the unstable dual commitment to emulation and replacement of prosthesis (</w:t>
      </w:r>
      <w:r w:rsidRPr="002A5475">
        <w:rPr>
          <w:rFonts w:asciiTheme="majorBidi" w:hAnsiTheme="majorBidi" w:cstheme="majorBidi"/>
          <w:i/>
          <w:iCs/>
        </w:rPr>
        <w:t>Prosthesis</w:t>
      </w:r>
      <w:r w:rsidRPr="002A5475">
        <w:rPr>
          <w:rFonts w:asciiTheme="majorBidi" w:hAnsiTheme="majorBidi" w:cstheme="majorBidi"/>
        </w:rPr>
        <w:t>, 1995). David Mitchell and Sharon Snyder have taken this tension even farther in their identification of prosthesis as an “intervention [that] seeks to accomplish an erasure of difference all together” (</w:t>
      </w:r>
      <w:r w:rsidRPr="002A5475">
        <w:rPr>
          <w:rFonts w:asciiTheme="majorBidi" w:hAnsiTheme="majorBidi" w:cstheme="majorBidi"/>
          <w:i/>
          <w:iCs/>
        </w:rPr>
        <w:t>Narrative Prosthesis</w:t>
      </w:r>
      <w:r w:rsidRPr="002A5475">
        <w:rPr>
          <w:rFonts w:asciiTheme="majorBidi" w:hAnsiTheme="majorBidi" w:cstheme="majorBidi"/>
        </w:rPr>
        <w:t xml:space="preserve"> 7).  </w:t>
      </w:r>
    </w:p>
  </w:footnote>
  <w:footnote w:id="168">
    <w:p w14:paraId="3D579F2E" w14:textId="363F6D5A" w:rsidR="002A5475" w:rsidRPr="002A5475" w:rsidRDefault="002A5475" w:rsidP="002A5475">
      <w:pPr>
        <w:pStyle w:val="FootnoteText"/>
        <w:rPr>
          <w:rFonts w:asciiTheme="majorBidi" w:hAnsiTheme="majorBidi" w:cstheme="majorBidi"/>
        </w:rPr>
      </w:pPr>
      <w:r w:rsidRPr="002A5475">
        <w:rPr>
          <w:rStyle w:val="FootnoteReference"/>
          <w:rFonts w:asciiTheme="majorBidi" w:hAnsiTheme="majorBidi" w:cstheme="majorBidi"/>
        </w:rPr>
        <w:footnoteRef/>
      </w:r>
      <w:r w:rsidRPr="002A5475">
        <w:rPr>
          <w:rFonts w:asciiTheme="majorBidi" w:hAnsiTheme="majorBidi" w:cstheme="majorBidi"/>
        </w:rPr>
        <w:t xml:space="preserve"> This technology has been so successful that some Paralympic athletes have been barred from competing in the Olympics on the basis that their prosthetics give them an “unfair advantage.” Take, for example, the case of Blake Leeper, a double-amputee track and field Paralympian whose appeal to compete for a spot on the Olympic team was denied in 2021. The committee rested part of its decision on Leeper’s height based on his blade size. Leeper maintained that the blade size was proportionate to his height and consistent with the length his legs would have reached in adulthood had they not been amputated when he was four years old; he has called the committee’s decision discriminatory against Black disabled athletes. (See Matthew Futterman’s “A Double Amputee’s Hopes for the Olympics Are in Jeopardy,” </w:t>
      </w:r>
      <w:r w:rsidR="009335FE">
        <w:rPr>
          <w:rFonts w:asciiTheme="majorBidi" w:hAnsiTheme="majorBidi" w:cstheme="majorBidi"/>
        </w:rPr>
        <w:t>p</w:t>
      </w:r>
      <w:r w:rsidRPr="002A5475">
        <w:rPr>
          <w:rFonts w:asciiTheme="majorBidi" w:hAnsiTheme="majorBidi" w:cstheme="majorBidi"/>
        </w:rPr>
        <w:t xml:space="preserve">ublished August 16, 2021, in </w:t>
      </w:r>
      <w:r w:rsidRPr="002A5475">
        <w:rPr>
          <w:rFonts w:asciiTheme="majorBidi" w:hAnsiTheme="majorBidi" w:cstheme="majorBidi"/>
          <w:i/>
          <w:iCs/>
        </w:rPr>
        <w:t>The New York Times</w:t>
      </w:r>
      <w:r w:rsidRPr="002A5475">
        <w:rPr>
          <w:rFonts w:asciiTheme="majorBidi" w:hAnsiTheme="majorBidi" w:cstheme="majorBidi"/>
        </w:rPr>
        <w:t xml:space="preserve">.) </w:t>
      </w:r>
    </w:p>
  </w:footnote>
  <w:footnote w:id="169">
    <w:p w14:paraId="6582775C" w14:textId="77777777" w:rsidR="002A5475" w:rsidRPr="002A5475" w:rsidRDefault="002A5475" w:rsidP="002A5475">
      <w:pPr>
        <w:pStyle w:val="FootnoteText"/>
        <w:rPr>
          <w:rFonts w:asciiTheme="majorBidi" w:hAnsiTheme="majorBidi" w:cstheme="majorBidi"/>
        </w:rPr>
      </w:pPr>
      <w:r w:rsidRPr="002A5475">
        <w:rPr>
          <w:rStyle w:val="FootnoteReference"/>
          <w:rFonts w:asciiTheme="majorBidi" w:hAnsiTheme="majorBidi" w:cstheme="majorBidi"/>
        </w:rPr>
        <w:footnoteRef/>
      </w:r>
      <w:r w:rsidRPr="002A5475">
        <w:rPr>
          <w:rFonts w:asciiTheme="majorBidi" w:hAnsiTheme="majorBidi" w:cstheme="majorBidi"/>
        </w:rPr>
        <w:t xml:space="preserve"> In a sense, we arrived at the nondisabled use (or appropriation) of prosthesis decades ago. Some people with 20/20 vision wear glasses with nonprescription lenses and colored contacts; others undergo plastic surgery to amplify, reduce, or otherwise alter their existing parts.</w:t>
      </w:r>
    </w:p>
  </w:footnote>
  <w:footnote w:id="170">
    <w:p w14:paraId="14674CF4" w14:textId="77777777" w:rsidR="00F93A29" w:rsidRPr="00A90752" w:rsidRDefault="00F93A29" w:rsidP="00F93A29">
      <w:pPr>
        <w:pStyle w:val="FootnoteText"/>
        <w:rPr>
          <w:rFonts w:asciiTheme="majorBidi" w:hAnsiTheme="majorBidi" w:cstheme="majorBidi"/>
        </w:rPr>
      </w:pPr>
      <w:r w:rsidRPr="002A5475">
        <w:rPr>
          <w:rStyle w:val="FootnoteReference"/>
          <w:rFonts w:asciiTheme="majorBidi" w:hAnsiTheme="majorBidi" w:cstheme="majorBidi"/>
        </w:rPr>
        <w:footnoteRef/>
      </w:r>
      <w:r w:rsidRPr="002A5475">
        <w:rPr>
          <w:rFonts w:asciiTheme="majorBidi" w:hAnsiTheme="majorBidi" w:cstheme="majorBidi"/>
        </w:rPr>
        <w:t xml:space="preserve"> See Clode’s commentary on “The Third Thumb” on her website:</w:t>
      </w:r>
      <w:r>
        <w:rPr>
          <w:rFonts w:asciiTheme="majorBidi" w:hAnsiTheme="majorBidi" w:cstheme="majorBidi"/>
        </w:rPr>
        <w:t xml:space="preserve"> </w:t>
      </w:r>
      <w:hyperlink r:id="rId1" w:history="1">
        <w:r w:rsidRPr="00187F8D">
          <w:rPr>
            <w:rStyle w:val="Hyperlink"/>
            <w:rFonts w:asciiTheme="majorBidi" w:hAnsiTheme="majorBidi" w:cstheme="majorBidi"/>
          </w:rPr>
          <w:t>https://www.daniclodedesign.com/thethirdthumb</w:t>
        </w:r>
      </w:hyperlink>
      <w:r w:rsidRPr="002A5475">
        <w:rPr>
          <w:rFonts w:asciiTheme="majorBidi" w:hAnsiTheme="majorBidi" w:cstheme="majorBid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9C15FA"/>
    <w:multiLevelType w:val="hybridMultilevel"/>
    <w:tmpl w:val="F9164C42"/>
    <w:lvl w:ilvl="0" w:tplc="F500AA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F72A6D"/>
    <w:multiLevelType w:val="hybridMultilevel"/>
    <w:tmpl w:val="C6042070"/>
    <w:lvl w:ilvl="0" w:tplc="B192E3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B867A5F"/>
    <w:multiLevelType w:val="hybridMultilevel"/>
    <w:tmpl w:val="F27ACDFE"/>
    <w:lvl w:ilvl="0" w:tplc="FD2C362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2303123">
    <w:abstractNumId w:val="2"/>
  </w:num>
  <w:num w:numId="2" w16cid:durableId="1961178829">
    <w:abstractNumId w:val="0"/>
  </w:num>
  <w:num w:numId="3" w16cid:durableId="9441201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C87"/>
    <w:rsid w:val="000021D2"/>
    <w:rsid w:val="000033A9"/>
    <w:rsid w:val="00003583"/>
    <w:rsid w:val="00003F6A"/>
    <w:rsid w:val="00005122"/>
    <w:rsid w:val="000076C2"/>
    <w:rsid w:val="000077A6"/>
    <w:rsid w:val="00011C4A"/>
    <w:rsid w:val="00014650"/>
    <w:rsid w:val="00014A3E"/>
    <w:rsid w:val="000156E9"/>
    <w:rsid w:val="000161CD"/>
    <w:rsid w:val="000166A9"/>
    <w:rsid w:val="00023BAB"/>
    <w:rsid w:val="000264D4"/>
    <w:rsid w:val="000303BB"/>
    <w:rsid w:val="00034580"/>
    <w:rsid w:val="00035CF1"/>
    <w:rsid w:val="0003625F"/>
    <w:rsid w:val="0003672C"/>
    <w:rsid w:val="000417F1"/>
    <w:rsid w:val="00053DF3"/>
    <w:rsid w:val="00057004"/>
    <w:rsid w:val="00060A6A"/>
    <w:rsid w:val="0006247C"/>
    <w:rsid w:val="00063326"/>
    <w:rsid w:val="000647EB"/>
    <w:rsid w:val="00066215"/>
    <w:rsid w:val="00066D3F"/>
    <w:rsid w:val="00071EE4"/>
    <w:rsid w:val="00071FB8"/>
    <w:rsid w:val="00076A95"/>
    <w:rsid w:val="00083490"/>
    <w:rsid w:val="00083BFB"/>
    <w:rsid w:val="000A3AD2"/>
    <w:rsid w:val="000A4BE7"/>
    <w:rsid w:val="000A508B"/>
    <w:rsid w:val="000A6039"/>
    <w:rsid w:val="000B5C42"/>
    <w:rsid w:val="000C7DBF"/>
    <w:rsid w:val="000D03D0"/>
    <w:rsid w:val="000D0B9C"/>
    <w:rsid w:val="000E3395"/>
    <w:rsid w:val="000E339B"/>
    <w:rsid w:val="000E6FBE"/>
    <w:rsid w:val="000F23DF"/>
    <w:rsid w:val="000F3ECE"/>
    <w:rsid w:val="000F6AB7"/>
    <w:rsid w:val="000F6B71"/>
    <w:rsid w:val="0010217F"/>
    <w:rsid w:val="00104FC7"/>
    <w:rsid w:val="0011502F"/>
    <w:rsid w:val="00122EBE"/>
    <w:rsid w:val="00125F6C"/>
    <w:rsid w:val="0012746C"/>
    <w:rsid w:val="00135D30"/>
    <w:rsid w:val="00141B0F"/>
    <w:rsid w:val="0014555F"/>
    <w:rsid w:val="00154B28"/>
    <w:rsid w:val="00155B07"/>
    <w:rsid w:val="00156199"/>
    <w:rsid w:val="00160114"/>
    <w:rsid w:val="001628F8"/>
    <w:rsid w:val="00172266"/>
    <w:rsid w:val="001814F6"/>
    <w:rsid w:val="00181943"/>
    <w:rsid w:val="00182BAC"/>
    <w:rsid w:val="001854FB"/>
    <w:rsid w:val="00185C8A"/>
    <w:rsid w:val="00193642"/>
    <w:rsid w:val="001943D4"/>
    <w:rsid w:val="001A37C2"/>
    <w:rsid w:val="001A3CB8"/>
    <w:rsid w:val="001A7B7B"/>
    <w:rsid w:val="001B1034"/>
    <w:rsid w:val="001B1977"/>
    <w:rsid w:val="001B71FE"/>
    <w:rsid w:val="001C1323"/>
    <w:rsid w:val="001C2462"/>
    <w:rsid w:val="001C3308"/>
    <w:rsid w:val="001C39F6"/>
    <w:rsid w:val="001C4B4B"/>
    <w:rsid w:val="001C66FE"/>
    <w:rsid w:val="001C7BBF"/>
    <w:rsid w:val="001D067D"/>
    <w:rsid w:val="001D0AC3"/>
    <w:rsid w:val="001D4908"/>
    <w:rsid w:val="001D6904"/>
    <w:rsid w:val="001E30A5"/>
    <w:rsid w:val="001E78CC"/>
    <w:rsid w:val="001F1F55"/>
    <w:rsid w:val="001F43C1"/>
    <w:rsid w:val="001F522F"/>
    <w:rsid w:val="001F6DCF"/>
    <w:rsid w:val="001F7699"/>
    <w:rsid w:val="002000CA"/>
    <w:rsid w:val="002048B4"/>
    <w:rsid w:val="002049C0"/>
    <w:rsid w:val="00204C8F"/>
    <w:rsid w:val="00205809"/>
    <w:rsid w:val="0021244A"/>
    <w:rsid w:val="00212FB2"/>
    <w:rsid w:val="00213C3A"/>
    <w:rsid w:val="00215C1D"/>
    <w:rsid w:val="002160FE"/>
    <w:rsid w:val="00217FA7"/>
    <w:rsid w:val="00221CBD"/>
    <w:rsid w:val="0022210F"/>
    <w:rsid w:val="00225CFD"/>
    <w:rsid w:val="00235A85"/>
    <w:rsid w:val="00235E95"/>
    <w:rsid w:val="00236E6D"/>
    <w:rsid w:val="002429E5"/>
    <w:rsid w:val="00246AF3"/>
    <w:rsid w:val="002518A0"/>
    <w:rsid w:val="00257DEC"/>
    <w:rsid w:val="00261B12"/>
    <w:rsid w:val="00280CEF"/>
    <w:rsid w:val="0028757A"/>
    <w:rsid w:val="002A034C"/>
    <w:rsid w:val="002A12F0"/>
    <w:rsid w:val="002A3264"/>
    <w:rsid w:val="002A5475"/>
    <w:rsid w:val="002A55D1"/>
    <w:rsid w:val="002C14B5"/>
    <w:rsid w:val="002C46CF"/>
    <w:rsid w:val="002C5B56"/>
    <w:rsid w:val="002C698A"/>
    <w:rsid w:val="002C7CDD"/>
    <w:rsid w:val="002D420B"/>
    <w:rsid w:val="002D4E65"/>
    <w:rsid w:val="002D54A0"/>
    <w:rsid w:val="002D720F"/>
    <w:rsid w:val="002E0C33"/>
    <w:rsid w:val="002E2492"/>
    <w:rsid w:val="002E249D"/>
    <w:rsid w:val="002E3119"/>
    <w:rsid w:val="002E5F14"/>
    <w:rsid w:val="002E7894"/>
    <w:rsid w:val="002F5190"/>
    <w:rsid w:val="002F6C76"/>
    <w:rsid w:val="00304BD0"/>
    <w:rsid w:val="003050D2"/>
    <w:rsid w:val="00307488"/>
    <w:rsid w:val="00307D77"/>
    <w:rsid w:val="00310AFB"/>
    <w:rsid w:val="00313E9E"/>
    <w:rsid w:val="003150D5"/>
    <w:rsid w:val="00316CCB"/>
    <w:rsid w:val="00317A99"/>
    <w:rsid w:val="003206F1"/>
    <w:rsid w:val="003207E2"/>
    <w:rsid w:val="00320F78"/>
    <w:rsid w:val="003222A0"/>
    <w:rsid w:val="00331ACE"/>
    <w:rsid w:val="00334400"/>
    <w:rsid w:val="003348A6"/>
    <w:rsid w:val="00336DD5"/>
    <w:rsid w:val="003402D7"/>
    <w:rsid w:val="00341040"/>
    <w:rsid w:val="003467E1"/>
    <w:rsid w:val="003514B0"/>
    <w:rsid w:val="0035768F"/>
    <w:rsid w:val="00360B3C"/>
    <w:rsid w:val="0036251E"/>
    <w:rsid w:val="00365363"/>
    <w:rsid w:val="0037190C"/>
    <w:rsid w:val="00373919"/>
    <w:rsid w:val="0038006E"/>
    <w:rsid w:val="0038177C"/>
    <w:rsid w:val="0038293F"/>
    <w:rsid w:val="003836EB"/>
    <w:rsid w:val="00386452"/>
    <w:rsid w:val="00387024"/>
    <w:rsid w:val="00387656"/>
    <w:rsid w:val="00387B51"/>
    <w:rsid w:val="003926B0"/>
    <w:rsid w:val="00394464"/>
    <w:rsid w:val="00395EE6"/>
    <w:rsid w:val="003B70FA"/>
    <w:rsid w:val="003C070F"/>
    <w:rsid w:val="003C11A7"/>
    <w:rsid w:val="003C1575"/>
    <w:rsid w:val="003C7FC5"/>
    <w:rsid w:val="003D07F7"/>
    <w:rsid w:val="003D08AB"/>
    <w:rsid w:val="003D5275"/>
    <w:rsid w:val="003D5505"/>
    <w:rsid w:val="003D63DF"/>
    <w:rsid w:val="003D65F3"/>
    <w:rsid w:val="003D737F"/>
    <w:rsid w:val="003E2CEF"/>
    <w:rsid w:val="003E39DF"/>
    <w:rsid w:val="003E5171"/>
    <w:rsid w:val="003F1780"/>
    <w:rsid w:val="003F7474"/>
    <w:rsid w:val="00404616"/>
    <w:rsid w:val="00406F6E"/>
    <w:rsid w:val="00407B6A"/>
    <w:rsid w:val="00414400"/>
    <w:rsid w:val="00421934"/>
    <w:rsid w:val="00421CD4"/>
    <w:rsid w:val="00422932"/>
    <w:rsid w:val="00422CAE"/>
    <w:rsid w:val="00423EA7"/>
    <w:rsid w:val="00427833"/>
    <w:rsid w:val="004335E8"/>
    <w:rsid w:val="0043447A"/>
    <w:rsid w:val="004345B6"/>
    <w:rsid w:val="004366F4"/>
    <w:rsid w:val="0044196E"/>
    <w:rsid w:val="0044271F"/>
    <w:rsid w:val="00442767"/>
    <w:rsid w:val="004469AA"/>
    <w:rsid w:val="00451A76"/>
    <w:rsid w:val="0045562A"/>
    <w:rsid w:val="0047251C"/>
    <w:rsid w:val="00474210"/>
    <w:rsid w:val="00474E8A"/>
    <w:rsid w:val="00480B96"/>
    <w:rsid w:val="0048303E"/>
    <w:rsid w:val="00486B43"/>
    <w:rsid w:val="0049004B"/>
    <w:rsid w:val="00491165"/>
    <w:rsid w:val="004920F6"/>
    <w:rsid w:val="004953DD"/>
    <w:rsid w:val="00497636"/>
    <w:rsid w:val="004A67E8"/>
    <w:rsid w:val="004B716E"/>
    <w:rsid w:val="004C2071"/>
    <w:rsid w:val="004C3D65"/>
    <w:rsid w:val="004C3F83"/>
    <w:rsid w:val="004D2C39"/>
    <w:rsid w:val="004D35E2"/>
    <w:rsid w:val="004D6472"/>
    <w:rsid w:val="004F1DB0"/>
    <w:rsid w:val="004F3FFD"/>
    <w:rsid w:val="005049EE"/>
    <w:rsid w:val="00513827"/>
    <w:rsid w:val="00526151"/>
    <w:rsid w:val="00526CAD"/>
    <w:rsid w:val="0053239F"/>
    <w:rsid w:val="00540D0A"/>
    <w:rsid w:val="00545057"/>
    <w:rsid w:val="00554592"/>
    <w:rsid w:val="005602C1"/>
    <w:rsid w:val="00566934"/>
    <w:rsid w:val="00570485"/>
    <w:rsid w:val="00571897"/>
    <w:rsid w:val="00574DDC"/>
    <w:rsid w:val="005807D7"/>
    <w:rsid w:val="00582BFE"/>
    <w:rsid w:val="00583A04"/>
    <w:rsid w:val="00584F97"/>
    <w:rsid w:val="005925A8"/>
    <w:rsid w:val="00592F7B"/>
    <w:rsid w:val="00597AD2"/>
    <w:rsid w:val="00597D3F"/>
    <w:rsid w:val="005B79E9"/>
    <w:rsid w:val="005C7F41"/>
    <w:rsid w:val="005D495E"/>
    <w:rsid w:val="005E118F"/>
    <w:rsid w:val="005E4637"/>
    <w:rsid w:val="005E4912"/>
    <w:rsid w:val="005E54E2"/>
    <w:rsid w:val="005E6F1F"/>
    <w:rsid w:val="005F111B"/>
    <w:rsid w:val="005F3ADB"/>
    <w:rsid w:val="005F44D1"/>
    <w:rsid w:val="005F63A1"/>
    <w:rsid w:val="005F7F5A"/>
    <w:rsid w:val="006023F8"/>
    <w:rsid w:val="00606832"/>
    <w:rsid w:val="00607780"/>
    <w:rsid w:val="006105F6"/>
    <w:rsid w:val="00611549"/>
    <w:rsid w:val="00611B90"/>
    <w:rsid w:val="00613350"/>
    <w:rsid w:val="00621129"/>
    <w:rsid w:val="006257B4"/>
    <w:rsid w:val="00632381"/>
    <w:rsid w:val="0063291C"/>
    <w:rsid w:val="00633916"/>
    <w:rsid w:val="00641D2B"/>
    <w:rsid w:val="00647ED7"/>
    <w:rsid w:val="00652687"/>
    <w:rsid w:val="00654283"/>
    <w:rsid w:val="00660170"/>
    <w:rsid w:val="00661BC3"/>
    <w:rsid w:val="00662D3E"/>
    <w:rsid w:val="00664181"/>
    <w:rsid w:val="00664F5A"/>
    <w:rsid w:val="00665C7E"/>
    <w:rsid w:val="00667C1A"/>
    <w:rsid w:val="00672DDD"/>
    <w:rsid w:val="00673511"/>
    <w:rsid w:val="00676114"/>
    <w:rsid w:val="00676C91"/>
    <w:rsid w:val="006803C0"/>
    <w:rsid w:val="0068456E"/>
    <w:rsid w:val="00690B77"/>
    <w:rsid w:val="00693EA6"/>
    <w:rsid w:val="006A4AF6"/>
    <w:rsid w:val="006A74F3"/>
    <w:rsid w:val="006C4000"/>
    <w:rsid w:val="006C621F"/>
    <w:rsid w:val="006C651A"/>
    <w:rsid w:val="006D3710"/>
    <w:rsid w:val="006D5EE8"/>
    <w:rsid w:val="006E0528"/>
    <w:rsid w:val="006E0D49"/>
    <w:rsid w:val="006E22BA"/>
    <w:rsid w:val="006E56E8"/>
    <w:rsid w:val="006E5B01"/>
    <w:rsid w:val="006F04D6"/>
    <w:rsid w:val="006F2ED5"/>
    <w:rsid w:val="006F43E9"/>
    <w:rsid w:val="006F5AA4"/>
    <w:rsid w:val="00700233"/>
    <w:rsid w:val="007058EF"/>
    <w:rsid w:val="007077C8"/>
    <w:rsid w:val="00711200"/>
    <w:rsid w:val="0072397F"/>
    <w:rsid w:val="00727250"/>
    <w:rsid w:val="00731922"/>
    <w:rsid w:val="00731ACB"/>
    <w:rsid w:val="0073481B"/>
    <w:rsid w:val="007365B1"/>
    <w:rsid w:val="007368AD"/>
    <w:rsid w:val="007378FE"/>
    <w:rsid w:val="0074133D"/>
    <w:rsid w:val="00745DF6"/>
    <w:rsid w:val="007465D1"/>
    <w:rsid w:val="0074756C"/>
    <w:rsid w:val="0075196D"/>
    <w:rsid w:val="00752237"/>
    <w:rsid w:val="0075388C"/>
    <w:rsid w:val="0075558C"/>
    <w:rsid w:val="00761EFA"/>
    <w:rsid w:val="00762845"/>
    <w:rsid w:val="00764299"/>
    <w:rsid w:val="00764873"/>
    <w:rsid w:val="007778DD"/>
    <w:rsid w:val="00781055"/>
    <w:rsid w:val="007816B9"/>
    <w:rsid w:val="00785FCB"/>
    <w:rsid w:val="00785FDF"/>
    <w:rsid w:val="007867D7"/>
    <w:rsid w:val="00787617"/>
    <w:rsid w:val="00787A61"/>
    <w:rsid w:val="00796693"/>
    <w:rsid w:val="007A0F41"/>
    <w:rsid w:val="007A5B75"/>
    <w:rsid w:val="007B32A9"/>
    <w:rsid w:val="007B43E2"/>
    <w:rsid w:val="007B6A7F"/>
    <w:rsid w:val="007C4E62"/>
    <w:rsid w:val="007C7591"/>
    <w:rsid w:val="007D1C7E"/>
    <w:rsid w:val="007D47B5"/>
    <w:rsid w:val="007D5CD5"/>
    <w:rsid w:val="007E751C"/>
    <w:rsid w:val="007F262D"/>
    <w:rsid w:val="007F6AE9"/>
    <w:rsid w:val="00801635"/>
    <w:rsid w:val="00801E2D"/>
    <w:rsid w:val="0080234D"/>
    <w:rsid w:val="0080609C"/>
    <w:rsid w:val="00806701"/>
    <w:rsid w:val="00806CD0"/>
    <w:rsid w:val="0082346D"/>
    <w:rsid w:val="00825933"/>
    <w:rsid w:val="00826D54"/>
    <w:rsid w:val="00833C42"/>
    <w:rsid w:val="00833F8C"/>
    <w:rsid w:val="00834CBF"/>
    <w:rsid w:val="00836F89"/>
    <w:rsid w:val="0083779B"/>
    <w:rsid w:val="00840818"/>
    <w:rsid w:val="00846459"/>
    <w:rsid w:val="00850CCB"/>
    <w:rsid w:val="00854494"/>
    <w:rsid w:val="0085757D"/>
    <w:rsid w:val="00863435"/>
    <w:rsid w:val="0086481D"/>
    <w:rsid w:val="00864954"/>
    <w:rsid w:val="00872827"/>
    <w:rsid w:val="0087349A"/>
    <w:rsid w:val="0087493D"/>
    <w:rsid w:val="0087532D"/>
    <w:rsid w:val="00881DDE"/>
    <w:rsid w:val="008865B6"/>
    <w:rsid w:val="008949E3"/>
    <w:rsid w:val="00895DF4"/>
    <w:rsid w:val="008A2555"/>
    <w:rsid w:val="008A7971"/>
    <w:rsid w:val="008B0A19"/>
    <w:rsid w:val="008B1A4D"/>
    <w:rsid w:val="008C1080"/>
    <w:rsid w:val="008C43EA"/>
    <w:rsid w:val="008D0A54"/>
    <w:rsid w:val="008D1883"/>
    <w:rsid w:val="008D589C"/>
    <w:rsid w:val="008E7085"/>
    <w:rsid w:val="008E743E"/>
    <w:rsid w:val="008F60C3"/>
    <w:rsid w:val="008F65F8"/>
    <w:rsid w:val="00901A72"/>
    <w:rsid w:val="00903772"/>
    <w:rsid w:val="00903A0A"/>
    <w:rsid w:val="00904969"/>
    <w:rsid w:val="009060A5"/>
    <w:rsid w:val="00913838"/>
    <w:rsid w:val="00923892"/>
    <w:rsid w:val="009254D6"/>
    <w:rsid w:val="00925944"/>
    <w:rsid w:val="0092669B"/>
    <w:rsid w:val="00927026"/>
    <w:rsid w:val="0093093A"/>
    <w:rsid w:val="0093163E"/>
    <w:rsid w:val="009335FE"/>
    <w:rsid w:val="009359FA"/>
    <w:rsid w:val="00935EBD"/>
    <w:rsid w:val="00936436"/>
    <w:rsid w:val="00942BA5"/>
    <w:rsid w:val="009446A7"/>
    <w:rsid w:val="00946F33"/>
    <w:rsid w:val="009518BC"/>
    <w:rsid w:val="00951A54"/>
    <w:rsid w:val="00955D35"/>
    <w:rsid w:val="00964516"/>
    <w:rsid w:val="00966BAC"/>
    <w:rsid w:val="00975E37"/>
    <w:rsid w:val="00984958"/>
    <w:rsid w:val="00984A13"/>
    <w:rsid w:val="009858BB"/>
    <w:rsid w:val="00986674"/>
    <w:rsid w:val="009A2ABE"/>
    <w:rsid w:val="009A6292"/>
    <w:rsid w:val="009A6A2F"/>
    <w:rsid w:val="009B0CB8"/>
    <w:rsid w:val="009B11C0"/>
    <w:rsid w:val="009B33F4"/>
    <w:rsid w:val="009B5D24"/>
    <w:rsid w:val="009C1ACA"/>
    <w:rsid w:val="009C2B27"/>
    <w:rsid w:val="009C666A"/>
    <w:rsid w:val="009C755C"/>
    <w:rsid w:val="009C780F"/>
    <w:rsid w:val="009D1318"/>
    <w:rsid w:val="009D794C"/>
    <w:rsid w:val="009E4EF4"/>
    <w:rsid w:val="009E5F1A"/>
    <w:rsid w:val="00A03F5B"/>
    <w:rsid w:val="00A04D6A"/>
    <w:rsid w:val="00A05EE8"/>
    <w:rsid w:val="00A20D6D"/>
    <w:rsid w:val="00A21493"/>
    <w:rsid w:val="00A2284F"/>
    <w:rsid w:val="00A25353"/>
    <w:rsid w:val="00A305B2"/>
    <w:rsid w:val="00A30F54"/>
    <w:rsid w:val="00A31D0F"/>
    <w:rsid w:val="00A331F5"/>
    <w:rsid w:val="00A348C7"/>
    <w:rsid w:val="00A34F5F"/>
    <w:rsid w:val="00A41D29"/>
    <w:rsid w:val="00A41DFF"/>
    <w:rsid w:val="00A428D1"/>
    <w:rsid w:val="00A46A68"/>
    <w:rsid w:val="00A50EE9"/>
    <w:rsid w:val="00A50F5A"/>
    <w:rsid w:val="00A54B02"/>
    <w:rsid w:val="00A56679"/>
    <w:rsid w:val="00A56B99"/>
    <w:rsid w:val="00A62BF7"/>
    <w:rsid w:val="00A6370B"/>
    <w:rsid w:val="00A746DE"/>
    <w:rsid w:val="00A773B2"/>
    <w:rsid w:val="00A81134"/>
    <w:rsid w:val="00A83655"/>
    <w:rsid w:val="00A847CB"/>
    <w:rsid w:val="00A86F48"/>
    <w:rsid w:val="00A90752"/>
    <w:rsid w:val="00A95FE6"/>
    <w:rsid w:val="00AA1A21"/>
    <w:rsid w:val="00AA3D69"/>
    <w:rsid w:val="00AA3E0C"/>
    <w:rsid w:val="00AA47B9"/>
    <w:rsid w:val="00AB3B99"/>
    <w:rsid w:val="00AB6429"/>
    <w:rsid w:val="00AB7940"/>
    <w:rsid w:val="00AD0A33"/>
    <w:rsid w:val="00AD31BE"/>
    <w:rsid w:val="00AD461E"/>
    <w:rsid w:val="00AE0982"/>
    <w:rsid w:val="00AE126F"/>
    <w:rsid w:val="00AE4A04"/>
    <w:rsid w:val="00AF0BC4"/>
    <w:rsid w:val="00AF19D4"/>
    <w:rsid w:val="00AF59E9"/>
    <w:rsid w:val="00AF7F5B"/>
    <w:rsid w:val="00B07524"/>
    <w:rsid w:val="00B113E7"/>
    <w:rsid w:val="00B13060"/>
    <w:rsid w:val="00B14117"/>
    <w:rsid w:val="00B16570"/>
    <w:rsid w:val="00B2573D"/>
    <w:rsid w:val="00B31725"/>
    <w:rsid w:val="00B32083"/>
    <w:rsid w:val="00B35B7C"/>
    <w:rsid w:val="00B36790"/>
    <w:rsid w:val="00B37F7B"/>
    <w:rsid w:val="00B43A9E"/>
    <w:rsid w:val="00B4431D"/>
    <w:rsid w:val="00B466C5"/>
    <w:rsid w:val="00B53C15"/>
    <w:rsid w:val="00B544F4"/>
    <w:rsid w:val="00B601E8"/>
    <w:rsid w:val="00B61CF6"/>
    <w:rsid w:val="00B70DC1"/>
    <w:rsid w:val="00B7746D"/>
    <w:rsid w:val="00B90095"/>
    <w:rsid w:val="00BB719B"/>
    <w:rsid w:val="00BC2CD6"/>
    <w:rsid w:val="00BD2603"/>
    <w:rsid w:val="00BD3522"/>
    <w:rsid w:val="00BD43E6"/>
    <w:rsid w:val="00BD5916"/>
    <w:rsid w:val="00BE521B"/>
    <w:rsid w:val="00BE7942"/>
    <w:rsid w:val="00BE79A5"/>
    <w:rsid w:val="00BF1785"/>
    <w:rsid w:val="00C0799A"/>
    <w:rsid w:val="00C11D0D"/>
    <w:rsid w:val="00C13C85"/>
    <w:rsid w:val="00C26544"/>
    <w:rsid w:val="00C30D60"/>
    <w:rsid w:val="00C3367D"/>
    <w:rsid w:val="00C340C4"/>
    <w:rsid w:val="00C340F4"/>
    <w:rsid w:val="00C509C3"/>
    <w:rsid w:val="00C50A17"/>
    <w:rsid w:val="00C65504"/>
    <w:rsid w:val="00C6577A"/>
    <w:rsid w:val="00C67D9F"/>
    <w:rsid w:val="00C70EAE"/>
    <w:rsid w:val="00C72240"/>
    <w:rsid w:val="00C73549"/>
    <w:rsid w:val="00C81482"/>
    <w:rsid w:val="00C815DF"/>
    <w:rsid w:val="00C83372"/>
    <w:rsid w:val="00C83B65"/>
    <w:rsid w:val="00C84C59"/>
    <w:rsid w:val="00C85964"/>
    <w:rsid w:val="00C85F23"/>
    <w:rsid w:val="00C91179"/>
    <w:rsid w:val="00C91334"/>
    <w:rsid w:val="00C92675"/>
    <w:rsid w:val="00CB0070"/>
    <w:rsid w:val="00CB2025"/>
    <w:rsid w:val="00CB7570"/>
    <w:rsid w:val="00CC15B0"/>
    <w:rsid w:val="00CC4F7C"/>
    <w:rsid w:val="00CD18BC"/>
    <w:rsid w:val="00CD50B5"/>
    <w:rsid w:val="00CD73A9"/>
    <w:rsid w:val="00CE3713"/>
    <w:rsid w:val="00CE3A3E"/>
    <w:rsid w:val="00CE4D4B"/>
    <w:rsid w:val="00CF0272"/>
    <w:rsid w:val="00CF58BC"/>
    <w:rsid w:val="00CF5F78"/>
    <w:rsid w:val="00D06418"/>
    <w:rsid w:val="00D06F12"/>
    <w:rsid w:val="00D07754"/>
    <w:rsid w:val="00D159B4"/>
    <w:rsid w:val="00D20136"/>
    <w:rsid w:val="00D21EF3"/>
    <w:rsid w:val="00D2290C"/>
    <w:rsid w:val="00D27EA4"/>
    <w:rsid w:val="00D323FD"/>
    <w:rsid w:val="00D341C4"/>
    <w:rsid w:val="00D40AEF"/>
    <w:rsid w:val="00D40DCD"/>
    <w:rsid w:val="00D41205"/>
    <w:rsid w:val="00D46479"/>
    <w:rsid w:val="00D46790"/>
    <w:rsid w:val="00D47590"/>
    <w:rsid w:val="00D5319D"/>
    <w:rsid w:val="00D6504C"/>
    <w:rsid w:val="00D66DD4"/>
    <w:rsid w:val="00D677AA"/>
    <w:rsid w:val="00D73F4D"/>
    <w:rsid w:val="00D80BC4"/>
    <w:rsid w:val="00D81D8D"/>
    <w:rsid w:val="00D822AC"/>
    <w:rsid w:val="00D82E57"/>
    <w:rsid w:val="00D91C27"/>
    <w:rsid w:val="00D93B87"/>
    <w:rsid w:val="00D95D7F"/>
    <w:rsid w:val="00DA2B39"/>
    <w:rsid w:val="00DC50EC"/>
    <w:rsid w:val="00DC5925"/>
    <w:rsid w:val="00DC60FA"/>
    <w:rsid w:val="00DD00DE"/>
    <w:rsid w:val="00DD01C8"/>
    <w:rsid w:val="00DD0D25"/>
    <w:rsid w:val="00DD1B97"/>
    <w:rsid w:val="00DD4FB8"/>
    <w:rsid w:val="00DD6393"/>
    <w:rsid w:val="00DD6896"/>
    <w:rsid w:val="00DD7412"/>
    <w:rsid w:val="00DE125E"/>
    <w:rsid w:val="00DE23AF"/>
    <w:rsid w:val="00DE257E"/>
    <w:rsid w:val="00DE5920"/>
    <w:rsid w:val="00DF25DE"/>
    <w:rsid w:val="00DF3B9A"/>
    <w:rsid w:val="00DF43E8"/>
    <w:rsid w:val="00DF7C87"/>
    <w:rsid w:val="00E0761B"/>
    <w:rsid w:val="00E07CC9"/>
    <w:rsid w:val="00E17598"/>
    <w:rsid w:val="00E21B5C"/>
    <w:rsid w:val="00E310E3"/>
    <w:rsid w:val="00E3341D"/>
    <w:rsid w:val="00E36AA8"/>
    <w:rsid w:val="00E37719"/>
    <w:rsid w:val="00E41BDE"/>
    <w:rsid w:val="00E459DC"/>
    <w:rsid w:val="00E579B9"/>
    <w:rsid w:val="00E633BE"/>
    <w:rsid w:val="00E641F0"/>
    <w:rsid w:val="00E647CB"/>
    <w:rsid w:val="00E70E3E"/>
    <w:rsid w:val="00E75184"/>
    <w:rsid w:val="00E951BB"/>
    <w:rsid w:val="00E964B8"/>
    <w:rsid w:val="00E977F2"/>
    <w:rsid w:val="00EA08D4"/>
    <w:rsid w:val="00EA3C2E"/>
    <w:rsid w:val="00EA464C"/>
    <w:rsid w:val="00EA5199"/>
    <w:rsid w:val="00EA5EA8"/>
    <w:rsid w:val="00EB2C35"/>
    <w:rsid w:val="00EB3509"/>
    <w:rsid w:val="00EB483E"/>
    <w:rsid w:val="00EC0A57"/>
    <w:rsid w:val="00ED1FDE"/>
    <w:rsid w:val="00ED68FA"/>
    <w:rsid w:val="00ED7A05"/>
    <w:rsid w:val="00EE334C"/>
    <w:rsid w:val="00F02153"/>
    <w:rsid w:val="00F058DF"/>
    <w:rsid w:val="00F063AE"/>
    <w:rsid w:val="00F15675"/>
    <w:rsid w:val="00F165C7"/>
    <w:rsid w:val="00F21250"/>
    <w:rsid w:val="00F2398D"/>
    <w:rsid w:val="00F26C23"/>
    <w:rsid w:val="00F33DC9"/>
    <w:rsid w:val="00F35AFD"/>
    <w:rsid w:val="00F40A1F"/>
    <w:rsid w:val="00F428BF"/>
    <w:rsid w:val="00F4338E"/>
    <w:rsid w:val="00F4393D"/>
    <w:rsid w:val="00F44637"/>
    <w:rsid w:val="00F57333"/>
    <w:rsid w:val="00F61B21"/>
    <w:rsid w:val="00F61DFC"/>
    <w:rsid w:val="00F62441"/>
    <w:rsid w:val="00F634A3"/>
    <w:rsid w:val="00F65069"/>
    <w:rsid w:val="00F70716"/>
    <w:rsid w:val="00F710F9"/>
    <w:rsid w:val="00F71ADC"/>
    <w:rsid w:val="00F75DB1"/>
    <w:rsid w:val="00F7620F"/>
    <w:rsid w:val="00F80C69"/>
    <w:rsid w:val="00F84874"/>
    <w:rsid w:val="00F85E76"/>
    <w:rsid w:val="00F87F40"/>
    <w:rsid w:val="00F92853"/>
    <w:rsid w:val="00F93A29"/>
    <w:rsid w:val="00FA0AE4"/>
    <w:rsid w:val="00FA75A5"/>
    <w:rsid w:val="00FB3333"/>
    <w:rsid w:val="00FB4DBA"/>
    <w:rsid w:val="00FB522C"/>
    <w:rsid w:val="00FB667E"/>
    <w:rsid w:val="00FC5A1B"/>
    <w:rsid w:val="00FC6B66"/>
    <w:rsid w:val="00FD2178"/>
    <w:rsid w:val="00FD447A"/>
    <w:rsid w:val="00FD5E7C"/>
    <w:rsid w:val="00FE4DA9"/>
    <w:rsid w:val="00FE552D"/>
    <w:rsid w:val="00FF1665"/>
    <w:rsid w:val="00FF195C"/>
    <w:rsid w:val="00FF3A5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1F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7656"/>
    <w:rPr>
      <w:rFonts w:ascii="Arial" w:hAnsi="Arial" w:cs="Arial"/>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b/>
      <w:bCs/>
      <w:caps/>
      <w:sz w:val="28"/>
    </w:rPr>
  </w:style>
  <w:style w:type="paragraph" w:styleId="Heading2">
    <w:name w:val="heading 2"/>
    <w:basedOn w:val="Normal"/>
    <w:next w:val="Normal"/>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uiPriority w:val="9"/>
    <w:qFormat/>
    <w:rsid w:val="00665C7E"/>
    <w:pPr>
      <w:keepNext/>
      <w:spacing w:before="240" w:after="60"/>
      <w:outlineLvl w:val="2"/>
    </w:pPr>
    <w:rPr>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C85F23"/>
    <w:pPr>
      <w:tabs>
        <w:tab w:val="right" w:leader="dot" w:pos="8630"/>
      </w:tabs>
    </w:pPr>
    <w:rPr>
      <w:rFonts w:asciiTheme="majorBidi" w:hAnsiTheme="majorBidi" w:cstheme="majorBidi"/>
      <w:noProof/>
    </w:rPr>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rsid w:val="00D41205"/>
    <w:rPr>
      <w:rFonts w:ascii="Arial" w:hAnsi="Arial"/>
      <w:b/>
      <w:bCs/>
      <w:caps/>
      <w:sz w:val="28"/>
      <w:szCs w:val="24"/>
    </w:rPr>
  </w:style>
  <w:style w:type="character" w:customStyle="1" w:styleId="Heading3Char">
    <w:name w:val="Heading 3 Char"/>
    <w:link w:val="Heading3"/>
    <w:uiPriority w:val="9"/>
    <w:rsid w:val="00975E37"/>
    <w:rPr>
      <w:rFonts w:ascii="Arial" w:hAnsi="Arial" w:cs="Arial"/>
      <w:b/>
      <w:bCs/>
      <w:i/>
      <w:sz w:val="24"/>
      <w:szCs w:val="26"/>
    </w:rPr>
  </w:style>
  <w:style w:type="table" w:styleId="TableGrid">
    <w:name w:val="Table Grid"/>
    <w:basedOn w:val="TableNormal"/>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84C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4C59"/>
    <w:rPr>
      <w:rFonts w:ascii="Segoe UI" w:hAnsi="Segoe UI" w:cs="Segoe UI"/>
      <w:sz w:val="18"/>
      <w:szCs w:val="18"/>
    </w:rPr>
  </w:style>
  <w:style w:type="paragraph" w:styleId="FootnoteText">
    <w:name w:val="footnote text"/>
    <w:basedOn w:val="Normal"/>
    <w:link w:val="FootnoteTextChar"/>
    <w:uiPriority w:val="99"/>
    <w:unhideWhenUsed/>
    <w:rsid w:val="00C72240"/>
    <w:rPr>
      <w:rFonts w:ascii="Times New Roman" w:eastAsiaTheme="minorHAnsi" w:hAnsi="Times New Roman" w:cstheme="minorBidi"/>
      <w:sz w:val="20"/>
      <w:szCs w:val="20"/>
    </w:rPr>
  </w:style>
  <w:style w:type="character" w:customStyle="1" w:styleId="FootnoteTextChar">
    <w:name w:val="Footnote Text Char"/>
    <w:basedOn w:val="DefaultParagraphFont"/>
    <w:link w:val="FootnoteText"/>
    <w:uiPriority w:val="99"/>
    <w:rsid w:val="00C72240"/>
    <w:rPr>
      <w:rFonts w:eastAsiaTheme="minorHAnsi" w:cstheme="minorBidi"/>
    </w:rPr>
  </w:style>
  <w:style w:type="character" w:styleId="FootnoteReference">
    <w:name w:val="footnote reference"/>
    <w:basedOn w:val="DefaultParagraphFont"/>
    <w:uiPriority w:val="99"/>
    <w:semiHidden/>
    <w:unhideWhenUsed/>
    <w:rsid w:val="00C72240"/>
    <w:rPr>
      <w:vertAlign w:val="superscript"/>
    </w:rPr>
  </w:style>
  <w:style w:type="character" w:styleId="Emphasis">
    <w:name w:val="Emphasis"/>
    <w:basedOn w:val="DefaultParagraphFont"/>
    <w:uiPriority w:val="20"/>
    <w:qFormat/>
    <w:rsid w:val="00C72240"/>
    <w:rPr>
      <w:i/>
      <w:iCs/>
    </w:rPr>
  </w:style>
  <w:style w:type="character" w:styleId="CommentReference">
    <w:name w:val="annotation reference"/>
    <w:basedOn w:val="DefaultParagraphFont"/>
    <w:uiPriority w:val="99"/>
    <w:semiHidden/>
    <w:unhideWhenUsed/>
    <w:rsid w:val="00C72240"/>
    <w:rPr>
      <w:sz w:val="16"/>
      <w:szCs w:val="16"/>
    </w:rPr>
  </w:style>
  <w:style w:type="paragraph" w:styleId="CommentText">
    <w:name w:val="annotation text"/>
    <w:basedOn w:val="Normal"/>
    <w:link w:val="CommentTextChar"/>
    <w:uiPriority w:val="99"/>
    <w:unhideWhenUsed/>
    <w:rsid w:val="00C72240"/>
    <w:rPr>
      <w:rFonts w:ascii="Times New Roman" w:eastAsiaTheme="minorHAnsi" w:hAnsi="Times New Roman" w:cstheme="minorBidi"/>
      <w:sz w:val="20"/>
      <w:szCs w:val="20"/>
    </w:rPr>
  </w:style>
  <w:style w:type="character" w:customStyle="1" w:styleId="CommentTextChar">
    <w:name w:val="Comment Text Char"/>
    <w:basedOn w:val="DefaultParagraphFont"/>
    <w:link w:val="CommentText"/>
    <w:uiPriority w:val="99"/>
    <w:rsid w:val="00C72240"/>
    <w:rPr>
      <w:rFonts w:eastAsiaTheme="minorHAnsi" w:cstheme="minorBidi"/>
    </w:rPr>
  </w:style>
  <w:style w:type="character" w:customStyle="1" w:styleId="apple-converted-space">
    <w:name w:val="apple-converted-space"/>
    <w:basedOn w:val="DefaultParagraphFont"/>
    <w:rsid w:val="0086481D"/>
  </w:style>
  <w:style w:type="paragraph" w:styleId="NormalWeb">
    <w:name w:val="Normal (Web)"/>
    <w:basedOn w:val="Normal"/>
    <w:uiPriority w:val="99"/>
    <w:unhideWhenUsed/>
    <w:rsid w:val="009E5F1A"/>
    <w:pPr>
      <w:spacing w:before="100" w:beforeAutospacing="1" w:after="100" w:afterAutospacing="1"/>
    </w:pPr>
    <w:rPr>
      <w:rFonts w:ascii="Times New Roman" w:hAnsi="Times New Roman" w:cs="Times New Roman"/>
      <w:lang w:bidi="he-IL"/>
    </w:rPr>
  </w:style>
  <w:style w:type="paragraph" w:styleId="CommentSubject">
    <w:name w:val="annotation subject"/>
    <w:basedOn w:val="CommentText"/>
    <w:next w:val="CommentText"/>
    <w:link w:val="CommentSubjectChar"/>
    <w:uiPriority w:val="99"/>
    <w:semiHidden/>
    <w:unhideWhenUsed/>
    <w:rsid w:val="00422CAE"/>
    <w:rPr>
      <w:rFonts w:ascii="Arial" w:eastAsia="Times New Roman" w:hAnsi="Arial" w:cs="Arial"/>
      <w:b/>
      <w:bCs/>
    </w:rPr>
  </w:style>
  <w:style w:type="character" w:customStyle="1" w:styleId="CommentSubjectChar">
    <w:name w:val="Comment Subject Char"/>
    <w:basedOn w:val="CommentTextChar"/>
    <w:link w:val="CommentSubject"/>
    <w:uiPriority w:val="99"/>
    <w:semiHidden/>
    <w:rsid w:val="00422CAE"/>
    <w:rPr>
      <w:rFonts w:ascii="Arial" w:eastAsiaTheme="minorHAnsi" w:hAnsi="Arial" w:cs="Arial"/>
      <w:b/>
      <w:bCs/>
    </w:rPr>
  </w:style>
  <w:style w:type="character" w:customStyle="1" w:styleId="HeaderChar">
    <w:name w:val="Header Char"/>
    <w:basedOn w:val="DefaultParagraphFont"/>
    <w:link w:val="Header"/>
    <w:uiPriority w:val="99"/>
    <w:rsid w:val="00104FC7"/>
    <w:rPr>
      <w:rFonts w:ascii="Arial" w:hAnsi="Arial" w:cs="Arial"/>
      <w:sz w:val="24"/>
      <w:szCs w:val="24"/>
    </w:rPr>
  </w:style>
  <w:style w:type="paragraph" w:styleId="ListParagraph">
    <w:name w:val="List Paragraph"/>
    <w:basedOn w:val="Normal"/>
    <w:uiPriority w:val="34"/>
    <w:qFormat/>
    <w:rsid w:val="00104FC7"/>
    <w:pPr>
      <w:ind w:left="720"/>
      <w:contextualSpacing/>
    </w:pPr>
    <w:rPr>
      <w:rFonts w:ascii="Times New Roman" w:eastAsiaTheme="minorHAnsi" w:hAnsi="Times New Roman" w:cstheme="minorBidi"/>
      <w:szCs w:val="22"/>
    </w:rPr>
  </w:style>
  <w:style w:type="character" w:customStyle="1" w:styleId="Caption1">
    <w:name w:val="Caption1"/>
    <w:basedOn w:val="DefaultParagraphFont"/>
    <w:rsid w:val="00F75DB1"/>
  </w:style>
  <w:style w:type="character" w:customStyle="1" w:styleId="book">
    <w:name w:val="book"/>
    <w:basedOn w:val="DefaultParagraphFont"/>
    <w:rsid w:val="00F75DB1"/>
  </w:style>
  <w:style w:type="character" w:styleId="UnresolvedMention">
    <w:name w:val="Unresolved Mention"/>
    <w:basedOn w:val="DefaultParagraphFont"/>
    <w:uiPriority w:val="99"/>
    <w:semiHidden/>
    <w:unhideWhenUsed/>
    <w:rsid w:val="00F75D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hyperlink" Target="https://www.thealternativelimbproject.com/limbs/cuckoo/" TargetMode="External"/><Relationship Id="rId3" Type="http://schemas.openxmlformats.org/officeDocument/2006/relationships/styles" Target="styles.xml"/><Relationship Id="rId21" Type="http://schemas.openxmlformats.org/officeDocument/2006/relationships/hyperlink" Target="https://victorianweb.org/art/illustration/eytinge/5.html"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3.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0.jpe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ictorianweb.org/art/illustration/eytinge/74.html" TargetMode="External"/><Relationship Id="rId24" Type="http://schemas.openxmlformats.org/officeDocument/2006/relationships/image" Target="media/image12.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s://thealternativelimbproject.com/limbs/synchronised/" TargetMode="External"/><Relationship Id="rId28" Type="http://schemas.openxmlformats.org/officeDocument/2006/relationships/hyperlink" Target="https://www.daniclodedesign.com/thethirdthumb" TargetMode="External"/><Relationship Id="rId10" Type="http://schemas.openxmlformats.org/officeDocument/2006/relationships/image" Target="media/image2.png"/><Relationship Id="rId19" Type="http://schemas.openxmlformats.org/officeDocument/2006/relationships/hyperlink" Target="https://victorianweb.org/art/illustration/jewett/50.html" TargetMode="External"/><Relationship Id="rId31" Type="http://schemas.openxmlformats.org/officeDocument/2006/relationships/hyperlink" Target="https://www.daniclodedesign.com/materialise"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image" Target="media/image11.jpeg"/><Relationship Id="rId27" Type="http://schemas.openxmlformats.org/officeDocument/2006/relationships/image" Target="media/image14.png"/><Relationship Id="rId30" Type="http://schemas.openxmlformats.org/officeDocument/2006/relationships/hyperlink" Target="https://www.daniclodedesign.com/materialis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daniclodedesign.com/thethirdthum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multipart-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E97742-0548-4767-8F5D-70395DAC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multipart-te</Template>
  <TotalTime>0</TotalTime>
  <Pages>201</Pages>
  <Words>48922</Words>
  <Characters>278858</Characters>
  <Application>Microsoft Office Word</Application>
  <DocSecurity>0</DocSecurity>
  <Lines>2323</Lines>
  <Paragraphs>654</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327126</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
  <cp:revision>1</cp:revision>
  <dcterms:created xsi:type="dcterms:W3CDTF">2022-04-27T18:04:00Z</dcterms:created>
  <dcterms:modified xsi:type="dcterms:W3CDTF">2022-04-29T16:20:00Z</dcterms:modified>
</cp:coreProperties>
</file>